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F7CEAF">
      <w:pPr>
        <w:tabs>
          <w:tab w:val="left" w:pos="1710"/>
        </w:tabs>
        <w:rPr>
          <w:rFonts w:ascii="宋体" w:hAnsi="宋体"/>
          <w:color w:val="auto"/>
        </w:rPr>
      </w:pPr>
      <w:bookmarkStart w:id="0" w:name="_Toc183682338"/>
      <w:bookmarkStart w:id="1" w:name="_Toc217446030"/>
      <w:r>
        <w:rPr>
          <w:rFonts w:hint="eastAsia" w:ascii="宋体" w:hAnsi="宋体"/>
          <w:color w:val="auto"/>
        </w:rPr>
        <w:drawing>
          <wp:anchor distT="0" distB="0" distL="114300" distR="114300" simplePos="0" relativeHeight="251660288" behindDoc="1" locked="0" layoutInCell="1" allowOverlap="1">
            <wp:simplePos x="0" y="0"/>
            <wp:positionH relativeFrom="column">
              <wp:posOffset>-1028065</wp:posOffset>
            </wp:positionH>
            <wp:positionV relativeFrom="paragraph">
              <wp:posOffset>-690880</wp:posOffset>
            </wp:positionV>
            <wp:extent cx="7683500" cy="10781030"/>
            <wp:effectExtent l="0" t="0" r="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5"/>
                    <a:stretch>
                      <a:fillRect/>
                    </a:stretch>
                  </pic:blipFill>
                  <pic:spPr>
                    <a:xfrm>
                      <a:off x="0" y="0"/>
                      <a:ext cx="7683500" cy="10781030"/>
                    </a:xfrm>
                    <a:prstGeom prst="rect">
                      <a:avLst/>
                    </a:prstGeom>
                  </pic:spPr>
                </pic:pic>
              </a:graphicData>
            </a:graphic>
          </wp:anchor>
        </w:drawing>
      </w:r>
    </w:p>
    <w:p w14:paraId="508D889F">
      <w:pPr>
        <w:tabs>
          <w:tab w:val="left" w:pos="1710"/>
        </w:tabs>
        <w:rPr>
          <w:rFonts w:ascii="宋体" w:hAnsi="宋体"/>
          <w:color w:val="auto"/>
        </w:rPr>
      </w:pPr>
    </w:p>
    <w:p w14:paraId="59C0A9CC">
      <w:pPr>
        <w:tabs>
          <w:tab w:val="left" w:pos="1710"/>
        </w:tabs>
        <w:rPr>
          <w:rFonts w:ascii="宋体" w:hAnsi="宋体"/>
          <w:color w:val="auto"/>
        </w:rPr>
      </w:pPr>
    </w:p>
    <w:p w14:paraId="00A13AB2">
      <w:pPr>
        <w:tabs>
          <w:tab w:val="left" w:pos="1710"/>
        </w:tabs>
        <w:rPr>
          <w:rFonts w:ascii="宋体" w:hAnsi="宋体"/>
          <w:color w:val="auto"/>
        </w:rPr>
      </w:pPr>
    </w:p>
    <w:p w14:paraId="42800C96">
      <w:pPr>
        <w:tabs>
          <w:tab w:val="left" w:pos="1710"/>
        </w:tabs>
        <w:rPr>
          <w:rFonts w:ascii="宋体" w:hAnsi="宋体"/>
          <w:color w:val="auto"/>
        </w:rPr>
      </w:pPr>
    </w:p>
    <w:p w14:paraId="1D7C480E">
      <w:pPr>
        <w:tabs>
          <w:tab w:val="left" w:pos="1710"/>
        </w:tabs>
        <w:rPr>
          <w:rFonts w:ascii="宋体" w:hAnsi="宋体"/>
          <w:color w:val="auto"/>
        </w:rPr>
      </w:pPr>
      <w:r>
        <w:rPr>
          <w:rFonts w:hint="eastAsia" w:ascii="宋体" w:hAnsi="宋体"/>
          <w:color w:val="auto"/>
        </w:rPr>
        <w:drawing>
          <wp:anchor distT="0" distB="0" distL="114300" distR="114300" simplePos="0" relativeHeight="251661312" behindDoc="0" locked="0" layoutInCell="1" allowOverlap="1">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6"/>
                    <a:stretch>
                      <a:fillRect/>
                    </a:stretch>
                  </pic:blipFill>
                  <pic:spPr>
                    <a:xfrm>
                      <a:off x="0" y="0"/>
                      <a:ext cx="4654550" cy="584200"/>
                    </a:xfrm>
                    <a:prstGeom prst="rect">
                      <a:avLst/>
                    </a:prstGeom>
                  </pic:spPr>
                </pic:pic>
              </a:graphicData>
            </a:graphic>
          </wp:anchor>
        </w:drawing>
      </w:r>
    </w:p>
    <w:p w14:paraId="1085BEDA">
      <w:pPr>
        <w:tabs>
          <w:tab w:val="left" w:pos="1710"/>
        </w:tabs>
        <w:rPr>
          <w:rFonts w:ascii="宋体" w:hAnsi="宋体"/>
          <w:color w:val="auto"/>
        </w:rPr>
      </w:pPr>
    </w:p>
    <w:p w14:paraId="03088E18">
      <w:pPr>
        <w:tabs>
          <w:tab w:val="left" w:pos="1710"/>
        </w:tabs>
        <w:rPr>
          <w:rFonts w:ascii="宋体" w:hAnsi="宋体"/>
          <w:color w:val="auto"/>
        </w:rPr>
      </w:pPr>
    </w:p>
    <w:p w14:paraId="28724DCF">
      <w:pPr>
        <w:tabs>
          <w:tab w:val="left" w:pos="1710"/>
        </w:tabs>
        <w:rPr>
          <w:rFonts w:ascii="宋体" w:hAnsi="宋体"/>
          <w:color w:val="auto"/>
        </w:rPr>
      </w:pPr>
    </w:p>
    <w:p w14:paraId="5AA82724">
      <w:pPr>
        <w:tabs>
          <w:tab w:val="left" w:pos="1710"/>
        </w:tabs>
        <w:rPr>
          <w:rFonts w:ascii="宋体" w:hAnsi="宋体"/>
          <w:color w:val="auto"/>
        </w:rPr>
      </w:pPr>
    </w:p>
    <w:p w14:paraId="3CC1FE72">
      <w:pPr>
        <w:tabs>
          <w:tab w:val="left" w:pos="1710"/>
        </w:tabs>
        <w:rPr>
          <w:rFonts w:ascii="宋体" w:hAnsi="宋体"/>
          <w:color w:val="auto"/>
        </w:rPr>
      </w:pPr>
    </w:p>
    <w:p w14:paraId="2FEB0520">
      <w:pPr>
        <w:tabs>
          <w:tab w:val="left" w:pos="1710"/>
        </w:tabs>
        <w:rPr>
          <w:rFonts w:ascii="宋体" w:hAnsi="宋体"/>
          <w:color w:val="auto"/>
        </w:rPr>
      </w:pPr>
    </w:p>
    <w:p w14:paraId="1446D079">
      <w:pPr>
        <w:tabs>
          <w:tab w:val="left" w:pos="1710"/>
        </w:tabs>
        <w:rPr>
          <w:rFonts w:ascii="宋体" w:hAnsi="宋体"/>
          <w:color w:val="auto"/>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48A1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tcPr>
          <w:p w14:paraId="20170C30">
            <w:pPr>
              <w:snapToGrid w:val="0"/>
              <w:spacing w:line="240" w:lineRule="atLeast"/>
              <w:jc w:val="center"/>
              <w:rPr>
                <w:rFonts w:ascii="宋体" w:hAnsi="宋体"/>
                <w:b/>
                <w:color w:val="auto"/>
                <w:sz w:val="60"/>
                <w:szCs w:val="60"/>
              </w:rPr>
            </w:pPr>
            <w:r>
              <w:rPr>
                <w:rFonts w:hint="eastAsia" w:ascii="宋体" w:hAnsi="宋体"/>
                <w:b/>
                <w:color w:val="auto"/>
                <w:sz w:val="60"/>
                <w:szCs w:val="60"/>
              </w:rPr>
              <w:t xml:space="preserve"> 采购文件</w:t>
            </w:r>
          </w:p>
        </w:tc>
      </w:tr>
      <w:tr w14:paraId="6586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1C04BDEA">
            <w:pPr>
              <w:rPr>
                <w:rFonts w:ascii="宋体" w:hAnsi="宋体"/>
                <w:b/>
                <w:color w:val="auto"/>
                <w:sz w:val="32"/>
                <w:szCs w:val="32"/>
              </w:rPr>
            </w:pPr>
            <w:r>
              <w:rPr>
                <w:rFonts w:ascii="宋体" w:hAnsi="宋体"/>
                <w:b/>
                <w:color w:val="auto"/>
                <w:sz w:val="32"/>
                <w:szCs w:val="32"/>
              </w:rPr>
              <w:t>项目名称：</w:t>
            </w:r>
          </w:p>
        </w:tc>
        <w:tc>
          <w:tcPr>
            <w:tcW w:w="5433" w:type="dxa"/>
            <w:vAlign w:val="center"/>
          </w:tcPr>
          <w:p w14:paraId="5DE32A9D">
            <w:pPr>
              <w:rPr>
                <w:rFonts w:ascii="宋体" w:hAnsi="宋体"/>
                <w:b/>
                <w:color w:val="auto"/>
                <w:sz w:val="32"/>
                <w:szCs w:val="32"/>
              </w:rPr>
            </w:pPr>
            <w:r>
              <w:rPr>
                <w:rFonts w:ascii="宋体" w:hAnsi="宋体"/>
                <w:b/>
                <w:color w:val="auto"/>
                <w:sz w:val="32"/>
                <w:szCs w:val="32"/>
              </w:rPr>
              <w:t>2026年广西壮族自治区工业和信息化厅规划及课题项目</w:t>
            </w:r>
          </w:p>
        </w:tc>
      </w:tr>
      <w:tr w14:paraId="331B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25BD0D0F">
            <w:pPr>
              <w:rPr>
                <w:rFonts w:ascii="宋体" w:hAnsi="宋体"/>
                <w:b/>
                <w:color w:val="auto"/>
                <w:sz w:val="32"/>
                <w:szCs w:val="32"/>
              </w:rPr>
            </w:pPr>
            <w:r>
              <w:rPr>
                <w:rFonts w:ascii="宋体" w:hAnsi="宋体"/>
                <w:b/>
                <w:color w:val="auto"/>
                <w:sz w:val="32"/>
                <w:szCs w:val="32"/>
              </w:rPr>
              <w:t>项目编号：</w:t>
            </w:r>
          </w:p>
        </w:tc>
        <w:tc>
          <w:tcPr>
            <w:tcW w:w="5433" w:type="dxa"/>
            <w:vAlign w:val="center"/>
          </w:tcPr>
          <w:p w14:paraId="77AC5259">
            <w:pPr>
              <w:rPr>
                <w:rFonts w:hint="eastAsia" w:ascii="宋体" w:hAnsi="宋体" w:eastAsia="宋体"/>
                <w:b/>
                <w:color w:val="auto"/>
                <w:sz w:val="32"/>
                <w:szCs w:val="32"/>
                <w:lang w:eastAsia="zh-CN"/>
              </w:rPr>
            </w:pPr>
            <w:r>
              <w:rPr>
                <w:rFonts w:hint="eastAsia" w:ascii="宋体" w:hAnsi="宋体"/>
                <w:b/>
                <w:color w:val="auto"/>
                <w:sz w:val="32"/>
                <w:szCs w:val="32"/>
                <w:lang w:eastAsia="zh-CN"/>
              </w:rPr>
              <w:t>GXZC2026-C3-001951-JDZB</w:t>
            </w:r>
          </w:p>
        </w:tc>
      </w:tr>
      <w:tr w14:paraId="1267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C02B198">
            <w:pPr>
              <w:rPr>
                <w:rFonts w:ascii="宋体" w:hAnsi="宋体"/>
                <w:b/>
                <w:color w:val="auto"/>
                <w:sz w:val="32"/>
                <w:szCs w:val="32"/>
              </w:rPr>
            </w:pPr>
            <w:r>
              <w:rPr>
                <w:rFonts w:ascii="宋体" w:hAnsi="宋体"/>
                <w:b/>
                <w:color w:val="auto"/>
                <w:sz w:val="32"/>
                <w:szCs w:val="32"/>
              </w:rPr>
              <w:t>联系电话：</w:t>
            </w:r>
          </w:p>
        </w:tc>
        <w:tc>
          <w:tcPr>
            <w:tcW w:w="5433" w:type="dxa"/>
            <w:vAlign w:val="center"/>
          </w:tcPr>
          <w:p w14:paraId="7316EC38">
            <w:pPr>
              <w:rPr>
                <w:rFonts w:ascii="宋体" w:hAnsi="宋体"/>
                <w:b/>
                <w:color w:val="auto"/>
                <w:sz w:val="32"/>
                <w:szCs w:val="32"/>
              </w:rPr>
            </w:pPr>
            <w:r>
              <w:rPr>
                <w:rFonts w:ascii="宋体" w:hAnsi="宋体"/>
                <w:b/>
                <w:color w:val="auto"/>
                <w:sz w:val="32"/>
                <w:szCs w:val="32"/>
              </w:rPr>
              <w:t>0771-2808960</w:t>
            </w:r>
          </w:p>
        </w:tc>
      </w:tr>
      <w:tr w14:paraId="3B86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61A32B48">
            <w:pPr>
              <w:rPr>
                <w:rFonts w:ascii="宋体" w:hAnsi="宋体"/>
                <w:b/>
                <w:color w:val="auto"/>
                <w:sz w:val="32"/>
                <w:szCs w:val="32"/>
              </w:rPr>
            </w:pPr>
            <w:r>
              <w:rPr>
                <w:rFonts w:hint="eastAsia" w:ascii="宋体" w:hAnsi="宋体"/>
                <w:b/>
                <w:color w:val="auto"/>
                <w:sz w:val="32"/>
                <w:szCs w:val="32"/>
              </w:rPr>
              <w:t>采购方式：</w:t>
            </w:r>
          </w:p>
        </w:tc>
        <w:tc>
          <w:tcPr>
            <w:tcW w:w="5433" w:type="dxa"/>
            <w:vAlign w:val="center"/>
          </w:tcPr>
          <w:p w14:paraId="245BBAE9">
            <w:pPr>
              <w:rPr>
                <w:rFonts w:ascii="宋体" w:hAnsi="宋体"/>
                <w:b/>
                <w:color w:val="auto"/>
                <w:sz w:val="32"/>
                <w:szCs w:val="32"/>
              </w:rPr>
            </w:pPr>
            <w:r>
              <w:rPr>
                <w:rFonts w:hint="eastAsia" w:ascii="宋体" w:hAnsi="宋体"/>
                <w:b/>
                <w:color w:val="auto"/>
                <w:sz w:val="32"/>
                <w:szCs w:val="32"/>
              </w:rPr>
              <w:t>竞争性磋商</w:t>
            </w:r>
          </w:p>
        </w:tc>
      </w:tr>
    </w:tbl>
    <w:p w14:paraId="7D555355">
      <w:pPr>
        <w:tabs>
          <w:tab w:val="left" w:pos="1710"/>
        </w:tabs>
        <w:rPr>
          <w:rFonts w:ascii="宋体" w:hAnsi="宋体"/>
          <w:color w:val="auto"/>
        </w:rPr>
      </w:pPr>
    </w:p>
    <w:p w14:paraId="3E6B19FC">
      <w:pPr>
        <w:rPr>
          <w:rFonts w:ascii="宋体" w:hAnsi="宋体"/>
          <w:color w:val="auto"/>
        </w:rPr>
      </w:pPr>
    </w:p>
    <w:p w14:paraId="4FAEDAC8">
      <w:pPr>
        <w:rPr>
          <w:rFonts w:ascii="宋体" w:hAnsi="宋体"/>
          <w:color w:val="auto"/>
        </w:rPr>
      </w:pPr>
    </w:p>
    <w:p w14:paraId="07BDF0E7">
      <w:pPr>
        <w:rPr>
          <w:rFonts w:ascii="宋体" w:hAnsi="宋体"/>
          <w:color w:val="auto"/>
        </w:rPr>
      </w:pPr>
    </w:p>
    <w:p w14:paraId="1058FB9D">
      <w:pPr>
        <w:rPr>
          <w:rFonts w:ascii="宋体" w:hAnsi="宋体"/>
          <w:color w:val="auto"/>
        </w:rPr>
      </w:pPr>
    </w:p>
    <w:p w14:paraId="27AF00A1">
      <w:pPr>
        <w:rPr>
          <w:rFonts w:ascii="宋体" w:hAnsi="宋体"/>
          <w:color w:val="auto"/>
        </w:rPr>
      </w:pPr>
    </w:p>
    <w:p w14:paraId="504CC4F1">
      <w:pPr>
        <w:rPr>
          <w:rFonts w:ascii="宋体" w:hAnsi="宋体"/>
          <w:color w:val="auto"/>
        </w:rPr>
      </w:pPr>
    </w:p>
    <w:p w14:paraId="22B033DD">
      <w:pPr>
        <w:rPr>
          <w:rFonts w:ascii="宋体" w:hAnsi="宋体"/>
          <w:color w:val="auto"/>
        </w:rPr>
      </w:pPr>
    </w:p>
    <w:p w14:paraId="564E11E1">
      <w:pPr>
        <w:rPr>
          <w:rFonts w:ascii="宋体" w:hAnsi="宋体"/>
          <w:color w:val="auto"/>
        </w:rPr>
      </w:pPr>
    </w:p>
    <w:p w14:paraId="3AC7D40B">
      <w:pPr>
        <w:rPr>
          <w:rFonts w:ascii="宋体" w:hAnsi="宋体"/>
          <w:color w:val="auto"/>
        </w:rPr>
      </w:pPr>
    </w:p>
    <w:p w14:paraId="5F5FEF00">
      <w:pPr>
        <w:rPr>
          <w:rFonts w:ascii="宋体" w:hAnsi="宋体"/>
          <w:color w:val="auto"/>
        </w:rPr>
      </w:pPr>
    </w:p>
    <w:p w14:paraId="66B5FE37">
      <w:pPr>
        <w:rPr>
          <w:rFonts w:ascii="宋体" w:hAnsi="宋体"/>
          <w:color w:val="auto"/>
        </w:rPr>
      </w:pPr>
    </w:p>
    <w:p w14:paraId="32C833C6">
      <w:pPr>
        <w:rPr>
          <w:rFonts w:ascii="宋体" w:hAnsi="宋体"/>
          <w:color w:val="auto"/>
        </w:rPr>
      </w:pPr>
    </w:p>
    <w:p w14:paraId="62CDE003">
      <w:pPr>
        <w:rPr>
          <w:rFonts w:ascii="宋体" w:hAnsi="宋体"/>
          <w:color w:val="auto"/>
        </w:rPr>
      </w:pPr>
    </w:p>
    <w:p w14:paraId="65AF281D">
      <w:pPr>
        <w:rPr>
          <w:rFonts w:ascii="宋体" w:hAnsi="宋体"/>
          <w:color w:val="auto"/>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761B6482">
        <w:tblPrEx>
          <w:tblCellMar>
            <w:top w:w="0" w:type="dxa"/>
            <w:left w:w="108" w:type="dxa"/>
            <w:bottom w:w="0" w:type="dxa"/>
            <w:right w:w="108" w:type="dxa"/>
          </w:tblCellMar>
        </w:tblPrEx>
        <w:trPr>
          <w:trHeight w:val="703" w:hRule="atLeast"/>
          <w:jc w:val="center"/>
        </w:trPr>
        <w:tc>
          <w:tcPr>
            <w:tcW w:w="2707" w:type="dxa"/>
            <w:vAlign w:val="center"/>
          </w:tcPr>
          <w:p w14:paraId="58DAD7F3">
            <w:pPr>
              <w:autoSpaceDE w:val="0"/>
              <w:autoSpaceDN w:val="0"/>
              <w:adjustRightInd w:val="0"/>
              <w:jc w:val="right"/>
              <w:rPr>
                <w:rFonts w:ascii="宋体" w:hAnsi="宋体"/>
                <w:b/>
                <w:color w:val="auto"/>
                <w:sz w:val="32"/>
                <w:szCs w:val="32"/>
              </w:rPr>
            </w:pPr>
            <w:r>
              <w:rPr>
                <w:rFonts w:ascii="宋体" w:hAnsi="宋体"/>
                <w:b/>
                <w:color w:val="auto"/>
                <w:sz w:val="32"/>
                <w:szCs w:val="32"/>
              </w:rPr>
              <w:t xml:space="preserve">  采购人：</w:t>
            </w:r>
          </w:p>
        </w:tc>
        <w:tc>
          <w:tcPr>
            <w:tcW w:w="5577" w:type="dxa"/>
            <w:gridSpan w:val="2"/>
            <w:vAlign w:val="center"/>
          </w:tcPr>
          <w:p w14:paraId="53D5B09C">
            <w:pPr>
              <w:autoSpaceDE w:val="0"/>
              <w:autoSpaceDN w:val="0"/>
              <w:adjustRightInd w:val="0"/>
              <w:jc w:val="left"/>
              <w:rPr>
                <w:rFonts w:ascii="宋体" w:hAnsi="宋体"/>
                <w:b/>
                <w:color w:val="auto"/>
                <w:sz w:val="32"/>
                <w:szCs w:val="32"/>
              </w:rPr>
            </w:pPr>
            <w:r>
              <w:rPr>
                <w:rFonts w:ascii="宋体" w:hAnsi="宋体"/>
                <w:b/>
                <w:color w:val="auto"/>
                <w:sz w:val="32"/>
                <w:szCs w:val="32"/>
              </w:rPr>
              <w:t>广西壮族自治区工业和信息化厅</w:t>
            </w:r>
          </w:p>
        </w:tc>
      </w:tr>
      <w:tr w14:paraId="2D4AEA42">
        <w:tblPrEx>
          <w:tblCellMar>
            <w:top w:w="0" w:type="dxa"/>
            <w:left w:w="108" w:type="dxa"/>
            <w:bottom w:w="0" w:type="dxa"/>
            <w:right w:w="108" w:type="dxa"/>
          </w:tblCellMar>
        </w:tblPrEx>
        <w:trPr>
          <w:trHeight w:val="703" w:hRule="atLeast"/>
          <w:jc w:val="center"/>
        </w:trPr>
        <w:tc>
          <w:tcPr>
            <w:tcW w:w="2713" w:type="dxa"/>
            <w:gridSpan w:val="2"/>
          </w:tcPr>
          <w:p w14:paraId="0647E723">
            <w:pPr>
              <w:autoSpaceDE w:val="0"/>
              <w:autoSpaceDN w:val="0"/>
              <w:adjustRightInd w:val="0"/>
              <w:jc w:val="right"/>
              <w:rPr>
                <w:rFonts w:ascii="宋体" w:hAnsi="宋体"/>
                <w:b/>
                <w:color w:val="auto"/>
                <w:sz w:val="32"/>
                <w:szCs w:val="32"/>
              </w:rPr>
            </w:pPr>
            <w:r>
              <w:rPr>
                <w:rFonts w:ascii="宋体" w:hAnsi="宋体"/>
                <w:b/>
                <w:color w:val="auto"/>
                <w:sz w:val="32"/>
                <w:szCs w:val="32"/>
              </w:rPr>
              <w:t>采购代理机构：</w:t>
            </w:r>
          </w:p>
        </w:tc>
        <w:tc>
          <w:tcPr>
            <w:tcW w:w="5571" w:type="dxa"/>
          </w:tcPr>
          <w:p w14:paraId="5C205B34">
            <w:pPr>
              <w:autoSpaceDE w:val="0"/>
              <w:autoSpaceDN w:val="0"/>
              <w:adjustRightInd w:val="0"/>
              <w:rPr>
                <w:rFonts w:ascii="宋体" w:hAnsi="宋体"/>
                <w:b/>
                <w:color w:val="auto"/>
                <w:sz w:val="32"/>
                <w:szCs w:val="32"/>
                <w:u w:val="single"/>
              </w:rPr>
            </w:pPr>
            <w:r>
              <w:rPr>
                <w:rFonts w:ascii="宋体" w:hAnsi="宋体"/>
                <w:b/>
                <w:color w:val="auto"/>
                <w:sz w:val="32"/>
                <w:szCs w:val="32"/>
              </w:rPr>
              <w:t>广西机电设备招标有限公司</w:t>
            </w:r>
          </w:p>
        </w:tc>
      </w:tr>
    </w:tbl>
    <w:p w14:paraId="3C8F2CBA">
      <w:pPr>
        <w:rPr>
          <w:rFonts w:ascii="宋体" w:hAnsi="宋体"/>
          <w:color w:val="auto"/>
        </w:rPr>
      </w:pPr>
    </w:p>
    <w:p w14:paraId="1BF76113">
      <w:pPr>
        <w:ind w:firstLine="321" w:firstLineChars="100"/>
        <w:jc w:val="center"/>
        <w:rPr>
          <w:rFonts w:ascii="宋体" w:hAnsi="宋体"/>
          <w:b/>
          <w:color w:val="auto"/>
          <w:sz w:val="32"/>
          <w:szCs w:val="32"/>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ascii="宋体" w:hAnsi="宋体"/>
          <w:b/>
          <w:color w:val="auto"/>
          <w:sz w:val="32"/>
          <w:szCs w:val="32"/>
        </w:rPr>
        <w:t>202</w:t>
      </w:r>
      <w:r>
        <w:rPr>
          <w:rFonts w:hint="eastAsia" w:ascii="宋体" w:hAnsi="宋体"/>
          <w:b/>
          <w:color w:val="auto"/>
          <w:sz w:val="32"/>
          <w:szCs w:val="32"/>
        </w:rPr>
        <w:t>6</w:t>
      </w:r>
      <w:r>
        <w:rPr>
          <w:rFonts w:ascii="宋体" w:hAnsi="宋体"/>
          <w:b/>
          <w:color w:val="auto"/>
          <w:sz w:val="32"/>
          <w:szCs w:val="32"/>
        </w:rPr>
        <w:t>年</w:t>
      </w:r>
      <w:r>
        <w:rPr>
          <w:rFonts w:hint="eastAsia" w:ascii="宋体" w:hAnsi="宋体"/>
          <w:b/>
          <w:color w:val="auto"/>
          <w:sz w:val="32"/>
          <w:szCs w:val="32"/>
        </w:rPr>
        <w:t>06</w:t>
      </w:r>
      <w:r>
        <w:rPr>
          <w:rFonts w:ascii="宋体" w:hAnsi="宋体"/>
          <w:b/>
          <w:color w:val="auto"/>
          <w:sz w:val="32"/>
          <w:szCs w:val="32"/>
        </w:rPr>
        <w:t>月</w:t>
      </w:r>
    </w:p>
    <w:p w14:paraId="1976DC1E">
      <w:pPr>
        <w:rPr>
          <w:rFonts w:ascii="宋体" w:hAnsi="宋体"/>
          <w:color w:val="auto"/>
          <w:sz w:val="32"/>
          <w:szCs w:val="32"/>
        </w:rPr>
      </w:pPr>
    </w:p>
    <w:p w14:paraId="3D2AB40E">
      <w:pPr>
        <w:pStyle w:val="26"/>
        <w:snapToGrid w:val="0"/>
        <w:spacing w:before="120" w:after="120" w:line="320" w:lineRule="exact"/>
        <w:jc w:val="center"/>
        <w:outlineLvl w:val="0"/>
        <w:rPr>
          <w:rFonts w:hAnsi="宋体" w:cs="Times New Roman"/>
          <w:color w:val="auto"/>
          <w:sz w:val="32"/>
          <w:szCs w:val="32"/>
        </w:rPr>
      </w:pPr>
      <w:bookmarkStart w:id="2" w:name="_Toc17133"/>
      <w:bookmarkStart w:id="3" w:name="_Toc229435049"/>
      <w:r>
        <w:rPr>
          <w:rFonts w:hAnsi="宋体" w:cs="Times New Roman"/>
          <w:color w:val="auto"/>
          <w:sz w:val="32"/>
          <w:szCs w:val="32"/>
        </w:rPr>
        <w:t>目    录</w:t>
      </w:r>
      <w:bookmarkEnd w:id="2"/>
      <w:bookmarkEnd w:id="3"/>
    </w:p>
    <w:p w14:paraId="51F02EF4">
      <w:pPr>
        <w:pStyle w:val="33"/>
        <w:ind w:firstLine="241"/>
        <w:rPr>
          <w:rFonts w:cstheme="minorBidi"/>
          <w:b w:val="0"/>
          <w:bCs w:val="0"/>
          <w:caps w:val="0"/>
          <w:color w:val="auto"/>
          <w:sz w:val="22"/>
          <w14:ligatures w14:val="standardContextual"/>
        </w:rPr>
      </w:pPr>
      <w:r>
        <w:rPr>
          <w:color w:val="auto"/>
        </w:rPr>
        <w:fldChar w:fldCharType="begin"/>
      </w:r>
      <w:r>
        <w:rPr>
          <w:rStyle w:val="57"/>
          <w:color w:val="auto"/>
        </w:rPr>
        <w:instrText xml:space="preserve"> TOC \o "1-1" \h \z \u </w:instrText>
      </w:r>
      <w:r>
        <w:rPr>
          <w:color w:val="auto"/>
        </w:rPr>
        <w:fldChar w:fldCharType="separate"/>
      </w:r>
      <w:r>
        <w:rPr>
          <w:color w:val="auto"/>
        </w:rPr>
        <w:fldChar w:fldCharType="begin"/>
      </w:r>
      <w:r>
        <w:rPr>
          <w:color w:val="auto"/>
        </w:rPr>
        <w:instrText xml:space="preserve"> HYPERLINK \l "_Toc229435049" </w:instrText>
      </w:r>
      <w:r>
        <w:rPr>
          <w:color w:val="auto"/>
        </w:rPr>
        <w:fldChar w:fldCharType="separate"/>
      </w:r>
      <w:r>
        <w:rPr>
          <w:rStyle w:val="57"/>
          <w:color w:val="auto"/>
        </w:rPr>
        <w:t>目    录</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_Toc229435049 \h</w:instrText>
      </w:r>
      <w:r>
        <w:rPr>
          <w:rFonts w:hint="eastAsia"/>
          <w:color w:val="auto"/>
        </w:rPr>
        <w:instrText xml:space="preserve"> </w:instrText>
      </w:r>
      <w:r>
        <w:rPr>
          <w:rFonts w:hint="eastAsia"/>
          <w:color w:val="auto"/>
        </w:rPr>
        <w:fldChar w:fldCharType="separate"/>
      </w:r>
      <w:r>
        <w:rPr>
          <w:color w:val="auto"/>
        </w:rPr>
        <w:t>0</w:t>
      </w:r>
      <w:r>
        <w:rPr>
          <w:rFonts w:hint="eastAsia"/>
          <w:color w:val="auto"/>
        </w:rPr>
        <w:fldChar w:fldCharType="end"/>
      </w:r>
      <w:r>
        <w:rPr>
          <w:rFonts w:hint="eastAsia"/>
          <w:color w:val="auto"/>
        </w:rPr>
        <w:fldChar w:fldCharType="end"/>
      </w:r>
    </w:p>
    <w:p w14:paraId="06461A7D">
      <w:pPr>
        <w:pStyle w:val="33"/>
        <w:ind w:firstLine="241"/>
        <w:rPr>
          <w:rFonts w:cstheme="minorBidi"/>
          <w:b w:val="0"/>
          <w:bCs w:val="0"/>
          <w:caps w:val="0"/>
          <w:color w:val="auto"/>
          <w:sz w:val="22"/>
          <w14:ligatures w14:val="standardContextual"/>
        </w:rPr>
      </w:pPr>
      <w:r>
        <w:rPr>
          <w:color w:val="auto"/>
        </w:rPr>
        <w:fldChar w:fldCharType="begin"/>
      </w:r>
      <w:r>
        <w:rPr>
          <w:color w:val="auto"/>
        </w:rPr>
        <w:instrText xml:space="preserve"> HYPERLINK \l "_Toc229435050" </w:instrText>
      </w:r>
      <w:r>
        <w:rPr>
          <w:color w:val="auto"/>
        </w:rPr>
        <w:fldChar w:fldCharType="separate"/>
      </w:r>
      <w:r>
        <w:rPr>
          <w:rStyle w:val="57"/>
          <w:color w:val="auto"/>
        </w:rPr>
        <w:t>第一章  竞争性磋商公告</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_Toc229435050 \h</w:instrText>
      </w:r>
      <w:r>
        <w:rPr>
          <w:rFonts w:hint="eastAsia"/>
          <w:color w:val="auto"/>
        </w:rPr>
        <w:instrText xml:space="preserve"> </w:instrText>
      </w:r>
      <w:r>
        <w:rPr>
          <w:rFonts w:hint="eastAsia"/>
          <w:color w:val="auto"/>
        </w:rPr>
        <w:fldChar w:fldCharType="separate"/>
      </w:r>
      <w:r>
        <w:rPr>
          <w:color w:val="auto"/>
        </w:rPr>
        <w:t>1</w:t>
      </w:r>
      <w:r>
        <w:rPr>
          <w:rFonts w:hint="eastAsia"/>
          <w:color w:val="auto"/>
        </w:rPr>
        <w:fldChar w:fldCharType="end"/>
      </w:r>
      <w:r>
        <w:rPr>
          <w:rFonts w:hint="eastAsia"/>
          <w:color w:val="auto"/>
        </w:rPr>
        <w:fldChar w:fldCharType="end"/>
      </w:r>
    </w:p>
    <w:p w14:paraId="4A72EAB4">
      <w:pPr>
        <w:pStyle w:val="33"/>
        <w:ind w:firstLine="241"/>
        <w:rPr>
          <w:rFonts w:cstheme="minorBidi"/>
          <w:b w:val="0"/>
          <w:bCs w:val="0"/>
          <w:caps w:val="0"/>
          <w:color w:val="auto"/>
          <w:sz w:val="22"/>
          <w14:ligatures w14:val="standardContextual"/>
        </w:rPr>
      </w:pPr>
      <w:r>
        <w:rPr>
          <w:color w:val="auto"/>
        </w:rPr>
        <w:fldChar w:fldCharType="begin"/>
      </w:r>
      <w:r>
        <w:rPr>
          <w:color w:val="auto"/>
        </w:rPr>
        <w:instrText xml:space="preserve"> HYPERLINK \l "_Toc229435051" </w:instrText>
      </w:r>
      <w:r>
        <w:rPr>
          <w:color w:val="auto"/>
        </w:rPr>
        <w:fldChar w:fldCharType="separate"/>
      </w:r>
      <w:r>
        <w:rPr>
          <w:rStyle w:val="57"/>
          <w:color w:val="auto"/>
        </w:rPr>
        <w:t>第二章  采购需求</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_Toc229435051 \h</w:instrText>
      </w:r>
      <w:r>
        <w:rPr>
          <w:rFonts w:hint="eastAsia"/>
          <w:color w:val="auto"/>
        </w:rPr>
        <w:instrText xml:space="preserve"> </w:instrText>
      </w:r>
      <w:r>
        <w:rPr>
          <w:rFonts w:hint="eastAsia"/>
          <w:color w:val="auto"/>
        </w:rPr>
        <w:fldChar w:fldCharType="separate"/>
      </w:r>
      <w:r>
        <w:rPr>
          <w:color w:val="auto"/>
        </w:rPr>
        <w:t>5</w:t>
      </w:r>
      <w:r>
        <w:rPr>
          <w:rFonts w:hint="eastAsia"/>
          <w:color w:val="auto"/>
        </w:rPr>
        <w:fldChar w:fldCharType="end"/>
      </w:r>
      <w:r>
        <w:rPr>
          <w:rFonts w:hint="eastAsia"/>
          <w:color w:val="auto"/>
        </w:rPr>
        <w:fldChar w:fldCharType="end"/>
      </w:r>
    </w:p>
    <w:p w14:paraId="35A2C532">
      <w:pPr>
        <w:pStyle w:val="33"/>
        <w:ind w:firstLine="241"/>
        <w:rPr>
          <w:rFonts w:cstheme="minorBidi"/>
          <w:b w:val="0"/>
          <w:bCs w:val="0"/>
          <w:caps w:val="0"/>
          <w:color w:val="auto"/>
          <w:sz w:val="22"/>
          <w14:ligatures w14:val="standardContextual"/>
        </w:rPr>
      </w:pPr>
      <w:r>
        <w:rPr>
          <w:color w:val="auto"/>
        </w:rPr>
        <w:fldChar w:fldCharType="begin"/>
      </w:r>
      <w:r>
        <w:rPr>
          <w:color w:val="auto"/>
        </w:rPr>
        <w:instrText xml:space="preserve"> HYPERLINK \l "_Toc229435052" </w:instrText>
      </w:r>
      <w:r>
        <w:rPr>
          <w:color w:val="auto"/>
        </w:rPr>
        <w:fldChar w:fldCharType="separate"/>
      </w:r>
      <w:r>
        <w:rPr>
          <w:rStyle w:val="57"/>
          <w:color w:val="auto"/>
        </w:rPr>
        <w:t>第三章  供应商须知</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_Toc229435052 \h</w:instrText>
      </w:r>
      <w:r>
        <w:rPr>
          <w:rFonts w:hint="eastAsia"/>
          <w:color w:val="auto"/>
        </w:rPr>
        <w:instrText xml:space="preserve"> </w:instrText>
      </w:r>
      <w:r>
        <w:rPr>
          <w:rFonts w:hint="eastAsia"/>
          <w:color w:val="auto"/>
        </w:rPr>
        <w:fldChar w:fldCharType="separate"/>
      </w:r>
      <w:r>
        <w:rPr>
          <w:color w:val="auto"/>
        </w:rPr>
        <w:t>26</w:t>
      </w:r>
      <w:r>
        <w:rPr>
          <w:rFonts w:hint="eastAsia"/>
          <w:color w:val="auto"/>
        </w:rPr>
        <w:fldChar w:fldCharType="end"/>
      </w:r>
      <w:r>
        <w:rPr>
          <w:rFonts w:hint="eastAsia"/>
          <w:color w:val="auto"/>
        </w:rPr>
        <w:fldChar w:fldCharType="end"/>
      </w:r>
    </w:p>
    <w:p w14:paraId="4073E5C8">
      <w:pPr>
        <w:pStyle w:val="33"/>
        <w:ind w:firstLine="241"/>
        <w:rPr>
          <w:rFonts w:cstheme="minorBidi"/>
          <w:b w:val="0"/>
          <w:bCs w:val="0"/>
          <w:caps w:val="0"/>
          <w:color w:val="auto"/>
          <w:sz w:val="22"/>
          <w14:ligatures w14:val="standardContextual"/>
        </w:rPr>
      </w:pPr>
      <w:r>
        <w:rPr>
          <w:color w:val="auto"/>
        </w:rPr>
        <w:fldChar w:fldCharType="begin"/>
      </w:r>
      <w:r>
        <w:rPr>
          <w:color w:val="auto"/>
        </w:rPr>
        <w:instrText xml:space="preserve"> HYPERLINK \l "_Toc229435053" </w:instrText>
      </w:r>
      <w:r>
        <w:rPr>
          <w:color w:val="auto"/>
        </w:rPr>
        <w:fldChar w:fldCharType="separate"/>
      </w:r>
      <w:r>
        <w:rPr>
          <w:rStyle w:val="57"/>
          <w:color w:val="auto"/>
        </w:rPr>
        <w:t>第四章  评审方法及标准</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_Toc229435053 \h</w:instrText>
      </w:r>
      <w:r>
        <w:rPr>
          <w:rFonts w:hint="eastAsia"/>
          <w:color w:val="auto"/>
        </w:rPr>
        <w:instrText xml:space="preserve"> </w:instrText>
      </w:r>
      <w:r>
        <w:rPr>
          <w:rFonts w:hint="eastAsia"/>
          <w:color w:val="auto"/>
        </w:rPr>
        <w:fldChar w:fldCharType="separate"/>
      </w:r>
      <w:r>
        <w:rPr>
          <w:color w:val="auto"/>
        </w:rPr>
        <w:t>46</w:t>
      </w:r>
      <w:r>
        <w:rPr>
          <w:rFonts w:hint="eastAsia"/>
          <w:color w:val="auto"/>
        </w:rPr>
        <w:fldChar w:fldCharType="end"/>
      </w:r>
      <w:r>
        <w:rPr>
          <w:rFonts w:hint="eastAsia"/>
          <w:color w:val="auto"/>
        </w:rPr>
        <w:fldChar w:fldCharType="end"/>
      </w:r>
    </w:p>
    <w:p w14:paraId="39430299">
      <w:pPr>
        <w:pStyle w:val="33"/>
        <w:ind w:firstLine="241"/>
        <w:rPr>
          <w:rFonts w:cstheme="minorBidi"/>
          <w:b w:val="0"/>
          <w:bCs w:val="0"/>
          <w:caps w:val="0"/>
          <w:color w:val="auto"/>
          <w:sz w:val="22"/>
          <w14:ligatures w14:val="standardContextual"/>
        </w:rPr>
      </w:pPr>
      <w:r>
        <w:rPr>
          <w:color w:val="auto"/>
        </w:rPr>
        <w:fldChar w:fldCharType="begin"/>
      </w:r>
      <w:r>
        <w:rPr>
          <w:color w:val="auto"/>
        </w:rPr>
        <w:instrText xml:space="preserve"> HYPERLINK \l "_Toc229435054" </w:instrText>
      </w:r>
      <w:r>
        <w:rPr>
          <w:color w:val="auto"/>
        </w:rPr>
        <w:fldChar w:fldCharType="separate"/>
      </w:r>
      <w:r>
        <w:rPr>
          <w:rStyle w:val="57"/>
          <w:color w:val="auto"/>
        </w:rPr>
        <w:t>第五章  合同主要条款格式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_Toc229435054 \h</w:instrText>
      </w:r>
      <w:r>
        <w:rPr>
          <w:rFonts w:hint="eastAsia"/>
          <w:color w:val="auto"/>
        </w:rPr>
        <w:instrText xml:space="preserve"> </w:instrText>
      </w:r>
      <w:r>
        <w:rPr>
          <w:rFonts w:hint="eastAsia"/>
          <w:color w:val="auto"/>
        </w:rPr>
        <w:fldChar w:fldCharType="separate"/>
      </w:r>
      <w:r>
        <w:rPr>
          <w:color w:val="auto"/>
        </w:rPr>
        <w:t>62</w:t>
      </w:r>
      <w:r>
        <w:rPr>
          <w:rFonts w:hint="eastAsia"/>
          <w:color w:val="auto"/>
        </w:rPr>
        <w:fldChar w:fldCharType="end"/>
      </w:r>
      <w:r>
        <w:rPr>
          <w:rFonts w:hint="eastAsia"/>
          <w:color w:val="auto"/>
        </w:rPr>
        <w:fldChar w:fldCharType="end"/>
      </w:r>
    </w:p>
    <w:p w14:paraId="5AC7725C">
      <w:pPr>
        <w:pStyle w:val="33"/>
        <w:ind w:firstLine="241"/>
        <w:rPr>
          <w:rFonts w:cstheme="minorBidi"/>
          <w:b w:val="0"/>
          <w:bCs w:val="0"/>
          <w:caps w:val="0"/>
          <w:color w:val="auto"/>
          <w:sz w:val="22"/>
          <w14:ligatures w14:val="standardContextual"/>
        </w:rPr>
      </w:pPr>
      <w:r>
        <w:rPr>
          <w:color w:val="auto"/>
        </w:rPr>
        <w:fldChar w:fldCharType="begin"/>
      </w:r>
      <w:r>
        <w:rPr>
          <w:color w:val="auto"/>
        </w:rPr>
        <w:instrText xml:space="preserve"> HYPERLINK \l "_Toc229435055" </w:instrText>
      </w:r>
      <w:r>
        <w:rPr>
          <w:color w:val="auto"/>
        </w:rPr>
        <w:fldChar w:fldCharType="separate"/>
      </w:r>
      <w:r>
        <w:rPr>
          <w:rStyle w:val="57"/>
          <w:color w:val="auto"/>
        </w:rPr>
        <w:t>第六章  响应文件格式</w:t>
      </w:r>
      <w:r>
        <w:rPr>
          <w:rFonts w:hint="eastAsia"/>
          <w:color w:val="auto"/>
        </w:rPr>
        <w:tab/>
      </w:r>
      <w:r>
        <w:rPr>
          <w:rFonts w:hint="eastAsia"/>
          <w:color w:val="auto"/>
        </w:rPr>
        <w:fldChar w:fldCharType="begin"/>
      </w:r>
      <w:r>
        <w:rPr>
          <w:rFonts w:hint="eastAsia"/>
          <w:color w:val="auto"/>
        </w:rPr>
        <w:instrText xml:space="preserve"> </w:instrText>
      </w:r>
      <w:r>
        <w:rPr>
          <w:color w:val="auto"/>
        </w:rPr>
        <w:instrText xml:space="preserve">PAGEREF _Toc229435055 \h</w:instrText>
      </w:r>
      <w:r>
        <w:rPr>
          <w:rFonts w:hint="eastAsia"/>
          <w:color w:val="auto"/>
        </w:rPr>
        <w:instrText xml:space="preserve"> </w:instrText>
      </w:r>
      <w:r>
        <w:rPr>
          <w:rFonts w:hint="eastAsia"/>
          <w:color w:val="auto"/>
        </w:rPr>
        <w:fldChar w:fldCharType="separate"/>
      </w:r>
      <w:r>
        <w:rPr>
          <w:color w:val="auto"/>
        </w:rPr>
        <w:t>69</w:t>
      </w:r>
      <w:r>
        <w:rPr>
          <w:rFonts w:hint="eastAsia"/>
          <w:color w:val="auto"/>
        </w:rPr>
        <w:fldChar w:fldCharType="end"/>
      </w:r>
      <w:r>
        <w:rPr>
          <w:rFonts w:hint="eastAsia"/>
          <w:color w:val="auto"/>
        </w:rPr>
        <w:fldChar w:fldCharType="end"/>
      </w:r>
    </w:p>
    <w:p w14:paraId="748B0B64">
      <w:pPr>
        <w:pStyle w:val="33"/>
        <w:ind w:firstLine="241"/>
        <w:rPr>
          <w:color w:val="auto"/>
          <w:sz w:val="28"/>
          <w:szCs w:val="28"/>
        </w:rPr>
      </w:pPr>
      <w:r>
        <w:rPr>
          <w:color w:val="auto"/>
          <w:szCs w:val="28"/>
        </w:rPr>
        <w:fldChar w:fldCharType="end"/>
      </w:r>
    </w:p>
    <w:p w14:paraId="06C5D85D">
      <w:pPr>
        <w:spacing w:before="120" w:beforeLines="50" w:line="480" w:lineRule="exact"/>
        <w:rPr>
          <w:rFonts w:ascii="宋体" w:hAnsi="宋体"/>
          <w:color w:val="auto"/>
          <w:sz w:val="28"/>
          <w:szCs w:val="28"/>
        </w:rPr>
      </w:pPr>
    </w:p>
    <w:p w14:paraId="07613087">
      <w:pPr>
        <w:spacing w:before="120" w:beforeLines="50" w:line="480" w:lineRule="exact"/>
        <w:rPr>
          <w:rFonts w:ascii="宋体" w:hAnsi="宋体"/>
          <w:color w:val="auto"/>
          <w:sz w:val="30"/>
        </w:rPr>
        <w:sectPr>
          <w:headerReference r:id="rId7" w:type="first"/>
          <w:pgSz w:w="11906" w:h="16838"/>
          <w:pgMar w:top="1418" w:right="1418" w:bottom="1246" w:left="1418" w:header="851" w:footer="992" w:gutter="0"/>
          <w:pgNumType w:start="0"/>
          <w:cols w:space="720" w:num="1"/>
          <w:titlePg/>
          <w:docGrid w:linePitch="312" w:charSpace="0"/>
        </w:sectPr>
      </w:pPr>
    </w:p>
    <w:p w14:paraId="70BF5AD6">
      <w:pPr>
        <w:rPr>
          <w:rFonts w:ascii="宋体" w:hAnsi="宋体"/>
          <w:color w:val="auto"/>
        </w:rPr>
      </w:pPr>
      <w:bookmarkStart w:id="4" w:name="_Toc254970489"/>
      <w:bookmarkStart w:id="5" w:name="_Toc254970630"/>
    </w:p>
    <w:p w14:paraId="383DF5FD">
      <w:pPr>
        <w:pStyle w:val="26"/>
        <w:snapToGrid w:val="0"/>
        <w:spacing w:before="120" w:after="120" w:line="320" w:lineRule="exact"/>
        <w:jc w:val="center"/>
        <w:outlineLvl w:val="0"/>
        <w:rPr>
          <w:rFonts w:hAnsi="宋体" w:cs="Times New Roman"/>
          <w:color w:val="auto"/>
          <w:sz w:val="32"/>
          <w:szCs w:val="32"/>
        </w:rPr>
      </w:pPr>
      <w:bookmarkStart w:id="6" w:name="_Toc229435050"/>
      <w:r>
        <w:rPr>
          <w:rFonts w:hAnsi="宋体" w:cs="Times New Roman"/>
          <w:color w:val="auto"/>
          <w:sz w:val="32"/>
          <w:szCs w:val="32"/>
        </w:rPr>
        <w:t xml:space="preserve">第一章  </w:t>
      </w:r>
      <w:bookmarkEnd w:id="4"/>
      <w:bookmarkEnd w:id="5"/>
      <w:r>
        <w:rPr>
          <w:rFonts w:hAnsi="宋体" w:cs="Times New Roman"/>
          <w:color w:val="auto"/>
          <w:sz w:val="32"/>
          <w:szCs w:val="32"/>
        </w:rPr>
        <w:t>竞争性磋商公告</w:t>
      </w:r>
      <w:bookmarkEnd w:id="6"/>
    </w:p>
    <w:p w14:paraId="1C2588C3">
      <w:pPr>
        <w:spacing w:line="400" w:lineRule="exact"/>
        <w:jc w:val="center"/>
        <w:rPr>
          <w:rFonts w:ascii="宋体" w:hAnsi="宋体"/>
          <w:color w:val="auto"/>
          <w:kern w:val="0"/>
          <w:sz w:val="24"/>
        </w:rPr>
      </w:pPr>
      <w:r>
        <w:rPr>
          <w:rFonts w:ascii="宋体" w:hAnsi="宋体"/>
          <w:color w:val="auto"/>
          <w:kern w:val="0"/>
          <w:sz w:val="24"/>
        </w:rPr>
        <w:t>广西机电设备招标有限公司关于</w:t>
      </w:r>
      <w:r>
        <w:rPr>
          <w:rFonts w:hint="eastAsia" w:ascii="宋体" w:hAnsi="宋体"/>
          <w:color w:val="auto"/>
          <w:kern w:val="0"/>
          <w:sz w:val="24"/>
        </w:rPr>
        <w:t>2026年广西壮族自治区工业和信息化厅规划及课题项目</w:t>
      </w:r>
      <w:r>
        <w:rPr>
          <w:rFonts w:ascii="宋体" w:hAnsi="宋体"/>
          <w:color w:val="auto"/>
          <w:sz w:val="24"/>
        </w:rPr>
        <w:t>(</w:t>
      </w:r>
      <w:r>
        <w:rPr>
          <w:rFonts w:hint="eastAsia" w:ascii="宋体" w:hAnsi="宋体"/>
          <w:color w:val="auto"/>
          <w:sz w:val="24"/>
          <w:lang w:eastAsia="zh-CN"/>
        </w:rPr>
        <w:t>GXZC2026-C3-001951-JDZB</w:t>
      </w:r>
      <w:r>
        <w:rPr>
          <w:rFonts w:ascii="宋体" w:hAnsi="宋体"/>
          <w:color w:val="auto"/>
          <w:sz w:val="24"/>
        </w:rPr>
        <w:t>)</w:t>
      </w:r>
      <w:r>
        <w:rPr>
          <w:rFonts w:ascii="宋体" w:hAnsi="宋体"/>
          <w:color w:val="auto"/>
          <w:kern w:val="0"/>
          <w:sz w:val="24"/>
        </w:rPr>
        <w:t>竞争性磋商公告</w:t>
      </w:r>
    </w:p>
    <w:p w14:paraId="55E920E8">
      <w:pPr>
        <w:spacing w:line="312" w:lineRule="auto"/>
        <w:jc w:val="left"/>
        <w:rPr>
          <w:rFonts w:ascii="宋体" w:hAnsi="宋体"/>
          <w:b/>
          <w:bCs/>
          <w:color w:val="auto"/>
          <w:kern w:val="0"/>
          <w:sz w:val="22"/>
          <w:szCs w:val="22"/>
        </w:rPr>
      </w:pPr>
    </w:p>
    <w:p w14:paraId="00066B98">
      <w:pPr>
        <w:spacing w:line="312" w:lineRule="auto"/>
        <w:ind w:firstLine="420" w:firstLineChars="200"/>
        <w:jc w:val="left"/>
        <w:rPr>
          <w:rFonts w:ascii="宋体" w:hAnsi="宋体"/>
          <w:b/>
          <w:bCs/>
          <w:color w:val="auto"/>
          <w:kern w:val="0"/>
          <w:sz w:val="22"/>
          <w:szCs w:val="22"/>
        </w:rPr>
      </w:pPr>
      <w:bookmarkStart w:id="7" w:name="_Hlk132795121"/>
      <w:r>
        <w:rPr>
          <w:rFonts w:hint="eastAsia" w:ascii="宋体" w:hAnsi="宋体"/>
          <w:color w:val="auto"/>
          <w:szCs w:val="21"/>
        </w:rPr>
        <w:t>项目概况：2026年广西壮族自治区工业和信息化厅规划及课题项目的潜在供应商应在广西政府采购云平台 （https://www.gcy.zfcg.gxzf.gov.cn/）获取采购文件，并于2026年</w:t>
      </w:r>
      <w:r>
        <w:rPr>
          <w:rFonts w:hint="eastAsia" w:ascii="宋体" w:hAnsi="宋体"/>
          <w:color w:val="auto"/>
          <w:szCs w:val="21"/>
          <w:lang w:val="en-US" w:eastAsia="zh-CN"/>
        </w:rPr>
        <w:t>06</w:t>
      </w:r>
      <w:r>
        <w:rPr>
          <w:rFonts w:hint="eastAsia" w:ascii="宋体" w:hAnsi="宋体"/>
          <w:color w:val="auto"/>
          <w:szCs w:val="21"/>
        </w:rPr>
        <w:t>月</w:t>
      </w:r>
      <w:r>
        <w:rPr>
          <w:rFonts w:hint="eastAsia" w:ascii="宋体" w:hAnsi="宋体"/>
          <w:color w:val="auto"/>
          <w:szCs w:val="21"/>
          <w:lang w:val="en-US" w:eastAsia="zh-CN"/>
        </w:rPr>
        <w:t>30</w:t>
      </w:r>
      <w:r>
        <w:rPr>
          <w:rFonts w:hint="eastAsia" w:ascii="宋体" w:hAnsi="宋体"/>
          <w:color w:val="auto"/>
          <w:szCs w:val="21"/>
        </w:rPr>
        <w:t>日 09:30（北京时间）前提交响应文件。</w:t>
      </w:r>
      <w:bookmarkEnd w:id="7"/>
    </w:p>
    <w:p w14:paraId="495EC814">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一、项目基本情况</w:t>
      </w:r>
    </w:p>
    <w:p w14:paraId="71231ACF">
      <w:pPr>
        <w:spacing w:line="312" w:lineRule="auto"/>
        <w:ind w:firstLine="420" w:firstLineChars="200"/>
        <w:jc w:val="left"/>
        <w:rPr>
          <w:rFonts w:hint="eastAsia" w:ascii="宋体" w:hAnsi="宋体" w:eastAsia="宋体"/>
          <w:color w:val="auto"/>
          <w:kern w:val="0"/>
          <w:szCs w:val="21"/>
          <w:lang w:eastAsia="zh-CN"/>
        </w:rPr>
      </w:pPr>
      <w:r>
        <w:rPr>
          <w:rFonts w:ascii="宋体" w:hAnsi="宋体"/>
          <w:color w:val="auto"/>
          <w:kern w:val="0"/>
          <w:szCs w:val="21"/>
        </w:rPr>
        <w:t>项目编号：</w:t>
      </w:r>
      <w:r>
        <w:rPr>
          <w:rFonts w:hint="eastAsia" w:ascii="宋体" w:hAnsi="宋体"/>
          <w:color w:val="auto"/>
          <w:kern w:val="0"/>
          <w:szCs w:val="21"/>
          <w:lang w:eastAsia="zh-CN"/>
        </w:rPr>
        <w:t>GXZC2026-C3-001951-JDZB</w:t>
      </w:r>
    </w:p>
    <w:p w14:paraId="3719D0CF">
      <w:pPr>
        <w:spacing w:line="312" w:lineRule="auto"/>
        <w:ind w:firstLine="420" w:firstLineChars="200"/>
        <w:jc w:val="left"/>
        <w:rPr>
          <w:rFonts w:ascii="宋体" w:hAnsi="宋体"/>
          <w:color w:val="auto"/>
          <w:kern w:val="0"/>
          <w:szCs w:val="21"/>
        </w:rPr>
      </w:pPr>
      <w:r>
        <w:rPr>
          <w:rFonts w:ascii="宋体" w:hAnsi="宋体"/>
          <w:color w:val="auto"/>
          <w:kern w:val="0"/>
          <w:szCs w:val="21"/>
        </w:rPr>
        <w:t>项目名称：2026年广西壮族自治区工业和信息化厅规划及课题项目</w:t>
      </w:r>
    </w:p>
    <w:p w14:paraId="419C2730">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采购方式：竞争性磋商</w:t>
      </w:r>
    </w:p>
    <w:p w14:paraId="52020538">
      <w:pPr>
        <w:spacing w:line="312" w:lineRule="auto"/>
        <w:ind w:firstLine="420" w:firstLineChars="200"/>
        <w:jc w:val="left"/>
        <w:rPr>
          <w:rFonts w:ascii="宋体" w:hAnsi="宋体"/>
          <w:color w:val="auto"/>
          <w:kern w:val="0"/>
          <w:szCs w:val="21"/>
        </w:rPr>
      </w:pPr>
      <w:r>
        <w:rPr>
          <w:rFonts w:ascii="宋体" w:hAnsi="宋体"/>
          <w:color w:val="auto"/>
          <w:kern w:val="0"/>
          <w:szCs w:val="21"/>
        </w:rPr>
        <w:t>预算</w:t>
      </w:r>
      <w:r>
        <w:rPr>
          <w:rFonts w:hint="eastAsia" w:ascii="宋体" w:hAnsi="宋体"/>
          <w:color w:val="auto"/>
          <w:kern w:val="0"/>
          <w:szCs w:val="21"/>
        </w:rPr>
        <w:t>总</w:t>
      </w:r>
      <w:r>
        <w:rPr>
          <w:rFonts w:ascii="宋体" w:hAnsi="宋体"/>
          <w:color w:val="auto"/>
          <w:kern w:val="0"/>
          <w:szCs w:val="21"/>
        </w:rPr>
        <w:t>金额</w:t>
      </w:r>
      <w:r>
        <w:rPr>
          <w:rFonts w:hint="eastAsia" w:ascii="宋体" w:hAnsi="宋体"/>
          <w:color w:val="auto"/>
          <w:kern w:val="0"/>
          <w:szCs w:val="21"/>
        </w:rPr>
        <w:t>（元）</w:t>
      </w:r>
      <w:r>
        <w:rPr>
          <w:rFonts w:ascii="宋体" w:hAnsi="宋体"/>
          <w:color w:val="auto"/>
          <w:kern w:val="0"/>
          <w:szCs w:val="21"/>
        </w:rPr>
        <w:t>：</w:t>
      </w:r>
      <w:r>
        <w:rPr>
          <w:rFonts w:hint="eastAsia" w:ascii="宋体" w:hAnsi="宋体"/>
          <w:color w:val="auto"/>
          <w:kern w:val="0"/>
          <w:szCs w:val="21"/>
        </w:rPr>
        <w:t>2730000</w:t>
      </w:r>
    </w:p>
    <w:p w14:paraId="322867EE">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采购需求</w:t>
      </w:r>
      <w:r>
        <w:rPr>
          <w:rFonts w:ascii="宋体" w:hAnsi="宋体"/>
          <w:color w:val="auto"/>
          <w:kern w:val="0"/>
          <w:szCs w:val="21"/>
        </w:rPr>
        <w:t>：</w:t>
      </w:r>
      <w:bookmarkStart w:id="8" w:name="_Hlk77608065"/>
    </w:p>
    <w:p w14:paraId="458DE840">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标项一</w:t>
      </w:r>
    </w:p>
    <w:p w14:paraId="7A35FC1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标项名称:</w:t>
      </w:r>
      <w:r>
        <w:rPr>
          <w:rFonts w:ascii="宋体" w:hAnsi="宋体"/>
          <w:color w:val="auto"/>
          <w:kern w:val="0"/>
          <w:szCs w:val="21"/>
        </w:rPr>
        <w:t xml:space="preserve"> 2026年广西壮族自治区工业和信息化厅规划及课题项目</w:t>
      </w:r>
      <w:r>
        <w:rPr>
          <w:rFonts w:hint="eastAsia" w:ascii="宋体" w:hAnsi="宋体"/>
          <w:color w:val="auto"/>
          <w:kern w:val="0"/>
          <w:szCs w:val="21"/>
        </w:rPr>
        <w:t>1分标</w:t>
      </w:r>
    </w:p>
    <w:p w14:paraId="3F4154E1">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数量:1</w:t>
      </w:r>
    </w:p>
    <w:p w14:paraId="10A9C77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预算金额（元）:1000000</w:t>
      </w:r>
    </w:p>
    <w:p w14:paraId="40686AF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简要规格描述或项目基本概况介绍、用途：广西钢铁行业“十五五”高质量发展规划。</w:t>
      </w:r>
    </w:p>
    <w:p w14:paraId="5AA5C628">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最高限价（元）：1000000</w:t>
      </w:r>
    </w:p>
    <w:p w14:paraId="5324C43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合同履约期限：2026年9月底前完成结题验收。</w:t>
      </w:r>
    </w:p>
    <w:p w14:paraId="3DBCB2F0">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本标项（否）接受联合体投标</w:t>
      </w:r>
    </w:p>
    <w:p w14:paraId="10C0F3EE">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备注：</w:t>
      </w:r>
    </w:p>
    <w:p w14:paraId="0C2872DF">
      <w:pPr>
        <w:spacing w:line="312" w:lineRule="auto"/>
        <w:ind w:firstLine="735" w:firstLineChars="350"/>
        <w:jc w:val="left"/>
        <w:rPr>
          <w:rFonts w:ascii="宋体" w:hAnsi="宋体"/>
          <w:color w:val="auto"/>
          <w:kern w:val="0"/>
          <w:szCs w:val="21"/>
        </w:rPr>
      </w:pPr>
    </w:p>
    <w:p w14:paraId="69B5E00C">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标项二</w:t>
      </w:r>
    </w:p>
    <w:p w14:paraId="233A1619">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标项名称:</w:t>
      </w:r>
      <w:r>
        <w:rPr>
          <w:rFonts w:ascii="宋体" w:hAnsi="宋体"/>
          <w:color w:val="auto"/>
          <w:kern w:val="0"/>
          <w:szCs w:val="21"/>
        </w:rPr>
        <w:t xml:space="preserve"> 2026年广西壮族自治区工业和信息化厅规划及课题项目</w:t>
      </w:r>
      <w:r>
        <w:rPr>
          <w:rFonts w:hint="eastAsia" w:ascii="宋体" w:hAnsi="宋体"/>
          <w:color w:val="auto"/>
          <w:kern w:val="0"/>
          <w:szCs w:val="21"/>
        </w:rPr>
        <w:t>2分标</w:t>
      </w:r>
    </w:p>
    <w:p w14:paraId="0FBE6622">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数量:1</w:t>
      </w:r>
    </w:p>
    <w:p w14:paraId="0AF05C76">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预算金额（元）：280000</w:t>
      </w:r>
    </w:p>
    <w:p w14:paraId="491F5105">
      <w:pPr>
        <w:spacing w:line="312" w:lineRule="auto"/>
        <w:ind w:firstLine="735" w:firstLineChars="350"/>
        <w:jc w:val="left"/>
        <w:rPr>
          <w:rFonts w:hint="eastAsia" w:ascii="宋体" w:hAnsi="宋体" w:eastAsia="宋体"/>
          <w:color w:val="auto"/>
          <w:kern w:val="0"/>
          <w:szCs w:val="21"/>
          <w:lang w:eastAsia="zh-CN"/>
        </w:rPr>
      </w:pPr>
      <w:r>
        <w:rPr>
          <w:rFonts w:hint="eastAsia" w:ascii="宋体" w:hAnsi="宋体"/>
          <w:color w:val="auto"/>
          <w:kern w:val="0"/>
          <w:szCs w:val="21"/>
        </w:rPr>
        <w:t>简要规格描述或项目基本概况介绍、用途：广西纸业发展“十五五”规划（2026-2030年）</w:t>
      </w:r>
      <w:r>
        <w:rPr>
          <w:rFonts w:hint="eastAsia" w:ascii="宋体" w:hAnsi="宋体"/>
          <w:color w:val="auto"/>
          <w:kern w:val="0"/>
          <w:szCs w:val="21"/>
          <w:lang w:eastAsia="zh-CN"/>
        </w:rPr>
        <w:t>。</w:t>
      </w:r>
    </w:p>
    <w:p w14:paraId="44EB36E7">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最高限价（元）：280000</w:t>
      </w:r>
    </w:p>
    <w:p w14:paraId="611E5BA8">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合同履约期限：2026年10月底前完成结题验收。</w:t>
      </w:r>
    </w:p>
    <w:p w14:paraId="09D13669">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本标项（否）接受联合体投标</w:t>
      </w:r>
    </w:p>
    <w:p w14:paraId="188DB1C1">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备注：</w:t>
      </w:r>
    </w:p>
    <w:p w14:paraId="65F8F17C">
      <w:pPr>
        <w:spacing w:line="312" w:lineRule="auto"/>
        <w:ind w:firstLine="735" w:firstLineChars="350"/>
        <w:jc w:val="left"/>
        <w:rPr>
          <w:rFonts w:ascii="宋体" w:hAnsi="宋体"/>
          <w:color w:val="auto"/>
          <w:kern w:val="0"/>
          <w:szCs w:val="21"/>
        </w:rPr>
      </w:pPr>
    </w:p>
    <w:p w14:paraId="2E1E8D3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标项三</w:t>
      </w:r>
    </w:p>
    <w:p w14:paraId="3839CD16">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标项名称:</w:t>
      </w:r>
      <w:r>
        <w:rPr>
          <w:rFonts w:ascii="宋体" w:hAnsi="宋体"/>
          <w:color w:val="auto"/>
          <w:kern w:val="0"/>
          <w:szCs w:val="21"/>
        </w:rPr>
        <w:t xml:space="preserve"> 2026年广西壮族自治区工业和信息化厅规划及课题项目</w:t>
      </w:r>
      <w:r>
        <w:rPr>
          <w:rFonts w:hint="eastAsia" w:ascii="宋体" w:hAnsi="宋体"/>
          <w:color w:val="auto"/>
          <w:kern w:val="0"/>
          <w:szCs w:val="21"/>
        </w:rPr>
        <w:t>3分标</w:t>
      </w:r>
    </w:p>
    <w:p w14:paraId="67013A39">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数量:1</w:t>
      </w:r>
    </w:p>
    <w:p w14:paraId="40E0FC9F">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预算金额（元）：50000</w:t>
      </w:r>
    </w:p>
    <w:p w14:paraId="01E89268">
      <w:pPr>
        <w:spacing w:line="312" w:lineRule="auto"/>
        <w:ind w:firstLine="735" w:firstLineChars="350"/>
        <w:jc w:val="left"/>
        <w:rPr>
          <w:rFonts w:hint="eastAsia" w:ascii="宋体" w:hAnsi="宋体" w:eastAsia="宋体"/>
          <w:color w:val="auto"/>
          <w:kern w:val="0"/>
          <w:szCs w:val="21"/>
          <w:lang w:eastAsia="zh-CN"/>
        </w:rPr>
      </w:pPr>
      <w:r>
        <w:rPr>
          <w:rFonts w:hint="eastAsia" w:ascii="宋体" w:hAnsi="宋体"/>
          <w:color w:val="auto"/>
          <w:kern w:val="0"/>
          <w:szCs w:val="21"/>
        </w:rPr>
        <w:t>简要规格描述或项目基本概况介绍、用途：广西工业树产业林布局全景图编制（2026版）</w:t>
      </w:r>
      <w:r>
        <w:rPr>
          <w:rFonts w:hint="eastAsia" w:ascii="宋体" w:hAnsi="宋体"/>
          <w:color w:val="auto"/>
          <w:kern w:val="0"/>
          <w:szCs w:val="21"/>
          <w:lang w:eastAsia="zh-CN"/>
        </w:rPr>
        <w:t>。</w:t>
      </w:r>
    </w:p>
    <w:p w14:paraId="111C8264">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最高限价（元）：50000</w:t>
      </w:r>
    </w:p>
    <w:p w14:paraId="52838B3B">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合同履约期限：2026年9月前结题验收。</w:t>
      </w:r>
    </w:p>
    <w:p w14:paraId="1D25013A">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本标项（否）接受联合体投标</w:t>
      </w:r>
    </w:p>
    <w:p w14:paraId="56516A86">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备注：</w:t>
      </w:r>
    </w:p>
    <w:p w14:paraId="0DD65D22">
      <w:pPr>
        <w:spacing w:line="312" w:lineRule="auto"/>
        <w:ind w:firstLine="735" w:firstLineChars="350"/>
        <w:jc w:val="left"/>
        <w:rPr>
          <w:rFonts w:ascii="宋体" w:hAnsi="宋体"/>
          <w:color w:val="auto"/>
          <w:kern w:val="0"/>
          <w:szCs w:val="21"/>
        </w:rPr>
      </w:pPr>
    </w:p>
    <w:p w14:paraId="68C7ACC3">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标项四</w:t>
      </w:r>
    </w:p>
    <w:p w14:paraId="3E152D35">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标项名称:</w:t>
      </w:r>
      <w:r>
        <w:rPr>
          <w:rFonts w:ascii="宋体" w:hAnsi="宋体"/>
          <w:color w:val="auto"/>
          <w:kern w:val="0"/>
          <w:szCs w:val="21"/>
        </w:rPr>
        <w:t xml:space="preserve"> 2026年广西壮族自治区工业和信息化厅规划及课题项目</w:t>
      </w:r>
      <w:r>
        <w:rPr>
          <w:rFonts w:hint="eastAsia" w:ascii="宋体" w:hAnsi="宋体"/>
          <w:color w:val="auto"/>
          <w:kern w:val="0"/>
          <w:szCs w:val="21"/>
        </w:rPr>
        <w:t>4分标</w:t>
      </w:r>
    </w:p>
    <w:p w14:paraId="5D55D206">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数量:1</w:t>
      </w:r>
    </w:p>
    <w:p w14:paraId="231DBB1E">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预算金额（元）：300000</w:t>
      </w:r>
    </w:p>
    <w:p w14:paraId="3AB5B1C4">
      <w:pPr>
        <w:spacing w:line="312" w:lineRule="auto"/>
        <w:ind w:firstLine="735" w:firstLineChars="350"/>
        <w:jc w:val="left"/>
        <w:rPr>
          <w:rFonts w:hint="eastAsia" w:ascii="宋体" w:hAnsi="宋体" w:eastAsia="宋体"/>
          <w:color w:val="auto"/>
          <w:kern w:val="0"/>
          <w:szCs w:val="21"/>
          <w:lang w:eastAsia="zh-CN"/>
        </w:rPr>
      </w:pPr>
      <w:r>
        <w:rPr>
          <w:rFonts w:hint="eastAsia" w:ascii="宋体" w:hAnsi="宋体"/>
          <w:color w:val="auto"/>
          <w:kern w:val="0"/>
          <w:szCs w:val="21"/>
        </w:rPr>
        <w:t>简要规格描述或项目基本概况介绍、用途：广西关键金属先进制造业集群培育发展研究</w:t>
      </w:r>
      <w:r>
        <w:rPr>
          <w:rFonts w:hint="eastAsia" w:ascii="宋体" w:hAnsi="宋体"/>
          <w:color w:val="auto"/>
          <w:kern w:val="0"/>
          <w:szCs w:val="21"/>
          <w:lang w:eastAsia="zh-CN"/>
        </w:rPr>
        <w:t>。</w:t>
      </w:r>
    </w:p>
    <w:p w14:paraId="3A5B0C7F">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最高限价（元）：300000</w:t>
      </w:r>
    </w:p>
    <w:p w14:paraId="0C10276C">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合同履约期限：</w:t>
      </w:r>
      <w:r>
        <w:rPr>
          <w:rFonts w:ascii="宋体" w:hAnsi="宋体"/>
          <w:color w:val="auto"/>
          <w:kern w:val="0"/>
          <w:szCs w:val="21"/>
        </w:rPr>
        <w:t>自签订合同之日起至2026年10月31日</w:t>
      </w:r>
      <w:r>
        <w:rPr>
          <w:rFonts w:hint="eastAsia" w:ascii="宋体" w:hAnsi="宋体"/>
          <w:color w:val="auto"/>
          <w:kern w:val="0"/>
          <w:szCs w:val="21"/>
        </w:rPr>
        <w:t>。</w:t>
      </w:r>
    </w:p>
    <w:p w14:paraId="78C8F5F8">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本标项（否）接受联合体投标</w:t>
      </w:r>
    </w:p>
    <w:p w14:paraId="67902C57">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备注：</w:t>
      </w:r>
    </w:p>
    <w:p w14:paraId="036522F5">
      <w:pPr>
        <w:spacing w:line="312" w:lineRule="auto"/>
        <w:ind w:firstLine="735" w:firstLineChars="350"/>
        <w:jc w:val="left"/>
        <w:rPr>
          <w:rFonts w:ascii="宋体" w:hAnsi="宋体"/>
          <w:color w:val="auto"/>
          <w:kern w:val="0"/>
          <w:szCs w:val="21"/>
        </w:rPr>
      </w:pPr>
    </w:p>
    <w:p w14:paraId="3917A71B">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标项五</w:t>
      </w:r>
    </w:p>
    <w:p w14:paraId="30526461">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标项名称:</w:t>
      </w:r>
      <w:r>
        <w:rPr>
          <w:rFonts w:ascii="宋体" w:hAnsi="宋体"/>
          <w:color w:val="auto"/>
          <w:kern w:val="0"/>
          <w:szCs w:val="21"/>
        </w:rPr>
        <w:t xml:space="preserve"> 2026年广西壮族自治区工业和信息化厅规划及课题项目</w:t>
      </w:r>
      <w:r>
        <w:rPr>
          <w:rFonts w:hint="eastAsia" w:ascii="宋体" w:hAnsi="宋体"/>
          <w:color w:val="auto"/>
          <w:kern w:val="0"/>
          <w:szCs w:val="21"/>
        </w:rPr>
        <w:t>5分标</w:t>
      </w:r>
    </w:p>
    <w:p w14:paraId="710263B3">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数量:1</w:t>
      </w:r>
    </w:p>
    <w:p w14:paraId="15A88081">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预算金额（元）：700000</w:t>
      </w:r>
    </w:p>
    <w:p w14:paraId="49BFABA5">
      <w:pPr>
        <w:spacing w:line="312" w:lineRule="auto"/>
        <w:ind w:firstLine="735" w:firstLineChars="350"/>
        <w:jc w:val="left"/>
        <w:rPr>
          <w:rFonts w:hint="eastAsia" w:ascii="宋体" w:hAnsi="宋体" w:eastAsia="宋体"/>
          <w:color w:val="auto"/>
          <w:kern w:val="0"/>
          <w:szCs w:val="21"/>
          <w:lang w:eastAsia="zh-CN"/>
        </w:rPr>
      </w:pPr>
      <w:r>
        <w:rPr>
          <w:rFonts w:hint="eastAsia" w:ascii="宋体" w:hAnsi="宋体"/>
          <w:color w:val="auto"/>
          <w:kern w:val="0"/>
          <w:szCs w:val="21"/>
        </w:rPr>
        <w:t>简要规格描述或项目基本概况介绍、用途：2026年广西工业经济运行专题研究</w:t>
      </w:r>
      <w:r>
        <w:rPr>
          <w:rFonts w:hint="eastAsia" w:ascii="宋体" w:hAnsi="宋体"/>
          <w:color w:val="auto"/>
          <w:kern w:val="0"/>
          <w:szCs w:val="21"/>
          <w:lang w:eastAsia="zh-CN"/>
        </w:rPr>
        <w:t>。</w:t>
      </w:r>
    </w:p>
    <w:p w14:paraId="3ADB2833">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最高限价（元）：700000</w:t>
      </w:r>
    </w:p>
    <w:p w14:paraId="5E5EB43B">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合同履约期限：2026年12月底前完成结题验收。</w:t>
      </w:r>
    </w:p>
    <w:p w14:paraId="44ED653B">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本标项（否）接受联合体投标</w:t>
      </w:r>
    </w:p>
    <w:p w14:paraId="49196E1F">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备注：</w:t>
      </w:r>
    </w:p>
    <w:p w14:paraId="27428341">
      <w:pPr>
        <w:spacing w:line="312" w:lineRule="auto"/>
        <w:ind w:firstLine="735" w:firstLineChars="350"/>
        <w:jc w:val="left"/>
        <w:rPr>
          <w:rFonts w:ascii="宋体" w:hAnsi="宋体"/>
          <w:color w:val="auto"/>
          <w:kern w:val="0"/>
          <w:szCs w:val="21"/>
        </w:rPr>
      </w:pPr>
    </w:p>
    <w:p w14:paraId="0C1FCCA4">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标项六</w:t>
      </w:r>
    </w:p>
    <w:p w14:paraId="1E9EDD82">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标项名称:</w:t>
      </w:r>
      <w:r>
        <w:rPr>
          <w:rFonts w:ascii="宋体" w:hAnsi="宋体"/>
          <w:color w:val="auto"/>
          <w:kern w:val="0"/>
          <w:szCs w:val="21"/>
        </w:rPr>
        <w:t xml:space="preserve"> 2026年广西壮族自治区工业和信息化厅规划及课题项目</w:t>
      </w:r>
      <w:r>
        <w:rPr>
          <w:rFonts w:hint="eastAsia" w:ascii="宋体" w:hAnsi="宋体"/>
          <w:color w:val="auto"/>
          <w:kern w:val="0"/>
          <w:szCs w:val="21"/>
        </w:rPr>
        <w:t>6分标</w:t>
      </w:r>
    </w:p>
    <w:p w14:paraId="27CD5D9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数量:1</w:t>
      </w:r>
    </w:p>
    <w:p w14:paraId="2B0256B7">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预算金额（元）：400000</w:t>
      </w:r>
    </w:p>
    <w:p w14:paraId="1680EAA8">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简要规格描述或项目基本概况介绍、用途：研究谋划“十五五”时期围绕“叶脉式”向海产业布局打造全面向海的制造业十大现代化支柱产业等重大问题。</w:t>
      </w:r>
    </w:p>
    <w:p w14:paraId="7DA87D8A">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最高限价（元）：400000</w:t>
      </w:r>
    </w:p>
    <w:p w14:paraId="2C730E21">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合同履约期限：2026年9月底前形成初稿并持续推进，2026年11月底前完成结题验收。</w:t>
      </w:r>
    </w:p>
    <w:p w14:paraId="3CA78D1D">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本标项（否）接受联合体投标</w:t>
      </w:r>
    </w:p>
    <w:p w14:paraId="0026791C">
      <w:pPr>
        <w:spacing w:line="312" w:lineRule="auto"/>
        <w:ind w:firstLine="735" w:firstLineChars="350"/>
        <w:jc w:val="left"/>
        <w:rPr>
          <w:rFonts w:ascii="宋体" w:hAnsi="宋体"/>
          <w:color w:val="auto"/>
          <w:kern w:val="0"/>
          <w:szCs w:val="21"/>
        </w:rPr>
      </w:pPr>
      <w:r>
        <w:rPr>
          <w:rFonts w:hint="eastAsia" w:ascii="宋体" w:hAnsi="宋体"/>
          <w:color w:val="auto"/>
          <w:kern w:val="0"/>
          <w:szCs w:val="21"/>
        </w:rPr>
        <w:t>备注：</w:t>
      </w:r>
    </w:p>
    <w:bookmarkEnd w:id="8"/>
    <w:p w14:paraId="651435F7">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二、申请人的资格要求</w:t>
      </w:r>
    </w:p>
    <w:p w14:paraId="586D9F3A">
      <w:pPr>
        <w:spacing w:line="312" w:lineRule="auto"/>
        <w:ind w:firstLine="420" w:firstLineChars="200"/>
        <w:jc w:val="left"/>
        <w:rPr>
          <w:rFonts w:ascii="宋体" w:hAnsi="宋体"/>
          <w:color w:val="auto"/>
          <w:szCs w:val="21"/>
        </w:rPr>
      </w:pPr>
      <w:r>
        <w:rPr>
          <w:rFonts w:ascii="宋体" w:hAnsi="宋体"/>
          <w:color w:val="auto"/>
          <w:kern w:val="0"/>
          <w:szCs w:val="21"/>
        </w:rPr>
        <w:t>1</w:t>
      </w:r>
      <w:r>
        <w:rPr>
          <w:rFonts w:hint="eastAsia" w:ascii="宋体" w:hAnsi="宋体"/>
          <w:color w:val="auto"/>
          <w:kern w:val="0"/>
          <w:szCs w:val="21"/>
        </w:rPr>
        <w:t>.满足</w:t>
      </w:r>
      <w:r>
        <w:rPr>
          <w:rFonts w:ascii="宋体" w:hAnsi="宋体"/>
          <w:color w:val="auto"/>
          <w:kern w:val="0"/>
          <w:szCs w:val="21"/>
        </w:rPr>
        <w:t>《中华人民共和国政府采购法》第二十二条规定；</w:t>
      </w:r>
      <w:r>
        <w:rPr>
          <w:rFonts w:ascii="宋体" w:hAnsi="宋体"/>
          <w:color w:val="auto"/>
          <w:szCs w:val="21"/>
        </w:rPr>
        <w:t xml:space="preserve"> </w:t>
      </w:r>
    </w:p>
    <w:p w14:paraId="55FA503D">
      <w:pPr>
        <w:spacing w:line="312" w:lineRule="auto"/>
        <w:ind w:firstLine="420" w:firstLineChars="200"/>
        <w:jc w:val="left"/>
        <w:rPr>
          <w:rFonts w:ascii="宋体" w:hAnsi="宋体"/>
          <w:color w:val="auto"/>
          <w:szCs w:val="21"/>
        </w:rPr>
      </w:pPr>
      <w:r>
        <w:rPr>
          <w:rFonts w:hint="eastAsia" w:ascii="宋体" w:hAnsi="宋体"/>
          <w:color w:val="auto"/>
          <w:szCs w:val="21"/>
        </w:rPr>
        <w:t>2.落实政府采购政策需满足的资格要求：</w:t>
      </w:r>
      <w:r>
        <w:rPr>
          <w:rFonts w:hint="eastAsia" w:ascii="宋体" w:hAnsi="宋体"/>
          <w:color w:val="auto"/>
          <w:kern w:val="0"/>
          <w:szCs w:val="21"/>
        </w:rPr>
        <w:t>无。</w:t>
      </w:r>
    </w:p>
    <w:p w14:paraId="33D4F6D1">
      <w:pPr>
        <w:spacing w:line="312" w:lineRule="auto"/>
        <w:ind w:firstLine="420" w:firstLineChars="200"/>
        <w:jc w:val="left"/>
        <w:rPr>
          <w:rFonts w:ascii="宋体" w:hAnsi="宋体"/>
          <w:color w:val="auto"/>
          <w:kern w:val="0"/>
          <w:szCs w:val="21"/>
        </w:rPr>
      </w:pPr>
      <w:r>
        <w:rPr>
          <w:rFonts w:ascii="宋体" w:hAnsi="宋体"/>
          <w:color w:val="auto"/>
          <w:kern w:val="0"/>
          <w:szCs w:val="21"/>
        </w:rPr>
        <w:t>3</w:t>
      </w:r>
      <w:r>
        <w:rPr>
          <w:rFonts w:hint="eastAsia" w:ascii="宋体" w:hAnsi="宋体"/>
          <w:color w:val="auto"/>
          <w:kern w:val="0"/>
          <w:szCs w:val="21"/>
        </w:rPr>
        <w:t>.本项目的</w:t>
      </w:r>
      <w:r>
        <w:rPr>
          <w:rFonts w:ascii="宋体" w:hAnsi="宋体"/>
          <w:color w:val="auto"/>
          <w:kern w:val="0"/>
          <w:szCs w:val="21"/>
        </w:rPr>
        <w:t>特定资格</w:t>
      </w:r>
      <w:r>
        <w:rPr>
          <w:rFonts w:hint="eastAsia" w:ascii="宋体" w:hAnsi="宋体"/>
          <w:color w:val="auto"/>
          <w:kern w:val="0"/>
          <w:szCs w:val="21"/>
        </w:rPr>
        <w:t>要求</w:t>
      </w:r>
      <w:r>
        <w:rPr>
          <w:rFonts w:ascii="宋体" w:hAnsi="宋体"/>
          <w:color w:val="auto"/>
          <w:kern w:val="0"/>
          <w:szCs w:val="21"/>
        </w:rPr>
        <w:t>：</w:t>
      </w:r>
    </w:p>
    <w:p w14:paraId="79FD4C30">
      <w:pPr>
        <w:spacing w:line="312" w:lineRule="auto"/>
        <w:ind w:firstLine="420" w:firstLineChars="200"/>
        <w:jc w:val="left"/>
        <w:rPr>
          <w:rFonts w:ascii="宋体" w:hAnsi="宋体"/>
          <w:color w:val="auto"/>
          <w:kern w:val="0"/>
          <w:szCs w:val="21"/>
        </w:rPr>
      </w:pPr>
      <w:r>
        <w:rPr>
          <w:rFonts w:ascii="宋体" w:hAnsi="宋体"/>
          <w:color w:val="auto"/>
          <w:kern w:val="0"/>
          <w:szCs w:val="21"/>
        </w:rPr>
        <w:t>（1）资质要求：无。</w:t>
      </w:r>
    </w:p>
    <w:p w14:paraId="2060408F">
      <w:pPr>
        <w:spacing w:line="312" w:lineRule="auto"/>
        <w:ind w:firstLine="420" w:firstLineChars="200"/>
        <w:jc w:val="left"/>
        <w:rPr>
          <w:rFonts w:ascii="宋体" w:hAnsi="宋体"/>
          <w:color w:val="auto"/>
          <w:kern w:val="0"/>
          <w:szCs w:val="21"/>
        </w:rPr>
      </w:pPr>
      <w:r>
        <w:rPr>
          <w:rFonts w:ascii="宋体" w:hAnsi="宋体"/>
          <w:color w:val="auto"/>
          <w:kern w:val="0"/>
          <w:szCs w:val="21"/>
        </w:rPr>
        <w:t>（2）业绩要求：无</w:t>
      </w:r>
    </w:p>
    <w:p w14:paraId="380FCD46">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w:t>
      </w:r>
      <w:r>
        <w:rPr>
          <w:rFonts w:ascii="宋体" w:hAnsi="宋体"/>
          <w:color w:val="auto"/>
          <w:kern w:val="0"/>
          <w:szCs w:val="21"/>
        </w:rPr>
        <w:t>3</w:t>
      </w:r>
      <w:r>
        <w:rPr>
          <w:rFonts w:hint="eastAsia" w:ascii="宋体" w:hAnsi="宋体"/>
          <w:color w:val="auto"/>
          <w:kern w:val="0"/>
          <w:szCs w:val="21"/>
        </w:rPr>
        <w:t>）</w:t>
      </w:r>
      <w:r>
        <w:rPr>
          <w:rFonts w:ascii="宋体" w:hAnsi="宋体"/>
          <w:color w:val="auto"/>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ascii="宋体" w:hAnsi="宋体"/>
          <w:color w:val="auto"/>
          <w:kern w:val="0"/>
          <w:szCs w:val="21"/>
        </w:rPr>
        <w:t>本</w:t>
      </w:r>
      <w:r>
        <w:rPr>
          <w:rFonts w:ascii="宋体" w:hAnsi="宋体"/>
          <w:color w:val="auto"/>
          <w:kern w:val="0"/>
          <w:szCs w:val="21"/>
        </w:rPr>
        <w:t>项目的采购活动</w:t>
      </w:r>
      <w:r>
        <w:rPr>
          <w:rFonts w:hint="eastAsia" w:ascii="宋体" w:hAnsi="宋体"/>
          <w:color w:val="auto"/>
          <w:kern w:val="0"/>
          <w:szCs w:val="21"/>
        </w:rPr>
        <w:t>。</w:t>
      </w:r>
    </w:p>
    <w:p w14:paraId="1C343032">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（4）</w:t>
      </w:r>
      <w:r>
        <w:rPr>
          <w:rFonts w:ascii="宋体" w:hAnsi="宋体"/>
          <w:color w:val="auto"/>
          <w:kern w:val="0"/>
          <w:szCs w:val="21"/>
        </w:rPr>
        <w:t>未被列入失信被执行人、重大税收违法失信主体、政府采购严重违法失信行为记录名单。</w:t>
      </w:r>
    </w:p>
    <w:p w14:paraId="3A00A2D9">
      <w:pPr>
        <w:spacing w:line="312" w:lineRule="auto"/>
        <w:ind w:firstLine="420" w:firstLineChars="200"/>
        <w:jc w:val="left"/>
        <w:rPr>
          <w:rFonts w:ascii="宋体" w:hAnsi="宋体"/>
          <w:color w:val="auto"/>
          <w:kern w:val="0"/>
          <w:szCs w:val="21"/>
        </w:rPr>
      </w:pPr>
      <w:r>
        <w:rPr>
          <w:rFonts w:hint="eastAsia" w:ascii="宋体" w:hAnsi="宋体"/>
          <w:color w:val="auto"/>
          <w:szCs w:val="21"/>
        </w:rPr>
        <w:t>（5）</w:t>
      </w:r>
      <w:r>
        <w:rPr>
          <w:rFonts w:hint="eastAsia" w:ascii="宋体" w:hAnsi="宋体"/>
          <w:color w:val="auto"/>
          <w:kern w:val="0"/>
          <w:szCs w:val="21"/>
        </w:rPr>
        <w:t>本项目不允许分包。</w:t>
      </w:r>
    </w:p>
    <w:p w14:paraId="5651C8FD">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（6）</w:t>
      </w:r>
      <w:r>
        <w:rPr>
          <w:rFonts w:ascii="宋体" w:hAnsi="宋体"/>
          <w:color w:val="auto"/>
          <w:kern w:val="0"/>
          <w:szCs w:val="21"/>
        </w:rPr>
        <w:t>按照</w:t>
      </w:r>
      <w:r>
        <w:rPr>
          <w:rFonts w:hint="eastAsia" w:ascii="宋体" w:hAnsi="宋体"/>
          <w:color w:val="auto"/>
        </w:rPr>
        <w:t>磋商</w:t>
      </w:r>
      <w:r>
        <w:rPr>
          <w:rFonts w:ascii="宋体" w:hAnsi="宋体"/>
          <w:color w:val="auto"/>
          <w:kern w:val="0"/>
          <w:szCs w:val="21"/>
        </w:rPr>
        <w:t>公告的规定获得</w:t>
      </w:r>
      <w:r>
        <w:rPr>
          <w:rFonts w:hint="eastAsia" w:ascii="宋体" w:hAnsi="宋体"/>
          <w:color w:val="auto"/>
        </w:rPr>
        <w:t>采购文件</w:t>
      </w:r>
      <w:r>
        <w:rPr>
          <w:rFonts w:ascii="宋体" w:hAnsi="宋体"/>
          <w:color w:val="auto"/>
          <w:kern w:val="0"/>
          <w:szCs w:val="21"/>
        </w:rPr>
        <w:t>。</w:t>
      </w:r>
      <w:r>
        <w:rPr>
          <w:rFonts w:hint="eastAsia" w:ascii="宋体" w:hAnsi="宋体"/>
          <w:color w:val="auto"/>
          <w:kern w:val="0"/>
          <w:szCs w:val="21"/>
        </w:rPr>
        <w:t>采购文件有规定时按要求提交磋商保证金。</w:t>
      </w:r>
    </w:p>
    <w:p w14:paraId="6C9EFF0A">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三、获取采购文件</w:t>
      </w:r>
    </w:p>
    <w:p w14:paraId="25E2BCBB">
      <w:pPr>
        <w:spacing w:line="312" w:lineRule="auto"/>
        <w:ind w:firstLine="420" w:firstLineChars="200"/>
        <w:jc w:val="left"/>
        <w:rPr>
          <w:rFonts w:ascii="宋体" w:hAnsi="宋体"/>
          <w:color w:val="auto"/>
        </w:rPr>
      </w:pPr>
      <w:r>
        <w:rPr>
          <w:rFonts w:hint="eastAsia" w:ascii="宋体" w:hAnsi="宋体"/>
          <w:color w:val="auto"/>
        </w:rPr>
        <w:t>时间：</w:t>
      </w:r>
      <w:r>
        <w:rPr>
          <w:rFonts w:hint="eastAsia" w:ascii="宋体" w:hAnsi="宋体"/>
          <w:color w:val="auto"/>
          <w:u w:val="single"/>
        </w:rPr>
        <w:t>2026年06月</w:t>
      </w:r>
      <w:r>
        <w:rPr>
          <w:rFonts w:hint="eastAsia" w:ascii="宋体" w:hAnsi="宋体"/>
          <w:color w:val="auto"/>
          <w:u w:val="single"/>
          <w:lang w:val="en-US" w:eastAsia="zh-CN"/>
        </w:rPr>
        <w:t>19</w:t>
      </w:r>
      <w:r>
        <w:rPr>
          <w:rFonts w:hint="eastAsia" w:ascii="宋体" w:hAnsi="宋体"/>
          <w:color w:val="auto"/>
          <w:u w:val="single"/>
        </w:rPr>
        <w:t>日起至2026年06月</w:t>
      </w:r>
      <w:r>
        <w:rPr>
          <w:rFonts w:hint="eastAsia" w:ascii="宋体" w:hAnsi="宋体"/>
          <w:color w:val="auto"/>
          <w:u w:val="single"/>
          <w:lang w:val="en-US" w:eastAsia="zh-CN"/>
        </w:rPr>
        <w:t>26</w:t>
      </w:r>
      <w:r>
        <w:rPr>
          <w:rFonts w:hint="eastAsia" w:ascii="宋体" w:hAnsi="宋体"/>
          <w:color w:val="auto"/>
          <w:u w:val="single"/>
        </w:rPr>
        <w:t>日</w:t>
      </w:r>
      <w:r>
        <w:rPr>
          <w:rFonts w:hint="eastAsia" w:ascii="宋体" w:hAnsi="宋体"/>
          <w:color w:val="auto"/>
        </w:rPr>
        <w:t>，每天上午</w:t>
      </w:r>
      <w:r>
        <w:rPr>
          <w:rFonts w:hint="eastAsia" w:ascii="宋体" w:hAnsi="宋体"/>
          <w:color w:val="auto"/>
          <w:u w:val="single"/>
        </w:rPr>
        <w:t>0</w:t>
      </w:r>
      <w:r>
        <w:rPr>
          <w:rFonts w:hint="eastAsia" w:ascii="宋体" w:hAnsi="宋体"/>
          <w:color w:val="auto"/>
          <w:u w:val="single"/>
          <w:lang w:val="en-US" w:eastAsia="zh-CN"/>
        </w:rPr>
        <w:t>0</w:t>
      </w:r>
      <w:r>
        <w:rPr>
          <w:rFonts w:hint="eastAsia" w:ascii="宋体" w:hAnsi="宋体"/>
          <w:color w:val="auto"/>
          <w:u w:val="single"/>
        </w:rPr>
        <w:t>:</w:t>
      </w:r>
      <w:r>
        <w:rPr>
          <w:rFonts w:hint="eastAsia" w:ascii="宋体" w:hAnsi="宋体"/>
          <w:color w:val="auto"/>
          <w:u w:val="single"/>
          <w:lang w:val="en-US" w:eastAsia="zh-CN"/>
        </w:rPr>
        <w:t>0</w:t>
      </w:r>
      <w:r>
        <w:rPr>
          <w:rFonts w:hint="eastAsia" w:ascii="宋体" w:hAnsi="宋体"/>
          <w:color w:val="auto"/>
          <w:u w:val="single"/>
        </w:rPr>
        <w:t>0至12:00，下午</w:t>
      </w:r>
      <w:r>
        <w:rPr>
          <w:rFonts w:hint="eastAsia" w:ascii="宋体" w:hAnsi="宋体"/>
          <w:color w:val="auto"/>
          <w:u w:val="single"/>
          <w:lang w:val="en-US" w:eastAsia="zh-CN"/>
        </w:rPr>
        <w:t>12</w:t>
      </w:r>
      <w:r>
        <w:rPr>
          <w:rFonts w:hint="eastAsia" w:ascii="宋体" w:hAnsi="宋体"/>
          <w:color w:val="auto"/>
          <w:u w:val="single"/>
        </w:rPr>
        <w:t>:</w:t>
      </w:r>
      <w:r>
        <w:rPr>
          <w:rFonts w:hint="eastAsia" w:ascii="宋体" w:hAnsi="宋体"/>
          <w:color w:val="auto"/>
          <w:u w:val="single"/>
          <w:lang w:val="en-US" w:eastAsia="zh-CN"/>
        </w:rPr>
        <w:t>0</w:t>
      </w:r>
      <w:r>
        <w:rPr>
          <w:rFonts w:hint="eastAsia" w:ascii="宋体" w:hAnsi="宋体"/>
          <w:color w:val="auto"/>
          <w:u w:val="single"/>
        </w:rPr>
        <w:t>0至</w:t>
      </w:r>
      <w:r>
        <w:rPr>
          <w:rFonts w:hint="eastAsia" w:ascii="宋体" w:hAnsi="宋体"/>
          <w:color w:val="auto"/>
          <w:u w:val="single"/>
          <w:lang w:val="en-US" w:eastAsia="zh-CN"/>
        </w:rPr>
        <w:t>23</w:t>
      </w:r>
      <w:r>
        <w:rPr>
          <w:rFonts w:hint="eastAsia" w:ascii="宋体" w:hAnsi="宋体"/>
          <w:color w:val="auto"/>
          <w:u w:val="single"/>
        </w:rPr>
        <w:t>:</w:t>
      </w:r>
      <w:r>
        <w:rPr>
          <w:rFonts w:hint="eastAsia" w:ascii="宋体" w:hAnsi="宋体"/>
          <w:color w:val="auto"/>
          <w:u w:val="single"/>
          <w:lang w:val="en-US" w:eastAsia="zh-CN"/>
        </w:rPr>
        <w:t>59</w:t>
      </w:r>
      <w:bookmarkStart w:id="112" w:name="_GoBack"/>
      <w:bookmarkEnd w:id="112"/>
      <w:r>
        <w:rPr>
          <w:rFonts w:hint="eastAsia" w:ascii="宋体" w:hAnsi="宋体"/>
          <w:color w:val="auto"/>
        </w:rPr>
        <w:t>（北京时间，法定节假日除外）。</w:t>
      </w:r>
    </w:p>
    <w:p w14:paraId="09637857">
      <w:pPr>
        <w:spacing w:line="312" w:lineRule="auto"/>
        <w:ind w:firstLine="420" w:firstLineChars="200"/>
        <w:jc w:val="left"/>
        <w:rPr>
          <w:rFonts w:ascii="宋体" w:hAnsi="宋体" w:cs="Arial"/>
          <w:color w:val="auto"/>
          <w:kern w:val="0"/>
          <w:szCs w:val="21"/>
        </w:rPr>
      </w:pPr>
      <w:bookmarkStart w:id="9" w:name="_Hlk46137393"/>
      <w:r>
        <w:rPr>
          <w:rFonts w:hint="eastAsia" w:ascii="宋体" w:hAnsi="宋体"/>
          <w:color w:val="auto"/>
        </w:rPr>
        <w:t>地点（网址）：</w:t>
      </w:r>
      <w:bookmarkEnd w:id="9"/>
      <w:r>
        <w:rPr>
          <w:rFonts w:ascii="宋体" w:hAnsi="宋体" w:cs="Arial"/>
          <w:color w:val="auto"/>
          <w:kern w:val="0"/>
          <w:szCs w:val="21"/>
        </w:rPr>
        <w:t>广西政府采购云平台</w:t>
      </w:r>
      <w:r>
        <w:rPr>
          <w:rFonts w:hint="eastAsia" w:ascii="宋体" w:hAnsi="宋体" w:cs="Arial"/>
          <w:color w:val="auto"/>
          <w:kern w:val="0"/>
          <w:szCs w:val="21"/>
        </w:rPr>
        <w:t>（https://www.gcy.zfcg.gxzf.gov.cn/）</w:t>
      </w:r>
    </w:p>
    <w:p w14:paraId="4DB5655E">
      <w:pPr>
        <w:spacing w:line="312" w:lineRule="auto"/>
        <w:ind w:firstLine="420" w:firstLineChars="200"/>
        <w:jc w:val="left"/>
        <w:rPr>
          <w:rFonts w:ascii="宋体" w:hAnsi="宋体"/>
          <w:color w:val="auto"/>
          <w:szCs w:val="21"/>
        </w:rPr>
      </w:pPr>
      <w:r>
        <w:rPr>
          <w:rFonts w:hint="eastAsia" w:ascii="宋体" w:hAnsi="宋体"/>
          <w:color w:val="auto"/>
          <w:szCs w:val="21"/>
        </w:rPr>
        <w:t>方式：供应商登录广西政府采购云平台在线申请获取采购文件（进入“项目采购”应用，在获取采购文件菜单中选择项目，申请获取采购文件）</w:t>
      </w:r>
    </w:p>
    <w:p w14:paraId="10E46C2A">
      <w:pPr>
        <w:spacing w:line="312" w:lineRule="auto"/>
        <w:ind w:firstLine="420" w:firstLineChars="200"/>
        <w:jc w:val="left"/>
        <w:rPr>
          <w:rFonts w:ascii="宋体" w:hAnsi="宋体"/>
          <w:color w:val="auto"/>
        </w:rPr>
      </w:pPr>
      <w:r>
        <w:rPr>
          <w:rFonts w:hint="eastAsia" w:ascii="宋体" w:hAnsi="宋体"/>
          <w:color w:val="auto"/>
        </w:rPr>
        <w:t>售价（元）：</w:t>
      </w:r>
      <w:r>
        <w:rPr>
          <w:rFonts w:ascii="宋体" w:hAnsi="宋体"/>
          <w:color w:val="auto"/>
        </w:rPr>
        <w:t>0</w:t>
      </w:r>
    </w:p>
    <w:p w14:paraId="33D8640C">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四、响应文件提交</w:t>
      </w:r>
    </w:p>
    <w:p w14:paraId="51E879D9">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截止时间：</w:t>
      </w:r>
      <w:r>
        <w:rPr>
          <w:rFonts w:ascii="宋体" w:hAnsi="宋体"/>
          <w:color w:val="auto"/>
          <w:kern w:val="0"/>
          <w:szCs w:val="21"/>
          <w:u w:val="single"/>
        </w:rPr>
        <w:t>20</w:t>
      </w:r>
      <w:r>
        <w:rPr>
          <w:rFonts w:hint="eastAsia" w:ascii="宋体" w:hAnsi="宋体"/>
          <w:color w:val="auto"/>
          <w:kern w:val="0"/>
          <w:szCs w:val="21"/>
          <w:u w:val="single"/>
        </w:rPr>
        <w:t>26</w:t>
      </w:r>
      <w:r>
        <w:rPr>
          <w:rFonts w:ascii="宋体" w:hAnsi="宋体"/>
          <w:color w:val="auto"/>
          <w:kern w:val="0"/>
          <w:szCs w:val="21"/>
          <w:u w:val="single"/>
        </w:rPr>
        <w:t>年</w:t>
      </w:r>
      <w:r>
        <w:rPr>
          <w:rFonts w:hint="eastAsia" w:ascii="宋体" w:hAnsi="宋体"/>
          <w:color w:val="auto"/>
          <w:kern w:val="0"/>
          <w:szCs w:val="21"/>
          <w:u w:val="single"/>
        </w:rPr>
        <w:t>06</w:t>
      </w:r>
      <w:r>
        <w:rPr>
          <w:rFonts w:ascii="宋体" w:hAnsi="宋体"/>
          <w:color w:val="auto"/>
          <w:kern w:val="0"/>
          <w:szCs w:val="21"/>
          <w:u w:val="single"/>
        </w:rPr>
        <w:t>月</w:t>
      </w:r>
      <w:r>
        <w:rPr>
          <w:rFonts w:hint="eastAsia" w:ascii="宋体" w:hAnsi="宋体"/>
          <w:color w:val="auto"/>
          <w:kern w:val="0"/>
          <w:szCs w:val="21"/>
          <w:u w:val="single"/>
          <w:lang w:val="en-US" w:eastAsia="zh-CN"/>
        </w:rPr>
        <w:t>30</w:t>
      </w:r>
      <w:r>
        <w:rPr>
          <w:rFonts w:ascii="宋体" w:hAnsi="宋体"/>
          <w:color w:val="auto"/>
          <w:kern w:val="0"/>
          <w:szCs w:val="21"/>
          <w:u w:val="single"/>
        </w:rPr>
        <w:t>日</w:t>
      </w:r>
      <w:r>
        <w:rPr>
          <w:rFonts w:hint="eastAsia" w:ascii="宋体" w:hAnsi="宋体"/>
          <w:color w:val="auto"/>
          <w:szCs w:val="21"/>
        </w:rPr>
        <w:t>09:30</w:t>
      </w:r>
      <w:r>
        <w:rPr>
          <w:rFonts w:hint="eastAsia" w:ascii="宋体" w:hAnsi="宋体"/>
          <w:color w:val="auto"/>
          <w:kern w:val="0"/>
          <w:szCs w:val="21"/>
        </w:rPr>
        <w:t>（北京时间）</w:t>
      </w:r>
    </w:p>
    <w:p w14:paraId="7145D900">
      <w:pPr>
        <w:spacing w:line="300" w:lineRule="exact"/>
        <w:ind w:firstLine="420" w:firstLineChars="200"/>
        <w:jc w:val="left"/>
        <w:rPr>
          <w:rFonts w:ascii="宋体" w:hAnsi="宋体"/>
          <w:color w:val="auto"/>
          <w:szCs w:val="21"/>
        </w:rPr>
      </w:pPr>
      <w:r>
        <w:rPr>
          <w:rFonts w:hint="eastAsia" w:ascii="宋体" w:hAnsi="宋体"/>
          <w:color w:val="auto"/>
          <w:kern w:val="0"/>
          <w:szCs w:val="21"/>
        </w:rPr>
        <w:t>地点（网址）：</w:t>
      </w:r>
      <w:r>
        <w:rPr>
          <w:rFonts w:hint="eastAsia" w:ascii="宋体" w:hAnsi="宋体"/>
          <w:color w:val="auto"/>
          <w:szCs w:val="21"/>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rFonts w:ascii="宋体" w:hAnsi="宋体"/>
          <w:color w:val="auto"/>
          <w:szCs w:val="21"/>
        </w:rPr>
        <w:t>A</w:t>
      </w:r>
      <w:r>
        <w:rPr>
          <w:rFonts w:hint="eastAsia" w:ascii="宋体" w:hAnsi="宋体"/>
          <w:color w:val="auto"/>
          <w:szCs w:val="21"/>
        </w:rPr>
        <w:t>认证编制、加密响应文件后在响应截止时间前上传至广西政府采购云平台，供应商在广西政府采购云平台提交电子版响应文件时，请填写参加远程截标活动经办人联系方式。</w:t>
      </w:r>
    </w:p>
    <w:p w14:paraId="08D81B1B">
      <w:pPr>
        <w:spacing w:line="300" w:lineRule="exact"/>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五、开启</w:t>
      </w:r>
    </w:p>
    <w:p w14:paraId="302589FE">
      <w:pPr>
        <w:spacing w:line="312" w:lineRule="auto"/>
        <w:ind w:firstLine="442" w:firstLineChars="200"/>
        <w:jc w:val="left"/>
        <w:rPr>
          <w:rFonts w:ascii="宋体" w:hAnsi="宋体"/>
          <w:color w:val="auto"/>
          <w:kern w:val="0"/>
          <w:szCs w:val="21"/>
        </w:rPr>
      </w:pPr>
      <w:r>
        <w:rPr>
          <w:rFonts w:hint="eastAsia" w:ascii="宋体" w:hAnsi="宋体"/>
          <w:b/>
          <w:bCs/>
          <w:color w:val="auto"/>
          <w:kern w:val="0"/>
          <w:sz w:val="22"/>
          <w:szCs w:val="22"/>
        </w:rPr>
        <w:t>开启时间：</w:t>
      </w:r>
      <w:r>
        <w:rPr>
          <w:rFonts w:ascii="宋体" w:hAnsi="宋体"/>
          <w:color w:val="auto"/>
          <w:kern w:val="0"/>
          <w:szCs w:val="21"/>
        </w:rPr>
        <w:t>20</w:t>
      </w:r>
      <w:r>
        <w:rPr>
          <w:rFonts w:hint="eastAsia" w:ascii="宋体" w:hAnsi="宋体"/>
          <w:color w:val="auto"/>
          <w:kern w:val="0"/>
          <w:szCs w:val="21"/>
        </w:rPr>
        <w:t>26</w:t>
      </w:r>
      <w:r>
        <w:rPr>
          <w:rFonts w:ascii="宋体" w:hAnsi="宋体"/>
          <w:color w:val="auto"/>
          <w:kern w:val="0"/>
          <w:szCs w:val="21"/>
        </w:rPr>
        <w:t>年</w:t>
      </w:r>
      <w:r>
        <w:rPr>
          <w:rFonts w:hint="eastAsia" w:ascii="宋体" w:hAnsi="宋体"/>
          <w:color w:val="auto"/>
          <w:kern w:val="0"/>
          <w:szCs w:val="21"/>
          <w:lang w:val="en-US" w:eastAsia="zh-CN"/>
        </w:rPr>
        <w:t>6</w:t>
      </w:r>
      <w:r>
        <w:rPr>
          <w:rFonts w:ascii="宋体" w:hAnsi="宋体"/>
          <w:color w:val="auto"/>
          <w:kern w:val="0"/>
          <w:szCs w:val="21"/>
        </w:rPr>
        <w:t>月</w:t>
      </w:r>
      <w:r>
        <w:rPr>
          <w:rFonts w:hint="eastAsia" w:ascii="宋体" w:hAnsi="宋体"/>
          <w:color w:val="auto"/>
          <w:kern w:val="0"/>
          <w:szCs w:val="21"/>
          <w:lang w:val="en-US" w:eastAsia="zh-CN"/>
        </w:rPr>
        <w:t>30</w:t>
      </w:r>
      <w:r>
        <w:rPr>
          <w:rFonts w:ascii="宋体" w:hAnsi="宋体"/>
          <w:color w:val="auto"/>
          <w:kern w:val="0"/>
          <w:szCs w:val="21"/>
        </w:rPr>
        <w:t>日</w:t>
      </w:r>
      <w:r>
        <w:rPr>
          <w:rFonts w:hint="eastAsia" w:ascii="宋体" w:hAnsi="宋体"/>
          <w:color w:val="auto"/>
          <w:szCs w:val="21"/>
        </w:rPr>
        <w:t>09:30</w:t>
      </w:r>
      <w:r>
        <w:rPr>
          <w:rFonts w:hint="eastAsia" w:ascii="宋体" w:hAnsi="宋体"/>
          <w:color w:val="auto"/>
          <w:kern w:val="0"/>
          <w:szCs w:val="21"/>
        </w:rPr>
        <w:t>（北京时间）</w:t>
      </w:r>
    </w:p>
    <w:p w14:paraId="5FAF3684">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地点：</w:t>
      </w:r>
      <w:r>
        <w:rPr>
          <w:rFonts w:hint="eastAsia" w:ascii="宋体" w:hAnsi="宋体"/>
          <w:color w:val="auto"/>
          <w:szCs w:val="21"/>
        </w:rPr>
        <w:t>供应商登录广西政府采购云平台电子开标大厅截标。</w:t>
      </w:r>
    </w:p>
    <w:p w14:paraId="210E12AC">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六、公告期限</w:t>
      </w:r>
    </w:p>
    <w:p w14:paraId="3C4B2463">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自本公告发布之日起5个工作日。</w:t>
      </w:r>
    </w:p>
    <w:p w14:paraId="3751BEE0">
      <w:pPr>
        <w:spacing w:line="312" w:lineRule="auto"/>
        <w:ind w:firstLine="442" w:firstLineChars="200"/>
        <w:jc w:val="left"/>
        <w:rPr>
          <w:rFonts w:ascii="宋体" w:hAnsi="宋体"/>
          <w:b/>
          <w:bCs/>
          <w:color w:val="auto"/>
          <w:kern w:val="0"/>
          <w:sz w:val="22"/>
          <w:szCs w:val="22"/>
        </w:rPr>
      </w:pPr>
      <w:r>
        <w:rPr>
          <w:rFonts w:hint="eastAsia" w:ascii="宋体" w:hAnsi="宋体"/>
          <w:b/>
          <w:bCs/>
          <w:color w:val="auto"/>
          <w:kern w:val="0"/>
          <w:sz w:val="22"/>
          <w:szCs w:val="22"/>
        </w:rPr>
        <w:t>七、其他补充事宜</w:t>
      </w:r>
    </w:p>
    <w:p w14:paraId="1C7FE32A">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1</w:t>
      </w:r>
      <w:r>
        <w:rPr>
          <w:rFonts w:ascii="宋体" w:hAnsi="宋体"/>
          <w:color w:val="auto"/>
          <w:kern w:val="0"/>
          <w:szCs w:val="21"/>
        </w:rPr>
        <w:t>.</w:t>
      </w:r>
      <w:r>
        <w:rPr>
          <w:rFonts w:hint="eastAsia" w:ascii="宋体" w:hAnsi="宋体"/>
          <w:color w:val="auto"/>
          <w:kern w:val="0"/>
          <w:szCs w:val="21"/>
        </w:rPr>
        <w:t>公告发布媒体：广西壮族自治区政府采购网、中国政府采购网</w:t>
      </w:r>
    </w:p>
    <w:p w14:paraId="0AA9DE9C">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2.需落实的政府采购政策：政府采购促进中小企业、监狱企业发展、促进残疾人就业、节能环保、对本国产品的支持等有关政策，具体详见采购文件。</w:t>
      </w:r>
    </w:p>
    <w:p w14:paraId="7D8A1C7A">
      <w:pPr>
        <w:spacing w:line="312" w:lineRule="auto"/>
        <w:ind w:firstLine="420" w:firstLineChars="200"/>
        <w:jc w:val="left"/>
        <w:rPr>
          <w:rFonts w:ascii="宋体" w:hAnsi="宋体"/>
          <w:color w:val="auto"/>
          <w:kern w:val="0"/>
          <w:szCs w:val="21"/>
        </w:rPr>
      </w:pPr>
      <w:r>
        <w:rPr>
          <w:rFonts w:ascii="宋体" w:hAnsi="宋体"/>
          <w:color w:val="auto"/>
          <w:kern w:val="0"/>
          <w:szCs w:val="21"/>
        </w:rPr>
        <w:t>3</w:t>
      </w:r>
      <w:r>
        <w:rPr>
          <w:rFonts w:hint="eastAsia" w:ascii="宋体" w:hAnsi="宋体"/>
          <w:color w:val="auto"/>
          <w:kern w:val="0"/>
          <w:szCs w:val="21"/>
        </w:rPr>
        <w:t>.本项目供应商的产生方式：</w:t>
      </w:r>
      <w:r>
        <w:rPr>
          <w:rFonts w:ascii="宋体" w:hAnsi="宋体"/>
          <w:color w:val="auto"/>
        </w:rPr>
        <w:t>发布</w:t>
      </w:r>
      <w:r>
        <w:rPr>
          <w:rFonts w:hint="eastAsia" w:ascii="宋体" w:hAnsi="宋体"/>
          <w:color w:val="auto"/>
        </w:rPr>
        <w:t>公告征集。</w:t>
      </w:r>
    </w:p>
    <w:p w14:paraId="69A53287">
      <w:pPr>
        <w:spacing w:line="312" w:lineRule="auto"/>
        <w:ind w:firstLine="420" w:firstLineChars="200"/>
        <w:jc w:val="left"/>
        <w:rPr>
          <w:rFonts w:ascii="宋体" w:hAnsi="宋体"/>
          <w:color w:val="auto"/>
          <w:kern w:val="0"/>
          <w:szCs w:val="21"/>
        </w:rPr>
      </w:pPr>
      <w:r>
        <w:rPr>
          <w:rFonts w:ascii="宋体" w:hAnsi="宋体"/>
          <w:color w:val="auto"/>
          <w:kern w:val="0"/>
          <w:szCs w:val="21"/>
        </w:rPr>
        <w:t>4</w:t>
      </w:r>
      <w:r>
        <w:rPr>
          <w:rFonts w:hint="eastAsia" w:ascii="宋体" w:hAnsi="宋体"/>
          <w:color w:val="auto"/>
          <w:kern w:val="0"/>
          <w:szCs w:val="21"/>
        </w:rPr>
        <w:t>.注意事项：</w:t>
      </w:r>
    </w:p>
    <w:p w14:paraId="3FD354FF">
      <w:pPr>
        <w:spacing w:line="276" w:lineRule="auto"/>
        <w:ind w:firstLine="420" w:firstLineChars="200"/>
        <w:rPr>
          <w:rFonts w:ascii="宋体" w:hAnsi="宋体"/>
          <w:color w:val="auto"/>
          <w:szCs w:val="21"/>
        </w:rPr>
      </w:pPr>
      <w:r>
        <w:rPr>
          <w:rFonts w:hint="eastAsia" w:ascii="宋体" w:hAnsi="宋体"/>
          <w:color w:val="auto"/>
          <w:kern w:val="0"/>
          <w:szCs w:val="21"/>
        </w:rPr>
        <w:t>（1）</w:t>
      </w:r>
      <w:r>
        <w:rPr>
          <w:rFonts w:hint="eastAsia" w:ascii="宋体" w:hAnsi="宋体"/>
          <w:color w:val="auto"/>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8ABDD40">
      <w:pPr>
        <w:spacing w:line="276" w:lineRule="auto"/>
        <w:ind w:firstLine="420" w:firstLineChars="200"/>
        <w:rPr>
          <w:rFonts w:ascii="宋体" w:hAnsi="宋体"/>
          <w:color w:val="auto"/>
          <w:kern w:val="0"/>
          <w:szCs w:val="21"/>
        </w:rPr>
      </w:pPr>
      <w:r>
        <w:rPr>
          <w:rFonts w:hint="eastAsia" w:ascii="宋体" w:hAnsi="宋体"/>
          <w:color w:val="auto"/>
          <w:szCs w:val="21"/>
        </w:rPr>
        <w:t>（2）为确保网上操作合法、有效和安全，请供应商确保在电子投标过程中能够对相关数据电文进行加密和使用电子签章，妥善保管CA数字证书并使用有效的CA数字证书参与整个招标活动。</w:t>
      </w:r>
    </w:p>
    <w:p w14:paraId="55332572">
      <w:pPr>
        <w:spacing w:line="276" w:lineRule="auto"/>
        <w:ind w:firstLine="420" w:firstLineChars="200"/>
        <w:rPr>
          <w:rFonts w:ascii="宋体" w:hAnsi="宋体"/>
          <w:b/>
          <w:bCs/>
          <w:color w:val="auto"/>
          <w:kern w:val="0"/>
          <w:sz w:val="22"/>
          <w:szCs w:val="22"/>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）若对项目采购电子交易系统操作有疑问，可登录广西政府采购云平台（https://www.gcy.zfcg.gxzf.gov.cn/），点击右侧咨询小采或帮助文档或拨打客服热线95763</w:t>
      </w:r>
    </w:p>
    <w:p w14:paraId="15828673">
      <w:pPr>
        <w:spacing w:line="276" w:lineRule="auto"/>
        <w:ind w:firstLine="442" w:firstLineChars="200"/>
        <w:rPr>
          <w:rFonts w:ascii="宋体" w:hAnsi="宋体"/>
          <w:b/>
          <w:bCs/>
          <w:color w:val="auto"/>
          <w:kern w:val="0"/>
          <w:sz w:val="22"/>
          <w:szCs w:val="22"/>
        </w:rPr>
      </w:pPr>
      <w:r>
        <w:rPr>
          <w:rFonts w:hint="eastAsia" w:ascii="宋体" w:hAnsi="宋体"/>
          <w:b/>
          <w:bCs/>
          <w:color w:val="auto"/>
          <w:kern w:val="0"/>
          <w:sz w:val="22"/>
          <w:szCs w:val="22"/>
        </w:rPr>
        <w:t>八、对本次采购提出询问，请按以下方式联系</w:t>
      </w:r>
    </w:p>
    <w:p w14:paraId="2A901216">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1.采购人信息</w:t>
      </w:r>
    </w:p>
    <w:p w14:paraId="102147AD">
      <w:pPr>
        <w:spacing w:line="312" w:lineRule="auto"/>
        <w:ind w:firstLine="420" w:firstLineChars="200"/>
        <w:jc w:val="left"/>
        <w:rPr>
          <w:rFonts w:ascii="宋体" w:hAnsi="宋体"/>
          <w:color w:val="auto"/>
          <w:kern w:val="0"/>
          <w:szCs w:val="21"/>
        </w:rPr>
      </w:pPr>
      <w:bookmarkStart w:id="10" w:name="_Hlk19048373"/>
      <w:r>
        <w:rPr>
          <w:rFonts w:hint="eastAsia" w:ascii="宋体" w:hAnsi="宋体"/>
          <w:color w:val="auto"/>
          <w:kern w:val="0"/>
          <w:szCs w:val="21"/>
        </w:rPr>
        <w:t>名称：广西壮族自治区工业和信息化厅</w:t>
      </w:r>
    </w:p>
    <w:p w14:paraId="590C9817">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地址：广西南宁市民族大道113号</w:t>
      </w:r>
    </w:p>
    <w:p w14:paraId="4E7B14C8">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项目联系人：覃绮雯</w:t>
      </w:r>
    </w:p>
    <w:p w14:paraId="6D8FF553">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项目联系方式：</w:t>
      </w:r>
      <w:r>
        <w:rPr>
          <w:rFonts w:ascii="宋体" w:hAnsi="宋体"/>
          <w:color w:val="auto"/>
          <w:kern w:val="0"/>
          <w:szCs w:val="21"/>
        </w:rPr>
        <w:t>0771-8095200</w:t>
      </w:r>
    </w:p>
    <w:p w14:paraId="2934DB05">
      <w:pPr>
        <w:spacing w:line="312" w:lineRule="auto"/>
        <w:ind w:firstLine="420" w:firstLineChars="200"/>
        <w:jc w:val="left"/>
        <w:rPr>
          <w:rFonts w:ascii="宋体" w:hAnsi="宋体"/>
          <w:color w:val="auto"/>
          <w:kern w:val="0"/>
          <w:szCs w:val="21"/>
        </w:rPr>
      </w:pPr>
      <w:r>
        <w:rPr>
          <w:rFonts w:hint="eastAsia" w:ascii="宋体" w:hAnsi="宋体"/>
          <w:color w:val="auto"/>
          <w:kern w:val="0"/>
          <w:szCs w:val="21"/>
        </w:rPr>
        <w:t>2.采购代理机构信息</w:t>
      </w:r>
    </w:p>
    <w:bookmarkEnd w:id="10"/>
    <w:p w14:paraId="38378394">
      <w:pPr>
        <w:spacing w:line="312" w:lineRule="auto"/>
        <w:ind w:right="420" w:firstLine="420" w:firstLineChars="200"/>
        <w:rPr>
          <w:rFonts w:ascii="宋体" w:hAnsi="宋体"/>
          <w:color w:val="auto"/>
          <w:kern w:val="0"/>
          <w:szCs w:val="21"/>
        </w:rPr>
      </w:pPr>
      <w:r>
        <w:rPr>
          <w:rFonts w:hint="eastAsia" w:ascii="宋体" w:hAnsi="宋体"/>
          <w:color w:val="auto"/>
          <w:kern w:val="0"/>
          <w:szCs w:val="21"/>
        </w:rPr>
        <w:t>名称：广西机电设备招标有限公司</w:t>
      </w:r>
    </w:p>
    <w:p w14:paraId="30826900">
      <w:pPr>
        <w:spacing w:line="312" w:lineRule="auto"/>
        <w:ind w:right="420" w:firstLine="420" w:firstLineChars="200"/>
        <w:rPr>
          <w:rFonts w:ascii="宋体" w:hAnsi="宋体"/>
          <w:color w:val="auto"/>
          <w:kern w:val="0"/>
          <w:szCs w:val="21"/>
        </w:rPr>
      </w:pPr>
      <w:r>
        <w:rPr>
          <w:rFonts w:hint="eastAsia" w:ascii="宋体" w:hAnsi="宋体"/>
          <w:color w:val="auto"/>
          <w:kern w:val="0"/>
          <w:szCs w:val="21"/>
        </w:rPr>
        <w:t>地址：广西南宁市金湖路63号金源CBD现代城B座7层701</w:t>
      </w:r>
    </w:p>
    <w:p w14:paraId="6C886757">
      <w:pPr>
        <w:spacing w:line="312" w:lineRule="auto"/>
        <w:ind w:right="420" w:firstLine="420" w:firstLineChars="200"/>
        <w:rPr>
          <w:rFonts w:ascii="宋体" w:hAnsi="宋体"/>
          <w:color w:val="auto"/>
          <w:kern w:val="0"/>
          <w:szCs w:val="21"/>
        </w:rPr>
      </w:pPr>
      <w:r>
        <w:rPr>
          <w:rFonts w:hint="eastAsia" w:ascii="宋体" w:hAnsi="宋体"/>
          <w:color w:val="auto"/>
          <w:kern w:val="0"/>
          <w:szCs w:val="21"/>
        </w:rPr>
        <w:t>项目联系人：旷若兰、覃梦琦</w:t>
      </w:r>
    </w:p>
    <w:p w14:paraId="01FC01B6">
      <w:pPr>
        <w:spacing w:line="312" w:lineRule="auto"/>
        <w:ind w:right="420" w:firstLine="420" w:firstLineChars="200"/>
        <w:rPr>
          <w:rFonts w:ascii="宋体" w:hAnsi="宋体"/>
          <w:color w:val="auto"/>
          <w:kern w:val="0"/>
          <w:szCs w:val="21"/>
        </w:rPr>
      </w:pPr>
      <w:r>
        <w:rPr>
          <w:rFonts w:hint="eastAsia" w:ascii="宋体" w:hAnsi="宋体"/>
          <w:color w:val="auto"/>
          <w:kern w:val="0"/>
          <w:szCs w:val="21"/>
        </w:rPr>
        <w:t>项目联系方式：0771-2808960</w:t>
      </w:r>
    </w:p>
    <w:p w14:paraId="7F71A8BA">
      <w:pPr>
        <w:spacing w:line="312" w:lineRule="auto"/>
        <w:ind w:firstLine="420" w:firstLineChars="200"/>
        <w:jc w:val="right"/>
        <w:rPr>
          <w:rFonts w:ascii="宋体" w:hAnsi="宋体"/>
          <w:color w:val="auto"/>
          <w:kern w:val="0"/>
          <w:szCs w:val="21"/>
        </w:rPr>
      </w:pPr>
      <w:r>
        <w:rPr>
          <w:rFonts w:ascii="宋体" w:hAnsi="宋体"/>
          <w:color w:val="auto"/>
          <w:kern w:val="0"/>
          <w:szCs w:val="21"/>
        </w:rPr>
        <w:t>广西机电设备招标有限公司</w:t>
      </w:r>
    </w:p>
    <w:p w14:paraId="06FC0C2B">
      <w:pPr>
        <w:spacing w:line="312" w:lineRule="auto"/>
        <w:ind w:firstLine="420" w:firstLineChars="200"/>
        <w:jc w:val="right"/>
        <w:rPr>
          <w:rFonts w:ascii="宋体" w:hAnsi="宋体"/>
          <w:color w:val="auto"/>
          <w:kern w:val="0"/>
          <w:sz w:val="18"/>
          <w:szCs w:val="18"/>
        </w:rPr>
      </w:pPr>
      <w:r>
        <w:rPr>
          <w:rFonts w:ascii="宋体" w:hAnsi="宋体"/>
          <w:color w:val="auto"/>
          <w:kern w:val="0"/>
          <w:szCs w:val="21"/>
        </w:rPr>
        <w:t>20</w:t>
      </w:r>
      <w:r>
        <w:rPr>
          <w:rFonts w:hint="eastAsia" w:ascii="宋体" w:hAnsi="宋体"/>
          <w:color w:val="auto"/>
          <w:kern w:val="0"/>
          <w:szCs w:val="21"/>
        </w:rPr>
        <w:t>26</w:t>
      </w:r>
      <w:r>
        <w:rPr>
          <w:rFonts w:ascii="宋体" w:hAnsi="宋体"/>
          <w:color w:val="auto"/>
          <w:kern w:val="0"/>
          <w:szCs w:val="21"/>
        </w:rPr>
        <w:t>年</w:t>
      </w:r>
      <w:r>
        <w:rPr>
          <w:rFonts w:hint="eastAsia" w:ascii="宋体" w:hAnsi="宋体"/>
          <w:color w:val="auto"/>
          <w:kern w:val="0"/>
          <w:szCs w:val="21"/>
          <w:lang w:val="en-US" w:eastAsia="zh-CN"/>
        </w:rPr>
        <w:t>6</w:t>
      </w:r>
      <w:r>
        <w:rPr>
          <w:rFonts w:ascii="宋体" w:hAnsi="宋体"/>
          <w:color w:val="auto"/>
          <w:kern w:val="0"/>
          <w:szCs w:val="21"/>
        </w:rPr>
        <w:t>月</w:t>
      </w:r>
      <w:r>
        <w:rPr>
          <w:rFonts w:hint="eastAsia" w:ascii="宋体" w:hAnsi="宋体"/>
          <w:color w:val="auto"/>
          <w:kern w:val="0"/>
          <w:szCs w:val="21"/>
          <w:lang w:val="en-US" w:eastAsia="zh-CN"/>
        </w:rPr>
        <w:t>19</w:t>
      </w:r>
      <w:r>
        <w:rPr>
          <w:rFonts w:ascii="宋体" w:hAnsi="宋体"/>
          <w:color w:val="auto"/>
          <w:kern w:val="0"/>
          <w:szCs w:val="21"/>
        </w:rPr>
        <w:t>日</w:t>
      </w:r>
    </w:p>
    <w:p w14:paraId="11ED4F67">
      <w:pPr>
        <w:pStyle w:val="26"/>
        <w:snapToGrid w:val="0"/>
        <w:spacing w:before="120" w:after="120" w:line="320" w:lineRule="exact"/>
        <w:jc w:val="center"/>
        <w:outlineLvl w:val="0"/>
        <w:rPr>
          <w:rFonts w:hAnsi="宋体" w:cs="Times New Roman"/>
          <w:color w:val="auto"/>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31FB1889">
      <w:pPr>
        <w:rPr>
          <w:rFonts w:ascii="宋体" w:hAnsi="宋体"/>
          <w:color w:val="auto"/>
        </w:rPr>
      </w:pPr>
    </w:p>
    <w:p w14:paraId="1DD2D873">
      <w:pPr>
        <w:pStyle w:val="26"/>
        <w:snapToGrid w:val="0"/>
        <w:spacing w:before="120" w:after="120" w:line="320" w:lineRule="exact"/>
        <w:jc w:val="center"/>
        <w:outlineLvl w:val="0"/>
        <w:rPr>
          <w:rFonts w:hAnsi="宋体" w:cs="Times New Roman"/>
          <w:color w:val="auto"/>
          <w:sz w:val="32"/>
          <w:szCs w:val="32"/>
        </w:rPr>
      </w:pPr>
      <w:bookmarkStart w:id="11" w:name="_Toc229435051"/>
      <w:r>
        <w:rPr>
          <w:rFonts w:hAnsi="宋体" w:cs="Times New Roman"/>
          <w:color w:val="auto"/>
          <w:sz w:val="32"/>
          <w:szCs w:val="32"/>
        </w:rPr>
        <w:t>第二章  采购需求</w:t>
      </w:r>
      <w:bookmarkEnd w:id="11"/>
    </w:p>
    <w:p w14:paraId="5C3646D6">
      <w:pPr>
        <w:spacing w:after="160" w:line="360" w:lineRule="auto"/>
        <w:outlineLvl w:val="1"/>
        <w:rPr>
          <w:rFonts w:ascii="宋体" w:hAnsi="宋体" w:cs="Arial"/>
          <w:b/>
          <w:color w:val="auto"/>
          <w:kern w:val="0"/>
          <w:sz w:val="28"/>
          <w:szCs w:val="28"/>
        </w:rPr>
      </w:pPr>
      <w:bookmarkStart w:id="12" w:name="_Toc254970631"/>
      <w:bookmarkStart w:id="13" w:name="_Toc254970490"/>
      <w:r>
        <w:rPr>
          <w:rFonts w:ascii="宋体" w:hAnsi="宋体" w:cs="Arial"/>
          <w:b/>
          <w:color w:val="auto"/>
          <w:kern w:val="0"/>
          <w:sz w:val="28"/>
          <w:szCs w:val="28"/>
        </w:rPr>
        <w:t>1分标：广西钢铁行业“十五五”高质量发展规划</w:t>
      </w:r>
    </w:p>
    <w:p w14:paraId="294855B0">
      <w:pPr>
        <w:spacing w:after="160" w:line="360" w:lineRule="auto"/>
        <w:rPr>
          <w:rFonts w:ascii="宋体" w:hAnsi="宋体" w:cs="Arial"/>
          <w:b/>
          <w:color w:val="auto"/>
          <w:kern w:val="0"/>
          <w:sz w:val="28"/>
          <w:szCs w:val="28"/>
        </w:rPr>
      </w:pPr>
      <w:r>
        <w:rPr>
          <w:rFonts w:ascii="宋体" w:hAnsi="宋体" w:cs="Arial"/>
          <w:b/>
          <w:color w:val="auto"/>
          <w:kern w:val="0"/>
          <w:sz w:val="28"/>
          <w:szCs w:val="28"/>
        </w:rPr>
        <w:t>一、总体要求</w:t>
      </w:r>
    </w:p>
    <w:p w14:paraId="570C0186">
      <w:pPr>
        <w:spacing w:after="160" w:line="360" w:lineRule="auto"/>
        <w:rPr>
          <w:rFonts w:ascii="宋体" w:hAnsi="宋体"/>
          <w:color w:val="auto"/>
          <w:szCs w:val="21"/>
        </w:rPr>
      </w:pPr>
      <w:r>
        <w:rPr>
          <w:rFonts w:ascii="宋体" w:hAnsi="宋体"/>
          <w:color w:val="auto"/>
          <w:szCs w:val="21"/>
        </w:rPr>
        <w:t>1.政府采购政策的应用</w:t>
      </w:r>
    </w:p>
    <w:p w14:paraId="02A3618D">
      <w:pPr>
        <w:spacing w:after="160" w:line="360" w:lineRule="auto"/>
        <w:rPr>
          <w:rFonts w:ascii="宋体" w:hAnsi="宋体"/>
          <w:color w:val="auto"/>
          <w:szCs w:val="21"/>
        </w:rPr>
      </w:pPr>
      <w:r>
        <w:rPr>
          <w:rFonts w:ascii="宋体" w:hAnsi="宋体"/>
          <w:color w:val="auto"/>
          <w:szCs w:val="21"/>
        </w:rPr>
        <w:t>详见采购文件“评审方法及标准/政府采购政策应用说明”。</w:t>
      </w:r>
    </w:p>
    <w:p w14:paraId="50E218F7">
      <w:pPr>
        <w:spacing w:after="160" w:line="360" w:lineRule="auto"/>
        <w:rPr>
          <w:rFonts w:ascii="宋体" w:hAnsi="宋体"/>
          <w:color w:val="auto"/>
          <w:szCs w:val="21"/>
        </w:rPr>
      </w:pPr>
      <w:r>
        <w:rPr>
          <w:rFonts w:ascii="宋体" w:hAnsi="宋体"/>
          <w:color w:val="auto"/>
          <w:szCs w:val="21"/>
        </w:rPr>
        <w:t>2.采购需求要求未尽事宜由采购人与成交供应商在采购合同中约定。</w:t>
      </w:r>
    </w:p>
    <w:p w14:paraId="0CE4A529">
      <w:pPr>
        <w:spacing w:after="160" w:line="360" w:lineRule="auto"/>
        <w:rPr>
          <w:rFonts w:ascii="宋体" w:hAnsi="宋体"/>
          <w:color w:val="auto"/>
          <w:szCs w:val="21"/>
        </w:rPr>
      </w:pPr>
      <w:r>
        <w:rPr>
          <w:rFonts w:ascii="宋体" w:hAnsi="宋体"/>
          <w:color w:val="auto"/>
          <w:szCs w:val="21"/>
        </w:rPr>
        <w:t>3.标注“▲”的条款或要求系指实质性条款或实质性要求，必须满足，如存在负偏离将导致响应无效。</w:t>
      </w:r>
    </w:p>
    <w:p w14:paraId="3AA0CFD1">
      <w:pPr>
        <w:spacing w:after="160" w:line="360" w:lineRule="auto"/>
        <w:rPr>
          <w:rFonts w:ascii="宋体" w:hAnsi="宋体" w:cs="Arial"/>
          <w:b/>
          <w:color w:val="auto"/>
          <w:kern w:val="0"/>
          <w:sz w:val="28"/>
          <w:szCs w:val="28"/>
        </w:rPr>
      </w:pPr>
      <w:r>
        <w:rPr>
          <w:rFonts w:ascii="宋体" w:hAnsi="宋体" w:cs="Arial"/>
          <w:b/>
          <w:color w:val="auto"/>
          <w:kern w:val="0"/>
          <w:sz w:val="28"/>
          <w:szCs w:val="28"/>
        </w:rPr>
        <w:t>二、技术要求</w:t>
      </w:r>
    </w:p>
    <w:p w14:paraId="46514810">
      <w:pPr>
        <w:spacing w:after="160" w:line="360" w:lineRule="auto"/>
        <w:rPr>
          <w:rFonts w:ascii="宋体" w:hAnsi="宋体"/>
          <w:color w:val="auto"/>
          <w:szCs w:val="21"/>
        </w:rPr>
      </w:pPr>
      <w:r>
        <w:rPr>
          <w:rFonts w:ascii="宋体" w:hAnsi="宋体"/>
          <w:color w:val="auto"/>
          <w:szCs w:val="21"/>
        </w:rPr>
        <w:t>1.需实现的功能、目标及应用场景</w:t>
      </w:r>
    </w:p>
    <w:p w14:paraId="37465E10">
      <w:pPr>
        <w:spacing w:after="160" w:line="360" w:lineRule="auto"/>
        <w:rPr>
          <w:rFonts w:ascii="宋体" w:hAnsi="宋体"/>
          <w:color w:val="auto"/>
          <w:szCs w:val="21"/>
        </w:rPr>
      </w:pPr>
      <w:r>
        <w:rPr>
          <w:rFonts w:ascii="宋体" w:hAnsi="宋体"/>
          <w:color w:val="auto"/>
          <w:szCs w:val="21"/>
        </w:rPr>
        <w:t>满足采购文件要求，验收达到合格标准。</w:t>
      </w:r>
    </w:p>
    <w:p w14:paraId="219353E5">
      <w:pPr>
        <w:spacing w:after="160" w:line="360" w:lineRule="auto"/>
        <w:rPr>
          <w:rFonts w:ascii="宋体" w:hAnsi="宋体"/>
          <w:color w:val="auto"/>
          <w:szCs w:val="21"/>
        </w:rPr>
      </w:pPr>
      <w:bookmarkStart w:id="14" w:name="_Hlk89170486"/>
      <w:r>
        <w:rPr>
          <w:rFonts w:ascii="宋体" w:hAnsi="宋体"/>
          <w:color w:val="auto"/>
          <w:szCs w:val="21"/>
        </w:rPr>
        <w:t>2.需执行的国家相关标准、行业标准、地方标准或者其他标准、规范</w:t>
      </w:r>
    </w:p>
    <w:p w14:paraId="2C0647FE">
      <w:pPr>
        <w:spacing w:after="160" w:line="360" w:lineRule="auto"/>
        <w:rPr>
          <w:rFonts w:ascii="宋体" w:hAnsi="宋体"/>
          <w:i/>
          <w:color w:val="auto"/>
          <w:szCs w:val="21"/>
          <w:u w:val="single"/>
        </w:rPr>
      </w:pPr>
      <w:r>
        <w:rPr>
          <w:rFonts w:ascii="宋体" w:hAnsi="宋体"/>
          <w:color w:val="auto"/>
          <w:szCs w:val="21"/>
        </w:rPr>
        <w:t>本项目应执行的国家相关标准、行业标准、地方标准或者其他标准、规范为：</w:t>
      </w:r>
      <w:r>
        <w:rPr>
          <w:rFonts w:ascii="宋体" w:hAnsi="宋体"/>
          <w:i/>
          <w:color w:val="auto"/>
          <w:szCs w:val="21"/>
          <w:u w:val="single"/>
        </w:rPr>
        <w:t>详见技术指标要求</w:t>
      </w:r>
    </w:p>
    <w:bookmarkEnd w:id="14"/>
    <w:p w14:paraId="08049FE9">
      <w:pPr>
        <w:spacing w:after="160" w:line="360" w:lineRule="auto"/>
        <w:rPr>
          <w:rFonts w:ascii="宋体" w:hAnsi="宋体"/>
          <w:color w:val="auto"/>
          <w:szCs w:val="21"/>
        </w:rPr>
      </w:pPr>
      <w:r>
        <w:rPr>
          <w:rFonts w:ascii="宋体" w:hAnsi="宋体"/>
          <w:color w:val="auto"/>
          <w:szCs w:val="21"/>
        </w:rPr>
        <w:t>3.标的所属行业：</w:t>
      </w:r>
      <w:r>
        <w:rPr>
          <w:rFonts w:ascii="宋体" w:hAnsi="宋体"/>
          <w:b/>
          <w:bCs/>
          <w:color w:val="auto"/>
          <w:szCs w:val="21"/>
        </w:rPr>
        <w:t>其他未列明行业</w:t>
      </w:r>
    </w:p>
    <w:p w14:paraId="34776FCF">
      <w:pPr>
        <w:spacing w:after="160" w:line="360" w:lineRule="auto"/>
        <w:rPr>
          <w:rFonts w:ascii="宋体" w:hAnsi="宋体"/>
          <w:color w:val="auto"/>
          <w:szCs w:val="21"/>
        </w:rPr>
      </w:pPr>
      <w:r>
        <w:rPr>
          <w:rFonts w:ascii="宋体" w:hAnsi="宋体"/>
          <w:color w:val="auto"/>
          <w:szCs w:val="21"/>
        </w:rPr>
        <w:t>4.核心产品</w:t>
      </w:r>
    </w:p>
    <w:p w14:paraId="65091A95">
      <w:pPr>
        <w:spacing w:after="160" w:line="360" w:lineRule="auto"/>
        <w:rPr>
          <w:rFonts w:ascii="宋体" w:hAnsi="宋体"/>
          <w:color w:val="auto"/>
          <w:szCs w:val="21"/>
        </w:rPr>
      </w:pPr>
      <w:r>
        <w:rPr>
          <w:rFonts w:ascii="宋体" w:hAnsi="宋体"/>
          <w:color w:val="auto"/>
          <w:szCs w:val="21"/>
        </w:rPr>
        <w:t>本项目为服务项目，不适用核心产品规定。</w:t>
      </w:r>
    </w:p>
    <w:p w14:paraId="294DC3C9">
      <w:pPr>
        <w:spacing w:after="160" w:line="360" w:lineRule="auto"/>
        <w:rPr>
          <w:rFonts w:ascii="宋体" w:hAnsi="宋体"/>
          <w:color w:val="auto"/>
          <w:szCs w:val="21"/>
        </w:rPr>
      </w:pPr>
      <w:r>
        <w:rPr>
          <w:rFonts w:ascii="宋体" w:hAnsi="宋体"/>
          <w:color w:val="auto"/>
          <w:szCs w:val="21"/>
        </w:rPr>
        <w:t>5.服务内容和标准</w:t>
      </w:r>
      <w:bookmarkStart w:id="15" w:name="_Hlk132788047"/>
    </w:p>
    <w:bookmarkEnd w:id="15"/>
    <w:p w14:paraId="275CC0F3">
      <w:pPr>
        <w:spacing w:after="160" w:line="360" w:lineRule="auto"/>
        <w:rPr>
          <w:rFonts w:ascii="宋体" w:hAnsi="宋体"/>
          <w:color w:val="auto"/>
          <w:szCs w:val="21"/>
        </w:rPr>
      </w:pPr>
      <w:r>
        <w:rPr>
          <w:rFonts w:ascii="宋体" w:hAnsi="宋体"/>
          <w:color w:val="auto"/>
          <w:szCs w:val="21"/>
        </w:rPr>
        <w:t>5.1项目背景：</w:t>
      </w:r>
    </w:p>
    <w:p w14:paraId="2C62F655">
      <w:pPr>
        <w:spacing w:after="160" w:line="360" w:lineRule="auto"/>
        <w:rPr>
          <w:rFonts w:ascii="宋体" w:hAnsi="宋体"/>
          <w:color w:val="auto"/>
          <w:szCs w:val="21"/>
        </w:rPr>
      </w:pPr>
      <w:r>
        <w:rPr>
          <w:rFonts w:ascii="宋体" w:hAnsi="宋体"/>
          <w:color w:val="auto"/>
          <w:szCs w:val="21"/>
        </w:rPr>
        <w:t>“十五五”时期是我国全面建设社会主义国家的关键阶段，也是钢铁产业深度调整、实现高质量发展的攻坚期。国家层面明确提出，钢铁产业要坚持稳中求进工作总基调，以质量效益为中心，强化科技创新和产业创新深度融合，以高端化、智能化、绿色化、融合化相结合发展道路，全面推动产业提质升级。</w:t>
      </w:r>
    </w:p>
    <w:p w14:paraId="6B90DC5D">
      <w:pPr>
        <w:spacing w:after="160" w:line="360" w:lineRule="auto"/>
        <w:rPr>
          <w:rFonts w:ascii="宋体" w:hAnsi="宋体"/>
          <w:color w:val="auto"/>
          <w:szCs w:val="21"/>
        </w:rPr>
      </w:pPr>
      <w:r>
        <w:rPr>
          <w:rFonts w:ascii="宋体" w:hAnsi="宋体"/>
          <w:color w:val="auto"/>
          <w:szCs w:val="21"/>
        </w:rPr>
        <w:t>广西作为我国钢铁产能优化布局的重要承载区域，钢铁产业对全区经济发展、民生改善和社会就业等经济民生领域起着强有力的支撑作用。“十四五”时期，广西钢铁发展取得了显著成效，社会贡献度稳步提高，产品结构不断优化，高端钢材占比持续提升，数智转型及绿色低碳有所突破，产业布局持续完善，产业集聚效应逐步显现。但是，受国内需求结构和国际贸易环境等变化影响，当前广西钢铁产业仍面临高端突围、绿色转型、数智升级步伐滞后，创新发展能力和有效需求支撑不足，发展不平衡不充分的矛盾仍需进一步化解，转型升级和加速赶超的双重任务较为紧迫。</w:t>
      </w:r>
    </w:p>
    <w:p w14:paraId="2F62D28C">
      <w:pPr>
        <w:spacing w:after="160" w:line="360" w:lineRule="auto"/>
        <w:rPr>
          <w:rFonts w:ascii="宋体" w:hAnsi="宋体"/>
          <w:color w:val="auto"/>
          <w:szCs w:val="21"/>
        </w:rPr>
      </w:pPr>
      <w:r>
        <w:rPr>
          <w:rFonts w:ascii="宋体" w:hAnsi="宋体"/>
          <w:color w:val="auto"/>
          <w:szCs w:val="21"/>
        </w:rPr>
        <w:t>因此，科学编制广西钢铁行业“十五五”高质量发展规划，对于全面推动广西钢铁产业补齐短板、增强优势，因地制宜培育壮大新质生产力，实现高质量赶超发展，具有全局性、战略性的重要意义。</w:t>
      </w:r>
    </w:p>
    <w:p w14:paraId="7D341AF3">
      <w:pPr>
        <w:spacing w:after="160" w:line="360" w:lineRule="auto"/>
        <w:rPr>
          <w:rFonts w:ascii="宋体" w:hAnsi="宋体"/>
          <w:color w:val="auto"/>
          <w:szCs w:val="21"/>
        </w:rPr>
      </w:pPr>
      <w:r>
        <w:rPr>
          <w:rFonts w:ascii="宋体" w:hAnsi="宋体"/>
          <w:color w:val="auto"/>
          <w:szCs w:val="21"/>
        </w:rPr>
        <w:t>5.2服务目标：</w:t>
      </w:r>
    </w:p>
    <w:p w14:paraId="52FAD12A">
      <w:pPr>
        <w:spacing w:after="160" w:line="360" w:lineRule="auto"/>
        <w:rPr>
          <w:rFonts w:ascii="宋体" w:hAnsi="宋体"/>
          <w:color w:val="auto"/>
          <w:szCs w:val="21"/>
        </w:rPr>
      </w:pPr>
      <w:r>
        <w:rPr>
          <w:rFonts w:ascii="宋体" w:hAnsi="宋体"/>
          <w:color w:val="auto"/>
          <w:szCs w:val="21"/>
        </w:rPr>
        <w:t>深入贯彻落实习近平总书记关于广西工作论述的重要要求，遵照自治区政府关于“十五五”国民经济和社会发展理念，理论与实践结合，高效编制《广西钢铁产业“十五五”高质量发展规划》，加快推动全区钢铁产业向高端化、智能化、绿色化、融合化、集聚化“五化”转型发展。</w:t>
      </w:r>
    </w:p>
    <w:p w14:paraId="7B371FE1">
      <w:pPr>
        <w:spacing w:after="160" w:line="360" w:lineRule="auto"/>
        <w:rPr>
          <w:rFonts w:ascii="宋体" w:hAnsi="宋体"/>
          <w:color w:val="auto"/>
          <w:szCs w:val="21"/>
        </w:rPr>
      </w:pPr>
      <w:r>
        <w:rPr>
          <w:rFonts w:ascii="宋体" w:hAnsi="宋体"/>
          <w:color w:val="auto"/>
          <w:szCs w:val="21"/>
        </w:rPr>
        <w:t>5.3服务内容：</w:t>
      </w:r>
    </w:p>
    <w:p w14:paraId="0CCF02F6">
      <w:pPr>
        <w:spacing w:after="160" w:line="360" w:lineRule="auto"/>
        <w:rPr>
          <w:rFonts w:ascii="宋体" w:hAnsi="宋体"/>
          <w:color w:val="auto"/>
          <w:szCs w:val="21"/>
        </w:rPr>
      </w:pPr>
      <w:r>
        <w:rPr>
          <w:rFonts w:ascii="宋体" w:hAnsi="宋体"/>
          <w:color w:val="auto"/>
          <w:szCs w:val="21"/>
        </w:rPr>
        <w:t>项目服务内容涵盖全行业整体发展形势研判，广西钢铁产业现状诊断、发展战略设计、重大任务谋划等核心环节，具体包括：</w:t>
      </w:r>
    </w:p>
    <w:p w14:paraId="7CB15388">
      <w:pPr>
        <w:spacing w:after="160" w:line="360" w:lineRule="auto"/>
        <w:ind w:firstLine="420" w:firstLineChars="200"/>
        <w:rPr>
          <w:rFonts w:ascii="宋体" w:hAnsi="宋体"/>
          <w:color w:val="auto"/>
          <w:szCs w:val="21"/>
        </w:rPr>
      </w:pPr>
      <w:r>
        <w:rPr>
          <w:rFonts w:ascii="宋体" w:hAnsi="宋体"/>
          <w:color w:val="auto"/>
          <w:szCs w:val="21"/>
        </w:rPr>
        <w:t>精准评估诊断产业发展现状：全面调研广西钢铁企业，从产能布局、产品结构、技术装备、绿色低碳、数智水平等方面开展全链条评估诊断，准确识别优势和短板，形成产业发展调研报告。</w:t>
      </w:r>
    </w:p>
    <w:p w14:paraId="39DE8324">
      <w:pPr>
        <w:spacing w:after="160" w:line="360" w:lineRule="auto"/>
        <w:ind w:firstLine="420" w:firstLineChars="200"/>
        <w:rPr>
          <w:rFonts w:ascii="宋体" w:hAnsi="宋体"/>
          <w:color w:val="auto"/>
          <w:szCs w:val="21"/>
        </w:rPr>
      </w:pPr>
      <w:r>
        <w:rPr>
          <w:rFonts w:ascii="宋体" w:hAnsi="宋体"/>
          <w:color w:val="auto"/>
          <w:szCs w:val="21"/>
        </w:rPr>
        <w:t>科学研判发展形势与市场需求：分析“十五五”时期我国钢铁行业的发展趋势，研判汽车、工程机械、船舶海工、新能源等领域的用钢需求变化，充分把握发展机遇。</w:t>
      </w:r>
    </w:p>
    <w:p w14:paraId="2859C3F0">
      <w:pPr>
        <w:spacing w:after="160" w:line="360" w:lineRule="auto"/>
        <w:ind w:firstLine="420" w:firstLineChars="200"/>
        <w:rPr>
          <w:rFonts w:ascii="宋体" w:hAnsi="宋体"/>
          <w:color w:val="auto"/>
          <w:szCs w:val="21"/>
        </w:rPr>
      </w:pPr>
      <w:r>
        <w:rPr>
          <w:rFonts w:ascii="宋体" w:hAnsi="宋体"/>
          <w:color w:val="auto"/>
          <w:szCs w:val="21"/>
        </w:rPr>
        <w:t>合理制定规划总纲与发展目标：结合广西钢铁产业发展现状，提出广西钢铁行业“十五五”高质量发展的规划总纲与发展目标，明确阶段性战略与目标导向。</w:t>
      </w:r>
    </w:p>
    <w:p w14:paraId="16BE8916">
      <w:pPr>
        <w:spacing w:after="160" w:line="360" w:lineRule="auto"/>
        <w:ind w:firstLine="420" w:firstLineChars="200"/>
        <w:rPr>
          <w:rFonts w:ascii="宋体" w:hAnsi="宋体"/>
          <w:color w:val="auto"/>
          <w:szCs w:val="21"/>
        </w:rPr>
      </w:pPr>
      <w:r>
        <w:rPr>
          <w:rFonts w:ascii="宋体" w:hAnsi="宋体"/>
          <w:color w:val="auto"/>
          <w:szCs w:val="21"/>
        </w:rPr>
        <w:t>系统谋划重点任务与重大工程：提出涉及产业布局、社会贡献、科技创新、数字赋能、绿色低碳、产业融合等方面的重点任务与重大工程。</w:t>
      </w:r>
    </w:p>
    <w:p w14:paraId="269DBBA1">
      <w:pPr>
        <w:spacing w:after="160" w:line="360" w:lineRule="auto"/>
        <w:ind w:firstLine="420" w:firstLineChars="200"/>
        <w:rPr>
          <w:rFonts w:ascii="宋体" w:hAnsi="宋体"/>
          <w:color w:val="auto"/>
          <w:szCs w:val="21"/>
        </w:rPr>
      </w:pPr>
      <w:r>
        <w:rPr>
          <w:rFonts w:ascii="宋体" w:hAnsi="宋体"/>
          <w:color w:val="auto"/>
          <w:szCs w:val="21"/>
        </w:rPr>
        <w:t>高质高效完成规划报告：遵照国家关于钢铁产业发展有关政策要求，按照自治区政府产业经济发展规划，高效编制《广西钢铁行业“十五五”高质量发展规划》报告，为我区钢铁行业发展提供有效指引。</w:t>
      </w:r>
    </w:p>
    <w:p w14:paraId="0C33D088">
      <w:pPr>
        <w:spacing w:after="160" w:line="360" w:lineRule="auto"/>
        <w:rPr>
          <w:rFonts w:ascii="宋体" w:hAnsi="宋体"/>
          <w:color w:val="auto"/>
          <w:szCs w:val="21"/>
        </w:rPr>
      </w:pPr>
      <w:r>
        <w:rPr>
          <w:rFonts w:ascii="宋体" w:hAnsi="宋体"/>
          <w:color w:val="auto"/>
          <w:szCs w:val="21"/>
        </w:rPr>
        <w:t xml:space="preserve">5.4拟投入人员要求： </w:t>
      </w:r>
    </w:p>
    <w:p w14:paraId="3AD397FF">
      <w:pPr>
        <w:spacing w:after="160" w:line="360" w:lineRule="auto"/>
        <w:ind w:firstLine="420" w:firstLineChars="200"/>
        <w:rPr>
          <w:rFonts w:ascii="宋体" w:hAnsi="宋体"/>
          <w:color w:val="auto"/>
          <w:szCs w:val="21"/>
        </w:rPr>
      </w:pPr>
      <w:r>
        <w:rPr>
          <w:rFonts w:ascii="宋体" w:hAnsi="宋体"/>
          <w:color w:val="auto"/>
          <w:szCs w:val="21"/>
        </w:rPr>
        <w:t>为确保高质高效完成广西钢铁行业“十五五”高质量发展规划编制工作，确保规划的高站位、高水准和实效性，须组建一支专业能力强、经验丰富的专家团队。拟投入人员应符合以下要求：</w:t>
      </w:r>
    </w:p>
    <w:p w14:paraId="627ADA04">
      <w:pPr>
        <w:spacing w:after="160" w:line="360" w:lineRule="auto"/>
        <w:ind w:firstLine="420" w:firstLineChars="200"/>
        <w:rPr>
          <w:rFonts w:ascii="宋体" w:hAnsi="宋体"/>
          <w:color w:val="auto"/>
          <w:szCs w:val="21"/>
        </w:rPr>
      </w:pPr>
      <w:r>
        <w:rPr>
          <w:rFonts w:ascii="宋体" w:hAnsi="宋体"/>
          <w:color w:val="auto"/>
          <w:szCs w:val="21"/>
        </w:rPr>
        <w:t>项目负责人：具有正高级工程师职称和咨询工程师（投资），长期从事冶金、材料、产业经济或战略规划等领域工作，主持过省部级以上重大产业规划或行业研究项目。</w:t>
      </w:r>
    </w:p>
    <w:p w14:paraId="1E0AB721">
      <w:pPr>
        <w:spacing w:after="160" w:line="360" w:lineRule="auto"/>
        <w:ind w:firstLine="420" w:firstLineChars="200"/>
        <w:rPr>
          <w:rFonts w:ascii="宋体" w:hAnsi="宋体"/>
          <w:color w:val="auto"/>
          <w:szCs w:val="21"/>
        </w:rPr>
      </w:pPr>
      <w:r>
        <w:rPr>
          <w:rFonts w:ascii="宋体" w:hAnsi="宋体"/>
          <w:color w:val="auto"/>
          <w:szCs w:val="21"/>
        </w:rPr>
        <w:t>核心技术骨干：应配备具备中级及以上职称的核心技术骨干，覆盖钢铁冶金、产业政策、市场研究、绿色低碳、智能制造等关键领域。</w:t>
      </w:r>
    </w:p>
    <w:p w14:paraId="1C202124">
      <w:pPr>
        <w:spacing w:after="160" w:line="360" w:lineRule="auto"/>
        <w:ind w:firstLine="420" w:firstLineChars="200"/>
        <w:rPr>
          <w:rFonts w:ascii="宋体" w:hAnsi="宋体"/>
          <w:color w:val="auto"/>
          <w:szCs w:val="21"/>
        </w:rPr>
      </w:pPr>
      <w:r>
        <w:rPr>
          <w:rFonts w:ascii="宋体" w:hAnsi="宋体"/>
          <w:color w:val="auto"/>
          <w:szCs w:val="21"/>
        </w:rPr>
        <w:t>研究支撑人员：应配备专业研究分析人员，具备钢铁行业研究经验产业分析、数据处理与报告撰写能力，能够协助完成资料收集、实地调研、数据分析等基础工作。</w:t>
      </w:r>
    </w:p>
    <w:p w14:paraId="17A425BE">
      <w:pPr>
        <w:spacing w:after="160" w:line="360" w:lineRule="auto"/>
        <w:rPr>
          <w:rFonts w:ascii="宋体" w:hAnsi="宋体"/>
          <w:color w:val="auto"/>
          <w:szCs w:val="21"/>
        </w:rPr>
      </w:pPr>
    </w:p>
    <w:p w14:paraId="0F489E54">
      <w:pPr>
        <w:spacing w:after="160" w:line="360" w:lineRule="auto"/>
        <w:rPr>
          <w:rFonts w:ascii="宋体" w:hAnsi="宋体" w:cs="Arial"/>
          <w:b/>
          <w:color w:val="auto"/>
          <w:kern w:val="0"/>
          <w:sz w:val="28"/>
          <w:szCs w:val="28"/>
        </w:rPr>
      </w:pPr>
      <w:r>
        <w:rPr>
          <w:rFonts w:ascii="宋体" w:hAnsi="宋体" w:cs="Arial"/>
          <w:b/>
          <w:color w:val="auto"/>
          <w:kern w:val="0"/>
          <w:sz w:val="28"/>
          <w:szCs w:val="28"/>
        </w:rPr>
        <w:t>三、商务要求</w:t>
      </w:r>
    </w:p>
    <w:p w14:paraId="6FEEA7BF">
      <w:pPr>
        <w:spacing w:after="160" w:line="360" w:lineRule="auto"/>
        <w:rPr>
          <w:rFonts w:ascii="宋体" w:hAnsi="宋体"/>
          <w:color w:val="auto"/>
          <w:szCs w:val="21"/>
        </w:rPr>
      </w:pPr>
      <w:r>
        <w:rPr>
          <w:rFonts w:ascii="宋体" w:hAnsi="宋体"/>
          <w:color w:val="auto"/>
          <w:szCs w:val="21"/>
        </w:rPr>
        <w:t>1．报价要求</w:t>
      </w:r>
    </w:p>
    <w:p w14:paraId="31A6432C">
      <w:pPr>
        <w:spacing w:after="160" w:line="360" w:lineRule="auto"/>
        <w:rPr>
          <w:rFonts w:ascii="宋体" w:hAnsi="宋体"/>
          <w:color w:val="auto"/>
          <w:szCs w:val="21"/>
        </w:rPr>
      </w:pPr>
      <w:r>
        <w:rPr>
          <w:rFonts w:ascii="宋体" w:hAnsi="宋体"/>
          <w:color w:val="auto"/>
          <w:szCs w:val="21"/>
        </w:rPr>
        <w:t>本次报价须为人民币报价，包含服务交付成果、设计、编绘、组织、策划、调研、技术协助、技术指导等类似服务内容的全部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526BC154">
      <w:pPr>
        <w:spacing w:after="160" w:line="360" w:lineRule="auto"/>
        <w:rPr>
          <w:rFonts w:ascii="宋体" w:hAnsi="宋体"/>
          <w:color w:val="auto"/>
          <w:szCs w:val="21"/>
        </w:rPr>
      </w:pPr>
      <w:r>
        <w:rPr>
          <w:rFonts w:ascii="宋体" w:hAnsi="宋体"/>
          <w:color w:val="auto"/>
          <w:szCs w:val="21"/>
        </w:rPr>
        <w:t>2.合同签订日期</w:t>
      </w:r>
    </w:p>
    <w:p w14:paraId="0AE4A543">
      <w:pPr>
        <w:spacing w:after="160" w:line="360" w:lineRule="auto"/>
        <w:rPr>
          <w:rFonts w:ascii="宋体" w:hAnsi="宋体"/>
          <w:i/>
          <w:color w:val="auto"/>
          <w:sz w:val="28"/>
          <w:szCs w:val="28"/>
        </w:rPr>
      </w:pPr>
      <w:r>
        <w:rPr>
          <w:rFonts w:ascii="宋体" w:hAnsi="宋体"/>
          <w:color w:val="auto"/>
          <w:szCs w:val="21"/>
        </w:rPr>
        <w:t>成交通知书发出后25日内。</w:t>
      </w:r>
    </w:p>
    <w:p w14:paraId="00A4A47B">
      <w:pPr>
        <w:spacing w:after="160" w:line="360" w:lineRule="auto"/>
        <w:rPr>
          <w:rFonts w:ascii="宋体" w:hAnsi="宋体"/>
          <w:color w:val="auto"/>
          <w:szCs w:val="21"/>
        </w:rPr>
      </w:pPr>
      <w:r>
        <w:rPr>
          <w:rFonts w:ascii="宋体" w:hAnsi="宋体"/>
          <w:color w:val="auto"/>
          <w:szCs w:val="21"/>
        </w:rPr>
        <w:t>3.服务（实施）时间</w:t>
      </w:r>
    </w:p>
    <w:p w14:paraId="4746AB72">
      <w:pPr>
        <w:spacing w:after="160" w:line="360" w:lineRule="auto"/>
        <w:rPr>
          <w:rFonts w:ascii="宋体" w:hAnsi="宋体"/>
          <w:color w:val="auto"/>
          <w:szCs w:val="21"/>
        </w:rPr>
      </w:pPr>
      <w:r>
        <w:rPr>
          <w:rFonts w:hint="eastAsia" w:ascii="宋体" w:hAnsi="宋体"/>
          <w:color w:val="auto"/>
          <w:kern w:val="0"/>
          <w:szCs w:val="21"/>
        </w:rPr>
        <w:t>2026年9月底前完成结题验收。</w:t>
      </w:r>
    </w:p>
    <w:p w14:paraId="7D2C070F">
      <w:pPr>
        <w:spacing w:after="160" w:line="360" w:lineRule="auto"/>
        <w:rPr>
          <w:rFonts w:ascii="宋体" w:hAnsi="宋体"/>
          <w:color w:val="auto"/>
          <w:szCs w:val="21"/>
        </w:rPr>
      </w:pPr>
      <w:r>
        <w:rPr>
          <w:rFonts w:ascii="宋体" w:hAnsi="宋体"/>
          <w:color w:val="auto"/>
          <w:szCs w:val="21"/>
        </w:rPr>
        <w:t>4.交货地点或服务地点</w:t>
      </w:r>
    </w:p>
    <w:p w14:paraId="1D17BD2B">
      <w:pPr>
        <w:spacing w:after="160" w:line="360" w:lineRule="auto"/>
        <w:rPr>
          <w:rFonts w:ascii="宋体" w:hAnsi="宋体"/>
          <w:color w:val="auto"/>
          <w:szCs w:val="21"/>
        </w:rPr>
      </w:pPr>
      <w:r>
        <w:rPr>
          <w:rFonts w:ascii="宋体" w:hAnsi="宋体"/>
          <w:color w:val="auto"/>
          <w:szCs w:val="21"/>
        </w:rPr>
        <w:t>采购人指定地点。</w:t>
      </w:r>
    </w:p>
    <w:p w14:paraId="32C0D1B2">
      <w:pPr>
        <w:spacing w:after="160" w:line="360" w:lineRule="auto"/>
        <w:rPr>
          <w:rFonts w:ascii="宋体" w:hAnsi="宋体"/>
          <w:color w:val="auto"/>
          <w:szCs w:val="21"/>
        </w:rPr>
      </w:pPr>
      <w:r>
        <w:rPr>
          <w:rFonts w:ascii="宋体" w:hAnsi="宋体"/>
          <w:color w:val="auto"/>
          <w:szCs w:val="21"/>
        </w:rPr>
        <w:t>5.验收标准</w:t>
      </w:r>
    </w:p>
    <w:p w14:paraId="2A39608C">
      <w:pPr>
        <w:spacing w:after="160" w:line="360" w:lineRule="auto"/>
        <w:rPr>
          <w:rFonts w:ascii="宋体" w:hAnsi="宋体"/>
          <w:color w:val="auto"/>
          <w:szCs w:val="21"/>
        </w:rPr>
      </w:pPr>
      <w:bookmarkStart w:id="16" w:name="_Hlk77607553"/>
      <w:r>
        <w:rPr>
          <w:rFonts w:ascii="宋体" w:hAnsi="宋体"/>
          <w:color w:val="auto"/>
          <w:szCs w:val="21"/>
        </w:rPr>
        <w:t>详见采购文件合同主要条款格式部分</w:t>
      </w:r>
    </w:p>
    <w:bookmarkEnd w:id="16"/>
    <w:p w14:paraId="7639AE40">
      <w:pPr>
        <w:spacing w:after="160" w:line="360" w:lineRule="auto"/>
        <w:rPr>
          <w:rFonts w:ascii="宋体" w:hAnsi="宋体"/>
          <w:color w:val="auto"/>
          <w:szCs w:val="21"/>
        </w:rPr>
      </w:pPr>
      <w:r>
        <w:rPr>
          <w:rFonts w:ascii="宋体" w:hAnsi="宋体"/>
          <w:color w:val="auto"/>
          <w:szCs w:val="21"/>
        </w:rPr>
        <w:t>6.服务标准、期限、效率</w:t>
      </w:r>
    </w:p>
    <w:p w14:paraId="1DDED3D3">
      <w:pPr>
        <w:spacing w:after="160" w:line="360" w:lineRule="auto"/>
        <w:rPr>
          <w:rFonts w:ascii="宋体" w:hAnsi="宋体"/>
          <w:color w:val="auto"/>
          <w:szCs w:val="21"/>
        </w:rPr>
      </w:pPr>
      <w:r>
        <w:rPr>
          <w:rFonts w:ascii="宋体" w:hAnsi="宋体"/>
          <w:color w:val="auto"/>
          <w:szCs w:val="21"/>
        </w:rPr>
        <w:t>6.1电话咨询</w:t>
      </w:r>
    </w:p>
    <w:p w14:paraId="087101D3">
      <w:pPr>
        <w:spacing w:after="160" w:line="360" w:lineRule="auto"/>
        <w:rPr>
          <w:rFonts w:ascii="宋体" w:hAnsi="宋体"/>
          <w:color w:val="auto"/>
          <w:szCs w:val="21"/>
        </w:rPr>
      </w:pPr>
      <w:r>
        <w:rPr>
          <w:rFonts w:ascii="宋体" w:hAnsi="宋体"/>
          <w:color w:val="auto"/>
          <w:szCs w:val="21"/>
        </w:rPr>
        <w:t>成交供应商应当为采购人提供技术援助电话，解答采购人在使用中遇到的问题，及时为采购人提出解决问题的建议。</w:t>
      </w:r>
    </w:p>
    <w:p w14:paraId="725FA9A8">
      <w:pPr>
        <w:spacing w:after="160" w:line="360" w:lineRule="auto"/>
        <w:rPr>
          <w:rFonts w:ascii="宋体" w:hAnsi="宋体"/>
          <w:color w:val="auto"/>
          <w:szCs w:val="21"/>
        </w:rPr>
      </w:pPr>
      <w:r>
        <w:rPr>
          <w:rFonts w:ascii="宋体" w:hAnsi="宋体"/>
          <w:color w:val="auto"/>
          <w:szCs w:val="21"/>
        </w:rPr>
        <w:t>6.2现场响应</w:t>
      </w:r>
    </w:p>
    <w:p w14:paraId="5AFC8019">
      <w:pPr>
        <w:spacing w:after="160" w:line="360" w:lineRule="auto"/>
        <w:rPr>
          <w:rFonts w:ascii="宋体" w:hAnsi="宋体"/>
          <w:color w:val="auto"/>
          <w:szCs w:val="21"/>
        </w:rPr>
      </w:pPr>
      <w:r>
        <w:rPr>
          <w:rFonts w:ascii="宋体" w:hAnsi="宋体"/>
          <w:color w:val="auto"/>
          <w:szCs w:val="21"/>
        </w:rPr>
        <w:t>采购人遇到使用或技术问题，电话咨询不能解决的，成交供应商应在2小时内到达现场进行处理。</w:t>
      </w:r>
    </w:p>
    <w:p w14:paraId="23CB38D8">
      <w:pPr>
        <w:spacing w:after="160" w:line="360" w:lineRule="auto"/>
        <w:rPr>
          <w:rFonts w:ascii="宋体" w:hAnsi="宋体"/>
          <w:color w:val="auto"/>
          <w:szCs w:val="21"/>
        </w:rPr>
      </w:pPr>
      <w:r>
        <w:rPr>
          <w:rFonts w:ascii="宋体" w:hAnsi="宋体"/>
          <w:color w:val="auto"/>
          <w:szCs w:val="21"/>
        </w:rPr>
        <w:t>7.培训</w:t>
      </w:r>
    </w:p>
    <w:p w14:paraId="46507050">
      <w:pPr>
        <w:spacing w:after="160" w:line="360" w:lineRule="auto"/>
        <w:rPr>
          <w:rFonts w:ascii="宋体" w:hAnsi="宋体"/>
          <w:color w:val="auto"/>
          <w:szCs w:val="21"/>
        </w:rPr>
      </w:pPr>
      <w:r>
        <w:rPr>
          <w:rFonts w:ascii="宋体" w:hAnsi="宋体"/>
          <w:color w:val="auto"/>
          <w:szCs w:val="21"/>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16F18F99">
      <w:pPr>
        <w:spacing w:after="160" w:line="360" w:lineRule="auto"/>
        <w:rPr>
          <w:rFonts w:ascii="宋体" w:hAnsi="宋体"/>
          <w:color w:val="auto"/>
          <w:szCs w:val="21"/>
        </w:rPr>
      </w:pPr>
      <w:r>
        <w:rPr>
          <w:rFonts w:ascii="宋体" w:hAnsi="宋体"/>
          <w:color w:val="auto"/>
          <w:szCs w:val="21"/>
        </w:rPr>
        <w:t>8.付款方式、时间及条件</w:t>
      </w:r>
    </w:p>
    <w:p w14:paraId="4C1E8E96">
      <w:pPr>
        <w:spacing w:after="160" w:line="360" w:lineRule="auto"/>
        <w:rPr>
          <w:rFonts w:ascii="宋体" w:hAnsi="宋体"/>
          <w:color w:val="auto"/>
          <w:szCs w:val="21"/>
        </w:rPr>
      </w:pPr>
      <w:r>
        <w:rPr>
          <w:rFonts w:ascii="宋体" w:hAnsi="宋体"/>
          <w:color w:val="auto"/>
          <w:szCs w:val="21"/>
        </w:rPr>
        <w:t>详见采购文件合同主要条款格式部分</w:t>
      </w:r>
    </w:p>
    <w:p w14:paraId="4B50FE90">
      <w:pPr>
        <w:spacing w:after="160" w:line="360" w:lineRule="auto"/>
        <w:rPr>
          <w:rFonts w:ascii="宋体" w:hAnsi="宋体"/>
          <w:color w:val="auto"/>
          <w:szCs w:val="21"/>
        </w:rPr>
      </w:pPr>
      <w:r>
        <w:rPr>
          <w:rFonts w:ascii="宋体" w:hAnsi="宋体"/>
          <w:color w:val="auto"/>
          <w:szCs w:val="21"/>
        </w:rPr>
        <w:t>9.履约保证金</w:t>
      </w:r>
    </w:p>
    <w:p w14:paraId="7D42ADA1">
      <w:pPr>
        <w:spacing w:after="160" w:line="360" w:lineRule="auto"/>
        <w:rPr>
          <w:rFonts w:ascii="宋体" w:hAnsi="宋体"/>
          <w:color w:val="auto"/>
          <w:szCs w:val="21"/>
        </w:rPr>
      </w:pPr>
      <w:r>
        <w:rPr>
          <w:rFonts w:ascii="宋体" w:hAnsi="宋体"/>
          <w:color w:val="auto"/>
          <w:szCs w:val="21"/>
        </w:rPr>
        <w:t>详见采购文件合同主要条款格式部分</w:t>
      </w:r>
    </w:p>
    <w:p w14:paraId="020BF918">
      <w:pPr>
        <w:spacing w:after="160" w:line="360" w:lineRule="auto"/>
        <w:rPr>
          <w:rFonts w:ascii="宋体" w:hAnsi="宋体" w:cs="Arial"/>
          <w:b/>
          <w:color w:val="auto"/>
          <w:kern w:val="0"/>
          <w:sz w:val="28"/>
          <w:szCs w:val="28"/>
        </w:rPr>
      </w:pPr>
      <w:r>
        <w:rPr>
          <w:rFonts w:ascii="宋体" w:hAnsi="宋体" w:cs="Arial"/>
          <w:b/>
          <w:color w:val="auto"/>
          <w:kern w:val="0"/>
          <w:sz w:val="28"/>
          <w:szCs w:val="28"/>
        </w:rPr>
        <w:t>四、其他要求</w:t>
      </w:r>
    </w:p>
    <w:p w14:paraId="62B48B18">
      <w:pPr>
        <w:pStyle w:val="26"/>
        <w:snapToGrid w:val="0"/>
        <w:rPr>
          <w:rFonts w:hAnsi="宋体" w:cs="Times New Roman"/>
          <w:b/>
          <w:color w:val="auto"/>
        </w:rPr>
      </w:pPr>
      <w:r>
        <w:rPr>
          <w:rFonts w:hAnsi="宋体" w:cs="Times New Roman"/>
          <w:b/>
          <w:color w:val="auto"/>
          <w:szCs w:val="24"/>
        </w:rPr>
        <w:t>无</w:t>
      </w:r>
    </w:p>
    <w:p w14:paraId="3507B776">
      <w:pPr>
        <w:spacing w:line="528" w:lineRule="exact"/>
        <w:ind w:firstLine="210" w:firstLineChars="100"/>
        <w:rPr>
          <w:rFonts w:ascii="宋体" w:hAnsi="宋体"/>
          <w:color w:val="auto"/>
          <w:szCs w:val="21"/>
        </w:rPr>
        <w:sectPr>
          <w:footerReference r:id="rId13" w:type="first"/>
          <w:headerReference r:id="rId12" w:type="default"/>
          <w:pgSz w:w="11906" w:h="16838"/>
          <w:pgMar w:top="851" w:right="1133" w:bottom="1246" w:left="1418" w:header="851" w:footer="797" w:gutter="0"/>
          <w:cols w:space="720" w:num="1"/>
          <w:docGrid w:linePitch="312" w:charSpace="0"/>
        </w:sectPr>
      </w:pPr>
      <w:r>
        <w:rPr>
          <w:rFonts w:ascii="宋体" w:hAnsi="宋体"/>
          <w:color w:val="auto"/>
          <w:szCs w:val="21"/>
        </w:rPr>
        <w:br w:type="page"/>
      </w:r>
    </w:p>
    <w:p w14:paraId="128B9C08">
      <w:pPr>
        <w:spacing w:line="360" w:lineRule="auto"/>
        <w:outlineLvl w:val="1"/>
        <w:rPr>
          <w:rFonts w:ascii="宋体" w:hAnsi="宋体" w:cs="Arial"/>
          <w:b/>
          <w:color w:val="auto"/>
          <w:kern w:val="0"/>
          <w:sz w:val="28"/>
          <w:szCs w:val="28"/>
        </w:rPr>
      </w:pPr>
      <w:r>
        <w:rPr>
          <w:rFonts w:hint="eastAsia" w:ascii="宋体" w:hAnsi="宋体" w:cs="Arial"/>
          <w:b/>
          <w:color w:val="auto"/>
          <w:kern w:val="0"/>
          <w:sz w:val="28"/>
          <w:szCs w:val="28"/>
        </w:rPr>
        <w:t>2分标：</w:t>
      </w:r>
      <w:r>
        <w:rPr>
          <w:rFonts w:ascii="宋体" w:hAnsi="宋体" w:cs="Arial"/>
          <w:b/>
          <w:color w:val="auto"/>
          <w:kern w:val="0"/>
          <w:sz w:val="28"/>
          <w:szCs w:val="28"/>
        </w:rPr>
        <w:t>广西纸业发展“十五五”规划（2026-2030年）</w:t>
      </w:r>
    </w:p>
    <w:p w14:paraId="593802AE">
      <w:pPr>
        <w:spacing w:line="360" w:lineRule="auto"/>
        <w:rPr>
          <w:rFonts w:ascii="宋体" w:hAnsi="宋体" w:cs="Arial"/>
          <w:b/>
          <w:color w:val="auto"/>
          <w:kern w:val="0"/>
          <w:sz w:val="28"/>
          <w:szCs w:val="28"/>
        </w:rPr>
      </w:pPr>
      <w:r>
        <w:rPr>
          <w:rFonts w:ascii="宋体" w:hAnsi="宋体" w:cs="Arial"/>
          <w:b/>
          <w:color w:val="auto"/>
          <w:kern w:val="0"/>
          <w:sz w:val="28"/>
          <w:szCs w:val="28"/>
        </w:rPr>
        <w:t>一、</w:t>
      </w:r>
      <w:r>
        <w:rPr>
          <w:rFonts w:hint="eastAsia" w:ascii="宋体" w:hAnsi="宋体" w:cs="Arial"/>
          <w:b/>
          <w:color w:val="auto"/>
          <w:kern w:val="0"/>
          <w:sz w:val="28"/>
          <w:szCs w:val="28"/>
        </w:rPr>
        <w:t>总体</w:t>
      </w:r>
      <w:r>
        <w:rPr>
          <w:rFonts w:ascii="宋体" w:hAnsi="宋体" w:cs="Arial"/>
          <w:b/>
          <w:color w:val="auto"/>
          <w:kern w:val="0"/>
          <w:sz w:val="28"/>
          <w:szCs w:val="28"/>
        </w:rPr>
        <w:t>要求</w:t>
      </w:r>
    </w:p>
    <w:p w14:paraId="7FB82F69">
      <w:pPr>
        <w:spacing w:line="360" w:lineRule="auto"/>
        <w:rPr>
          <w:rFonts w:ascii="宋体" w:hAnsi="宋体"/>
          <w:color w:val="auto"/>
          <w:szCs w:val="21"/>
        </w:rPr>
      </w:pPr>
      <w:r>
        <w:rPr>
          <w:rFonts w:ascii="宋体" w:hAnsi="宋体"/>
          <w:color w:val="auto"/>
          <w:szCs w:val="21"/>
        </w:rPr>
        <w:t>1</w:t>
      </w:r>
      <w:r>
        <w:rPr>
          <w:rFonts w:hint="eastAsia" w:ascii="宋体" w:hAnsi="宋体"/>
          <w:color w:val="auto"/>
          <w:szCs w:val="21"/>
        </w:rPr>
        <w:t>.政府采购政策的应用</w:t>
      </w:r>
    </w:p>
    <w:p w14:paraId="5B83ABC3">
      <w:pPr>
        <w:spacing w:line="360" w:lineRule="auto"/>
        <w:rPr>
          <w:rFonts w:ascii="宋体" w:hAnsi="宋体"/>
          <w:color w:val="auto"/>
          <w:szCs w:val="21"/>
        </w:rPr>
      </w:pPr>
      <w:r>
        <w:rPr>
          <w:rFonts w:hint="eastAsia" w:ascii="宋体" w:hAnsi="宋体"/>
          <w:color w:val="auto"/>
          <w:szCs w:val="21"/>
        </w:rPr>
        <w:t>详见采购文件“评审方法及标准</w:t>
      </w:r>
      <w:r>
        <w:rPr>
          <w:rFonts w:ascii="宋体" w:hAnsi="宋体"/>
          <w:color w:val="auto"/>
          <w:szCs w:val="21"/>
        </w:rPr>
        <w:t>/政府采购政策应用说明”。</w:t>
      </w:r>
    </w:p>
    <w:p w14:paraId="79F45EDB">
      <w:pPr>
        <w:spacing w:line="360" w:lineRule="auto"/>
        <w:rPr>
          <w:rFonts w:ascii="宋体" w:hAnsi="宋体"/>
          <w:color w:val="auto"/>
          <w:szCs w:val="21"/>
        </w:rPr>
      </w:pPr>
      <w:r>
        <w:rPr>
          <w:rFonts w:ascii="宋体" w:hAnsi="宋体"/>
          <w:color w:val="auto"/>
          <w:szCs w:val="21"/>
        </w:rPr>
        <w:t>2</w:t>
      </w:r>
      <w:r>
        <w:rPr>
          <w:rFonts w:hint="eastAsia" w:ascii="宋体" w:hAnsi="宋体"/>
          <w:color w:val="auto"/>
          <w:szCs w:val="21"/>
        </w:rPr>
        <w:t>.采购需求要求未尽事宜</w:t>
      </w:r>
      <w:r>
        <w:rPr>
          <w:rFonts w:ascii="宋体" w:hAnsi="宋体"/>
          <w:color w:val="auto"/>
          <w:szCs w:val="21"/>
        </w:rPr>
        <w:t>由</w:t>
      </w:r>
      <w:r>
        <w:rPr>
          <w:rFonts w:hint="eastAsia" w:ascii="宋体" w:hAnsi="宋体"/>
          <w:color w:val="auto"/>
          <w:szCs w:val="21"/>
        </w:rPr>
        <w:t>采购人与成交供应商</w:t>
      </w:r>
      <w:r>
        <w:rPr>
          <w:rFonts w:ascii="宋体" w:hAnsi="宋体"/>
          <w:color w:val="auto"/>
          <w:szCs w:val="21"/>
        </w:rPr>
        <w:t>在采购合同中约定。</w:t>
      </w:r>
    </w:p>
    <w:p w14:paraId="49A761B9">
      <w:pPr>
        <w:spacing w:line="360" w:lineRule="auto"/>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标注“▲”的条款或要求系指实质性条款或实质性要求，必须满足，如存在负偏离将导致响应</w:t>
      </w:r>
      <w:r>
        <w:rPr>
          <w:rFonts w:hint="eastAsia" w:ascii="宋体" w:hAnsi="宋体"/>
          <w:color w:val="auto"/>
          <w:szCs w:val="21"/>
        </w:rPr>
        <w:t>无效</w:t>
      </w:r>
      <w:r>
        <w:rPr>
          <w:rFonts w:ascii="宋体" w:hAnsi="宋体"/>
          <w:color w:val="auto"/>
          <w:szCs w:val="21"/>
        </w:rPr>
        <w:t>。</w:t>
      </w:r>
    </w:p>
    <w:p w14:paraId="74FF9233">
      <w:pPr>
        <w:spacing w:line="360" w:lineRule="auto"/>
        <w:rPr>
          <w:rFonts w:ascii="宋体" w:hAnsi="宋体" w:cs="Arial"/>
          <w:b/>
          <w:color w:val="auto"/>
          <w:kern w:val="0"/>
          <w:sz w:val="28"/>
          <w:szCs w:val="28"/>
        </w:rPr>
      </w:pPr>
      <w:r>
        <w:rPr>
          <w:rFonts w:hint="eastAsia" w:ascii="宋体" w:hAnsi="宋体" w:cs="Arial"/>
          <w:b/>
          <w:color w:val="auto"/>
          <w:kern w:val="0"/>
          <w:sz w:val="28"/>
          <w:szCs w:val="28"/>
        </w:rPr>
        <w:t>二、技术要求</w:t>
      </w:r>
    </w:p>
    <w:p w14:paraId="4012B533">
      <w:pPr>
        <w:spacing w:line="360" w:lineRule="auto"/>
        <w:rPr>
          <w:rFonts w:ascii="宋体" w:hAnsi="宋体"/>
          <w:color w:val="auto"/>
          <w:szCs w:val="21"/>
        </w:rPr>
      </w:pPr>
      <w:r>
        <w:rPr>
          <w:rFonts w:hint="eastAsia" w:ascii="宋体" w:hAnsi="宋体"/>
          <w:color w:val="auto"/>
          <w:szCs w:val="21"/>
        </w:rPr>
        <w:t>1.需实现的功能、目标及应用场景</w:t>
      </w:r>
    </w:p>
    <w:p w14:paraId="1B6B40DF">
      <w:pPr>
        <w:spacing w:line="360" w:lineRule="auto"/>
        <w:rPr>
          <w:rFonts w:ascii="宋体" w:hAnsi="宋体"/>
          <w:color w:val="auto"/>
          <w:szCs w:val="21"/>
        </w:rPr>
      </w:pPr>
      <w:r>
        <w:rPr>
          <w:rFonts w:hint="eastAsia" w:ascii="宋体" w:hAnsi="宋体"/>
          <w:color w:val="auto"/>
          <w:szCs w:val="21"/>
        </w:rPr>
        <w:t>满足采购文件要求，验收达到合格标准。</w:t>
      </w:r>
    </w:p>
    <w:p w14:paraId="53064B7D">
      <w:pPr>
        <w:spacing w:line="360" w:lineRule="auto"/>
        <w:rPr>
          <w:rFonts w:ascii="宋体" w:hAnsi="宋体"/>
          <w:color w:val="auto"/>
          <w:szCs w:val="21"/>
        </w:rPr>
      </w:pPr>
      <w:r>
        <w:rPr>
          <w:rFonts w:hint="eastAsia" w:ascii="宋体" w:hAnsi="宋体"/>
          <w:color w:val="auto"/>
          <w:szCs w:val="21"/>
        </w:rPr>
        <w:t>2.</w:t>
      </w:r>
      <w:r>
        <w:rPr>
          <w:rFonts w:ascii="宋体" w:hAnsi="宋体"/>
          <w:color w:val="auto"/>
          <w:szCs w:val="21"/>
        </w:rPr>
        <w:t>需执行的国家相关标准、行业标准、地方标准或者其他标准、规范</w:t>
      </w:r>
    </w:p>
    <w:p w14:paraId="6E636A88">
      <w:pPr>
        <w:spacing w:line="360" w:lineRule="auto"/>
        <w:rPr>
          <w:rFonts w:ascii="宋体" w:hAnsi="宋体"/>
          <w:i/>
          <w:color w:val="auto"/>
          <w:szCs w:val="21"/>
          <w:u w:val="single"/>
        </w:rPr>
      </w:pPr>
      <w:r>
        <w:rPr>
          <w:rFonts w:hint="eastAsia" w:ascii="宋体" w:hAnsi="宋体"/>
          <w:color w:val="auto"/>
          <w:szCs w:val="21"/>
        </w:rPr>
        <w:t>本项目应执行的国家相关标准、行业标准、地方标准或者其他标准、规范为：</w:t>
      </w:r>
      <w:r>
        <w:rPr>
          <w:rFonts w:hint="eastAsia" w:ascii="宋体" w:hAnsi="宋体"/>
          <w:i/>
          <w:color w:val="auto"/>
          <w:szCs w:val="21"/>
          <w:u w:val="single"/>
        </w:rPr>
        <w:t>详见技术指标要求</w:t>
      </w:r>
    </w:p>
    <w:p w14:paraId="16A78458">
      <w:pPr>
        <w:spacing w:line="360" w:lineRule="auto"/>
        <w:rPr>
          <w:rFonts w:ascii="宋体" w:hAnsi="宋体"/>
          <w:color w:val="auto"/>
          <w:szCs w:val="21"/>
        </w:rPr>
      </w:pPr>
      <w:r>
        <w:rPr>
          <w:rFonts w:hint="eastAsia" w:ascii="宋体" w:hAnsi="宋体"/>
          <w:color w:val="auto"/>
          <w:szCs w:val="21"/>
        </w:rPr>
        <w:t>3.标的所属行业：</w:t>
      </w:r>
      <w:r>
        <w:rPr>
          <w:rFonts w:ascii="宋体" w:hAnsi="宋体"/>
          <w:b/>
          <w:bCs/>
          <w:color w:val="auto"/>
          <w:szCs w:val="21"/>
        </w:rPr>
        <w:t>其他未列明行业</w:t>
      </w:r>
    </w:p>
    <w:p w14:paraId="7C2BC43C">
      <w:pPr>
        <w:spacing w:line="360" w:lineRule="auto"/>
        <w:rPr>
          <w:rFonts w:ascii="宋体" w:hAnsi="宋体"/>
          <w:color w:val="auto"/>
          <w:szCs w:val="21"/>
        </w:rPr>
      </w:pPr>
      <w:r>
        <w:rPr>
          <w:rFonts w:hint="eastAsia" w:ascii="宋体" w:hAnsi="宋体"/>
          <w:color w:val="auto"/>
          <w:szCs w:val="21"/>
        </w:rPr>
        <w:t>4.核心产品</w:t>
      </w:r>
    </w:p>
    <w:p w14:paraId="38B33EEE">
      <w:pPr>
        <w:spacing w:line="360" w:lineRule="auto"/>
        <w:rPr>
          <w:rFonts w:ascii="宋体" w:hAnsi="宋体"/>
          <w:color w:val="auto"/>
          <w:szCs w:val="21"/>
        </w:rPr>
      </w:pPr>
      <w:r>
        <w:rPr>
          <w:rFonts w:hint="eastAsia" w:ascii="宋体" w:hAnsi="宋体"/>
          <w:color w:val="auto"/>
          <w:szCs w:val="21"/>
        </w:rPr>
        <w:t>本项目为服务项目，不适用核心产品规定。</w:t>
      </w:r>
    </w:p>
    <w:p w14:paraId="07F19DAB">
      <w:pPr>
        <w:spacing w:line="360" w:lineRule="auto"/>
        <w:rPr>
          <w:rFonts w:ascii="宋体" w:hAnsi="宋体"/>
          <w:color w:val="auto"/>
          <w:szCs w:val="21"/>
        </w:rPr>
      </w:pPr>
      <w:r>
        <w:rPr>
          <w:rFonts w:hint="eastAsia" w:ascii="宋体" w:hAnsi="宋体"/>
          <w:color w:val="auto"/>
          <w:szCs w:val="21"/>
        </w:rPr>
        <w:t>5.服务内容和标准</w:t>
      </w:r>
      <w:r>
        <w:rPr>
          <w:rFonts w:ascii="宋体" w:hAnsi="宋体"/>
          <w:color w:val="auto"/>
          <w:szCs w:val="21"/>
          <w:lang w:val="en"/>
        </w:rPr>
        <w:t>:</w:t>
      </w:r>
    </w:p>
    <w:p w14:paraId="1D666471">
      <w:pPr>
        <w:spacing w:line="360" w:lineRule="auto"/>
        <w:rPr>
          <w:rFonts w:ascii="宋体" w:hAnsi="宋体"/>
          <w:color w:val="auto"/>
          <w:szCs w:val="21"/>
        </w:rPr>
      </w:pPr>
      <w:r>
        <w:rPr>
          <w:rFonts w:hint="eastAsia" w:ascii="宋体" w:hAnsi="宋体"/>
          <w:color w:val="auto"/>
          <w:szCs w:val="21"/>
        </w:rPr>
        <w:t>5.1项目背景：根据自治区党委关于打造制造业十大现代化支柱产业的决策部署，落实林产加工及纸业专班工作要求，制定《广西纸业高质量发展“十五五”规划》，统筹推动十五五期间我区纸业高质量发展。</w:t>
      </w:r>
    </w:p>
    <w:p w14:paraId="2FE57C29">
      <w:pPr>
        <w:spacing w:line="360" w:lineRule="auto"/>
        <w:rPr>
          <w:rFonts w:ascii="宋体" w:hAnsi="宋体"/>
          <w:color w:val="auto"/>
          <w:szCs w:val="21"/>
        </w:rPr>
      </w:pPr>
      <w:r>
        <w:rPr>
          <w:rFonts w:hint="eastAsia" w:ascii="宋体" w:hAnsi="宋体"/>
          <w:color w:val="auto"/>
          <w:szCs w:val="21"/>
        </w:rPr>
        <w:t>5.2服务目标：完成《广西纸业高质量发展“十五五”规划》编制。</w:t>
      </w:r>
    </w:p>
    <w:p w14:paraId="424472B7">
      <w:pPr>
        <w:spacing w:line="360" w:lineRule="auto"/>
        <w:rPr>
          <w:rFonts w:ascii="宋体" w:hAnsi="宋体"/>
          <w:color w:val="auto"/>
          <w:szCs w:val="21"/>
        </w:rPr>
      </w:pPr>
      <w:r>
        <w:rPr>
          <w:rFonts w:hint="eastAsia" w:ascii="宋体" w:hAnsi="宋体"/>
          <w:color w:val="auto"/>
          <w:szCs w:val="21"/>
        </w:rPr>
        <w:t>5.3服务内容：总结“十四五”期间广西纸业发展情况，研究“十五五”国际国内纸业发展形势，分析“十五五”广西面临的挑战和机遇，提出“十五五”广西纸业发展目标、产业布局优化思路、重点任务、保障措施等,形成《广西纸业高质量发展“十五五”规划》，指导“十五五”时期我区造纸产业高质量发展。规划要求具有针对性、专业性、完整性，突出环境容量、能耗、水资源分析等重要内容。</w:t>
      </w:r>
    </w:p>
    <w:p w14:paraId="72857791">
      <w:pPr>
        <w:spacing w:line="360" w:lineRule="auto"/>
        <w:rPr>
          <w:rFonts w:hint="eastAsia" w:ascii="宋体" w:hAnsi="宋体" w:eastAsia="宋体"/>
          <w:color w:val="auto"/>
          <w:szCs w:val="21"/>
          <w:lang w:eastAsia="zh-CN"/>
        </w:rPr>
      </w:pPr>
      <w:r>
        <w:rPr>
          <w:rFonts w:hint="eastAsia" w:ascii="宋体" w:hAnsi="宋体"/>
          <w:color w:val="auto"/>
          <w:szCs w:val="21"/>
        </w:rPr>
        <w:t>5.4拟投入人员要求： 本项目需投入1个项目负责人，需投入编写人员</w:t>
      </w:r>
      <w:r>
        <w:rPr>
          <w:rFonts w:ascii="宋体" w:hAnsi="宋体"/>
          <w:color w:val="auto"/>
          <w:szCs w:val="21"/>
          <w:lang w:val="en"/>
        </w:rPr>
        <w:t>3</w:t>
      </w:r>
      <w:r>
        <w:rPr>
          <w:rFonts w:hint="eastAsia" w:ascii="宋体" w:hAnsi="宋体"/>
          <w:color w:val="auto"/>
          <w:szCs w:val="21"/>
        </w:rPr>
        <w:t>人或以上，高级及以上职称</w:t>
      </w:r>
      <w:r>
        <w:rPr>
          <w:rFonts w:ascii="宋体" w:hAnsi="宋体"/>
          <w:color w:val="auto"/>
          <w:szCs w:val="21"/>
          <w:lang w:val="en"/>
        </w:rPr>
        <w:t>1</w:t>
      </w:r>
      <w:r>
        <w:rPr>
          <w:rFonts w:hint="eastAsia" w:ascii="宋体" w:hAnsi="宋体"/>
          <w:color w:val="auto"/>
          <w:szCs w:val="21"/>
        </w:rPr>
        <w:t>人或以上；中级职称</w:t>
      </w:r>
      <w:r>
        <w:rPr>
          <w:rFonts w:ascii="宋体" w:hAnsi="宋体"/>
          <w:color w:val="auto"/>
          <w:szCs w:val="21"/>
          <w:lang w:val="en"/>
        </w:rPr>
        <w:t>2</w:t>
      </w:r>
      <w:r>
        <w:rPr>
          <w:rFonts w:hint="eastAsia" w:ascii="宋体" w:hAnsi="宋体"/>
          <w:color w:val="auto"/>
          <w:szCs w:val="21"/>
        </w:rPr>
        <w:t>人或以上</w:t>
      </w:r>
      <w:r>
        <w:rPr>
          <w:rFonts w:hint="eastAsia" w:ascii="宋体" w:hAnsi="宋体"/>
          <w:color w:val="auto"/>
          <w:szCs w:val="21"/>
          <w:lang w:eastAsia="zh-CN"/>
        </w:rPr>
        <w:t>。</w:t>
      </w:r>
    </w:p>
    <w:p w14:paraId="650B9155">
      <w:pPr>
        <w:spacing w:line="360" w:lineRule="auto"/>
        <w:rPr>
          <w:rFonts w:ascii="宋体" w:hAnsi="宋体" w:cs="Arial"/>
          <w:b/>
          <w:color w:val="auto"/>
          <w:kern w:val="0"/>
          <w:sz w:val="28"/>
          <w:szCs w:val="28"/>
        </w:rPr>
      </w:pPr>
      <w:r>
        <w:rPr>
          <w:rFonts w:hint="eastAsia" w:ascii="宋体" w:hAnsi="宋体" w:cs="Arial"/>
          <w:b/>
          <w:color w:val="auto"/>
          <w:kern w:val="0"/>
          <w:sz w:val="28"/>
          <w:szCs w:val="28"/>
        </w:rPr>
        <w:t>三、商务要求</w:t>
      </w:r>
    </w:p>
    <w:p w14:paraId="0016D050">
      <w:pPr>
        <w:spacing w:line="360" w:lineRule="auto"/>
        <w:rPr>
          <w:rFonts w:ascii="宋体" w:hAnsi="宋体"/>
          <w:color w:val="auto"/>
          <w:szCs w:val="21"/>
        </w:rPr>
      </w:pPr>
      <w:r>
        <w:rPr>
          <w:rFonts w:hint="eastAsia" w:ascii="宋体" w:hAnsi="宋体"/>
          <w:color w:val="auto"/>
          <w:szCs w:val="21"/>
        </w:rPr>
        <w:t>1．报价要求</w:t>
      </w:r>
    </w:p>
    <w:p w14:paraId="6B136E09">
      <w:pPr>
        <w:spacing w:line="360" w:lineRule="auto"/>
        <w:rPr>
          <w:rFonts w:ascii="宋体" w:hAnsi="宋体"/>
          <w:color w:val="auto"/>
          <w:szCs w:val="21"/>
        </w:rPr>
      </w:pPr>
      <w:r>
        <w:rPr>
          <w:rFonts w:ascii="宋体" w:hAnsi="宋体"/>
          <w:color w:val="auto"/>
          <w:szCs w:val="21"/>
        </w:rPr>
        <w:t>本次报价须为人民币报价，包含服务交付成果、设计、编绘、组织、策划、调研、技术协助、技术指导等类似服务内容的全部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0E813696">
      <w:pPr>
        <w:spacing w:line="360" w:lineRule="auto"/>
        <w:rPr>
          <w:rFonts w:ascii="宋体" w:hAnsi="宋体"/>
          <w:color w:val="auto"/>
          <w:szCs w:val="21"/>
        </w:rPr>
      </w:pPr>
      <w:r>
        <w:rPr>
          <w:rFonts w:hint="eastAsia" w:ascii="宋体" w:hAnsi="宋体"/>
          <w:color w:val="auto"/>
          <w:szCs w:val="21"/>
        </w:rPr>
        <w:t>2.合同签订日期</w:t>
      </w:r>
    </w:p>
    <w:p w14:paraId="7934BE31">
      <w:pPr>
        <w:spacing w:line="360" w:lineRule="auto"/>
        <w:rPr>
          <w:rFonts w:ascii="宋体" w:hAnsi="宋体"/>
          <w:i/>
          <w:color w:val="auto"/>
          <w:sz w:val="28"/>
          <w:szCs w:val="28"/>
        </w:rPr>
      </w:pPr>
      <w:r>
        <w:rPr>
          <w:rFonts w:hint="eastAsia" w:ascii="宋体" w:hAnsi="宋体"/>
          <w:color w:val="auto"/>
          <w:szCs w:val="21"/>
        </w:rPr>
        <w:t>成交通知书发出后25日内。</w:t>
      </w:r>
    </w:p>
    <w:p w14:paraId="135978C9">
      <w:pPr>
        <w:spacing w:line="360" w:lineRule="auto"/>
        <w:rPr>
          <w:rFonts w:ascii="宋体" w:hAnsi="宋体"/>
          <w:color w:val="auto"/>
          <w:szCs w:val="21"/>
        </w:rPr>
      </w:pPr>
      <w:r>
        <w:rPr>
          <w:rFonts w:hint="eastAsia" w:ascii="宋体" w:hAnsi="宋体"/>
          <w:color w:val="auto"/>
          <w:szCs w:val="21"/>
        </w:rPr>
        <w:t>3.服务（实施）时间</w:t>
      </w:r>
    </w:p>
    <w:p w14:paraId="5A43F3DA">
      <w:pPr>
        <w:spacing w:line="360" w:lineRule="auto"/>
        <w:rPr>
          <w:rFonts w:ascii="宋体" w:hAnsi="宋体"/>
          <w:color w:val="auto"/>
          <w:szCs w:val="21"/>
        </w:rPr>
      </w:pPr>
      <w:r>
        <w:rPr>
          <w:rFonts w:hint="eastAsia" w:ascii="宋体" w:hAnsi="宋体"/>
          <w:color w:val="auto"/>
          <w:kern w:val="0"/>
          <w:szCs w:val="21"/>
        </w:rPr>
        <w:t>2026年10月底前完成结题验收。</w:t>
      </w:r>
    </w:p>
    <w:p w14:paraId="04EA574E">
      <w:pPr>
        <w:spacing w:line="360" w:lineRule="auto"/>
        <w:rPr>
          <w:rFonts w:ascii="宋体" w:hAnsi="宋体"/>
          <w:color w:val="auto"/>
          <w:szCs w:val="21"/>
        </w:rPr>
      </w:pPr>
      <w:r>
        <w:rPr>
          <w:rFonts w:hint="eastAsia" w:ascii="宋体" w:hAnsi="宋体"/>
          <w:color w:val="auto"/>
          <w:szCs w:val="21"/>
        </w:rPr>
        <w:t>4.交货地点或服务地点</w:t>
      </w:r>
    </w:p>
    <w:p w14:paraId="5829334E">
      <w:pPr>
        <w:spacing w:line="360" w:lineRule="auto"/>
        <w:rPr>
          <w:rFonts w:ascii="宋体" w:hAnsi="宋体"/>
          <w:color w:val="auto"/>
          <w:szCs w:val="21"/>
        </w:rPr>
      </w:pPr>
      <w:r>
        <w:rPr>
          <w:rFonts w:ascii="宋体" w:hAnsi="宋体"/>
          <w:color w:val="auto"/>
          <w:szCs w:val="21"/>
        </w:rPr>
        <w:t>采购人指定地点。</w:t>
      </w:r>
    </w:p>
    <w:p w14:paraId="5EA5DC6E">
      <w:pPr>
        <w:spacing w:line="360" w:lineRule="auto"/>
        <w:rPr>
          <w:rFonts w:ascii="宋体" w:hAnsi="宋体"/>
          <w:color w:val="auto"/>
          <w:szCs w:val="21"/>
        </w:rPr>
      </w:pPr>
      <w:r>
        <w:rPr>
          <w:rFonts w:hint="eastAsia" w:ascii="宋体" w:hAnsi="宋体"/>
          <w:color w:val="auto"/>
          <w:szCs w:val="21"/>
        </w:rPr>
        <w:t>5.验收标准</w:t>
      </w:r>
    </w:p>
    <w:p w14:paraId="342E589E">
      <w:pPr>
        <w:spacing w:line="360" w:lineRule="auto"/>
        <w:rPr>
          <w:rFonts w:ascii="宋体" w:hAnsi="宋体"/>
          <w:color w:val="auto"/>
          <w:szCs w:val="21"/>
        </w:rPr>
      </w:pPr>
      <w:r>
        <w:rPr>
          <w:rFonts w:hint="eastAsia" w:ascii="宋体" w:hAnsi="宋体"/>
          <w:color w:val="auto"/>
          <w:szCs w:val="21"/>
        </w:rPr>
        <w:t>详见采购文件合同主要条款格式部分</w:t>
      </w:r>
    </w:p>
    <w:p w14:paraId="0021C56F">
      <w:pPr>
        <w:spacing w:line="360" w:lineRule="auto"/>
        <w:rPr>
          <w:rFonts w:ascii="宋体" w:hAnsi="宋体"/>
          <w:color w:val="auto"/>
          <w:szCs w:val="21"/>
        </w:rPr>
      </w:pPr>
      <w:r>
        <w:rPr>
          <w:rFonts w:hint="eastAsia" w:ascii="宋体" w:hAnsi="宋体"/>
          <w:color w:val="auto"/>
          <w:szCs w:val="21"/>
        </w:rPr>
        <w:t>6.服务标准、期限、效率</w:t>
      </w:r>
    </w:p>
    <w:p w14:paraId="4813998E">
      <w:pPr>
        <w:spacing w:line="360" w:lineRule="auto"/>
        <w:rPr>
          <w:rFonts w:ascii="宋体" w:hAnsi="宋体"/>
          <w:color w:val="auto"/>
          <w:szCs w:val="21"/>
        </w:rPr>
      </w:pPr>
      <w:r>
        <w:rPr>
          <w:rFonts w:hint="eastAsia" w:ascii="宋体" w:hAnsi="宋体"/>
          <w:color w:val="auto"/>
          <w:szCs w:val="21"/>
        </w:rPr>
        <w:t>6.1电话咨询</w:t>
      </w:r>
    </w:p>
    <w:p w14:paraId="79B9857E">
      <w:pPr>
        <w:spacing w:line="360" w:lineRule="auto"/>
        <w:rPr>
          <w:rFonts w:ascii="宋体" w:hAnsi="宋体"/>
          <w:color w:val="auto"/>
          <w:szCs w:val="21"/>
        </w:rPr>
      </w:pPr>
      <w:r>
        <w:rPr>
          <w:rFonts w:hint="eastAsia" w:ascii="宋体" w:hAnsi="宋体"/>
          <w:color w:val="auto"/>
          <w:szCs w:val="21"/>
        </w:rPr>
        <w:t>成交供应商应当为采购人提供技术援助电话，解答采购人在使用中遇到的问题，及时为采购人提出解决问题的建议。</w:t>
      </w:r>
    </w:p>
    <w:p w14:paraId="2F96D9D7">
      <w:pPr>
        <w:spacing w:line="360" w:lineRule="auto"/>
        <w:rPr>
          <w:rFonts w:ascii="宋体" w:hAnsi="宋体"/>
          <w:color w:val="auto"/>
          <w:szCs w:val="21"/>
        </w:rPr>
      </w:pPr>
      <w:r>
        <w:rPr>
          <w:rFonts w:hint="eastAsia" w:ascii="宋体" w:hAnsi="宋体"/>
          <w:color w:val="auto"/>
          <w:szCs w:val="21"/>
        </w:rPr>
        <w:t>6.2现场响应</w:t>
      </w:r>
    </w:p>
    <w:p w14:paraId="765CC71D">
      <w:pPr>
        <w:spacing w:line="360" w:lineRule="auto"/>
        <w:rPr>
          <w:rFonts w:ascii="宋体" w:hAnsi="宋体"/>
          <w:color w:val="auto"/>
          <w:szCs w:val="21"/>
        </w:rPr>
      </w:pPr>
      <w:r>
        <w:rPr>
          <w:rFonts w:hint="eastAsia" w:ascii="宋体" w:hAnsi="宋体"/>
          <w:color w:val="auto"/>
          <w:szCs w:val="21"/>
        </w:rPr>
        <w:t>采购人遇到使用或技术问题，电话咨询不能解决的，成交供应商应在2小时内到达现场进行处理。</w:t>
      </w:r>
    </w:p>
    <w:p w14:paraId="50760923">
      <w:pPr>
        <w:spacing w:line="360" w:lineRule="auto"/>
        <w:rPr>
          <w:rFonts w:ascii="宋体" w:hAnsi="宋体"/>
          <w:color w:val="auto"/>
          <w:szCs w:val="21"/>
        </w:rPr>
      </w:pPr>
      <w:r>
        <w:rPr>
          <w:rFonts w:hint="eastAsia" w:ascii="宋体" w:hAnsi="宋体"/>
          <w:color w:val="auto"/>
          <w:szCs w:val="21"/>
        </w:rPr>
        <w:t>7.培训</w:t>
      </w:r>
    </w:p>
    <w:p w14:paraId="10DAFED0">
      <w:pPr>
        <w:spacing w:line="360" w:lineRule="auto"/>
        <w:rPr>
          <w:rFonts w:ascii="宋体" w:hAnsi="宋体"/>
          <w:color w:val="auto"/>
          <w:szCs w:val="21"/>
        </w:rPr>
      </w:pPr>
      <w:r>
        <w:rPr>
          <w:rFonts w:hint="eastAsia" w:ascii="宋体" w:hAnsi="宋体"/>
          <w:color w:val="auto"/>
          <w:szCs w:val="21"/>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7B642007">
      <w:pPr>
        <w:spacing w:line="360" w:lineRule="auto"/>
        <w:rPr>
          <w:rFonts w:ascii="宋体" w:hAnsi="宋体"/>
          <w:color w:val="auto"/>
          <w:szCs w:val="21"/>
        </w:rPr>
      </w:pPr>
      <w:r>
        <w:rPr>
          <w:rFonts w:hint="eastAsia" w:ascii="宋体" w:hAnsi="宋体"/>
          <w:color w:val="auto"/>
          <w:szCs w:val="21"/>
        </w:rPr>
        <w:t>8.付款方式、时间及条件</w:t>
      </w:r>
    </w:p>
    <w:p w14:paraId="01DA05CA">
      <w:pPr>
        <w:spacing w:line="360" w:lineRule="auto"/>
        <w:rPr>
          <w:rFonts w:ascii="宋体" w:hAnsi="宋体"/>
          <w:color w:val="auto"/>
          <w:szCs w:val="21"/>
        </w:rPr>
      </w:pPr>
      <w:r>
        <w:rPr>
          <w:rFonts w:hint="eastAsia" w:ascii="宋体" w:hAnsi="宋体"/>
          <w:color w:val="auto"/>
          <w:szCs w:val="21"/>
        </w:rPr>
        <w:t>详见采购文件合同主要条款格式部分</w:t>
      </w:r>
    </w:p>
    <w:p w14:paraId="601010FC">
      <w:pPr>
        <w:spacing w:line="360" w:lineRule="auto"/>
        <w:rPr>
          <w:rFonts w:ascii="宋体" w:hAnsi="宋体"/>
          <w:color w:val="auto"/>
          <w:szCs w:val="21"/>
        </w:rPr>
      </w:pPr>
      <w:r>
        <w:rPr>
          <w:rFonts w:hint="eastAsia" w:ascii="宋体" w:hAnsi="宋体"/>
          <w:color w:val="auto"/>
          <w:szCs w:val="21"/>
        </w:rPr>
        <w:t>9.履约保证金</w:t>
      </w:r>
    </w:p>
    <w:p w14:paraId="68232FB7">
      <w:pPr>
        <w:spacing w:line="360" w:lineRule="auto"/>
        <w:rPr>
          <w:rFonts w:ascii="宋体" w:hAnsi="宋体"/>
          <w:color w:val="auto"/>
          <w:szCs w:val="21"/>
        </w:rPr>
      </w:pPr>
      <w:r>
        <w:rPr>
          <w:rFonts w:hint="eastAsia" w:ascii="宋体" w:hAnsi="宋体"/>
          <w:color w:val="auto"/>
          <w:szCs w:val="21"/>
        </w:rPr>
        <w:t>详见采购文件合同主要条款格式部分</w:t>
      </w:r>
    </w:p>
    <w:p w14:paraId="669FC1EB">
      <w:pPr>
        <w:spacing w:line="360" w:lineRule="auto"/>
        <w:rPr>
          <w:rFonts w:ascii="宋体" w:hAnsi="宋体" w:cs="Arial"/>
          <w:b/>
          <w:color w:val="auto"/>
          <w:kern w:val="0"/>
          <w:sz w:val="28"/>
          <w:szCs w:val="28"/>
        </w:rPr>
      </w:pPr>
      <w:r>
        <w:rPr>
          <w:rFonts w:hint="eastAsia" w:ascii="宋体" w:hAnsi="宋体" w:cs="Arial"/>
          <w:b/>
          <w:color w:val="auto"/>
          <w:kern w:val="0"/>
          <w:sz w:val="28"/>
          <w:szCs w:val="28"/>
        </w:rPr>
        <w:t>四、其他要求</w:t>
      </w:r>
    </w:p>
    <w:p w14:paraId="26002732">
      <w:pPr>
        <w:spacing w:line="528" w:lineRule="exact"/>
        <w:ind w:firstLine="211" w:firstLineChars="100"/>
        <w:rPr>
          <w:rFonts w:hint="eastAsia" w:hAnsi="宋体" w:cs="Times New Roman"/>
          <w:b/>
          <w:color w:val="auto"/>
        </w:rPr>
        <w:sectPr>
          <w:pgSz w:w="11906" w:h="16838"/>
          <w:pgMar w:top="851" w:right="1133" w:bottom="1246" w:left="1418" w:header="851" w:footer="797" w:gutter="0"/>
          <w:cols w:space="720" w:num="1"/>
          <w:docGrid w:linePitch="312" w:charSpace="0"/>
        </w:sectPr>
      </w:pPr>
      <w:r>
        <w:rPr>
          <w:rFonts w:hint="eastAsia" w:hAnsi="宋体" w:cs="Times New Roman"/>
          <w:b/>
          <w:color w:val="auto"/>
        </w:rPr>
        <w:t>无</w:t>
      </w:r>
    </w:p>
    <w:p w14:paraId="6564B1C6">
      <w:pPr>
        <w:spacing w:line="360" w:lineRule="auto"/>
        <w:outlineLvl w:val="1"/>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3分标：</w:t>
      </w:r>
      <w:r>
        <w:rPr>
          <w:rFonts w:ascii="宋体" w:hAnsi="宋体" w:cs="Arial"/>
          <w:b/>
          <w:color w:val="auto"/>
          <w:kern w:val="0"/>
          <w:sz w:val="28"/>
          <w:szCs w:val="28"/>
          <w:highlight w:val="none"/>
        </w:rPr>
        <w:t>广西工业树产业林布局全景图编制（2026版）</w:t>
      </w:r>
    </w:p>
    <w:p w14:paraId="6304D8B0">
      <w:pPr>
        <w:spacing w:line="360" w:lineRule="auto"/>
        <w:rPr>
          <w:rFonts w:ascii="宋体" w:hAnsi="宋体" w:cs="Arial"/>
          <w:b/>
          <w:color w:val="auto"/>
          <w:kern w:val="0"/>
          <w:sz w:val="28"/>
          <w:szCs w:val="28"/>
          <w:highlight w:val="none"/>
        </w:rPr>
      </w:pPr>
      <w:r>
        <w:rPr>
          <w:rFonts w:ascii="宋体" w:hAnsi="宋体" w:cs="Arial"/>
          <w:b/>
          <w:color w:val="auto"/>
          <w:kern w:val="0"/>
          <w:sz w:val="28"/>
          <w:szCs w:val="28"/>
          <w:highlight w:val="none"/>
        </w:rPr>
        <w:t>一、</w:t>
      </w:r>
      <w:r>
        <w:rPr>
          <w:rFonts w:hint="eastAsia" w:ascii="宋体" w:hAnsi="宋体" w:cs="Arial"/>
          <w:b/>
          <w:color w:val="auto"/>
          <w:kern w:val="0"/>
          <w:sz w:val="28"/>
          <w:szCs w:val="28"/>
          <w:highlight w:val="none"/>
        </w:rPr>
        <w:t>总体</w:t>
      </w:r>
      <w:r>
        <w:rPr>
          <w:rFonts w:ascii="宋体" w:hAnsi="宋体" w:cs="Arial"/>
          <w:b/>
          <w:color w:val="auto"/>
          <w:kern w:val="0"/>
          <w:sz w:val="28"/>
          <w:szCs w:val="28"/>
          <w:highlight w:val="none"/>
        </w:rPr>
        <w:t>要求</w:t>
      </w:r>
    </w:p>
    <w:p w14:paraId="4BF9B705">
      <w:pPr>
        <w:spacing w:line="360" w:lineRule="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.政府采购政策的应用</w:t>
      </w:r>
    </w:p>
    <w:p w14:paraId="45EF27E9">
      <w:pPr>
        <w:spacing w:line="360" w:lineRule="auto"/>
        <w:rPr>
          <w:rFonts w:ascii="宋体" w:hAnsi="宋体"/>
          <w:color w:val="auto"/>
          <w:szCs w:val="21"/>
          <w:highlight w:val="none"/>
        </w:rPr>
      </w:pPr>
      <w:r>
        <w:rPr>
          <w:rFonts w:hint="eastAsia" w:ascii="宋体" w:hAnsi="宋体"/>
          <w:color w:val="auto"/>
          <w:szCs w:val="21"/>
          <w:highlight w:val="none"/>
        </w:rPr>
        <w:t>详见采购文件“评审方法及标准</w:t>
      </w:r>
      <w:r>
        <w:rPr>
          <w:rFonts w:ascii="宋体" w:hAnsi="宋体"/>
          <w:color w:val="auto"/>
          <w:szCs w:val="21"/>
          <w:highlight w:val="none"/>
        </w:rPr>
        <w:t>/政府采购政策应用说明”。</w:t>
      </w:r>
    </w:p>
    <w:p w14:paraId="02DB0178">
      <w:pPr>
        <w:spacing w:line="360" w:lineRule="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.采购需求要求未尽事宜</w:t>
      </w:r>
      <w:r>
        <w:rPr>
          <w:rFonts w:ascii="宋体" w:hAnsi="宋体"/>
          <w:color w:val="auto"/>
          <w:szCs w:val="21"/>
          <w:highlight w:val="none"/>
        </w:rPr>
        <w:t>由</w:t>
      </w:r>
      <w:r>
        <w:rPr>
          <w:rFonts w:hint="eastAsia" w:ascii="宋体" w:hAnsi="宋体"/>
          <w:color w:val="auto"/>
          <w:szCs w:val="21"/>
          <w:highlight w:val="none"/>
        </w:rPr>
        <w:t>采购人与成交供应商</w:t>
      </w:r>
      <w:r>
        <w:rPr>
          <w:rFonts w:ascii="宋体" w:hAnsi="宋体"/>
          <w:color w:val="auto"/>
          <w:szCs w:val="21"/>
          <w:highlight w:val="none"/>
        </w:rPr>
        <w:t>在采购合同中约定。</w:t>
      </w:r>
    </w:p>
    <w:p w14:paraId="26D41AAF">
      <w:pPr>
        <w:spacing w:line="360" w:lineRule="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标注“▲”的条款或要求系指实质性条款或实质性要求，必须满足，如存在负偏离将导致响应</w:t>
      </w:r>
      <w:r>
        <w:rPr>
          <w:rFonts w:hint="eastAsia" w:ascii="宋体" w:hAnsi="宋体"/>
          <w:color w:val="auto"/>
          <w:szCs w:val="21"/>
          <w:highlight w:val="none"/>
        </w:rPr>
        <w:t>无效</w:t>
      </w:r>
      <w:r>
        <w:rPr>
          <w:rFonts w:ascii="宋体" w:hAnsi="宋体"/>
          <w:color w:val="auto"/>
          <w:szCs w:val="21"/>
          <w:highlight w:val="none"/>
        </w:rPr>
        <w:t>。</w:t>
      </w:r>
    </w:p>
    <w:p w14:paraId="321066FF">
      <w:pPr>
        <w:spacing w:line="360" w:lineRule="auto"/>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二、技术要求</w:t>
      </w:r>
    </w:p>
    <w:p w14:paraId="3A4C10B1">
      <w:pPr>
        <w:spacing w:line="360" w:lineRule="auto"/>
        <w:rPr>
          <w:rFonts w:ascii="宋体" w:hAnsi="宋体"/>
          <w:color w:val="auto"/>
          <w:szCs w:val="21"/>
          <w:highlight w:val="none"/>
        </w:rPr>
      </w:pPr>
      <w:r>
        <w:rPr>
          <w:rFonts w:hint="eastAsia" w:ascii="宋体" w:hAnsi="宋体"/>
          <w:color w:val="auto"/>
          <w:szCs w:val="21"/>
          <w:highlight w:val="none"/>
        </w:rPr>
        <w:t>1.需实现的功能、目标及应用场景</w:t>
      </w:r>
    </w:p>
    <w:p w14:paraId="132917CB">
      <w:pPr>
        <w:spacing w:line="360" w:lineRule="auto"/>
        <w:rPr>
          <w:rFonts w:ascii="宋体" w:hAnsi="宋体"/>
          <w:color w:val="auto"/>
          <w:szCs w:val="21"/>
          <w:highlight w:val="none"/>
        </w:rPr>
      </w:pPr>
      <w:r>
        <w:rPr>
          <w:rFonts w:hint="eastAsia" w:ascii="宋体" w:hAnsi="宋体"/>
          <w:color w:val="auto"/>
          <w:szCs w:val="21"/>
          <w:highlight w:val="none"/>
        </w:rPr>
        <w:t>满足采购文件要求，验收达到合格标准。</w:t>
      </w:r>
    </w:p>
    <w:p w14:paraId="2A8270C8">
      <w:pPr>
        <w:spacing w:line="360" w:lineRule="auto"/>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需执行的国家相关标准、行业标准、地方标准或者其他标准、规范</w:t>
      </w:r>
    </w:p>
    <w:p w14:paraId="692D7EAC">
      <w:pPr>
        <w:spacing w:line="360" w:lineRule="auto"/>
        <w:rPr>
          <w:rFonts w:ascii="宋体" w:hAnsi="宋体"/>
          <w:i/>
          <w:color w:val="auto"/>
          <w:szCs w:val="21"/>
          <w:highlight w:val="none"/>
          <w:u w:val="single"/>
        </w:rPr>
      </w:pPr>
      <w:r>
        <w:rPr>
          <w:rFonts w:hint="eastAsia" w:ascii="宋体" w:hAnsi="宋体"/>
          <w:color w:val="auto"/>
          <w:szCs w:val="21"/>
          <w:highlight w:val="none"/>
        </w:rPr>
        <w:t>本项目应执行的国家相关标准、行业标准、地方标准或者其他标准、规范为：</w:t>
      </w:r>
      <w:r>
        <w:rPr>
          <w:rFonts w:hint="eastAsia" w:ascii="宋体" w:hAnsi="宋体"/>
          <w:i/>
          <w:color w:val="auto"/>
          <w:szCs w:val="21"/>
          <w:highlight w:val="none"/>
          <w:u w:val="single"/>
        </w:rPr>
        <w:t>详见技术指标要求</w:t>
      </w:r>
    </w:p>
    <w:p w14:paraId="11617A68">
      <w:pPr>
        <w:spacing w:line="360" w:lineRule="auto"/>
        <w:rPr>
          <w:rFonts w:ascii="宋体" w:hAnsi="宋体"/>
          <w:color w:val="auto"/>
          <w:szCs w:val="21"/>
          <w:highlight w:val="none"/>
        </w:rPr>
      </w:pPr>
      <w:r>
        <w:rPr>
          <w:rFonts w:hint="eastAsia" w:ascii="宋体" w:hAnsi="宋体"/>
          <w:color w:val="auto"/>
          <w:szCs w:val="21"/>
          <w:highlight w:val="none"/>
        </w:rPr>
        <w:t>3.标的所属行业：</w:t>
      </w:r>
      <w:r>
        <w:rPr>
          <w:rFonts w:ascii="宋体" w:hAnsi="宋体"/>
          <w:b/>
          <w:bCs/>
          <w:color w:val="auto"/>
          <w:szCs w:val="21"/>
          <w:highlight w:val="none"/>
        </w:rPr>
        <w:t>其他未列明行业</w:t>
      </w:r>
    </w:p>
    <w:p w14:paraId="63A1AD2A">
      <w:pPr>
        <w:spacing w:line="360" w:lineRule="auto"/>
        <w:rPr>
          <w:rFonts w:ascii="宋体" w:hAnsi="宋体"/>
          <w:color w:val="auto"/>
          <w:szCs w:val="21"/>
          <w:highlight w:val="none"/>
        </w:rPr>
      </w:pPr>
      <w:r>
        <w:rPr>
          <w:rFonts w:hint="eastAsia" w:ascii="宋体" w:hAnsi="宋体"/>
          <w:color w:val="auto"/>
          <w:szCs w:val="21"/>
          <w:highlight w:val="none"/>
        </w:rPr>
        <w:t>4.核心产品</w:t>
      </w:r>
    </w:p>
    <w:p w14:paraId="4C7D05BD">
      <w:pPr>
        <w:spacing w:line="360" w:lineRule="auto"/>
        <w:rPr>
          <w:rFonts w:ascii="宋体" w:hAnsi="宋体"/>
          <w:color w:val="auto"/>
          <w:szCs w:val="21"/>
          <w:highlight w:val="none"/>
        </w:rPr>
      </w:pPr>
      <w:r>
        <w:rPr>
          <w:rFonts w:hint="eastAsia" w:ascii="宋体" w:hAnsi="宋体"/>
          <w:color w:val="auto"/>
          <w:szCs w:val="21"/>
          <w:highlight w:val="none"/>
        </w:rPr>
        <w:t>本项目为服务项目，不适用核心产品规定。</w:t>
      </w:r>
    </w:p>
    <w:p w14:paraId="7352098F">
      <w:pPr>
        <w:spacing w:line="360" w:lineRule="auto"/>
        <w:rPr>
          <w:rFonts w:ascii="宋体" w:hAnsi="宋体"/>
          <w:color w:val="auto"/>
          <w:szCs w:val="21"/>
          <w:highlight w:val="none"/>
        </w:rPr>
      </w:pPr>
      <w:r>
        <w:rPr>
          <w:rFonts w:hint="eastAsia" w:ascii="宋体" w:hAnsi="宋体"/>
          <w:color w:val="auto"/>
          <w:szCs w:val="21"/>
          <w:highlight w:val="none"/>
        </w:rPr>
        <w:t>5.服务内容和标准</w:t>
      </w:r>
    </w:p>
    <w:p w14:paraId="2D45B45A">
      <w:pPr>
        <w:spacing w:line="360" w:lineRule="auto"/>
        <w:rPr>
          <w:rFonts w:ascii="宋体" w:hAnsi="宋体"/>
          <w:color w:val="auto"/>
          <w:highlight w:val="none"/>
        </w:rPr>
      </w:pPr>
      <w:r>
        <w:rPr>
          <w:rFonts w:hint="eastAsia" w:ascii="宋体" w:hAnsi="宋体"/>
          <w:color w:val="auto"/>
          <w:szCs w:val="21"/>
          <w:highlight w:val="none"/>
        </w:rPr>
        <w:t>5.1项目背景：“十五五”时期，广西壮族自治区党委、政府立足国家所需、广西所能，集中优势资源、聚焦优势产业，作出全力打造制造业十大现代化支柱产业的战略部署。根据广西的资源禀赋、产业基础和发展空间，明确制造业十大现代化支柱产业的发展目标和重点方向。按照广西壮族自治区党委、政府关于建强做实“五个一”工作推进机制的部署要求，编制完善广西工业树产业林布局全景图。</w:t>
      </w:r>
    </w:p>
    <w:p w14:paraId="6624AED8">
      <w:pPr>
        <w:spacing w:line="360" w:lineRule="auto"/>
        <w:rPr>
          <w:rFonts w:ascii="宋体" w:hAnsi="宋体"/>
          <w:color w:val="auto"/>
          <w:szCs w:val="21"/>
          <w:highlight w:val="none"/>
        </w:rPr>
      </w:pPr>
      <w:r>
        <w:rPr>
          <w:rFonts w:hint="eastAsia" w:ascii="宋体" w:hAnsi="宋体"/>
          <w:color w:val="auto"/>
          <w:szCs w:val="21"/>
          <w:highlight w:val="none"/>
        </w:rPr>
        <w:t>5.2服务目标：形成广西工业树产业林布局全景图（2026年）。</w:t>
      </w:r>
    </w:p>
    <w:p w14:paraId="28547F9E">
      <w:pPr>
        <w:spacing w:line="360" w:lineRule="auto"/>
        <w:rPr>
          <w:rFonts w:ascii="宋体" w:hAnsi="宋体"/>
          <w:color w:val="auto"/>
          <w:szCs w:val="21"/>
          <w:highlight w:val="none"/>
        </w:rPr>
      </w:pPr>
      <w:r>
        <w:rPr>
          <w:rFonts w:hint="eastAsia" w:ascii="宋体" w:hAnsi="宋体"/>
          <w:color w:val="auto"/>
          <w:szCs w:val="21"/>
          <w:highlight w:val="none"/>
        </w:rPr>
        <w:t>5.3服务内容：梳理十大支柱产业上下游产业链最新情况，梳理产业规划布局情况，提出产业链强链补链延链方向，更新形成广西工业树产业林布局全景图（2026年）。</w:t>
      </w:r>
    </w:p>
    <w:p w14:paraId="4CB0A07F">
      <w:pPr>
        <w:spacing w:line="360" w:lineRule="auto"/>
        <w:rPr>
          <w:rFonts w:ascii="宋体" w:hAnsi="宋体"/>
          <w:color w:val="auto"/>
          <w:szCs w:val="21"/>
          <w:highlight w:val="none"/>
        </w:rPr>
      </w:pPr>
      <w:r>
        <w:rPr>
          <w:rFonts w:ascii="宋体" w:hAnsi="宋体"/>
          <w:color w:val="auto"/>
          <w:szCs w:val="21"/>
          <w:highlight w:val="none"/>
        </w:rPr>
        <w:t>5.4拟投入人员要求：</w:t>
      </w:r>
      <w:r>
        <w:rPr>
          <w:rStyle w:val="58"/>
          <w:rFonts w:hint="eastAsia" w:ascii="宋体" w:hAnsi="宋体"/>
          <w:color w:val="auto"/>
          <w:highlight w:val="none"/>
        </w:rPr>
        <w:t>项目负责人</w:t>
      </w:r>
      <w:r>
        <w:rPr>
          <w:rFonts w:ascii="宋体" w:hAnsi="宋体"/>
          <w:color w:val="auto"/>
          <w:szCs w:val="21"/>
          <w:highlight w:val="none"/>
        </w:rPr>
        <w:t>参与过类似工业规划、工业发展课题或专项研究，</w:t>
      </w:r>
      <w:r>
        <w:rPr>
          <w:rStyle w:val="58"/>
          <w:rFonts w:hint="eastAsia" w:ascii="宋体" w:hAnsi="宋体"/>
          <w:color w:val="auto"/>
          <w:highlight w:val="none"/>
        </w:rPr>
        <w:t>拥有工程类、经济类</w:t>
      </w:r>
      <w:r>
        <w:rPr>
          <w:rFonts w:ascii="宋体" w:hAnsi="宋体"/>
          <w:color w:val="auto"/>
          <w:szCs w:val="21"/>
          <w:highlight w:val="none"/>
        </w:rPr>
        <w:t>硕士（含）</w:t>
      </w:r>
      <w:r>
        <w:rPr>
          <w:rStyle w:val="58"/>
          <w:rFonts w:hint="eastAsia" w:ascii="宋体" w:hAnsi="宋体"/>
          <w:color w:val="auto"/>
          <w:highlight w:val="none"/>
        </w:rPr>
        <w:t>及以上学历或工程系列、经济类正高级职称，从事工业规划发展研究工作等经历</w:t>
      </w:r>
      <w:r>
        <w:rPr>
          <w:rStyle w:val="58"/>
          <w:rFonts w:ascii="宋体" w:hAnsi="宋体"/>
          <w:color w:val="auto"/>
          <w:highlight w:val="none"/>
        </w:rPr>
        <w:t>15</w:t>
      </w:r>
      <w:r>
        <w:rPr>
          <w:rStyle w:val="58"/>
          <w:rFonts w:hint="eastAsia" w:ascii="宋体" w:hAnsi="宋体"/>
          <w:color w:val="auto"/>
          <w:highlight w:val="none"/>
        </w:rPr>
        <w:t>年（含）以上。拟投入团队人员</w:t>
      </w:r>
      <w:r>
        <w:rPr>
          <w:rStyle w:val="58"/>
          <w:rFonts w:ascii="宋体" w:hAnsi="宋体"/>
          <w:color w:val="auto"/>
          <w:highlight w:val="none"/>
        </w:rPr>
        <w:t>3人及以上。</w:t>
      </w:r>
    </w:p>
    <w:p w14:paraId="5A267C6E">
      <w:pPr>
        <w:spacing w:line="360" w:lineRule="auto"/>
        <w:rPr>
          <w:rFonts w:ascii="宋体" w:hAnsi="宋体"/>
          <w:color w:val="auto"/>
          <w:szCs w:val="21"/>
          <w:highlight w:val="none"/>
        </w:rPr>
      </w:pPr>
    </w:p>
    <w:p w14:paraId="11807788">
      <w:pPr>
        <w:spacing w:line="360" w:lineRule="auto"/>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三、商务要求</w:t>
      </w:r>
    </w:p>
    <w:p w14:paraId="087661A5">
      <w:pPr>
        <w:spacing w:line="360" w:lineRule="auto"/>
        <w:rPr>
          <w:rFonts w:ascii="宋体" w:hAnsi="宋体"/>
          <w:color w:val="auto"/>
          <w:szCs w:val="21"/>
          <w:highlight w:val="none"/>
        </w:rPr>
      </w:pPr>
      <w:r>
        <w:rPr>
          <w:rFonts w:hint="eastAsia" w:ascii="宋体" w:hAnsi="宋体"/>
          <w:color w:val="auto"/>
          <w:szCs w:val="21"/>
          <w:highlight w:val="none"/>
        </w:rPr>
        <w:t>1．报价要求</w:t>
      </w:r>
    </w:p>
    <w:p w14:paraId="408CA420">
      <w:pPr>
        <w:spacing w:line="360" w:lineRule="auto"/>
        <w:rPr>
          <w:rFonts w:ascii="宋体" w:hAnsi="宋体"/>
          <w:color w:val="auto"/>
          <w:szCs w:val="21"/>
          <w:highlight w:val="none"/>
        </w:rPr>
      </w:pPr>
      <w:r>
        <w:rPr>
          <w:rFonts w:ascii="宋体" w:hAnsi="宋体"/>
          <w:color w:val="auto"/>
          <w:szCs w:val="21"/>
          <w:highlight w:val="none"/>
        </w:rPr>
        <w:t>本次报价须为人民币报价，包含服务交付成果、设计、编绘、组织、策划、调研、技术协助、技术指导等类似服务内容的全部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6E812767">
      <w:pPr>
        <w:spacing w:line="360" w:lineRule="auto"/>
        <w:rPr>
          <w:rFonts w:ascii="宋体" w:hAnsi="宋体"/>
          <w:color w:val="auto"/>
          <w:szCs w:val="21"/>
          <w:highlight w:val="none"/>
        </w:rPr>
      </w:pPr>
      <w:r>
        <w:rPr>
          <w:rFonts w:hint="eastAsia" w:ascii="宋体" w:hAnsi="宋体"/>
          <w:color w:val="auto"/>
          <w:szCs w:val="21"/>
          <w:highlight w:val="none"/>
        </w:rPr>
        <w:t>2.合同签订日期</w:t>
      </w:r>
    </w:p>
    <w:p w14:paraId="6BD19B11">
      <w:pPr>
        <w:spacing w:line="360" w:lineRule="auto"/>
        <w:rPr>
          <w:rFonts w:ascii="宋体" w:hAnsi="宋体"/>
          <w:i/>
          <w:color w:val="auto"/>
          <w:sz w:val="28"/>
          <w:szCs w:val="28"/>
          <w:highlight w:val="none"/>
        </w:rPr>
      </w:pPr>
      <w:r>
        <w:rPr>
          <w:rFonts w:hint="eastAsia" w:ascii="宋体" w:hAnsi="宋体"/>
          <w:color w:val="auto"/>
          <w:szCs w:val="21"/>
          <w:highlight w:val="none"/>
        </w:rPr>
        <w:t>成交通知书发出后25日内。</w:t>
      </w:r>
    </w:p>
    <w:p w14:paraId="6336D6BB">
      <w:pPr>
        <w:spacing w:line="360" w:lineRule="auto"/>
        <w:rPr>
          <w:rFonts w:ascii="宋体" w:hAnsi="宋体"/>
          <w:color w:val="auto"/>
          <w:szCs w:val="21"/>
          <w:highlight w:val="none"/>
        </w:rPr>
      </w:pPr>
      <w:r>
        <w:rPr>
          <w:rFonts w:hint="eastAsia" w:ascii="宋体" w:hAnsi="宋体"/>
          <w:color w:val="auto"/>
          <w:szCs w:val="21"/>
          <w:highlight w:val="none"/>
        </w:rPr>
        <w:t>3.服务（实施）时间</w:t>
      </w:r>
    </w:p>
    <w:p w14:paraId="49D8B201">
      <w:pPr>
        <w:spacing w:line="360" w:lineRule="auto"/>
        <w:rPr>
          <w:rFonts w:ascii="宋体" w:hAnsi="宋体"/>
          <w:color w:val="auto"/>
          <w:szCs w:val="21"/>
          <w:highlight w:val="none"/>
        </w:rPr>
      </w:pPr>
      <w:r>
        <w:rPr>
          <w:rFonts w:hint="eastAsia" w:ascii="宋体" w:hAnsi="宋体"/>
          <w:color w:val="auto"/>
          <w:kern w:val="0"/>
          <w:szCs w:val="21"/>
          <w:highlight w:val="none"/>
        </w:rPr>
        <w:t>2026年9月前结题验收。</w:t>
      </w:r>
    </w:p>
    <w:p w14:paraId="1931A3B0">
      <w:pPr>
        <w:spacing w:line="360" w:lineRule="auto"/>
        <w:rPr>
          <w:rFonts w:ascii="宋体" w:hAnsi="宋体"/>
          <w:color w:val="auto"/>
          <w:szCs w:val="21"/>
          <w:highlight w:val="none"/>
        </w:rPr>
      </w:pPr>
      <w:r>
        <w:rPr>
          <w:rFonts w:hint="eastAsia" w:ascii="宋体" w:hAnsi="宋体"/>
          <w:color w:val="auto"/>
          <w:szCs w:val="21"/>
          <w:highlight w:val="none"/>
        </w:rPr>
        <w:t>4.交货地点或服务地点</w:t>
      </w:r>
    </w:p>
    <w:p w14:paraId="206149D1">
      <w:pPr>
        <w:spacing w:line="360" w:lineRule="auto"/>
        <w:rPr>
          <w:rFonts w:ascii="宋体" w:hAnsi="宋体"/>
          <w:color w:val="auto"/>
          <w:szCs w:val="21"/>
          <w:highlight w:val="none"/>
        </w:rPr>
      </w:pPr>
      <w:r>
        <w:rPr>
          <w:rFonts w:ascii="宋体" w:hAnsi="宋体"/>
          <w:color w:val="auto"/>
          <w:szCs w:val="21"/>
          <w:highlight w:val="none"/>
        </w:rPr>
        <w:t>采购人指定地点。</w:t>
      </w:r>
    </w:p>
    <w:p w14:paraId="4F599737">
      <w:pPr>
        <w:spacing w:line="360" w:lineRule="auto"/>
        <w:rPr>
          <w:rFonts w:ascii="宋体" w:hAnsi="宋体"/>
          <w:color w:val="auto"/>
          <w:szCs w:val="21"/>
          <w:highlight w:val="none"/>
        </w:rPr>
      </w:pPr>
      <w:r>
        <w:rPr>
          <w:rFonts w:hint="eastAsia" w:ascii="宋体" w:hAnsi="宋体"/>
          <w:color w:val="auto"/>
          <w:szCs w:val="21"/>
          <w:highlight w:val="none"/>
        </w:rPr>
        <w:t>5.验收标准</w:t>
      </w:r>
    </w:p>
    <w:p w14:paraId="3B0AECFA">
      <w:pPr>
        <w:spacing w:line="360" w:lineRule="auto"/>
        <w:rPr>
          <w:rFonts w:ascii="宋体" w:hAnsi="宋体"/>
          <w:color w:val="auto"/>
          <w:szCs w:val="21"/>
          <w:highlight w:val="none"/>
        </w:rPr>
      </w:pPr>
      <w:r>
        <w:rPr>
          <w:rFonts w:hint="eastAsia" w:ascii="宋体" w:hAnsi="宋体"/>
          <w:color w:val="auto"/>
          <w:szCs w:val="21"/>
          <w:highlight w:val="none"/>
        </w:rPr>
        <w:t>详见采购文件合同主要条款格式部分</w:t>
      </w:r>
    </w:p>
    <w:p w14:paraId="2D31FE0D">
      <w:pPr>
        <w:spacing w:line="360" w:lineRule="auto"/>
        <w:rPr>
          <w:rFonts w:ascii="宋体" w:hAnsi="宋体"/>
          <w:color w:val="auto"/>
          <w:szCs w:val="21"/>
          <w:highlight w:val="none"/>
        </w:rPr>
      </w:pPr>
      <w:r>
        <w:rPr>
          <w:rFonts w:hint="eastAsia" w:ascii="宋体" w:hAnsi="宋体"/>
          <w:color w:val="auto"/>
          <w:szCs w:val="21"/>
          <w:highlight w:val="none"/>
        </w:rPr>
        <w:t>6.服务标准、期限、效率</w:t>
      </w:r>
    </w:p>
    <w:p w14:paraId="71EBFA48">
      <w:pPr>
        <w:spacing w:line="360" w:lineRule="auto"/>
        <w:rPr>
          <w:rFonts w:ascii="宋体" w:hAnsi="宋体"/>
          <w:color w:val="auto"/>
          <w:szCs w:val="21"/>
          <w:highlight w:val="none"/>
        </w:rPr>
      </w:pPr>
      <w:r>
        <w:rPr>
          <w:rFonts w:hint="eastAsia" w:ascii="宋体" w:hAnsi="宋体"/>
          <w:color w:val="auto"/>
          <w:szCs w:val="21"/>
          <w:highlight w:val="none"/>
        </w:rPr>
        <w:t>6.1电话咨询</w:t>
      </w:r>
    </w:p>
    <w:p w14:paraId="04ED99E4">
      <w:pPr>
        <w:spacing w:line="360" w:lineRule="auto"/>
        <w:rPr>
          <w:rFonts w:ascii="宋体" w:hAnsi="宋体"/>
          <w:color w:val="auto"/>
          <w:szCs w:val="21"/>
          <w:highlight w:val="none"/>
        </w:rPr>
      </w:pPr>
      <w:r>
        <w:rPr>
          <w:rFonts w:hint="eastAsia" w:ascii="宋体" w:hAnsi="宋体"/>
          <w:color w:val="auto"/>
          <w:szCs w:val="21"/>
          <w:highlight w:val="none"/>
        </w:rPr>
        <w:t>成交供应商应当为采购人提供技术援助电话，解答采购人在使用中遇到的问题，及时为采购人提出解决问题的建议。</w:t>
      </w:r>
    </w:p>
    <w:p w14:paraId="2A356B83">
      <w:pPr>
        <w:spacing w:line="360" w:lineRule="auto"/>
        <w:rPr>
          <w:rFonts w:ascii="宋体" w:hAnsi="宋体"/>
          <w:color w:val="auto"/>
          <w:szCs w:val="21"/>
          <w:highlight w:val="none"/>
        </w:rPr>
      </w:pPr>
      <w:r>
        <w:rPr>
          <w:rFonts w:hint="eastAsia" w:ascii="宋体" w:hAnsi="宋体"/>
          <w:color w:val="auto"/>
          <w:szCs w:val="21"/>
          <w:highlight w:val="none"/>
        </w:rPr>
        <w:t>6.2现场响应</w:t>
      </w:r>
    </w:p>
    <w:p w14:paraId="5E6A5675">
      <w:pPr>
        <w:spacing w:line="360" w:lineRule="auto"/>
        <w:rPr>
          <w:rFonts w:ascii="宋体" w:hAnsi="宋体"/>
          <w:color w:val="auto"/>
          <w:szCs w:val="21"/>
          <w:highlight w:val="none"/>
        </w:rPr>
      </w:pPr>
      <w:r>
        <w:rPr>
          <w:rFonts w:hint="eastAsia" w:ascii="宋体" w:hAnsi="宋体"/>
          <w:color w:val="auto"/>
          <w:szCs w:val="21"/>
          <w:highlight w:val="none"/>
        </w:rPr>
        <w:t>采购人遇到使用或技术问题，电话咨询不能解决的，成交供应商应在2小时内到达现场进行处理。</w:t>
      </w:r>
    </w:p>
    <w:p w14:paraId="3083A67D">
      <w:pPr>
        <w:spacing w:line="360" w:lineRule="auto"/>
        <w:rPr>
          <w:rFonts w:ascii="宋体" w:hAnsi="宋体"/>
          <w:color w:val="auto"/>
          <w:szCs w:val="21"/>
          <w:highlight w:val="none"/>
        </w:rPr>
      </w:pPr>
      <w:r>
        <w:rPr>
          <w:rFonts w:hint="eastAsia" w:ascii="宋体" w:hAnsi="宋体"/>
          <w:color w:val="auto"/>
          <w:szCs w:val="21"/>
          <w:highlight w:val="none"/>
        </w:rPr>
        <w:t>7.培训</w:t>
      </w:r>
    </w:p>
    <w:p w14:paraId="4596D709">
      <w:pPr>
        <w:spacing w:line="360" w:lineRule="auto"/>
        <w:rPr>
          <w:rFonts w:ascii="宋体" w:hAnsi="宋体"/>
          <w:color w:val="auto"/>
          <w:szCs w:val="21"/>
          <w:highlight w:val="none"/>
        </w:rPr>
      </w:pPr>
      <w:r>
        <w:rPr>
          <w:rFonts w:hint="eastAsia" w:ascii="宋体" w:hAnsi="宋体"/>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46C45500">
      <w:pPr>
        <w:spacing w:line="360" w:lineRule="auto"/>
        <w:rPr>
          <w:rFonts w:ascii="宋体" w:hAnsi="宋体"/>
          <w:color w:val="auto"/>
          <w:szCs w:val="21"/>
          <w:highlight w:val="none"/>
        </w:rPr>
      </w:pPr>
      <w:r>
        <w:rPr>
          <w:rFonts w:hint="eastAsia" w:ascii="宋体" w:hAnsi="宋体"/>
          <w:color w:val="auto"/>
          <w:szCs w:val="21"/>
          <w:highlight w:val="none"/>
        </w:rPr>
        <w:t>8.付款方式、时间及条件</w:t>
      </w:r>
    </w:p>
    <w:p w14:paraId="74FDCDF1">
      <w:pPr>
        <w:spacing w:line="360" w:lineRule="auto"/>
        <w:rPr>
          <w:rFonts w:ascii="宋体" w:hAnsi="宋体"/>
          <w:color w:val="auto"/>
          <w:szCs w:val="21"/>
          <w:highlight w:val="none"/>
        </w:rPr>
      </w:pPr>
      <w:r>
        <w:rPr>
          <w:rFonts w:hint="eastAsia" w:ascii="宋体" w:hAnsi="宋体"/>
          <w:color w:val="auto"/>
          <w:szCs w:val="21"/>
          <w:highlight w:val="none"/>
        </w:rPr>
        <w:t>详见采购文件合同主要条款格式部分</w:t>
      </w:r>
    </w:p>
    <w:p w14:paraId="47D29ACD">
      <w:pPr>
        <w:spacing w:line="360" w:lineRule="auto"/>
        <w:rPr>
          <w:rFonts w:ascii="宋体" w:hAnsi="宋体"/>
          <w:color w:val="auto"/>
          <w:szCs w:val="21"/>
          <w:highlight w:val="none"/>
        </w:rPr>
      </w:pPr>
      <w:r>
        <w:rPr>
          <w:rFonts w:hint="eastAsia" w:ascii="宋体" w:hAnsi="宋体"/>
          <w:color w:val="auto"/>
          <w:szCs w:val="21"/>
          <w:highlight w:val="none"/>
        </w:rPr>
        <w:t>9.履约保证金</w:t>
      </w:r>
    </w:p>
    <w:p w14:paraId="758974E0">
      <w:pPr>
        <w:spacing w:line="360" w:lineRule="auto"/>
        <w:rPr>
          <w:rFonts w:ascii="宋体" w:hAnsi="宋体"/>
          <w:color w:val="auto"/>
          <w:szCs w:val="21"/>
          <w:highlight w:val="none"/>
        </w:rPr>
      </w:pPr>
      <w:r>
        <w:rPr>
          <w:rFonts w:hint="eastAsia" w:ascii="宋体" w:hAnsi="宋体"/>
          <w:color w:val="auto"/>
          <w:szCs w:val="21"/>
          <w:highlight w:val="none"/>
        </w:rPr>
        <w:t>详见采购文件合同主要条款格式部分</w:t>
      </w:r>
    </w:p>
    <w:p w14:paraId="35559D60">
      <w:pPr>
        <w:spacing w:line="360" w:lineRule="auto"/>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四、其他要求</w:t>
      </w:r>
    </w:p>
    <w:p w14:paraId="24774254">
      <w:pPr>
        <w:pStyle w:val="2"/>
        <w:rPr>
          <w:rFonts w:hint="eastAsia" w:hAnsi="宋体" w:cs="Times New Roman"/>
          <w:b/>
          <w:color w:val="auto"/>
          <w:highlight w:val="none"/>
        </w:rPr>
        <w:sectPr>
          <w:pgSz w:w="11906" w:h="16838"/>
          <w:pgMar w:top="851" w:right="1133" w:bottom="1246" w:left="1418" w:header="851" w:footer="797" w:gutter="0"/>
          <w:cols w:space="720" w:num="1"/>
          <w:docGrid w:linePitch="312" w:charSpace="0"/>
        </w:sectPr>
      </w:pPr>
      <w:r>
        <w:rPr>
          <w:rFonts w:hint="eastAsia" w:hAnsi="宋体" w:cs="Times New Roman"/>
          <w:b/>
          <w:color w:val="auto"/>
          <w:highlight w:val="none"/>
        </w:rPr>
        <w:t>无</w:t>
      </w:r>
    </w:p>
    <w:p w14:paraId="4CA20431">
      <w:pPr>
        <w:spacing w:after="160" w:line="360" w:lineRule="auto"/>
        <w:outlineLvl w:val="1"/>
        <w:rPr>
          <w:rFonts w:ascii="宋体" w:hAnsi="宋体" w:cs="Arial"/>
          <w:b/>
          <w:color w:val="000000" w:themeColor="text1"/>
          <w:kern w:val="0"/>
          <w:sz w:val="28"/>
          <w:szCs w:val="28"/>
          <w14:textFill>
            <w14:solidFill>
              <w14:schemeClr w14:val="tx1"/>
            </w14:solidFill>
          </w14:textFill>
        </w:rPr>
      </w:pPr>
      <w:r>
        <w:rPr>
          <w:rFonts w:ascii="宋体" w:hAnsi="宋体" w:cs="Arial"/>
          <w:b/>
          <w:color w:val="000000" w:themeColor="text1"/>
          <w:kern w:val="0"/>
          <w:sz w:val="28"/>
          <w:szCs w:val="28"/>
          <w14:textFill>
            <w14:solidFill>
              <w14:schemeClr w14:val="tx1"/>
            </w14:solidFill>
          </w14:textFill>
        </w:rPr>
        <w:t>4分标：广西关键金属先进制造业集群培育发展研究</w:t>
      </w:r>
    </w:p>
    <w:p w14:paraId="7E879C7F">
      <w:pPr>
        <w:spacing w:after="160" w:line="360" w:lineRule="auto"/>
        <w:rPr>
          <w:rFonts w:ascii="宋体" w:hAnsi="宋体" w:cs="Arial"/>
          <w:b/>
          <w:color w:val="000000" w:themeColor="text1"/>
          <w:kern w:val="0"/>
          <w:sz w:val="28"/>
          <w:szCs w:val="28"/>
          <w14:textFill>
            <w14:solidFill>
              <w14:schemeClr w14:val="tx1"/>
            </w14:solidFill>
          </w14:textFill>
        </w:rPr>
      </w:pPr>
      <w:r>
        <w:rPr>
          <w:rFonts w:ascii="宋体" w:hAnsi="宋体" w:cs="Arial"/>
          <w:b/>
          <w:color w:val="000000" w:themeColor="text1"/>
          <w:kern w:val="0"/>
          <w:sz w:val="28"/>
          <w:szCs w:val="28"/>
          <w14:textFill>
            <w14:solidFill>
              <w14:schemeClr w14:val="tx1"/>
            </w14:solidFill>
          </w14:textFill>
        </w:rPr>
        <w:t>一、总体要求</w:t>
      </w:r>
    </w:p>
    <w:p w14:paraId="338BA607">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1.政府采购政策的应用</w:t>
      </w:r>
    </w:p>
    <w:p w14:paraId="0F6D37FB">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详见采购文件“评审方法及标准/政府采购政策应用说明”。</w:t>
      </w:r>
    </w:p>
    <w:p w14:paraId="6C095F10">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2.采购需求要求未尽事宜由采购人与成交供应商在采购合同中约定。</w:t>
      </w:r>
    </w:p>
    <w:p w14:paraId="3E90E292">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3.标注“▲”的条款或要求系指实质性条款或实质性要求，必须满足，如存在负偏离将导致响应无效。</w:t>
      </w:r>
    </w:p>
    <w:p w14:paraId="5750DB52">
      <w:pPr>
        <w:spacing w:after="160" w:line="360" w:lineRule="auto"/>
        <w:rPr>
          <w:rFonts w:ascii="宋体" w:hAnsi="宋体" w:cs="Arial"/>
          <w:b/>
          <w:color w:val="000000" w:themeColor="text1"/>
          <w:kern w:val="0"/>
          <w:sz w:val="28"/>
          <w:szCs w:val="28"/>
          <w14:textFill>
            <w14:solidFill>
              <w14:schemeClr w14:val="tx1"/>
            </w14:solidFill>
          </w14:textFill>
        </w:rPr>
      </w:pPr>
      <w:r>
        <w:rPr>
          <w:rFonts w:ascii="宋体" w:hAnsi="宋体" w:cs="Arial"/>
          <w:b/>
          <w:color w:val="000000" w:themeColor="text1"/>
          <w:kern w:val="0"/>
          <w:sz w:val="28"/>
          <w:szCs w:val="28"/>
          <w14:textFill>
            <w14:solidFill>
              <w14:schemeClr w14:val="tx1"/>
            </w14:solidFill>
          </w14:textFill>
        </w:rPr>
        <w:t>二、技术要求</w:t>
      </w:r>
    </w:p>
    <w:p w14:paraId="53FAC24A">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1.需实现的功能、目标及应用场景</w:t>
      </w:r>
    </w:p>
    <w:p w14:paraId="55FC6121">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满足采购文件要求，验收达到合格标准。</w:t>
      </w:r>
    </w:p>
    <w:p w14:paraId="4E271D6F">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2.需执行的国家相关标准、行业标准、地方标准或者其他标准、规范</w:t>
      </w:r>
    </w:p>
    <w:p w14:paraId="4DA0FB1F">
      <w:pPr>
        <w:spacing w:after="160" w:line="360" w:lineRule="auto"/>
        <w:rPr>
          <w:rFonts w:ascii="宋体" w:hAnsi="宋体"/>
          <w:i/>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本项目应执行的国家相关标准、行业标准、地方标准或者其他标准、规范为：</w:t>
      </w:r>
      <w:r>
        <w:rPr>
          <w:rFonts w:ascii="宋体" w:hAnsi="宋体"/>
          <w:i/>
          <w:color w:val="000000" w:themeColor="text1"/>
          <w:szCs w:val="21"/>
          <w:u w:val="single"/>
          <w14:textFill>
            <w14:solidFill>
              <w14:schemeClr w14:val="tx1"/>
            </w14:solidFill>
          </w14:textFill>
        </w:rPr>
        <w:t>详见技术指标要求</w:t>
      </w:r>
    </w:p>
    <w:p w14:paraId="33CEBF43">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3.标的所属行业：</w:t>
      </w:r>
      <w:r>
        <w:rPr>
          <w:rFonts w:ascii="宋体" w:hAnsi="宋体"/>
          <w:b/>
          <w:bCs/>
          <w:color w:val="000000" w:themeColor="text1"/>
          <w:szCs w:val="21"/>
          <w14:textFill>
            <w14:solidFill>
              <w14:schemeClr w14:val="tx1"/>
            </w14:solidFill>
          </w14:textFill>
        </w:rPr>
        <w:t>其他未列明行业</w:t>
      </w:r>
    </w:p>
    <w:p w14:paraId="1D8C2F81">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4.核心产品</w:t>
      </w:r>
    </w:p>
    <w:p w14:paraId="26072A40">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本项目为服务项目，不适用核心产品规定。</w:t>
      </w:r>
    </w:p>
    <w:p w14:paraId="7BECB08A">
      <w:pPr>
        <w:numPr>
          <w:ilvl w:val="0"/>
          <w:numId w:val="1"/>
        </w:numPr>
        <w:spacing w:after="160" w:line="360" w:lineRule="auto"/>
        <w:rPr>
          <w:rFonts w:ascii="宋体" w:hAns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服务内容和标准</w:t>
      </w:r>
    </w:p>
    <w:p w14:paraId="423D8F6D">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5.1项目背景：</w:t>
      </w:r>
    </w:p>
    <w:p w14:paraId="4EB414A6">
      <w:pPr>
        <w:spacing w:after="160" w:line="360" w:lineRule="auto"/>
        <w:rPr>
          <w:rFonts w:ascii="宋体" w:hAnsi="宋体"/>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w:t>
      </w:r>
      <w:r>
        <w:rPr>
          <w:rFonts w:hint="eastAsia" w:ascii="宋体" w:hAnsi="宋体" w:cs="宋体"/>
          <w:color w:val="000000" w:themeColor="text1"/>
          <w:szCs w:val="21"/>
          <w:shd w:val="clear" w:color="auto" w:fill="FFFFFF"/>
          <w14:textFill>
            <w14:solidFill>
              <w14:schemeClr w14:val="tx1"/>
            </w14:solidFill>
          </w14:textFill>
        </w:rPr>
        <w:t>广西壮族自治区国民经济和社会发展第十五个五年规划纲要》部署</w:t>
      </w:r>
      <w:r>
        <w:rPr>
          <w:rFonts w:ascii="宋体" w:hAnsi="宋体" w:cs="Helvetica"/>
          <w:color w:val="000000" w:themeColor="text1"/>
          <w:szCs w:val="21"/>
          <w:shd w:val="clear" w:color="auto" w:fill="FFFFFF"/>
          <w14:textFill>
            <w14:solidFill>
              <w14:schemeClr w14:val="tx1"/>
            </w14:solidFill>
          </w14:textFill>
        </w:rPr>
        <w:t>“</w:t>
      </w:r>
      <w:r>
        <w:rPr>
          <w:rFonts w:hint="eastAsia" w:ascii="宋体" w:hAnsi="宋体" w:cs="宋体"/>
          <w:color w:val="000000" w:themeColor="text1"/>
          <w:szCs w:val="21"/>
          <w:shd w:val="clear" w:color="auto" w:fill="FFFFFF"/>
          <w14:textFill>
            <w14:solidFill>
              <w14:schemeClr w14:val="tx1"/>
            </w14:solidFill>
          </w14:textFill>
        </w:rPr>
        <w:t>加快培育先进制造业集群</w:t>
      </w:r>
      <w:r>
        <w:rPr>
          <w:rFonts w:hint="eastAsia" w:ascii="宋体" w:hAnsi="宋体" w:cs="Helvetica"/>
          <w:color w:val="000000" w:themeColor="text1"/>
          <w:szCs w:val="21"/>
          <w:shd w:val="clear" w:color="auto" w:fill="FFFFFF"/>
          <w14:textFill>
            <w14:solidFill>
              <w14:schemeClr w14:val="tx1"/>
            </w14:solidFill>
          </w14:textFill>
        </w:rPr>
        <w:t>”</w:t>
      </w:r>
      <w:r>
        <w:rPr>
          <w:rFonts w:hint="eastAsia" w:ascii="宋体" w:hAnsi="宋体" w:cs="宋体"/>
          <w:color w:val="000000" w:themeColor="text1"/>
          <w:szCs w:val="21"/>
          <w:shd w:val="clear" w:color="auto" w:fill="FFFFFF"/>
          <w14:textFill>
            <w14:solidFill>
              <w14:schemeClr w14:val="tx1"/>
            </w14:solidFill>
          </w14:textFill>
        </w:rPr>
        <w:t>专项工作任务</w:t>
      </w:r>
      <w:r>
        <w:rPr>
          <w:rFonts w:ascii="宋体" w:hAnsi="宋体"/>
          <w:color w:val="000000" w:themeColor="text1"/>
          <w:szCs w:val="21"/>
          <w14:textFill>
            <w14:solidFill>
              <w14:schemeClr w14:val="tx1"/>
            </w14:solidFill>
          </w14:textFill>
        </w:rPr>
        <w:t>，提出重点打造关键金属集群。为更好落实</w:t>
      </w:r>
      <w:r>
        <w:rPr>
          <w:rFonts w:hint="eastAsia" w:ascii="宋体" w:hAnsi="宋体"/>
          <w:color w:val="000000" w:themeColor="text1"/>
          <w:szCs w:val="21"/>
          <w14:textFill>
            <w14:solidFill>
              <w14:schemeClr w14:val="tx1"/>
            </w14:solidFill>
          </w14:textFill>
        </w:rPr>
        <w:t>广西壮族</w:t>
      </w:r>
      <w:r>
        <w:rPr>
          <w:rFonts w:ascii="宋体" w:hAnsi="宋体"/>
          <w:color w:val="000000" w:themeColor="text1"/>
          <w:szCs w:val="21"/>
          <w14:textFill>
            <w14:solidFill>
              <w14:schemeClr w14:val="tx1"/>
            </w14:solidFill>
          </w14:textFill>
        </w:rPr>
        <w:t>自治区工作安排，亟需加快开展研究编制形成“</w:t>
      </w:r>
      <w:r>
        <w:rPr>
          <w:rFonts w:ascii="宋体" w:hAnsi="宋体"/>
          <w:color w:val="000000" w:themeColor="text1"/>
          <w14:textFill>
            <w14:solidFill>
              <w14:schemeClr w14:val="tx1"/>
            </w14:solidFill>
          </w14:textFill>
        </w:rPr>
        <w:t>广西关键金属先进制造业集群培育发展研究</w:t>
      </w:r>
      <w:r>
        <w:rPr>
          <w:rFonts w:ascii="宋体" w:hAnsi="宋体"/>
          <w:color w:val="000000" w:themeColor="text1"/>
          <w:szCs w:val="21"/>
          <w14:textFill>
            <w14:solidFill>
              <w14:schemeClr w14:val="tx1"/>
            </w14:solidFill>
          </w14:textFill>
        </w:rPr>
        <w:t>”，梳理</w:t>
      </w:r>
      <w:r>
        <w:rPr>
          <w:rFonts w:hint="eastAsia" w:ascii="宋体" w:hAnsi="宋体"/>
          <w:color w:val="000000" w:themeColor="text1"/>
          <w14:textFill>
            <w14:solidFill>
              <w14:schemeClr w14:val="tx1"/>
            </w14:solidFill>
          </w14:textFill>
        </w:rPr>
        <w:t>广西壮族自治区</w:t>
      </w:r>
      <w:r>
        <w:rPr>
          <w:rFonts w:ascii="宋体" w:hAnsi="宋体"/>
          <w:color w:val="000000" w:themeColor="text1"/>
          <w:szCs w:val="21"/>
          <w14:textFill>
            <w14:solidFill>
              <w14:schemeClr w14:val="tx1"/>
            </w14:solidFill>
          </w14:textFill>
        </w:rPr>
        <w:t>关键金属发展现状、在国家发展中的主要定位以及下一步工作建议，为</w:t>
      </w:r>
      <w:r>
        <w:rPr>
          <w:rFonts w:hint="eastAsia" w:ascii="宋体" w:hAnsi="宋体"/>
          <w:color w:val="000000" w:themeColor="text1"/>
          <w14:textFill>
            <w14:solidFill>
              <w14:schemeClr w14:val="tx1"/>
            </w14:solidFill>
          </w14:textFill>
        </w:rPr>
        <w:t>广西壮族自治区</w:t>
      </w:r>
      <w:r>
        <w:rPr>
          <w:rFonts w:ascii="宋体" w:hAnsi="宋体"/>
          <w:color w:val="000000" w:themeColor="text1"/>
          <w:szCs w:val="21"/>
          <w14:textFill>
            <w14:solidFill>
              <w14:schemeClr w14:val="tx1"/>
            </w14:solidFill>
          </w14:textFill>
        </w:rPr>
        <w:t>更好开展集群培育提供研究支撑</w:t>
      </w:r>
      <w:r>
        <w:rPr>
          <w:rFonts w:ascii="宋体" w:hAnsi="宋体"/>
          <w:color w:val="000000" w:themeColor="text1"/>
          <w14:textFill>
            <w14:solidFill>
              <w14:schemeClr w14:val="tx1"/>
            </w14:solidFill>
          </w14:textFill>
        </w:rPr>
        <w:t>。</w:t>
      </w:r>
    </w:p>
    <w:p w14:paraId="6D890C27">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5.3服务内容：</w:t>
      </w:r>
    </w:p>
    <w:p w14:paraId="3DA42AEE">
      <w:pPr>
        <w:spacing w:after="160"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聚焦</w:t>
      </w:r>
      <w:r>
        <w:rPr>
          <w:rFonts w:hint="eastAsia" w:ascii="宋体" w:hAnsi="宋体"/>
          <w:color w:val="000000" w:themeColor="text1"/>
          <w14:textFill>
            <w14:solidFill>
              <w14:schemeClr w14:val="tx1"/>
            </w14:solidFill>
          </w14:textFill>
        </w:rPr>
        <w:t>广西壮族自治区</w:t>
      </w:r>
      <w:r>
        <w:rPr>
          <w:rFonts w:ascii="宋体" w:hAnsi="宋体"/>
          <w:color w:val="000000" w:themeColor="text1"/>
          <w14:textFill>
            <w14:solidFill>
              <w14:schemeClr w14:val="tx1"/>
            </w14:solidFill>
          </w14:textFill>
        </w:rPr>
        <w:t>河池、南宁、百色、崇左、玉林等重点地市9种关键金属（锡、锑、铟、镓、锗、镍、钴、锂、稀土）产业发展情况，从服务新兴产业发展、国家发展、地方经济发展等角度出发，论证、阐述</w:t>
      </w:r>
      <w:r>
        <w:rPr>
          <w:rFonts w:hint="eastAsia" w:ascii="宋体" w:hAnsi="宋体"/>
          <w:color w:val="000000" w:themeColor="text1"/>
          <w14:textFill>
            <w14:solidFill>
              <w14:schemeClr w14:val="tx1"/>
            </w14:solidFill>
          </w14:textFill>
        </w:rPr>
        <w:t>广西壮族自治区</w:t>
      </w:r>
      <w:r>
        <w:rPr>
          <w:rFonts w:ascii="宋体" w:hAnsi="宋体"/>
          <w:color w:val="000000" w:themeColor="text1"/>
          <w14:textFill>
            <w14:solidFill>
              <w14:schemeClr w14:val="tx1"/>
            </w14:solidFill>
          </w14:textFill>
        </w:rPr>
        <w:t>关键金属产业对保障国家产业安全、服务国家新兴产业发展、服务国家“双循环”战略、打造世界级产业集群的重要产略意义，编制广西关键金属先进制造业集群培育发展研究。</w:t>
      </w:r>
    </w:p>
    <w:p w14:paraId="5E0FC28D">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5.2服务目标：</w:t>
      </w:r>
    </w:p>
    <w:p w14:paraId="1DA7901D">
      <w:pPr>
        <w:spacing w:after="160" w:line="360" w:lineRule="auto"/>
        <w:rPr>
          <w:rFonts w:ascii="宋体" w:hAnsi="宋体"/>
          <w:color w:val="000000" w:themeColor="text1"/>
          <w:lang w:val="en"/>
          <w14:textFill>
            <w14:solidFill>
              <w14:schemeClr w14:val="tx1"/>
            </w14:solidFill>
          </w14:textFill>
        </w:rPr>
      </w:pPr>
      <w:r>
        <w:rPr>
          <w:rFonts w:ascii="宋体" w:hAnsi="宋体"/>
          <w:color w:val="000000" w:themeColor="text1"/>
          <w14:textFill>
            <w14:solidFill>
              <w14:schemeClr w14:val="tx1"/>
            </w14:solidFill>
          </w14:textFill>
        </w:rPr>
        <w:t>编制</w:t>
      </w:r>
      <w:r>
        <w:rPr>
          <w:rFonts w:ascii="宋体" w:hAnsi="宋体"/>
          <w:color w:val="000000" w:themeColor="text1"/>
          <w:lang w:val="en"/>
          <w14:textFill>
            <w14:solidFill>
              <w14:schemeClr w14:val="tx1"/>
            </w14:solidFill>
          </w14:textFill>
        </w:rPr>
        <w:t>形成“</w:t>
      </w:r>
      <w:r>
        <w:rPr>
          <w:rFonts w:ascii="宋体" w:hAnsi="宋体"/>
          <w:color w:val="000000" w:themeColor="text1"/>
          <w14:textFill>
            <w14:solidFill>
              <w14:schemeClr w14:val="tx1"/>
            </w14:solidFill>
          </w14:textFill>
        </w:rPr>
        <w:t>广西关键金属先进制造业集群培育发展研究</w:t>
      </w:r>
      <w:r>
        <w:rPr>
          <w:rFonts w:ascii="宋体" w:hAnsi="宋体"/>
          <w:color w:val="000000" w:themeColor="text1"/>
          <w:lang w:val="en"/>
          <w14:textFill>
            <w14:solidFill>
              <w14:schemeClr w14:val="tx1"/>
            </w14:solidFill>
          </w14:textFill>
        </w:rPr>
        <w:t>”。</w:t>
      </w:r>
    </w:p>
    <w:p w14:paraId="405069CC">
      <w:pPr>
        <w:spacing w:after="160" w:line="360" w:lineRule="auto"/>
        <w:rPr>
          <w:rFonts w:ascii="宋体" w:hAnsi="宋体"/>
          <w:b/>
          <w:bCs/>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▲5.4拟投入人员要求：</w:t>
      </w:r>
    </w:p>
    <w:p w14:paraId="67F798F7">
      <w:pPr>
        <w:spacing w:after="160"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为确保高质高效完成广西关键金属先进制造业集群培育发展研究，须组建一支专业能力强、经验丰富的专家团队。拟投入人员应符合以下要求：</w:t>
      </w:r>
    </w:p>
    <w:p w14:paraId="20B41E1D">
      <w:pPr>
        <w:spacing w:after="160"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(1)项目负责人：具有正高级职称，长期从事工业规划、产业经济、有色金属及关键金属等领域研究工作，主持过省部级以上重大产业规划或行业研究项目。</w:t>
      </w:r>
    </w:p>
    <w:p w14:paraId="38F404F8">
      <w:pPr>
        <w:spacing w:after="160"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(2)核心技术骨干：应配备具备中级及以上职称的核心技术骨干，覆盖有色金属及关键金属、产业政策、市场研究、绿色低碳、智能制造等关键领域。</w:t>
      </w:r>
    </w:p>
    <w:p w14:paraId="046F6E0C">
      <w:pPr>
        <w:spacing w:after="160" w:line="360" w:lineRule="auto"/>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研究支撑人员：应配备专业研究分析人员，具备有色金属及关键金属行业研究经验产业分析、数据处理与报告撰写能力，能够协助完成资料收集、实地调研、数据分析等基础工作。</w:t>
      </w:r>
    </w:p>
    <w:p w14:paraId="41DD6E91">
      <w:pPr>
        <w:spacing w:after="160" w:line="360" w:lineRule="auto"/>
        <w:rPr>
          <w:rFonts w:ascii="宋体" w:hAnsi="宋体" w:cs="Arial"/>
          <w:b/>
          <w:color w:val="000000" w:themeColor="text1"/>
          <w:kern w:val="0"/>
          <w:sz w:val="28"/>
          <w:szCs w:val="28"/>
          <w14:textFill>
            <w14:solidFill>
              <w14:schemeClr w14:val="tx1"/>
            </w14:solidFill>
          </w14:textFill>
        </w:rPr>
      </w:pPr>
      <w:r>
        <w:rPr>
          <w:rFonts w:ascii="宋体" w:hAnsi="宋体" w:cs="Arial"/>
          <w:b/>
          <w:color w:val="000000" w:themeColor="text1"/>
          <w:kern w:val="0"/>
          <w:sz w:val="28"/>
          <w:szCs w:val="28"/>
          <w14:textFill>
            <w14:solidFill>
              <w14:schemeClr w14:val="tx1"/>
            </w14:solidFill>
          </w14:textFill>
        </w:rPr>
        <w:t>三、商务要求</w:t>
      </w:r>
    </w:p>
    <w:p w14:paraId="66E790F5">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1．报价要求</w:t>
      </w:r>
    </w:p>
    <w:p w14:paraId="5CB0F080">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本次报价须为人民币报价，包含服务交付成果、设计、编绘、组织、策划、调研、技术协助、技术指导等类似服务内容的全部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0B07551D">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2.合同签订日期</w:t>
      </w:r>
    </w:p>
    <w:p w14:paraId="3359019E">
      <w:pPr>
        <w:spacing w:after="160" w:line="360" w:lineRule="auto"/>
        <w:rPr>
          <w:rFonts w:ascii="宋体" w:hAnsi="宋体"/>
          <w:i/>
          <w:color w:val="000000" w:themeColor="text1"/>
          <w:sz w:val="28"/>
          <w:szCs w:val="28"/>
          <w14:textFill>
            <w14:solidFill>
              <w14:schemeClr w14:val="tx1"/>
            </w14:solidFill>
          </w14:textFill>
        </w:rPr>
      </w:pPr>
      <w:r>
        <w:rPr>
          <w:rFonts w:ascii="宋体" w:hAnsi="宋体"/>
          <w:color w:val="000000" w:themeColor="text1"/>
          <w:szCs w:val="21"/>
          <w14:textFill>
            <w14:solidFill>
              <w14:schemeClr w14:val="tx1"/>
            </w14:solidFill>
          </w14:textFill>
        </w:rPr>
        <w:t>成交通知书发出后25日内。</w:t>
      </w:r>
    </w:p>
    <w:p w14:paraId="789FDA32">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3.服务（实施）时间</w:t>
      </w:r>
    </w:p>
    <w:p w14:paraId="27829B2A">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自签订合同之日起至2026年10月31日。</w:t>
      </w:r>
    </w:p>
    <w:p w14:paraId="58875C6B">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4.交货地点或服务地点</w:t>
      </w:r>
    </w:p>
    <w:p w14:paraId="5BF15D9F">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采购人指定地点。</w:t>
      </w:r>
    </w:p>
    <w:p w14:paraId="55A1740D">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5.验收标准</w:t>
      </w:r>
    </w:p>
    <w:p w14:paraId="2DEE0804">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详见采购文件合同主要条款格式部分</w:t>
      </w:r>
    </w:p>
    <w:p w14:paraId="1FB64D82">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6.服务标准、期限、效率</w:t>
      </w:r>
    </w:p>
    <w:p w14:paraId="2FC835B7">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6.1电话咨询</w:t>
      </w:r>
    </w:p>
    <w:p w14:paraId="2EC17DE1">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成交供应商应当为采购人提供技术援助电话，解答采购人在使用中遇到的问题，及时为采购人提出解决问题的建议。</w:t>
      </w:r>
    </w:p>
    <w:p w14:paraId="5006F6C1">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6.2现场响应</w:t>
      </w:r>
    </w:p>
    <w:p w14:paraId="36353809">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采购人遇到使用或技术问题，电话咨询不能解决的，成交供应商应在2小时内到达现场进行处理。</w:t>
      </w:r>
    </w:p>
    <w:p w14:paraId="32B376A7">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7.培训</w:t>
      </w:r>
    </w:p>
    <w:p w14:paraId="29DBC627">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6F4D85B4">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8.付款方式、时间及条件</w:t>
      </w:r>
    </w:p>
    <w:p w14:paraId="0C0F4BCC">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详见采购文件合同主要条款格式部分</w:t>
      </w:r>
    </w:p>
    <w:p w14:paraId="41DB78E6">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9.履约保证金</w:t>
      </w:r>
    </w:p>
    <w:p w14:paraId="1BB9D457">
      <w:pPr>
        <w:spacing w:after="160" w:line="360"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详见采购文件合同主要条款格式部分</w:t>
      </w:r>
    </w:p>
    <w:p w14:paraId="4313DDB4">
      <w:pPr>
        <w:spacing w:after="160" w:line="360" w:lineRule="auto"/>
        <w:rPr>
          <w:rFonts w:ascii="宋体" w:hAnsi="宋体" w:cs="Arial"/>
          <w:b/>
          <w:color w:val="000000" w:themeColor="text1"/>
          <w:kern w:val="0"/>
          <w:sz w:val="28"/>
          <w:szCs w:val="28"/>
          <w14:textFill>
            <w14:solidFill>
              <w14:schemeClr w14:val="tx1"/>
            </w14:solidFill>
          </w14:textFill>
        </w:rPr>
      </w:pPr>
      <w:r>
        <w:rPr>
          <w:rFonts w:ascii="宋体" w:hAnsi="宋体" w:cs="Arial"/>
          <w:b/>
          <w:color w:val="000000" w:themeColor="text1"/>
          <w:kern w:val="0"/>
          <w:sz w:val="28"/>
          <w:szCs w:val="28"/>
          <w14:textFill>
            <w14:solidFill>
              <w14:schemeClr w14:val="tx1"/>
            </w14:solidFill>
          </w14:textFill>
        </w:rPr>
        <w:t>四、其他要求</w:t>
      </w:r>
    </w:p>
    <w:p w14:paraId="241DAA21">
      <w:pPr>
        <w:pStyle w:val="2"/>
        <w:rPr>
          <w:rFonts w:hint="eastAsia" w:hAnsi="宋体" w:cs="Times New Roman"/>
          <w:b/>
          <w:color w:val="auto"/>
          <w:highlight w:val="none"/>
        </w:rPr>
        <w:sectPr>
          <w:pgSz w:w="11906" w:h="16838"/>
          <w:pgMar w:top="851" w:right="1133" w:bottom="1246" w:left="1418" w:header="851" w:footer="797" w:gutter="0"/>
          <w:cols w:space="720" w:num="1"/>
          <w:docGrid w:linePitch="312" w:charSpace="0"/>
        </w:sectPr>
      </w:pPr>
      <w:r>
        <w:rPr>
          <w:rFonts w:hAnsi="宋体" w:cs="Times New Roman"/>
          <w:b/>
          <w:color w:val="000000" w:themeColor="text1"/>
          <w:szCs w:val="24"/>
          <w14:textFill>
            <w14:solidFill>
              <w14:schemeClr w14:val="tx1"/>
            </w14:solidFill>
          </w14:textFill>
        </w:rPr>
        <w:t>无</w:t>
      </w:r>
    </w:p>
    <w:p w14:paraId="0A1F76E3">
      <w:pPr>
        <w:spacing w:line="360" w:lineRule="auto"/>
        <w:outlineLvl w:val="1"/>
        <w:rPr>
          <w:rFonts w:ascii="宋体" w:hAnsi="宋体" w:cs="Arial"/>
          <w:b/>
          <w:color w:val="auto"/>
          <w:kern w:val="0"/>
          <w:sz w:val="28"/>
          <w:szCs w:val="28"/>
        </w:rPr>
      </w:pPr>
      <w:r>
        <w:rPr>
          <w:rFonts w:hint="eastAsia" w:ascii="宋体" w:hAnsi="宋体" w:cs="Arial"/>
          <w:b/>
          <w:color w:val="auto"/>
          <w:kern w:val="0"/>
          <w:sz w:val="28"/>
          <w:szCs w:val="28"/>
        </w:rPr>
        <w:t>5分标：</w:t>
      </w:r>
      <w:r>
        <w:rPr>
          <w:rFonts w:ascii="宋体" w:hAnsi="宋体" w:cs="Arial"/>
          <w:b/>
          <w:color w:val="auto"/>
          <w:kern w:val="0"/>
          <w:sz w:val="28"/>
          <w:szCs w:val="28"/>
        </w:rPr>
        <w:t>2026年广西工业经济运行专题研究</w:t>
      </w:r>
    </w:p>
    <w:p w14:paraId="5A7B4B69">
      <w:pPr>
        <w:spacing w:line="360" w:lineRule="auto"/>
        <w:rPr>
          <w:rFonts w:ascii="宋体" w:hAnsi="宋体" w:cs="Arial"/>
          <w:b/>
          <w:color w:val="auto"/>
          <w:kern w:val="0"/>
          <w:sz w:val="28"/>
          <w:szCs w:val="28"/>
        </w:rPr>
      </w:pPr>
      <w:r>
        <w:rPr>
          <w:rFonts w:ascii="宋体" w:hAnsi="宋体" w:cs="Arial"/>
          <w:b/>
          <w:color w:val="auto"/>
          <w:kern w:val="0"/>
          <w:sz w:val="28"/>
          <w:szCs w:val="28"/>
        </w:rPr>
        <w:t>一、</w:t>
      </w:r>
      <w:r>
        <w:rPr>
          <w:rFonts w:hint="eastAsia" w:ascii="宋体" w:hAnsi="宋体" w:cs="Arial"/>
          <w:b/>
          <w:color w:val="auto"/>
          <w:kern w:val="0"/>
          <w:sz w:val="28"/>
          <w:szCs w:val="28"/>
        </w:rPr>
        <w:t>总体</w:t>
      </w:r>
      <w:r>
        <w:rPr>
          <w:rFonts w:ascii="宋体" w:hAnsi="宋体" w:cs="Arial"/>
          <w:b/>
          <w:color w:val="auto"/>
          <w:kern w:val="0"/>
          <w:sz w:val="28"/>
          <w:szCs w:val="28"/>
        </w:rPr>
        <w:t>要求</w:t>
      </w:r>
    </w:p>
    <w:p w14:paraId="255EB67C">
      <w:pPr>
        <w:spacing w:line="360" w:lineRule="auto"/>
        <w:rPr>
          <w:rFonts w:ascii="宋体" w:hAnsi="宋体"/>
          <w:color w:val="auto"/>
          <w:szCs w:val="21"/>
        </w:rPr>
      </w:pPr>
      <w:r>
        <w:rPr>
          <w:rFonts w:ascii="宋体" w:hAnsi="宋体"/>
          <w:color w:val="auto"/>
          <w:szCs w:val="21"/>
        </w:rPr>
        <w:t>1</w:t>
      </w:r>
      <w:r>
        <w:rPr>
          <w:rFonts w:hint="eastAsia" w:ascii="宋体" w:hAnsi="宋体"/>
          <w:color w:val="auto"/>
          <w:szCs w:val="21"/>
        </w:rPr>
        <w:t>.政府采购政策的应用</w:t>
      </w:r>
    </w:p>
    <w:p w14:paraId="67AB628B">
      <w:pPr>
        <w:spacing w:line="360" w:lineRule="auto"/>
        <w:rPr>
          <w:rFonts w:ascii="宋体" w:hAnsi="宋体"/>
          <w:color w:val="auto"/>
          <w:szCs w:val="21"/>
        </w:rPr>
      </w:pPr>
      <w:r>
        <w:rPr>
          <w:rFonts w:hint="eastAsia" w:ascii="宋体" w:hAnsi="宋体"/>
          <w:color w:val="auto"/>
          <w:szCs w:val="21"/>
        </w:rPr>
        <w:t>详见采购文件“评审方法及标准</w:t>
      </w:r>
      <w:r>
        <w:rPr>
          <w:rFonts w:ascii="宋体" w:hAnsi="宋体"/>
          <w:color w:val="auto"/>
          <w:szCs w:val="21"/>
        </w:rPr>
        <w:t>/政府采购政策应用说明”。</w:t>
      </w:r>
    </w:p>
    <w:p w14:paraId="017B6F3F">
      <w:pPr>
        <w:spacing w:line="360" w:lineRule="auto"/>
        <w:rPr>
          <w:rFonts w:ascii="宋体" w:hAnsi="宋体"/>
          <w:color w:val="auto"/>
          <w:szCs w:val="21"/>
        </w:rPr>
      </w:pPr>
      <w:r>
        <w:rPr>
          <w:rFonts w:ascii="宋体" w:hAnsi="宋体"/>
          <w:color w:val="auto"/>
          <w:szCs w:val="21"/>
        </w:rPr>
        <w:t>2</w:t>
      </w:r>
      <w:r>
        <w:rPr>
          <w:rFonts w:hint="eastAsia" w:ascii="宋体" w:hAnsi="宋体"/>
          <w:color w:val="auto"/>
          <w:szCs w:val="21"/>
        </w:rPr>
        <w:t>.采购需求要求未尽事宜</w:t>
      </w:r>
      <w:r>
        <w:rPr>
          <w:rFonts w:ascii="宋体" w:hAnsi="宋体"/>
          <w:color w:val="auto"/>
          <w:szCs w:val="21"/>
        </w:rPr>
        <w:t>由</w:t>
      </w:r>
      <w:r>
        <w:rPr>
          <w:rFonts w:hint="eastAsia" w:ascii="宋体" w:hAnsi="宋体"/>
          <w:color w:val="auto"/>
          <w:szCs w:val="21"/>
        </w:rPr>
        <w:t>采购人与成交供应商</w:t>
      </w:r>
      <w:r>
        <w:rPr>
          <w:rFonts w:ascii="宋体" w:hAnsi="宋体"/>
          <w:color w:val="auto"/>
          <w:szCs w:val="21"/>
        </w:rPr>
        <w:t>在采购合同中约定。</w:t>
      </w:r>
    </w:p>
    <w:p w14:paraId="66E9BA1B">
      <w:pPr>
        <w:spacing w:line="360" w:lineRule="auto"/>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标注“▲”的条款或要求系指实质性条款或实质性要求，必须满足，如存在负偏离将导致响应</w:t>
      </w:r>
      <w:r>
        <w:rPr>
          <w:rFonts w:hint="eastAsia" w:ascii="宋体" w:hAnsi="宋体"/>
          <w:color w:val="auto"/>
          <w:szCs w:val="21"/>
        </w:rPr>
        <w:t>无效</w:t>
      </w:r>
      <w:r>
        <w:rPr>
          <w:rFonts w:ascii="宋体" w:hAnsi="宋体"/>
          <w:color w:val="auto"/>
          <w:szCs w:val="21"/>
        </w:rPr>
        <w:t>。</w:t>
      </w:r>
    </w:p>
    <w:p w14:paraId="74216FF2">
      <w:pPr>
        <w:spacing w:line="360" w:lineRule="auto"/>
        <w:rPr>
          <w:rFonts w:ascii="宋体" w:hAnsi="宋体" w:cs="Arial"/>
          <w:b/>
          <w:color w:val="auto"/>
          <w:kern w:val="0"/>
          <w:sz w:val="28"/>
          <w:szCs w:val="28"/>
        </w:rPr>
      </w:pPr>
      <w:r>
        <w:rPr>
          <w:rFonts w:hint="eastAsia" w:ascii="宋体" w:hAnsi="宋体" w:cs="Arial"/>
          <w:b/>
          <w:color w:val="auto"/>
          <w:kern w:val="0"/>
          <w:sz w:val="28"/>
          <w:szCs w:val="28"/>
        </w:rPr>
        <w:t>二、技术要求</w:t>
      </w:r>
    </w:p>
    <w:p w14:paraId="53DC9D9B">
      <w:pPr>
        <w:spacing w:line="360" w:lineRule="auto"/>
        <w:rPr>
          <w:rFonts w:ascii="宋体" w:hAnsi="宋体"/>
          <w:color w:val="auto"/>
          <w:szCs w:val="21"/>
        </w:rPr>
      </w:pPr>
      <w:r>
        <w:rPr>
          <w:rFonts w:hint="eastAsia" w:ascii="宋体" w:hAnsi="宋体"/>
          <w:color w:val="auto"/>
          <w:szCs w:val="21"/>
        </w:rPr>
        <w:t>1.需实现的功能、目标及应用场景</w:t>
      </w:r>
    </w:p>
    <w:p w14:paraId="737525F3">
      <w:pPr>
        <w:spacing w:line="360" w:lineRule="auto"/>
        <w:rPr>
          <w:rFonts w:ascii="宋体" w:hAnsi="宋体"/>
          <w:color w:val="auto"/>
          <w:szCs w:val="21"/>
        </w:rPr>
      </w:pPr>
      <w:r>
        <w:rPr>
          <w:rFonts w:hint="eastAsia" w:ascii="宋体" w:hAnsi="宋体"/>
          <w:color w:val="auto"/>
          <w:szCs w:val="21"/>
        </w:rPr>
        <w:t>满足采购文件要求，验收达到合格标准。</w:t>
      </w:r>
    </w:p>
    <w:p w14:paraId="2156AFE8">
      <w:pPr>
        <w:spacing w:line="360" w:lineRule="auto"/>
        <w:rPr>
          <w:rFonts w:ascii="宋体" w:hAnsi="宋体"/>
          <w:color w:val="auto"/>
          <w:szCs w:val="21"/>
        </w:rPr>
      </w:pPr>
      <w:r>
        <w:rPr>
          <w:rFonts w:hint="eastAsia" w:ascii="宋体" w:hAnsi="宋体"/>
          <w:color w:val="auto"/>
          <w:szCs w:val="21"/>
        </w:rPr>
        <w:t>2.</w:t>
      </w:r>
      <w:r>
        <w:rPr>
          <w:rFonts w:ascii="宋体" w:hAnsi="宋体"/>
          <w:color w:val="auto"/>
          <w:szCs w:val="21"/>
        </w:rPr>
        <w:t>需执行的国家相关标准、行业标准、地方标准或者其他标准、规范</w:t>
      </w:r>
    </w:p>
    <w:p w14:paraId="1FC797D7">
      <w:pPr>
        <w:spacing w:line="360" w:lineRule="auto"/>
        <w:rPr>
          <w:rFonts w:ascii="宋体" w:hAnsi="宋体"/>
          <w:i/>
          <w:color w:val="auto"/>
          <w:szCs w:val="21"/>
          <w:u w:val="single"/>
        </w:rPr>
      </w:pPr>
      <w:r>
        <w:rPr>
          <w:rFonts w:hint="eastAsia" w:ascii="宋体" w:hAnsi="宋体"/>
          <w:color w:val="auto"/>
          <w:szCs w:val="21"/>
        </w:rPr>
        <w:t>本项目应执行的国家相关标准、行业标准、地方标准或者其他标准、规范为：</w:t>
      </w:r>
      <w:r>
        <w:rPr>
          <w:rFonts w:hint="eastAsia" w:ascii="宋体" w:hAnsi="宋体"/>
          <w:i/>
          <w:color w:val="auto"/>
          <w:szCs w:val="21"/>
          <w:u w:val="single"/>
        </w:rPr>
        <w:t>详见技术指标要求</w:t>
      </w:r>
    </w:p>
    <w:p w14:paraId="4B0CD051">
      <w:pPr>
        <w:spacing w:line="360" w:lineRule="auto"/>
        <w:rPr>
          <w:rFonts w:ascii="宋体" w:hAnsi="宋体"/>
          <w:color w:val="auto"/>
          <w:szCs w:val="21"/>
        </w:rPr>
      </w:pPr>
      <w:r>
        <w:rPr>
          <w:rFonts w:hint="eastAsia" w:ascii="宋体" w:hAnsi="宋体"/>
          <w:color w:val="auto"/>
          <w:szCs w:val="21"/>
        </w:rPr>
        <w:t>3.标的所属行业：</w:t>
      </w:r>
      <w:r>
        <w:rPr>
          <w:rFonts w:ascii="宋体" w:hAnsi="宋体"/>
          <w:b/>
          <w:bCs/>
          <w:color w:val="auto"/>
          <w:szCs w:val="21"/>
        </w:rPr>
        <w:t>其他未列明行业</w:t>
      </w:r>
    </w:p>
    <w:p w14:paraId="743E9F96">
      <w:pPr>
        <w:spacing w:line="360" w:lineRule="auto"/>
        <w:rPr>
          <w:rFonts w:ascii="宋体" w:hAnsi="宋体"/>
          <w:color w:val="auto"/>
          <w:szCs w:val="21"/>
        </w:rPr>
      </w:pPr>
      <w:r>
        <w:rPr>
          <w:rFonts w:hint="eastAsia" w:ascii="宋体" w:hAnsi="宋体"/>
          <w:color w:val="auto"/>
          <w:szCs w:val="21"/>
        </w:rPr>
        <w:t>4.核心产品</w:t>
      </w:r>
    </w:p>
    <w:p w14:paraId="3762EF00">
      <w:pPr>
        <w:spacing w:line="360" w:lineRule="auto"/>
        <w:rPr>
          <w:rFonts w:ascii="宋体" w:hAnsi="宋体"/>
          <w:color w:val="auto"/>
          <w:szCs w:val="21"/>
        </w:rPr>
      </w:pPr>
      <w:r>
        <w:rPr>
          <w:rFonts w:hint="eastAsia" w:ascii="宋体" w:hAnsi="宋体"/>
          <w:color w:val="auto"/>
          <w:szCs w:val="21"/>
        </w:rPr>
        <w:t>本项目为服务项目，不适用核心产品规定。</w:t>
      </w:r>
    </w:p>
    <w:p w14:paraId="7FDCDEE1">
      <w:pPr>
        <w:spacing w:line="360" w:lineRule="auto"/>
        <w:rPr>
          <w:rFonts w:ascii="宋体" w:hAnsi="宋体"/>
          <w:color w:val="auto"/>
          <w:szCs w:val="21"/>
        </w:rPr>
      </w:pPr>
      <w:r>
        <w:rPr>
          <w:rFonts w:hint="eastAsia" w:ascii="宋体" w:hAnsi="宋体"/>
          <w:color w:val="auto"/>
          <w:szCs w:val="21"/>
        </w:rPr>
        <w:t>5.服务内容和标准</w:t>
      </w:r>
    </w:p>
    <w:p w14:paraId="1F2E2862">
      <w:pPr>
        <w:spacing w:line="360" w:lineRule="auto"/>
        <w:rPr>
          <w:rFonts w:ascii="宋体" w:hAnsi="宋体"/>
          <w:color w:val="auto"/>
          <w:szCs w:val="21"/>
        </w:rPr>
      </w:pPr>
      <w:r>
        <w:rPr>
          <w:rFonts w:hint="eastAsia" w:ascii="宋体" w:hAnsi="宋体"/>
          <w:color w:val="auto"/>
          <w:szCs w:val="21"/>
        </w:rPr>
        <w:t>5.1项目背景：</w:t>
      </w:r>
    </w:p>
    <w:p w14:paraId="6186540E">
      <w:pPr>
        <w:spacing w:line="360" w:lineRule="auto"/>
        <w:rPr>
          <w:color w:val="auto"/>
          <w:szCs w:val="21"/>
        </w:rPr>
      </w:pPr>
      <w:r>
        <w:rPr>
          <w:rFonts w:hint="eastAsia"/>
          <w:color w:val="auto"/>
          <w:szCs w:val="21"/>
        </w:rPr>
        <w:t>（1）国家发展改革委 工业和信息化部《关于振作工业经济运行 推动工业高质量发展的实施方案的通知》（发改产业〔2021〕1780号）要求“加强对工业经济运行态势的跟踪监测，深入分析研判苗头性倾向性潜在性问题，强化预研预判，做好政策储备，全力以赴振作工业经济运行，推动工业高质量发展”。</w:t>
      </w:r>
    </w:p>
    <w:p w14:paraId="78BD1E16">
      <w:pPr>
        <w:spacing w:line="360" w:lineRule="auto"/>
        <w:rPr>
          <w:color w:val="auto"/>
          <w:szCs w:val="21"/>
        </w:rPr>
      </w:pPr>
      <w:r>
        <w:rPr>
          <w:rFonts w:hint="eastAsia"/>
          <w:color w:val="auto"/>
          <w:szCs w:val="21"/>
        </w:rPr>
        <w:t>（2）工业和信息化部多次作出工作部署。2023年01月02日，工业和信息化部提出要“加强工业经济运行监测调度、形势研判和政策储备，适时推出更多政策措施”。2023年8月29日，工业和信息化部指出“要全力做好下阶段经济运行监测协调工作，扎实推动制造业高质量发展。2024年8月23日，工业和信息化部提出“要持续加强经济运行监测分析工作，丰富完善监测调度体系”“要提升重大风险防范化解能力，加强全球经济形势研判和风险应对，做好相关政策储备”。2025年12月25日，工业和信息化部提出“</w:t>
      </w:r>
      <w:r>
        <w:rPr>
          <w:color w:val="auto"/>
          <w:szCs w:val="21"/>
        </w:rPr>
        <w:t>全力巩固工业经济稳中向好态势。</w:t>
      </w:r>
      <w:r>
        <w:rPr>
          <w:rFonts w:hint="eastAsia"/>
          <w:color w:val="auto"/>
          <w:szCs w:val="21"/>
        </w:rPr>
        <w:t>”2026年4月21日，工业和信息化部提出“进一步提升工业经济运行质效”。</w:t>
      </w:r>
    </w:p>
    <w:p w14:paraId="07D9CE48">
      <w:pPr>
        <w:spacing w:line="360" w:lineRule="auto"/>
        <w:rPr>
          <w:color w:val="auto"/>
          <w:szCs w:val="21"/>
        </w:rPr>
      </w:pPr>
      <w:r>
        <w:rPr>
          <w:rFonts w:hint="eastAsia"/>
          <w:color w:val="auto"/>
          <w:szCs w:val="21"/>
        </w:rPr>
        <w:t>（3）工业和信息化部与自治区人民政府的《加快推进广西制造强区建设战略合作协议》提出，广西加强工业经济运行监测。</w:t>
      </w:r>
    </w:p>
    <w:p w14:paraId="06F241D5">
      <w:pPr>
        <w:spacing w:line="360" w:lineRule="auto"/>
        <w:rPr>
          <w:color w:val="auto"/>
          <w:szCs w:val="21"/>
        </w:rPr>
      </w:pPr>
      <w:r>
        <w:rPr>
          <w:rFonts w:hint="eastAsia"/>
          <w:color w:val="auto"/>
          <w:szCs w:val="21"/>
        </w:rPr>
        <w:t>（4）新一轮工业振兴要求建立完善新型工业化监测预计体系。</w:t>
      </w:r>
    </w:p>
    <w:p w14:paraId="3B772946">
      <w:pPr>
        <w:spacing w:line="360" w:lineRule="auto"/>
        <w:rPr>
          <w:rFonts w:ascii="宋体" w:hAnsi="宋体"/>
          <w:color w:val="auto"/>
          <w:szCs w:val="21"/>
        </w:rPr>
      </w:pPr>
      <w:r>
        <w:rPr>
          <w:rFonts w:hint="eastAsia" w:ascii="宋体" w:hAnsi="宋体"/>
          <w:color w:val="auto"/>
          <w:szCs w:val="21"/>
        </w:rPr>
        <w:t>5.2服务目标：深入挖掘广西工业经济运行存在的突出问题，分析影响工业运行的有利因素和不利因素，对广西工业经济运行走势进行季度预判，对广西工业经济运行中的存在重大及突发性事件进行深入研究，形成专题研究分析报告。研究全国其他省市工业经济发展的政策举措，借鉴区内外工业经济发展的经验做法，结合广西工业经济发展实际提出对策建议，建立广西工业经济运行对策工具箱。</w:t>
      </w:r>
    </w:p>
    <w:p w14:paraId="4F98BAF2">
      <w:pPr>
        <w:spacing w:line="360" w:lineRule="auto"/>
        <w:rPr>
          <w:rFonts w:ascii="宋体" w:hAnsi="宋体"/>
          <w:color w:val="auto"/>
          <w:szCs w:val="21"/>
        </w:rPr>
      </w:pPr>
      <w:r>
        <w:rPr>
          <w:rFonts w:hint="eastAsia" w:ascii="宋体" w:hAnsi="宋体"/>
          <w:color w:val="auto"/>
          <w:szCs w:val="21"/>
        </w:rPr>
        <w:t>5.3服务内容：</w:t>
      </w:r>
    </w:p>
    <w:p w14:paraId="2AB77016">
      <w:pPr>
        <w:spacing w:line="360" w:lineRule="auto"/>
        <w:rPr>
          <w:color w:val="auto"/>
          <w:szCs w:val="21"/>
        </w:rPr>
      </w:pPr>
      <w:r>
        <w:rPr>
          <w:color w:val="auto"/>
          <w:szCs w:val="21"/>
        </w:rPr>
        <w:t>（</w:t>
      </w:r>
      <w:r>
        <w:rPr>
          <w:rFonts w:hint="eastAsia"/>
          <w:color w:val="auto"/>
          <w:szCs w:val="21"/>
        </w:rPr>
        <w:t>1</w:t>
      </w:r>
      <w:r>
        <w:rPr>
          <w:color w:val="auto"/>
          <w:szCs w:val="21"/>
        </w:rPr>
        <w:t>）分析总结全国及各地区的政策、工业经济运行情况等其他信息</w:t>
      </w:r>
      <w:r>
        <w:rPr>
          <w:rFonts w:hint="eastAsia"/>
          <w:color w:val="auto"/>
          <w:szCs w:val="21"/>
        </w:rPr>
        <w:t>，撰写2026年广西与周边省份工业经济运行对标分析报告</w:t>
      </w:r>
      <w:r>
        <w:rPr>
          <w:color w:val="auto"/>
          <w:szCs w:val="21"/>
        </w:rPr>
        <w:t>；</w:t>
      </w:r>
    </w:p>
    <w:p w14:paraId="5A53B41D">
      <w:pPr>
        <w:spacing w:line="360" w:lineRule="auto"/>
        <w:rPr>
          <w:color w:val="auto"/>
          <w:szCs w:val="21"/>
        </w:rPr>
      </w:pPr>
      <w:r>
        <w:rPr>
          <w:color w:val="auto"/>
          <w:szCs w:val="21"/>
        </w:rPr>
        <w:t>（</w:t>
      </w:r>
      <w:r>
        <w:rPr>
          <w:rFonts w:hint="eastAsia"/>
          <w:color w:val="auto"/>
          <w:szCs w:val="21"/>
        </w:rPr>
        <w:t>2</w:t>
      </w:r>
      <w:r>
        <w:rPr>
          <w:color w:val="auto"/>
          <w:szCs w:val="21"/>
        </w:rPr>
        <w:t>）深入挖掘广西工业经济运行存在的危险性、苗头性突出问题，形成</w:t>
      </w:r>
      <w:r>
        <w:rPr>
          <w:rFonts w:hint="eastAsia"/>
          <w:color w:val="auto"/>
          <w:szCs w:val="21"/>
        </w:rPr>
        <w:t>2026年广西重大突发事件分析报告</w:t>
      </w:r>
      <w:r>
        <w:rPr>
          <w:color w:val="auto"/>
          <w:szCs w:val="21"/>
        </w:rPr>
        <w:t>；</w:t>
      </w:r>
    </w:p>
    <w:p w14:paraId="5831983F">
      <w:pPr>
        <w:spacing w:line="360" w:lineRule="auto"/>
        <w:rPr>
          <w:color w:val="auto"/>
          <w:szCs w:val="21"/>
        </w:rPr>
      </w:pPr>
      <w:r>
        <w:rPr>
          <w:color w:val="auto"/>
          <w:szCs w:val="21"/>
        </w:rPr>
        <w:t>（</w:t>
      </w:r>
      <w:r>
        <w:rPr>
          <w:rFonts w:hint="eastAsia"/>
          <w:color w:val="auto"/>
          <w:szCs w:val="21"/>
        </w:rPr>
        <w:t>3</w:t>
      </w:r>
      <w:r>
        <w:rPr>
          <w:color w:val="auto"/>
          <w:szCs w:val="21"/>
        </w:rPr>
        <w:t>）</w:t>
      </w:r>
      <w:r>
        <w:rPr>
          <w:rFonts w:hint="eastAsia"/>
          <w:color w:val="auto"/>
          <w:szCs w:val="21"/>
        </w:rPr>
        <w:t>完善广西工业经济运行指数，按照月度提供分析报告，分析广西工业经济运行</w:t>
      </w:r>
      <w:r>
        <w:rPr>
          <w:color w:val="auto"/>
          <w:szCs w:val="21"/>
        </w:rPr>
        <w:t>；</w:t>
      </w:r>
    </w:p>
    <w:p w14:paraId="01AA8F51">
      <w:pPr>
        <w:spacing w:line="360" w:lineRule="auto"/>
        <w:rPr>
          <w:color w:val="auto"/>
          <w:szCs w:val="21"/>
        </w:rPr>
      </w:pPr>
      <w:r>
        <w:rPr>
          <w:color w:val="auto"/>
          <w:szCs w:val="21"/>
        </w:rPr>
        <w:t>（</w:t>
      </w:r>
      <w:r>
        <w:rPr>
          <w:rFonts w:hint="eastAsia"/>
          <w:color w:val="auto"/>
          <w:szCs w:val="21"/>
        </w:rPr>
        <w:t>4</w:t>
      </w:r>
      <w:r>
        <w:rPr>
          <w:color w:val="auto"/>
          <w:szCs w:val="21"/>
        </w:rPr>
        <w:t>）参考区内外工业经济发展的经验做法，研究全国其他省市工业经济发展的政策举措，结合广西工业经济发展实际提出对策建议，形成广西工业经济运行政策工具箱分析；</w:t>
      </w:r>
    </w:p>
    <w:p w14:paraId="0748D585">
      <w:pPr>
        <w:spacing w:line="360" w:lineRule="auto"/>
        <w:rPr>
          <w:color w:val="auto"/>
          <w:szCs w:val="21"/>
        </w:rPr>
      </w:pPr>
      <w:r>
        <w:rPr>
          <w:color w:val="auto"/>
          <w:szCs w:val="21"/>
        </w:rPr>
        <w:t>（5）</w:t>
      </w:r>
      <w:r>
        <w:rPr>
          <w:rFonts w:hint="eastAsia"/>
          <w:color w:val="auto"/>
          <w:szCs w:val="21"/>
        </w:rPr>
        <w:t>分析研判季度、全年国家经济形势有关指标等</w:t>
      </w:r>
      <w:r>
        <w:rPr>
          <w:color w:val="auto"/>
          <w:szCs w:val="21"/>
        </w:rPr>
        <w:t>。</w:t>
      </w:r>
    </w:p>
    <w:p w14:paraId="1034008D">
      <w:pPr>
        <w:spacing w:line="360" w:lineRule="auto"/>
        <w:rPr>
          <w:color w:val="auto"/>
          <w:szCs w:val="21"/>
        </w:rPr>
      </w:pPr>
      <w:r>
        <w:rPr>
          <w:rFonts w:hint="eastAsia" w:ascii="宋体" w:hAnsi="宋体"/>
          <w:color w:val="auto"/>
          <w:szCs w:val="21"/>
        </w:rPr>
        <w:t xml:space="preserve">5.4拟投入人员要求： </w:t>
      </w:r>
      <w:r>
        <w:rPr>
          <w:color w:val="auto"/>
          <w:szCs w:val="21"/>
        </w:rPr>
        <w:t>项目负责人：拥有</w:t>
      </w:r>
      <w:r>
        <w:rPr>
          <w:rFonts w:hint="eastAsia"/>
          <w:color w:val="auto"/>
          <w:szCs w:val="21"/>
        </w:rPr>
        <w:t>经济、社科类正</w:t>
      </w:r>
      <w:r>
        <w:rPr>
          <w:color w:val="auto"/>
          <w:szCs w:val="21"/>
        </w:rPr>
        <w:t>高级职称，具有从事工业发展研究工作经历，参与过类似工业规划、工业发展课题或专项研究，成果经过鉴定或验收。</w:t>
      </w:r>
      <w:r>
        <w:rPr>
          <w:rFonts w:hint="eastAsia"/>
          <w:color w:val="auto"/>
          <w:szCs w:val="21"/>
        </w:rPr>
        <w:t>拟投入团队人员3人及以上。</w:t>
      </w:r>
    </w:p>
    <w:p w14:paraId="1698C8E0">
      <w:pPr>
        <w:spacing w:line="360" w:lineRule="auto"/>
        <w:rPr>
          <w:rFonts w:ascii="宋体" w:hAnsi="宋体" w:cs="Arial"/>
          <w:b/>
          <w:color w:val="auto"/>
          <w:kern w:val="0"/>
          <w:sz w:val="28"/>
          <w:szCs w:val="28"/>
        </w:rPr>
      </w:pPr>
      <w:r>
        <w:rPr>
          <w:rFonts w:hint="eastAsia" w:ascii="宋体" w:hAnsi="宋体" w:cs="Arial"/>
          <w:b/>
          <w:color w:val="auto"/>
          <w:kern w:val="0"/>
          <w:sz w:val="28"/>
          <w:szCs w:val="28"/>
        </w:rPr>
        <w:t>三、商务要求</w:t>
      </w:r>
    </w:p>
    <w:p w14:paraId="391E8D38">
      <w:pPr>
        <w:spacing w:line="360" w:lineRule="auto"/>
        <w:rPr>
          <w:rFonts w:ascii="宋体" w:hAnsi="宋体"/>
          <w:color w:val="auto"/>
          <w:szCs w:val="21"/>
        </w:rPr>
      </w:pPr>
      <w:r>
        <w:rPr>
          <w:rFonts w:hint="eastAsia" w:ascii="宋体" w:hAnsi="宋体"/>
          <w:color w:val="auto"/>
          <w:szCs w:val="21"/>
        </w:rPr>
        <w:t>1．报价要求</w:t>
      </w:r>
    </w:p>
    <w:p w14:paraId="0CB4BEAB">
      <w:pPr>
        <w:spacing w:line="360" w:lineRule="auto"/>
        <w:rPr>
          <w:rFonts w:ascii="宋体" w:hAnsi="宋体"/>
          <w:color w:val="auto"/>
          <w:szCs w:val="21"/>
        </w:rPr>
      </w:pPr>
      <w:r>
        <w:rPr>
          <w:rFonts w:ascii="宋体" w:hAnsi="宋体"/>
          <w:color w:val="auto"/>
          <w:szCs w:val="21"/>
        </w:rPr>
        <w:t>本次报价须为人民币报价，包含服务交付成果、设计、编绘、组织、策划、调研、技术协助、技术指导等类似服务内容的全部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2BB15EEB">
      <w:pPr>
        <w:spacing w:line="360" w:lineRule="auto"/>
        <w:rPr>
          <w:rFonts w:ascii="宋体" w:hAnsi="宋体"/>
          <w:color w:val="auto"/>
          <w:szCs w:val="21"/>
        </w:rPr>
      </w:pPr>
      <w:r>
        <w:rPr>
          <w:rFonts w:hint="eastAsia" w:ascii="宋体" w:hAnsi="宋体"/>
          <w:color w:val="auto"/>
          <w:szCs w:val="21"/>
        </w:rPr>
        <w:t>2.合同签订日期</w:t>
      </w:r>
    </w:p>
    <w:p w14:paraId="1545E53D">
      <w:pPr>
        <w:spacing w:line="360" w:lineRule="auto"/>
        <w:rPr>
          <w:rFonts w:ascii="宋体" w:hAnsi="宋体"/>
          <w:i/>
          <w:color w:val="auto"/>
          <w:sz w:val="28"/>
          <w:szCs w:val="28"/>
        </w:rPr>
      </w:pPr>
      <w:r>
        <w:rPr>
          <w:rFonts w:hint="eastAsia" w:ascii="宋体" w:hAnsi="宋体"/>
          <w:color w:val="auto"/>
          <w:szCs w:val="21"/>
        </w:rPr>
        <w:t>成交通知书发出后25日内。</w:t>
      </w:r>
    </w:p>
    <w:p w14:paraId="6D1A654D">
      <w:pPr>
        <w:spacing w:line="360" w:lineRule="auto"/>
        <w:rPr>
          <w:rFonts w:ascii="宋体" w:hAnsi="宋体"/>
          <w:color w:val="auto"/>
          <w:szCs w:val="21"/>
        </w:rPr>
      </w:pPr>
      <w:r>
        <w:rPr>
          <w:rFonts w:hint="eastAsia" w:ascii="宋体" w:hAnsi="宋体"/>
          <w:color w:val="auto"/>
          <w:szCs w:val="21"/>
        </w:rPr>
        <w:t>3.服务（实施）时间</w:t>
      </w:r>
    </w:p>
    <w:p w14:paraId="09A767A5">
      <w:pPr>
        <w:spacing w:line="360" w:lineRule="auto"/>
        <w:rPr>
          <w:rFonts w:ascii="宋体" w:hAnsi="宋体"/>
          <w:color w:val="auto"/>
          <w:szCs w:val="21"/>
        </w:rPr>
      </w:pPr>
      <w:r>
        <w:rPr>
          <w:rFonts w:hint="eastAsia" w:ascii="宋体" w:hAnsi="宋体"/>
          <w:color w:val="auto"/>
          <w:kern w:val="0"/>
          <w:szCs w:val="21"/>
        </w:rPr>
        <w:t>2026年12月底前完成结题验收。</w:t>
      </w:r>
    </w:p>
    <w:p w14:paraId="73D02F69">
      <w:pPr>
        <w:spacing w:line="360" w:lineRule="auto"/>
        <w:rPr>
          <w:rFonts w:ascii="宋体" w:hAnsi="宋体"/>
          <w:color w:val="auto"/>
          <w:szCs w:val="21"/>
        </w:rPr>
      </w:pPr>
      <w:r>
        <w:rPr>
          <w:rFonts w:hint="eastAsia" w:ascii="宋体" w:hAnsi="宋体"/>
          <w:color w:val="auto"/>
          <w:szCs w:val="21"/>
        </w:rPr>
        <w:t>4.交货地点或服务地点</w:t>
      </w:r>
    </w:p>
    <w:p w14:paraId="5CE6AAD4">
      <w:pPr>
        <w:spacing w:line="360" w:lineRule="auto"/>
        <w:rPr>
          <w:rFonts w:ascii="宋体" w:hAnsi="宋体"/>
          <w:color w:val="auto"/>
          <w:szCs w:val="21"/>
        </w:rPr>
      </w:pPr>
      <w:r>
        <w:rPr>
          <w:rFonts w:ascii="宋体" w:hAnsi="宋体"/>
          <w:color w:val="auto"/>
          <w:szCs w:val="21"/>
        </w:rPr>
        <w:t>采购人指定地点。</w:t>
      </w:r>
    </w:p>
    <w:p w14:paraId="4852E170">
      <w:pPr>
        <w:spacing w:line="360" w:lineRule="auto"/>
        <w:rPr>
          <w:rFonts w:ascii="宋体" w:hAnsi="宋体"/>
          <w:color w:val="auto"/>
          <w:szCs w:val="21"/>
        </w:rPr>
      </w:pPr>
      <w:r>
        <w:rPr>
          <w:rFonts w:hint="eastAsia" w:ascii="宋体" w:hAnsi="宋体"/>
          <w:color w:val="auto"/>
          <w:szCs w:val="21"/>
        </w:rPr>
        <w:t>5.验收标准</w:t>
      </w:r>
    </w:p>
    <w:p w14:paraId="0EA6B5FB">
      <w:pPr>
        <w:spacing w:line="360" w:lineRule="auto"/>
        <w:rPr>
          <w:rFonts w:ascii="宋体" w:hAnsi="宋体"/>
          <w:color w:val="auto"/>
          <w:szCs w:val="21"/>
        </w:rPr>
      </w:pPr>
      <w:r>
        <w:rPr>
          <w:rFonts w:hint="eastAsia" w:ascii="宋体" w:hAnsi="宋体"/>
          <w:color w:val="auto"/>
          <w:szCs w:val="21"/>
        </w:rPr>
        <w:t>详见采购文件合同主要条款格式部分</w:t>
      </w:r>
    </w:p>
    <w:p w14:paraId="0DCFA1B6">
      <w:pPr>
        <w:spacing w:line="360" w:lineRule="auto"/>
        <w:rPr>
          <w:rFonts w:ascii="宋体" w:hAnsi="宋体"/>
          <w:color w:val="auto"/>
          <w:szCs w:val="21"/>
        </w:rPr>
      </w:pPr>
      <w:r>
        <w:rPr>
          <w:rFonts w:hint="eastAsia" w:ascii="宋体" w:hAnsi="宋体"/>
          <w:color w:val="auto"/>
          <w:szCs w:val="21"/>
        </w:rPr>
        <w:t>6.服务标准、期限、效率</w:t>
      </w:r>
    </w:p>
    <w:p w14:paraId="0FAD1DF5">
      <w:pPr>
        <w:spacing w:line="360" w:lineRule="auto"/>
        <w:rPr>
          <w:rFonts w:ascii="宋体" w:hAnsi="宋体"/>
          <w:color w:val="auto"/>
          <w:szCs w:val="21"/>
        </w:rPr>
      </w:pPr>
      <w:r>
        <w:rPr>
          <w:rFonts w:hint="eastAsia" w:ascii="宋体" w:hAnsi="宋体"/>
          <w:color w:val="auto"/>
          <w:szCs w:val="21"/>
        </w:rPr>
        <w:t>6.1电话咨询</w:t>
      </w:r>
    </w:p>
    <w:p w14:paraId="0E03271D">
      <w:pPr>
        <w:spacing w:line="360" w:lineRule="auto"/>
        <w:rPr>
          <w:rFonts w:ascii="宋体" w:hAnsi="宋体"/>
          <w:color w:val="auto"/>
          <w:szCs w:val="21"/>
        </w:rPr>
      </w:pPr>
      <w:r>
        <w:rPr>
          <w:rFonts w:hint="eastAsia" w:ascii="宋体" w:hAnsi="宋体"/>
          <w:color w:val="auto"/>
          <w:szCs w:val="21"/>
        </w:rPr>
        <w:t>成交供应商应当为采购人提供技术援助电话，解答采购人在使用中遇到的问题，及时为采购人提出解决问题的建议。</w:t>
      </w:r>
    </w:p>
    <w:p w14:paraId="3EE84D37">
      <w:pPr>
        <w:spacing w:line="360" w:lineRule="auto"/>
        <w:rPr>
          <w:rFonts w:ascii="宋体" w:hAnsi="宋体"/>
          <w:color w:val="auto"/>
          <w:szCs w:val="21"/>
        </w:rPr>
      </w:pPr>
      <w:r>
        <w:rPr>
          <w:rFonts w:hint="eastAsia" w:ascii="宋体" w:hAnsi="宋体"/>
          <w:color w:val="auto"/>
          <w:szCs w:val="21"/>
        </w:rPr>
        <w:t>6.2现场响应</w:t>
      </w:r>
    </w:p>
    <w:p w14:paraId="43AF3FFB">
      <w:pPr>
        <w:spacing w:line="360" w:lineRule="auto"/>
        <w:rPr>
          <w:rFonts w:ascii="宋体" w:hAnsi="宋体"/>
          <w:color w:val="auto"/>
          <w:szCs w:val="21"/>
        </w:rPr>
      </w:pPr>
      <w:r>
        <w:rPr>
          <w:rFonts w:hint="eastAsia" w:ascii="宋体" w:hAnsi="宋体"/>
          <w:color w:val="auto"/>
          <w:szCs w:val="21"/>
        </w:rPr>
        <w:t>采购人遇到使用或技术问题，电话咨询不能解决的，成交供应商应在2小时内到达现场进行处理。</w:t>
      </w:r>
    </w:p>
    <w:p w14:paraId="7362E684">
      <w:pPr>
        <w:spacing w:line="360" w:lineRule="auto"/>
        <w:rPr>
          <w:rFonts w:ascii="宋体" w:hAnsi="宋体"/>
          <w:color w:val="auto"/>
          <w:szCs w:val="21"/>
        </w:rPr>
      </w:pPr>
      <w:r>
        <w:rPr>
          <w:rFonts w:hint="eastAsia" w:ascii="宋体" w:hAnsi="宋体"/>
          <w:color w:val="auto"/>
          <w:szCs w:val="21"/>
        </w:rPr>
        <w:t>7.培训</w:t>
      </w:r>
    </w:p>
    <w:p w14:paraId="413C3EA8">
      <w:pPr>
        <w:spacing w:line="360" w:lineRule="auto"/>
        <w:rPr>
          <w:rFonts w:ascii="宋体" w:hAnsi="宋体"/>
          <w:color w:val="auto"/>
          <w:szCs w:val="21"/>
        </w:rPr>
      </w:pPr>
      <w:r>
        <w:rPr>
          <w:rFonts w:hint="eastAsia" w:ascii="宋体" w:hAnsi="宋体"/>
          <w:color w:val="auto"/>
          <w:szCs w:val="21"/>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317A1B42">
      <w:pPr>
        <w:spacing w:line="360" w:lineRule="auto"/>
        <w:rPr>
          <w:rFonts w:ascii="宋体" w:hAnsi="宋体"/>
          <w:color w:val="auto"/>
          <w:szCs w:val="21"/>
        </w:rPr>
      </w:pPr>
      <w:r>
        <w:rPr>
          <w:rFonts w:hint="eastAsia" w:ascii="宋体" w:hAnsi="宋体"/>
          <w:color w:val="auto"/>
          <w:szCs w:val="21"/>
        </w:rPr>
        <w:t>8.付款方式、时间及条件</w:t>
      </w:r>
    </w:p>
    <w:p w14:paraId="253F50F8">
      <w:pPr>
        <w:spacing w:line="360" w:lineRule="auto"/>
        <w:rPr>
          <w:rFonts w:ascii="宋体" w:hAnsi="宋体"/>
          <w:color w:val="auto"/>
          <w:szCs w:val="21"/>
        </w:rPr>
      </w:pPr>
      <w:r>
        <w:rPr>
          <w:rFonts w:hint="eastAsia" w:ascii="宋体" w:hAnsi="宋体"/>
          <w:color w:val="auto"/>
          <w:szCs w:val="21"/>
        </w:rPr>
        <w:t>详见采购文件合同主要条款格式部分</w:t>
      </w:r>
    </w:p>
    <w:p w14:paraId="0736C900">
      <w:pPr>
        <w:spacing w:line="360" w:lineRule="auto"/>
        <w:rPr>
          <w:rFonts w:ascii="宋体" w:hAnsi="宋体"/>
          <w:color w:val="auto"/>
          <w:szCs w:val="21"/>
        </w:rPr>
      </w:pPr>
      <w:r>
        <w:rPr>
          <w:rFonts w:hint="eastAsia" w:ascii="宋体" w:hAnsi="宋体"/>
          <w:color w:val="auto"/>
          <w:szCs w:val="21"/>
        </w:rPr>
        <w:t>9.履约保证金</w:t>
      </w:r>
    </w:p>
    <w:p w14:paraId="0A64CBF6">
      <w:pPr>
        <w:spacing w:line="360" w:lineRule="auto"/>
        <w:rPr>
          <w:rFonts w:ascii="宋体" w:hAnsi="宋体"/>
          <w:color w:val="auto"/>
          <w:szCs w:val="21"/>
        </w:rPr>
      </w:pPr>
      <w:r>
        <w:rPr>
          <w:rFonts w:hint="eastAsia" w:ascii="宋体" w:hAnsi="宋体"/>
          <w:color w:val="auto"/>
          <w:szCs w:val="21"/>
        </w:rPr>
        <w:t>详见采购文件合同主要条款格式部分</w:t>
      </w:r>
    </w:p>
    <w:p w14:paraId="7C930328">
      <w:pPr>
        <w:spacing w:line="360" w:lineRule="auto"/>
        <w:rPr>
          <w:rFonts w:ascii="宋体" w:hAnsi="宋体" w:cs="Arial"/>
          <w:b/>
          <w:color w:val="auto"/>
          <w:kern w:val="0"/>
          <w:sz w:val="28"/>
          <w:szCs w:val="28"/>
        </w:rPr>
      </w:pPr>
      <w:r>
        <w:rPr>
          <w:rFonts w:hint="eastAsia" w:ascii="宋体" w:hAnsi="宋体" w:cs="Arial"/>
          <w:b/>
          <w:color w:val="auto"/>
          <w:kern w:val="0"/>
          <w:sz w:val="28"/>
          <w:szCs w:val="28"/>
        </w:rPr>
        <w:t>四、其他要求</w:t>
      </w:r>
    </w:p>
    <w:p w14:paraId="4D16092C">
      <w:pPr>
        <w:pStyle w:val="2"/>
        <w:rPr>
          <w:rFonts w:hint="eastAsia" w:hAnsi="宋体" w:cs="Times New Roman"/>
          <w:b/>
          <w:color w:val="auto"/>
        </w:rPr>
        <w:sectPr>
          <w:pgSz w:w="11906" w:h="16838"/>
          <w:pgMar w:top="851" w:right="1133" w:bottom="1246" w:left="1418" w:header="851" w:footer="797" w:gutter="0"/>
          <w:cols w:space="720" w:num="1"/>
          <w:docGrid w:linePitch="312" w:charSpace="0"/>
        </w:sectPr>
      </w:pPr>
      <w:r>
        <w:rPr>
          <w:rFonts w:hint="eastAsia" w:hAnsi="宋体" w:cs="Times New Roman"/>
          <w:b/>
          <w:color w:val="auto"/>
        </w:rPr>
        <w:t>无</w:t>
      </w:r>
    </w:p>
    <w:p w14:paraId="18BE1376">
      <w:pPr>
        <w:spacing w:line="360" w:lineRule="auto"/>
        <w:outlineLvl w:val="1"/>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6分标：</w:t>
      </w:r>
      <w:r>
        <w:rPr>
          <w:rFonts w:hint="eastAsia" w:ascii="宋体" w:hAnsi="宋体"/>
          <w:b/>
          <w:bCs/>
          <w:color w:val="auto"/>
          <w:kern w:val="0"/>
          <w:sz w:val="28"/>
          <w:szCs w:val="28"/>
          <w:highlight w:val="none"/>
        </w:rPr>
        <w:t>研究谋划“十五五”时期围绕“叶脉式”向海产业布局打造全面向海的制造业十大现代化支柱产业等重大问题</w:t>
      </w:r>
    </w:p>
    <w:p w14:paraId="10CC6069">
      <w:pPr>
        <w:spacing w:line="360" w:lineRule="auto"/>
        <w:rPr>
          <w:rFonts w:ascii="宋体" w:hAnsi="宋体" w:cs="Arial"/>
          <w:b/>
          <w:color w:val="auto"/>
          <w:kern w:val="0"/>
          <w:sz w:val="28"/>
          <w:szCs w:val="28"/>
          <w:highlight w:val="none"/>
        </w:rPr>
      </w:pPr>
      <w:r>
        <w:rPr>
          <w:rFonts w:ascii="宋体" w:hAnsi="宋体" w:cs="Arial"/>
          <w:b/>
          <w:color w:val="auto"/>
          <w:kern w:val="0"/>
          <w:sz w:val="28"/>
          <w:szCs w:val="28"/>
          <w:highlight w:val="none"/>
        </w:rPr>
        <w:t>一、</w:t>
      </w:r>
      <w:r>
        <w:rPr>
          <w:rFonts w:hint="eastAsia" w:ascii="宋体" w:hAnsi="宋体" w:cs="Arial"/>
          <w:b/>
          <w:color w:val="auto"/>
          <w:kern w:val="0"/>
          <w:sz w:val="28"/>
          <w:szCs w:val="28"/>
          <w:highlight w:val="none"/>
        </w:rPr>
        <w:t>总体</w:t>
      </w:r>
      <w:r>
        <w:rPr>
          <w:rFonts w:ascii="宋体" w:hAnsi="宋体" w:cs="Arial"/>
          <w:b/>
          <w:color w:val="auto"/>
          <w:kern w:val="0"/>
          <w:sz w:val="28"/>
          <w:szCs w:val="28"/>
          <w:highlight w:val="none"/>
        </w:rPr>
        <w:t>要求</w:t>
      </w:r>
    </w:p>
    <w:p w14:paraId="60576242">
      <w:pPr>
        <w:spacing w:line="360" w:lineRule="auto"/>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.政府采购政策的应用</w:t>
      </w:r>
    </w:p>
    <w:p w14:paraId="39D7DA2D">
      <w:pPr>
        <w:spacing w:line="360" w:lineRule="auto"/>
        <w:rPr>
          <w:rFonts w:ascii="宋体" w:hAnsi="宋体"/>
          <w:color w:val="auto"/>
          <w:szCs w:val="21"/>
          <w:highlight w:val="none"/>
        </w:rPr>
      </w:pPr>
      <w:r>
        <w:rPr>
          <w:rFonts w:hint="eastAsia" w:ascii="宋体" w:hAnsi="宋体"/>
          <w:color w:val="auto"/>
          <w:szCs w:val="21"/>
          <w:highlight w:val="none"/>
        </w:rPr>
        <w:t>详见采购文件“评审方法及标准</w:t>
      </w:r>
      <w:r>
        <w:rPr>
          <w:rFonts w:ascii="宋体" w:hAnsi="宋体"/>
          <w:color w:val="auto"/>
          <w:szCs w:val="21"/>
          <w:highlight w:val="none"/>
        </w:rPr>
        <w:t>/政府采购政策应用说明”。</w:t>
      </w:r>
    </w:p>
    <w:p w14:paraId="36D14665">
      <w:pPr>
        <w:spacing w:line="360" w:lineRule="auto"/>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.采购需求要求未尽事宜</w:t>
      </w:r>
      <w:r>
        <w:rPr>
          <w:rFonts w:ascii="宋体" w:hAnsi="宋体"/>
          <w:color w:val="auto"/>
          <w:szCs w:val="21"/>
          <w:highlight w:val="none"/>
        </w:rPr>
        <w:t>由</w:t>
      </w:r>
      <w:r>
        <w:rPr>
          <w:rFonts w:hint="eastAsia" w:ascii="宋体" w:hAnsi="宋体"/>
          <w:color w:val="auto"/>
          <w:szCs w:val="21"/>
          <w:highlight w:val="none"/>
        </w:rPr>
        <w:t>采购人与成交供应商</w:t>
      </w:r>
      <w:r>
        <w:rPr>
          <w:rFonts w:ascii="宋体" w:hAnsi="宋体"/>
          <w:color w:val="auto"/>
          <w:szCs w:val="21"/>
          <w:highlight w:val="none"/>
        </w:rPr>
        <w:t>在采购合同中约定。</w:t>
      </w:r>
    </w:p>
    <w:p w14:paraId="0FB7BACD">
      <w:pPr>
        <w:spacing w:line="360" w:lineRule="auto"/>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w:t>
      </w:r>
      <w:r>
        <w:rPr>
          <w:rFonts w:ascii="宋体" w:hAnsi="宋体"/>
          <w:color w:val="auto"/>
          <w:szCs w:val="21"/>
          <w:highlight w:val="none"/>
        </w:rPr>
        <w:t>标注“▲”的条款或要求系指实质性条款或实质性要求，必须满足，如存在负偏离将导致响应</w:t>
      </w:r>
      <w:r>
        <w:rPr>
          <w:rFonts w:hint="eastAsia" w:ascii="宋体" w:hAnsi="宋体"/>
          <w:color w:val="auto"/>
          <w:szCs w:val="21"/>
          <w:highlight w:val="none"/>
        </w:rPr>
        <w:t>无效</w:t>
      </w:r>
      <w:r>
        <w:rPr>
          <w:rFonts w:ascii="宋体" w:hAnsi="宋体"/>
          <w:color w:val="auto"/>
          <w:szCs w:val="21"/>
          <w:highlight w:val="none"/>
        </w:rPr>
        <w:t>。</w:t>
      </w:r>
    </w:p>
    <w:p w14:paraId="4074AD69">
      <w:pPr>
        <w:spacing w:line="360" w:lineRule="auto"/>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二、技术要求</w:t>
      </w:r>
    </w:p>
    <w:p w14:paraId="1A38396F">
      <w:pPr>
        <w:spacing w:line="360" w:lineRule="auto"/>
        <w:rPr>
          <w:rFonts w:ascii="宋体" w:hAnsi="宋体"/>
          <w:color w:val="auto"/>
          <w:szCs w:val="21"/>
          <w:highlight w:val="none"/>
        </w:rPr>
      </w:pPr>
      <w:r>
        <w:rPr>
          <w:rFonts w:hint="eastAsia" w:ascii="宋体" w:hAnsi="宋体"/>
          <w:color w:val="auto"/>
          <w:szCs w:val="21"/>
          <w:highlight w:val="none"/>
        </w:rPr>
        <w:t>1.需实现的功能、目标及应用场景</w:t>
      </w:r>
    </w:p>
    <w:p w14:paraId="3403009C">
      <w:pPr>
        <w:spacing w:line="360" w:lineRule="auto"/>
        <w:rPr>
          <w:rFonts w:ascii="宋体" w:hAnsi="宋体"/>
          <w:color w:val="auto"/>
          <w:szCs w:val="21"/>
          <w:highlight w:val="none"/>
        </w:rPr>
      </w:pPr>
      <w:r>
        <w:rPr>
          <w:rFonts w:hint="eastAsia" w:ascii="宋体" w:hAnsi="宋体"/>
          <w:color w:val="auto"/>
          <w:szCs w:val="21"/>
          <w:highlight w:val="none"/>
        </w:rPr>
        <w:t>满足采购文件要求，验收达到合格标准。</w:t>
      </w:r>
    </w:p>
    <w:p w14:paraId="1CB8A874">
      <w:pPr>
        <w:spacing w:line="360" w:lineRule="auto"/>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需执行的国家相关标准、行业标准、地方标准或者其他标准、规范</w:t>
      </w:r>
    </w:p>
    <w:p w14:paraId="107E08BE">
      <w:pPr>
        <w:spacing w:line="360" w:lineRule="auto"/>
        <w:rPr>
          <w:rFonts w:ascii="宋体" w:hAnsi="宋体"/>
          <w:i/>
          <w:color w:val="auto"/>
          <w:szCs w:val="21"/>
          <w:highlight w:val="none"/>
          <w:u w:val="single"/>
        </w:rPr>
      </w:pPr>
      <w:r>
        <w:rPr>
          <w:rFonts w:hint="eastAsia" w:ascii="宋体" w:hAnsi="宋体"/>
          <w:color w:val="auto"/>
          <w:szCs w:val="21"/>
          <w:highlight w:val="none"/>
        </w:rPr>
        <w:t>本项目应执行的国家相关标准、行业标准、地方标准或者其他标准、规范为：</w:t>
      </w:r>
      <w:r>
        <w:rPr>
          <w:rFonts w:hint="eastAsia" w:ascii="宋体" w:hAnsi="宋体"/>
          <w:i/>
          <w:color w:val="auto"/>
          <w:szCs w:val="21"/>
          <w:highlight w:val="none"/>
          <w:u w:val="single"/>
        </w:rPr>
        <w:t>详见技术指标要求</w:t>
      </w:r>
    </w:p>
    <w:p w14:paraId="009964B6">
      <w:pPr>
        <w:spacing w:line="360" w:lineRule="auto"/>
        <w:rPr>
          <w:rFonts w:ascii="宋体" w:hAnsi="宋体"/>
          <w:color w:val="auto"/>
          <w:szCs w:val="21"/>
          <w:highlight w:val="none"/>
        </w:rPr>
      </w:pPr>
      <w:r>
        <w:rPr>
          <w:rFonts w:hint="eastAsia" w:ascii="宋体" w:hAnsi="宋体"/>
          <w:color w:val="auto"/>
          <w:szCs w:val="21"/>
          <w:highlight w:val="none"/>
        </w:rPr>
        <w:t>3.标的所属行业：</w:t>
      </w:r>
      <w:r>
        <w:rPr>
          <w:rFonts w:ascii="宋体" w:hAnsi="宋体"/>
          <w:b/>
          <w:bCs/>
          <w:color w:val="auto"/>
          <w:szCs w:val="21"/>
          <w:highlight w:val="none"/>
        </w:rPr>
        <w:t>其他未列明行业</w:t>
      </w:r>
    </w:p>
    <w:p w14:paraId="2035529F">
      <w:pPr>
        <w:spacing w:line="360" w:lineRule="auto"/>
        <w:rPr>
          <w:rFonts w:ascii="宋体" w:hAnsi="宋体"/>
          <w:color w:val="auto"/>
          <w:szCs w:val="21"/>
          <w:highlight w:val="none"/>
        </w:rPr>
      </w:pPr>
      <w:r>
        <w:rPr>
          <w:rFonts w:hint="eastAsia" w:ascii="宋体" w:hAnsi="宋体"/>
          <w:color w:val="auto"/>
          <w:szCs w:val="21"/>
          <w:highlight w:val="none"/>
        </w:rPr>
        <w:t>4.核心产品</w:t>
      </w:r>
    </w:p>
    <w:p w14:paraId="21E81450">
      <w:pPr>
        <w:spacing w:line="360" w:lineRule="auto"/>
        <w:rPr>
          <w:rFonts w:ascii="宋体" w:hAnsi="宋体"/>
          <w:color w:val="auto"/>
          <w:szCs w:val="21"/>
          <w:highlight w:val="none"/>
        </w:rPr>
      </w:pPr>
      <w:r>
        <w:rPr>
          <w:rFonts w:hint="eastAsia" w:ascii="宋体" w:hAnsi="宋体"/>
          <w:color w:val="auto"/>
          <w:szCs w:val="21"/>
          <w:highlight w:val="none"/>
        </w:rPr>
        <w:t>本项目为服务项目，不适用核心产品规定。</w:t>
      </w:r>
    </w:p>
    <w:p w14:paraId="09531C0D">
      <w:pPr>
        <w:spacing w:line="360" w:lineRule="auto"/>
        <w:rPr>
          <w:rFonts w:ascii="宋体" w:hAnsi="宋体"/>
          <w:color w:val="auto"/>
          <w:szCs w:val="21"/>
          <w:highlight w:val="none"/>
        </w:rPr>
      </w:pPr>
      <w:r>
        <w:rPr>
          <w:rFonts w:hint="eastAsia" w:ascii="宋体" w:hAnsi="宋体"/>
          <w:color w:val="auto"/>
          <w:szCs w:val="21"/>
          <w:highlight w:val="none"/>
        </w:rPr>
        <w:t>5.服务内容和标准</w:t>
      </w:r>
    </w:p>
    <w:p w14:paraId="2E2BA5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5.1项目背景：</w:t>
      </w:r>
    </w:p>
    <w:p w14:paraId="782A3449">
      <w:pPr>
        <w:pStyle w:val="2"/>
        <w:ind w:firstLine="420" w:firstLineChars="200"/>
        <w:rPr>
          <w:rFonts w:ascii="宋体" w:hAnsi="宋体"/>
          <w:color w:val="auto"/>
          <w:sz w:val="21"/>
          <w:szCs w:val="21"/>
          <w:highlight w:val="none"/>
        </w:rPr>
      </w:pPr>
      <w:r>
        <w:rPr>
          <w:rFonts w:hint="eastAsia" w:ascii="宋体" w:hAnsi="宋体"/>
          <w:color w:val="auto"/>
          <w:sz w:val="21"/>
          <w:szCs w:val="21"/>
          <w:highlight w:val="none"/>
        </w:rPr>
        <w:t>“十五五”时期，自治区工业和信息化厅拟</w:t>
      </w:r>
      <w:r>
        <w:rPr>
          <w:rFonts w:hint="eastAsia" w:ascii="宋体" w:hAnsi="宋体"/>
          <w:b w:val="0"/>
          <w:bCs w:val="0"/>
          <w:color w:val="auto"/>
          <w:kern w:val="2"/>
          <w:sz w:val="21"/>
          <w:szCs w:val="21"/>
          <w:highlight w:val="none"/>
        </w:rPr>
        <w:t>围绕“叶脉式”向海产业布局打造全面向海的制造业十大现代化支柱产业等重大</w:t>
      </w:r>
      <w:r>
        <w:rPr>
          <w:rFonts w:hint="eastAsia" w:ascii="宋体" w:hAnsi="宋体"/>
          <w:b w:val="0"/>
          <w:bCs w:val="0"/>
          <w:color w:val="auto"/>
          <w:kern w:val="2"/>
          <w:sz w:val="21"/>
          <w:szCs w:val="21"/>
          <w:highlight w:val="none"/>
          <w:lang w:val="en-US" w:eastAsia="zh-CN"/>
        </w:rPr>
        <w:t>问题开展研究工作。</w:t>
      </w:r>
      <w:r>
        <w:rPr>
          <w:rFonts w:hint="eastAsia" w:ascii="宋体" w:hAnsi="宋体"/>
          <w:color w:val="auto"/>
          <w:sz w:val="21"/>
          <w:szCs w:val="21"/>
          <w:highlight w:val="none"/>
        </w:rPr>
        <w:t>立足广西资源禀赋、区位优势、产业基础、政策利好、发展潜力，围绕“一轴牵引、两翼联动，陆海统筹、全域向海”空间布局和“叶脉式”产业布局，全力打造全面向海的制造业十大现代化支柱产业加快构建体现广西特色和优势的现代化产业体系的优势短板、机遇挑战、有效路径以及需解决的困难问题，分析提出广西制造业十大现代化支柱产业全面向海、关联耦合、协同发展等系列研究报告及举措建议。</w:t>
      </w:r>
    </w:p>
    <w:p w14:paraId="612CA43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5.2服务目标：</w:t>
      </w:r>
    </w:p>
    <w:p w14:paraId="7A2A6CB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本项目旨在通过系统性调研、数据化研判、深层次研究，全面厘清广西制造业十大现代化支柱产业</w:t>
      </w:r>
      <w:r>
        <w:rPr>
          <w:rFonts w:hint="eastAsia" w:ascii="宋体" w:hAnsi="宋体"/>
          <w:color w:val="auto"/>
          <w:sz w:val="21"/>
          <w:szCs w:val="21"/>
          <w:highlight w:val="none"/>
        </w:rPr>
        <w:t>全面向海、关联耦合、协同发展</w:t>
      </w:r>
      <w:r>
        <w:rPr>
          <w:rFonts w:hint="eastAsia" w:ascii="宋体" w:hAnsi="宋体"/>
          <w:color w:val="auto"/>
          <w:sz w:val="21"/>
          <w:szCs w:val="21"/>
          <w:highlight w:val="none"/>
          <w:lang w:val="en-US" w:eastAsia="zh-CN"/>
        </w:rPr>
        <w:t>的</w:t>
      </w:r>
      <w:r>
        <w:rPr>
          <w:rFonts w:hint="eastAsia" w:ascii="宋体" w:hAnsi="宋体"/>
          <w:color w:val="auto"/>
          <w:szCs w:val="21"/>
          <w:highlight w:val="none"/>
        </w:rPr>
        <w:t>提升空间，构建科学完善的产业协同发展研判体系。供应商交付成果须满足采购人产业升级研判、战略决策参考、产业规划落地等需求，整体目标要求如下：</w:t>
      </w:r>
    </w:p>
    <w:p w14:paraId="67A5BB7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（1）全面摸清广西制造业十大现代化支柱产业整体发展现状，系统梳理产业链优化提升方向与完善空间，确保产业现状研判真实、全面、精准，为产业提质升级奠定基础。</w:t>
      </w:r>
    </w:p>
    <w:p w14:paraId="3F80C7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（2）精准梳理广西制造业十大现代化支柱产业资源转化、产业链延伸、高端环节布局、产业协同联动等方面的优化提升重点方向。</w:t>
      </w:r>
    </w:p>
    <w:p w14:paraId="77A82E3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（3）从企业协作机制、质量标准体系、研发创新能力、产业配套支撑、成本竞争优势等宏观维度，系统研判助力广西产业链提质增效、能级跃升的核心突破路径。</w:t>
      </w:r>
    </w:p>
    <w:p w14:paraId="09867FE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（4）立足广西</w:t>
      </w:r>
      <w:r>
        <w:rPr>
          <w:rFonts w:hint="eastAsia" w:ascii="宋体" w:hAnsi="宋体"/>
          <w:b w:val="0"/>
          <w:bCs w:val="0"/>
          <w:color w:val="auto"/>
          <w:kern w:val="2"/>
          <w:sz w:val="21"/>
          <w:szCs w:val="21"/>
          <w:highlight w:val="none"/>
        </w:rPr>
        <w:t>制造业十大现代化支柱产业</w:t>
      </w:r>
      <w:r>
        <w:rPr>
          <w:rFonts w:hint="eastAsia" w:ascii="宋体" w:hAnsi="宋体"/>
          <w:color w:val="auto"/>
          <w:szCs w:val="21"/>
          <w:highlight w:val="none"/>
        </w:rPr>
        <w:t>发展实际，依托权威产业数据、供应链实际情况支撑，聚焦产业高质量发展提质升级，形成具备落地实操性的分析结论及发展建议。</w:t>
      </w:r>
    </w:p>
    <w:p w14:paraId="33618C86">
      <w:pPr>
        <w:spacing w:line="360" w:lineRule="auto"/>
        <w:ind w:firstLine="420" w:firstLineChars="200"/>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5.3服务内容：</w:t>
      </w:r>
    </w:p>
    <w:p w14:paraId="1AA9ADE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须整体统筹开展本次产业分析研究工作，围绕广西制造业十大现代化支柱产业高质量协同发展核心目标，完成全景现状研判、提升方向梳理、发展路径分析、成果汇总编制等全部工作，整体服务内容须满足以下标准：</w:t>
      </w:r>
    </w:p>
    <w:p w14:paraId="6CE4439C">
      <w:pPr>
        <w:numPr>
          <w:ilvl w:val="0"/>
          <w:numId w:val="2"/>
        </w:numPr>
        <w:spacing w:line="360" w:lineRule="auto"/>
        <w:ind w:firstLine="420" w:firstLineChars="200"/>
        <w:rPr>
          <w:rFonts w:ascii="宋体" w:hAnsi="宋体"/>
          <w:color w:val="auto"/>
          <w:szCs w:val="21"/>
          <w:highlight w:val="none"/>
        </w:rPr>
      </w:pPr>
      <w:r>
        <w:rPr>
          <w:rFonts w:hint="eastAsia" w:ascii="宋体" w:hAnsi="宋体"/>
          <w:b w:val="0"/>
          <w:bCs w:val="0"/>
          <w:color w:val="auto"/>
          <w:kern w:val="2"/>
          <w:sz w:val="21"/>
          <w:szCs w:val="21"/>
          <w:highlight w:val="none"/>
        </w:rPr>
        <w:t>制造业十大现代化支柱产业</w:t>
      </w:r>
      <w:r>
        <w:rPr>
          <w:rFonts w:hint="eastAsia" w:ascii="宋体" w:hAnsi="宋体"/>
          <w:color w:val="auto"/>
          <w:szCs w:val="21"/>
          <w:highlight w:val="none"/>
        </w:rPr>
        <w:t>现状整体研判。系统调研</w:t>
      </w:r>
      <w:r>
        <w:rPr>
          <w:rFonts w:hint="eastAsia" w:ascii="宋体" w:hAnsi="宋体"/>
          <w:color w:val="auto"/>
          <w:szCs w:val="21"/>
          <w:highlight w:val="none"/>
          <w:lang w:eastAsia="zh-CN"/>
        </w:rPr>
        <w:t>十大支柱</w:t>
      </w:r>
      <w:r>
        <w:rPr>
          <w:rFonts w:hint="eastAsia" w:ascii="宋体" w:hAnsi="宋体"/>
          <w:color w:val="auto"/>
          <w:szCs w:val="21"/>
          <w:highlight w:val="none"/>
        </w:rPr>
        <w:t>产业龙头企业生产经营、产品流通、内外产销布局整体情况，统筹研判全区产业链完整性、配套协同性、资源转化效能，梳理产业链完善升级、补链强链的重点领域与关键环节，形成重点产业产业链整体现状研判成果。</w:t>
      </w:r>
    </w:p>
    <w:p w14:paraId="78600109">
      <w:pPr>
        <w:numPr>
          <w:ilvl w:val="0"/>
          <w:numId w:val="2"/>
        </w:numPr>
        <w:spacing w:line="360" w:lineRule="auto"/>
        <w:ind w:firstLine="420" w:firstLineChars="200"/>
        <w:rPr>
          <w:rFonts w:ascii="宋体" w:hAnsi="宋体"/>
          <w:color w:val="auto"/>
          <w:szCs w:val="21"/>
          <w:highlight w:val="none"/>
        </w:rPr>
      </w:pPr>
      <w:r>
        <w:rPr>
          <w:rFonts w:hint="eastAsia" w:ascii="宋体" w:hAnsi="宋体"/>
          <w:b w:val="0"/>
          <w:bCs w:val="0"/>
          <w:color w:val="auto"/>
          <w:kern w:val="2"/>
          <w:sz w:val="21"/>
          <w:szCs w:val="21"/>
          <w:highlight w:val="none"/>
        </w:rPr>
        <w:t>制造业十大现代化支柱产业</w:t>
      </w:r>
      <w:r>
        <w:rPr>
          <w:rFonts w:hint="eastAsia" w:ascii="宋体" w:hAnsi="宋体"/>
          <w:color w:val="auto"/>
          <w:szCs w:val="21"/>
          <w:highlight w:val="none"/>
        </w:rPr>
        <w:t>提质升级方向汇总分析。结合广西优质资源禀赋与产业发展格局，系统研判重点产业资源高效就地转化、精深加工体系完善、终端产品配套升级、自主品牌培育、龙头企业培优壮大等核心提升方向，明确产业高质量发展的重点发力领域。</w:t>
      </w:r>
    </w:p>
    <w:p w14:paraId="69D0C69B">
      <w:pPr>
        <w:numPr>
          <w:ilvl w:val="0"/>
          <w:numId w:val="2"/>
        </w:numPr>
        <w:spacing w:line="360" w:lineRule="auto"/>
        <w:ind w:firstLine="420" w:firstLineChars="200"/>
        <w:rPr>
          <w:rFonts w:ascii="宋体" w:hAnsi="宋体"/>
          <w:color w:val="auto"/>
          <w:szCs w:val="21"/>
          <w:highlight w:val="none"/>
        </w:rPr>
      </w:pPr>
      <w:r>
        <w:rPr>
          <w:rFonts w:hint="eastAsia" w:ascii="宋体" w:hAnsi="宋体"/>
          <w:b w:val="0"/>
          <w:bCs w:val="0"/>
          <w:color w:val="auto"/>
          <w:kern w:val="2"/>
          <w:sz w:val="21"/>
          <w:szCs w:val="21"/>
          <w:highlight w:val="none"/>
        </w:rPr>
        <w:t>制造业十大现代化支柱产业</w:t>
      </w:r>
      <w:r>
        <w:rPr>
          <w:rFonts w:hint="eastAsia" w:ascii="宋体" w:hAnsi="宋体"/>
          <w:color w:val="auto"/>
          <w:szCs w:val="21"/>
          <w:highlight w:val="none"/>
        </w:rPr>
        <w:t>协同发展体系优化建议。供应商须紧扣产业体系完善、协同发展，坚持问题导向和目标导向相结合，涵盖但不限于以下方面：产业链招商和补链延链的方向及重点项目建议；推动上下游企业供需对接的平台建设和机制创新建议；质量标准对接和检验检测能力提升的路径建议；工业园区配套完善和经济效益提升的举措建议；创新平台建设和人才引育的政策建议；特色品牌培育和市场渠道拓展的策略建议。</w:t>
      </w:r>
    </w:p>
    <w:p w14:paraId="065032E4">
      <w:pPr>
        <w:numPr>
          <w:ilvl w:val="0"/>
          <w:numId w:val="2"/>
        </w:num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成果整体编制要求。供应商须基于全域产业调研数据、企业供应链数据、官方统计数据开展研究，立足广西</w:t>
      </w:r>
      <w:r>
        <w:rPr>
          <w:rFonts w:hint="eastAsia" w:ascii="宋体" w:hAnsi="宋体"/>
          <w:b w:val="0"/>
          <w:bCs w:val="0"/>
          <w:color w:val="auto"/>
          <w:kern w:val="2"/>
          <w:sz w:val="21"/>
          <w:szCs w:val="21"/>
          <w:highlight w:val="none"/>
        </w:rPr>
        <w:t>制造业十大现代化支柱产业</w:t>
      </w:r>
      <w:r>
        <w:rPr>
          <w:rFonts w:hint="eastAsia" w:ascii="宋体" w:hAnsi="宋体"/>
          <w:color w:val="auto"/>
          <w:szCs w:val="21"/>
          <w:highlight w:val="none"/>
        </w:rPr>
        <w:t>整体发展格局，聚焦全域产业协同赋能、产业链整体跃升发展需求，形成系统性、全局性、可落地的高质量研究成果。整体研判要求结论客观精准、提升体系层次清晰、发展路径系统全面、配套举措务实落地，形成打造全面向海的制造业十大现代化支柱产业等系列研究报告。</w:t>
      </w:r>
    </w:p>
    <w:p w14:paraId="30020FC9">
      <w:pPr>
        <w:spacing w:line="360" w:lineRule="auto"/>
        <w:ind w:firstLine="420" w:firstLineChars="200"/>
        <w:rPr>
          <w:rFonts w:ascii="宋体" w:hAnsi="宋体"/>
          <w:color w:val="auto"/>
          <w:szCs w:val="21"/>
          <w:highlight w:val="none"/>
        </w:rPr>
      </w:pPr>
      <w:r>
        <w:rPr>
          <w:rFonts w:ascii="宋体" w:hAnsi="宋体"/>
          <w:color w:val="auto"/>
          <w:szCs w:val="21"/>
          <w:highlight w:val="none"/>
        </w:rPr>
        <w:t>▲5.4拟投入人员要求：</w:t>
      </w:r>
      <w:r>
        <w:rPr>
          <w:rFonts w:hint="eastAsia" w:ascii="宋体" w:hAnsi="宋体"/>
          <w:color w:val="auto"/>
          <w:szCs w:val="21"/>
          <w:highlight w:val="none"/>
        </w:rPr>
        <w:t xml:space="preserve"> 需针对项目研究的需要组成项目团队并委派一名项目负责人。若成交，项目团队可在研究过程中视具体情况向采购人书面申请更改项目成员，否则该项目负责人将为其违约行为承担责任。</w:t>
      </w:r>
    </w:p>
    <w:p w14:paraId="3F921E44">
      <w:pPr>
        <w:spacing w:line="360" w:lineRule="auto"/>
        <w:ind w:firstLine="420" w:firstLineChars="200"/>
        <w:rPr>
          <w:color w:val="auto"/>
          <w:highlight w:val="none"/>
        </w:rPr>
      </w:pPr>
      <w:r>
        <w:rPr>
          <w:rFonts w:hint="eastAsia" w:ascii="宋体" w:hAnsi="宋体"/>
          <w:color w:val="auto"/>
          <w:szCs w:val="21"/>
          <w:highlight w:val="none"/>
        </w:rPr>
        <w:t>项目负责人应为硕士研究生（含）以上学历或副高级及以上专业技术职称，项目团队成员应为本科（含）以上学历或具有中级及以上专业技术职称，所从事工作和研究领域应与本项目研究领域相关。</w:t>
      </w:r>
    </w:p>
    <w:p w14:paraId="126EAECF">
      <w:pPr>
        <w:spacing w:line="360" w:lineRule="auto"/>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三、商务要求</w:t>
      </w:r>
    </w:p>
    <w:p w14:paraId="3E506854">
      <w:pPr>
        <w:spacing w:line="360" w:lineRule="auto"/>
        <w:rPr>
          <w:rFonts w:ascii="宋体" w:hAnsi="宋体"/>
          <w:color w:val="auto"/>
          <w:szCs w:val="21"/>
          <w:highlight w:val="none"/>
        </w:rPr>
      </w:pPr>
      <w:r>
        <w:rPr>
          <w:rFonts w:hint="eastAsia" w:ascii="宋体" w:hAnsi="宋体"/>
          <w:color w:val="auto"/>
          <w:szCs w:val="21"/>
          <w:highlight w:val="none"/>
        </w:rPr>
        <w:t>1．报价要求</w:t>
      </w:r>
    </w:p>
    <w:p w14:paraId="4A10A9F6">
      <w:pPr>
        <w:spacing w:line="360" w:lineRule="auto"/>
        <w:rPr>
          <w:rFonts w:ascii="宋体" w:hAnsi="宋体"/>
          <w:color w:val="auto"/>
          <w:szCs w:val="21"/>
          <w:highlight w:val="none"/>
        </w:rPr>
      </w:pPr>
      <w:r>
        <w:rPr>
          <w:rFonts w:ascii="宋体" w:hAnsi="宋体"/>
          <w:color w:val="auto"/>
          <w:szCs w:val="21"/>
          <w:highlight w:val="none"/>
        </w:rPr>
        <w:t>本次报价须为人民币报价，包含服务交付成果、设计、编绘、组织、策划、调研、技术协助、技术指导等类似服务内容的全部费用。对于本文件中明确列明必须报价的服务，供应商应分别报价。对于本文件中未列明，而供应商认为必需的费用也需列入总报价。在合同实施时，采购人将不予支付成交供应商没有列入的项目费用，并认为此项目的费用已包括在响应总报价中。</w:t>
      </w:r>
    </w:p>
    <w:p w14:paraId="658C76EF">
      <w:pPr>
        <w:spacing w:line="360" w:lineRule="auto"/>
        <w:rPr>
          <w:rFonts w:ascii="宋体" w:hAnsi="宋体"/>
          <w:color w:val="auto"/>
          <w:szCs w:val="21"/>
          <w:highlight w:val="none"/>
        </w:rPr>
      </w:pPr>
      <w:r>
        <w:rPr>
          <w:rFonts w:hint="eastAsia" w:ascii="宋体" w:hAnsi="宋体"/>
          <w:color w:val="auto"/>
          <w:szCs w:val="21"/>
          <w:highlight w:val="none"/>
        </w:rPr>
        <w:t>2.合同签订日期</w:t>
      </w:r>
    </w:p>
    <w:p w14:paraId="26BCBD24">
      <w:pPr>
        <w:spacing w:line="360" w:lineRule="auto"/>
        <w:rPr>
          <w:rFonts w:ascii="宋体" w:hAnsi="宋体"/>
          <w:i/>
          <w:color w:val="auto"/>
          <w:sz w:val="28"/>
          <w:szCs w:val="28"/>
          <w:highlight w:val="none"/>
        </w:rPr>
      </w:pPr>
      <w:r>
        <w:rPr>
          <w:rFonts w:hint="eastAsia" w:ascii="宋体" w:hAnsi="宋体"/>
          <w:color w:val="auto"/>
          <w:szCs w:val="21"/>
          <w:highlight w:val="none"/>
        </w:rPr>
        <w:t>成交通知书发出后25日内。</w:t>
      </w:r>
    </w:p>
    <w:p w14:paraId="4F3E7380">
      <w:pPr>
        <w:spacing w:line="360" w:lineRule="auto"/>
        <w:rPr>
          <w:rFonts w:ascii="宋体" w:hAnsi="宋体"/>
          <w:color w:val="auto"/>
          <w:szCs w:val="21"/>
          <w:highlight w:val="none"/>
        </w:rPr>
      </w:pPr>
      <w:r>
        <w:rPr>
          <w:rFonts w:hint="eastAsia" w:ascii="宋体" w:hAnsi="宋体"/>
          <w:color w:val="auto"/>
          <w:szCs w:val="21"/>
          <w:highlight w:val="none"/>
        </w:rPr>
        <w:t>3.服务（实施）时间</w:t>
      </w:r>
    </w:p>
    <w:p w14:paraId="1DB9CAAA">
      <w:pPr>
        <w:spacing w:line="360" w:lineRule="auto"/>
        <w:rPr>
          <w:rFonts w:ascii="宋体" w:hAnsi="宋体"/>
          <w:color w:val="auto"/>
          <w:szCs w:val="21"/>
          <w:highlight w:val="none"/>
        </w:rPr>
      </w:pPr>
      <w:r>
        <w:rPr>
          <w:rFonts w:hint="eastAsia" w:ascii="宋体" w:hAnsi="宋体"/>
          <w:color w:val="auto"/>
          <w:kern w:val="0"/>
          <w:szCs w:val="21"/>
          <w:highlight w:val="none"/>
        </w:rPr>
        <w:t>2026年9月底前形成初稿并持续推进，2026年11月底前完成结题验收。</w:t>
      </w:r>
    </w:p>
    <w:p w14:paraId="1BD0C54F">
      <w:pPr>
        <w:spacing w:line="360" w:lineRule="auto"/>
        <w:rPr>
          <w:rFonts w:ascii="宋体" w:hAnsi="宋体"/>
          <w:color w:val="auto"/>
          <w:szCs w:val="21"/>
          <w:highlight w:val="none"/>
        </w:rPr>
      </w:pPr>
      <w:r>
        <w:rPr>
          <w:rFonts w:hint="eastAsia" w:ascii="宋体" w:hAnsi="宋体"/>
          <w:color w:val="auto"/>
          <w:szCs w:val="21"/>
          <w:highlight w:val="none"/>
        </w:rPr>
        <w:t>4.交货地点或服务地点</w:t>
      </w:r>
    </w:p>
    <w:p w14:paraId="425FE5A1">
      <w:pPr>
        <w:spacing w:line="360" w:lineRule="auto"/>
        <w:rPr>
          <w:rFonts w:ascii="宋体" w:hAnsi="宋体"/>
          <w:color w:val="auto"/>
          <w:szCs w:val="21"/>
          <w:highlight w:val="none"/>
        </w:rPr>
      </w:pPr>
      <w:r>
        <w:rPr>
          <w:rFonts w:ascii="宋体" w:hAnsi="宋体"/>
          <w:color w:val="auto"/>
          <w:szCs w:val="21"/>
          <w:highlight w:val="none"/>
        </w:rPr>
        <w:t>采购人指定地点。</w:t>
      </w:r>
    </w:p>
    <w:p w14:paraId="1053F49A">
      <w:pPr>
        <w:spacing w:line="360" w:lineRule="auto"/>
        <w:rPr>
          <w:rFonts w:ascii="宋体" w:hAnsi="宋体"/>
          <w:color w:val="auto"/>
          <w:szCs w:val="21"/>
          <w:highlight w:val="none"/>
        </w:rPr>
      </w:pPr>
      <w:r>
        <w:rPr>
          <w:rFonts w:hint="eastAsia" w:ascii="宋体" w:hAnsi="宋体"/>
          <w:color w:val="auto"/>
          <w:szCs w:val="21"/>
          <w:highlight w:val="none"/>
        </w:rPr>
        <w:t>5.验收标准</w:t>
      </w:r>
    </w:p>
    <w:p w14:paraId="6219E02D">
      <w:pPr>
        <w:spacing w:line="360" w:lineRule="auto"/>
        <w:rPr>
          <w:rFonts w:ascii="宋体" w:hAnsi="宋体"/>
          <w:color w:val="auto"/>
          <w:szCs w:val="21"/>
          <w:highlight w:val="none"/>
        </w:rPr>
      </w:pPr>
      <w:r>
        <w:rPr>
          <w:rFonts w:hint="eastAsia" w:ascii="宋体" w:hAnsi="宋体"/>
          <w:color w:val="auto"/>
          <w:szCs w:val="21"/>
          <w:highlight w:val="none"/>
        </w:rPr>
        <w:t>详见采购文件合同主要条款格式部分</w:t>
      </w:r>
    </w:p>
    <w:p w14:paraId="167E8AFF">
      <w:pPr>
        <w:spacing w:line="360" w:lineRule="auto"/>
        <w:rPr>
          <w:rFonts w:ascii="宋体" w:hAnsi="宋体"/>
          <w:color w:val="auto"/>
          <w:szCs w:val="21"/>
          <w:highlight w:val="none"/>
        </w:rPr>
      </w:pPr>
      <w:r>
        <w:rPr>
          <w:rFonts w:hint="eastAsia" w:ascii="宋体" w:hAnsi="宋体"/>
          <w:color w:val="auto"/>
          <w:szCs w:val="21"/>
          <w:highlight w:val="none"/>
        </w:rPr>
        <w:t>6.服务标准、期限、效率</w:t>
      </w:r>
    </w:p>
    <w:p w14:paraId="64C80907">
      <w:pPr>
        <w:spacing w:line="360" w:lineRule="auto"/>
        <w:rPr>
          <w:rFonts w:ascii="宋体" w:hAnsi="宋体"/>
          <w:color w:val="auto"/>
          <w:szCs w:val="21"/>
          <w:highlight w:val="none"/>
        </w:rPr>
      </w:pPr>
      <w:r>
        <w:rPr>
          <w:rFonts w:hint="eastAsia" w:ascii="宋体" w:hAnsi="宋体"/>
          <w:color w:val="auto"/>
          <w:szCs w:val="21"/>
          <w:highlight w:val="none"/>
        </w:rPr>
        <w:t>6.1电话咨询</w:t>
      </w:r>
    </w:p>
    <w:p w14:paraId="4612A31B">
      <w:pPr>
        <w:spacing w:line="360" w:lineRule="auto"/>
        <w:rPr>
          <w:rFonts w:ascii="宋体" w:hAnsi="宋体"/>
          <w:color w:val="auto"/>
          <w:szCs w:val="21"/>
          <w:highlight w:val="none"/>
        </w:rPr>
      </w:pPr>
      <w:r>
        <w:rPr>
          <w:rFonts w:hint="eastAsia" w:ascii="宋体" w:hAnsi="宋体"/>
          <w:color w:val="auto"/>
          <w:szCs w:val="21"/>
          <w:highlight w:val="none"/>
        </w:rPr>
        <w:t>成交供应商应当为采购人提供技术援助电话，解答采购人在使用中遇到的问题，及时为采购人提出解决问题的建议。</w:t>
      </w:r>
    </w:p>
    <w:p w14:paraId="2B95864F">
      <w:pPr>
        <w:spacing w:line="360" w:lineRule="auto"/>
        <w:rPr>
          <w:rFonts w:ascii="宋体" w:hAnsi="宋体"/>
          <w:color w:val="auto"/>
          <w:szCs w:val="21"/>
          <w:highlight w:val="none"/>
        </w:rPr>
      </w:pPr>
      <w:r>
        <w:rPr>
          <w:rFonts w:hint="eastAsia" w:ascii="宋体" w:hAnsi="宋体"/>
          <w:color w:val="auto"/>
          <w:szCs w:val="21"/>
          <w:highlight w:val="none"/>
        </w:rPr>
        <w:t>6.2现场响应</w:t>
      </w:r>
    </w:p>
    <w:p w14:paraId="51AB9AF3">
      <w:pPr>
        <w:spacing w:line="360" w:lineRule="auto"/>
        <w:rPr>
          <w:rFonts w:ascii="宋体" w:hAnsi="宋体"/>
          <w:color w:val="auto"/>
          <w:szCs w:val="21"/>
          <w:highlight w:val="none"/>
        </w:rPr>
      </w:pPr>
      <w:r>
        <w:rPr>
          <w:rFonts w:hint="eastAsia" w:ascii="宋体" w:hAnsi="宋体"/>
          <w:color w:val="auto"/>
          <w:szCs w:val="21"/>
          <w:highlight w:val="none"/>
        </w:rPr>
        <w:t>采购人遇到使用或技术问题，电话咨询不能解决的，成交供应商应在2小时内到达现场进行处理。</w:t>
      </w:r>
    </w:p>
    <w:p w14:paraId="6EC62CF1">
      <w:pPr>
        <w:spacing w:line="360" w:lineRule="auto"/>
        <w:rPr>
          <w:rFonts w:ascii="宋体" w:hAnsi="宋体"/>
          <w:color w:val="auto"/>
          <w:szCs w:val="21"/>
          <w:highlight w:val="none"/>
        </w:rPr>
      </w:pPr>
      <w:r>
        <w:rPr>
          <w:rFonts w:hint="eastAsia" w:ascii="宋体" w:hAnsi="宋体"/>
          <w:color w:val="auto"/>
          <w:szCs w:val="21"/>
          <w:highlight w:val="none"/>
        </w:rPr>
        <w:t>7.培训</w:t>
      </w:r>
    </w:p>
    <w:p w14:paraId="740F46A4">
      <w:pPr>
        <w:spacing w:line="360" w:lineRule="auto"/>
        <w:rPr>
          <w:rFonts w:ascii="宋体" w:hAnsi="宋体"/>
          <w:color w:val="auto"/>
          <w:szCs w:val="21"/>
          <w:highlight w:val="none"/>
        </w:rPr>
      </w:pPr>
      <w:r>
        <w:rPr>
          <w:rFonts w:hint="eastAsia" w:ascii="宋体" w:hAnsi="宋体"/>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67E987BC">
      <w:pPr>
        <w:spacing w:line="360" w:lineRule="auto"/>
        <w:rPr>
          <w:rFonts w:ascii="宋体" w:hAnsi="宋体"/>
          <w:color w:val="auto"/>
          <w:szCs w:val="21"/>
          <w:highlight w:val="none"/>
        </w:rPr>
      </w:pPr>
      <w:r>
        <w:rPr>
          <w:rFonts w:hint="eastAsia" w:ascii="宋体" w:hAnsi="宋体"/>
          <w:color w:val="auto"/>
          <w:szCs w:val="21"/>
          <w:highlight w:val="none"/>
        </w:rPr>
        <w:t>8.付款方式、时间及条件</w:t>
      </w:r>
    </w:p>
    <w:p w14:paraId="2FE8526F">
      <w:pPr>
        <w:spacing w:line="360" w:lineRule="auto"/>
        <w:rPr>
          <w:rFonts w:ascii="宋体" w:hAnsi="宋体"/>
          <w:color w:val="auto"/>
          <w:szCs w:val="21"/>
          <w:highlight w:val="none"/>
        </w:rPr>
      </w:pPr>
      <w:r>
        <w:rPr>
          <w:rFonts w:hint="eastAsia" w:ascii="宋体" w:hAnsi="宋体"/>
          <w:color w:val="auto"/>
          <w:szCs w:val="21"/>
          <w:highlight w:val="none"/>
        </w:rPr>
        <w:t>详见采购文件合同主要条款格式部分</w:t>
      </w:r>
    </w:p>
    <w:p w14:paraId="2A8C992B">
      <w:pPr>
        <w:spacing w:line="360" w:lineRule="auto"/>
        <w:rPr>
          <w:rFonts w:ascii="宋体" w:hAnsi="宋体"/>
          <w:color w:val="auto"/>
          <w:szCs w:val="21"/>
          <w:highlight w:val="none"/>
        </w:rPr>
      </w:pPr>
      <w:r>
        <w:rPr>
          <w:rFonts w:hint="eastAsia" w:ascii="宋体" w:hAnsi="宋体"/>
          <w:color w:val="auto"/>
          <w:szCs w:val="21"/>
          <w:highlight w:val="none"/>
        </w:rPr>
        <w:t>9.履约保证金</w:t>
      </w:r>
    </w:p>
    <w:p w14:paraId="5C7E6E04">
      <w:pPr>
        <w:spacing w:line="360" w:lineRule="auto"/>
        <w:rPr>
          <w:rFonts w:ascii="宋体" w:hAnsi="宋体"/>
          <w:color w:val="auto"/>
          <w:szCs w:val="21"/>
          <w:highlight w:val="none"/>
        </w:rPr>
      </w:pPr>
      <w:r>
        <w:rPr>
          <w:rFonts w:hint="eastAsia" w:ascii="宋体" w:hAnsi="宋体"/>
          <w:color w:val="auto"/>
          <w:szCs w:val="21"/>
          <w:highlight w:val="none"/>
        </w:rPr>
        <w:t>详见采购文件合同主要条款格式部分</w:t>
      </w:r>
    </w:p>
    <w:p w14:paraId="21414D90">
      <w:pPr>
        <w:spacing w:line="360" w:lineRule="auto"/>
        <w:rPr>
          <w:rFonts w:ascii="宋体" w:hAnsi="宋体" w:cs="Arial"/>
          <w:b/>
          <w:color w:val="auto"/>
          <w:kern w:val="0"/>
          <w:sz w:val="28"/>
          <w:szCs w:val="28"/>
          <w:highlight w:val="none"/>
        </w:rPr>
      </w:pPr>
      <w:r>
        <w:rPr>
          <w:rFonts w:hint="eastAsia" w:ascii="宋体" w:hAnsi="宋体" w:cs="Arial"/>
          <w:b/>
          <w:color w:val="auto"/>
          <w:kern w:val="0"/>
          <w:sz w:val="28"/>
          <w:szCs w:val="28"/>
          <w:highlight w:val="none"/>
        </w:rPr>
        <w:t>四、其他要求</w:t>
      </w:r>
    </w:p>
    <w:p w14:paraId="4EC4D92E">
      <w:pPr>
        <w:pStyle w:val="2"/>
        <w:rPr>
          <w:rFonts w:hint="eastAsia" w:hAnsi="宋体" w:cs="Times New Roman"/>
          <w:b/>
          <w:color w:val="auto"/>
        </w:rPr>
        <w:sectPr>
          <w:pgSz w:w="11906" w:h="16838"/>
          <w:pgMar w:top="851" w:right="1133" w:bottom="1246" w:left="1418" w:header="851" w:footer="797" w:gutter="0"/>
          <w:cols w:space="720" w:num="1"/>
          <w:docGrid w:linePitch="312" w:charSpace="0"/>
        </w:sectPr>
      </w:pPr>
      <w:r>
        <w:rPr>
          <w:rFonts w:hint="eastAsia" w:hAnsi="宋体" w:cs="Times New Roman"/>
          <w:b/>
          <w:color w:val="auto"/>
          <w:highlight w:val="none"/>
        </w:rPr>
        <w:t>无</w:t>
      </w:r>
    </w:p>
    <w:p w14:paraId="23F9162F">
      <w:pPr>
        <w:pStyle w:val="2"/>
        <w:rPr>
          <w:rFonts w:hint="eastAsia" w:hAnsi="宋体" w:cs="Times New Roman"/>
          <w:b/>
          <w:color w:val="auto"/>
        </w:rPr>
        <w:sectPr>
          <w:pgSz w:w="11906" w:h="16838"/>
          <w:pgMar w:top="851" w:right="1133" w:bottom="1246" w:left="1418" w:header="851" w:footer="797" w:gutter="0"/>
          <w:cols w:space="720" w:num="1"/>
          <w:docGrid w:linePitch="312" w:charSpace="0"/>
        </w:sectPr>
      </w:pPr>
    </w:p>
    <w:p w14:paraId="493853CB">
      <w:pPr>
        <w:pStyle w:val="2"/>
        <w:rPr>
          <w:rFonts w:hint="eastAsia"/>
        </w:rPr>
        <w:sectPr>
          <w:pgSz w:w="11906" w:h="16838"/>
          <w:pgMar w:top="851" w:right="1133" w:bottom="1246" w:left="1418" w:header="851" w:footer="797" w:gutter="0"/>
          <w:cols w:space="720" w:num="1"/>
          <w:docGrid w:linePitch="312" w:charSpace="0"/>
        </w:sectPr>
      </w:pPr>
    </w:p>
    <w:p w14:paraId="1D81A9BD">
      <w:pPr>
        <w:spacing w:line="528" w:lineRule="exact"/>
        <w:ind w:firstLine="280" w:firstLineChars="100"/>
        <w:rPr>
          <w:rFonts w:ascii="宋体" w:hAnsi="宋体"/>
          <w:color w:val="auto"/>
          <w:sz w:val="28"/>
          <w:szCs w:val="28"/>
        </w:rPr>
      </w:pPr>
      <w:r>
        <w:rPr>
          <w:rFonts w:hint="eastAsia" w:ascii="宋体" w:hAnsi="宋体"/>
          <w:color w:val="auto"/>
          <w:sz w:val="28"/>
          <w:szCs w:val="28"/>
        </w:rPr>
        <w:t xml:space="preserve">附件1： </w:t>
      </w:r>
      <w:r>
        <w:rPr>
          <w:rFonts w:ascii="宋体" w:hAnsi="宋体"/>
          <w:color w:val="auto"/>
          <w:sz w:val="28"/>
          <w:szCs w:val="28"/>
        </w:rPr>
        <w:t xml:space="preserve">               </w:t>
      </w:r>
    </w:p>
    <w:p w14:paraId="026DCAFA">
      <w:pPr>
        <w:spacing w:line="528" w:lineRule="exact"/>
        <w:ind w:firstLine="280" w:firstLineChars="100"/>
        <w:jc w:val="center"/>
        <w:rPr>
          <w:rFonts w:ascii="宋体" w:hAnsi="宋体"/>
          <w:color w:val="auto"/>
          <w:sz w:val="28"/>
          <w:szCs w:val="28"/>
        </w:rPr>
      </w:pPr>
      <w:r>
        <w:rPr>
          <w:rFonts w:hint="eastAsia" w:ascii="宋体" w:hAnsi="宋体"/>
          <w:color w:val="auto"/>
          <w:sz w:val="28"/>
          <w:szCs w:val="28"/>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35E0A09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2B241B13">
            <w:pPr>
              <w:widowControl/>
              <w:jc w:val="left"/>
              <w:rPr>
                <w:rFonts w:ascii="宋体" w:hAnsi="宋体"/>
                <w:color w:val="auto"/>
                <w:szCs w:val="21"/>
              </w:rPr>
            </w:pPr>
            <w:r>
              <w:rPr>
                <w:rFonts w:hint="eastAsia" w:ascii="宋体" w:hAnsi="宋体"/>
                <w:color w:val="auto"/>
                <w:szCs w:val="21"/>
              </w:rPr>
              <w:t>行业名称</w:t>
            </w:r>
          </w:p>
        </w:tc>
        <w:tc>
          <w:tcPr>
            <w:tcW w:w="1701" w:type="dxa"/>
            <w:tcBorders>
              <w:top w:val="single" w:color="auto" w:sz="4" w:space="0"/>
              <w:left w:val="nil"/>
              <w:bottom w:val="single" w:color="auto" w:sz="4" w:space="0"/>
              <w:right w:val="single" w:color="auto" w:sz="4" w:space="0"/>
            </w:tcBorders>
            <w:vAlign w:val="center"/>
          </w:tcPr>
          <w:p w14:paraId="59F91968">
            <w:pPr>
              <w:widowControl/>
              <w:jc w:val="left"/>
              <w:rPr>
                <w:rFonts w:ascii="宋体" w:hAnsi="宋体"/>
                <w:color w:val="auto"/>
                <w:szCs w:val="21"/>
              </w:rPr>
            </w:pPr>
            <w:r>
              <w:rPr>
                <w:rFonts w:hint="eastAsia" w:ascii="宋体" w:hAnsi="宋体"/>
                <w:color w:val="auto"/>
                <w:szCs w:val="21"/>
              </w:rPr>
              <w:t>指标名称</w:t>
            </w:r>
          </w:p>
        </w:tc>
        <w:tc>
          <w:tcPr>
            <w:tcW w:w="1134" w:type="dxa"/>
            <w:tcBorders>
              <w:top w:val="single" w:color="auto" w:sz="4" w:space="0"/>
              <w:left w:val="nil"/>
              <w:bottom w:val="single" w:color="auto" w:sz="4" w:space="0"/>
              <w:right w:val="single" w:color="auto" w:sz="4" w:space="0"/>
            </w:tcBorders>
            <w:vAlign w:val="center"/>
          </w:tcPr>
          <w:p w14:paraId="5363BA8B">
            <w:pPr>
              <w:widowControl/>
              <w:jc w:val="left"/>
              <w:rPr>
                <w:rFonts w:ascii="宋体" w:hAnsi="宋体"/>
                <w:color w:val="auto"/>
                <w:szCs w:val="21"/>
              </w:rPr>
            </w:pPr>
            <w:r>
              <w:rPr>
                <w:rFonts w:hint="eastAsia" w:ascii="宋体" w:hAnsi="宋体"/>
                <w:color w:val="auto"/>
                <w:szCs w:val="21"/>
              </w:rPr>
              <w:t>计量单位</w:t>
            </w:r>
          </w:p>
        </w:tc>
        <w:tc>
          <w:tcPr>
            <w:tcW w:w="1846" w:type="dxa"/>
            <w:tcBorders>
              <w:top w:val="single" w:color="auto" w:sz="4" w:space="0"/>
              <w:left w:val="nil"/>
              <w:bottom w:val="single" w:color="auto" w:sz="4" w:space="0"/>
              <w:right w:val="single" w:color="auto" w:sz="4" w:space="0"/>
            </w:tcBorders>
            <w:vAlign w:val="center"/>
          </w:tcPr>
          <w:p w14:paraId="57B4F03E">
            <w:pPr>
              <w:widowControl/>
              <w:jc w:val="left"/>
              <w:rPr>
                <w:rFonts w:ascii="宋体" w:hAnsi="宋体"/>
                <w:color w:val="auto"/>
                <w:szCs w:val="21"/>
              </w:rPr>
            </w:pPr>
            <w:r>
              <w:rPr>
                <w:rFonts w:hint="eastAsia" w:ascii="宋体" w:hAnsi="宋体"/>
                <w:color w:val="auto"/>
                <w:szCs w:val="21"/>
              </w:rPr>
              <w:t>中型</w:t>
            </w:r>
          </w:p>
        </w:tc>
        <w:tc>
          <w:tcPr>
            <w:tcW w:w="1570" w:type="dxa"/>
            <w:tcBorders>
              <w:top w:val="single" w:color="auto" w:sz="4" w:space="0"/>
              <w:left w:val="nil"/>
              <w:bottom w:val="single" w:color="auto" w:sz="4" w:space="0"/>
              <w:right w:val="single" w:color="auto" w:sz="4" w:space="0"/>
            </w:tcBorders>
            <w:vAlign w:val="center"/>
          </w:tcPr>
          <w:p w14:paraId="1C8CCDA8">
            <w:pPr>
              <w:widowControl/>
              <w:jc w:val="left"/>
              <w:rPr>
                <w:rFonts w:ascii="宋体" w:hAnsi="宋体"/>
                <w:color w:val="auto"/>
                <w:szCs w:val="21"/>
              </w:rPr>
            </w:pPr>
            <w:r>
              <w:rPr>
                <w:rFonts w:hint="eastAsia" w:ascii="宋体" w:hAnsi="宋体"/>
                <w:color w:val="auto"/>
                <w:szCs w:val="21"/>
              </w:rPr>
              <w:t>小型</w:t>
            </w:r>
          </w:p>
        </w:tc>
        <w:tc>
          <w:tcPr>
            <w:tcW w:w="1009" w:type="dxa"/>
            <w:tcBorders>
              <w:top w:val="single" w:color="auto" w:sz="4" w:space="0"/>
              <w:left w:val="nil"/>
              <w:bottom w:val="single" w:color="auto" w:sz="4" w:space="0"/>
              <w:right w:val="single" w:color="auto" w:sz="4" w:space="0"/>
            </w:tcBorders>
            <w:vAlign w:val="center"/>
          </w:tcPr>
          <w:p w14:paraId="483CFD8E">
            <w:pPr>
              <w:widowControl/>
              <w:jc w:val="left"/>
              <w:rPr>
                <w:rFonts w:ascii="宋体" w:hAnsi="宋体"/>
                <w:color w:val="auto"/>
                <w:szCs w:val="21"/>
              </w:rPr>
            </w:pPr>
            <w:r>
              <w:rPr>
                <w:rFonts w:hint="eastAsia" w:ascii="宋体" w:hAnsi="宋体"/>
                <w:color w:val="auto"/>
                <w:szCs w:val="21"/>
              </w:rPr>
              <w:t>微型</w:t>
            </w:r>
          </w:p>
        </w:tc>
      </w:tr>
      <w:tr w14:paraId="28A336D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48FA47A">
            <w:pPr>
              <w:widowControl/>
              <w:jc w:val="center"/>
              <w:rPr>
                <w:rFonts w:ascii="宋体" w:hAnsi="宋体"/>
                <w:color w:val="auto"/>
                <w:szCs w:val="21"/>
              </w:rPr>
            </w:pPr>
            <w:r>
              <w:rPr>
                <w:rFonts w:hint="eastAsia" w:ascii="宋体" w:hAnsi="宋体"/>
                <w:color w:val="auto"/>
                <w:szCs w:val="21"/>
              </w:rPr>
              <w:t>农、林、牧、渔</w:t>
            </w:r>
          </w:p>
        </w:tc>
        <w:tc>
          <w:tcPr>
            <w:tcW w:w="1701" w:type="dxa"/>
            <w:tcBorders>
              <w:top w:val="nil"/>
              <w:left w:val="nil"/>
              <w:bottom w:val="single" w:color="auto" w:sz="4" w:space="0"/>
              <w:right w:val="single" w:color="auto" w:sz="4" w:space="0"/>
            </w:tcBorders>
            <w:vAlign w:val="center"/>
          </w:tcPr>
          <w:p w14:paraId="3A3647D0">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0EFAB8E6">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6F9F7342">
            <w:pPr>
              <w:widowControl/>
              <w:jc w:val="left"/>
              <w:rPr>
                <w:rFonts w:ascii="宋体" w:hAnsi="宋体"/>
                <w:color w:val="auto"/>
                <w:szCs w:val="21"/>
              </w:rPr>
            </w:pPr>
            <w:r>
              <w:rPr>
                <w:rFonts w:hint="eastAsia" w:ascii="宋体" w:hAnsi="宋体"/>
                <w:color w:val="auto"/>
                <w:szCs w:val="21"/>
              </w:rPr>
              <w:t>500≤Y＜20000</w:t>
            </w:r>
          </w:p>
        </w:tc>
        <w:tc>
          <w:tcPr>
            <w:tcW w:w="1570" w:type="dxa"/>
            <w:tcBorders>
              <w:top w:val="nil"/>
              <w:left w:val="nil"/>
              <w:bottom w:val="single" w:color="auto" w:sz="4" w:space="0"/>
              <w:right w:val="single" w:color="auto" w:sz="4" w:space="0"/>
            </w:tcBorders>
            <w:vAlign w:val="center"/>
          </w:tcPr>
          <w:p w14:paraId="6B093210">
            <w:pPr>
              <w:widowControl/>
              <w:jc w:val="left"/>
              <w:rPr>
                <w:rFonts w:ascii="宋体" w:hAnsi="宋体"/>
                <w:color w:val="auto"/>
                <w:szCs w:val="21"/>
              </w:rPr>
            </w:pPr>
            <w:r>
              <w:rPr>
                <w:rFonts w:hint="eastAsia" w:ascii="宋体" w:hAnsi="宋体"/>
                <w:color w:val="auto"/>
                <w:szCs w:val="21"/>
              </w:rPr>
              <w:t>50≤Y＜500</w:t>
            </w:r>
          </w:p>
        </w:tc>
        <w:tc>
          <w:tcPr>
            <w:tcW w:w="1009" w:type="dxa"/>
            <w:tcBorders>
              <w:top w:val="nil"/>
              <w:left w:val="nil"/>
              <w:bottom w:val="single" w:color="auto" w:sz="4" w:space="0"/>
              <w:right w:val="single" w:color="auto" w:sz="4" w:space="0"/>
            </w:tcBorders>
            <w:vAlign w:val="center"/>
          </w:tcPr>
          <w:p w14:paraId="6352007A">
            <w:pPr>
              <w:widowControl/>
              <w:jc w:val="left"/>
              <w:rPr>
                <w:rFonts w:ascii="宋体" w:hAnsi="宋体"/>
                <w:color w:val="auto"/>
                <w:szCs w:val="21"/>
              </w:rPr>
            </w:pPr>
            <w:r>
              <w:rPr>
                <w:rFonts w:hint="eastAsia" w:ascii="宋体" w:hAnsi="宋体"/>
                <w:color w:val="auto"/>
                <w:szCs w:val="21"/>
              </w:rPr>
              <w:t>Y＜50</w:t>
            </w:r>
          </w:p>
        </w:tc>
      </w:tr>
      <w:tr w14:paraId="5690BA9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605A500">
            <w:pPr>
              <w:widowControl/>
              <w:jc w:val="center"/>
              <w:rPr>
                <w:rFonts w:ascii="宋体" w:hAnsi="宋体"/>
                <w:color w:val="auto"/>
                <w:szCs w:val="21"/>
              </w:rPr>
            </w:pPr>
            <w:r>
              <w:rPr>
                <w:rFonts w:hint="eastAsia" w:ascii="宋体" w:hAnsi="宋体"/>
                <w:color w:val="auto"/>
                <w:szCs w:val="21"/>
              </w:rPr>
              <w:t>工业</w:t>
            </w:r>
          </w:p>
        </w:tc>
        <w:tc>
          <w:tcPr>
            <w:tcW w:w="1701" w:type="dxa"/>
            <w:tcBorders>
              <w:top w:val="nil"/>
              <w:left w:val="nil"/>
              <w:bottom w:val="single" w:color="auto" w:sz="4" w:space="0"/>
              <w:right w:val="single" w:color="auto" w:sz="4" w:space="0"/>
            </w:tcBorders>
            <w:vAlign w:val="center"/>
          </w:tcPr>
          <w:p w14:paraId="79E91884">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53B4F56E">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05459BF1">
            <w:pPr>
              <w:widowControl/>
              <w:jc w:val="left"/>
              <w:rPr>
                <w:rFonts w:ascii="宋体" w:hAnsi="宋体"/>
                <w:color w:val="auto"/>
                <w:szCs w:val="21"/>
              </w:rPr>
            </w:pPr>
            <w:r>
              <w:rPr>
                <w:rFonts w:hint="eastAsia" w:ascii="宋体" w:hAnsi="宋体"/>
                <w:color w:val="auto"/>
                <w:szCs w:val="21"/>
              </w:rPr>
              <w:t>300≤X＜1000</w:t>
            </w:r>
          </w:p>
        </w:tc>
        <w:tc>
          <w:tcPr>
            <w:tcW w:w="1570" w:type="dxa"/>
            <w:tcBorders>
              <w:top w:val="nil"/>
              <w:left w:val="nil"/>
              <w:bottom w:val="single" w:color="auto" w:sz="4" w:space="0"/>
              <w:right w:val="single" w:color="auto" w:sz="4" w:space="0"/>
            </w:tcBorders>
            <w:vAlign w:val="center"/>
          </w:tcPr>
          <w:p w14:paraId="285A19E0">
            <w:pPr>
              <w:widowControl/>
              <w:jc w:val="left"/>
              <w:rPr>
                <w:rFonts w:ascii="宋体" w:hAnsi="宋体"/>
                <w:color w:val="auto"/>
                <w:szCs w:val="21"/>
              </w:rPr>
            </w:pPr>
            <w:r>
              <w:rPr>
                <w:rFonts w:hint="eastAsia" w:ascii="宋体" w:hAnsi="宋体"/>
                <w:color w:val="auto"/>
                <w:szCs w:val="21"/>
              </w:rPr>
              <w:t>20≤X＜300</w:t>
            </w:r>
          </w:p>
        </w:tc>
        <w:tc>
          <w:tcPr>
            <w:tcW w:w="1009" w:type="dxa"/>
            <w:tcBorders>
              <w:top w:val="nil"/>
              <w:left w:val="nil"/>
              <w:bottom w:val="single" w:color="auto" w:sz="4" w:space="0"/>
              <w:right w:val="single" w:color="auto" w:sz="4" w:space="0"/>
            </w:tcBorders>
            <w:vAlign w:val="center"/>
          </w:tcPr>
          <w:p w14:paraId="669AED57">
            <w:pPr>
              <w:widowControl/>
              <w:jc w:val="left"/>
              <w:rPr>
                <w:rFonts w:ascii="宋体" w:hAnsi="宋体"/>
                <w:color w:val="auto"/>
                <w:szCs w:val="21"/>
              </w:rPr>
            </w:pPr>
            <w:r>
              <w:rPr>
                <w:rFonts w:hint="eastAsia" w:ascii="宋体" w:hAnsi="宋体"/>
                <w:color w:val="auto"/>
                <w:szCs w:val="21"/>
              </w:rPr>
              <w:t>X＜20</w:t>
            </w:r>
          </w:p>
        </w:tc>
      </w:tr>
      <w:tr w14:paraId="28B695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82C2B52">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79188398">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4ED9D990">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07ED812B">
            <w:pPr>
              <w:widowControl/>
              <w:jc w:val="left"/>
              <w:rPr>
                <w:rFonts w:ascii="宋体" w:hAnsi="宋体"/>
                <w:color w:val="auto"/>
                <w:szCs w:val="21"/>
              </w:rPr>
            </w:pPr>
            <w:r>
              <w:rPr>
                <w:rFonts w:hint="eastAsia" w:ascii="宋体" w:hAnsi="宋体"/>
                <w:color w:val="auto"/>
                <w:szCs w:val="21"/>
              </w:rPr>
              <w:t>2000≤Y＜40000</w:t>
            </w:r>
          </w:p>
        </w:tc>
        <w:tc>
          <w:tcPr>
            <w:tcW w:w="1570" w:type="dxa"/>
            <w:tcBorders>
              <w:top w:val="nil"/>
              <w:left w:val="nil"/>
              <w:bottom w:val="single" w:color="auto" w:sz="4" w:space="0"/>
              <w:right w:val="single" w:color="auto" w:sz="4" w:space="0"/>
            </w:tcBorders>
            <w:vAlign w:val="center"/>
          </w:tcPr>
          <w:p w14:paraId="206F3F92">
            <w:pPr>
              <w:widowControl/>
              <w:jc w:val="left"/>
              <w:rPr>
                <w:rFonts w:ascii="宋体" w:hAnsi="宋体"/>
                <w:color w:val="auto"/>
                <w:szCs w:val="21"/>
              </w:rPr>
            </w:pPr>
            <w:r>
              <w:rPr>
                <w:rFonts w:hint="eastAsia" w:ascii="宋体" w:hAnsi="宋体"/>
                <w:color w:val="auto"/>
                <w:szCs w:val="21"/>
              </w:rPr>
              <w:t>300≤Y＜2000</w:t>
            </w:r>
          </w:p>
        </w:tc>
        <w:tc>
          <w:tcPr>
            <w:tcW w:w="1009" w:type="dxa"/>
            <w:tcBorders>
              <w:top w:val="nil"/>
              <w:left w:val="nil"/>
              <w:bottom w:val="single" w:color="auto" w:sz="4" w:space="0"/>
              <w:right w:val="single" w:color="auto" w:sz="4" w:space="0"/>
            </w:tcBorders>
            <w:vAlign w:val="center"/>
          </w:tcPr>
          <w:p w14:paraId="198CB5DC">
            <w:pPr>
              <w:widowControl/>
              <w:jc w:val="left"/>
              <w:rPr>
                <w:rFonts w:ascii="宋体" w:hAnsi="宋体"/>
                <w:color w:val="auto"/>
                <w:szCs w:val="21"/>
              </w:rPr>
            </w:pPr>
            <w:r>
              <w:rPr>
                <w:rFonts w:hint="eastAsia" w:ascii="宋体" w:hAnsi="宋体"/>
                <w:color w:val="auto"/>
                <w:szCs w:val="21"/>
              </w:rPr>
              <w:t>Y＜300</w:t>
            </w:r>
          </w:p>
        </w:tc>
      </w:tr>
      <w:tr w14:paraId="3AA062C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ADACBCC">
            <w:pPr>
              <w:widowControl/>
              <w:jc w:val="center"/>
              <w:rPr>
                <w:rFonts w:ascii="宋体" w:hAnsi="宋体"/>
                <w:color w:val="auto"/>
                <w:szCs w:val="21"/>
              </w:rPr>
            </w:pPr>
            <w:r>
              <w:rPr>
                <w:rFonts w:hint="eastAsia" w:ascii="宋体" w:hAnsi="宋体"/>
                <w:color w:val="auto"/>
                <w:szCs w:val="21"/>
              </w:rPr>
              <w:t>建筑业</w:t>
            </w:r>
          </w:p>
        </w:tc>
        <w:tc>
          <w:tcPr>
            <w:tcW w:w="1701" w:type="dxa"/>
            <w:tcBorders>
              <w:top w:val="nil"/>
              <w:left w:val="nil"/>
              <w:bottom w:val="single" w:color="auto" w:sz="4" w:space="0"/>
              <w:right w:val="single" w:color="auto" w:sz="4" w:space="0"/>
            </w:tcBorders>
            <w:vAlign w:val="center"/>
          </w:tcPr>
          <w:p w14:paraId="19990E1D">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467A7279">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3C2CDE42">
            <w:pPr>
              <w:widowControl/>
              <w:jc w:val="left"/>
              <w:rPr>
                <w:rFonts w:ascii="宋体" w:hAnsi="宋体"/>
                <w:color w:val="auto"/>
                <w:szCs w:val="21"/>
              </w:rPr>
            </w:pPr>
            <w:r>
              <w:rPr>
                <w:rFonts w:hint="eastAsia" w:ascii="宋体" w:hAnsi="宋体"/>
                <w:color w:val="auto"/>
                <w:szCs w:val="21"/>
              </w:rPr>
              <w:t>6000≤Y＜80000</w:t>
            </w:r>
          </w:p>
        </w:tc>
        <w:tc>
          <w:tcPr>
            <w:tcW w:w="1570" w:type="dxa"/>
            <w:tcBorders>
              <w:top w:val="nil"/>
              <w:left w:val="nil"/>
              <w:bottom w:val="single" w:color="auto" w:sz="4" w:space="0"/>
              <w:right w:val="single" w:color="auto" w:sz="4" w:space="0"/>
            </w:tcBorders>
            <w:vAlign w:val="center"/>
          </w:tcPr>
          <w:p w14:paraId="340C693C">
            <w:pPr>
              <w:widowControl/>
              <w:jc w:val="left"/>
              <w:rPr>
                <w:rFonts w:ascii="宋体" w:hAnsi="宋体"/>
                <w:color w:val="auto"/>
                <w:szCs w:val="21"/>
              </w:rPr>
            </w:pPr>
            <w:r>
              <w:rPr>
                <w:rFonts w:hint="eastAsia" w:ascii="宋体" w:hAnsi="宋体"/>
                <w:color w:val="auto"/>
                <w:szCs w:val="21"/>
              </w:rPr>
              <w:t>300≤Y＜6000</w:t>
            </w:r>
          </w:p>
        </w:tc>
        <w:tc>
          <w:tcPr>
            <w:tcW w:w="1009" w:type="dxa"/>
            <w:tcBorders>
              <w:top w:val="nil"/>
              <w:left w:val="nil"/>
              <w:bottom w:val="single" w:color="auto" w:sz="4" w:space="0"/>
              <w:right w:val="single" w:color="auto" w:sz="4" w:space="0"/>
            </w:tcBorders>
            <w:vAlign w:val="center"/>
          </w:tcPr>
          <w:p w14:paraId="4408A3E0">
            <w:pPr>
              <w:widowControl/>
              <w:jc w:val="left"/>
              <w:rPr>
                <w:rFonts w:ascii="宋体" w:hAnsi="宋体"/>
                <w:color w:val="auto"/>
                <w:szCs w:val="21"/>
              </w:rPr>
            </w:pPr>
            <w:r>
              <w:rPr>
                <w:rFonts w:hint="eastAsia" w:ascii="宋体" w:hAnsi="宋体"/>
                <w:color w:val="auto"/>
                <w:szCs w:val="21"/>
              </w:rPr>
              <w:t>Y＜300</w:t>
            </w:r>
          </w:p>
        </w:tc>
      </w:tr>
      <w:tr w14:paraId="3DDB54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D4EB277">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7EA23E33">
            <w:pPr>
              <w:widowControl/>
              <w:jc w:val="left"/>
              <w:rPr>
                <w:rFonts w:ascii="宋体" w:hAnsi="宋体"/>
                <w:color w:val="auto"/>
                <w:szCs w:val="21"/>
              </w:rPr>
            </w:pPr>
            <w:r>
              <w:rPr>
                <w:rFonts w:hint="eastAsia" w:ascii="宋体" w:hAnsi="宋体"/>
                <w:color w:val="auto"/>
                <w:szCs w:val="21"/>
              </w:rPr>
              <w:t>资产总额（Z）</w:t>
            </w:r>
          </w:p>
        </w:tc>
        <w:tc>
          <w:tcPr>
            <w:tcW w:w="1134" w:type="dxa"/>
            <w:tcBorders>
              <w:top w:val="nil"/>
              <w:left w:val="nil"/>
              <w:bottom w:val="single" w:color="auto" w:sz="4" w:space="0"/>
              <w:right w:val="single" w:color="auto" w:sz="4" w:space="0"/>
            </w:tcBorders>
            <w:vAlign w:val="center"/>
          </w:tcPr>
          <w:p w14:paraId="54D6306D">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72517EF9">
            <w:pPr>
              <w:widowControl/>
              <w:jc w:val="left"/>
              <w:rPr>
                <w:rFonts w:ascii="宋体" w:hAnsi="宋体"/>
                <w:color w:val="auto"/>
                <w:szCs w:val="21"/>
              </w:rPr>
            </w:pPr>
            <w:r>
              <w:rPr>
                <w:rFonts w:hint="eastAsia" w:ascii="宋体" w:hAnsi="宋体"/>
                <w:color w:val="auto"/>
                <w:szCs w:val="21"/>
              </w:rPr>
              <w:t>5000≤Z＜80000</w:t>
            </w:r>
          </w:p>
        </w:tc>
        <w:tc>
          <w:tcPr>
            <w:tcW w:w="1570" w:type="dxa"/>
            <w:tcBorders>
              <w:top w:val="nil"/>
              <w:left w:val="nil"/>
              <w:bottom w:val="single" w:color="auto" w:sz="4" w:space="0"/>
              <w:right w:val="single" w:color="auto" w:sz="4" w:space="0"/>
            </w:tcBorders>
            <w:vAlign w:val="center"/>
          </w:tcPr>
          <w:p w14:paraId="63CE8617">
            <w:pPr>
              <w:widowControl/>
              <w:jc w:val="left"/>
              <w:rPr>
                <w:rFonts w:ascii="宋体" w:hAnsi="宋体"/>
                <w:color w:val="auto"/>
                <w:szCs w:val="21"/>
              </w:rPr>
            </w:pPr>
            <w:r>
              <w:rPr>
                <w:rFonts w:hint="eastAsia" w:ascii="宋体" w:hAnsi="宋体"/>
                <w:color w:val="auto"/>
                <w:szCs w:val="21"/>
              </w:rPr>
              <w:t>300≤Z＜5000</w:t>
            </w:r>
          </w:p>
        </w:tc>
        <w:tc>
          <w:tcPr>
            <w:tcW w:w="1009" w:type="dxa"/>
            <w:tcBorders>
              <w:top w:val="nil"/>
              <w:left w:val="nil"/>
              <w:bottom w:val="single" w:color="auto" w:sz="4" w:space="0"/>
              <w:right w:val="single" w:color="auto" w:sz="4" w:space="0"/>
            </w:tcBorders>
            <w:vAlign w:val="center"/>
          </w:tcPr>
          <w:p w14:paraId="5508A4D8">
            <w:pPr>
              <w:widowControl/>
              <w:jc w:val="left"/>
              <w:rPr>
                <w:rFonts w:ascii="宋体" w:hAnsi="宋体"/>
                <w:color w:val="auto"/>
                <w:szCs w:val="21"/>
              </w:rPr>
            </w:pPr>
            <w:r>
              <w:rPr>
                <w:rFonts w:hint="eastAsia" w:ascii="宋体" w:hAnsi="宋体"/>
                <w:color w:val="auto"/>
                <w:szCs w:val="21"/>
              </w:rPr>
              <w:t>Z＜300</w:t>
            </w:r>
          </w:p>
        </w:tc>
      </w:tr>
      <w:tr w14:paraId="5D45957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F7A698A">
            <w:pPr>
              <w:widowControl/>
              <w:ind w:firstLine="315" w:firstLineChars="150"/>
              <w:rPr>
                <w:rFonts w:ascii="宋体" w:hAnsi="宋体"/>
                <w:color w:val="auto"/>
                <w:szCs w:val="21"/>
              </w:rPr>
            </w:pPr>
            <w:r>
              <w:rPr>
                <w:rFonts w:hint="eastAsia" w:ascii="宋体" w:hAnsi="宋体"/>
                <w:color w:val="auto"/>
                <w:szCs w:val="21"/>
              </w:rPr>
              <w:t>批发业</w:t>
            </w:r>
          </w:p>
        </w:tc>
        <w:tc>
          <w:tcPr>
            <w:tcW w:w="1701" w:type="dxa"/>
            <w:tcBorders>
              <w:top w:val="nil"/>
              <w:left w:val="nil"/>
              <w:bottom w:val="single" w:color="auto" w:sz="4" w:space="0"/>
              <w:right w:val="single" w:color="auto" w:sz="4" w:space="0"/>
            </w:tcBorders>
            <w:vAlign w:val="center"/>
          </w:tcPr>
          <w:p w14:paraId="5E9B7A41">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32608966">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511776CD">
            <w:pPr>
              <w:widowControl/>
              <w:jc w:val="left"/>
              <w:rPr>
                <w:rFonts w:ascii="宋体" w:hAnsi="宋体"/>
                <w:color w:val="auto"/>
                <w:szCs w:val="21"/>
              </w:rPr>
            </w:pPr>
            <w:r>
              <w:rPr>
                <w:rFonts w:hint="eastAsia" w:ascii="宋体" w:hAnsi="宋体"/>
                <w:color w:val="auto"/>
                <w:szCs w:val="21"/>
              </w:rPr>
              <w:t>20≤X＜200</w:t>
            </w:r>
          </w:p>
        </w:tc>
        <w:tc>
          <w:tcPr>
            <w:tcW w:w="1570" w:type="dxa"/>
            <w:tcBorders>
              <w:top w:val="nil"/>
              <w:left w:val="nil"/>
              <w:bottom w:val="single" w:color="auto" w:sz="4" w:space="0"/>
              <w:right w:val="single" w:color="auto" w:sz="4" w:space="0"/>
            </w:tcBorders>
            <w:vAlign w:val="center"/>
          </w:tcPr>
          <w:p w14:paraId="5C9704F9">
            <w:pPr>
              <w:widowControl/>
              <w:jc w:val="left"/>
              <w:rPr>
                <w:rFonts w:ascii="宋体" w:hAnsi="宋体"/>
                <w:color w:val="auto"/>
                <w:szCs w:val="21"/>
              </w:rPr>
            </w:pPr>
            <w:r>
              <w:rPr>
                <w:rFonts w:hint="eastAsia" w:ascii="宋体" w:hAnsi="宋体"/>
                <w:color w:val="auto"/>
                <w:szCs w:val="21"/>
              </w:rPr>
              <w:t>5≤X＜20</w:t>
            </w:r>
          </w:p>
        </w:tc>
        <w:tc>
          <w:tcPr>
            <w:tcW w:w="1009" w:type="dxa"/>
            <w:tcBorders>
              <w:top w:val="nil"/>
              <w:left w:val="nil"/>
              <w:bottom w:val="single" w:color="auto" w:sz="4" w:space="0"/>
              <w:right w:val="single" w:color="auto" w:sz="4" w:space="0"/>
            </w:tcBorders>
            <w:vAlign w:val="center"/>
          </w:tcPr>
          <w:p w14:paraId="29E3EF3E">
            <w:pPr>
              <w:widowControl/>
              <w:jc w:val="left"/>
              <w:rPr>
                <w:rFonts w:ascii="宋体" w:hAnsi="宋体"/>
                <w:color w:val="auto"/>
                <w:szCs w:val="21"/>
              </w:rPr>
            </w:pPr>
            <w:r>
              <w:rPr>
                <w:rFonts w:hint="eastAsia" w:ascii="宋体" w:hAnsi="宋体"/>
                <w:color w:val="auto"/>
                <w:szCs w:val="21"/>
              </w:rPr>
              <w:t>X＜5</w:t>
            </w:r>
          </w:p>
        </w:tc>
      </w:tr>
      <w:tr w14:paraId="2E28D5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2A04FBB">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4B6C92A7">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7AE5F098">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15B58E9F">
            <w:pPr>
              <w:widowControl/>
              <w:jc w:val="left"/>
              <w:rPr>
                <w:rFonts w:ascii="宋体" w:hAnsi="宋体"/>
                <w:color w:val="auto"/>
                <w:szCs w:val="21"/>
              </w:rPr>
            </w:pPr>
            <w:r>
              <w:rPr>
                <w:rFonts w:hint="eastAsia" w:ascii="宋体" w:hAnsi="宋体"/>
                <w:color w:val="auto"/>
                <w:szCs w:val="21"/>
              </w:rPr>
              <w:t>5000≤Y＜40000</w:t>
            </w:r>
          </w:p>
        </w:tc>
        <w:tc>
          <w:tcPr>
            <w:tcW w:w="1570" w:type="dxa"/>
            <w:tcBorders>
              <w:top w:val="nil"/>
              <w:left w:val="nil"/>
              <w:bottom w:val="single" w:color="auto" w:sz="4" w:space="0"/>
              <w:right w:val="single" w:color="auto" w:sz="4" w:space="0"/>
            </w:tcBorders>
            <w:vAlign w:val="center"/>
          </w:tcPr>
          <w:p w14:paraId="27F3FD73">
            <w:pPr>
              <w:widowControl/>
              <w:jc w:val="left"/>
              <w:rPr>
                <w:rFonts w:ascii="宋体" w:hAnsi="宋体"/>
                <w:color w:val="auto"/>
                <w:szCs w:val="21"/>
              </w:rPr>
            </w:pPr>
            <w:r>
              <w:rPr>
                <w:rFonts w:hint="eastAsia" w:ascii="宋体" w:hAnsi="宋体"/>
                <w:color w:val="auto"/>
                <w:szCs w:val="21"/>
              </w:rPr>
              <w:t>1000≤Y＜5000</w:t>
            </w:r>
          </w:p>
        </w:tc>
        <w:tc>
          <w:tcPr>
            <w:tcW w:w="1009" w:type="dxa"/>
            <w:tcBorders>
              <w:top w:val="nil"/>
              <w:left w:val="nil"/>
              <w:bottom w:val="single" w:color="auto" w:sz="4" w:space="0"/>
              <w:right w:val="single" w:color="auto" w:sz="4" w:space="0"/>
            </w:tcBorders>
            <w:vAlign w:val="center"/>
          </w:tcPr>
          <w:p w14:paraId="02E87EDF">
            <w:pPr>
              <w:widowControl/>
              <w:jc w:val="left"/>
              <w:rPr>
                <w:rFonts w:ascii="宋体" w:hAnsi="宋体"/>
                <w:color w:val="auto"/>
                <w:szCs w:val="21"/>
              </w:rPr>
            </w:pPr>
            <w:r>
              <w:rPr>
                <w:rFonts w:hint="eastAsia" w:ascii="宋体" w:hAnsi="宋体"/>
                <w:color w:val="auto"/>
                <w:szCs w:val="21"/>
              </w:rPr>
              <w:t>Y＜1000</w:t>
            </w:r>
          </w:p>
        </w:tc>
      </w:tr>
      <w:tr w14:paraId="2D4480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C7F0AB5">
            <w:pPr>
              <w:widowControl/>
              <w:jc w:val="center"/>
              <w:rPr>
                <w:rFonts w:ascii="宋体" w:hAnsi="宋体"/>
                <w:color w:val="auto"/>
                <w:szCs w:val="21"/>
              </w:rPr>
            </w:pPr>
            <w:r>
              <w:rPr>
                <w:rFonts w:hint="eastAsia" w:ascii="宋体" w:hAnsi="宋体"/>
                <w:color w:val="auto"/>
                <w:szCs w:val="21"/>
              </w:rPr>
              <w:t>零售业</w:t>
            </w:r>
          </w:p>
        </w:tc>
        <w:tc>
          <w:tcPr>
            <w:tcW w:w="1701" w:type="dxa"/>
            <w:tcBorders>
              <w:top w:val="nil"/>
              <w:left w:val="nil"/>
              <w:bottom w:val="single" w:color="auto" w:sz="4" w:space="0"/>
              <w:right w:val="single" w:color="auto" w:sz="4" w:space="0"/>
            </w:tcBorders>
            <w:vAlign w:val="center"/>
          </w:tcPr>
          <w:p w14:paraId="5AC13174">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678B558C">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51930F06">
            <w:pPr>
              <w:widowControl/>
              <w:jc w:val="left"/>
              <w:rPr>
                <w:rFonts w:ascii="宋体" w:hAnsi="宋体"/>
                <w:color w:val="auto"/>
                <w:szCs w:val="21"/>
              </w:rPr>
            </w:pPr>
            <w:r>
              <w:rPr>
                <w:rFonts w:hint="eastAsia" w:ascii="宋体" w:hAnsi="宋体"/>
                <w:color w:val="auto"/>
                <w:szCs w:val="21"/>
              </w:rPr>
              <w:t>50≤X＜300</w:t>
            </w:r>
          </w:p>
        </w:tc>
        <w:tc>
          <w:tcPr>
            <w:tcW w:w="1570" w:type="dxa"/>
            <w:tcBorders>
              <w:top w:val="nil"/>
              <w:left w:val="nil"/>
              <w:bottom w:val="single" w:color="auto" w:sz="4" w:space="0"/>
              <w:right w:val="single" w:color="auto" w:sz="4" w:space="0"/>
            </w:tcBorders>
            <w:vAlign w:val="center"/>
          </w:tcPr>
          <w:p w14:paraId="0A14A0A8">
            <w:pPr>
              <w:widowControl/>
              <w:jc w:val="left"/>
              <w:rPr>
                <w:rFonts w:ascii="宋体" w:hAnsi="宋体"/>
                <w:color w:val="auto"/>
                <w:szCs w:val="21"/>
              </w:rPr>
            </w:pPr>
            <w:r>
              <w:rPr>
                <w:rFonts w:hint="eastAsia" w:ascii="宋体" w:hAnsi="宋体"/>
                <w:color w:val="auto"/>
                <w:szCs w:val="21"/>
              </w:rPr>
              <w:t>10≤X＜50</w:t>
            </w:r>
          </w:p>
        </w:tc>
        <w:tc>
          <w:tcPr>
            <w:tcW w:w="1009" w:type="dxa"/>
            <w:tcBorders>
              <w:top w:val="nil"/>
              <w:left w:val="nil"/>
              <w:bottom w:val="single" w:color="auto" w:sz="4" w:space="0"/>
              <w:right w:val="single" w:color="auto" w:sz="4" w:space="0"/>
            </w:tcBorders>
            <w:vAlign w:val="center"/>
          </w:tcPr>
          <w:p w14:paraId="553E2DB6">
            <w:pPr>
              <w:widowControl/>
              <w:jc w:val="left"/>
              <w:rPr>
                <w:rFonts w:ascii="宋体" w:hAnsi="宋体"/>
                <w:color w:val="auto"/>
                <w:szCs w:val="21"/>
              </w:rPr>
            </w:pPr>
            <w:r>
              <w:rPr>
                <w:rFonts w:hint="eastAsia" w:ascii="宋体" w:hAnsi="宋体"/>
                <w:color w:val="auto"/>
                <w:szCs w:val="21"/>
              </w:rPr>
              <w:t>X＜10</w:t>
            </w:r>
          </w:p>
        </w:tc>
      </w:tr>
      <w:tr w14:paraId="77C25FA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27F4CC7">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3FFE013D">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4E5CCB18">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3A412845">
            <w:pPr>
              <w:widowControl/>
              <w:jc w:val="left"/>
              <w:rPr>
                <w:rFonts w:ascii="宋体" w:hAnsi="宋体"/>
                <w:color w:val="auto"/>
                <w:szCs w:val="21"/>
              </w:rPr>
            </w:pPr>
            <w:r>
              <w:rPr>
                <w:rFonts w:hint="eastAsia" w:ascii="宋体" w:hAnsi="宋体"/>
                <w:color w:val="auto"/>
                <w:szCs w:val="21"/>
              </w:rPr>
              <w:t>500≤Y＜20000</w:t>
            </w:r>
          </w:p>
        </w:tc>
        <w:tc>
          <w:tcPr>
            <w:tcW w:w="1570" w:type="dxa"/>
            <w:tcBorders>
              <w:top w:val="nil"/>
              <w:left w:val="nil"/>
              <w:bottom w:val="single" w:color="auto" w:sz="4" w:space="0"/>
              <w:right w:val="single" w:color="auto" w:sz="4" w:space="0"/>
            </w:tcBorders>
            <w:vAlign w:val="center"/>
          </w:tcPr>
          <w:p w14:paraId="1C0AB311">
            <w:pPr>
              <w:widowControl/>
              <w:jc w:val="left"/>
              <w:rPr>
                <w:rFonts w:ascii="宋体" w:hAnsi="宋体"/>
                <w:color w:val="auto"/>
                <w:szCs w:val="21"/>
              </w:rPr>
            </w:pPr>
            <w:r>
              <w:rPr>
                <w:rFonts w:hint="eastAsia" w:ascii="宋体" w:hAnsi="宋体"/>
                <w:color w:val="auto"/>
                <w:szCs w:val="21"/>
              </w:rPr>
              <w:t>100≤Y＜500</w:t>
            </w:r>
          </w:p>
        </w:tc>
        <w:tc>
          <w:tcPr>
            <w:tcW w:w="1009" w:type="dxa"/>
            <w:tcBorders>
              <w:top w:val="nil"/>
              <w:left w:val="nil"/>
              <w:bottom w:val="single" w:color="auto" w:sz="4" w:space="0"/>
              <w:right w:val="single" w:color="auto" w:sz="4" w:space="0"/>
            </w:tcBorders>
            <w:vAlign w:val="center"/>
          </w:tcPr>
          <w:p w14:paraId="61026C4F">
            <w:pPr>
              <w:widowControl/>
              <w:jc w:val="left"/>
              <w:rPr>
                <w:rFonts w:ascii="宋体" w:hAnsi="宋体"/>
                <w:color w:val="auto"/>
                <w:szCs w:val="21"/>
              </w:rPr>
            </w:pPr>
            <w:r>
              <w:rPr>
                <w:rFonts w:hint="eastAsia" w:ascii="宋体" w:hAnsi="宋体"/>
                <w:color w:val="auto"/>
                <w:szCs w:val="21"/>
              </w:rPr>
              <w:t>Y＜100</w:t>
            </w:r>
          </w:p>
        </w:tc>
      </w:tr>
      <w:tr w14:paraId="25BB57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7B63107">
            <w:pPr>
              <w:widowControl/>
              <w:jc w:val="center"/>
              <w:rPr>
                <w:rFonts w:ascii="宋体" w:hAnsi="宋体"/>
                <w:color w:val="auto"/>
                <w:szCs w:val="21"/>
              </w:rPr>
            </w:pPr>
            <w:r>
              <w:rPr>
                <w:rFonts w:hint="eastAsia" w:ascii="宋体" w:hAnsi="宋体"/>
                <w:color w:val="auto"/>
                <w:szCs w:val="21"/>
              </w:rPr>
              <w:t>交通运输业</w:t>
            </w:r>
          </w:p>
        </w:tc>
        <w:tc>
          <w:tcPr>
            <w:tcW w:w="1701" w:type="dxa"/>
            <w:tcBorders>
              <w:top w:val="nil"/>
              <w:left w:val="nil"/>
              <w:bottom w:val="single" w:color="auto" w:sz="4" w:space="0"/>
              <w:right w:val="single" w:color="auto" w:sz="4" w:space="0"/>
            </w:tcBorders>
            <w:vAlign w:val="center"/>
          </w:tcPr>
          <w:p w14:paraId="5248566B">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0C2F4B8C">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4ED297D9">
            <w:pPr>
              <w:widowControl/>
              <w:jc w:val="left"/>
              <w:rPr>
                <w:rFonts w:ascii="宋体" w:hAnsi="宋体"/>
                <w:color w:val="auto"/>
                <w:szCs w:val="21"/>
              </w:rPr>
            </w:pPr>
            <w:r>
              <w:rPr>
                <w:rFonts w:hint="eastAsia" w:ascii="宋体" w:hAnsi="宋体"/>
                <w:color w:val="auto"/>
                <w:szCs w:val="21"/>
              </w:rPr>
              <w:t>300≤X＜1000</w:t>
            </w:r>
          </w:p>
        </w:tc>
        <w:tc>
          <w:tcPr>
            <w:tcW w:w="1570" w:type="dxa"/>
            <w:tcBorders>
              <w:top w:val="nil"/>
              <w:left w:val="nil"/>
              <w:bottom w:val="single" w:color="auto" w:sz="4" w:space="0"/>
              <w:right w:val="single" w:color="auto" w:sz="4" w:space="0"/>
            </w:tcBorders>
            <w:vAlign w:val="center"/>
          </w:tcPr>
          <w:p w14:paraId="5DD12ACC">
            <w:pPr>
              <w:widowControl/>
              <w:jc w:val="left"/>
              <w:rPr>
                <w:rFonts w:ascii="宋体" w:hAnsi="宋体"/>
                <w:color w:val="auto"/>
                <w:szCs w:val="21"/>
              </w:rPr>
            </w:pPr>
            <w:r>
              <w:rPr>
                <w:rFonts w:hint="eastAsia" w:ascii="宋体" w:hAnsi="宋体"/>
                <w:color w:val="auto"/>
                <w:szCs w:val="21"/>
              </w:rPr>
              <w:t>20≤X＜300</w:t>
            </w:r>
          </w:p>
        </w:tc>
        <w:tc>
          <w:tcPr>
            <w:tcW w:w="1009" w:type="dxa"/>
            <w:tcBorders>
              <w:top w:val="nil"/>
              <w:left w:val="nil"/>
              <w:bottom w:val="single" w:color="auto" w:sz="4" w:space="0"/>
              <w:right w:val="single" w:color="auto" w:sz="4" w:space="0"/>
            </w:tcBorders>
            <w:vAlign w:val="center"/>
          </w:tcPr>
          <w:p w14:paraId="70D0D3CA">
            <w:pPr>
              <w:widowControl/>
              <w:jc w:val="left"/>
              <w:rPr>
                <w:rFonts w:ascii="宋体" w:hAnsi="宋体"/>
                <w:color w:val="auto"/>
                <w:szCs w:val="21"/>
              </w:rPr>
            </w:pPr>
            <w:r>
              <w:rPr>
                <w:rFonts w:hint="eastAsia" w:ascii="宋体" w:hAnsi="宋体"/>
                <w:color w:val="auto"/>
                <w:szCs w:val="21"/>
              </w:rPr>
              <w:t>X＜20</w:t>
            </w:r>
          </w:p>
        </w:tc>
      </w:tr>
      <w:tr w14:paraId="550DDED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75A6F8D">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7A0F5527">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58957702">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03DEB87D">
            <w:pPr>
              <w:widowControl/>
              <w:jc w:val="left"/>
              <w:rPr>
                <w:rFonts w:ascii="宋体" w:hAnsi="宋体"/>
                <w:color w:val="auto"/>
                <w:szCs w:val="21"/>
              </w:rPr>
            </w:pPr>
            <w:r>
              <w:rPr>
                <w:rFonts w:hint="eastAsia" w:ascii="宋体" w:hAnsi="宋体"/>
                <w:color w:val="auto"/>
                <w:szCs w:val="21"/>
              </w:rPr>
              <w:t>3000≤Y＜30000</w:t>
            </w:r>
          </w:p>
        </w:tc>
        <w:tc>
          <w:tcPr>
            <w:tcW w:w="1570" w:type="dxa"/>
            <w:tcBorders>
              <w:top w:val="nil"/>
              <w:left w:val="nil"/>
              <w:bottom w:val="single" w:color="auto" w:sz="4" w:space="0"/>
              <w:right w:val="single" w:color="auto" w:sz="4" w:space="0"/>
            </w:tcBorders>
            <w:vAlign w:val="center"/>
          </w:tcPr>
          <w:p w14:paraId="7BA8A2ED">
            <w:pPr>
              <w:widowControl/>
              <w:jc w:val="left"/>
              <w:rPr>
                <w:rFonts w:ascii="宋体" w:hAnsi="宋体"/>
                <w:color w:val="auto"/>
                <w:szCs w:val="21"/>
              </w:rPr>
            </w:pPr>
            <w:r>
              <w:rPr>
                <w:rFonts w:hint="eastAsia" w:ascii="宋体" w:hAnsi="宋体"/>
                <w:color w:val="auto"/>
                <w:szCs w:val="21"/>
              </w:rPr>
              <w:t>200≤Y＜3000</w:t>
            </w:r>
          </w:p>
        </w:tc>
        <w:tc>
          <w:tcPr>
            <w:tcW w:w="1009" w:type="dxa"/>
            <w:tcBorders>
              <w:top w:val="nil"/>
              <w:left w:val="nil"/>
              <w:bottom w:val="single" w:color="auto" w:sz="4" w:space="0"/>
              <w:right w:val="single" w:color="auto" w:sz="4" w:space="0"/>
            </w:tcBorders>
            <w:vAlign w:val="center"/>
          </w:tcPr>
          <w:p w14:paraId="65A7425F">
            <w:pPr>
              <w:widowControl/>
              <w:jc w:val="left"/>
              <w:rPr>
                <w:rFonts w:ascii="宋体" w:hAnsi="宋体"/>
                <w:color w:val="auto"/>
                <w:szCs w:val="21"/>
              </w:rPr>
            </w:pPr>
            <w:r>
              <w:rPr>
                <w:rFonts w:hint="eastAsia" w:ascii="宋体" w:hAnsi="宋体"/>
                <w:color w:val="auto"/>
                <w:szCs w:val="21"/>
              </w:rPr>
              <w:t>Y＜200</w:t>
            </w:r>
          </w:p>
        </w:tc>
      </w:tr>
      <w:tr w14:paraId="1B9DA0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03DF131">
            <w:pPr>
              <w:widowControl/>
              <w:jc w:val="center"/>
              <w:rPr>
                <w:rFonts w:ascii="宋体" w:hAnsi="宋体"/>
                <w:color w:val="auto"/>
                <w:szCs w:val="21"/>
              </w:rPr>
            </w:pPr>
            <w:r>
              <w:rPr>
                <w:rFonts w:hint="eastAsia" w:ascii="宋体" w:hAnsi="宋体"/>
                <w:color w:val="auto"/>
                <w:szCs w:val="21"/>
              </w:rPr>
              <w:t>仓储业</w:t>
            </w:r>
          </w:p>
        </w:tc>
        <w:tc>
          <w:tcPr>
            <w:tcW w:w="1701" w:type="dxa"/>
            <w:tcBorders>
              <w:top w:val="nil"/>
              <w:left w:val="nil"/>
              <w:bottom w:val="single" w:color="auto" w:sz="4" w:space="0"/>
              <w:right w:val="single" w:color="auto" w:sz="4" w:space="0"/>
            </w:tcBorders>
            <w:vAlign w:val="center"/>
          </w:tcPr>
          <w:p w14:paraId="572110E2">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1923302E">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4836E79F">
            <w:pPr>
              <w:widowControl/>
              <w:jc w:val="left"/>
              <w:rPr>
                <w:rFonts w:ascii="宋体" w:hAnsi="宋体"/>
                <w:color w:val="auto"/>
                <w:szCs w:val="21"/>
              </w:rPr>
            </w:pPr>
            <w:r>
              <w:rPr>
                <w:rFonts w:hint="eastAsia" w:ascii="宋体" w:hAnsi="宋体"/>
                <w:color w:val="auto"/>
                <w:szCs w:val="21"/>
              </w:rPr>
              <w:t>100≤X＜200</w:t>
            </w:r>
          </w:p>
        </w:tc>
        <w:tc>
          <w:tcPr>
            <w:tcW w:w="1570" w:type="dxa"/>
            <w:tcBorders>
              <w:top w:val="nil"/>
              <w:left w:val="nil"/>
              <w:bottom w:val="single" w:color="auto" w:sz="4" w:space="0"/>
              <w:right w:val="single" w:color="auto" w:sz="4" w:space="0"/>
            </w:tcBorders>
            <w:vAlign w:val="center"/>
          </w:tcPr>
          <w:p w14:paraId="6AC87004">
            <w:pPr>
              <w:widowControl/>
              <w:jc w:val="left"/>
              <w:rPr>
                <w:rFonts w:ascii="宋体" w:hAnsi="宋体"/>
                <w:color w:val="auto"/>
                <w:szCs w:val="21"/>
              </w:rPr>
            </w:pPr>
            <w:r>
              <w:rPr>
                <w:rFonts w:hint="eastAsia" w:ascii="宋体" w:hAnsi="宋体"/>
                <w:color w:val="auto"/>
                <w:szCs w:val="21"/>
              </w:rPr>
              <w:t>20≤X＜100</w:t>
            </w:r>
          </w:p>
        </w:tc>
        <w:tc>
          <w:tcPr>
            <w:tcW w:w="1009" w:type="dxa"/>
            <w:tcBorders>
              <w:top w:val="nil"/>
              <w:left w:val="nil"/>
              <w:bottom w:val="single" w:color="auto" w:sz="4" w:space="0"/>
              <w:right w:val="single" w:color="auto" w:sz="4" w:space="0"/>
            </w:tcBorders>
            <w:vAlign w:val="center"/>
          </w:tcPr>
          <w:p w14:paraId="7C32CD36">
            <w:pPr>
              <w:widowControl/>
              <w:jc w:val="left"/>
              <w:rPr>
                <w:rFonts w:ascii="宋体" w:hAnsi="宋体"/>
                <w:color w:val="auto"/>
                <w:szCs w:val="21"/>
              </w:rPr>
            </w:pPr>
            <w:r>
              <w:rPr>
                <w:rFonts w:hint="eastAsia" w:ascii="宋体" w:hAnsi="宋体"/>
                <w:color w:val="auto"/>
                <w:szCs w:val="21"/>
              </w:rPr>
              <w:t>X＜20</w:t>
            </w:r>
          </w:p>
        </w:tc>
      </w:tr>
      <w:tr w14:paraId="5C20ABC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F24FF63">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7BE669BD">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1F55A0E9">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7B4F6681">
            <w:pPr>
              <w:widowControl/>
              <w:jc w:val="left"/>
              <w:rPr>
                <w:rFonts w:ascii="宋体" w:hAnsi="宋体"/>
                <w:color w:val="auto"/>
                <w:szCs w:val="21"/>
              </w:rPr>
            </w:pPr>
            <w:r>
              <w:rPr>
                <w:rFonts w:hint="eastAsia" w:ascii="宋体" w:hAnsi="宋体"/>
                <w:color w:val="auto"/>
                <w:szCs w:val="21"/>
              </w:rPr>
              <w:t>1000≤Y＜30000</w:t>
            </w:r>
          </w:p>
        </w:tc>
        <w:tc>
          <w:tcPr>
            <w:tcW w:w="1570" w:type="dxa"/>
            <w:tcBorders>
              <w:top w:val="nil"/>
              <w:left w:val="nil"/>
              <w:bottom w:val="single" w:color="auto" w:sz="4" w:space="0"/>
              <w:right w:val="single" w:color="auto" w:sz="4" w:space="0"/>
            </w:tcBorders>
            <w:vAlign w:val="center"/>
          </w:tcPr>
          <w:p w14:paraId="460E3E5C">
            <w:pPr>
              <w:widowControl/>
              <w:jc w:val="left"/>
              <w:rPr>
                <w:rFonts w:ascii="宋体" w:hAnsi="宋体"/>
                <w:color w:val="auto"/>
                <w:szCs w:val="21"/>
              </w:rPr>
            </w:pPr>
            <w:r>
              <w:rPr>
                <w:rFonts w:hint="eastAsia" w:ascii="宋体" w:hAnsi="宋体"/>
                <w:color w:val="auto"/>
                <w:szCs w:val="21"/>
              </w:rPr>
              <w:t>100≤Y＜1000</w:t>
            </w:r>
          </w:p>
        </w:tc>
        <w:tc>
          <w:tcPr>
            <w:tcW w:w="1009" w:type="dxa"/>
            <w:tcBorders>
              <w:top w:val="nil"/>
              <w:left w:val="nil"/>
              <w:bottom w:val="single" w:color="auto" w:sz="4" w:space="0"/>
              <w:right w:val="single" w:color="auto" w:sz="4" w:space="0"/>
            </w:tcBorders>
            <w:vAlign w:val="center"/>
          </w:tcPr>
          <w:p w14:paraId="69AC3D40">
            <w:pPr>
              <w:widowControl/>
              <w:jc w:val="left"/>
              <w:rPr>
                <w:rFonts w:ascii="宋体" w:hAnsi="宋体"/>
                <w:color w:val="auto"/>
                <w:szCs w:val="21"/>
              </w:rPr>
            </w:pPr>
            <w:r>
              <w:rPr>
                <w:rFonts w:hint="eastAsia" w:ascii="宋体" w:hAnsi="宋体"/>
                <w:color w:val="auto"/>
                <w:szCs w:val="21"/>
              </w:rPr>
              <w:t>Y＜100</w:t>
            </w:r>
          </w:p>
        </w:tc>
      </w:tr>
      <w:tr w14:paraId="25C6AFC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AE125F6">
            <w:pPr>
              <w:widowControl/>
              <w:jc w:val="center"/>
              <w:rPr>
                <w:rFonts w:ascii="宋体" w:hAnsi="宋体"/>
                <w:color w:val="auto"/>
                <w:szCs w:val="21"/>
              </w:rPr>
            </w:pPr>
            <w:r>
              <w:rPr>
                <w:rFonts w:hint="eastAsia" w:ascii="宋体" w:hAnsi="宋体"/>
                <w:color w:val="auto"/>
                <w:szCs w:val="21"/>
              </w:rPr>
              <w:t>邮政业</w:t>
            </w:r>
          </w:p>
        </w:tc>
        <w:tc>
          <w:tcPr>
            <w:tcW w:w="1701" w:type="dxa"/>
            <w:tcBorders>
              <w:top w:val="nil"/>
              <w:left w:val="nil"/>
              <w:bottom w:val="single" w:color="auto" w:sz="4" w:space="0"/>
              <w:right w:val="single" w:color="auto" w:sz="4" w:space="0"/>
            </w:tcBorders>
            <w:vAlign w:val="center"/>
          </w:tcPr>
          <w:p w14:paraId="446B6429">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63966447">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6E2842E1">
            <w:pPr>
              <w:widowControl/>
              <w:jc w:val="left"/>
              <w:rPr>
                <w:rFonts w:ascii="宋体" w:hAnsi="宋体"/>
                <w:color w:val="auto"/>
                <w:szCs w:val="21"/>
              </w:rPr>
            </w:pPr>
            <w:r>
              <w:rPr>
                <w:rFonts w:hint="eastAsia" w:ascii="宋体" w:hAnsi="宋体"/>
                <w:color w:val="auto"/>
                <w:szCs w:val="21"/>
              </w:rPr>
              <w:t>300≤X＜1000</w:t>
            </w:r>
          </w:p>
        </w:tc>
        <w:tc>
          <w:tcPr>
            <w:tcW w:w="1570" w:type="dxa"/>
            <w:tcBorders>
              <w:top w:val="nil"/>
              <w:left w:val="nil"/>
              <w:bottom w:val="single" w:color="auto" w:sz="4" w:space="0"/>
              <w:right w:val="single" w:color="auto" w:sz="4" w:space="0"/>
            </w:tcBorders>
            <w:vAlign w:val="center"/>
          </w:tcPr>
          <w:p w14:paraId="0D03314B">
            <w:pPr>
              <w:widowControl/>
              <w:jc w:val="left"/>
              <w:rPr>
                <w:rFonts w:ascii="宋体" w:hAnsi="宋体"/>
                <w:color w:val="auto"/>
                <w:szCs w:val="21"/>
              </w:rPr>
            </w:pPr>
            <w:r>
              <w:rPr>
                <w:rFonts w:hint="eastAsia" w:ascii="宋体" w:hAnsi="宋体"/>
                <w:color w:val="auto"/>
                <w:szCs w:val="21"/>
              </w:rPr>
              <w:t>20≤X＜300</w:t>
            </w:r>
          </w:p>
        </w:tc>
        <w:tc>
          <w:tcPr>
            <w:tcW w:w="1009" w:type="dxa"/>
            <w:tcBorders>
              <w:top w:val="nil"/>
              <w:left w:val="nil"/>
              <w:bottom w:val="single" w:color="auto" w:sz="4" w:space="0"/>
              <w:right w:val="single" w:color="auto" w:sz="4" w:space="0"/>
            </w:tcBorders>
            <w:vAlign w:val="center"/>
          </w:tcPr>
          <w:p w14:paraId="4E18E032">
            <w:pPr>
              <w:widowControl/>
              <w:jc w:val="left"/>
              <w:rPr>
                <w:rFonts w:ascii="宋体" w:hAnsi="宋体"/>
                <w:color w:val="auto"/>
                <w:szCs w:val="21"/>
              </w:rPr>
            </w:pPr>
            <w:r>
              <w:rPr>
                <w:rFonts w:hint="eastAsia" w:ascii="宋体" w:hAnsi="宋体"/>
                <w:color w:val="auto"/>
                <w:szCs w:val="21"/>
              </w:rPr>
              <w:t>X＜20</w:t>
            </w:r>
          </w:p>
        </w:tc>
      </w:tr>
      <w:tr w14:paraId="7BB8559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587C7A8">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3DCEBB33">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162685C1">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6E8DAD1E">
            <w:pPr>
              <w:widowControl/>
              <w:jc w:val="left"/>
              <w:rPr>
                <w:rFonts w:ascii="宋体" w:hAnsi="宋体"/>
                <w:color w:val="auto"/>
                <w:szCs w:val="21"/>
              </w:rPr>
            </w:pPr>
            <w:r>
              <w:rPr>
                <w:rFonts w:hint="eastAsia" w:ascii="宋体" w:hAnsi="宋体"/>
                <w:color w:val="auto"/>
                <w:szCs w:val="21"/>
              </w:rPr>
              <w:t>2000≤Y＜30000</w:t>
            </w:r>
          </w:p>
        </w:tc>
        <w:tc>
          <w:tcPr>
            <w:tcW w:w="1570" w:type="dxa"/>
            <w:tcBorders>
              <w:top w:val="nil"/>
              <w:left w:val="nil"/>
              <w:bottom w:val="single" w:color="auto" w:sz="4" w:space="0"/>
              <w:right w:val="single" w:color="auto" w:sz="4" w:space="0"/>
            </w:tcBorders>
            <w:vAlign w:val="center"/>
          </w:tcPr>
          <w:p w14:paraId="0908F265">
            <w:pPr>
              <w:widowControl/>
              <w:jc w:val="left"/>
              <w:rPr>
                <w:rFonts w:ascii="宋体" w:hAnsi="宋体"/>
                <w:color w:val="auto"/>
                <w:szCs w:val="21"/>
              </w:rPr>
            </w:pPr>
            <w:r>
              <w:rPr>
                <w:rFonts w:hint="eastAsia" w:ascii="宋体" w:hAnsi="宋体"/>
                <w:color w:val="auto"/>
                <w:szCs w:val="21"/>
              </w:rPr>
              <w:t>100≤Y＜2000</w:t>
            </w:r>
          </w:p>
        </w:tc>
        <w:tc>
          <w:tcPr>
            <w:tcW w:w="1009" w:type="dxa"/>
            <w:tcBorders>
              <w:top w:val="nil"/>
              <w:left w:val="nil"/>
              <w:bottom w:val="single" w:color="auto" w:sz="4" w:space="0"/>
              <w:right w:val="single" w:color="auto" w:sz="4" w:space="0"/>
            </w:tcBorders>
            <w:vAlign w:val="center"/>
          </w:tcPr>
          <w:p w14:paraId="546FE4A4">
            <w:pPr>
              <w:widowControl/>
              <w:jc w:val="left"/>
              <w:rPr>
                <w:rFonts w:ascii="宋体" w:hAnsi="宋体"/>
                <w:color w:val="auto"/>
                <w:szCs w:val="21"/>
              </w:rPr>
            </w:pPr>
            <w:r>
              <w:rPr>
                <w:rFonts w:hint="eastAsia" w:ascii="宋体" w:hAnsi="宋体"/>
                <w:color w:val="auto"/>
                <w:szCs w:val="21"/>
              </w:rPr>
              <w:t>Y＜100</w:t>
            </w:r>
          </w:p>
        </w:tc>
      </w:tr>
      <w:tr w14:paraId="06E27AD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F0A7AB8">
            <w:pPr>
              <w:widowControl/>
              <w:jc w:val="center"/>
              <w:rPr>
                <w:rFonts w:ascii="宋体" w:hAnsi="宋体"/>
                <w:color w:val="auto"/>
                <w:szCs w:val="21"/>
              </w:rPr>
            </w:pPr>
            <w:r>
              <w:rPr>
                <w:rFonts w:hint="eastAsia" w:ascii="宋体" w:hAnsi="宋体"/>
                <w:color w:val="auto"/>
                <w:szCs w:val="21"/>
              </w:rPr>
              <w:t>住宿业</w:t>
            </w:r>
          </w:p>
        </w:tc>
        <w:tc>
          <w:tcPr>
            <w:tcW w:w="1701" w:type="dxa"/>
            <w:tcBorders>
              <w:top w:val="nil"/>
              <w:left w:val="nil"/>
              <w:bottom w:val="single" w:color="auto" w:sz="4" w:space="0"/>
              <w:right w:val="single" w:color="auto" w:sz="4" w:space="0"/>
            </w:tcBorders>
            <w:vAlign w:val="center"/>
          </w:tcPr>
          <w:p w14:paraId="3E6E3942">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3F624019">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6BCD763F">
            <w:pPr>
              <w:widowControl/>
              <w:jc w:val="left"/>
              <w:rPr>
                <w:rFonts w:ascii="宋体" w:hAnsi="宋体"/>
                <w:color w:val="auto"/>
                <w:szCs w:val="21"/>
              </w:rPr>
            </w:pPr>
            <w:r>
              <w:rPr>
                <w:rFonts w:hint="eastAsia" w:ascii="宋体" w:hAnsi="宋体"/>
                <w:color w:val="auto"/>
                <w:szCs w:val="21"/>
              </w:rPr>
              <w:t>100≤X＜300</w:t>
            </w:r>
          </w:p>
        </w:tc>
        <w:tc>
          <w:tcPr>
            <w:tcW w:w="1570" w:type="dxa"/>
            <w:tcBorders>
              <w:top w:val="nil"/>
              <w:left w:val="nil"/>
              <w:bottom w:val="single" w:color="auto" w:sz="4" w:space="0"/>
              <w:right w:val="single" w:color="auto" w:sz="4" w:space="0"/>
            </w:tcBorders>
            <w:vAlign w:val="center"/>
          </w:tcPr>
          <w:p w14:paraId="6C0A187C">
            <w:pPr>
              <w:widowControl/>
              <w:jc w:val="left"/>
              <w:rPr>
                <w:rFonts w:ascii="宋体" w:hAnsi="宋体"/>
                <w:color w:val="auto"/>
                <w:szCs w:val="21"/>
              </w:rPr>
            </w:pPr>
            <w:r>
              <w:rPr>
                <w:rFonts w:hint="eastAsia" w:ascii="宋体" w:hAnsi="宋体"/>
                <w:color w:val="auto"/>
                <w:szCs w:val="21"/>
              </w:rPr>
              <w:t>10≤X＜100</w:t>
            </w:r>
          </w:p>
        </w:tc>
        <w:tc>
          <w:tcPr>
            <w:tcW w:w="1009" w:type="dxa"/>
            <w:tcBorders>
              <w:top w:val="nil"/>
              <w:left w:val="nil"/>
              <w:bottom w:val="single" w:color="auto" w:sz="4" w:space="0"/>
              <w:right w:val="single" w:color="auto" w:sz="4" w:space="0"/>
            </w:tcBorders>
            <w:vAlign w:val="center"/>
          </w:tcPr>
          <w:p w14:paraId="2F50FB6C">
            <w:pPr>
              <w:widowControl/>
              <w:jc w:val="left"/>
              <w:rPr>
                <w:rFonts w:ascii="宋体" w:hAnsi="宋体"/>
                <w:color w:val="auto"/>
                <w:szCs w:val="21"/>
              </w:rPr>
            </w:pPr>
            <w:r>
              <w:rPr>
                <w:rFonts w:hint="eastAsia" w:ascii="宋体" w:hAnsi="宋体"/>
                <w:color w:val="auto"/>
                <w:szCs w:val="21"/>
              </w:rPr>
              <w:t>X＜10</w:t>
            </w:r>
          </w:p>
        </w:tc>
      </w:tr>
      <w:tr w14:paraId="6DBAAD0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A18CFBB">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0878A9F9">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7A14AD0F">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4EED92B6">
            <w:pPr>
              <w:widowControl/>
              <w:jc w:val="left"/>
              <w:rPr>
                <w:rFonts w:ascii="宋体" w:hAnsi="宋体"/>
                <w:color w:val="auto"/>
                <w:szCs w:val="21"/>
              </w:rPr>
            </w:pPr>
            <w:r>
              <w:rPr>
                <w:rFonts w:hint="eastAsia" w:ascii="宋体" w:hAnsi="宋体"/>
                <w:color w:val="auto"/>
                <w:szCs w:val="21"/>
              </w:rPr>
              <w:t>2000≤Y＜10000</w:t>
            </w:r>
          </w:p>
        </w:tc>
        <w:tc>
          <w:tcPr>
            <w:tcW w:w="1570" w:type="dxa"/>
            <w:tcBorders>
              <w:top w:val="nil"/>
              <w:left w:val="nil"/>
              <w:bottom w:val="single" w:color="auto" w:sz="4" w:space="0"/>
              <w:right w:val="single" w:color="auto" w:sz="4" w:space="0"/>
            </w:tcBorders>
            <w:vAlign w:val="center"/>
          </w:tcPr>
          <w:p w14:paraId="1969A5EB">
            <w:pPr>
              <w:widowControl/>
              <w:jc w:val="left"/>
              <w:rPr>
                <w:rFonts w:ascii="宋体" w:hAnsi="宋体"/>
                <w:color w:val="auto"/>
                <w:szCs w:val="21"/>
              </w:rPr>
            </w:pPr>
            <w:r>
              <w:rPr>
                <w:rFonts w:hint="eastAsia" w:ascii="宋体" w:hAnsi="宋体"/>
                <w:color w:val="auto"/>
                <w:szCs w:val="21"/>
              </w:rPr>
              <w:t>100≤Y＜2000</w:t>
            </w:r>
          </w:p>
        </w:tc>
        <w:tc>
          <w:tcPr>
            <w:tcW w:w="1009" w:type="dxa"/>
            <w:tcBorders>
              <w:top w:val="nil"/>
              <w:left w:val="nil"/>
              <w:bottom w:val="single" w:color="auto" w:sz="4" w:space="0"/>
              <w:right w:val="single" w:color="auto" w:sz="4" w:space="0"/>
            </w:tcBorders>
            <w:vAlign w:val="center"/>
          </w:tcPr>
          <w:p w14:paraId="2DDE7DBE">
            <w:pPr>
              <w:widowControl/>
              <w:jc w:val="left"/>
              <w:rPr>
                <w:rFonts w:ascii="宋体" w:hAnsi="宋体"/>
                <w:color w:val="auto"/>
                <w:szCs w:val="21"/>
              </w:rPr>
            </w:pPr>
            <w:r>
              <w:rPr>
                <w:rFonts w:hint="eastAsia" w:ascii="宋体" w:hAnsi="宋体"/>
                <w:color w:val="auto"/>
                <w:szCs w:val="21"/>
              </w:rPr>
              <w:t>Y＜100</w:t>
            </w:r>
          </w:p>
        </w:tc>
      </w:tr>
      <w:tr w14:paraId="5E7C70E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90F93A3">
            <w:pPr>
              <w:widowControl/>
              <w:jc w:val="center"/>
              <w:rPr>
                <w:rFonts w:ascii="宋体" w:hAnsi="宋体"/>
                <w:color w:val="auto"/>
                <w:szCs w:val="21"/>
              </w:rPr>
            </w:pPr>
            <w:r>
              <w:rPr>
                <w:rFonts w:hint="eastAsia" w:ascii="宋体" w:hAnsi="宋体"/>
                <w:color w:val="auto"/>
                <w:szCs w:val="21"/>
              </w:rPr>
              <w:t>餐饮业</w:t>
            </w:r>
          </w:p>
        </w:tc>
        <w:tc>
          <w:tcPr>
            <w:tcW w:w="1701" w:type="dxa"/>
            <w:tcBorders>
              <w:top w:val="nil"/>
              <w:left w:val="nil"/>
              <w:bottom w:val="single" w:color="auto" w:sz="4" w:space="0"/>
              <w:right w:val="single" w:color="auto" w:sz="4" w:space="0"/>
            </w:tcBorders>
            <w:vAlign w:val="center"/>
          </w:tcPr>
          <w:p w14:paraId="6D3F97BA">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55F8814A">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44852859">
            <w:pPr>
              <w:widowControl/>
              <w:jc w:val="left"/>
              <w:rPr>
                <w:rFonts w:ascii="宋体" w:hAnsi="宋体"/>
                <w:color w:val="auto"/>
                <w:szCs w:val="21"/>
              </w:rPr>
            </w:pPr>
            <w:r>
              <w:rPr>
                <w:rFonts w:hint="eastAsia" w:ascii="宋体" w:hAnsi="宋体"/>
                <w:color w:val="auto"/>
                <w:szCs w:val="21"/>
              </w:rPr>
              <w:t>100≤X＜300</w:t>
            </w:r>
          </w:p>
        </w:tc>
        <w:tc>
          <w:tcPr>
            <w:tcW w:w="1570" w:type="dxa"/>
            <w:tcBorders>
              <w:top w:val="nil"/>
              <w:left w:val="nil"/>
              <w:bottom w:val="single" w:color="auto" w:sz="4" w:space="0"/>
              <w:right w:val="single" w:color="auto" w:sz="4" w:space="0"/>
            </w:tcBorders>
            <w:vAlign w:val="center"/>
          </w:tcPr>
          <w:p w14:paraId="0B2A1D6B">
            <w:pPr>
              <w:widowControl/>
              <w:jc w:val="left"/>
              <w:rPr>
                <w:rFonts w:ascii="宋体" w:hAnsi="宋体"/>
                <w:color w:val="auto"/>
                <w:szCs w:val="21"/>
              </w:rPr>
            </w:pPr>
            <w:r>
              <w:rPr>
                <w:rFonts w:hint="eastAsia" w:ascii="宋体" w:hAnsi="宋体"/>
                <w:color w:val="auto"/>
                <w:szCs w:val="21"/>
              </w:rPr>
              <w:t>10≤X＜100</w:t>
            </w:r>
          </w:p>
        </w:tc>
        <w:tc>
          <w:tcPr>
            <w:tcW w:w="1009" w:type="dxa"/>
            <w:tcBorders>
              <w:top w:val="nil"/>
              <w:left w:val="nil"/>
              <w:bottom w:val="single" w:color="auto" w:sz="4" w:space="0"/>
              <w:right w:val="single" w:color="auto" w:sz="4" w:space="0"/>
            </w:tcBorders>
            <w:vAlign w:val="center"/>
          </w:tcPr>
          <w:p w14:paraId="29B2179D">
            <w:pPr>
              <w:widowControl/>
              <w:jc w:val="left"/>
              <w:rPr>
                <w:rFonts w:ascii="宋体" w:hAnsi="宋体"/>
                <w:color w:val="auto"/>
                <w:szCs w:val="21"/>
              </w:rPr>
            </w:pPr>
            <w:r>
              <w:rPr>
                <w:rFonts w:hint="eastAsia" w:ascii="宋体" w:hAnsi="宋体"/>
                <w:color w:val="auto"/>
                <w:szCs w:val="21"/>
              </w:rPr>
              <w:t>X＜10</w:t>
            </w:r>
          </w:p>
        </w:tc>
      </w:tr>
      <w:tr w14:paraId="3BEFFEA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8967AD8">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43038F87">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445BD580">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708822F0">
            <w:pPr>
              <w:widowControl/>
              <w:jc w:val="left"/>
              <w:rPr>
                <w:rFonts w:ascii="宋体" w:hAnsi="宋体"/>
                <w:color w:val="auto"/>
                <w:szCs w:val="21"/>
              </w:rPr>
            </w:pPr>
            <w:r>
              <w:rPr>
                <w:rFonts w:hint="eastAsia" w:ascii="宋体" w:hAnsi="宋体"/>
                <w:color w:val="auto"/>
                <w:szCs w:val="21"/>
              </w:rPr>
              <w:t>2000≤Y＜10000</w:t>
            </w:r>
          </w:p>
        </w:tc>
        <w:tc>
          <w:tcPr>
            <w:tcW w:w="1570" w:type="dxa"/>
            <w:tcBorders>
              <w:top w:val="nil"/>
              <w:left w:val="nil"/>
              <w:bottom w:val="single" w:color="auto" w:sz="4" w:space="0"/>
              <w:right w:val="single" w:color="auto" w:sz="4" w:space="0"/>
            </w:tcBorders>
            <w:vAlign w:val="center"/>
          </w:tcPr>
          <w:p w14:paraId="253ACA9C">
            <w:pPr>
              <w:widowControl/>
              <w:jc w:val="left"/>
              <w:rPr>
                <w:rFonts w:ascii="宋体" w:hAnsi="宋体"/>
                <w:color w:val="auto"/>
                <w:szCs w:val="21"/>
              </w:rPr>
            </w:pPr>
            <w:r>
              <w:rPr>
                <w:rFonts w:hint="eastAsia" w:ascii="宋体" w:hAnsi="宋体"/>
                <w:color w:val="auto"/>
                <w:szCs w:val="21"/>
              </w:rPr>
              <w:t>100≤Y＜2000</w:t>
            </w:r>
          </w:p>
        </w:tc>
        <w:tc>
          <w:tcPr>
            <w:tcW w:w="1009" w:type="dxa"/>
            <w:tcBorders>
              <w:top w:val="nil"/>
              <w:left w:val="nil"/>
              <w:bottom w:val="single" w:color="auto" w:sz="4" w:space="0"/>
              <w:right w:val="single" w:color="auto" w:sz="4" w:space="0"/>
            </w:tcBorders>
            <w:vAlign w:val="center"/>
          </w:tcPr>
          <w:p w14:paraId="08B0803F">
            <w:pPr>
              <w:widowControl/>
              <w:jc w:val="left"/>
              <w:rPr>
                <w:rFonts w:ascii="宋体" w:hAnsi="宋体"/>
                <w:color w:val="auto"/>
                <w:szCs w:val="21"/>
              </w:rPr>
            </w:pPr>
            <w:r>
              <w:rPr>
                <w:rFonts w:hint="eastAsia" w:ascii="宋体" w:hAnsi="宋体"/>
                <w:color w:val="auto"/>
                <w:szCs w:val="21"/>
              </w:rPr>
              <w:t>Y＜100</w:t>
            </w:r>
          </w:p>
        </w:tc>
      </w:tr>
      <w:tr w14:paraId="7910633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5E4E4E9">
            <w:pPr>
              <w:widowControl/>
              <w:jc w:val="center"/>
              <w:rPr>
                <w:rFonts w:ascii="宋体" w:hAnsi="宋体"/>
                <w:color w:val="auto"/>
                <w:szCs w:val="21"/>
              </w:rPr>
            </w:pPr>
            <w:r>
              <w:rPr>
                <w:rFonts w:hint="eastAsia" w:ascii="宋体" w:hAnsi="宋体"/>
                <w:color w:val="auto"/>
                <w:szCs w:val="21"/>
              </w:rPr>
              <w:t>信息传输业</w:t>
            </w:r>
          </w:p>
        </w:tc>
        <w:tc>
          <w:tcPr>
            <w:tcW w:w="1701" w:type="dxa"/>
            <w:tcBorders>
              <w:top w:val="nil"/>
              <w:left w:val="nil"/>
              <w:bottom w:val="single" w:color="auto" w:sz="4" w:space="0"/>
              <w:right w:val="single" w:color="auto" w:sz="4" w:space="0"/>
            </w:tcBorders>
            <w:vAlign w:val="center"/>
          </w:tcPr>
          <w:p w14:paraId="475EC249">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61DAEB49">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73B3797A">
            <w:pPr>
              <w:widowControl/>
              <w:jc w:val="left"/>
              <w:rPr>
                <w:rFonts w:ascii="宋体" w:hAnsi="宋体"/>
                <w:color w:val="auto"/>
                <w:szCs w:val="21"/>
              </w:rPr>
            </w:pPr>
            <w:r>
              <w:rPr>
                <w:rFonts w:hint="eastAsia" w:ascii="宋体" w:hAnsi="宋体"/>
                <w:color w:val="auto"/>
                <w:szCs w:val="21"/>
              </w:rPr>
              <w:t>100≤X＜2000</w:t>
            </w:r>
          </w:p>
        </w:tc>
        <w:tc>
          <w:tcPr>
            <w:tcW w:w="1570" w:type="dxa"/>
            <w:tcBorders>
              <w:top w:val="nil"/>
              <w:left w:val="nil"/>
              <w:bottom w:val="single" w:color="auto" w:sz="4" w:space="0"/>
              <w:right w:val="single" w:color="auto" w:sz="4" w:space="0"/>
            </w:tcBorders>
            <w:vAlign w:val="center"/>
          </w:tcPr>
          <w:p w14:paraId="47EAED48">
            <w:pPr>
              <w:widowControl/>
              <w:jc w:val="left"/>
              <w:rPr>
                <w:rFonts w:ascii="宋体" w:hAnsi="宋体"/>
                <w:color w:val="auto"/>
                <w:szCs w:val="21"/>
              </w:rPr>
            </w:pPr>
            <w:r>
              <w:rPr>
                <w:rFonts w:hint="eastAsia" w:ascii="宋体" w:hAnsi="宋体"/>
                <w:color w:val="auto"/>
                <w:szCs w:val="21"/>
              </w:rPr>
              <w:t>10≤X＜100</w:t>
            </w:r>
          </w:p>
        </w:tc>
        <w:tc>
          <w:tcPr>
            <w:tcW w:w="1009" w:type="dxa"/>
            <w:tcBorders>
              <w:top w:val="nil"/>
              <w:left w:val="nil"/>
              <w:bottom w:val="single" w:color="auto" w:sz="4" w:space="0"/>
              <w:right w:val="single" w:color="auto" w:sz="4" w:space="0"/>
            </w:tcBorders>
            <w:vAlign w:val="center"/>
          </w:tcPr>
          <w:p w14:paraId="7A56955B">
            <w:pPr>
              <w:widowControl/>
              <w:jc w:val="left"/>
              <w:rPr>
                <w:rFonts w:ascii="宋体" w:hAnsi="宋体"/>
                <w:color w:val="auto"/>
                <w:szCs w:val="21"/>
              </w:rPr>
            </w:pPr>
            <w:r>
              <w:rPr>
                <w:rFonts w:hint="eastAsia" w:ascii="宋体" w:hAnsi="宋体"/>
                <w:color w:val="auto"/>
                <w:szCs w:val="21"/>
              </w:rPr>
              <w:t>X＜10</w:t>
            </w:r>
          </w:p>
        </w:tc>
      </w:tr>
      <w:tr w14:paraId="5D528CE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D87AEC9">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4B8A51E9">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1FDFD1C0">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4FD57BA3">
            <w:pPr>
              <w:widowControl/>
              <w:jc w:val="left"/>
              <w:rPr>
                <w:rFonts w:ascii="宋体" w:hAnsi="宋体"/>
                <w:color w:val="auto"/>
                <w:szCs w:val="21"/>
              </w:rPr>
            </w:pPr>
            <w:r>
              <w:rPr>
                <w:rFonts w:hint="eastAsia" w:ascii="宋体" w:hAnsi="宋体"/>
                <w:color w:val="auto"/>
                <w:szCs w:val="21"/>
              </w:rPr>
              <w:t>1000≤Y＜100000</w:t>
            </w:r>
          </w:p>
        </w:tc>
        <w:tc>
          <w:tcPr>
            <w:tcW w:w="1570" w:type="dxa"/>
            <w:tcBorders>
              <w:top w:val="nil"/>
              <w:left w:val="nil"/>
              <w:bottom w:val="single" w:color="auto" w:sz="4" w:space="0"/>
              <w:right w:val="single" w:color="auto" w:sz="4" w:space="0"/>
            </w:tcBorders>
            <w:vAlign w:val="center"/>
          </w:tcPr>
          <w:p w14:paraId="34FBEB0A">
            <w:pPr>
              <w:widowControl/>
              <w:jc w:val="left"/>
              <w:rPr>
                <w:rFonts w:ascii="宋体" w:hAnsi="宋体"/>
                <w:color w:val="auto"/>
                <w:szCs w:val="21"/>
              </w:rPr>
            </w:pPr>
            <w:r>
              <w:rPr>
                <w:rFonts w:hint="eastAsia" w:ascii="宋体" w:hAnsi="宋体"/>
                <w:color w:val="auto"/>
                <w:szCs w:val="21"/>
              </w:rPr>
              <w:t>100≤Y＜1000</w:t>
            </w:r>
          </w:p>
        </w:tc>
        <w:tc>
          <w:tcPr>
            <w:tcW w:w="1009" w:type="dxa"/>
            <w:tcBorders>
              <w:top w:val="nil"/>
              <w:left w:val="nil"/>
              <w:bottom w:val="single" w:color="auto" w:sz="4" w:space="0"/>
              <w:right w:val="single" w:color="auto" w:sz="4" w:space="0"/>
            </w:tcBorders>
            <w:vAlign w:val="center"/>
          </w:tcPr>
          <w:p w14:paraId="2E153A04">
            <w:pPr>
              <w:widowControl/>
              <w:jc w:val="left"/>
              <w:rPr>
                <w:rFonts w:ascii="宋体" w:hAnsi="宋体"/>
                <w:color w:val="auto"/>
                <w:szCs w:val="21"/>
              </w:rPr>
            </w:pPr>
            <w:r>
              <w:rPr>
                <w:rFonts w:hint="eastAsia" w:ascii="宋体" w:hAnsi="宋体"/>
                <w:color w:val="auto"/>
                <w:szCs w:val="21"/>
              </w:rPr>
              <w:t>Y＜100</w:t>
            </w:r>
          </w:p>
        </w:tc>
      </w:tr>
      <w:tr w14:paraId="5975CE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36849B1">
            <w:pPr>
              <w:widowControl/>
              <w:jc w:val="center"/>
              <w:rPr>
                <w:rFonts w:ascii="宋体" w:hAnsi="宋体"/>
                <w:color w:val="auto"/>
                <w:szCs w:val="21"/>
              </w:rPr>
            </w:pPr>
            <w:r>
              <w:rPr>
                <w:rFonts w:hint="eastAsia" w:ascii="宋体" w:hAnsi="宋体"/>
                <w:color w:val="auto"/>
                <w:szCs w:val="21"/>
              </w:rPr>
              <w:t>软件和信息技术服务业</w:t>
            </w:r>
          </w:p>
        </w:tc>
        <w:tc>
          <w:tcPr>
            <w:tcW w:w="1701" w:type="dxa"/>
            <w:tcBorders>
              <w:top w:val="nil"/>
              <w:left w:val="nil"/>
              <w:bottom w:val="single" w:color="auto" w:sz="4" w:space="0"/>
              <w:right w:val="single" w:color="auto" w:sz="4" w:space="0"/>
            </w:tcBorders>
            <w:vAlign w:val="center"/>
          </w:tcPr>
          <w:p w14:paraId="2EE26B97">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78731785">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07CA94C6">
            <w:pPr>
              <w:widowControl/>
              <w:jc w:val="left"/>
              <w:rPr>
                <w:rFonts w:ascii="宋体" w:hAnsi="宋体"/>
                <w:color w:val="auto"/>
                <w:szCs w:val="21"/>
              </w:rPr>
            </w:pPr>
            <w:r>
              <w:rPr>
                <w:rFonts w:hint="eastAsia" w:ascii="宋体" w:hAnsi="宋体"/>
                <w:color w:val="auto"/>
                <w:szCs w:val="21"/>
              </w:rPr>
              <w:t>100≤X＜300</w:t>
            </w:r>
          </w:p>
        </w:tc>
        <w:tc>
          <w:tcPr>
            <w:tcW w:w="1570" w:type="dxa"/>
            <w:tcBorders>
              <w:top w:val="nil"/>
              <w:left w:val="nil"/>
              <w:bottom w:val="single" w:color="auto" w:sz="4" w:space="0"/>
              <w:right w:val="single" w:color="auto" w:sz="4" w:space="0"/>
            </w:tcBorders>
            <w:vAlign w:val="center"/>
          </w:tcPr>
          <w:p w14:paraId="6B7544A8">
            <w:pPr>
              <w:widowControl/>
              <w:jc w:val="left"/>
              <w:rPr>
                <w:rFonts w:ascii="宋体" w:hAnsi="宋体"/>
                <w:color w:val="auto"/>
                <w:szCs w:val="21"/>
              </w:rPr>
            </w:pPr>
            <w:r>
              <w:rPr>
                <w:rFonts w:hint="eastAsia" w:ascii="宋体" w:hAnsi="宋体"/>
                <w:color w:val="auto"/>
                <w:szCs w:val="21"/>
              </w:rPr>
              <w:t>10≤X＜100</w:t>
            </w:r>
          </w:p>
        </w:tc>
        <w:tc>
          <w:tcPr>
            <w:tcW w:w="1009" w:type="dxa"/>
            <w:tcBorders>
              <w:top w:val="nil"/>
              <w:left w:val="nil"/>
              <w:bottom w:val="single" w:color="auto" w:sz="4" w:space="0"/>
              <w:right w:val="single" w:color="auto" w:sz="4" w:space="0"/>
            </w:tcBorders>
            <w:vAlign w:val="center"/>
          </w:tcPr>
          <w:p w14:paraId="3EF6FB5B">
            <w:pPr>
              <w:widowControl/>
              <w:jc w:val="left"/>
              <w:rPr>
                <w:rFonts w:ascii="宋体" w:hAnsi="宋体"/>
                <w:color w:val="auto"/>
                <w:szCs w:val="21"/>
              </w:rPr>
            </w:pPr>
            <w:r>
              <w:rPr>
                <w:rFonts w:hint="eastAsia" w:ascii="宋体" w:hAnsi="宋体"/>
                <w:color w:val="auto"/>
                <w:szCs w:val="21"/>
              </w:rPr>
              <w:t>X＜10</w:t>
            </w:r>
          </w:p>
        </w:tc>
      </w:tr>
      <w:tr w14:paraId="24B91D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7425B39">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0E8EFEA0">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3F30AE5A">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6E0C3D58">
            <w:pPr>
              <w:widowControl/>
              <w:jc w:val="left"/>
              <w:rPr>
                <w:rFonts w:ascii="宋体" w:hAnsi="宋体"/>
                <w:color w:val="auto"/>
                <w:szCs w:val="21"/>
              </w:rPr>
            </w:pPr>
            <w:r>
              <w:rPr>
                <w:rFonts w:hint="eastAsia" w:ascii="宋体" w:hAnsi="宋体"/>
                <w:color w:val="auto"/>
                <w:szCs w:val="21"/>
              </w:rPr>
              <w:t>1000≤Y＜10000</w:t>
            </w:r>
          </w:p>
        </w:tc>
        <w:tc>
          <w:tcPr>
            <w:tcW w:w="1570" w:type="dxa"/>
            <w:tcBorders>
              <w:top w:val="nil"/>
              <w:left w:val="nil"/>
              <w:bottom w:val="single" w:color="auto" w:sz="4" w:space="0"/>
              <w:right w:val="single" w:color="auto" w:sz="4" w:space="0"/>
            </w:tcBorders>
            <w:vAlign w:val="center"/>
          </w:tcPr>
          <w:p w14:paraId="4CCF7757">
            <w:pPr>
              <w:widowControl/>
              <w:jc w:val="left"/>
              <w:rPr>
                <w:rFonts w:ascii="宋体" w:hAnsi="宋体"/>
                <w:color w:val="auto"/>
                <w:szCs w:val="21"/>
              </w:rPr>
            </w:pPr>
            <w:r>
              <w:rPr>
                <w:rFonts w:hint="eastAsia" w:ascii="宋体" w:hAnsi="宋体"/>
                <w:color w:val="auto"/>
                <w:szCs w:val="21"/>
              </w:rPr>
              <w:t>50≤Y＜1000</w:t>
            </w:r>
          </w:p>
        </w:tc>
        <w:tc>
          <w:tcPr>
            <w:tcW w:w="1009" w:type="dxa"/>
            <w:tcBorders>
              <w:top w:val="nil"/>
              <w:left w:val="nil"/>
              <w:bottom w:val="single" w:color="auto" w:sz="4" w:space="0"/>
              <w:right w:val="single" w:color="auto" w:sz="4" w:space="0"/>
            </w:tcBorders>
            <w:vAlign w:val="center"/>
          </w:tcPr>
          <w:p w14:paraId="693F08B9">
            <w:pPr>
              <w:widowControl/>
              <w:jc w:val="left"/>
              <w:rPr>
                <w:rFonts w:ascii="宋体" w:hAnsi="宋体"/>
                <w:color w:val="auto"/>
                <w:szCs w:val="21"/>
              </w:rPr>
            </w:pPr>
            <w:r>
              <w:rPr>
                <w:rFonts w:hint="eastAsia" w:ascii="宋体" w:hAnsi="宋体"/>
                <w:color w:val="auto"/>
                <w:szCs w:val="21"/>
              </w:rPr>
              <w:t>Y＜50</w:t>
            </w:r>
          </w:p>
        </w:tc>
      </w:tr>
      <w:tr w14:paraId="11C6BA4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6761522">
            <w:pPr>
              <w:widowControl/>
              <w:jc w:val="center"/>
              <w:rPr>
                <w:rFonts w:ascii="宋体" w:hAnsi="宋体"/>
                <w:color w:val="auto"/>
                <w:szCs w:val="21"/>
              </w:rPr>
            </w:pPr>
            <w:r>
              <w:rPr>
                <w:rFonts w:hint="eastAsia" w:ascii="宋体" w:hAnsi="宋体"/>
                <w:color w:val="auto"/>
                <w:szCs w:val="21"/>
              </w:rPr>
              <w:t>房地产开发经营</w:t>
            </w:r>
          </w:p>
        </w:tc>
        <w:tc>
          <w:tcPr>
            <w:tcW w:w="1701" w:type="dxa"/>
            <w:tcBorders>
              <w:top w:val="nil"/>
              <w:left w:val="nil"/>
              <w:bottom w:val="single" w:color="auto" w:sz="4" w:space="0"/>
              <w:right w:val="single" w:color="auto" w:sz="4" w:space="0"/>
            </w:tcBorders>
            <w:vAlign w:val="center"/>
          </w:tcPr>
          <w:p w14:paraId="5965BB92">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1C5F3573">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1AA44D30">
            <w:pPr>
              <w:widowControl/>
              <w:jc w:val="left"/>
              <w:rPr>
                <w:rFonts w:ascii="宋体" w:hAnsi="宋体"/>
                <w:color w:val="auto"/>
                <w:szCs w:val="21"/>
              </w:rPr>
            </w:pPr>
            <w:r>
              <w:rPr>
                <w:rFonts w:hint="eastAsia" w:ascii="宋体" w:hAnsi="宋体"/>
                <w:color w:val="auto"/>
                <w:szCs w:val="21"/>
              </w:rPr>
              <w:t>1000≤Y＜200000</w:t>
            </w:r>
          </w:p>
        </w:tc>
        <w:tc>
          <w:tcPr>
            <w:tcW w:w="1570" w:type="dxa"/>
            <w:tcBorders>
              <w:top w:val="nil"/>
              <w:left w:val="nil"/>
              <w:bottom w:val="single" w:color="auto" w:sz="4" w:space="0"/>
              <w:right w:val="single" w:color="auto" w:sz="4" w:space="0"/>
            </w:tcBorders>
            <w:vAlign w:val="center"/>
          </w:tcPr>
          <w:p w14:paraId="3B2BBAF6">
            <w:pPr>
              <w:widowControl/>
              <w:jc w:val="left"/>
              <w:rPr>
                <w:rFonts w:ascii="宋体" w:hAnsi="宋体"/>
                <w:color w:val="auto"/>
                <w:szCs w:val="21"/>
              </w:rPr>
            </w:pPr>
            <w:r>
              <w:rPr>
                <w:rFonts w:hint="eastAsia" w:ascii="宋体" w:hAnsi="宋体"/>
                <w:color w:val="auto"/>
                <w:szCs w:val="21"/>
              </w:rPr>
              <w:t>100≤X＜1000</w:t>
            </w:r>
          </w:p>
        </w:tc>
        <w:tc>
          <w:tcPr>
            <w:tcW w:w="1009" w:type="dxa"/>
            <w:tcBorders>
              <w:top w:val="nil"/>
              <w:left w:val="nil"/>
              <w:bottom w:val="single" w:color="auto" w:sz="4" w:space="0"/>
              <w:right w:val="single" w:color="auto" w:sz="4" w:space="0"/>
            </w:tcBorders>
            <w:vAlign w:val="center"/>
          </w:tcPr>
          <w:p w14:paraId="769D8BFF">
            <w:pPr>
              <w:widowControl/>
              <w:jc w:val="left"/>
              <w:rPr>
                <w:rFonts w:ascii="宋体" w:hAnsi="宋体"/>
                <w:color w:val="auto"/>
                <w:szCs w:val="21"/>
              </w:rPr>
            </w:pPr>
            <w:r>
              <w:rPr>
                <w:rFonts w:hint="eastAsia" w:ascii="宋体" w:hAnsi="宋体"/>
                <w:color w:val="auto"/>
                <w:szCs w:val="21"/>
              </w:rPr>
              <w:t>X＜100</w:t>
            </w:r>
          </w:p>
        </w:tc>
      </w:tr>
      <w:tr w14:paraId="35100E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E063930">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07EA1020">
            <w:pPr>
              <w:widowControl/>
              <w:jc w:val="left"/>
              <w:rPr>
                <w:rFonts w:ascii="宋体" w:hAnsi="宋体"/>
                <w:color w:val="auto"/>
                <w:szCs w:val="21"/>
              </w:rPr>
            </w:pPr>
            <w:r>
              <w:rPr>
                <w:rFonts w:hint="eastAsia" w:ascii="宋体" w:hAnsi="宋体"/>
                <w:color w:val="auto"/>
                <w:szCs w:val="21"/>
              </w:rPr>
              <w:t>资产总额（Z）</w:t>
            </w:r>
          </w:p>
        </w:tc>
        <w:tc>
          <w:tcPr>
            <w:tcW w:w="1134" w:type="dxa"/>
            <w:tcBorders>
              <w:top w:val="nil"/>
              <w:left w:val="nil"/>
              <w:bottom w:val="single" w:color="auto" w:sz="4" w:space="0"/>
              <w:right w:val="single" w:color="auto" w:sz="4" w:space="0"/>
            </w:tcBorders>
            <w:vAlign w:val="center"/>
          </w:tcPr>
          <w:p w14:paraId="53E23C8F">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482FC8C5">
            <w:pPr>
              <w:widowControl/>
              <w:jc w:val="left"/>
              <w:rPr>
                <w:rFonts w:ascii="宋体" w:hAnsi="宋体"/>
                <w:color w:val="auto"/>
                <w:szCs w:val="21"/>
              </w:rPr>
            </w:pPr>
            <w:r>
              <w:rPr>
                <w:rFonts w:hint="eastAsia" w:ascii="宋体" w:hAnsi="宋体"/>
                <w:color w:val="auto"/>
                <w:szCs w:val="21"/>
              </w:rPr>
              <w:t>5000≤Z＜10000</w:t>
            </w:r>
          </w:p>
        </w:tc>
        <w:tc>
          <w:tcPr>
            <w:tcW w:w="1570" w:type="dxa"/>
            <w:tcBorders>
              <w:top w:val="nil"/>
              <w:left w:val="nil"/>
              <w:bottom w:val="single" w:color="auto" w:sz="4" w:space="0"/>
              <w:right w:val="single" w:color="auto" w:sz="4" w:space="0"/>
            </w:tcBorders>
            <w:vAlign w:val="center"/>
          </w:tcPr>
          <w:p w14:paraId="3303699A">
            <w:pPr>
              <w:widowControl/>
              <w:jc w:val="left"/>
              <w:rPr>
                <w:rFonts w:ascii="宋体" w:hAnsi="宋体"/>
                <w:color w:val="auto"/>
                <w:szCs w:val="21"/>
              </w:rPr>
            </w:pPr>
            <w:r>
              <w:rPr>
                <w:rFonts w:hint="eastAsia" w:ascii="宋体" w:hAnsi="宋体"/>
                <w:color w:val="auto"/>
                <w:szCs w:val="21"/>
              </w:rPr>
              <w:t>2000≤Y＜5000</w:t>
            </w:r>
          </w:p>
        </w:tc>
        <w:tc>
          <w:tcPr>
            <w:tcW w:w="1009" w:type="dxa"/>
            <w:tcBorders>
              <w:top w:val="nil"/>
              <w:left w:val="nil"/>
              <w:bottom w:val="single" w:color="auto" w:sz="4" w:space="0"/>
              <w:right w:val="single" w:color="auto" w:sz="4" w:space="0"/>
            </w:tcBorders>
            <w:vAlign w:val="center"/>
          </w:tcPr>
          <w:p w14:paraId="30641DC6">
            <w:pPr>
              <w:widowControl/>
              <w:jc w:val="left"/>
              <w:rPr>
                <w:rFonts w:ascii="宋体" w:hAnsi="宋体"/>
                <w:color w:val="auto"/>
                <w:szCs w:val="21"/>
              </w:rPr>
            </w:pPr>
            <w:r>
              <w:rPr>
                <w:rFonts w:hint="eastAsia" w:ascii="宋体" w:hAnsi="宋体"/>
                <w:color w:val="auto"/>
                <w:szCs w:val="21"/>
              </w:rPr>
              <w:t>Y＜2000</w:t>
            </w:r>
          </w:p>
        </w:tc>
      </w:tr>
      <w:tr w14:paraId="6D7C4C2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C49CE4A">
            <w:pPr>
              <w:widowControl/>
              <w:jc w:val="center"/>
              <w:rPr>
                <w:rFonts w:ascii="宋体" w:hAnsi="宋体"/>
                <w:color w:val="auto"/>
                <w:szCs w:val="21"/>
              </w:rPr>
            </w:pPr>
            <w:r>
              <w:rPr>
                <w:rFonts w:hint="eastAsia" w:ascii="宋体" w:hAnsi="宋体"/>
                <w:color w:val="auto"/>
                <w:szCs w:val="21"/>
              </w:rPr>
              <w:t>物业管理</w:t>
            </w:r>
          </w:p>
        </w:tc>
        <w:tc>
          <w:tcPr>
            <w:tcW w:w="1701" w:type="dxa"/>
            <w:tcBorders>
              <w:top w:val="nil"/>
              <w:left w:val="nil"/>
              <w:bottom w:val="single" w:color="auto" w:sz="4" w:space="0"/>
              <w:right w:val="single" w:color="auto" w:sz="4" w:space="0"/>
            </w:tcBorders>
            <w:vAlign w:val="center"/>
          </w:tcPr>
          <w:p w14:paraId="2F2F3915">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435042EE">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3DD5FAA2">
            <w:pPr>
              <w:widowControl/>
              <w:jc w:val="left"/>
              <w:rPr>
                <w:rFonts w:ascii="宋体" w:hAnsi="宋体"/>
                <w:color w:val="auto"/>
                <w:szCs w:val="21"/>
              </w:rPr>
            </w:pPr>
            <w:r>
              <w:rPr>
                <w:rFonts w:hint="eastAsia" w:ascii="宋体" w:hAnsi="宋体"/>
                <w:color w:val="auto"/>
                <w:szCs w:val="21"/>
              </w:rPr>
              <w:t>300≤X＜1000</w:t>
            </w:r>
          </w:p>
        </w:tc>
        <w:tc>
          <w:tcPr>
            <w:tcW w:w="1570" w:type="dxa"/>
            <w:tcBorders>
              <w:top w:val="nil"/>
              <w:left w:val="nil"/>
              <w:bottom w:val="single" w:color="auto" w:sz="4" w:space="0"/>
              <w:right w:val="single" w:color="auto" w:sz="4" w:space="0"/>
            </w:tcBorders>
            <w:vAlign w:val="center"/>
          </w:tcPr>
          <w:p w14:paraId="20CF5567">
            <w:pPr>
              <w:widowControl/>
              <w:jc w:val="left"/>
              <w:rPr>
                <w:rFonts w:ascii="宋体" w:hAnsi="宋体"/>
                <w:color w:val="auto"/>
                <w:szCs w:val="21"/>
              </w:rPr>
            </w:pPr>
            <w:r>
              <w:rPr>
                <w:rFonts w:hint="eastAsia" w:ascii="宋体" w:hAnsi="宋体"/>
                <w:color w:val="auto"/>
                <w:szCs w:val="21"/>
              </w:rPr>
              <w:t>100≤X＜300</w:t>
            </w:r>
          </w:p>
        </w:tc>
        <w:tc>
          <w:tcPr>
            <w:tcW w:w="1009" w:type="dxa"/>
            <w:tcBorders>
              <w:top w:val="nil"/>
              <w:left w:val="nil"/>
              <w:bottom w:val="single" w:color="auto" w:sz="4" w:space="0"/>
              <w:right w:val="single" w:color="auto" w:sz="4" w:space="0"/>
            </w:tcBorders>
            <w:vAlign w:val="center"/>
          </w:tcPr>
          <w:p w14:paraId="13BDA207">
            <w:pPr>
              <w:widowControl/>
              <w:jc w:val="left"/>
              <w:rPr>
                <w:rFonts w:ascii="宋体" w:hAnsi="宋体"/>
                <w:color w:val="auto"/>
                <w:szCs w:val="21"/>
              </w:rPr>
            </w:pPr>
            <w:r>
              <w:rPr>
                <w:rFonts w:hint="eastAsia" w:ascii="宋体" w:hAnsi="宋体"/>
                <w:color w:val="auto"/>
                <w:szCs w:val="21"/>
              </w:rPr>
              <w:t>X＜100</w:t>
            </w:r>
          </w:p>
        </w:tc>
      </w:tr>
      <w:tr w14:paraId="557EB07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64063E0">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338403EE">
            <w:pPr>
              <w:widowControl/>
              <w:jc w:val="left"/>
              <w:rPr>
                <w:rFonts w:ascii="宋体" w:hAnsi="宋体"/>
                <w:color w:val="auto"/>
                <w:szCs w:val="21"/>
              </w:rPr>
            </w:pPr>
            <w:r>
              <w:rPr>
                <w:rFonts w:hint="eastAsia" w:ascii="宋体" w:hAnsi="宋体"/>
                <w:color w:val="auto"/>
                <w:szCs w:val="21"/>
              </w:rPr>
              <w:t>营业收入（Y）</w:t>
            </w:r>
          </w:p>
        </w:tc>
        <w:tc>
          <w:tcPr>
            <w:tcW w:w="1134" w:type="dxa"/>
            <w:tcBorders>
              <w:top w:val="nil"/>
              <w:left w:val="nil"/>
              <w:bottom w:val="single" w:color="auto" w:sz="4" w:space="0"/>
              <w:right w:val="single" w:color="auto" w:sz="4" w:space="0"/>
            </w:tcBorders>
            <w:vAlign w:val="center"/>
          </w:tcPr>
          <w:p w14:paraId="15C8F24F">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0910F95E">
            <w:pPr>
              <w:widowControl/>
              <w:jc w:val="left"/>
              <w:rPr>
                <w:rFonts w:ascii="宋体" w:hAnsi="宋体"/>
                <w:color w:val="auto"/>
                <w:szCs w:val="21"/>
              </w:rPr>
            </w:pPr>
            <w:r>
              <w:rPr>
                <w:rFonts w:hint="eastAsia" w:ascii="宋体" w:hAnsi="宋体"/>
                <w:color w:val="auto"/>
                <w:szCs w:val="21"/>
              </w:rPr>
              <w:t>1000≤Y＜5000</w:t>
            </w:r>
          </w:p>
        </w:tc>
        <w:tc>
          <w:tcPr>
            <w:tcW w:w="1570" w:type="dxa"/>
            <w:tcBorders>
              <w:top w:val="nil"/>
              <w:left w:val="nil"/>
              <w:bottom w:val="single" w:color="auto" w:sz="4" w:space="0"/>
              <w:right w:val="single" w:color="auto" w:sz="4" w:space="0"/>
            </w:tcBorders>
            <w:vAlign w:val="center"/>
          </w:tcPr>
          <w:p w14:paraId="7E6A6B1F">
            <w:pPr>
              <w:widowControl/>
              <w:jc w:val="left"/>
              <w:rPr>
                <w:rFonts w:ascii="宋体" w:hAnsi="宋体"/>
                <w:color w:val="auto"/>
                <w:szCs w:val="21"/>
              </w:rPr>
            </w:pPr>
            <w:r>
              <w:rPr>
                <w:rFonts w:hint="eastAsia" w:ascii="宋体" w:hAnsi="宋体"/>
                <w:color w:val="auto"/>
                <w:szCs w:val="21"/>
              </w:rPr>
              <w:t>500≤Y＜1000</w:t>
            </w:r>
          </w:p>
        </w:tc>
        <w:tc>
          <w:tcPr>
            <w:tcW w:w="1009" w:type="dxa"/>
            <w:tcBorders>
              <w:top w:val="nil"/>
              <w:left w:val="nil"/>
              <w:bottom w:val="single" w:color="auto" w:sz="4" w:space="0"/>
              <w:right w:val="single" w:color="auto" w:sz="4" w:space="0"/>
            </w:tcBorders>
            <w:vAlign w:val="center"/>
          </w:tcPr>
          <w:p w14:paraId="5D415564">
            <w:pPr>
              <w:widowControl/>
              <w:jc w:val="left"/>
              <w:rPr>
                <w:rFonts w:ascii="宋体" w:hAnsi="宋体"/>
                <w:color w:val="auto"/>
                <w:szCs w:val="21"/>
              </w:rPr>
            </w:pPr>
            <w:r>
              <w:rPr>
                <w:rFonts w:hint="eastAsia" w:ascii="宋体" w:hAnsi="宋体"/>
                <w:color w:val="auto"/>
                <w:szCs w:val="21"/>
              </w:rPr>
              <w:t>Y＜500</w:t>
            </w:r>
          </w:p>
        </w:tc>
      </w:tr>
      <w:tr w14:paraId="3054E8D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C14EE63">
            <w:pPr>
              <w:widowControl/>
              <w:jc w:val="center"/>
              <w:rPr>
                <w:rFonts w:ascii="宋体" w:hAnsi="宋体"/>
                <w:color w:val="auto"/>
                <w:szCs w:val="21"/>
              </w:rPr>
            </w:pPr>
            <w:r>
              <w:rPr>
                <w:rFonts w:hint="eastAsia" w:ascii="宋体" w:hAnsi="宋体"/>
                <w:color w:val="auto"/>
                <w:szCs w:val="21"/>
              </w:rPr>
              <w:t>租赁和商务服务业</w:t>
            </w:r>
          </w:p>
        </w:tc>
        <w:tc>
          <w:tcPr>
            <w:tcW w:w="1701" w:type="dxa"/>
            <w:tcBorders>
              <w:top w:val="nil"/>
              <w:left w:val="nil"/>
              <w:bottom w:val="single" w:color="auto" w:sz="4" w:space="0"/>
              <w:right w:val="single" w:color="auto" w:sz="4" w:space="0"/>
            </w:tcBorders>
            <w:vAlign w:val="center"/>
          </w:tcPr>
          <w:p w14:paraId="4ED85CA0">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37A6A6CE">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53E1218D">
            <w:pPr>
              <w:widowControl/>
              <w:jc w:val="left"/>
              <w:rPr>
                <w:rFonts w:ascii="宋体" w:hAnsi="宋体"/>
                <w:color w:val="auto"/>
                <w:szCs w:val="21"/>
              </w:rPr>
            </w:pPr>
            <w:r>
              <w:rPr>
                <w:rFonts w:hint="eastAsia" w:ascii="宋体" w:hAnsi="宋体"/>
                <w:color w:val="auto"/>
                <w:szCs w:val="21"/>
              </w:rPr>
              <w:t>100≤X＜300</w:t>
            </w:r>
          </w:p>
        </w:tc>
        <w:tc>
          <w:tcPr>
            <w:tcW w:w="1570" w:type="dxa"/>
            <w:tcBorders>
              <w:top w:val="nil"/>
              <w:left w:val="nil"/>
              <w:bottom w:val="single" w:color="auto" w:sz="4" w:space="0"/>
              <w:right w:val="single" w:color="auto" w:sz="4" w:space="0"/>
            </w:tcBorders>
            <w:vAlign w:val="center"/>
          </w:tcPr>
          <w:p w14:paraId="605F5E55">
            <w:pPr>
              <w:widowControl/>
              <w:jc w:val="left"/>
              <w:rPr>
                <w:rFonts w:ascii="宋体" w:hAnsi="宋体"/>
                <w:color w:val="auto"/>
                <w:szCs w:val="21"/>
              </w:rPr>
            </w:pPr>
            <w:r>
              <w:rPr>
                <w:rFonts w:hint="eastAsia" w:ascii="宋体" w:hAnsi="宋体"/>
                <w:color w:val="auto"/>
                <w:szCs w:val="21"/>
              </w:rPr>
              <w:t>10≤X＜100</w:t>
            </w:r>
          </w:p>
        </w:tc>
        <w:tc>
          <w:tcPr>
            <w:tcW w:w="1009" w:type="dxa"/>
            <w:tcBorders>
              <w:top w:val="nil"/>
              <w:left w:val="nil"/>
              <w:bottom w:val="single" w:color="auto" w:sz="4" w:space="0"/>
              <w:right w:val="single" w:color="auto" w:sz="4" w:space="0"/>
            </w:tcBorders>
            <w:vAlign w:val="center"/>
          </w:tcPr>
          <w:p w14:paraId="7588F440">
            <w:pPr>
              <w:widowControl/>
              <w:jc w:val="left"/>
              <w:rPr>
                <w:rFonts w:ascii="宋体" w:hAnsi="宋体"/>
                <w:color w:val="auto"/>
                <w:szCs w:val="21"/>
              </w:rPr>
            </w:pPr>
            <w:r>
              <w:rPr>
                <w:rFonts w:hint="eastAsia" w:ascii="宋体" w:hAnsi="宋体"/>
                <w:color w:val="auto"/>
                <w:szCs w:val="21"/>
              </w:rPr>
              <w:t>X＜10</w:t>
            </w:r>
          </w:p>
        </w:tc>
      </w:tr>
      <w:tr w14:paraId="12A936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4760692">
            <w:pPr>
              <w:widowControl/>
              <w:jc w:val="left"/>
              <w:rPr>
                <w:rFonts w:ascii="宋体" w:hAnsi="宋体"/>
                <w:color w:val="auto"/>
                <w:szCs w:val="21"/>
              </w:rPr>
            </w:pPr>
          </w:p>
        </w:tc>
        <w:tc>
          <w:tcPr>
            <w:tcW w:w="1701" w:type="dxa"/>
            <w:tcBorders>
              <w:top w:val="nil"/>
              <w:left w:val="nil"/>
              <w:bottom w:val="single" w:color="auto" w:sz="4" w:space="0"/>
              <w:right w:val="single" w:color="auto" w:sz="4" w:space="0"/>
            </w:tcBorders>
            <w:vAlign w:val="center"/>
          </w:tcPr>
          <w:p w14:paraId="38766182">
            <w:pPr>
              <w:widowControl/>
              <w:jc w:val="left"/>
              <w:rPr>
                <w:rFonts w:ascii="宋体" w:hAnsi="宋体"/>
                <w:color w:val="auto"/>
                <w:szCs w:val="21"/>
              </w:rPr>
            </w:pPr>
            <w:r>
              <w:rPr>
                <w:rFonts w:hint="eastAsia" w:ascii="宋体" w:hAnsi="宋体"/>
                <w:color w:val="auto"/>
                <w:szCs w:val="21"/>
              </w:rPr>
              <w:t>资产总额（Z）</w:t>
            </w:r>
          </w:p>
        </w:tc>
        <w:tc>
          <w:tcPr>
            <w:tcW w:w="1134" w:type="dxa"/>
            <w:tcBorders>
              <w:top w:val="nil"/>
              <w:left w:val="nil"/>
              <w:bottom w:val="single" w:color="auto" w:sz="4" w:space="0"/>
              <w:right w:val="single" w:color="auto" w:sz="4" w:space="0"/>
            </w:tcBorders>
            <w:vAlign w:val="center"/>
          </w:tcPr>
          <w:p w14:paraId="66BFE6E6">
            <w:pPr>
              <w:widowControl/>
              <w:jc w:val="left"/>
              <w:rPr>
                <w:rFonts w:ascii="宋体" w:hAnsi="宋体"/>
                <w:color w:val="auto"/>
                <w:szCs w:val="21"/>
              </w:rPr>
            </w:pPr>
            <w:r>
              <w:rPr>
                <w:rFonts w:hint="eastAsia" w:ascii="宋体" w:hAnsi="宋体"/>
                <w:color w:val="auto"/>
                <w:szCs w:val="21"/>
              </w:rPr>
              <w:t>万元</w:t>
            </w:r>
          </w:p>
        </w:tc>
        <w:tc>
          <w:tcPr>
            <w:tcW w:w="1846" w:type="dxa"/>
            <w:tcBorders>
              <w:top w:val="nil"/>
              <w:left w:val="nil"/>
              <w:bottom w:val="single" w:color="auto" w:sz="4" w:space="0"/>
              <w:right w:val="single" w:color="auto" w:sz="4" w:space="0"/>
            </w:tcBorders>
            <w:vAlign w:val="center"/>
          </w:tcPr>
          <w:p w14:paraId="59B13C25">
            <w:pPr>
              <w:widowControl/>
              <w:jc w:val="left"/>
              <w:rPr>
                <w:rFonts w:ascii="宋体" w:hAnsi="宋体"/>
                <w:color w:val="auto"/>
                <w:szCs w:val="21"/>
              </w:rPr>
            </w:pPr>
            <w:r>
              <w:rPr>
                <w:rFonts w:hint="eastAsia" w:ascii="宋体" w:hAnsi="宋体"/>
                <w:color w:val="auto"/>
                <w:szCs w:val="21"/>
              </w:rPr>
              <w:t>8000≤Z＜120000</w:t>
            </w:r>
          </w:p>
        </w:tc>
        <w:tc>
          <w:tcPr>
            <w:tcW w:w="1570" w:type="dxa"/>
            <w:tcBorders>
              <w:top w:val="nil"/>
              <w:left w:val="nil"/>
              <w:bottom w:val="single" w:color="auto" w:sz="4" w:space="0"/>
              <w:right w:val="single" w:color="auto" w:sz="4" w:space="0"/>
            </w:tcBorders>
            <w:vAlign w:val="center"/>
          </w:tcPr>
          <w:p w14:paraId="4F14EFAF">
            <w:pPr>
              <w:widowControl/>
              <w:jc w:val="left"/>
              <w:rPr>
                <w:rFonts w:ascii="宋体" w:hAnsi="宋体"/>
                <w:color w:val="auto"/>
                <w:szCs w:val="21"/>
              </w:rPr>
            </w:pPr>
            <w:r>
              <w:rPr>
                <w:rFonts w:hint="eastAsia" w:ascii="宋体" w:hAnsi="宋体"/>
                <w:color w:val="auto"/>
                <w:szCs w:val="21"/>
              </w:rPr>
              <w:t>100≤Z＜8000</w:t>
            </w:r>
          </w:p>
        </w:tc>
        <w:tc>
          <w:tcPr>
            <w:tcW w:w="1009" w:type="dxa"/>
            <w:tcBorders>
              <w:top w:val="nil"/>
              <w:left w:val="nil"/>
              <w:bottom w:val="single" w:color="auto" w:sz="4" w:space="0"/>
              <w:right w:val="single" w:color="auto" w:sz="4" w:space="0"/>
            </w:tcBorders>
            <w:vAlign w:val="center"/>
          </w:tcPr>
          <w:p w14:paraId="06119ACB">
            <w:pPr>
              <w:widowControl/>
              <w:jc w:val="left"/>
              <w:rPr>
                <w:rFonts w:ascii="宋体" w:hAnsi="宋体"/>
                <w:color w:val="auto"/>
                <w:szCs w:val="21"/>
              </w:rPr>
            </w:pPr>
            <w:r>
              <w:rPr>
                <w:rFonts w:hint="eastAsia" w:ascii="宋体" w:hAnsi="宋体"/>
                <w:color w:val="auto"/>
                <w:szCs w:val="21"/>
              </w:rPr>
              <w:t>Y＜100</w:t>
            </w:r>
          </w:p>
        </w:tc>
      </w:tr>
      <w:tr w14:paraId="6A46E7C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A0CF6B6">
            <w:pPr>
              <w:widowControl/>
              <w:jc w:val="center"/>
              <w:rPr>
                <w:rFonts w:ascii="宋体" w:hAnsi="宋体"/>
                <w:color w:val="auto"/>
                <w:szCs w:val="21"/>
              </w:rPr>
            </w:pPr>
            <w:r>
              <w:rPr>
                <w:rFonts w:hint="eastAsia" w:ascii="宋体" w:hAnsi="宋体"/>
                <w:color w:val="auto"/>
                <w:szCs w:val="21"/>
              </w:rPr>
              <w:t>其他未列明行业</w:t>
            </w:r>
          </w:p>
        </w:tc>
        <w:tc>
          <w:tcPr>
            <w:tcW w:w="1701" w:type="dxa"/>
            <w:tcBorders>
              <w:top w:val="nil"/>
              <w:left w:val="nil"/>
              <w:bottom w:val="single" w:color="auto" w:sz="4" w:space="0"/>
              <w:right w:val="single" w:color="auto" w:sz="4" w:space="0"/>
            </w:tcBorders>
            <w:vAlign w:val="center"/>
          </w:tcPr>
          <w:p w14:paraId="75D71C34">
            <w:pPr>
              <w:widowControl/>
              <w:jc w:val="left"/>
              <w:rPr>
                <w:rFonts w:ascii="宋体" w:hAnsi="宋体"/>
                <w:color w:val="auto"/>
                <w:szCs w:val="21"/>
              </w:rPr>
            </w:pPr>
            <w:r>
              <w:rPr>
                <w:rFonts w:hint="eastAsia" w:ascii="宋体" w:hAnsi="宋体"/>
                <w:color w:val="auto"/>
                <w:szCs w:val="21"/>
              </w:rPr>
              <w:t>从业人员（X）</w:t>
            </w:r>
          </w:p>
        </w:tc>
        <w:tc>
          <w:tcPr>
            <w:tcW w:w="1134" w:type="dxa"/>
            <w:tcBorders>
              <w:top w:val="nil"/>
              <w:left w:val="nil"/>
              <w:bottom w:val="single" w:color="auto" w:sz="4" w:space="0"/>
              <w:right w:val="single" w:color="auto" w:sz="4" w:space="0"/>
            </w:tcBorders>
            <w:vAlign w:val="center"/>
          </w:tcPr>
          <w:p w14:paraId="6C9B5935">
            <w:pPr>
              <w:widowControl/>
              <w:jc w:val="left"/>
              <w:rPr>
                <w:rFonts w:ascii="宋体" w:hAnsi="宋体"/>
                <w:color w:val="auto"/>
                <w:szCs w:val="21"/>
              </w:rPr>
            </w:pPr>
            <w:r>
              <w:rPr>
                <w:rFonts w:hint="eastAsia" w:ascii="宋体" w:hAnsi="宋体"/>
                <w:color w:val="auto"/>
                <w:szCs w:val="21"/>
              </w:rPr>
              <w:t>人</w:t>
            </w:r>
          </w:p>
        </w:tc>
        <w:tc>
          <w:tcPr>
            <w:tcW w:w="1846" w:type="dxa"/>
            <w:tcBorders>
              <w:top w:val="nil"/>
              <w:left w:val="nil"/>
              <w:bottom w:val="single" w:color="auto" w:sz="4" w:space="0"/>
              <w:right w:val="single" w:color="auto" w:sz="4" w:space="0"/>
            </w:tcBorders>
            <w:vAlign w:val="center"/>
          </w:tcPr>
          <w:p w14:paraId="08AEE572">
            <w:pPr>
              <w:widowControl/>
              <w:jc w:val="left"/>
              <w:rPr>
                <w:rFonts w:ascii="宋体" w:hAnsi="宋体"/>
                <w:color w:val="auto"/>
                <w:szCs w:val="21"/>
              </w:rPr>
            </w:pPr>
            <w:r>
              <w:rPr>
                <w:rFonts w:hint="eastAsia" w:ascii="宋体" w:hAnsi="宋体"/>
                <w:color w:val="auto"/>
                <w:szCs w:val="21"/>
              </w:rPr>
              <w:t>100≤X＜300</w:t>
            </w:r>
          </w:p>
        </w:tc>
        <w:tc>
          <w:tcPr>
            <w:tcW w:w="1570" w:type="dxa"/>
            <w:tcBorders>
              <w:top w:val="nil"/>
              <w:left w:val="nil"/>
              <w:bottom w:val="single" w:color="auto" w:sz="4" w:space="0"/>
              <w:right w:val="single" w:color="auto" w:sz="4" w:space="0"/>
            </w:tcBorders>
            <w:vAlign w:val="center"/>
          </w:tcPr>
          <w:p w14:paraId="684E1A98">
            <w:pPr>
              <w:widowControl/>
              <w:jc w:val="left"/>
              <w:rPr>
                <w:rFonts w:ascii="宋体" w:hAnsi="宋体"/>
                <w:color w:val="auto"/>
                <w:szCs w:val="21"/>
              </w:rPr>
            </w:pPr>
            <w:r>
              <w:rPr>
                <w:rFonts w:hint="eastAsia" w:ascii="宋体" w:hAnsi="宋体"/>
                <w:color w:val="auto"/>
                <w:szCs w:val="21"/>
              </w:rPr>
              <w:t>10≤X＜100</w:t>
            </w:r>
          </w:p>
        </w:tc>
        <w:tc>
          <w:tcPr>
            <w:tcW w:w="1009" w:type="dxa"/>
            <w:tcBorders>
              <w:top w:val="nil"/>
              <w:left w:val="nil"/>
              <w:bottom w:val="single" w:color="auto" w:sz="4" w:space="0"/>
              <w:right w:val="single" w:color="auto" w:sz="4" w:space="0"/>
            </w:tcBorders>
            <w:vAlign w:val="center"/>
          </w:tcPr>
          <w:p w14:paraId="39CFB2BC">
            <w:pPr>
              <w:widowControl/>
              <w:jc w:val="left"/>
              <w:rPr>
                <w:rFonts w:ascii="宋体" w:hAnsi="宋体"/>
                <w:color w:val="auto"/>
                <w:szCs w:val="21"/>
              </w:rPr>
            </w:pPr>
            <w:r>
              <w:rPr>
                <w:rFonts w:hint="eastAsia" w:ascii="宋体" w:hAnsi="宋体"/>
                <w:color w:val="auto"/>
                <w:szCs w:val="21"/>
              </w:rPr>
              <w:t>X＜10</w:t>
            </w:r>
          </w:p>
        </w:tc>
      </w:tr>
    </w:tbl>
    <w:p w14:paraId="3C0158BD">
      <w:pPr>
        <w:spacing w:line="360" w:lineRule="auto"/>
        <w:ind w:firstLine="525" w:firstLineChars="250"/>
        <w:rPr>
          <w:rFonts w:ascii="宋体" w:hAnsi="宋体"/>
          <w:color w:val="auto"/>
          <w:szCs w:val="21"/>
        </w:rPr>
      </w:pPr>
      <w:r>
        <w:rPr>
          <w:rFonts w:hint="eastAsia" w:ascii="宋体" w:hAnsi="宋体"/>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70DC7ADB">
      <w:pPr>
        <w:spacing w:line="360" w:lineRule="auto"/>
        <w:rPr>
          <w:rFonts w:ascii="宋体" w:hAnsi="宋体"/>
          <w:color w:val="auto"/>
          <w:sz w:val="28"/>
          <w:szCs w:val="28"/>
        </w:rPr>
      </w:pPr>
      <w:r>
        <w:rPr>
          <w:rFonts w:ascii="宋体" w:hAnsi="宋体"/>
          <w:color w:val="auto"/>
          <w:szCs w:val="21"/>
        </w:rPr>
        <w:br w:type="page"/>
      </w:r>
      <w:r>
        <w:rPr>
          <w:rFonts w:hint="eastAsia" w:ascii="宋体" w:hAnsi="宋体"/>
          <w:color w:val="auto"/>
          <w:sz w:val="28"/>
          <w:szCs w:val="28"/>
        </w:rPr>
        <w:t>附件2：</w:t>
      </w:r>
    </w:p>
    <w:p w14:paraId="2B77FB95">
      <w:pPr>
        <w:spacing w:line="360" w:lineRule="auto"/>
        <w:rPr>
          <w:rFonts w:ascii="宋体" w:hAnsi="宋体"/>
          <w:color w:val="auto"/>
          <w:szCs w:val="21"/>
        </w:rPr>
        <w:sectPr>
          <w:pgSz w:w="11906" w:h="16838"/>
          <w:pgMar w:top="851" w:right="1133" w:bottom="1246" w:left="1418" w:header="851" w:footer="797" w:gutter="0"/>
          <w:cols w:space="720" w:num="1"/>
          <w:docGrid w:linePitch="312" w:charSpace="0"/>
        </w:sectPr>
      </w:pPr>
      <w:r>
        <w:rPr>
          <w:rFonts w:ascii="宋体" w:hAnsi="宋体" w:cs="宋体"/>
          <w:color w:val="auto"/>
          <w:position w:val="-335"/>
          <w:sz w:val="20"/>
          <w:szCs w:val="20"/>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7"/>
                    <a:stretch>
                      <a:fillRect/>
                    </a:stretch>
                  </pic:blipFill>
                  <pic:spPr>
                    <a:xfrm>
                      <a:off x="0" y="0"/>
                      <a:ext cx="5573395" cy="8125460"/>
                    </a:xfrm>
                    <a:prstGeom prst="rect">
                      <a:avLst/>
                    </a:prstGeom>
                    <a:noFill/>
                    <a:ln>
                      <a:noFill/>
                    </a:ln>
                  </pic:spPr>
                </pic:pic>
              </a:graphicData>
            </a:graphic>
          </wp:anchor>
        </w:drawing>
      </w:r>
    </w:p>
    <w:bookmarkEnd w:id="12"/>
    <w:bookmarkEnd w:id="13"/>
    <w:p w14:paraId="4ADA1E14">
      <w:pPr>
        <w:pStyle w:val="26"/>
        <w:snapToGrid w:val="0"/>
        <w:spacing w:before="120" w:after="120" w:line="320" w:lineRule="exact"/>
        <w:jc w:val="center"/>
        <w:outlineLvl w:val="0"/>
        <w:rPr>
          <w:rFonts w:hAnsi="宋体" w:cs="Times New Roman"/>
          <w:color w:val="auto"/>
          <w:sz w:val="32"/>
          <w:szCs w:val="32"/>
        </w:rPr>
      </w:pPr>
      <w:bookmarkStart w:id="17" w:name="_Toc229435052"/>
      <w:r>
        <w:rPr>
          <w:rFonts w:hAnsi="宋体" w:cs="Times New Roman"/>
          <w:color w:val="auto"/>
          <w:sz w:val="32"/>
          <w:szCs w:val="32"/>
        </w:rPr>
        <w:t>第三章  供应商须知</w:t>
      </w:r>
      <w:bookmarkEnd w:id="17"/>
      <w:bookmarkStart w:id="18" w:name="_Toc254970667"/>
      <w:bookmarkStart w:id="19" w:name="_Toc254970526"/>
    </w:p>
    <w:p w14:paraId="043203FE">
      <w:pPr>
        <w:pStyle w:val="4"/>
        <w:spacing w:before="40" w:after="40"/>
        <w:jc w:val="center"/>
        <w:rPr>
          <w:rFonts w:ascii="宋体" w:hAnsi="宋体" w:eastAsia="宋体"/>
          <w:color w:val="auto"/>
          <w:sz w:val="24"/>
          <w:szCs w:val="24"/>
        </w:rPr>
      </w:pPr>
      <w:r>
        <w:rPr>
          <w:rFonts w:ascii="宋体" w:hAnsi="宋体" w:eastAsia="宋体"/>
          <w:color w:val="auto"/>
          <w:sz w:val="24"/>
          <w:szCs w:val="24"/>
        </w:rPr>
        <w:t>供应商须知前附表</w:t>
      </w:r>
      <w:bookmarkEnd w:id="18"/>
      <w:bookmarkEnd w:id="19"/>
      <w:bookmarkStart w:id="20" w:name="_投标人须知前附表"/>
      <w:bookmarkEnd w:id="20"/>
      <w:bookmarkStart w:id="21" w:name="_Hlk19088833"/>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D4E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07396B98">
            <w:pPr>
              <w:jc w:val="center"/>
              <w:rPr>
                <w:rFonts w:ascii="宋体" w:hAnsi="宋体"/>
                <w:b/>
                <w:color w:val="auto"/>
                <w:szCs w:val="21"/>
              </w:rPr>
            </w:pPr>
            <w:r>
              <w:rPr>
                <w:rFonts w:ascii="宋体" w:hAnsi="宋体"/>
                <w:b/>
                <w:color w:val="auto"/>
                <w:szCs w:val="21"/>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196D146A">
            <w:pPr>
              <w:jc w:val="center"/>
              <w:rPr>
                <w:rFonts w:ascii="宋体" w:hAnsi="宋体"/>
                <w:b/>
                <w:color w:val="auto"/>
                <w:szCs w:val="21"/>
              </w:rPr>
            </w:pPr>
            <w:r>
              <w:rPr>
                <w:rFonts w:ascii="宋体" w:hAnsi="宋体"/>
                <w:b/>
                <w:color w:val="auto"/>
                <w:szCs w:val="21"/>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2A69C402">
            <w:pPr>
              <w:jc w:val="center"/>
              <w:rPr>
                <w:rFonts w:ascii="宋体" w:hAnsi="宋体"/>
                <w:b/>
                <w:color w:val="auto"/>
                <w:szCs w:val="21"/>
              </w:rPr>
            </w:pPr>
            <w:r>
              <w:rPr>
                <w:rFonts w:ascii="宋体" w:hAnsi="宋体"/>
                <w:b/>
                <w:color w:val="auto"/>
                <w:szCs w:val="21"/>
              </w:rPr>
              <w:t>内容、要求</w:t>
            </w:r>
          </w:p>
        </w:tc>
      </w:tr>
      <w:tr w14:paraId="2D8D0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0F22B02E">
            <w:pPr>
              <w:spacing w:line="300" w:lineRule="exact"/>
              <w:jc w:val="center"/>
              <w:rPr>
                <w:rFonts w:ascii="宋体" w:hAnsi="宋体"/>
                <w:b/>
                <w:color w:val="auto"/>
                <w:szCs w:val="21"/>
              </w:rPr>
            </w:pPr>
            <w:r>
              <w:rPr>
                <w:rFonts w:ascii="宋体" w:hAnsi="宋体"/>
                <w:b/>
                <w:color w:val="auto"/>
                <w:szCs w:val="21"/>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26E490F9">
            <w:pPr>
              <w:spacing w:line="300" w:lineRule="exact"/>
              <w:jc w:val="center"/>
              <w:rPr>
                <w:rFonts w:ascii="宋体" w:hAnsi="宋体"/>
                <w:color w:val="auto"/>
                <w:szCs w:val="21"/>
              </w:rPr>
            </w:pPr>
            <w:r>
              <w:rPr>
                <w:rFonts w:ascii="宋体" w:hAnsi="宋体"/>
                <w:color w:val="auto"/>
                <w:szCs w:val="21"/>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4126A41C">
            <w:pPr>
              <w:spacing w:line="300" w:lineRule="exact"/>
              <w:jc w:val="left"/>
              <w:rPr>
                <w:rFonts w:ascii="宋体" w:hAnsi="宋体"/>
                <w:color w:val="auto"/>
                <w:szCs w:val="21"/>
              </w:rPr>
            </w:pPr>
            <w:r>
              <w:rPr>
                <w:rFonts w:ascii="宋体" w:hAnsi="宋体"/>
                <w:color w:val="auto"/>
                <w:szCs w:val="21"/>
              </w:rPr>
              <w:t>项目名称：</w:t>
            </w:r>
            <w:r>
              <w:rPr>
                <w:rFonts w:ascii="宋体" w:hAnsi="宋体"/>
                <w:color w:val="auto"/>
                <w:kern w:val="0"/>
                <w:szCs w:val="21"/>
              </w:rPr>
              <w:t>2026年广西壮族自治区工业和信息化厅规划及课题项目</w:t>
            </w:r>
          </w:p>
          <w:p w14:paraId="171A92C2">
            <w:pPr>
              <w:spacing w:line="300" w:lineRule="exact"/>
              <w:jc w:val="left"/>
              <w:rPr>
                <w:rFonts w:ascii="宋体" w:hAnsi="宋体"/>
                <w:color w:val="auto"/>
                <w:szCs w:val="21"/>
              </w:rPr>
            </w:pPr>
            <w:r>
              <w:rPr>
                <w:rFonts w:ascii="宋体" w:hAnsi="宋体"/>
                <w:color w:val="auto"/>
                <w:szCs w:val="21"/>
              </w:rPr>
              <w:t>项目编号：</w:t>
            </w:r>
            <w:r>
              <w:rPr>
                <w:rFonts w:hint="eastAsia" w:ascii="宋体" w:hAnsi="宋体"/>
                <w:color w:val="auto"/>
                <w:szCs w:val="21"/>
              </w:rPr>
              <w:t>GXZC2026-C3-001951-JDZB</w:t>
            </w:r>
          </w:p>
          <w:p w14:paraId="16312B31">
            <w:pPr>
              <w:spacing w:line="300" w:lineRule="exact"/>
              <w:jc w:val="left"/>
              <w:rPr>
                <w:rFonts w:ascii="宋体" w:hAnsi="宋体"/>
                <w:color w:val="auto"/>
                <w:szCs w:val="21"/>
              </w:rPr>
            </w:pPr>
            <w:r>
              <w:rPr>
                <w:rFonts w:hint="eastAsia" w:ascii="宋体" w:hAnsi="宋体"/>
                <w:color w:val="auto"/>
                <w:szCs w:val="21"/>
              </w:rPr>
              <w:t>采购计划号：广西政采[2026]13015号</w:t>
            </w:r>
          </w:p>
        </w:tc>
      </w:tr>
      <w:tr w14:paraId="38838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6180B0B">
            <w:pPr>
              <w:spacing w:line="300" w:lineRule="exact"/>
              <w:jc w:val="center"/>
              <w:rPr>
                <w:rFonts w:ascii="宋体" w:hAnsi="宋体"/>
                <w:b/>
                <w:color w:val="auto"/>
                <w:szCs w:val="21"/>
              </w:rPr>
            </w:pPr>
            <w:r>
              <w:rPr>
                <w:rFonts w:ascii="宋体" w:hAnsi="宋体"/>
                <w:b/>
                <w:color w:val="auto"/>
                <w:szCs w:val="21"/>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0384CE33">
            <w:pPr>
              <w:spacing w:line="300" w:lineRule="exact"/>
              <w:jc w:val="center"/>
              <w:rPr>
                <w:rFonts w:ascii="宋体" w:hAnsi="宋体"/>
                <w:color w:val="auto"/>
                <w:szCs w:val="21"/>
                <w:lang w:val="zh-CN"/>
              </w:rPr>
            </w:pPr>
            <w:r>
              <w:rPr>
                <w:rFonts w:hint="eastAsia" w:ascii="宋体" w:hAnsi="宋体"/>
                <w:color w:val="auto"/>
                <w:szCs w:val="21"/>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5E89E51C">
            <w:pPr>
              <w:spacing w:line="300" w:lineRule="exact"/>
              <w:jc w:val="left"/>
              <w:rPr>
                <w:rFonts w:ascii="宋体" w:hAnsi="宋体"/>
                <w:color w:val="auto"/>
                <w:szCs w:val="21"/>
              </w:rPr>
            </w:pPr>
            <w:r>
              <w:rPr>
                <w:rFonts w:hint="eastAsia" w:ascii="宋体" w:hAnsi="宋体"/>
                <w:color w:val="auto"/>
                <w:szCs w:val="21"/>
              </w:rPr>
              <w:t>竞争性磋商。</w:t>
            </w:r>
          </w:p>
        </w:tc>
      </w:tr>
      <w:tr w14:paraId="0BF5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3630786">
            <w:pPr>
              <w:spacing w:line="300" w:lineRule="exact"/>
              <w:jc w:val="center"/>
              <w:rPr>
                <w:rFonts w:ascii="宋体" w:hAnsi="宋体"/>
                <w:b/>
                <w:color w:val="auto"/>
                <w:szCs w:val="21"/>
              </w:rPr>
            </w:pPr>
            <w:r>
              <w:rPr>
                <w:rFonts w:ascii="宋体" w:hAnsi="宋体"/>
                <w:b/>
                <w:color w:val="auto"/>
                <w:szCs w:val="21"/>
              </w:rPr>
              <w:t>1.4</w:t>
            </w:r>
          </w:p>
        </w:tc>
        <w:tc>
          <w:tcPr>
            <w:tcW w:w="1248" w:type="dxa"/>
            <w:tcBorders>
              <w:top w:val="single" w:color="auto" w:sz="4" w:space="0"/>
              <w:left w:val="single" w:color="auto" w:sz="4" w:space="0"/>
              <w:bottom w:val="single" w:color="auto" w:sz="4" w:space="0"/>
              <w:right w:val="single" w:color="auto" w:sz="4" w:space="0"/>
            </w:tcBorders>
            <w:vAlign w:val="center"/>
          </w:tcPr>
          <w:p w14:paraId="4A150D78">
            <w:pPr>
              <w:spacing w:line="300" w:lineRule="exact"/>
              <w:jc w:val="center"/>
              <w:rPr>
                <w:rFonts w:ascii="宋体" w:hAnsi="宋体"/>
                <w:color w:val="auto"/>
                <w:szCs w:val="21"/>
                <w:lang w:val="zh-CN"/>
              </w:rPr>
            </w:pPr>
            <w:r>
              <w:rPr>
                <w:rFonts w:hint="eastAsia" w:ascii="宋体" w:hAnsi="宋体"/>
                <w:color w:val="auto"/>
                <w:szCs w:val="21"/>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0FB5FBD8">
            <w:pPr>
              <w:spacing w:line="300" w:lineRule="exact"/>
              <w:jc w:val="left"/>
              <w:rPr>
                <w:rFonts w:ascii="宋体" w:hAnsi="宋体"/>
                <w:color w:val="auto"/>
                <w:szCs w:val="21"/>
              </w:rPr>
            </w:pPr>
            <w:r>
              <w:rPr>
                <w:rFonts w:hint="eastAsia" w:ascii="宋体" w:hAnsi="宋体"/>
                <w:color w:val="auto"/>
                <w:szCs w:val="21"/>
              </w:rPr>
              <w:t>本项目非专门面向中小微企业采购。</w:t>
            </w:r>
            <w:r>
              <w:rPr>
                <w:rFonts w:ascii="宋体" w:hAnsi="宋体"/>
                <w:color w:val="auto"/>
                <w:szCs w:val="21"/>
              </w:rPr>
              <w:t xml:space="preserve"> </w:t>
            </w:r>
          </w:p>
        </w:tc>
      </w:tr>
      <w:tr w14:paraId="35BC0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589D9DA1">
            <w:pPr>
              <w:spacing w:line="300" w:lineRule="exact"/>
              <w:jc w:val="center"/>
              <w:rPr>
                <w:rFonts w:ascii="宋体" w:hAnsi="宋体"/>
                <w:b/>
                <w:color w:val="auto"/>
                <w:szCs w:val="21"/>
              </w:rPr>
            </w:pPr>
            <w:r>
              <w:rPr>
                <w:rFonts w:ascii="宋体" w:hAnsi="宋体"/>
                <w:b/>
                <w:color w:val="auto"/>
                <w:szCs w:val="21"/>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14C7B573">
            <w:pPr>
              <w:spacing w:line="300" w:lineRule="exact"/>
              <w:jc w:val="center"/>
              <w:rPr>
                <w:rFonts w:ascii="宋体" w:hAnsi="宋体"/>
                <w:color w:val="auto"/>
                <w:szCs w:val="21"/>
              </w:rPr>
            </w:pPr>
            <w:r>
              <w:rPr>
                <w:rFonts w:ascii="宋体" w:hAnsi="宋体"/>
                <w:color w:val="auto"/>
                <w:szCs w:val="21"/>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10203E8B">
            <w:pPr>
              <w:spacing w:line="300" w:lineRule="exact"/>
              <w:jc w:val="left"/>
              <w:rPr>
                <w:rFonts w:ascii="宋体" w:hAnsi="宋体"/>
                <w:color w:val="auto"/>
                <w:szCs w:val="21"/>
              </w:rPr>
            </w:pPr>
            <w:r>
              <w:rPr>
                <w:rFonts w:hint="eastAsia" w:ascii="宋体" w:hAnsi="宋体"/>
                <w:color w:val="auto"/>
                <w:szCs w:val="21"/>
              </w:rPr>
              <w:t>详</w:t>
            </w:r>
            <w:r>
              <w:rPr>
                <w:rFonts w:ascii="宋体" w:hAnsi="宋体"/>
                <w:color w:val="auto"/>
                <w:szCs w:val="21"/>
              </w:rPr>
              <w:t>见</w:t>
            </w:r>
            <w:r>
              <w:rPr>
                <w:rFonts w:hint="eastAsia" w:ascii="宋体" w:hAnsi="宋体"/>
                <w:color w:val="auto"/>
                <w:szCs w:val="21"/>
              </w:rPr>
              <w:t>磋商</w:t>
            </w:r>
            <w:r>
              <w:rPr>
                <w:rFonts w:ascii="宋体" w:hAnsi="宋体"/>
                <w:color w:val="auto"/>
                <w:szCs w:val="21"/>
              </w:rPr>
              <w:t>公告</w:t>
            </w:r>
            <w:r>
              <w:rPr>
                <w:rFonts w:hint="eastAsia" w:ascii="宋体" w:hAnsi="宋体"/>
                <w:color w:val="auto"/>
                <w:szCs w:val="21"/>
              </w:rPr>
              <w:t>。</w:t>
            </w:r>
          </w:p>
        </w:tc>
      </w:tr>
      <w:tr w14:paraId="225ED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3C6CF915">
            <w:pPr>
              <w:spacing w:line="300" w:lineRule="exact"/>
              <w:jc w:val="center"/>
              <w:rPr>
                <w:rFonts w:ascii="宋体" w:hAnsi="宋体"/>
                <w:b/>
                <w:color w:val="auto"/>
                <w:szCs w:val="21"/>
              </w:rPr>
            </w:pPr>
            <w:bookmarkStart w:id="22" w:name="_Hlk85555568"/>
            <w:r>
              <w:rPr>
                <w:rFonts w:ascii="宋体" w:hAnsi="宋体"/>
                <w:b/>
                <w:color w:val="auto"/>
                <w:szCs w:val="21"/>
              </w:rPr>
              <w:t>1.5.3</w:t>
            </w:r>
          </w:p>
        </w:tc>
        <w:tc>
          <w:tcPr>
            <w:tcW w:w="1248" w:type="dxa"/>
            <w:tcBorders>
              <w:top w:val="single" w:color="auto" w:sz="4" w:space="0"/>
              <w:left w:val="single" w:color="auto" w:sz="4" w:space="0"/>
              <w:right w:val="single" w:color="auto" w:sz="4" w:space="0"/>
            </w:tcBorders>
            <w:vAlign w:val="center"/>
          </w:tcPr>
          <w:p w14:paraId="42F83132">
            <w:pPr>
              <w:spacing w:line="300" w:lineRule="exact"/>
              <w:jc w:val="center"/>
              <w:rPr>
                <w:rFonts w:ascii="宋体" w:hAnsi="宋体"/>
                <w:color w:val="auto"/>
                <w:szCs w:val="21"/>
              </w:rPr>
            </w:pPr>
            <w:r>
              <w:rPr>
                <w:rFonts w:hint="eastAsia" w:ascii="宋体" w:hAnsi="宋体"/>
                <w:color w:val="auto"/>
                <w:szCs w:val="21"/>
              </w:rPr>
              <w:t>联合体</w:t>
            </w:r>
          </w:p>
        </w:tc>
        <w:tc>
          <w:tcPr>
            <w:tcW w:w="7229" w:type="dxa"/>
            <w:tcBorders>
              <w:top w:val="single" w:color="auto" w:sz="4" w:space="0"/>
              <w:left w:val="single" w:color="auto" w:sz="4" w:space="0"/>
              <w:right w:val="single" w:color="auto" w:sz="4" w:space="0"/>
            </w:tcBorders>
            <w:vAlign w:val="center"/>
          </w:tcPr>
          <w:p w14:paraId="79B11BB6">
            <w:pPr>
              <w:spacing w:line="300" w:lineRule="exact"/>
              <w:jc w:val="left"/>
              <w:rPr>
                <w:rFonts w:ascii="宋体" w:hAnsi="宋体"/>
                <w:color w:val="auto"/>
                <w:szCs w:val="21"/>
              </w:rPr>
            </w:pPr>
            <w:r>
              <w:rPr>
                <w:rFonts w:hint="eastAsia" w:ascii="宋体" w:hAnsi="宋体"/>
                <w:color w:val="auto"/>
                <w:szCs w:val="21"/>
              </w:rPr>
              <w:t>是否接受联合体详见磋商公告</w:t>
            </w:r>
          </w:p>
        </w:tc>
      </w:tr>
      <w:bookmarkEnd w:id="22"/>
      <w:tr w14:paraId="64F9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6908454">
            <w:pPr>
              <w:spacing w:line="300" w:lineRule="exact"/>
              <w:jc w:val="center"/>
              <w:rPr>
                <w:rFonts w:ascii="宋体" w:hAnsi="宋体"/>
                <w:b/>
                <w:color w:val="auto"/>
                <w:szCs w:val="21"/>
              </w:rPr>
            </w:pPr>
            <w:r>
              <w:rPr>
                <w:rFonts w:ascii="宋体" w:hAnsi="宋体"/>
                <w:b/>
                <w:color w:val="auto"/>
                <w:szCs w:val="21"/>
              </w:rPr>
              <w:t>1.6</w:t>
            </w:r>
          </w:p>
        </w:tc>
        <w:tc>
          <w:tcPr>
            <w:tcW w:w="1248" w:type="dxa"/>
            <w:tcBorders>
              <w:top w:val="single" w:color="auto" w:sz="4" w:space="0"/>
              <w:left w:val="single" w:color="auto" w:sz="4" w:space="0"/>
              <w:bottom w:val="single" w:color="auto" w:sz="4" w:space="0"/>
              <w:right w:val="single" w:color="auto" w:sz="4" w:space="0"/>
            </w:tcBorders>
            <w:vAlign w:val="center"/>
          </w:tcPr>
          <w:p w14:paraId="644E7F66">
            <w:pPr>
              <w:spacing w:line="300" w:lineRule="exact"/>
              <w:jc w:val="center"/>
              <w:rPr>
                <w:rFonts w:ascii="宋体" w:hAnsi="宋体"/>
                <w:color w:val="auto"/>
                <w:szCs w:val="21"/>
              </w:rPr>
            </w:pPr>
            <w:r>
              <w:rPr>
                <w:rFonts w:hint="eastAsia" w:ascii="宋体" w:hAnsi="宋体"/>
                <w:color w:val="auto"/>
                <w:szCs w:val="21"/>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02838363">
            <w:pPr>
              <w:pStyle w:val="18"/>
              <w:rPr>
                <w:rFonts w:ascii="宋体" w:hAnsi="宋体"/>
                <w:color w:val="auto"/>
                <w:szCs w:val="21"/>
              </w:rPr>
            </w:pPr>
            <w:r>
              <w:rPr>
                <w:rFonts w:hint="eastAsia" w:ascii="宋体" w:hAnsi="宋体"/>
                <w:color w:val="auto"/>
                <w:szCs w:val="21"/>
              </w:rPr>
              <w:t xml:space="preserve">不组织 </w:t>
            </w:r>
          </w:p>
        </w:tc>
      </w:tr>
      <w:tr w14:paraId="33C37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20511EC2">
            <w:pPr>
              <w:spacing w:line="300" w:lineRule="exact"/>
              <w:jc w:val="center"/>
              <w:rPr>
                <w:rFonts w:ascii="宋体" w:hAnsi="宋体"/>
                <w:b/>
                <w:color w:val="auto"/>
                <w:szCs w:val="21"/>
              </w:rPr>
            </w:pPr>
            <w:r>
              <w:rPr>
                <w:rFonts w:ascii="宋体" w:hAnsi="宋体"/>
                <w:b/>
                <w:color w:val="auto"/>
                <w:szCs w:val="21"/>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5B66E61B">
            <w:pPr>
              <w:spacing w:line="300" w:lineRule="exact"/>
              <w:jc w:val="center"/>
              <w:rPr>
                <w:rFonts w:ascii="宋体" w:hAnsi="宋体"/>
                <w:color w:val="auto"/>
                <w:szCs w:val="21"/>
              </w:rPr>
            </w:pPr>
            <w:r>
              <w:rPr>
                <w:rFonts w:ascii="宋体" w:hAnsi="宋体"/>
                <w:color w:val="auto"/>
                <w:szCs w:val="21"/>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50DF7C56">
            <w:pPr>
              <w:spacing w:line="300" w:lineRule="exact"/>
              <w:jc w:val="left"/>
              <w:rPr>
                <w:rFonts w:ascii="宋体" w:hAnsi="宋体"/>
                <w:color w:val="auto"/>
                <w:szCs w:val="21"/>
              </w:rPr>
            </w:pPr>
            <w:r>
              <w:rPr>
                <w:rFonts w:hint="eastAsia" w:ascii="宋体" w:hAnsi="宋体"/>
                <w:color w:val="auto"/>
                <w:szCs w:val="21"/>
              </w:rPr>
              <w:t>是否接受分包详见磋商公告</w:t>
            </w:r>
          </w:p>
        </w:tc>
      </w:tr>
      <w:tr w14:paraId="03F9A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3EF1C28E">
            <w:pPr>
              <w:spacing w:line="300" w:lineRule="exact"/>
              <w:jc w:val="center"/>
              <w:rPr>
                <w:rFonts w:ascii="宋体" w:hAnsi="宋体"/>
                <w:b/>
                <w:color w:val="auto"/>
                <w:szCs w:val="21"/>
              </w:rPr>
            </w:pPr>
            <w:r>
              <w:rPr>
                <w:rFonts w:hint="eastAsia" w:ascii="宋体" w:hAnsi="宋体"/>
                <w:b/>
                <w:color w:val="auto"/>
                <w:szCs w:val="21"/>
              </w:rPr>
              <w:t>1.9</w:t>
            </w:r>
          </w:p>
        </w:tc>
        <w:tc>
          <w:tcPr>
            <w:tcW w:w="1248" w:type="dxa"/>
            <w:tcBorders>
              <w:top w:val="single" w:color="auto" w:sz="4" w:space="0"/>
              <w:left w:val="single" w:color="auto" w:sz="4" w:space="0"/>
              <w:bottom w:val="single" w:color="auto" w:sz="4" w:space="0"/>
              <w:right w:val="single" w:color="auto" w:sz="4" w:space="0"/>
            </w:tcBorders>
            <w:vAlign w:val="center"/>
          </w:tcPr>
          <w:p w14:paraId="425FDCC1">
            <w:pPr>
              <w:spacing w:line="300" w:lineRule="exact"/>
              <w:jc w:val="center"/>
              <w:rPr>
                <w:rFonts w:ascii="宋体" w:hAnsi="宋体"/>
                <w:color w:val="auto"/>
                <w:szCs w:val="21"/>
              </w:rPr>
            </w:pPr>
            <w:r>
              <w:rPr>
                <w:rFonts w:hint="eastAsia" w:ascii="宋体" w:hAnsi="宋体"/>
                <w:color w:val="auto"/>
                <w:szCs w:val="21"/>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3D265204">
            <w:pPr>
              <w:spacing w:line="300" w:lineRule="exact"/>
              <w:jc w:val="left"/>
              <w:rPr>
                <w:rFonts w:ascii="宋体" w:hAnsi="宋体"/>
                <w:color w:val="auto"/>
                <w:szCs w:val="21"/>
              </w:rPr>
            </w:pPr>
            <w:r>
              <w:rPr>
                <w:rFonts w:hint="eastAsia" w:ascii="宋体" w:hAnsi="宋体"/>
                <w:color w:val="auto"/>
                <w:szCs w:val="21"/>
              </w:rPr>
              <w:t>不适用</w:t>
            </w:r>
          </w:p>
        </w:tc>
      </w:tr>
      <w:tr w14:paraId="39BBE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3C224F2">
            <w:pPr>
              <w:spacing w:line="300" w:lineRule="exact"/>
              <w:jc w:val="center"/>
              <w:rPr>
                <w:rFonts w:ascii="宋体" w:hAnsi="宋体"/>
                <w:b/>
                <w:color w:val="auto"/>
                <w:szCs w:val="21"/>
              </w:rPr>
            </w:pPr>
            <w:r>
              <w:rPr>
                <w:rFonts w:ascii="宋体" w:hAnsi="宋体"/>
                <w:b/>
                <w:color w:val="auto"/>
                <w:szCs w:val="21"/>
              </w:rPr>
              <w:t>2.3</w:t>
            </w:r>
          </w:p>
        </w:tc>
        <w:tc>
          <w:tcPr>
            <w:tcW w:w="1248" w:type="dxa"/>
            <w:tcBorders>
              <w:top w:val="single" w:color="auto" w:sz="4" w:space="0"/>
              <w:left w:val="single" w:color="auto" w:sz="4" w:space="0"/>
              <w:bottom w:val="single" w:color="auto" w:sz="4" w:space="0"/>
              <w:right w:val="single" w:color="auto" w:sz="4" w:space="0"/>
            </w:tcBorders>
            <w:vAlign w:val="center"/>
          </w:tcPr>
          <w:p w14:paraId="5F043085">
            <w:pPr>
              <w:spacing w:line="300" w:lineRule="exact"/>
              <w:jc w:val="center"/>
              <w:rPr>
                <w:rFonts w:ascii="宋体" w:hAnsi="宋体"/>
                <w:color w:val="auto"/>
                <w:szCs w:val="21"/>
              </w:rPr>
            </w:pPr>
            <w:r>
              <w:rPr>
                <w:rFonts w:hint="eastAsia" w:ascii="宋体" w:hAnsi="宋体"/>
                <w:color w:val="auto"/>
                <w:szCs w:val="21"/>
              </w:rPr>
              <w:t>采购文件</w:t>
            </w:r>
            <w:r>
              <w:rPr>
                <w:rFonts w:ascii="宋体" w:hAnsi="宋体"/>
                <w:color w:val="auto"/>
                <w:szCs w:val="21"/>
              </w:rPr>
              <w:t>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0F8F03A8">
            <w:pPr>
              <w:spacing w:line="300" w:lineRule="exact"/>
              <w:jc w:val="left"/>
              <w:rPr>
                <w:rFonts w:ascii="宋体" w:hAnsi="宋体"/>
                <w:color w:val="auto"/>
                <w:szCs w:val="21"/>
              </w:rPr>
            </w:pPr>
            <w:r>
              <w:rPr>
                <w:rFonts w:ascii="宋体" w:hAnsi="宋体"/>
                <w:color w:val="auto"/>
                <w:szCs w:val="21"/>
              </w:rPr>
              <w:t>在</w:t>
            </w:r>
            <w:r>
              <w:rPr>
                <w:rFonts w:hint="eastAsia" w:ascii="宋体" w:hAnsi="宋体"/>
                <w:color w:val="auto"/>
                <w:szCs w:val="21"/>
              </w:rPr>
              <w:t>磋商</w:t>
            </w:r>
            <w:r>
              <w:rPr>
                <w:rFonts w:ascii="宋体" w:hAnsi="宋体"/>
                <w:color w:val="auto"/>
                <w:szCs w:val="21"/>
              </w:rPr>
              <w:t>公告发布媒介发布</w:t>
            </w:r>
            <w:r>
              <w:rPr>
                <w:rFonts w:hint="eastAsia" w:ascii="宋体" w:hAnsi="宋体"/>
                <w:color w:val="auto"/>
                <w:szCs w:val="21"/>
              </w:rPr>
              <w:t>。</w:t>
            </w:r>
          </w:p>
        </w:tc>
      </w:tr>
      <w:tr w14:paraId="3C660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5114618D">
            <w:pPr>
              <w:spacing w:line="300" w:lineRule="exact"/>
              <w:jc w:val="center"/>
              <w:rPr>
                <w:rFonts w:ascii="宋体" w:hAnsi="宋体"/>
                <w:b/>
                <w:color w:val="auto"/>
                <w:szCs w:val="21"/>
              </w:rPr>
            </w:pPr>
            <w:r>
              <w:rPr>
                <w:rFonts w:ascii="宋体" w:hAnsi="宋体"/>
                <w:b/>
                <w:color w:val="auto"/>
                <w:szCs w:val="21"/>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F216838">
            <w:pPr>
              <w:spacing w:line="300" w:lineRule="exact"/>
              <w:jc w:val="center"/>
              <w:rPr>
                <w:rFonts w:ascii="宋体" w:hAnsi="宋体"/>
                <w:color w:val="auto"/>
                <w:szCs w:val="21"/>
              </w:rPr>
            </w:pPr>
            <w:r>
              <w:rPr>
                <w:rFonts w:ascii="宋体" w:hAnsi="宋体"/>
                <w:color w:val="auto"/>
                <w:szCs w:val="21"/>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79CE11A7">
            <w:pPr>
              <w:spacing w:line="300" w:lineRule="exact"/>
              <w:jc w:val="left"/>
              <w:rPr>
                <w:rFonts w:ascii="宋体" w:hAnsi="宋体"/>
                <w:color w:val="auto"/>
                <w:szCs w:val="21"/>
              </w:rPr>
            </w:pPr>
            <w:r>
              <w:rPr>
                <w:rFonts w:ascii="宋体" w:hAnsi="宋体"/>
                <w:color w:val="auto"/>
                <w:szCs w:val="21"/>
              </w:rPr>
              <w:t>澄清、修改文件</w:t>
            </w:r>
            <w:r>
              <w:rPr>
                <w:rFonts w:hint="eastAsia" w:ascii="宋体" w:hAnsi="宋体"/>
                <w:color w:val="auto"/>
                <w:szCs w:val="21"/>
              </w:rPr>
              <w:t>自磋商</w:t>
            </w:r>
            <w:r>
              <w:rPr>
                <w:rFonts w:ascii="宋体" w:hAnsi="宋体"/>
                <w:color w:val="auto"/>
                <w:szCs w:val="21"/>
              </w:rPr>
              <w:t>公告发布媒</w:t>
            </w:r>
            <w:r>
              <w:rPr>
                <w:rFonts w:hint="eastAsia" w:ascii="宋体" w:hAnsi="宋体"/>
                <w:color w:val="auto"/>
                <w:szCs w:val="21"/>
              </w:rPr>
              <w:t>体</w:t>
            </w:r>
            <w:r>
              <w:rPr>
                <w:rFonts w:ascii="宋体" w:hAnsi="宋体"/>
                <w:color w:val="auto"/>
                <w:szCs w:val="21"/>
              </w:rPr>
              <w:t>发布之日起，视为供应商已收到该澄清、修改。供应商未及时关注</w:t>
            </w:r>
            <w:r>
              <w:rPr>
                <w:rFonts w:hint="eastAsia" w:ascii="宋体" w:hAnsi="宋体"/>
                <w:color w:val="auto"/>
                <w:szCs w:val="21"/>
              </w:rPr>
              <w:t>磋商</w:t>
            </w:r>
            <w:r>
              <w:rPr>
                <w:rFonts w:ascii="宋体" w:hAnsi="宋体"/>
                <w:color w:val="auto"/>
                <w:szCs w:val="21"/>
              </w:rPr>
              <w:t>公告发布媒</w:t>
            </w:r>
            <w:r>
              <w:rPr>
                <w:rFonts w:hint="eastAsia" w:ascii="宋体" w:hAnsi="宋体"/>
                <w:color w:val="auto"/>
                <w:szCs w:val="21"/>
              </w:rPr>
              <w:t>体</w:t>
            </w:r>
            <w:r>
              <w:rPr>
                <w:rFonts w:ascii="宋体" w:hAnsi="宋体"/>
                <w:color w:val="auto"/>
                <w:szCs w:val="21"/>
              </w:rPr>
              <w:t>造成的损失，由供应商自行负责。</w:t>
            </w:r>
          </w:p>
        </w:tc>
      </w:tr>
      <w:tr w14:paraId="040A3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0F537BC7">
            <w:pPr>
              <w:spacing w:line="300" w:lineRule="exact"/>
              <w:jc w:val="center"/>
              <w:rPr>
                <w:rFonts w:ascii="宋体" w:hAnsi="宋体"/>
                <w:b/>
                <w:color w:val="auto"/>
                <w:szCs w:val="21"/>
              </w:rPr>
            </w:pPr>
            <w:r>
              <w:rPr>
                <w:rFonts w:ascii="宋体" w:hAnsi="宋体"/>
                <w:b/>
                <w:color w:val="auto"/>
                <w:szCs w:val="21"/>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612E39DF">
            <w:pPr>
              <w:spacing w:line="300" w:lineRule="exact"/>
              <w:jc w:val="center"/>
              <w:rPr>
                <w:rFonts w:ascii="宋体" w:hAnsi="宋体"/>
                <w:color w:val="auto"/>
                <w:szCs w:val="21"/>
              </w:rPr>
            </w:pPr>
            <w:r>
              <w:rPr>
                <w:rFonts w:hint="eastAsia" w:ascii="宋体" w:hAnsi="宋体"/>
                <w:color w:val="auto"/>
                <w:szCs w:val="21"/>
              </w:rPr>
              <w:t>响应</w:t>
            </w:r>
            <w:r>
              <w:rPr>
                <w:rFonts w:ascii="宋体" w:hAnsi="宋体"/>
                <w:color w:val="auto"/>
                <w:szCs w:val="21"/>
              </w:rPr>
              <w:t>有效期</w:t>
            </w:r>
          </w:p>
        </w:tc>
        <w:tc>
          <w:tcPr>
            <w:tcW w:w="7229" w:type="dxa"/>
            <w:tcBorders>
              <w:top w:val="single" w:color="auto" w:sz="4" w:space="0"/>
              <w:left w:val="single" w:color="auto" w:sz="4" w:space="0"/>
              <w:bottom w:val="single" w:color="auto" w:sz="4" w:space="0"/>
              <w:right w:val="single" w:color="auto" w:sz="4" w:space="0"/>
            </w:tcBorders>
            <w:vAlign w:val="center"/>
          </w:tcPr>
          <w:p w14:paraId="1E70156A">
            <w:pPr>
              <w:spacing w:line="300" w:lineRule="exact"/>
              <w:jc w:val="left"/>
              <w:rPr>
                <w:rFonts w:ascii="宋体" w:hAnsi="宋体"/>
                <w:color w:val="auto"/>
                <w:szCs w:val="21"/>
              </w:rPr>
            </w:pPr>
            <w:r>
              <w:rPr>
                <w:rFonts w:ascii="宋体" w:hAnsi="宋体"/>
                <w:color w:val="auto"/>
                <w:szCs w:val="21"/>
              </w:rPr>
              <w:t>响应截止之日起90天。</w:t>
            </w:r>
          </w:p>
        </w:tc>
      </w:tr>
      <w:tr w14:paraId="0A442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A45DF53">
            <w:pPr>
              <w:spacing w:line="300" w:lineRule="exact"/>
              <w:jc w:val="center"/>
              <w:rPr>
                <w:rFonts w:ascii="宋体" w:hAnsi="宋体"/>
                <w:b/>
                <w:color w:val="auto"/>
                <w:szCs w:val="21"/>
              </w:rPr>
            </w:pPr>
            <w:r>
              <w:rPr>
                <w:rFonts w:ascii="宋体" w:hAnsi="宋体"/>
                <w:b/>
                <w:color w:val="auto"/>
                <w:szCs w:val="21"/>
              </w:rPr>
              <w:t>3.5</w:t>
            </w:r>
          </w:p>
        </w:tc>
        <w:tc>
          <w:tcPr>
            <w:tcW w:w="1248" w:type="dxa"/>
            <w:tcBorders>
              <w:top w:val="single" w:color="auto" w:sz="4" w:space="0"/>
              <w:left w:val="single" w:color="auto" w:sz="4" w:space="0"/>
              <w:bottom w:val="single" w:color="auto" w:sz="4" w:space="0"/>
              <w:right w:val="single" w:color="auto" w:sz="4" w:space="0"/>
            </w:tcBorders>
            <w:vAlign w:val="center"/>
          </w:tcPr>
          <w:p w14:paraId="5B0AF3B9">
            <w:pPr>
              <w:spacing w:line="300" w:lineRule="exact"/>
              <w:jc w:val="center"/>
              <w:rPr>
                <w:rFonts w:ascii="宋体" w:hAnsi="宋体"/>
                <w:color w:val="auto"/>
                <w:szCs w:val="21"/>
              </w:rPr>
            </w:pPr>
            <w:r>
              <w:rPr>
                <w:rFonts w:hint="eastAsia" w:ascii="宋体" w:hAnsi="宋体"/>
                <w:color w:val="auto"/>
                <w:szCs w:val="21"/>
              </w:rPr>
              <w:t>磋商</w:t>
            </w:r>
            <w:r>
              <w:rPr>
                <w:rFonts w:ascii="宋体" w:hAnsi="宋体"/>
                <w:color w:val="auto"/>
                <w:szCs w:val="21"/>
              </w:rPr>
              <w:t>保证金</w:t>
            </w:r>
          </w:p>
        </w:tc>
        <w:tc>
          <w:tcPr>
            <w:tcW w:w="7229" w:type="dxa"/>
            <w:tcBorders>
              <w:top w:val="single" w:color="auto" w:sz="4" w:space="0"/>
              <w:left w:val="single" w:color="auto" w:sz="4" w:space="0"/>
              <w:bottom w:val="single" w:color="auto" w:sz="4" w:space="0"/>
              <w:right w:val="single" w:color="auto" w:sz="4" w:space="0"/>
            </w:tcBorders>
            <w:vAlign w:val="center"/>
          </w:tcPr>
          <w:p w14:paraId="0FA7F45F">
            <w:pPr>
              <w:spacing w:line="312" w:lineRule="auto"/>
              <w:jc w:val="left"/>
              <w:rPr>
                <w:rFonts w:ascii="宋体" w:hAnsi="宋体"/>
                <w:color w:val="auto"/>
                <w:kern w:val="0"/>
                <w:szCs w:val="21"/>
              </w:rPr>
            </w:pPr>
            <w:r>
              <w:rPr>
                <w:rFonts w:hint="eastAsia" w:ascii="宋体" w:hAnsi="宋体"/>
                <w:color w:val="auto"/>
                <w:szCs w:val="21"/>
              </w:rPr>
              <w:t>磋商</w:t>
            </w:r>
            <w:r>
              <w:rPr>
                <w:rFonts w:ascii="宋体" w:hAnsi="宋体"/>
                <w:color w:val="auto"/>
                <w:szCs w:val="21"/>
              </w:rPr>
              <w:t>保证</w:t>
            </w:r>
            <w:r>
              <w:rPr>
                <w:rFonts w:hint="eastAsia" w:ascii="宋体" w:hAnsi="宋体"/>
                <w:color w:val="auto"/>
                <w:szCs w:val="21"/>
              </w:rPr>
              <w:t>金金额：1分标：人民币壹万元整（</w:t>
            </w:r>
            <w:r>
              <w:rPr>
                <w:rFonts w:ascii="宋体" w:hAnsi="宋体"/>
                <w:color w:val="auto"/>
                <w:szCs w:val="21"/>
              </w:rPr>
              <w:t>¥</w:t>
            </w:r>
            <w:r>
              <w:rPr>
                <w:rFonts w:hint="eastAsia" w:ascii="宋体" w:hAnsi="宋体"/>
                <w:color w:val="auto"/>
                <w:szCs w:val="21"/>
              </w:rPr>
              <w:t>1</w:t>
            </w:r>
            <w:r>
              <w:rPr>
                <w:rFonts w:ascii="宋体" w:hAnsi="宋体"/>
                <w:color w:val="auto"/>
                <w:szCs w:val="21"/>
              </w:rPr>
              <w:t>0,000.00</w:t>
            </w:r>
            <w:r>
              <w:rPr>
                <w:rFonts w:hint="eastAsia" w:ascii="宋体" w:hAnsi="宋体"/>
                <w:color w:val="auto"/>
                <w:szCs w:val="21"/>
              </w:rPr>
              <w:t>）。2分标：人民币贰仟元整（</w:t>
            </w:r>
            <w:r>
              <w:rPr>
                <w:rFonts w:ascii="宋体" w:hAnsi="宋体"/>
                <w:color w:val="auto"/>
                <w:szCs w:val="21"/>
              </w:rPr>
              <w:t>¥</w:t>
            </w:r>
            <w:r>
              <w:rPr>
                <w:rFonts w:hint="eastAsia" w:ascii="宋体" w:hAnsi="宋体"/>
                <w:color w:val="auto"/>
                <w:szCs w:val="21"/>
              </w:rPr>
              <w:t>2</w:t>
            </w:r>
            <w:r>
              <w:rPr>
                <w:rFonts w:ascii="宋体" w:hAnsi="宋体"/>
                <w:color w:val="auto"/>
                <w:szCs w:val="21"/>
              </w:rPr>
              <w:t>,000.00</w:t>
            </w:r>
            <w:r>
              <w:rPr>
                <w:rFonts w:hint="eastAsia" w:ascii="宋体" w:hAnsi="宋体"/>
                <w:color w:val="auto"/>
                <w:szCs w:val="21"/>
              </w:rPr>
              <w:t>）。3分标：人民币伍佰元整（</w:t>
            </w:r>
            <w:r>
              <w:rPr>
                <w:rFonts w:ascii="宋体" w:hAnsi="宋体"/>
                <w:color w:val="auto"/>
                <w:szCs w:val="21"/>
              </w:rPr>
              <w:t>¥500.00</w:t>
            </w:r>
            <w:r>
              <w:rPr>
                <w:rFonts w:hint="eastAsia" w:ascii="宋体" w:hAnsi="宋体"/>
                <w:color w:val="auto"/>
                <w:szCs w:val="21"/>
              </w:rPr>
              <w:t>）。4分标：人民币叁仟元整（</w:t>
            </w:r>
            <w:r>
              <w:rPr>
                <w:rFonts w:ascii="宋体" w:hAnsi="宋体"/>
                <w:color w:val="auto"/>
                <w:szCs w:val="21"/>
              </w:rPr>
              <w:t>¥</w:t>
            </w:r>
            <w:r>
              <w:rPr>
                <w:rFonts w:hint="eastAsia" w:ascii="宋体" w:hAnsi="宋体"/>
                <w:color w:val="auto"/>
                <w:szCs w:val="21"/>
              </w:rPr>
              <w:t>3</w:t>
            </w:r>
            <w:r>
              <w:rPr>
                <w:rFonts w:ascii="宋体" w:hAnsi="宋体"/>
                <w:color w:val="auto"/>
                <w:szCs w:val="21"/>
              </w:rPr>
              <w:t>,000.00</w:t>
            </w:r>
            <w:r>
              <w:rPr>
                <w:rFonts w:hint="eastAsia" w:ascii="宋体" w:hAnsi="宋体"/>
                <w:color w:val="auto"/>
                <w:szCs w:val="21"/>
              </w:rPr>
              <w:t>）。5分标：人民币柒仟元整（</w:t>
            </w:r>
            <w:r>
              <w:rPr>
                <w:rFonts w:ascii="宋体" w:hAnsi="宋体"/>
                <w:color w:val="auto"/>
                <w:szCs w:val="21"/>
              </w:rPr>
              <w:t>¥</w:t>
            </w:r>
            <w:r>
              <w:rPr>
                <w:rFonts w:hint="eastAsia" w:ascii="宋体" w:hAnsi="宋体"/>
                <w:color w:val="auto"/>
                <w:szCs w:val="21"/>
              </w:rPr>
              <w:t>7</w:t>
            </w:r>
            <w:r>
              <w:rPr>
                <w:rFonts w:ascii="宋体" w:hAnsi="宋体"/>
                <w:color w:val="auto"/>
                <w:szCs w:val="21"/>
              </w:rPr>
              <w:t>,000.00</w:t>
            </w:r>
            <w:r>
              <w:rPr>
                <w:rFonts w:hint="eastAsia" w:ascii="宋体" w:hAnsi="宋体"/>
                <w:color w:val="auto"/>
                <w:szCs w:val="21"/>
              </w:rPr>
              <w:t>）。6分标：人民币肆仟元整（</w:t>
            </w:r>
            <w:r>
              <w:rPr>
                <w:rFonts w:ascii="宋体" w:hAnsi="宋体"/>
                <w:color w:val="auto"/>
                <w:szCs w:val="21"/>
              </w:rPr>
              <w:t>¥</w:t>
            </w:r>
            <w:r>
              <w:rPr>
                <w:rFonts w:hint="eastAsia" w:ascii="宋体" w:hAnsi="宋体"/>
                <w:color w:val="auto"/>
                <w:szCs w:val="21"/>
              </w:rPr>
              <w:t>4</w:t>
            </w:r>
            <w:r>
              <w:rPr>
                <w:rFonts w:ascii="宋体" w:hAnsi="宋体"/>
                <w:color w:val="auto"/>
                <w:szCs w:val="21"/>
              </w:rPr>
              <w:t>,000.00</w:t>
            </w:r>
            <w:r>
              <w:rPr>
                <w:rFonts w:hint="eastAsia" w:ascii="宋体" w:hAnsi="宋体"/>
                <w:color w:val="auto"/>
                <w:szCs w:val="21"/>
              </w:rPr>
              <w:t>）。</w:t>
            </w:r>
          </w:p>
          <w:p w14:paraId="7FAC9DAA">
            <w:pPr>
              <w:spacing w:line="300" w:lineRule="exact"/>
              <w:jc w:val="left"/>
              <w:rPr>
                <w:rFonts w:ascii="宋体" w:hAnsi="宋体"/>
                <w:color w:val="auto"/>
                <w:szCs w:val="21"/>
              </w:rPr>
            </w:pPr>
            <w:r>
              <w:rPr>
                <w:rFonts w:hint="eastAsia" w:ascii="宋体" w:hAnsi="宋体"/>
                <w:color w:val="auto"/>
                <w:szCs w:val="21"/>
              </w:rPr>
              <w:t>1、缴纳方式一：</w:t>
            </w:r>
          </w:p>
          <w:p w14:paraId="3133F841">
            <w:pPr>
              <w:spacing w:line="300" w:lineRule="exact"/>
              <w:jc w:val="left"/>
              <w:rPr>
                <w:rFonts w:ascii="宋体" w:hAnsi="宋体"/>
                <w:color w:val="auto"/>
                <w:szCs w:val="21"/>
              </w:rPr>
            </w:pPr>
            <w:r>
              <w:rPr>
                <w:rFonts w:hint="eastAsia" w:ascii="宋体" w:hAnsi="宋体"/>
                <w:color w:val="auto"/>
                <w:szCs w:val="21"/>
              </w:rPr>
              <w:t>（1）</w:t>
            </w:r>
            <w:r>
              <w:rPr>
                <w:rFonts w:ascii="宋体" w:hAnsi="宋体"/>
                <w:color w:val="auto"/>
                <w:szCs w:val="21"/>
              </w:rPr>
              <w:t>供应商应于</w:t>
            </w:r>
            <w:r>
              <w:rPr>
                <w:rFonts w:hint="eastAsia" w:ascii="宋体" w:hAnsi="宋体"/>
                <w:color w:val="auto"/>
                <w:szCs w:val="21"/>
              </w:rPr>
              <w:t>响应截止</w:t>
            </w:r>
            <w:r>
              <w:rPr>
                <w:rFonts w:ascii="宋体" w:hAnsi="宋体"/>
                <w:color w:val="auto"/>
                <w:szCs w:val="21"/>
              </w:rPr>
              <w:t>时间前将</w:t>
            </w:r>
            <w:r>
              <w:rPr>
                <w:rFonts w:hint="eastAsia" w:ascii="宋体" w:hAnsi="宋体"/>
                <w:color w:val="auto"/>
                <w:szCs w:val="21"/>
              </w:rPr>
              <w:t>磋商</w:t>
            </w:r>
            <w:r>
              <w:rPr>
                <w:rFonts w:ascii="宋体" w:hAnsi="宋体"/>
                <w:color w:val="auto"/>
                <w:szCs w:val="21"/>
              </w:rPr>
              <w:t>保证金以电汇、转账形式从供应商账户一次性足额</w:t>
            </w:r>
            <w:r>
              <w:rPr>
                <w:rFonts w:hint="eastAsia" w:ascii="宋体" w:hAnsi="宋体"/>
                <w:color w:val="auto"/>
                <w:szCs w:val="21"/>
              </w:rPr>
              <w:t>缴</w:t>
            </w:r>
            <w:r>
              <w:rPr>
                <w:rFonts w:ascii="宋体" w:hAnsi="宋体"/>
                <w:color w:val="auto"/>
                <w:szCs w:val="21"/>
              </w:rPr>
              <w:t>纳至本项目（各</w:t>
            </w:r>
            <w:r>
              <w:rPr>
                <w:rFonts w:hint="eastAsia" w:ascii="宋体" w:hAnsi="宋体"/>
                <w:color w:val="auto"/>
                <w:szCs w:val="21"/>
              </w:rPr>
              <w:t>分标</w:t>
            </w:r>
            <w:r>
              <w:rPr>
                <w:rFonts w:ascii="宋体" w:hAnsi="宋体"/>
                <w:color w:val="auto"/>
                <w:szCs w:val="21"/>
              </w:rPr>
              <w:t>）对应的专用虚拟账号，所交纳的磋商保证金仅限当次项目（</w:t>
            </w:r>
            <w:r>
              <w:rPr>
                <w:rFonts w:hint="eastAsia" w:ascii="宋体" w:hAnsi="宋体"/>
                <w:color w:val="auto"/>
                <w:szCs w:val="21"/>
              </w:rPr>
              <w:t>分标</w:t>
            </w:r>
            <w:r>
              <w:rPr>
                <w:rFonts w:ascii="宋体" w:hAnsi="宋体"/>
                <w:color w:val="auto"/>
                <w:szCs w:val="21"/>
              </w:rPr>
              <w:t>）有效，不得重复替代使用。本项目磋商保证金</w:t>
            </w:r>
            <w:r>
              <w:rPr>
                <w:rFonts w:hint="eastAsia" w:ascii="宋体" w:hAnsi="宋体"/>
                <w:color w:val="auto"/>
                <w:szCs w:val="21"/>
              </w:rPr>
              <w:t>缴</w:t>
            </w:r>
            <w:r>
              <w:rPr>
                <w:rFonts w:ascii="宋体" w:hAnsi="宋体"/>
                <w:color w:val="auto"/>
                <w:szCs w:val="21"/>
              </w:rPr>
              <w:t>纳专用虚拟账号信息</w:t>
            </w:r>
            <w:r>
              <w:rPr>
                <w:rFonts w:hint="eastAsia" w:ascii="宋体" w:hAnsi="宋体"/>
                <w:color w:val="auto"/>
                <w:szCs w:val="21"/>
              </w:rPr>
              <w:t>如下：</w:t>
            </w:r>
          </w:p>
          <w:p w14:paraId="6731046C">
            <w:pPr>
              <w:spacing w:line="300" w:lineRule="exact"/>
              <w:jc w:val="left"/>
              <w:rPr>
                <w:rFonts w:ascii="宋体" w:hAnsi="宋体"/>
                <w:color w:val="auto"/>
                <w:szCs w:val="21"/>
              </w:rPr>
            </w:pPr>
            <w:r>
              <w:rPr>
                <w:rFonts w:hint="eastAsia" w:ascii="宋体" w:hAnsi="宋体"/>
                <w:color w:val="auto"/>
                <w:szCs w:val="21"/>
              </w:rPr>
              <w:t>开户名称：广西机电设备招标有限公司</w:t>
            </w:r>
          </w:p>
          <w:p w14:paraId="44C6F8BE">
            <w:pPr>
              <w:spacing w:line="300" w:lineRule="exact"/>
              <w:jc w:val="left"/>
              <w:rPr>
                <w:rFonts w:ascii="宋体" w:hAnsi="宋体"/>
                <w:color w:val="auto"/>
                <w:szCs w:val="21"/>
              </w:rPr>
            </w:pPr>
            <w:r>
              <w:rPr>
                <w:rFonts w:hint="eastAsia" w:ascii="宋体" w:hAnsi="宋体"/>
                <w:color w:val="auto"/>
                <w:szCs w:val="21"/>
              </w:rPr>
              <w:t>开户银行：平安银行南宁分行营业部</w:t>
            </w:r>
          </w:p>
          <w:p w14:paraId="7B3C7CAC">
            <w:pPr>
              <w:spacing w:line="300" w:lineRule="exact"/>
              <w:jc w:val="left"/>
              <w:rPr>
                <w:rFonts w:hint="eastAsia" w:ascii="宋体" w:hAnsi="宋体"/>
                <w:color w:val="auto"/>
                <w:szCs w:val="21"/>
              </w:rPr>
            </w:pPr>
            <w:r>
              <w:rPr>
                <w:rFonts w:hint="eastAsia" w:ascii="宋体" w:hAnsi="宋体"/>
                <w:color w:val="auto"/>
                <w:szCs w:val="21"/>
              </w:rPr>
              <w:t>银行账号：</w:t>
            </w:r>
          </w:p>
          <w:p w14:paraId="4E773E63">
            <w:pPr>
              <w:spacing w:line="300" w:lineRule="exact"/>
              <w:jc w:val="left"/>
              <w:rPr>
                <w:rFonts w:hint="eastAsia" w:ascii="宋体" w:hAnsi="宋体"/>
                <w:color w:val="auto"/>
                <w:szCs w:val="21"/>
              </w:rPr>
            </w:pPr>
            <w:r>
              <w:rPr>
                <w:rFonts w:hint="eastAsia" w:ascii="宋体" w:hAnsi="宋体"/>
                <w:color w:val="auto"/>
                <w:szCs w:val="21"/>
              </w:rPr>
              <w:t>1分标：30210485991404；</w:t>
            </w:r>
          </w:p>
          <w:p w14:paraId="7E199DBF">
            <w:pPr>
              <w:spacing w:line="300" w:lineRule="exact"/>
              <w:jc w:val="left"/>
              <w:rPr>
                <w:rFonts w:hint="eastAsia" w:ascii="宋体" w:hAnsi="宋体"/>
                <w:color w:val="auto"/>
                <w:szCs w:val="21"/>
              </w:rPr>
            </w:pPr>
            <w:r>
              <w:rPr>
                <w:rFonts w:hint="eastAsia" w:ascii="宋体" w:hAnsi="宋体"/>
                <w:color w:val="auto"/>
                <w:szCs w:val="21"/>
              </w:rPr>
              <w:t>2分标：30210485676881；</w:t>
            </w:r>
          </w:p>
          <w:p w14:paraId="3A3CA3EC">
            <w:pPr>
              <w:spacing w:line="300" w:lineRule="exact"/>
              <w:jc w:val="left"/>
              <w:rPr>
                <w:rFonts w:hint="eastAsia" w:ascii="宋体" w:hAnsi="宋体"/>
                <w:color w:val="auto"/>
                <w:szCs w:val="21"/>
              </w:rPr>
            </w:pPr>
            <w:r>
              <w:rPr>
                <w:rFonts w:hint="eastAsia" w:ascii="宋体" w:hAnsi="宋体"/>
                <w:color w:val="auto"/>
                <w:szCs w:val="21"/>
              </w:rPr>
              <w:t>3分标：30210485362358；</w:t>
            </w:r>
          </w:p>
          <w:p w14:paraId="591C009B">
            <w:pPr>
              <w:spacing w:line="300" w:lineRule="exact"/>
              <w:jc w:val="left"/>
              <w:rPr>
                <w:rFonts w:hint="eastAsia" w:ascii="宋体" w:hAnsi="宋体"/>
                <w:color w:val="auto"/>
                <w:szCs w:val="21"/>
              </w:rPr>
            </w:pPr>
            <w:r>
              <w:rPr>
                <w:rFonts w:hint="eastAsia" w:ascii="宋体" w:hAnsi="宋体"/>
                <w:color w:val="auto"/>
                <w:szCs w:val="21"/>
              </w:rPr>
              <w:t>4分标：30210485047835；</w:t>
            </w:r>
          </w:p>
          <w:p w14:paraId="7FE91317">
            <w:pPr>
              <w:spacing w:line="300" w:lineRule="exact"/>
              <w:jc w:val="left"/>
              <w:rPr>
                <w:rFonts w:hint="eastAsia" w:ascii="宋体" w:hAnsi="宋体"/>
                <w:color w:val="auto"/>
                <w:szCs w:val="21"/>
              </w:rPr>
            </w:pPr>
            <w:r>
              <w:rPr>
                <w:rFonts w:hint="eastAsia" w:ascii="宋体" w:hAnsi="宋体"/>
                <w:color w:val="auto"/>
                <w:szCs w:val="21"/>
              </w:rPr>
              <w:t>5分标：30210485733312；</w:t>
            </w:r>
          </w:p>
          <w:p w14:paraId="63E9A80E">
            <w:pPr>
              <w:spacing w:line="300" w:lineRule="exact"/>
              <w:jc w:val="left"/>
              <w:rPr>
                <w:rFonts w:hint="eastAsia" w:ascii="宋体" w:hAnsi="宋体"/>
                <w:color w:val="auto"/>
                <w:szCs w:val="21"/>
              </w:rPr>
            </w:pPr>
            <w:r>
              <w:rPr>
                <w:rFonts w:hint="eastAsia" w:ascii="宋体" w:hAnsi="宋体"/>
                <w:color w:val="auto"/>
                <w:szCs w:val="21"/>
              </w:rPr>
              <w:t>6分标：30210485305927；</w:t>
            </w:r>
          </w:p>
          <w:p w14:paraId="074340B8">
            <w:pPr>
              <w:spacing w:line="300" w:lineRule="exact"/>
              <w:jc w:val="left"/>
              <w:rPr>
                <w:rFonts w:ascii="宋体" w:hAnsi="宋体"/>
                <w:color w:val="auto"/>
                <w:szCs w:val="21"/>
              </w:rPr>
            </w:pPr>
            <w:r>
              <w:rPr>
                <w:rFonts w:ascii="宋体" w:hAnsi="宋体"/>
                <w:color w:val="auto"/>
                <w:szCs w:val="21"/>
              </w:rPr>
              <w:t>特别说明：本项目保证金采用虚拟账号，为保证磋商保证金与项目一一对应，供应商如</w:t>
            </w:r>
            <w:r>
              <w:rPr>
                <w:rFonts w:hint="eastAsia" w:ascii="宋体" w:hAnsi="宋体"/>
                <w:color w:val="auto"/>
                <w:szCs w:val="21"/>
              </w:rPr>
              <w:t>参加</w:t>
            </w:r>
            <w:r>
              <w:rPr>
                <w:rFonts w:ascii="宋体" w:hAnsi="宋体"/>
                <w:color w:val="auto"/>
                <w:szCs w:val="21"/>
              </w:rPr>
              <w:t>本项目多个</w:t>
            </w:r>
            <w:r>
              <w:rPr>
                <w:rFonts w:hint="eastAsia" w:ascii="宋体" w:hAnsi="宋体"/>
                <w:color w:val="auto"/>
                <w:szCs w:val="21"/>
              </w:rPr>
              <w:t>分标</w:t>
            </w:r>
            <w:r>
              <w:rPr>
                <w:rFonts w:ascii="宋体" w:hAnsi="宋体"/>
                <w:color w:val="auto"/>
                <w:szCs w:val="21"/>
              </w:rPr>
              <w:t>的</w:t>
            </w:r>
            <w:r>
              <w:rPr>
                <w:rFonts w:hint="eastAsia" w:ascii="宋体" w:hAnsi="宋体"/>
                <w:color w:val="auto"/>
                <w:szCs w:val="21"/>
              </w:rPr>
              <w:t>响应</w:t>
            </w:r>
            <w:r>
              <w:rPr>
                <w:rFonts w:ascii="宋体" w:hAnsi="宋体"/>
                <w:color w:val="auto"/>
                <w:szCs w:val="21"/>
              </w:rPr>
              <w:t>，应按各</w:t>
            </w:r>
            <w:r>
              <w:rPr>
                <w:rFonts w:hint="eastAsia" w:ascii="宋体" w:hAnsi="宋体"/>
                <w:color w:val="auto"/>
                <w:szCs w:val="21"/>
              </w:rPr>
              <w:t>分标</w:t>
            </w:r>
            <w:r>
              <w:rPr>
                <w:rFonts w:ascii="宋体" w:hAnsi="宋体"/>
                <w:color w:val="auto"/>
                <w:szCs w:val="21"/>
              </w:rPr>
              <w:t>对应的专用虚拟账号分别</w:t>
            </w:r>
            <w:r>
              <w:rPr>
                <w:rFonts w:hint="eastAsia" w:ascii="宋体" w:hAnsi="宋体"/>
                <w:color w:val="auto"/>
                <w:szCs w:val="21"/>
              </w:rPr>
              <w:t>缴纳</w:t>
            </w:r>
            <w:r>
              <w:rPr>
                <w:rFonts w:ascii="宋体" w:hAnsi="宋体"/>
                <w:color w:val="auto"/>
                <w:szCs w:val="21"/>
              </w:rPr>
              <w:t>磋商保证金。</w:t>
            </w:r>
          </w:p>
          <w:p w14:paraId="6C19DB44">
            <w:pPr>
              <w:spacing w:line="300" w:lineRule="exact"/>
              <w:jc w:val="left"/>
              <w:rPr>
                <w:rFonts w:ascii="宋体" w:hAnsi="宋体"/>
                <w:color w:val="auto"/>
                <w:szCs w:val="21"/>
              </w:rPr>
            </w:pPr>
            <w:r>
              <w:rPr>
                <w:rFonts w:hint="eastAsia" w:ascii="宋体" w:hAnsi="宋体"/>
                <w:color w:val="auto"/>
                <w:szCs w:val="21"/>
              </w:rPr>
              <w:t>（2）</w:t>
            </w:r>
            <w:r>
              <w:rPr>
                <w:rFonts w:ascii="宋体" w:hAnsi="宋体"/>
                <w:color w:val="auto"/>
                <w:szCs w:val="21"/>
              </w:rPr>
              <w:t>磋商保证金币种应与响应报价币种相同。</w:t>
            </w:r>
            <w:r>
              <w:rPr>
                <w:rFonts w:hint="eastAsia" w:ascii="宋体" w:hAnsi="宋体"/>
                <w:color w:val="auto"/>
                <w:szCs w:val="21"/>
              </w:rPr>
              <w:t>磋商保证金缴纳</w:t>
            </w:r>
            <w:r>
              <w:rPr>
                <w:rFonts w:ascii="宋体" w:hAnsi="宋体"/>
                <w:color w:val="auto"/>
                <w:szCs w:val="21"/>
              </w:rPr>
              <w:t>后无需开具收据，</w:t>
            </w:r>
            <w:r>
              <w:rPr>
                <w:rFonts w:hint="eastAsia" w:ascii="宋体" w:hAnsi="宋体"/>
                <w:color w:val="auto"/>
                <w:szCs w:val="21"/>
              </w:rPr>
              <w:t>供应商应在响应文件中放入转账底单或电汇凭证的复印件，</w:t>
            </w:r>
            <w:r>
              <w:rPr>
                <w:rFonts w:ascii="宋体" w:hAnsi="宋体"/>
                <w:color w:val="auto"/>
                <w:szCs w:val="21"/>
              </w:rPr>
              <w:t>必须在</w:t>
            </w:r>
            <w:r>
              <w:rPr>
                <w:rFonts w:hint="eastAsia" w:ascii="宋体" w:hAnsi="宋体"/>
                <w:color w:val="auto"/>
                <w:szCs w:val="21"/>
              </w:rPr>
              <w:t>响应</w:t>
            </w:r>
            <w:r>
              <w:rPr>
                <w:rFonts w:ascii="宋体" w:hAnsi="宋体"/>
                <w:color w:val="auto"/>
                <w:szCs w:val="21"/>
              </w:rPr>
              <w:t>截</w:t>
            </w:r>
            <w:r>
              <w:rPr>
                <w:rFonts w:hint="eastAsia" w:ascii="宋体" w:hAnsi="宋体"/>
                <w:color w:val="auto"/>
                <w:szCs w:val="21"/>
              </w:rPr>
              <w:t>止</w:t>
            </w:r>
            <w:r>
              <w:rPr>
                <w:rFonts w:ascii="宋体" w:hAnsi="宋体"/>
                <w:color w:val="auto"/>
                <w:szCs w:val="21"/>
              </w:rPr>
              <w:t>时间之前到达指定账号，其到账时间以银行确认的到账时间为准。</w:t>
            </w:r>
          </w:p>
          <w:p w14:paraId="3E10D04C">
            <w:pPr>
              <w:spacing w:line="300" w:lineRule="exact"/>
              <w:jc w:val="left"/>
              <w:rPr>
                <w:rFonts w:ascii="宋体" w:hAnsi="宋体"/>
                <w:color w:val="auto"/>
                <w:szCs w:val="21"/>
              </w:rPr>
            </w:pPr>
            <w:r>
              <w:rPr>
                <w:rFonts w:hint="eastAsia" w:ascii="宋体" w:hAnsi="宋体"/>
                <w:color w:val="auto"/>
                <w:szCs w:val="21"/>
              </w:rPr>
              <w:t>（3）</w:t>
            </w:r>
            <w:r>
              <w:rPr>
                <w:rFonts w:ascii="宋体" w:hAnsi="宋体"/>
                <w:color w:val="auto"/>
                <w:szCs w:val="21"/>
              </w:rPr>
              <w:t>除</w:t>
            </w:r>
            <w:r>
              <w:rPr>
                <w:rFonts w:hint="eastAsia" w:ascii="宋体" w:hAnsi="宋体"/>
                <w:color w:val="auto"/>
                <w:szCs w:val="21"/>
              </w:rPr>
              <w:t>采购文件</w:t>
            </w:r>
            <w:r>
              <w:rPr>
                <w:rFonts w:ascii="宋体" w:hAnsi="宋体"/>
                <w:color w:val="auto"/>
                <w:szCs w:val="21"/>
              </w:rPr>
              <w:t>规定不予退还保证金的情形外，采购代理机构</w:t>
            </w:r>
            <w:r>
              <w:rPr>
                <w:rFonts w:hint="eastAsia" w:ascii="宋体" w:hAnsi="宋体"/>
                <w:color w:val="auto"/>
                <w:szCs w:val="21"/>
              </w:rPr>
              <w:t>在法定时间内通过银行原路</w:t>
            </w:r>
            <w:r>
              <w:rPr>
                <w:rFonts w:ascii="宋体" w:hAnsi="宋体"/>
                <w:color w:val="auto"/>
                <w:szCs w:val="21"/>
              </w:rPr>
              <w:t>退</w:t>
            </w:r>
            <w:r>
              <w:rPr>
                <w:rFonts w:hint="eastAsia" w:ascii="宋体" w:hAnsi="宋体"/>
                <w:color w:val="auto"/>
                <w:szCs w:val="21"/>
              </w:rPr>
              <w:t>还保证金至供应商缴纳账户。供应商</w:t>
            </w:r>
            <w:r>
              <w:rPr>
                <w:rFonts w:ascii="宋体" w:hAnsi="宋体"/>
                <w:color w:val="auto"/>
                <w:szCs w:val="21"/>
              </w:rPr>
              <w:t>自行承担</w:t>
            </w:r>
            <w:r>
              <w:rPr>
                <w:rFonts w:hint="eastAsia" w:ascii="宋体" w:hAnsi="宋体"/>
                <w:color w:val="auto"/>
                <w:szCs w:val="21"/>
              </w:rPr>
              <w:t>交纳保证金后未参加响应活动或磋商保证金缴纳错误而</w:t>
            </w:r>
            <w:r>
              <w:rPr>
                <w:rFonts w:ascii="宋体" w:hAnsi="宋体"/>
                <w:color w:val="auto"/>
                <w:szCs w:val="21"/>
              </w:rPr>
              <w:t>导致</w:t>
            </w:r>
            <w:r>
              <w:rPr>
                <w:rFonts w:hint="eastAsia" w:ascii="宋体" w:hAnsi="宋体"/>
                <w:color w:val="auto"/>
                <w:szCs w:val="21"/>
              </w:rPr>
              <w:t>磋商保证金</w:t>
            </w:r>
            <w:r>
              <w:rPr>
                <w:rFonts w:ascii="宋体" w:hAnsi="宋体"/>
                <w:color w:val="auto"/>
                <w:szCs w:val="21"/>
              </w:rPr>
              <w:t>无法及时退还的责任</w:t>
            </w:r>
            <w:r>
              <w:rPr>
                <w:rFonts w:hint="eastAsia" w:ascii="宋体" w:hAnsi="宋体"/>
                <w:color w:val="auto"/>
                <w:szCs w:val="21"/>
              </w:rPr>
              <w:t>。</w:t>
            </w:r>
          </w:p>
          <w:p w14:paraId="2C6D9BA3">
            <w:pPr>
              <w:spacing w:line="300" w:lineRule="exact"/>
              <w:jc w:val="left"/>
              <w:rPr>
                <w:rFonts w:ascii="宋体" w:hAnsi="宋体"/>
                <w:color w:val="auto"/>
                <w:szCs w:val="21"/>
              </w:rPr>
            </w:pPr>
            <w:r>
              <w:rPr>
                <w:rFonts w:hint="eastAsia" w:ascii="宋体" w:hAnsi="宋体"/>
                <w:color w:val="auto"/>
                <w:szCs w:val="21"/>
              </w:rPr>
              <w:t>2、缴纳方式二：</w:t>
            </w:r>
          </w:p>
          <w:p w14:paraId="2025B642">
            <w:pPr>
              <w:spacing w:line="300" w:lineRule="exact"/>
              <w:jc w:val="left"/>
              <w:rPr>
                <w:rFonts w:ascii="宋体" w:hAnsi="宋体"/>
                <w:color w:val="auto"/>
                <w:szCs w:val="21"/>
              </w:rPr>
            </w:pPr>
            <w:r>
              <w:rPr>
                <w:rFonts w:hint="eastAsia" w:ascii="宋体" w:hAnsi="宋体"/>
                <w:color w:val="auto"/>
                <w:szCs w:val="21"/>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15F6C4A0">
            <w:pPr>
              <w:spacing w:line="300" w:lineRule="exact"/>
              <w:jc w:val="left"/>
              <w:rPr>
                <w:rFonts w:ascii="宋体" w:hAnsi="宋体"/>
                <w:color w:val="auto"/>
                <w:szCs w:val="21"/>
              </w:rPr>
            </w:pPr>
            <w:r>
              <w:rPr>
                <w:rFonts w:hint="eastAsia" w:ascii="宋体" w:hAnsi="宋体"/>
                <w:color w:val="auto"/>
                <w:szCs w:val="21"/>
              </w:rPr>
              <w:t>3、响应保证金有下列情形之一的，视为保证金无效：</w:t>
            </w:r>
          </w:p>
          <w:p w14:paraId="2ADEF9FB">
            <w:pPr>
              <w:spacing w:line="300" w:lineRule="exact"/>
              <w:jc w:val="left"/>
              <w:rPr>
                <w:rFonts w:ascii="宋体" w:hAnsi="宋体"/>
                <w:color w:val="auto"/>
                <w:szCs w:val="21"/>
              </w:rPr>
            </w:pPr>
            <w:r>
              <w:rPr>
                <w:rFonts w:hint="eastAsia" w:ascii="宋体" w:hAnsi="宋体"/>
                <w:color w:val="auto"/>
                <w:szCs w:val="21"/>
              </w:rPr>
              <w:t>（1）保证金在响应截止时间后提交的，或者不按规定交纳方式交纳的，或者未足额交纳的（包含保函额度不足的）的；</w:t>
            </w:r>
          </w:p>
          <w:p w14:paraId="7E1AC7CF">
            <w:pPr>
              <w:spacing w:line="300" w:lineRule="exact"/>
              <w:jc w:val="left"/>
              <w:rPr>
                <w:rFonts w:ascii="宋体" w:hAnsi="宋体"/>
                <w:color w:val="auto"/>
                <w:szCs w:val="21"/>
              </w:rPr>
            </w:pPr>
            <w:r>
              <w:rPr>
                <w:rFonts w:hint="eastAsia" w:ascii="宋体" w:hAnsi="宋体"/>
                <w:color w:val="auto"/>
                <w:szCs w:val="21"/>
              </w:rPr>
              <w:t>（2）支票、汇票或者本票出现无效或者背书情形的；</w:t>
            </w:r>
          </w:p>
          <w:p w14:paraId="55CB5C29">
            <w:pPr>
              <w:spacing w:line="300" w:lineRule="exact"/>
              <w:jc w:val="left"/>
              <w:rPr>
                <w:rFonts w:ascii="宋体" w:hAnsi="宋体"/>
                <w:color w:val="auto"/>
                <w:szCs w:val="21"/>
              </w:rPr>
            </w:pPr>
            <w:r>
              <w:rPr>
                <w:rFonts w:hint="eastAsia" w:ascii="宋体" w:hAnsi="宋体"/>
                <w:color w:val="auto"/>
                <w:szCs w:val="21"/>
              </w:rPr>
              <w:t>（3）保函有效期低于响应有效期的；</w:t>
            </w:r>
          </w:p>
          <w:p w14:paraId="161674F3">
            <w:pPr>
              <w:spacing w:line="300" w:lineRule="exact"/>
              <w:jc w:val="left"/>
              <w:rPr>
                <w:rFonts w:ascii="宋体" w:hAnsi="宋体"/>
                <w:color w:val="auto"/>
                <w:szCs w:val="21"/>
              </w:rPr>
            </w:pPr>
            <w:r>
              <w:rPr>
                <w:rFonts w:hint="eastAsia" w:ascii="宋体" w:hAnsi="宋体"/>
                <w:color w:val="auto"/>
                <w:szCs w:val="21"/>
              </w:rPr>
              <w:t>（4）非金融机构、担保机构出具保函的、非无条件保函的。</w:t>
            </w:r>
          </w:p>
          <w:p w14:paraId="200E0D92">
            <w:pPr>
              <w:spacing w:line="300" w:lineRule="exact"/>
              <w:jc w:val="left"/>
              <w:rPr>
                <w:rFonts w:ascii="宋体" w:hAnsi="宋体"/>
                <w:color w:val="auto"/>
                <w:szCs w:val="21"/>
              </w:rPr>
            </w:pPr>
            <w:r>
              <w:rPr>
                <w:rFonts w:hint="eastAsia" w:ascii="宋体" w:hAnsi="宋体"/>
                <w:color w:val="auto"/>
                <w:szCs w:val="21"/>
              </w:rPr>
              <w:t>4、财务部联系电话：0771-2821398</w:t>
            </w:r>
          </w:p>
          <w:p w14:paraId="68CFABB6">
            <w:pPr>
              <w:spacing w:line="300" w:lineRule="exact"/>
              <w:jc w:val="left"/>
              <w:rPr>
                <w:rFonts w:ascii="宋体" w:hAnsi="宋体"/>
                <w:b/>
                <w:bCs/>
                <w:color w:val="auto"/>
                <w:szCs w:val="21"/>
              </w:rPr>
            </w:pPr>
            <w:r>
              <w:rPr>
                <w:rFonts w:hint="eastAsia" w:ascii="宋体" w:hAnsi="宋体"/>
                <w:b/>
                <w:bCs/>
                <w:color w:val="auto"/>
                <w:szCs w:val="21"/>
              </w:rPr>
              <w:t>注：为保证磋商保证金退还的及时性与便利性，鼓励优先采用方式一递交磋商保证金。</w:t>
            </w:r>
          </w:p>
        </w:tc>
      </w:tr>
      <w:tr w14:paraId="6825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50243923">
            <w:pPr>
              <w:spacing w:line="300" w:lineRule="exact"/>
              <w:jc w:val="center"/>
              <w:rPr>
                <w:rFonts w:ascii="宋体" w:hAnsi="宋体"/>
                <w:b/>
                <w:color w:val="auto"/>
                <w:szCs w:val="21"/>
              </w:rPr>
            </w:pPr>
            <w:r>
              <w:rPr>
                <w:rFonts w:hint="eastAsia" w:ascii="宋体" w:hAnsi="宋体"/>
                <w:b/>
                <w:color w:val="auto"/>
                <w:szCs w:val="21"/>
              </w:rPr>
              <w:t>3</w:t>
            </w:r>
            <w:r>
              <w:rPr>
                <w:rFonts w:ascii="宋体" w:hAnsi="宋体"/>
                <w:b/>
                <w:color w:val="auto"/>
                <w:szCs w:val="21"/>
              </w:rPr>
              <w:t>.6</w:t>
            </w:r>
          </w:p>
        </w:tc>
        <w:tc>
          <w:tcPr>
            <w:tcW w:w="1248" w:type="dxa"/>
            <w:tcBorders>
              <w:top w:val="single" w:color="auto" w:sz="4" w:space="0"/>
              <w:left w:val="single" w:color="auto" w:sz="4" w:space="0"/>
              <w:right w:val="single" w:color="auto" w:sz="4" w:space="0"/>
            </w:tcBorders>
            <w:vAlign w:val="center"/>
          </w:tcPr>
          <w:p w14:paraId="0F8448CF">
            <w:pPr>
              <w:spacing w:line="300" w:lineRule="exact"/>
              <w:jc w:val="center"/>
              <w:rPr>
                <w:rFonts w:ascii="宋体" w:hAnsi="宋体"/>
                <w:color w:val="auto"/>
                <w:szCs w:val="21"/>
              </w:rPr>
            </w:pPr>
            <w:r>
              <w:rPr>
                <w:rFonts w:hint="eastAsia" w:ascii="宋体" w:hAnsi="宋体"/>
                <w:color w:val="auto"/>
                <w:szCs w:val="21"/>
              </w:rPr>
              <w:t>响应文件的编制</w:t>
            </w:r>
          </w:p>
        </w:tc>
        <w:tc>
          <w:tcPr>
            <w:tcW w:w="7229" w:type="dxa"/>
            <w:tcBorders>
              <w:top w:val="single" w:color="auto" w:sz="4" w:space="0"/>
              <w:left w:val="single" w:color="auto" w:sz="4" w:space="0"/>
              <w:right w:val="single" w:color="auto" w:sz="4" w:space="0"/>
            </w:tcBorders>
            <w:vAlign w:val="center"/>
          </w:tcPr>
          <w:p w14:paraId="1D0D6439">
            <w:pPr>
              <w:spacing w:line="300" w:lineRule="exact"/>
              <w:jc w:val="left"/>
              <w:rPr>
                <w:rFonts w:ascii="宋体" w:hAnsi="宋体"/>
                <w:color w:val="auto"/>
                <w:szCs w:val="21"/>
              </w:rPr>
            </w:pPr>
            <w:r>
              <w:rPr>
                <w:rFonts w:hint="eastAsia" w:ascii="宋体" w:hAnsi="宋体"/>
                <w:color w:val="auto"/>
                <w:szCs w:val="21"/>
              </w:rPr>
              <w:t>响应文件应按第六章响应文件格式分别编制并使用下载的广西政府采购云平台新版客户端制作并上传。</w:t>
            </w:r>
          </w:p>
        </w:tc>
      </w:tr>
      <w:tr w14:paraId="18C94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74745240">
            <w:pPr>
              <w:spacing w:line="300" w:lineRule="exact"/>
              <w:jc w:val="center"/>
              <w:rPr>
                <w:rFonts w:ascii="宋体" w:hAnsi="宋体"/>
                <w:b/>
                <w:color w:val="auto"/>
                <w:szCs w:val="21"/>
              </w:rPr>
            </w:pPr>
            <w:r>
              <w:rPr>
                <w:rFonts w:ascii="宋体" w:hAnsi="宋体"/>
                <w:b/>
                <w:color w:val="auto"/>
                <w:szCs w:val="21"/>
              </w:rPr>
              <w:t>3.7</w:t>
            </w:r>
          </w:p>
        </w:tc>
        <w:tc>
          <w:tcPr>
            <w:tcW w:w="1248" w:type="dxa"/>
            <w:tcBorders>
              <w:top w:val="single" w:color="auto" w:sz="4" w:space="0"/>
              <w:left w:val="single" w:color="auto" w:sz="4" w:space="0"/>
              <w:bottom w:val="single" w:color="auto" w:sz="4" w:space="0"/>
              <w:right w:val="single" w:color="auto" w:sz="4" w:space="0"/>
            </w:tcBorders>
            <w:vAlign w:val="center"/>
          </w:tcPr>
          <w:p w14:paraId="59BB3D8A">
            <w:pPr>
              <w:spacing w:line="300" w:lineRule="exact"/>
              <w:jc w:val="center"/>
              <w:rPr>
                <w:rFonts w:ascii="宋体" w:hAnsi="宋体"/>
                <w:color w:val="auto"/>
                <w:szCs w:val="21"/>
              </w:rPr>
            </w:pPr>
            <w:r>
              <w:rPr>
                <w:rFonts w:ascii="宋体" w:hAnsi="宋体"/>
                <w:color w:val="auto"/>
                <w:szCs w:val="21"/>
              </w:rPr>
              <w:t>响应文件递交</w:t>
            </w:r>
            <w:r>
              <w:rPr>
                <w:rFonts w:hint="eastAsia" w:ascii="宋体" w:hAnsi="宋体"/>
                <w:color w:val="auto"/>
                <w:szCs w:val="21"/>
              </w:rPr>
              <w:t>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5BDE3AF4">
            <w:pPr>
              <w:spacing w:line="300" w:lineRule="exact"/>
              <w:jc w:val="left"/>
              <w:rPr>
                <w:rFonts w:ascii="宋体" w:hAnsi="宋体"/>
                <w:color w:val="auto"/>
                <w:szCs w:val="21"/>
              </w:rPr>
            </w:pPr>
            <w:r>
              <w:rPr>
                <w:rFonts w:hint="eastAsia" w:ascii="宋体" w:hAnsi="宋体"/>
                <w:color w:val="auto"/>
                <w:kern w:val="0"/>
                <w:szCs w:val="21"/>
              </w:rPr>
              <w:t>见磋商公告要求</w:t>
            </w:r>
            <w:r>
              <w:rPr>
                <w:rFonts w:hint="eastAsia" w:ascii="宋体" w:hAnsi="宋体"/>
                <w:color w:val="auto"/>
                <w:szCs w:val="21"/>
              </w:rPr>
              <w:t>。</w:t>
            </w:r>
          </w:p>
        </w:tc>
      </w:tr>
      <w:tr w14:paraId="75193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3C3D1EF">
            <w:pPr>
              <w:spacing w:line="300" w:lineRule="exact"/>
              <w:jc w:val="center"/>
              <w:rPr>
                <w:rFonts w:ascii="宋体" w:hAnsi="宋体"/>
                <w:b/>
                <w:color w:val="auto"/>
                <w:szCs w:val="21"/>
              </w:rPr>
            </w:pPr>
            <w:r>
              <w:rPr>
                <w:rFonts w:hint="eastAsia" w:ascii="宋体" w:hAnsi="宋体"/>
                <w:b/>
                <w:color w:val="auto"/>
                <w:szCs w:val="21"/>
              </w:rPr>
              <w:t>4</w:t>
            </w:r>
            <w:r>
              <w:rPr>
                <w:rFonts w:ascii="宋体" w:hAnsi="宋体"/>
                <w:b/>
                <w:color w:val="auto"/>
                <w:szCs w:val="21"/>
              </w:rPr>
              <w:t>.2</w:t>
            </w:r>
          </w:p>
        </w:tc>
        <w:tc>
          <w:tcPr>
            <w:tcW w:w="1248" w:type="dxa"/>
            <w:tcBorders>
              <w:top w:val="single" w:color="auto" w:sz="4" w:space="0"/>
              <w:left w:val="single" w:color="auto" w:sz="4" w:space="0"/>
              <w:bottom w:val="single" w:color="auto" w:sz="4" w:space="0"/>
              <w:right w:val="single" w:color="auto" w:sz="4" w:space="0"/>
            </w:tcBorders>
            <w:vAlign w:val="center"/>
          </w:tcPr>
          <w:p w14:paraId="24D9AF27">
            <w:pPr>
              <w:spacing w:line="300" w:lineRule="exact"/>
              <w:jc w:val="center"/>
              <w:rPr>
                <w:rFonts w:ascii="宋体" w:hAnsi="宋体"/>
                <w:color w:val="auto"/>
                <w:szCs w:val="20"/>
              </w:rPr>
            </w:pPr>
            <w:r>
              <w:rPr>
                <w:rFonts w:hint="eastAsia" w:ascii="宋体" w:hAnsi="宋体"/>
                <w:color w:val="auto"/>
                <w:szCs w:val="21"/>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23D82590">
            <w:pPr>
              <w:spacing w:line="276" w:lineRule="auto"/>
              <w:rPr>
                <w:rFonts w:ascii="宋体" w:hAnsi="宋体"/>
                <w:color w:val="auto"/>
                <w:szCs w:val="21"/>
              </w:rPr>
            </w:pPr>
            <w:r>
              <w:rPr>
                <w:rFonts w:hint="eastAsia" w:ascii="宋体" w:hAnsi="宋体"/>
                <w:color w:val="auto"/>
                <w:szCs w:val="21"/>
              </w:rPr>
              <w:t>本项目</w:t>
            </w:r>
            <w:r>
              <w:rPr>
                <w:rFonts w:ascii="宋体" w:hAnsi="宋体"/>
                <w:color w:val="auto"/>
                <w:sz w:val="22"/>
                <w:szCs w:val="22"/>
              </w:rPr>
              <w:sym w:font="Wingdings 2" w:char="F052"/>
            </w:r>
            <w:r>
              <w:rPr>
                <w:rFonts w:hint="eastAsia" w:ascii="宋体" w:hAnsi="宋体"/>
                <w:color w:val="auto"/>
                <w:szCs w:val="21"/>
              </w:rPr>
              <w:t>接受   □不接受备份响应文件</w:t>
            </w:r>
          </w:p>
          <w:p w14:paraId="58D946A3">
            <w:pPr>
              <w:spacing w:line="276" w:lineRule="auto"/>
              <w:rPr>
                <w:rFonts w:ascii="宋体" w:hAnsi="宋体"/>
                <w:color w:val="auto"/>
                <w:sz w:val="22"/>
                <w:szCs w:val="22"/>
              </w:rPr>
            </w:pPr>
            <w:r>
              <w:rPr>
                <w:rFonts w:hint="eastAsia" w:ascii="宋体" w:hAnsi="宋体"/>
                <w:color w:val="auto"/>
                <w:szCs w:val="21"/>
              </w:rPr>
              <w:t>以广西政府采购云平台自动生成的备份文件为依据，当项目允许接受备份响应文件时，供应商才可以按规定上传备份响应文件。</w:t>
            </w:r>
          </w:p>
        </w:tc>
      </w:tr>
      <w:tr w14:paraId="5EBF3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963B771">
            <w:pPr>
              <w:spacing w:line="300" w:lineRule="exact"/>
              <w:jc w:val="center"/>
              <w:rPr>
                <w:rFonts w:ascii="宋体" w:hAnsi="宋体"/>
                <w:b/>
                <w:color w:val="auto"/>
                <w:szCs w:val="21"/>
              </w:rPr>
            </w:pPr>
            <w:r>
              <w:rPr>
                <w:rFonts w:hint="eastAsia" w:ascii="宋体" w:hAnsi="宋体"/>
                <w:b/>
                <w:color w:val="auto"/>
                <w:szCs w:val="21"/>
              </w:rPr>
              <w:t>4</w:t>
            </w:r>
            <w:r>
              <w:rPr>
                <w:rFonts w:ascii="宋体" w:hAnsi="宋体"/>
                <w:b/>
                <w:color w:val="auto"/>
                <w:szCs w:val="21"/>
              </w:rPr>
              <w:t>.3</w:t>
            </w:r>
          </w:p>
        </w:tc>
        <w:tc>
          <w:tcPr>
            <w:tcW w:w="1248" w:type="dxa"/>
            <w:tcBorders>
              <w:top w:val="single" w:color="auto" w:sz="4" w:space="0"/>
              <w:left w:val="single" w:color="auto" w:sz="4" w:space="0"/>
              <w:bottom w:val="single" w:color="auto" w:sz="4" w:space="0"/>
              <w:right w:val="single" w:color="auto" w:sz="4" w:space="0"/>
            </w:tcBorders>
            <w:vAlign w:val="center"/>
          </w:tcPr>
          <w:p w14:paraId="0ACE7254">
            <w:pPr>
              <w:spacing w:line="300" w:lineRule="exact"/>
              <w:jc w:val="center"/>
              <w:rPr>
                <w:rFonts w:ascii="宋体" w:hAnsi="宋体"/>
                <w:color w:val="auto"/>
                <w:szCs w:val="21"/>
              </w:rPr>
            </w:pPr>
            <w:r>
              <w:rPr>
                <w:rFonts w:hint="eastAsia" w:ascii="宋体" w:hAnsi="宋体"/>
                <w:color w:val="auto"/>
                <w:szCs w:val="20"/>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3FE662DE">
            <w:pPr>
              <w:spacing w:line="276" w:lineRule="auto"/>
              <w:rPr>
                <w:rFonts w:ascii="宋体" w:hAnsi="宋体"/>
                <w:color w:val="auto"/>
                <w:szCs w:val="21"/>
              </w:rPr>
            </w:pPr>
            <w:r>
              <w:rPr>
                <w:rFonts w:ascii="宋体" w:hAnsi="宋体"/>
                <w:color w:val="auto"/>
                <w:sz w:val="22"/>
                <w:szCs w:val="22"/>
              </w:rPr>
              <w:sym w:font="Wingdings 2" w:char="F052"/>
            </w:r>
            <w:r>
              <w:rPr>
                <w:rFonts w:hint="eastAsia" w:ascii="宋体" w:hAnsi="宋体"/>
                <w:color w:val="auto"/>
                <w:szCs w:val="21"/>
              </w:rPr>
              <w:t>否   □是</w:t>
            </w:r>
          </w:p>
          <w:p w14:paraId="301A5474">
            <w:pPr>
              <w:spacing w:line="276" w:lineRule="auto"/>
              <w:rPr>
                <w:rFonts w:ascii="宋体" w:hAnsi="宋体"/>
                <w:color w:val="auto"/>
                <w:szCs w:val="21"/>
                <w:u w:val="single"/>
              </w:rPr>
            </w:pPr>
            <w:r>
              <w:rPr>
                <w:rFonts w:hint="eastAsia" w:ascii="宋体" w:hAnsi="宋体"/>
                <w:color w:val="auto"/>
                <w:szCs w:val="21"/>
              </w:rPr>
              <w:t>演示内容：</w:t>
            </w:r>
            <w:r>
              <w:rPr>
                <w:rFonts w:hint="eastAsia" w:ascii="宋体" w:hAnsi="宋体"/>
                <w:color w:val="auto"/>
                <w:szCs w:val="21"/>
                <w:u w:val="single"/>
              </w:rPr>
              <w:t xml:space="preserve"> </w:t>
            </w:r>
            <w:r>
              <w:rPr>
                <w:rFonts w:ascii="宋体" w:hAnsi="宋体"/>
                <w:color w:val="auto"/>
                <w:szCs w:val="21"/>
                <w:u w:val="single"/>
              </w:rPr>
              <w:t xml:space="preserve">              </w:t>
            </w:r>
          </w:p>
          <w:p w14:paraId="62CE0EFD">
            <w:pPr>
              <w:spacing w:line="276" w:lineRule="auto"/>
              <w:rPr>
                <w:rFonts w:ascii="宋体" w:hAnsi="宋体"/>
                <w:color w:val="auto"/>
                <w:szCs w:val="21"/>
              </w:rPr>
            </w:pPr>
            <w:r>
              <w:rPr>
                <w:rFonts w:hint="eastAsia" w:ascii="宋体" w:hAnsi="宋体"/>
                <w:color w:val="auto"/>
                <w:szCs w:val="21"/>
              </w:rPr>
              <w:t>演示形式：</w:t>
            </w:r>
            <w:r>
              <w:rPr>
                <w:rFonts w:ascii="宋体" w:hAnsi="宋体"/>
                <w:color w:val="auto"/>
                <w:szCs w:val="21"/>
              </w:rPr>
              <w:t xml:space="preserve"> </w:t>
            </w:r>
          </w:p>
        </w:tc>
      </w:tr>
      <w:tr w14:paraId="16A94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B37F2F8">
            <w:pPr>
              <w:spacing w:line="300" w:lineRule="exact"/>
              <w:jc w:val="center"/>
              <w:rPr>
                <w:rFonts w:ascii="宋体" w:hAnsi="宋体"/>
                <w:b/>
                <w:color w:val="auto"/>
                <w:szCs w:val="21"/>
              </w:rPr>
            </w:pPr>
            <w:r>
              <w:rPr>
                <w:rFonts w:hint="eastAsia" w:ascii="宋体" w:hAnsi="宋体"/>
                <w:b/>
                <w:color w:val="auto"/>
                <w:szCs w:val="21"/>
              </w:rPr>
              <w:t>4</w:t>
            </w:r>
            <w:r>
              <w:rPr>
                <w:rFonts w:ascii="宋体" w:hAnsi="宋体"/>
                <w:b/>
                <w:color w:val="auto"/>
                <w:szCs w:val="21"/>
              </w:rPr>
              <w:t>.4</w:t>
            </w:r>
          </w:p>
        </w:tc>
        <w:tc>
          <w:tcPr>
            <w:tcW w:w="1248" w:type="dxa"/>
            <w:tcBorders>
              <w:top w:val="single" w:color="auto" w:sz="4" w:space="0"/>
              <w:left w:val="single" w:color="auto" w:sz="4" w:space="0"/>
              <w:bottom w:val="single" w:color="auto" w:sz="4" w:space="0"/>
              <w:right w:val="single" w:color="auto" w:sz="4" w:space="0"/>
            </w:tcBorders>
            <w:vAlign w:val="center"/>
          </w:tcPr>
          <w:p w14:paraId="45C85226">
            <w:pPr>
              <w:spacing w:line="300" w:lineRule="exact"/>
              <w:jc w:val="center"/>
              <w:rPr>
                <w:rFonts w:ascii="宋体" w:hAnsi="宋体"/>
                <w:color w:val="auto"/>
                <w:szCs w:val="21"/>
              </w:rPr>
            </w:pPr>
            <w:r>
              <w:rPr>
                <w:rFonts w:hint="eastAsia" w:ascii="宋体" w:hAnsi="宋体"/>
                <w:color w:val="auto"/>
                <w:szCs w:val="20"/>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3A9D41BA">
            <w:pPr>
              <w:spacing w:line="276" w:lineRule="auto"/>
              <w:rPr>
                <w:rFonts w:ascii="宋体" w:hAnsi="宋体"/>
                <w:color w:val="auto"/>
                <w:szCs w:val="21"/>
              </w:rPr>
            </w:pPr>
            <w:r>
              <w:rPr>
                <w:rFonts w:ascii="宋体" w:hAnsi="宋体"/>
                <w:color w:val="auto"/>
                <w:sz w:val="24"/>
              </w:rPr>
              <w:sym w:font="Wingdings 2" w:char="F052"/>
            </w:r>
            <w:r>
              <w:rPr>
                <w:rFonts w:hint="eastAsia" w:ascii="宋体" w:hAnsi="宋体"/>
                <w:color w:val="auto"/>
                <w:szCs w:val="21"/>
              </w:rPr>
              <w:t>否   □是</w:t>
            </w:r>
          </w:p>
          <w:p w14:paraId="59B8717D">
            <w:pPr>
              <w:spacing w:line="276" w:lineRule="auto"/>
              <w:rPr>
                <w:rFonts w:ascii="宋体" w:hAnsi="宋体"/>
                <w:color w:val="auto"/>
                <w:szCs w:val="21"/>
                <w:u w:val="single"/>
              </w:rPr>
            </w:pPr>
            <w:r>
              <w:rPr>
                <w:rFonts w:hint="eastAsia" w:ascii="宋体" w:hAnsi="宋体"/>
                <w:color w:val="auto"/>
                <w:szCs w:val="21"/>
              </w:rPr>
              <w:t>样品制作的标准和要求：</w:t>
            </w:r>
            <w:r>
              <w:rPr>
                <w:rFonts w:hint="eastAsia" w:ascii="宋体" w:hAnsi="宋体"/>
                <w:color w:val="auto"/>
                <w:szCs w:val="21"/>
                <w:u w:val="single"/>
              </w:rPr>
              <w:t xml:space="preserve"> </w:t>
            </w:r>
            <w:r>
              <w:rPr>
                <w:rFonts w:ascii="宋体" w:hAnsi="宋体"/>
                <w:color w:val="auto"/>
                <w:szCs w:val="21"/>
                <w:u w:val="single"/>
              </w:rPr>
              <w:t xml:space="preserve">              </w:t>
            </w:r>
          </w:p>
          <w:p w14:paraId="23CF6F3D">
            <w:pPr>
              <w:spacing w:line="276" w:lineRule="auto"/>
              <w:rPr>
                <w:rFonts w:ascii="宋体" w:hAnsi="宋体"/>
                <w:color w:val="auto"/>
                <w:szCs w:val="21"/>
                <w:u w:val="single"/>
              </w:rPr>
            </w:pPr>
            <w:r>
              <w:rPr>
                <w:rFonts w:hint="eastAsia" w:ascii="宋体" w:hAnsi="宋体"/>
                <w:color w:val="auto"/>
                <w:szCs w:val="21"/>
              </w:rPr>
              <w:t>样品检测机构的要求：</w:t>
            </w:r>
            <w:r>
              <w:rPr>
                <w:rFonts w:hint="eastAsia" w:ascii="宋体" w:hAnsi="宋体"/>
                <w:color w:val="auto"/>
                <w:szCs w:val="21"/>
                <w:u w:val="single"/>
              </w:rPr>
              <w:t xml:space="preserve"> </w:t>
            </w:r>
            <w:r>
              <w:rPr>
                <w:rFonts w:ascii="宋体" w:hAnsi="宋体"/>
                <w:color w:val="auto"/>
                <w:szCs w:val="21"/>
                <w:u w:val="single"/>
              </w:rPr>
              <w:t xml:space="preserve">               </w:t>
            </w:r>
          </w:p>
          <w:p w14:paraId="54D68B4D">
            <w:pPr>
              <w:spacing w:line="276" w:lineRule="auto"/>
              <w:rPr>
                <w:rFonts w:ascii="宋体" w:hAnsi="宋体"/>
                <w:color w:val="auto"/>
                <w:szCs w:val="21"/>
                <w:u w:val="single"/>
              </w:rPr>
            </w:pPr>
            <w:r>
              <w:rPr>
                <w:rFonts w:hint="eastAsia" w:ascii="宋体" w:hAnsi="宋体"/>
                <w:color w:val="auto"/>
                <w:szCs w:val="21"/>
              </w:rPr>
              <w:t>检测内容：</w:t>
            </w:r>
            <w:r>
              <w:rPr>
                <w:rFonts w:hint="eastAsia" w:ascii="宋体" w:hAnsi="宋体"/>
                <w:color w:val="auto"/>
                <w:szCs w:val="21"/>
                <w:u w:val="single"/>
              </w:rPr>
              <w:t xml:space="preserve"> </w:t>
            </w:r>
            <w:r>
              <w:rPr>
                <w:rFonts w:ascii="宋体" w:hAnsi="宋体"/>
                <w:color w:val="auto"/>
                <w:szCs w:val="21"/>
                <w:u w:val="single"/>
              </w:rPr>
              <w:t xml:space="preserve">                    </w:t>
            </w:r>
          </w:p>
          <w:p w14:paraId="16F6CF42">
            <w:pPr>
              <w:spacing w:line="276" w:lineRule="auto"/>
              <w:rPr>
                <w:rFonts w:ascii="宋体" w:hAnsi="宋体"/>
                <w:color w:val="auto"/>
                <w:szCs w:val="21"/>
              </w:rPr>
            </w:pPr>
            <w:r>
              <w:rPr>
                <w:rFonts w:hint="eastAsia" w:ascii="宋体" w:hAnsi="宋体"/>
                <w:color w:val="auto"/>
                <w:szCs w:val="21"/>
              </w:rPr>
              <w:t>样品递交方式：</w:t>
            </w:r>
            <w:r>
              <w:rPr>
                <w:rFonts w:ascii="宋体" w:hAnsi="宋体"/>
                <w:color w:val="auto"/>
                <w:szCs w:val="21"/>
              </w:rPr>
              <w:t xml:space="preserve"> </w:t>
            </w:r>
          </w:p>
        </w:tc>
      </w:tr>
      <w:tr w14:paraId="5117C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77734C2">
            <w:pPr>
              <w:spacing w:line="300" w:lineRule="exact"/>
              <w:jc w:val="center"/>
              <w:rPr>
                <w:rFonts w:ascii="宋体" w:hAnsi="宋体"/>
                <w:b/>
                <w:color w:val="auto"/>
                <w:szCs w:val="21"/>
              </w:rPr>
            </w:pPr>
            <w:r>
              <w:rPr>
                <w:rFonts w:hint="eastAsia" w:ascii="宋体" w:hAnsi="宋体"/>
                <w:b/>
                <w:color w:val="auto"/>
                <w:szCs w:val="21"/>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5B438E10">
            <w:pPr>
              <w:spacing w:line="300" w:lineRule="exact"/>
              <w:jc w:val="center"/>
              <w:rPr>
                <w:rFonts w:ascii="宋体" w:hAnsi="宋体"/>
                <w:color w:val="auto"/>
                <w:szCs w:val="21"/>
              </w:rPr>
            </w:pPr>
            <w:r>
              <w:rPr>
                <w:rFonts w:hint="eastAsia" w:ascii="宋体" w:hAnsi="宋体"/>
                <w:color w:val="auto"/>
                <w:szCs w:val="21"/>
              </w:rPr>
              <w:t>信用查询</w:t>
            </w:r>
            <w:r>
              <w:rPr>
                <w:rFonts w:hint="eastAsia" w:ascii="宋体" w:hAnsi="宋体"/>
                <w:color w:val="auto"/>
              </w:rPr>
              <w:t>规则</w:t>
            </w:r>
          </w:p>
        </w:tc>
        <w:tc>
          <w:tcPr>
            <w:tcW w:w="7229" w:type="dxa"/>
            <w:tcBorders>
              <w:top w:val="single" w:color="auto" w:sz="4" w:space="0"/>
              <w:left w:val="single" w:color="auto" w:sz="4" w:space="0"/>
              <w:bottom w:val="single" w:color="auto" w:sz="4" w:space="0"/>
              <w:right w:val="single" w:color="auto" w:sz="4" w:space="0"/>
            </w:tcBorders>
            <w:vAlign w:val="center"/>
          </w:tcPr>
          <w:p w14:paraId="1170BBFA">
            <w:pPr>
              <w:snapToGrid w:val="0"/>
              <w:spacing w:line="380" w:lineRule="exact"/>
              <w:rPr>
                <w:rFonts w:ascii="宋体" w:hAnsi="宋体"/>
                <w:color w:val="auto"/>
                <w:szCs w:val="21"/>
              </w:rPr>
            </w:pPr>
            <w:r>
              <w:rPr>
                <w:rFonts w:hint="eastAsia" w:ascii="宋体" w:hAnsi="宋体"/>
                <w:color w:val="auto"/>
                <w:szCs w:val="21"/>
              </w:rPr>
              <w:t>磋商小组在资格审查结束前，对供应商进行信用查询。</w:t>
            </w:r>
          </w:p>
          <w:p w14:paraId="3029BDC8">
            <w:pPr>
              <w:snapToGrid w:val="0"/>
              <w:spacing w:line="380" w:lineRule="exact"/>
              <w:rPr>
                <w:rFonts w:ascii="宋体" w:hAnsi="宋体"/>
                <w:color w:val="auto"/>
                <w:szCs w:val="21"/>
              </w:rPr>
            </w:pPr>
            <w:r>
              <w:rPr>
                <w:rFonts w:hint="eastAsia" w:ascii="宋体" w:hAnsi="宋体"/>
                <w:color w:val="auto"/>
                <w:szCs w:val="21"/>
              </w:rPr>
              <w:t>（1）查询渠道：广西政府采购云平台“信用中国”网站(www.creditchina.gov.cn) 、中国政府采购网(www.ccgp.gov.cn)链接入口。</w:t>
            </w:r>
          </w:p>
          <w:p w14:paraId="2CE1D1B2">
            <w:pPr>
              <w:snapToGrid w:val="0"/>
              <w:spacing w:line="380" w:lineRule="exact"/>
              <w:rPr>
                <w:rFonts w:ascii="宋体" w:hAnsi="宋体"/>
                <w:color w:val="auto"/>
                <w:szCs w:val="21"/>
              </w:rPr>
            </w:pPr>
            <w:r>
              <w:rPr>
                <w:rFonts w:hint="eastAsia" w:ascii="宋体" w:hAnsi="宋体"/>
                <w:color w:val="auto"/>
                <w:szCs w:val="21"/>
              </w:rPr>
              <w:t>（2）信用查询截止时点：资格审查结束前</w:t>
            </w:r>
          </w:p>
          <w:p w14:paraId="2B9DE05D">
            <w:pPr>
              <w:snapToGrid w:val="0"/>
              <w:spacing w:line="380" w:lineRule="exact"/>
              <w:rPr>
                <w:rFonts w:ascii="宋体" w:hAnsi="宋体"/>
                <w:color w:val="auto"/>
                <w:szCs w:val="21"/>
              </w:rPr>
            </w:pPr>
            <w:r>
              <w:rPr>
                <w:rFonts w:hint="eastAsia" w:ascii="宋体" w:hAnsi="宋体"/>
                <w:color w:val="auto"/>
                <w:szCs w:val="21"/>
              </w:rPr>
              <w:t>（3）查询记录和证据留存方式：在查询网站中直接截图查询记录，截图作为在“广西政府采购云”平台作为附件上传保存。</w:t>
            </w:r>
          </w:p>
          <w:p w14:paraId="4A3F0838">
            <w:pPr>
              <w:snapToGrid w:val="0"/>
              <w:spacing w:line="380" w:lineRule="exact"/>
              <w:rPr>
                <w:rFonts w:ascii="宋体" w:hAnsi="宋体"/>
                <w:color w:val="auto"/>
                <w:szCs w:val="21"/>
              </w:rPr>
            </w:pPr>
            <w:r>
              <w:rPr>
                <w:rFonts w:hint="eastAsia" w:ascii="宋体" w:hAnsi="宋体"/>
                <w:color w:val="auto"/>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D3C4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322E8D5">
            <w:pPr>
              <w:spacing w:line="300" w:lineRule="exact"/>
              <w:jc w:val="center"/>
              <w:rPr>
                <w:rFonts w:ascii="宋体" w:hAnsi="宋体"/>
                <w:b/>
                <w:color w:val="auto"/>
                <w:szCs w:val="21"/>
              </w:rPr>
            </w:pPr>
            <w:r>
              <w:rPr>
                <w:rFonts w:hint="eastAsia" w:ascii="宋体" w:hAnsi="宋体"/>
                <w:b/>
                <w:color w:val="auto"/>
                <w:szCs w:val="21"/>
              </w:rPr>
              <w:t>6.</w:t>
            </w:r>
            <w:r>
              <w:rPr>
                <w:rFonts w:ascii="宋体" w:hAnsi="宋体"/>
                <w:b/>
                <w:color w:val="auto"/>
                <w:szCs w:val="21"/>
              </w:rPr>
              <w:t>3</w:t>
            </w:r>
            <w:r>
              <w:rPr>
                <w:rFonts w:hint="eastAsia" w:ascii="宋体" w:hAnsi="宋体"/>
                <w:b/>
                <w:color w:val="auto"/>
                <w:szCs w:val="21"/>
              </w:rPr>
              <w:t>.</w:t>
            </w:r>
            <w:r>
              <w:rPr>
                <w:rFonts w:ascii="宋体" w:hAnsi="宋体"/>
                <w:b/>
                <w:color w:val="auto"/>
                <w:szCs w:val="21"/>
              </w:rPr>
              <w:t>5</w:t>
            </w:r>
          </w:p>
        </w:tc>
        <w:tc>
          <w:tcPr>
            <w:tcW w:w="1248" w:type="dxa"/>
            <w:tcBorders>
              <w:top w:val="single" w:color="auto" w:sz="4" w:space="0"/>
              <w:left w:val="single" w:color="auto" w:sz="4" w:space="0"/>
              <w:bottom w:val="single" w:color="auto" w:sz="4" w:space="0"/>
              <w:right w:val="single" w:color="auto" w:sz="4" w:space="0"/>
            </w:tcBorders>
            <w:vAlign w:val="center"/>
          </w:tcPr>
          <w:p w14:paraId="00C80AF0">
            <w:pPr>
              <w:spacing w:line="300" w:lineRule="exact"/>
              <w:jc w:val="center"/>
              <w:rPr>
                <w:rFonts w:ascii="宋体" w:hAnsi="宋体"/>
                <w:color w:val="auto"/>
                <w:szCs w:val="21"/>
              </w:rPr>
            </w:pPr>
            <w:r>
              <w:rPr>
                <w:rFonts w:hint="eastAsia" w:ascii="宋体" w:hAnsi="宋体"/>
                <w:color w:val="auto"/>
                <w:szCs w:val="21"/>
              </w:rPr>
              <w:t>异常低价审查</w:t>
            </w:r>
          </w:p>
          <w:p w14:paraId="1C93B5E5">
            <w:pPr>
              <w:spacing w:line="300" w:lineRule="exact"/>
              <w:jc w:val="center"/>
              <w:rPr>
                <w:rFonts w:ascii="宋体" w:hAnsi="宋体"/>
                <w:color w:val="auto"/>
                <w:szCs w:val="21"/>
              </w:rPr>
            </w:pPr>
          </w:p>
        </w:tc>
        <w:tc>
          <w:tcPr>
            <w:tcW w:w="7229" w:type="dxa"/>
            <w:tcBorders>
              <w:top w:val="single" w:color="auto" w:sz="4" w:space="0"/>
              <w:left w:val="single" w:color="auto" w:sz="4" w:space="0"/>
              <w:bottom w:val="single" w:color="auto" w:sz="4" w:space="0"/>
              <w:right w:val="single" w:color="auto" w:sz="4" w:space="0"/>
            </w:tcBorders>
            <w:vAlign w:val="center"/>
          </w:tcPr>
          <w:p w14:paraId="1EA98908">
            <w:pPr>
              <w:spacing w:line="300" w:lineRule="exact"/>
              <w:jc w:val="left"/>
              <w:rPr>
                <w:rFonts w:ascii="宋体" w:hAnsi="宋体"/>
                <w:color w:val="auto"/>
                <w:szCs w:val="21"/>
              </w:rPr>
            </w:pPr>
            <w:r>
              <w:rPr>
                <w:rFonts w:hint="eastAsia" w:ascii="宋体" w:hAnsi="宋体"/>
                <w:color w:val="auto"/>
                <w:szCs w:val="21"/>
              </w:rPr>
              <w:t>评审中出现下列情形之一的，评审委员会应当启动异常低价响应审查程序：</w:t>
            </w:r>
          </w:p>
          <w:p w14:paraId="3A4E7DAF">
            <w:pPr>
              <w:spacing w:line="276" w:lineRule="auto"/>
              <w:rPr>
                <w:rFonts w:ascii="宋体" w:hAnsi="宋体"/>
                <w:color w:val="auto"/>
                <w:szCs w:val="21"/>
              </w:rPr>
            </w:pPr>
            <w:r>
              <w:rPr>
                <w:rFonts w:hint="eastAsia" w:ascii="宋体" w:hAnsi="宋体"/>
                <w:color w:val="auto"/>
                <w:szCs w:val="21"/>
              </w:rPr>
              <w:t>（1）投标（响应）报价低于全部通过符合性审查供应商投标（响应）报价平均值50%的，即投标（响应）报价&lt;全部通过符合性审查供应商投标（响应）报价平均值×50%；</w:t>
            </w:r>
          </w:p>
          <w:p w14:paraId="6738F83D">
            <w:pPr>
              <w:spacing w:line="276" w:lineRule="auto"/>
              <w:rPr>
                <w:rFonts w:ascii="宋体" w:hAnsi="宋体"/>
                <w:color w:val="auto"/>
                <w:szCs w:val="21"/>
              </w:rPr>
            </w:pPr>
            <w:r>
              <w:rPr>
                <w:rFonts w:hint="eastAsia" w:ascii="宋体" w:hAnsi="宋体"/>
                <w:color w:val="auto"/>
                <w:szCs w:val="21"/>
              </w:rPr>
              <w:t>（2）投标（响应）报价低于通过符合性审查的次低报价供应商投标（响应）报价50%的，即投标（响应）报价&lt;通过符合性审查的次低报价供应商投标（响应）报价×50%；</w:t>
            </w:r>
          </w:p>
          <w:p w14:paraId="60A5002C">
            <w:pPr>
              <w:spacing w:line="276" w:lineRule="auto"/>
              <w:rPr>
                <w:rFonts w:ascii="宋体" w:hAnsi="宋体"/>
                <w:color w:val="auto"/>
                <w:szCs w:val="21"/>
              </w:rPr>
            </w:pPr>
            <w:r>
              <w:rPr>
                <w:rFonts w:hint="eastAsia" w:ascii="宋体" w:hAnsi="宋体"/>
                <w:color w:val="auto"/>
                <w:szCs w:val="21"/>
              </w:rPr>
              <w:t>（3）投标（响应）报价低于采购项目最高限价45%的，即投标（响应）报价&lt;采购项目最高限价×45%；</w:t>
            </w:r>
          </w:p>
          <w:p w14:paraId="5B50181F">
            <w:pPr>
              <w:spacing w:line="276" w:lineRule="auto"/>
              <w:rPr>
                <w:rFonts w:ascii="宋体" w:hAnsi="宋体"/>
                <w:color w:val="auto"/>
                <w:szCs w:val="21"/>
              </w:rPr>
            </w:pPr>
            <w:r>
              <w:rPr>
                <w:rFonts w:hint="eastAsia" w:ascii="宋体" w:hAnsi="宋体"/>
                <w:color w:val="auto"/>
                <w:szCs w:val="21"/>
              </w:rPr>
              <w:t>（4）评审委员会基于专业判断，认为供应商报价过低，有可能影响产品质量或者不能诚信履约的其他情形。</w:t>
            </w:r>
          </w:p>
        </w:tc>
      </w:tr>
      <w:tr w14:paraId="0087D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60C55E7">
            <w:pPr>
              <w:spacing w:line="300" w:lineRule="exact"/>
              <w:jc w:val="center"/>
              <w:rPr>
                <w:rFonts w:ascii="宋体" w:hAnsi="宋体"/>
                <w:b/>
                <w:color w:val="auto"/>
                <w:szCs w:val="21"/>
              </w:rPr>
            </w:pPr>
            <w:r>
              <w:rPr>
                <w:rFonts w:ascii="宋体" w:hAnsi="宋体"/>
                <w:b/>
                <w:color w:val="auto"/>
                <w:szCs w:val="21"/>
              </w:rPr>
              <w:t>6.5</w:t>
            </w:r>
            <w:r>
              <w:rPr>
                <w:rFonts w:hint="eastAsia" w:ascii="宋体" w:hAnsi="宋体"/>
                <w:b/>
                <w:color w:val="auto"/>
                <w:szCs w:val="21"/>
              </w:rPr>
              <w:t>.1</w:t>
            </w:r>
          </w:p>
        </w:tc>
        <w:tc>
          <w:tcPr>
            <w:tcW w:w="1248" w:type="dxa"/>
            <w:tcBorders>
              <w:top w:val="single" w:color="auto" w:sz="4" w:space="0"/>
              <w:left w:val="single" w:color="auto" w:sz="4" w:space="0"/>
              <w:bottom w:val="single" w:color="auto" w:sz="4" w:space="0"/>
              <w:right w:val="single" w:color="auto" w:sz="4" w:space="0"/>
            </w:tcBorders>
            <w:vAlign w:val="center"/>
          </w:tcPr>
          <w:p w14:paraId="67D1B65B">
            <w:pPr>
              <w:spacing w:line="300" w:lineRule="exact"/>
              <w:jc w:val="center"/>
              <w:rPr>
                <w:rFonts w:ascii="宋体" w:hAnsi="宋体"/>
                <w:color w:val="auto"/>
                <w:szCs w:val="21"/>
              </w:rPr>
            </w:pPr>
            <w:r>
              <w:rPr>
                <w:rFonts w:hint="eastAsia" w:ascii="宋体" w:hAnsi="宋体"/>
                <w:color w:val="auto"/>
                <w:szCs w:val="21"/>
              </w:rPr>
              <w:t>结果</w:t>
            </w:r>
            <w:r>
              <w:rPr>
                <w:rFonts w:ascii="宋体" w:hAnsi="宋体"/>
                <w:color w:val="auto"/>
                <w:szCs w:val="21"/>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00082070">
            <w:pPr>
              <w:spacing w:line="300" w:lineRule="exact"/>
              <w:jc w:val="left"/>
              <w:rPr>
                <w:rFonts w:ascii="宋体" w:hAnsi="宋体"/>
                <w:color w:val="auto"/>
                <w:szCs w:val="21"/>
              </w:rPr>
            </w:pPr>
            <w:r>
              <w:rPr>
                <w:rFonts w:ascii="宋体" w:hAnsi="宋体"/>
                <w:color w:val="auto"/>
                <w:szCs w:val="21"/>
              </w:rPr>
              <w:t>采购代理机构在采购人依法确认成交供应商后2个工作日内在磋商公告发布的媒体上发布</w:t>
            </w:r>
            <w:r>
              <w:rPr>
                <w:rFonts w:hint="eastAsia" w:ascii="宋体" w:hAnsi="宋体"/>
                <w:color w:val="auto"/>
                <w:szCs w:val="21"/>
              </w:rPr>
              <w:t>结果</w:t>
            </w:r>
            <w:r>
              <w:rPr>
                <w:rFonts w:ascii="宋体" w:hAnsi="宋体"/>
                <w:color w:val="auto"/>
                <w:szCs w:val="21"/>
              </w:rPr>
              <w:t>公告</w:t>
            </w:r>
            <w:r>
              <w:rPr>
                <w:rFonts w:hint="eastAsia" w:ascii="宋体" w:hAnsi="宋体"/>
                <w:color w:val="auto"/>
                <w:szCs w:val="21"/>
              </w:rPr>
              <w:t>。</w:t>
            </w:r>
          </w:p>
        </w:tc>
      </w:tr>
      <w:tr w14:paraId="220A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AE15964">
            <w:pPr>
              <w:spacing w:line="300" w:lineRule="exact"/>
              <w:jc w:val="center"/>
              <w:rPr>
                <w:rFonts w:ascii="宋体" w:hAnsi="宋体"/>
                <w:b/>
                <w:color w:val="auto"/>
                <w:szCs w:val="21"/>
              </w:rPr>
            </w:pPr>
            <w:r>
              <w:rPr>
                <w:rFonts w:ascii="宋体" w:hAnsi="宋体"/>
                <w:b/>
                <w:color w:val="auto"/>
                <w:szCs w:val="21"/>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7D50E589">
            <w:pPr>
              <w:spacing w:line="300" w:lineRule="exact"/>
              <w:jc w:val="center"/>
              <w:rPr>
                <w:rFonts w:ascii="宋体" w:hAnsi="宋体"/>
                <w:color w:val="auto"/>
                <w:szCs w:val="21"/>
              </w:rPr>
            </w:pPr>
            <w:r>
              <w:rPr>
                <w:rFonts w:hint="eastAsia" w:ascii="宋体" w:hAnsi="宋体"/>
                <w:color w:val="auto"/>
                <w:szCs w:val="21"/>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18B0BBBD">
            <w:pPr>
              <w:spacing w:line="300" w:lineRule="exact"/>
              <w:jc w:val="left"/>
              <w:rPr>
                <w:rFonts w:ascii="宋体" w:hAnsi="宋体"/>
                <w:color w:val="auto"/>
                <w:szCs w:val="21"/>
              </w:rPr>
            </w:pPr>
            <w:r>
              <w:rPr>
                <w:rFonts w:hint="eastAsia" w:ascii="宋体" w:hAnsi="宋体"/>
                <w:color w:val="auto"/>
                <w:szCs w:val="21"/>
              </w:rPr>
              <w:t>采购代理机构通过广西政府采购云平台发出</w:t>
            </w:r>
            <w:r>
              <w:rPr>
                <w:rFonts w:ascii="宋体" w:hAnsi="宋体"/>
                <w:color w:val="auto"/>
                <w:szCs w:val="21"/>
              </w:rPr>
              <w:t>成交通知书。</w:t>
            </w:r>
          </w:p>
          <w:p w14:paraId="2B83F004">
            <w:pPr>
              <w:spacing w:line="300" w:lineRule="exact"/>
              <w:jc w:val="left"/>
              <w:rPr>
                <w:rFonts w:ascii="宋体" w:hAnsi="宋体"/>
                <w:color w:val="auto"/>
                <w:szCs w:val="21"/>
              </w:rPr>
            </w:pPr>
            <w:r>
              <w:rPr>
                <w:rFonts w:hint="eastAsia" w:ascii="宋体" w:hAnsi="宋体"/>
                <w:color w:val="auto"/>
                <w:szCs w:val="21"/>
              </w:rPr>
              <w:t>成交通知书在广西政府采购云平台推送之日起，视为成交供应商已收到，成交供应商自行承担未及时查收的后果。</w:t>
            </w:r>
          </w:p>
        </w:tc>
      </w:tr>
      <w:tr w14:paraId="4EFA5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8C451A9">
            <w:pPr>
              <w:spacing w:line="300" w:lineRule="exact"/>
              <w:jc w:val="center"/>
              <w:rPr>
                <w:rFonts w:ascii="宋体" w:hAnsi="宋体"/>
                <w:b/>
                <w:color w:val="auto"/>
                <w:szCs w:val="21"/>
              </w:rPr>
            </w:pPr>
            <w:r>
              <w:rPr>
                <w:rFonts w:ascii="宋体" w:hAnsi="宋体"/>
                <w:b/>
                <w:color w:val="auto"/>
                <w:szCs w:val="21"/>
              </w:rPr>
              <w:t>8.1</w:t>
            </w:r>
          </w:p>
        </w:tc>
        <w:tc>
          <w:tcPr>
            <w:tcW w:w="1248" w:type="dxa"/>
            <w:tcBorders>
              <w:top w:val="single" w:color="auto" w:sz="4" w:space="0"/>
              <w:left w:val="single" w:color="auto" w:sz="4" w:space="0"/>
              <w:bottom w:val="single" w:color="auto" w:sz="4" w:space="0"/>
              <w:right w:val="single" w:color="auto" w:sz="4" w:space="0"/>
            </w:tcBorders>
            <w:vAlign w:val="center"/>
          </w:tcPr>
          <w:p w14:paraId="5A264341">
            <w:pPr>
              <w:spacing w:line="300" w:lineRule="exact"/>
              <w:jc w:val="center"/>
              <w:rPr>
                <w:rFonts w:ascii="宋体" w:hAnsi="宋体"/>
                <w:color w:val="auto"/>
                <w:szCs w:val="21"/>
              </w:rPr>
            </w:pPr>
            <w:r>
              <w:rPr>
                <w:rFonts w:hint="eastAsia" w:ascii="宋体" w:hAnsi="宋体"/>
                <w:color w:val="auto"/>
                <w:szCs w:val="21"/>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2CA10822">
            <w:pPr>
              <w:spacing w:line="300" w:lineRule="exact"/>
              <w:jc w:val="left"/>
              <w:rPr>
                <w:rFonts w:ascii="宋体" w:hAnsi="宋体"/>
                <w:color w:val="auto"/>
                <w:szCs w:val="21"/>
              </w:rPr>
            </w:pPr>
            <w:r>
              <w:rPr>
                <w:rFonts w:hint="eastAsia" w:ascii="宋体" w:hAnsi="宋体"/>
                <w:color w:val="auto"/>
                <w:szCs w:val="21"/>
              </w:rPr>
              <w:t>（1）供应商</w:t>
            </w:r>
            <w:r>
              <w:rPr>
                <w:rFonts w:ascii="宋体" w:hAnsi="宋体"/>
                <w:color w:val="auto"/>
                <w:szCs w:val="21"/>
              </w:rPr>
              <w:t>认为</w:t>
            </w:r>
            <w:r>
              <w:rPr>
                <w:rFonts w:hint="eastAsia" w:ascii="宋体" w:hAnsi="宋体"/>
                <w:color w:val="auto"/>
                <w:szCs w:val="21"/>
              </w:rPr>
              <w:t>采购文件</w:t>
            </w:r>
            <w:r>
              <w:rPr>
                <w:rFonts w:ascii="宋体" w:hAnsi="宋体"/>
                <w:color w:val="auto"/>
                <w:szCs w:val="21"/>
              </w:rPr>
              <w:t>、</w:t>
            </w:r>
            <w:r>
              <w:rPr>
                <w:rFonts w:hint="eastAsia" w:ascii="宋体" w:hAnsi="宋体"/>
                <w:color w:val="auto"/>
                <w:szCs w:val="21"/>
              </w:rPr>
              <w:t>采购</w:t>
            </w:r>
            <w:r>
              <w:rPr>
                <w:rFonts w:ascii="宋体" w:hAnsi="宋体"/>
                <w:color w:val="auto"/>
                <w:szCs w:val="21"/>
              </w:rPr>
              <w:t>过程、</w:t>
            </w:r>
            <w:r>
              <w:rPr>
                <w:rFonts w:hint="eastAsia" w:ascii="宋体" w:hAnsi="宋体"/>
                <w:color w:val="auto"/>
                <w:szCs w:val="21"/>
              </w:rPr>
              <w:t>中标或者成交</w:t>
            </w:r>
            <w:r>
              <w:rPr>
                <w:rFonts w:ascii="宋体" w:hAnsi="宋体"/>
                <w:color w:val="auto"/>
                <w:szCs w:val="21"/>
              </w:rPr>
              <w:t>结果使自己的权益受到损害的，可以在知道或者应知其权益受到损害之日起7个工作日内，</w:t>
            </w:r>
            <w:r>
              <w:rPr>
                <w:rFonts w:hint="eastAsia" w:ascii="宋体" w:hAnsi="宋体"/>
                <w:color w:val="auto"/>
                <w:szCs w:val="21"/>
              </w:rPr>
              <w:t>通过以下方式</w:t>
            </w:r>
            <w:r>
              <w:rPr>
                <w:rFonts w:ascii="宋体" w:hAnsi="宋体"/>
                <w:color w:val="auto"/>
                <w:szCs w:val="21"/>
              </w:rPr>
              <w:t>向采购人、采购代理机构提出质疑。提出质疑的</w:t>
            </w:r>
            <w:r>
              <w:rPr>
                <w:rFonts w:hint="eastAsia" w:ascii="宋体" w:hAnsi="宋体"/>
                <w:color w:val="auto"/>
                <w:szCs w:val="21"/>
              </w:rPr>
              <w:t>供应商</w:t>
            </w:r>
            <w:r>
              <w:rPr>
                <w:rFonts w:ascii="宋体" w:hAnsi="宋体"/>
                <w:color w:val="auto"/>
                <w:szCs w:val="21"/>
              </w:rPr>
              <w:t>必须是参与本项目采购活动的供应商</w:t>
            </w:r>
            <w:r>
              <w:rPr>
                <w:rFonts w:hint="eastAsia" w:ascii="宋体" w:hAnsi="宋体"/>
                <w:color w:val="auto"/>
                <w:szCs w:val="21"/>
              </w:rPr>
              <w:t>，并须在</w:t>
            </w:r>
            <w:r>
              <w:rPr>
                <w:rFonts w:ascii="宋体" w:hAnsi="宋体"/>
                <w:color w:val="auto"/>
                <w:szCs w:val="21"/>
              </w:rPr>
              <w:t>法定质疑期内一次性提出针对同一采购程序环节的质疑。质疑函应使用财政部发布的</w:t>
            </w:r>
            <w:r>
              <w:rPr>
                <w:rFonts w:hint="eastAsia" w:ascii="宋体" w:hAnsi="宋体"/>
                <w:color w:val="auto"/>
                <w:szCs w:val="21"/>
              </w:rPr>
              <w:t>政府采购供应商质疑函范本，并应按照“质疑函制作说明”进行制作。</w:t>
            </w:r>
          </w:p>
          <w:p w14:paraId="1C1E1907">
            <w:pPr>
              <w:spacing w:line="300" w:lineRule="exact"/>
              <w:jc w:val="left"/>
              <w:rPr>
                <w:rFonts w:ascii="宋体" w:hAnsi="宋体"/>
                <w:color w:val="auto"/>
                <w:szCs w:val="21"/>
              </w:rPr>
            </w:pPr>
            <w:r>
              <w:rPr>
                <w:rFonts w:hint="eastAsia" w:ascii="宋体" w:hAnsi="宋体"/>
                <w:color w:val="auto"/>
                <w:szCs w:val="21"/>
              </w:rPr>
              <w:t>（2）</w:t>
            </w:r>
            <w:r>
              <w:rPr>
                <w:rFonts w:ascii="宋体" w:hAnsi="宋体"/>
                <w:color w:val="auto"/>
                <w:szCs w:val="21"/>
              </w:rPr>
              <w:t>本项目不接受传真、移动通信</w:t>
            </w:r>
            <w:r>
              <w:rPr>
                <w:rFonts w:hint="eastAsia" w:ascii="宋体" w:hAnsi="宋体"/>
                <w:color w:val="auto"/>
                <w:szCs w:val="21"/>
              </w:rPr>
              <w:t>、广西政府采购云平台</w:t>
            </w:r>
            <w:r>
              <w:rPr>
                <w:rFonts w:ascii="宋体" w:hAnsi="宋体"/>
                <w:color w:val="auto"/>
                <w:szCs w:val="21"/>
              </w:rPr>
              <w:t>等</w:t>
            </w:r>
            <w:r>
              <w:rPr>
                <w:rFonts w:hint="eastAsia" w:ascii="宋体" w:hAnsi="宋体"/>
                <w:color w:val="auto"/>
                <w:szCs w:val="21"/>
              </w:rPr>
              <w:t>方式</w:t>
            </w:r>
            <w:r>
              <w:rPr>
                <w:rFonts w:ascii="宋体" w:hAnsi="宋体"/>
                <w:color w:val="auto"/>
                <w:szCs w:val="21"/>
              </w:rPr>
              <w:t>送达的质疑材料</w:t>
            </w:r>
            <w:r>
              <w:rPr>
                <w:rFonts w:hint="eastAsia" w:ascii="宋体" w:hAnsi="宋体"/>
                <w:color w:val="auto"/>
                <w:szCs w:val="21"/>
              </w:rPr>
              <w:t>，供应商可通过现场或邮寄方式递交书面质疑材料。供应商应于质疑有效期内将质疑函原件递交或邮寄至磋商公告中采购代理机构信息中的联系人。</w:t>
            </w:r>
          </w:p>
        </w:tc>
      </w:tr>
      <w:tr w14:paraId="75CB0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vAlign w:val="center"/>
          </w:tcPr>
          <w:p w14:paraId="3A20A93F">
            <w:pPr>
              <w:spacing w:line="300" w:lineRule="exact"/>
              <w:jc w:val="center"/>
              <w:rPr>
                <w:rFonts w:ascii="宋体" w:hAnsi="宋体"/>
                <w:b/>
                <w:color w:val="auto"/>
                <w:szCs w:val="21"/>
              </w:rPr>
            </w:pPr>
            <w:r>
              <w:rPr>
                <w:rFonts w:ascii="宋体" w:hAnsi="宋体"/>
                <w:b/>
                <w:color w:val="auto"/>
                <w:szCs w:val="21"/>
              </w:rPr>
              <w:t>9.1</w:t>
            </w:r>
          </w:p>
        </w:tc>
        <w:tc>
          <w:tcPr>
            <w:tcW w:w="1248" w:type="dxa"/>
            <w:tcBorders>
              <w:top w:val="single" w:color="auto" w:sz="4" w:space="0"/>
              <w:left w:val="single" w:color="auto" w:sz="4" w:space="0"/>
              <w:bottom w:val="single" w:color="auto" w:sz="4" w:space="0"/>
              <w:right w:val="single" w:color="auto" w:sz="4" w:space="0"/>
            </w:tcBorders>
            <w:vAlign w:val="center"/>
          </w:tcPr>
          <w:p w14:paraId="429D9E4D">
            <w:pPr>
              <w:spacing w:line="300" w:lineRule="exact"/>
              <w:jc w:val="center"/>
              <w:rPr>
                <w:rFonts w:ascii="宋体" w:hAnsi="宋体"/>
                <w:color w:val="auto"/>
                <w:szCs w:val="21"/>
              </w:rPr>
            </w:pPr>
            <w:r>
              <w:rPr>
                <w:rFonts w:ascii="宋体" w:hAnsi="宋体"/>
                <w:color w:val="auto"/>
                <w:szCs w:val="20"/>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4BC9CBEF">
            <w:pPr>
              <w:rPr>
                <w:rFonts w:ascii="宋体" w:hAnsi="宋体"/>
                <w:color w:val="auto"/>
                <w:szCs w:val="21"/>
              </w:rPr>
            </w:pPr>
            <w:r>
              <w:rPr>
                <w:rFonts w:ascii="宋体" w:hAnsi="宋体"/>
                <w:color w:val="auto"/>
                <w:szCs w:val="21"/>
              </w:rPr>
              <w:t>（1）</w:t>
            </w:r>
            <w:r>
              <w:rPr>
                <w:rFonts w:ascii="宋体" w:hAnsi="宋体"/>
                <w:color w:val="auto"/>
                <w:szCs w:val="20"/>
              </w:rPr>
              <w:t>代理服务费</w:t>
            </w:r>
          </w:p>
          <w:p w14:paraId="79360631">
            <w:pPr>
              <w:spacing w:line="300" w:lineRule="exact"/>
              <w:jc w:val="left"/>
              <w:rPr>
                <w:rFonts w:ascii="宋体" w:hAnsi="宋体"/>
                <w:color w:val="auto"/>
                <w:szCs w:val="21"/>
              </w:rPr>
            </w:pPr>
            <w:r>
              <w:rPr>
                <w:rFonts w:ascii="宋体" w:hAnsi="宋体"/>
                <w:color w:val="auto"/>
                <w:szCs w:val="21"/>
              </w:rPr>
              <w:sym w:font="Wingdings 2" w:char="F052"/>
            </w:r>
            <w:r>
              <w:rPr>
                <w:rFonts w:ascii="宋体" w:hAnsi="宋体"/>
                <w:color w:val="auto"/>
                <w:szCs w:val="21"/>
              </w:rPr>
              <w:t>采购代理机构向成交供应商收取代理服务费。本项目代理服务费</w:t>
            </w:r>
            <w:r>
              <w:rPr>
                <w:rFonts w:hint="eastAsia" w:ascii="宋体" w:hAnsi="宋体"/>
                <w:color w:val="auto"/>
                <w:szCs w:val="21"/>
              </w:rPr>
              <w:t>按照</w:t>
            </w:r>
            <w:r>
              <w:rPr>
                <w:rFonts w:ascii="宋体" w:hAnsi="宋体"/>
                <w:color w:val="auto"/>
                <w:szCs w:val="21"/>
              </w:rPr>
              <w:t>《招标代理服务费管理暂行办法》 (计价格﹝2002﹞1980号)、《国家发展改革委关于降低部分建设项目收费标准规范收费行为等有关问题的通知》(发改价格﹝2011﹞534号)</w:t>
            </w:r>
            <w:r>
              <w:rPr>
                <w:rFonts w:hint="eastAsia" w:ascii="宋体" w:hAnsi="宋体"/>
                <w:color w:val="auto"/>
                <w:szCs w:val="21"/>
              </w:rPr>
              <w:t>的</w:t>
            </w:r>
            <w:r>
              <w:rPr>
                <w:rFonts w:ascii="宋体" w:hAnsi="宋体"/>
                <w:color w:val="auto"/>
                <w:szCs w:val="21"/>
              </w:rPr>
              <w:t>规定</w:t>
            </w:r>
            <w:r>
              <w:rPr>
                <w:rFonts w:hint="eastAsia" w:ascii="宋体" w:hAnsi="宋体"/>
                <w:color w:val="auto"/>
                <w:szCs w:val="21"/>
              </w:rPr>
              <w:t>采用</w:t>
            </w:r>
            <w:r>
              <w:rPr>
                <w:rFonts w:ascii="宋体" w:hAnsi="宋体"/>
                <w:color w:val="auto"/>
                <w:szCs w:val="21"/>
              </w:rPr>
              <w:t>差额定率累进</w:t>
            </w:r>
            <w:r>
              <w:rPr>
                <w:rFonts w:hint="eastAsia" w:ascii="宋体" w:hAnsi="宋体"/>
                <w:color w:val="auto"/>
                <w:szCs w:val="21"/>
              </w:rPr>
              <w:t>法</w:t>
            </w:r>
            <w:r>
              <w:rPr>
                <w:rFonts w:ascii="宋体" w:hAnsi="宋体"/>
                <w:color w:val="auto"/>
                <w:szCs w:val="21"/>
              </w:rPr>
              <w:t>计算</w:t>
            </w:r>
            <w:r>
              <w:rPr>
                <w:rFonts w:hint="eastAsia" w:ascii="宋体" w:hAnsi="宋体"/>
                <w:color w:val="auto"/>
                <w:szCs w:val="21"/>
              </w:rPr>
              <w:t>。</w:t>
            </w:r>
            <w:r>
              <w:rPr>
                <w:rFonts w:ascii="宋体" w:hAnsi="宋体"/>
                <w:color w:val="auto"/>
                <w:szCs w:val="21"/>
              </w:rPr>
              <w:t>具体费率</w:t>
            </w:r>
            <w:r>
              <w:rPr>
                <w:rFonts w:hint="eastAsia" w:ascii="宋体" w:hAnsi="宋体"/>
                <w:color w:val="auto"/>
                <w:szCs w:val="21"/>
              </w:rPr>
              <w:t>如下：</w:t>
            </w:r>
          </w:p>
          <w:p w14:paraId="2421DCA7">
            <w:pPr>
              <w:spacing w:line="300" w:lineRule="exact"/>
              <w:jc w:val="left"/>
              <w:rPr>
                <w:rFonts w:ascii="宋体" w:hAnsi="宋体"/>
                <w:color w:val="auto"/>
                <w:szCs w:val="21"/>
              </w:rPr>
            </w:pPr>
            <w:r>
              <w:rPr>
                <w:rFonts w:hint="eastAsia" w:ascii="宋体" w:hAnsi="宋体"/>
                <w:color w:val="auto"/>
                <w:szCs w:val="21"/>
              </w:rPr>
              <w:t>①成交金额在1</w:t>
            </w:r>
            <w:r>
              <w:rPr>
                <w:rFonts w:ascii="宋体" w:hAnsi="宋体"/>
                <w:color w:val="auto"/>
                <w:szCs w:val="21"/>
              </w:rPr>
              <w:t>00</w:t>
            </w:r>
            <w:r>
              <w:rPr>
                <w:rFonts w:hint="eastAsia" w:ascii="宋体" w:hAnsi="宋体"/>
                <w:color w:val="auto"/>
                <w:szCs w:val="21"/>
              </w:rPr>
              <w:t>万元以下的：</w:t>
            </w:r>
          </w:p>
          <w:p w14:paraId="73499B63">
            <w:pPr>
              <w:spacing w:line="300" w:lineRule="exact"/>
              <w:jc w:val="left"/>
              <w:rPr>
                <w:rFonts w:ascii="宋体" w:hAnsi="宋体"/>
                <w:color w:val="auto"/>
                <w:szCs w:val="21"/>
              </w:rPr>
            </w:pPr>
            <w:r>
              <w:rPr>
                <w:rFonts w:hint="eastAsia" w:ascii="宋体" w:hAnsi="宋体"/>
                <w:color w:val="auto"/>
                <w:szCs w:val="21"/>
              </w:rPr>
              <w:t>货物</w:t>
            </w:r>
            <w:r>
              <w:rPr>
                <w:rFonts w:ascii="宋体" w:hAnsi="宋体"/>
                <w:color w:val="auto"/>
                <w:szCs w:val="21"/>
              </w:rPr>
              <w:t>1.5％</w:t>
            </w:r>
            <w:r>
              <w:rPr>
                <w:rFonts w:hint="eastAsia" w:ascii="宋体" w:hAnsi="宋体"/>
                <w:color w:val="auto"/>
                <w:szCs w:val="21"/>
              </w:rPr>
              <w:t>；</w:t>
            </w:r>
            <w:r>
              <w:rPr>
                <w:rFonts w:ascii="宋体" w:hAnsi="宋体"/>
                <w:color w:val="auto"/>
                <w:szCs w:val="21"/>
              </w:rPr>
              <w:t>服务招标1.5％</w:t>
            </w:r>
            <w:r>
              <w:rPr>
                <w:rFonts w:hint="eastAsia" w:ascii="宋体" w:hAnsi="宋体"/>
                <w:color w:val="auto"/>
                <w:szCs w:val="21"/>
              </w:rPr>
              <w:t>；</w:t>
            </w:r>
            <w:r>
              <w:rPr>
                <w:rFonts w:ascii="宋体" w:hAnsi="宋体"/>
                <w:color w:val="auto"/>
                <w:szCs w:val="21"/>
              </w:rPr>
              <w:t>工程招标1.0％</w:t>
            </w:r>
            <w:r>
              <w:rPr>
                <w:rFonts w:hint="eastAsia" w:ascii="宋体" w:hAnsi="宋体"/>
                <w:color w:val="auto"/>
                <w:szCs w:val="21"/>
              </w:rPr>
              <w:t>；</w:t>
            </w:r>
          </w:p>
          <w:p w14:paraId="08E08702">
            <w:pPr>
              <w:spacing w:line="300" w:lineRule="exact"/>
              <w:jc w:val="left"/>
              <w:rPr>
                <w:rFonts w:ascii="宋体" w:hAnsi="宋体"/>
                <w:color w:val="auto"/>
                <w:szCs w:val="21"/>
              </w:rPr>
            </w:pPr>
            <w:r>
              <w:rPr>
                <w:rFonts w:hint="eastAsia" w:ascii="宋体" w:hAnsi="宋体"/>
                <w:color w:val="auto"/>
                <w:szCs w:val="21"/>
              </w:rPr>
              <w:t>②成交金额在</w:t>
            </w:r>
            <w:r>
              <w:rPr>
                <w:rFonts w:ascii="宋体" w:hAnsi="宋体"/>
                <w:color w:val="auto"/>
                <w:szCs w:val="21"/>
              </w:rPr>
              <w:t>100-500</w:t>
            </w:r>
            <w:r>
              <w:rPr>
                <w:rFonts w:hint="eastAsia" w:ascii="宋体" w:hAnsi="宋体"/>
                <w:color w:val="auto"/>
                <w:szCs w:val="21"/>
              </w:rPr>
              <w:t>万元之间：</w:t>
            </w:r>
          </w:p>
          <w:p w14:paraId="1FB80A87">
            <w:pPr>
              <w:spacing w:line="300" w:lineRule="exact"/>
              <w:jc w:val="left"/>
              <w:rPr>
                <w:rFonts w:ascii="宋体" w:hAnsi="宋体"/>
                <w:color w:val="auto"/>
                <w:szCs w:val="21"/>
              </w:rPr>
            </w:pPr>
            <w:r>
              <w:rPr>
                <w:rFonts w:hint="eastAsia" w:ascii="宋体" w:hAnsi="宋体"/>
                <w:color w:val="auto"/>
                <w:szCs w:val="21"/>
              </w:rPr>
              <w:t>货物</w:t>
            </w:r>
            <w:r>
              <w:rPr>
                <w:rFonts w:ascii="宋体" w:hAnsi="宋体"/>
                <w:color w:val="auto"/>
                <w:szCs w:val="21"/>
              </w:rPr>
              <w:t>1.1％</w:t>
            </w:r>
            <w:r>
              <w:rPr>
                <w:rFonts w:hint="eastAsia" w:ascii="宋体" w:hAnsi="宋体"/>
                <w:color w:val="auto"/>
                <w:szCs w:val="21"/>
              </w:rPr>
              <w:t>；</w:t>
            </w:r>
            <w:r>
              <w:rPr>
                <w:rFonts w:ascii="宋体" w:hAnsi="宋体"/>
                <w:color w:val="auto"/>
                <w:szCs w:val="21"/>
              </w:rPr>
              <w:t>服务招标0.8％</w:t>
            </w:r>
            <w:r>
              <w:rPr>
                <w:rFonts w:hint="eastAsia" w:ascii="宋体" w:hAnsi="宋体"/>
                <w:color w:val="auto"/>
                <w:szCs w:val="21"/>
              </w:rPr>
              <w:t>；</w:t>
            </w:r>
            <w:r>
              <w:rPr>
                <w:rFonts w:ascii="宋体" w:hAnsi="宋体"/>
                <w:color w:val="auto"/>
                <w:szCs w:val="21"/>
              </w:rPr>
              <w:t>工程招标0.7％</w:t>
            </w:r>
            <w:r>
              <w:rPr>
                <w:rFonts w:hint="eastAsia" w:ascii="宋体" w:hAnsi="宋体"/>
                <w:color w:val="auto"/>
                <w:szCs w:val="21"/>
              </w:rPr>
              <w:t>；</w:t>
            </w:r>
          </w:p>
          <w:p w14:paraId="5746C03D">
            <w:pPr>
              <w:spacing w:line="300" w:lineRule="exact"/>
              <w:jc w:val="left"/>
              <w:rPr>
                <w:rFonts w:ascii="宋体" w:hAnsi="宋体"/>
                <w:color w:val="auto"/>
                <w:szCs w:val="21"/>
              </w:rPr>
            </w:pPr>
            <w:r>
              <w:rPr>
                <w:rFonts w:hint="eastAsia" w:ascii="宋体" w:hAnsi="宋体"/>
                <w:color w:val="auto"/>
                <w:szCs w:val="21"/>
              </w:rPr>
              <w:t>③成交金额在</w:t>
            </w:r>
            <w:r>
              <w:rPr>
                <w:rFonts w:ascii="宋体" w:hAnsi="宋体"/>
                <w:color w:val="auto"/>
                <w:szCs w:val="21"/>
              </w:rPr>
              <w:t>5</w:t>
            </w:r>
            <w:r>
              <w:rPr>
                <w:rFonts w:hint="eastAsia" w:ascii="宋体" w:hAnsi="宋体"/>
                <w:color w:val="auto"/>
                <w:szCs w:val="21"/>
              </w:rPr>
              <w:t>0</w:t>
            </w:r>
            <w:r>
              <w:rPr>
                <w:rFonts w:ascii="宋体" w:hAnsi="宋体"/>
                <w:color w:val="auto"/>
                <w:szCs w:val="21"/>
              </w:rPr>
              <w:t>0-1</w:t>
            </w:r>
            <w:r>
              <w:rPr>
                <w:rFonts w:hint="eastAsia" w:ascii="宋体" w:hAnsi="宋体"/>
                <w:color w:val="auto"/>
                <w:szCs w:val="21"/>
              </w:rPr>
              <w:t>00</w:t>
            </w:r>
            <w:r>
              <w:rPr>
                <w:rFonts w:ascii="宋体" w:hAnsi="宋体"/>
                <w:color w:val="auto"/>
                <w:szCs w:val="21"/>
              </w:rPr>
              <w:t>0</w:t>
            </w:r>
            <w:r>
              <w:rPr>
                <w:rFonts w:hint="eastAsia" w:ascii="宋体" w:hAnsi="宋体"/>
                <w:color w:val="auto"/>
                <w:szCs w:val="21"/>
              </w:rPr>
              <w:t>万元之间：</w:t>
            </w:r>
          </w:p>
          <w:p w14:paraId="12EF95C0">
            <w:pPr>
              <w:spacing w:line="300" w:lineRule="exact"/>
              <w:jc w:val="left"/>
              <w:rPr>
                <w:rFonts w:ascii="宋体" w:hAnsi="宋体"/>
                <w:color w:val="auto"/>
                <w:szCs w:val="21"/>
              </w:rPr>
            </w:pPr>
            <w:r>
              <w:rPr>
                <w:rFonts w:hint="eastAsia" w:ascii="宋体" w:hAnsi="宋体"/>
                <w:color w:val="auto"/>
                <w:szCs w:val="21"/>
              </w:rPr>
              <w:t>货物</w:t>
            </w:r>
            <w:r>
              <w:rPr>
                <w:rFonts w:ascii="宋体" w:hAnsi="宋体"/>
                <w:color w:val="auto"/>
                <w:szCs w:val="21"/>
              </w:rPr>
              <w:t>0.8％</w:t>
            </w:r>
            <w:r>
              <w:rPr>
                <w:rFonts w:hint="eastAsia" w:ascii="宋体" w:hAnsi="宋体"/>
                <w:color w:val="auto"/>
                <w:szCs w:val="21"/>
              </w:rPr>
              <w:t>；</w:t>
            </w:r>
            <w:r>
              <w:rPr>
                <w:rFonts w:ascii="宋体" w:hAnsi="宋体"/>
                <w:color w:val="auto"/>
                <w:szCs w:val="21"/>
              </w:rPr>
              <w:t>服务招标0.45％</w:t>
            </w:r>
            <w:r>
              <w:rPr>
                <w:rFonts w:hint="eastAsia" w:ascii="宋体" w:hAnsi="宋体"/>
                <w:color w:val="auto"/>
                <w:szCs w:val="21"/>
              </w:rPr>
              <w:t>；</w:t>
            </w:r>
            <w:r>
              <w:rPr>
                <w:rFonts w:ascii="宋体" w:hAnsi="宋体"/>
                <w:color w:val="auto"/>
                <w:szCs w:val="21"/>
              </w:rPr>
              <w:t>工程招标0.55％</w:t>
            </w:r>
            <w:r>
              <w:rPr>
                <w:rFonts w:hint="eastAsia" w:ascii="宋体" w:hAnsi="宋体"/>
                <w:color w:val="auto"/>
                <w:szCs w:val="21"/>
              </w:rPr>
              <w:t>；</w:t>
            </w:r>
          </w:p>
          <w:p w14:paraId="32F870E5">
            <w:pPr>
              <w:spacing w:line="300" w:lineRule="exact"/>
              <w:jc w:val="left"/>
              <w:rPr>
                <w:rFonts w:ascii="宋体" w:hAnsi="宋体"/>
                <w:color w:val="auto"/>
                <w:szCs w:val="21"/>
              </w:rPr>
            </w:pPr>
            <w:r>
              <w:rPr>
                <w:rFonts w:hint="eastAsia" w:ascii="宋体" w:hAnsi="宋体"/>
                <w:color w:val="auto"/>
                <w:szCs w:val="21"/>
              </w:rPr>
              <w:t>④成交金额在</w:t>
            </w:r>
            <w:r>
              <w:rPr>
                <w:rFonts w:ascii="宋体" w:hAnsi="宋体"/>
                <w:color w:val="auto"/>
                <w:szCs w:val="21"/>
              </w:rPr>
              <w:t>1000-5000</w:t>
            </w:r>
            <w:r>
              <w:rPr>
                <w:rFonts w:hint="eastAsia" w:ascii="宋体" w:hAnsi="宋体"/>
                <w:color w:val="auto"/>
                <w:szCs w:val="21"/>
              </w:rPr>
              <w:t>万元之间：</w:t>
            </w:r>
          </w:p>
          <w:p w14:paraId="38145330">
            <w:pPr>
              <w:spacing w:line="300" w:lineRule="exact"/>
              <w:jc w:val="left"/>
              <w:rPr>
                <w:rFonts w:ascii="宋体" w:hAnsi="宋体"/>
                <w:color w:val="auto"/>
                <w:szCs w:val="21"/>
              </w:rPr>
            </w:pPr>
            <w:r>
              <w:rPr>
                <w:rFonts w:hint="eastAsia" w:ascii="宋体" w:hAnsi="宋体"/>
                <w:color w:val="auto"/>
                <w:szCs w:val="21"/>
              </w:rPr>
              <w:t>货物</w:t>
            </w:r>
            <w:r>
              <w:rPr>
                <w:rFonts w:ascii="宋体" w:hAnsi="宋体"/>
                <w:color w:val="auto"/>
                <w:szCs w:val="21"/>
              </w:rPr>
              <w:t>0.5％</w:t>
            </w:r>
            <w:r>
              <w:rPr>
                <w:rFonts w:hint="eastAsia" w:ascii="宋体" w:hAnsi="宋体"/>
                <w:color w:val="auto"/>
                <w:szCs w:val="21"/>
              </w:rPr>
              <w:t>；</w:t>
            </w:r>
            <w:r>
              <w:rPr>
                <w:rFonts w:ascii="宋体" w:hAnsi="宋体"/>
                <w:color w:val="auto"/>
                <w:szCs w:val="21"/>
              </w:rPr>
              <w:t>服务招标0.25％</w:t>
            </w:r>
            <w:r>
              <w:rPr>
                <w:rFonts w:hint="eastAsia" w:ascii="宋体" w:hAnsi="宋体"/>
                <w:color w:val="auto"/>
                <w:szCs w:val="21"/>
              </w:rPr>
              <w:t>；</w:t>
            </w:r>
            <w:r>
              <w:rPr>
                <w:rFonts w:ascii="宋体" w:hAnsi="宋体"/>
                <w:color w:val="auto"/>
                <w:szCs w:val="21"/>
              </w:rPr>
              <w:t>工程招标0.35％</w:t>
            </w:r>
            <w:r>
              <w:rPr>
                <w:rFonts w:hint="eastAsia" w:ascii="宋体" w:hAnsi="宋体"/>
                <w:color w:val="auto"/>
                <w:szCs w:val="21"/>
              </w:rPr>
              <w:t>；</w:t>
            </w:r>
          </w:p>
          <w:p w14:paraId="5A71CF0D">
            <w:pPr>
              <w:spacing w:line="300" w:lineRule="exact"/>
              <w:jc w:val="left"/>
              <w:rPr>
                <w:rFonts w:ascii="宋体" w:hAnsi="宋体"/>
                <w:color w:val="auto"/>
                <w:szCs w:val="21"/>
              </w:rPr>
            </w:pPr>
            <w:r>
              <w:rPr>
                <w:rFonts w:hint="eastAsia" w:ascii="宋体" w:hAnsi="宋体"/>
                <w:color w:val="auto"/>
                <w:szCs w:val="21"/>
              </w:rPr>
              <w:t>……</w:t>
            </w:r>
          </w:p>
          <w:p w14:paraId="2AF23ECE">
            <w:pPr>
              <w:spacing w:line="300" w:lineRule="exact"/>
              <w:jc w:val="left"/>
              <w:rPr>
                <w:rFonts w:ascii="宋体" w:hAnsi="宋体"/>
                <w:color w:val="auto"/>
                <w:szCs w:val="21"/>
              </w:rPr>
            </w:pPr>
            <w:r>
              <w:rPr>
                <w:rFonts w:ascii="宋体" w:hAnsi="宋体"/>
                <w:color w:val="auto"/>
                <w:szCs w:val="21"/>
              </w:rPr>
              <w:t>差额定率累进</w:t>
            </w:r>
            <w:r>
              <w:rPr>
                <w:rFonts w:hint="eastAsia" w:ascii="宋体" w:hAnsi="宋体"/>
                <w:color w:val="auto"/>
                <w:szCs w:val="21"/>
              </w:rPr>
              <w:t>法</w:t>
            </w:r>
            <w:r>
              <w:rPr>
                <w:rFonts w:ascii="宋体" w:hAnsi="宋体"/>
                <w:color w:val="auto"/>
                <w:szCs w:val="21"/>
              </w:rPr>
              <w:t>计算</w:t>
            </w:r>
            <w:r>
              <w:rPr>
                <w:rFonts w:hint="eastAsia" w:ascii="宋体" w:hAnsi="宋体"/>
                <w:color w:val="auto"/>
                <w:szCs w:val="21"/>
              </w:rPr>
              <w:t>过程示例：</w:t>
            </w:r>
          </w:p>
          <w:p w14:paraId="0CCF0EC4">
            <w:pPr>
              <w:spacing w:line="300" w:lineRule="exact"/>
              <w:jc w:val="left"/>
              <w:rPr>
                <w:rFonts w:ascii="宋体" w:hAnsi="宋体"/>
                <w:color w:val="auto"/>
                <w:szCs w:val="21"/>
              </w:rPr>
            </w:pPr>
            <w:r>
              <w:rPr>
                <w:rFonts w:ascii="宋体" w:hAnsi="宋体"/>
                <w:color w:val="auto"/>
                <w:szCs w:val="21"/>
              </w:rPr>
              <w:t>例如：某货物招标代理业务成交金额为300万元，招标代理服务费金额按如下计算：</w:t>
            </w:r>
          </w:p>
          <w:p w14:paraId="0613FC5F">
            <w:pPr>
              <w:spacing w:line="300" w:lineRule="exact"/>
              <w:jc w:val="left"/>
              <w:rPr>
                <w:rFonts w:ascii="宋体" w:hAnsi="宋体"/>
                <w:color w:val="auto"/>
                <w:szCs w:val="21"/>
              </w:rPr>
            </w:pPr>
            <w:r>
              <w:rPr>
                <w:rFonts w:ascii="宋体" w:hAnsi="宋体"/>
                <w:color w:val="auto"/>
                <w:szCs w:val="21"/>
              </w:rPr>
              <w:t>100万元×1.5%＝1.5万元</w:t>
            </w:r>
          </w:p>
          <w:p w14:paraId="0543C495">
            <w:pPr>
              <w:spacing w:line="300" w:lineRule="exact"/>
              <w:jc w:val="left"/>
              <w:rPr>
                <w:rFonts w:ascii="宋体" w:hAnsi="宋体"/>
                <w:color w:val="auto"/>
                <w:szCs w:val="21"/>
              </w:rPr>
            </w:pPr>
            <w:r>
              <w:rPr>
                <w:rFonts w:ascii="宋体" w:hAnsi="宋体"/>
                <w:color w:val="auto"/>
                <w:szCs w:val="21"/>
              </w:rPr>
              <w:t>（300－100）万元×1.1%＝2.2万元</w:t>
            </w:r>
          </w:p>
          <w:p w14:paraId="14B803B6">
            <w:pPr>
              <w:spacing w:line="300" w:lineRule="exact"/>
              <w:jc w:val="left"/>
              <w:rPr>
                <w:rFonts w:ascii="宋体" w:hAnsi="宋体"/>
                <w:color w:val="auto"/>
                <w:szCs w:val="21"/>
              </w:rPr>
            </w:pPr>
            <w:r>
              <w:rPr>
                <w:rFonts w:ascii="宋体" w:hAnsi="宋体"/>
                <w:color w:val="auto"/>
                <w:szCs w:val="21"/>
              </w:rPr>
              <w:t>合计收费＝1.5＋2.2=3.7万元</w:t>
            </w:r>
          </w:p>
          <w:p w14:paraId="131514C7">
            <w:pPr>
              <w:spacing w:line="300" w:lineRule="exact"/>
              <w:jc w:val="left"/>
              <w:rPr>
                <w:rFonts w:ascii="宋体" w:hAnsi="宋体"/>
                <w:color w:val="auto"/>
                <w:szCs w:val="21"/>
                <w:u w:val="single"/>
              </w:rPr>
            </w:pPr>
            <w:r>
              <w:rPr>
                <w:rFonts w:ascii="宋体" w:hAnsi="宋体"/>
                <w:color w:val="auto"/>
                <w:szCs w:val="21"/>
              </w:rPr>
              <w:sym w:font="Wingdings 2" w:char="F0A3"/>
            </w:r>
            <w:r>
              <w:rPr>
                <w:rFonts w:ascii="宋体" w:hAnsi="宋体"/>
                <w:color w:val="auto"/>
                <w:szCs w:val="21"/>
              </w:rPr>
              <w:t>采购代理机构</w:t>
            </w:r>
            <w:r>
              <w:rPr>
                <w:rFonts w:ascii="宋体" w:hAnsi="宋体"/>
                <w:color w:val="auto"/>
                <w:szCs w:val="20"/>
              </w:rPr>
              <w:t>向成交供应商收取代理服务费</w:t>
            </w:r>
            <w:r>
              <w:rPr>
                <w:rFonts w:hint="eastAsia" w:ascii="宋体" w:hAnsi="宋体"/>
                <w:color w:val="auto"/>
                <w:szCs w:val="20"/>
              </w:rPr>
              <w:t>，</w:t>
            </w:r>
            <w:r>
              <w:rPr>
                <w:rFonts w:ascii="宋体" w:hAnsi="宋体"/>
                <w:color w:val="auto"/>
                <w:szCs w:val="20"/>
              </w:rPr>
              <w:t>具体金额为</w:t>
            </w:r>
            <w:r>
              <w:rPr>
                <w:rFonts w:hint="eastAsia" w:ascii="宋体" w:hAnsi="宋体"/>
                <w:color w:val="auto"/>
                <w:szCs w:val="20"/>
                <w:u w:val="single"/>
              </w:rPr>
              <w:t xml:space="preserve">             </w:t>
            </w:r>
            <w:r>
              <w:rPr>
                <w:rFonts w:hint="eastAsia" w:ascii="宋体" w:hAnsi="宋体"/>
                <w:color w:val="auto"/>
                <w:szCs w:val="20"/>
              </w:rPr>
              <w:t>。</w:t>
            </w:r>
          </w:p>
          <w:p w14:paraId="67932184">
            <w:pPr>
              <w:spacing w:line="300" w:lineRule="exact"/>
              <w:jc w:val="left"/>
              <w:rPr>
                <w:rFonts w:ascii="宋体" w:hAnsi="宋体"/>
                <w:color w:val="auto"/>
                <w:szCs w:val="21"/>
              </w:rPr>
            </w:pPr>
            <w:r>
              <w:rPr>
                <w:rFonts w:ascii="宋体" w:hAnsi="宋体"/>
                <w:color w:val="auto"/>
                <w:szCs w:val="21"/>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4A1AD7CA">
            <w:pPr>
              <w:spacing w:line="300" w:lineRule="exact"/>
              <w:jc w:val="left"/>
              <w:rPr>
                <w:rFonts w:ascii="宋体" w:hAnsi="宋体"/>
                <w:color w:val="auto"/>
                <w:kern w:val="0"/>
                <w:szCs w:val="21"/>
              </w:rPr>
            </w:pPr>
            <w:r>
              <w:rPr>
                <w:rFonts w:hint="eastAsia" w:ascii="宋体" w:hAnsi="宋体"/>
                <w:color w:val="auto"/>
                <w:kern w:val="0"/>
                <w:szCs w:val="21"/>
              </w:rPr>
              <w:t>开户银行：广西北部湾银行南宁市金湖支行</w:t>
            </w:r>
          </w:p>
          <w:p w14:paraId="497146F2">
            <w:pPr>
              <w:spacing w:line="300" w:lineRule="exact"/>
              <w:jc w:val="left"/>
              <w:rPr>
                <w:rFonts w:ascii="宋体" w:hAnsi="宋体"/>
                <w:color w:val="auto"/>
                <w:kern w:val="0"/>
                <w:szCs w:val="21"/>
              </w:rPr>
            </w:pPr>
            <w:r>
              <w:rPr>
                <w:rFonts w:hint="eastAsia" w:ascii="宋体" w:hAnsi="宋体"/>
                <w:color w:val="auto"/>
                <w:kern w:val="0"/>
                <w:szCs w:val="21"/>
              </w:rPr>
              <w:t>（银行地址：南宁市金湖路57号文德大厦1楼）</w:t>
            </w:r>
          </w:p>
          <w:p w14:paraId="77012928">
            <w:pPr>
              <w:spacing w:line="300" w:lineRule="exact"/>
              <w:jc w:val="left"/>
              <w:rPr>
                <w:rFonts w:ascii="宋体" w:hAnsi="宋体"/>
                <w:color w:val="auto"/>
                <w:kern w:val="0"/>
                <w:szCs w:val="21"/>
              </w:rPr>
            </w:pPr>
            <w:r>
              <w:rPr>
                <w:rFonts w:hint="eastAsia" w:ascii="宋体" w:hAnsi="宋体"/>
                <w:color w:val="auto"/>
                <w:kern w:val="0"/>
                <w:szCs w:val="21"/>
              </w:rPr>
              <w:t>开户名称：广西机电设备招标有限公司</w:t>
            </w:r>
          </w:p>
          <w:p w14:paraId="59B6D5D3">
            <w:pPr>
              <w:spacing w:line="300" w:lineRule="exact"/>
              <w:jc w:val="left"/>
              <w:rPr>
                <w:rFonts w:ascii="宋体" w:hAnsi="宋体"/>
                <w:color w:val="auto"/>
                <w:kern w:val="0"/>
                <w:szCs w:val="21"/>
              </w:rPr>
            </w:pPr>
            <w:r>
              <w:rPr>
                <w:rFonts w:hint="eastAsia" w:ascii="宋体" w:hAnsi="宋体"/>
                <w:color w:val="auto"/>
                <w:kern w:val="0"/>
                <w:szCs w:val="21"/>
              </w:rPr>
              <w:t>银行账号：1705012090027723 (联行号 313611017053)</w:t>
            </w:r>
          </w:p>
          <w:p w14:paraId="0D50F605">
            <w:pPr>
              <w:spacing w:line="300" w:lineRule="exact"/>
              <w:jc w:val="left"/>
              <w:rPr>
                <w:rFonts w:ascii="宋体" w:hAnsi="宋体"/>
                <w:color w:val="auto"/>
                <w:kern w:val="0"/>
                <w:szCs w:val="21"/>
              </w:rPr>
            </w:pPr>
            <w:r>
              <w:rPr>
                <w:rFonts w:hint="eastAsia" w:ascii="宋体" w:hAnsi="宋体"/>
                <w:color w:val="auto"/>
                <w:kern w:val="0"/>
                <w:szCs w:val="21"/>
              </w:rPr>
              <w:t>财务联系人：吴茜（电话：0771-2821398）</w:t>
            </w:r>
          </w:p>
        </w:tc>
      </w:tr>
      <w:tr w14:paraId="3E2FD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2075A1B7">
            <w:pPr>
              <w:spacing w:line="300" w:lineRule="exact"/>
              <w:jc w:val="center"/>
              <w:rPr>
                <w:rFonts w:ascii="宋体" w:hAnsi="宋体"/>
                <w:b/>
                <w:color w:val="auto"/>
                <w:szCs w:val="21"/>
              </w:rPr>
            </w:pPr>
            <w:r>
              <w:rPr>
                <w:rFonts w:ascii="宋体" w:hAnsi="宋体"/>
                <w:b/>
                <w:color w:val="auto"/>
                <w:szCs w:val="21"/>
              </w:rPr>
              <w:t>9.3</w:t>
            </w:r>
          </w:p>
        </w:tc>
        <w:tc>
          <w:tcPr>
            <w:tcW w:w="1248" w:type="dxa"/>
            <w:tcBorders>
              <w:top w:val="single" w:color="auto" w:sz="4" w:space="0"/>
              <w:left w:val="single" w:color="auto" w:sz="4" w:space="0"/>
              <w:bottom w:val="single" w:color="auto" w:sz="4" w:space="0"/>
              <w:right w:val="single" w:color="auto" w:sz="4" w:space="0"/>
            </w:tcBorders>
            <w:vAlign w:val="center"/>
          </w:tcPr>
          <w:p w14:paraId="3C9EE750">
            <w:pPr>
              <w:spacing w:line="300" w:lineRule="exact"/>
              <w:jc w:val="center"/>
              <w:rPr>
                <w:rFonts w:ascii="宋体" w:hAnsi="宋体"/>
                <w:color w:val="auto"/>
                <w:szCs w:val="20"/>
              </w:rPr>
            </w:pPr>
            <w:r>
              <w:rPr>
                <w:rFonts w:hint="eastAsia" w:ascii="宋体" w:hAnsi="宋体"/>
                <w:color w:val="auto"/>
                <w:szCs w:val="20"/>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3084F5C8">
            <w:pPr>
              <w:spacing w:line="276" w:lineRule="auto"/>
              <w:rPr>
                <w:rFonts w:ascii="宋体" w:hAnsi="宋体"/>
                <w:color w:val="auto"/>
                <w:szCs w:val="21"/>
              </w:rPr>
            </w:pPr>
            <w:r>
              <w:rPr>
                <w:rFonts w:ascii="宋体" w:hAnsi="宋体"/>
                <w:color w:val="auto"/>
                <w:sz w:val="22"/>
                <w:szCs w:val="22"/>
              </w:rPr>
              <w:sym w:font="Wingdings 2" w:char="F052"/>
            </w:r>
            <w:r>
              <w:rPr>
                <w:rFonts w:hint="eastAsia" w:ascii="宋体" w:hAnsi="宋体"/>
                <w:color w:val="auto"/>
                <w:szCs w:val="21"/>
              </w:rPr>
              <w:t>无</w:t>
            </w:r>
          </w:p>
          <w:p w14:paraId="093C97FD">
            <w:pPr>
              <w:spacing w:line="276" w:lineRule="auto"/>
              <w:rPr>
                <w:rFonts w:ascii="宋体" w:hAnsi="宋体"/>
                <w:color w:val="auto"/>
                <w:szCs w:val="21"/>
                <w:u w:val="single"/>
              </w:rPr>
            </w:pPr>
            <w:r>
              <w:rPr>
                <w:rFonts w:hint="eastAsia" w:ascii="宋体" w:hAnsi="宋体"/>
                <w:color w:val="auto"/>
                <w:szCs w:val="21"/>
              </w:rPr>
              <w:t>□有，详见：</w:t>
            </w:r>
            <w:r>
              <w:rPr>
                <w:rFonts w:hint="eastAsia" w:ascii="宋体" w:hAnsi="宋体"/>
                <w:color w:val="auto"/>
                <w:szCs w:val="21"/>
                <w:u w:val="single"/>
              </w:rPr>
              <w:t xml:space="preserve"> </w:t>
            </w:r>
            <w:r>
              <w:rPr>
                <w:rFonts w:ascii="宋体" w:hAnsi="宋体"/>
                <w:color w:val="auto"/>
                <w:szCs w:val="21"/>
                <w:u w:val="single"/>
              </w:rPr>
              <w:t xml:space="preserve">         </w:t>
            </w:r>
          </w:p>
        </w:tc>
      </w:tr>
      <w:tr w14:paraId="136A2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435FB442">
            <w:pPr>
              <w:spacing w:line="300" w:lineRule="exact"/>
              <w:jc w:val="center"/>
              <w:rPr>
                <w:rFonts w:ascii="宋体" w:hAnsi="宋体"/>
                <w:b/>
                <w:color w:val="auto"/>
                <w:szCs w:val="21"/>
              </w:rPr>
            </w:pPr>
            <w:r>
              <w:rPr>
                <w:rFonts w:ascii="宋体" w:hAnsi="宋体"/>
                <w:b/>
                <w:color w:val="auto"/>
                <w:szCs w:val="21"/>
              </w:rPr>
              <w:t>9.3</w:t>
            </w:r>
          </w:p>
        </w:tc>
        <w:tc>
          <w:tcPr>
            <w:tcW w:w="1248" w:type="dxa"/>
            <w:tcBorders>
              <w:top w:val="single" w:color="auto" w:sz="4" w:space="0"/>
              <w:left w:val="single" w:color="auto" w:sz="4" w:space="0"/>
              <w:bottom w:val="single" w:color="auto" w:sz="4" w:space="0"/>
              <w:right w:val="single" w:color="auto" w:sz="4" w:space="0"/>
            </w:tcBorders>
            <w:vAlign w:val="center"/>
          </w:tcPr>
          <w:p w14:paraId="73A57BDD">
            <w:pPr>
              <w:spacing w:line="300" w:lineRule="exact"/>
              <w:jc w:val="center"/>
              <w:rPr>
                <w:rFonts w:ascii="宋体" w:hAnsi="宋体"/>
                <w:color w:val="auto"/>
                <w:szCs w:val="20"/>
              </w:rPr>
            </w:pPr>
            <w:r>
              <w:rPr>
                <w:rFonts w:hint="eastAsia" w:ascii="宋体" w:hAnsi="宋体"/>
                <w:color w:val="auto"/>
                <w:szCs w:val="20"/>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3F50926C">
            <w:pPr>
              <w:spacing w:line="276" w:lineRule="auto"/>
              <w:rPr>
                <w:rFonts w:ascii="宋体" w:hAnsi="宋体"/>
                <w:color w:val="auto"/>
                <w:szCs w:val="21"/>
              </w:rPr>
            </w:pPr>
            <w:r>
              <w:rPr>
                <w:rFonts w:ascii="宋体" w:hAnsi="宋体"/>
                <w:color w:val="auto"/>
                <w:sz w:val="22"/>
                <w:szCs w:val="22"/>
              </w:rPr>
              <w:sym w:font="Wingdings 2" w:char="F052"/>
            </w:r>
            <w:r>
              <w:rPr>
                <w:rFonts w:hint="eastAsia" w:ascii="宋体" w:hAnsi="宋体"/>
                <w:color w:val="auto"/>
                <w:szCs w:val="21"/>
              </w:rPr>
              <w:t>无</w:t>
            </w:r>
          </w:p>
          <w:p w14:paraId="5616494F">
            <w:pPr>
              <w:spacing w:line="276" w:lineRule="auto"/>
              <w:rPr>
                <w:rFonts w:ascii="宋体" w:hAnsi="宋体"/>
                <w:color w:val="auto"/>
                <w:szCs w:val="21"/>
                <w:u w:val="single"/>
              </w:rPr>
            </w:pPr>
            <w:r>
              <w:rPr>
                <w:rFonts w:hint="eastAsia" w:ascii="宋体" w:hAnsi="宋体"/>
                <w:color w:val="auto"/>
                <w:szCs w:val="21"/>
              </w:rPr>
              <w:t>□有，详见：</w:t>
            </w:r>
            <w:r>
              <w:rPr>
                <w:rFonts w:hint="eastAsia" w:ascii="宋体" w:hAnsi="宋体"/>
                <w:color w:val="auto"/>
                <w:szCs w:val="21"/>
                <w:u w:val="single"/>
              </w:rPr>
              <w:t xml:space="preserve"> </w:t>
            </w:r>
            <w:r>
              <w:rPr>
                <w:rFonts w:ascii="宋体" w:hAnsi="宋体"/>
                <w:color w:val="auto"/>
                <w:szCs w:val="21"/>
                <w:u w:val="single"/>
              </w:rPr>
              <w:t xml:space="preserve">            </w:t>
            </w:r>
          </w:p>
        </w:tc>
      </w:tr>
      <w:tr w14:paraId="51AFC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7AB2A801">
            <w:pPr>
              <w:spacing w:line="300" w:lineRule="exact"/>
              <w:jc w:val="center"/>
              <w:rPr>
                <w:rFonts w:ascii="宋体" w:hAnsi="宋体"/>
                <w:b/>
                <w:color w:val="auto"/>
                <w:szCs w:val="21"/>
              </w:rPr>
            </w:pPr>
            <w:r>
              <w:rPr>
                <w:rFonts w:ascii="宋体" w:hAnsi="宋体"/>
                <w:b/>
                <w:color w:val="auto"/>
                <w:szCs w:val="21"/>
              </w:rPr>
              <w:t>9.4</w:t>
            </w:r>
          </w:p>
        </w:tc>
        <w:tc>
          <w:tcPr>
            <w:tcW w:w="1248" w:type="dxa"/>
            <w:tcBorders>
              <w:top w:val="single" w:color="auto" w:sz="4" w:space="0"/>
              <w:left w:val="single" w:color="auto" w:sz="4" w:space="0"/>
              <w:bottom w:val="single" w:color="auto" w:sz="4" w:space="0"/>
              <w:right w:val="single" w:color="auto" w:sz="4" w:space="0"/>
            </w:tcBorders>
            <w:vAlign w:val="center"/>
          </w:tcPr>
          <w:p w14:paraId="5DC491C0">
            <w:pPr>
              <w:spacing w:line="300" w:lineRule="exact"/>
              <w:jc w:val="center"/>
              <w:rPr>
                <w:rFonts w:ascii="宋体" w:hAnsi="宋体"/>
                <w:color w:val="auto"/>
                <w:szCs w:val="20"/>
              </w:rPr>
            </w:pPr>
            <w:r>
              <w:rPr>
                <w:rFonts w:hint="eastAsia" w:ascii="宋体" w:hAnsi="宋体"/>
                <w:color w:val="auto"/>
                <w:szCs w:val="20"/>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5D5F7764">
            <w:pPr>
              <w:spacing w:line="276" w:lineRule="auto"/>
              <w:rPr>
                <w:rFonts w:ascii="宋体" w:hAnsi="宋体"/>
                <w:color w:val="auto"/>
                <w:szCs w:val="21"/>
              </w:rPr>
            </w:pPr>
            <w:r>
              <w:rPr>
                <w:rFonts w:hint="eastAsia" w:ascii="宋体" w:hAnsi="宋体"/>
                <w:color w:val="auto"/>
                <w:szCs w:val="21"/>
              </w:rPr>
              <w:t>构成本采购文件的各个组成文件应互为解释，互为说明：</w:t>
            </w:r>
          </w:p>
          <w:p w14:paraId="576AC7CA">
            <w:pPr>
              <w:spacing w:line="276" w:lineRule="auto"/>
              <w:rPr>
                <w:rFonts w:ascii="宋体" w:hAnsi="宋体"/>
                <w:color w:val="auto"/>
                <w:sz w:val="24"/>
              </w:rPr>
            </w:pPr>
            <w:r>
              <w:rPr>
                <w:rFonts w:hint="eastAsia" w:ascii="宋体" w:hAnsi="宋体"/>
                <w:color w:val="auto"/>
                <w:szCs w:val="21"/>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4559BB49">
      <w:pPr>
        <w:rPr>
          <w:rFonts w:ascii="宋体" w:hAnsi="宋体"/>
          <w:color w:val="auto"/>
        </w:rPr>
      </w:pPr>
    </w:p>
    <w:bookmarkEnd w:id="21"/>
    <w:p w14:paraId="033D9726">
      <w:pPr>
        <w:spacing w:before="120" w:line="320" w:lineRule="atLeast"/>
        <w:outlineLvl w:val="1"/>
        <w:rPr>
          <w:rFonts w:ascii="宋体" w:hAnsi="宋体"/>
          <w:b/>
          <w:bCs/>
          <w:color w:val="auto"/>
          <w:kern w:val="0"/>
          <w:szCs w:val="21"/>
        </w:rPr>
      </w:pPr>
      <w:r>
        <w:rPr>
          <w:rFonts w:ascii="宋体" w:hAnsi="宋体"/>
          <w:color w:val="auto"/>
          <w:szCs w:val="21"/>
        </w:rPr>
        <w:br w:type="page"/>
      </w:r>
      <w:r>
        <w:rPr>
          <w:rFonts w:ascii="宋体" w:hAnsi="宋体"/>
          <w:b/>
          <w:bCs/>
          <w:color w:val="auto"/>
          <w:kern w:val="0"/>
          <w:szCs w:val="21"/>
        </w:rPr>
        <w:t>1．总则</w:t>
      </w:r>
    </w:p>
    <w:p w14:paraId="31891C82">
      <w:pPr>
        <w:spacing w:before="120" w:line="320" w:lineRule="atLeast"/>
        <w:ind w:firstLine="422" w:firstLineChars="200"/>
        <w:outlineLvl w:val="2"/>
        <w:rPr>
          <w:rFonts w:ascii="宋体" w:hAnsi="宋体"/>
          <w:b/>
          <w:bCs/>
          <w:color w:val="auto"/>
          <w:kern w:val="0"/>
          <w:szCs w:val="21"/>
        </w:rPr>
      </w:pPr>
      <w:bookmarkStart w:id="23" w:name="_Toc254970668"/>
      <w:bookmarkStart w:id="24" w:name="_Toc254970527"/>
      <w:r>
        <w:rPr>
          <w:rFonts w:ascii="宋体" w:hAnsi="宋体"/>
          <w:b/>
          <w:bCs/>
          <w:color w:val="auto"/>
          <w:kern w:val="0"/>
          <w:szCs w:val="21"/>
        </w:rPr>
        <w:t>1.1适用范围</w:t>
      </w:r>
      <w:bookmarkEnd w:id="23"/>
      <w:bookmarkEnd w:id="24"/>
    </w:p>
    <w:p w14:paraId="5BEE876B">
      <w:pPr>
        <w:spacing w:before="120" w:line="320" w:lineRule="atLeast"/>
        <w:ind w:firstLine="420" w:firstLineChars="200"/>
        <w:rPr>
          <w:rFonts w:ascii="宋体" w:hAnsi="宋体"/>
          <w:color w:val="auto"/>
          <w:szCs w:val="21"/>
        </w:rPr>
      </w:pPr>
      <w:r>
        <w:rPr>
          <w:rFonts w:ascii="宋体" w:hAnsi="宋体"/>
          <w:color w:val="auto"/>
          <w:szCs w:val="21"/>
        </w:rPr>
        <w:t>本采购文件适用于供应商须知前附表所述项目的</w:t>
      </w:r>
      <w:r>
        <w:rPr>
          <w:rFonts w:hint="eastAsia" w:ascii="宋体" w:hAnsi="宋体"/>
          <w:color w:val="auto"/>
          <w:szCs w:val="21"/>
        </w:rPr>
        <w:t>政府采购活动。</w:t>
      </w:r>
    </w:p>
    <w:p w14:paraId="1324098E">
      <w:pPr>
        <w:spacing w:before="120" w:line="320" w:lineRule="atLeast"/>
        <w:ind w:firstLine="422" w:firstLineChars="200"/>
        <w:outlineLvl w:val="2"/>
        <w:rPr>
          <w:rFonts w:ascii="宋体" w:hAnsi="宋体"/>
          <w:b/>
          <w:bCs/>
          <w:color w:val="auto"/>
          <w:kern w:val="0"/>
          <w:szCs w:val="21"/>
        </w:rPr>
      </w:pPr>
      <w:bookmarkStart w:id="25" w:name="_Toc254970528"/>
      <w:bookmarkStart w:id="26" w:name="_Toc254970669"/>
      <w:r>
        <w:rPr>
          <w:rFonts w:ascii="宋体" w:hAnsi="宋体"/>
          <w:b/>
          <w:bCs/>
          <w:color w:val="auto"/>
          <w:kern w:val="0"/>
          <w:szCs w:val="21"/>
        </w:rPr>
        <w:t>1.2定义</w:t>
      </w:r>
      <w:bookmarkEnd w:id="25"/>
      <w:bookmarkEnd w:id="26"/>
    </w:p>
    <w:p w14:paraId="60914E69">
      <w:pPr>
        <w:spacing w:before="120" w:line="320" w:lineRule="atLeast"/>
        <w:ind w:firstLine="420" w:firstLineChars="200"/>
        <w:rPr>
          <w:rFonts w:ascii="宋体" w:hAnsi="宋体"/>
          <w:color w:val="auto"/>
          <w:szCs w:val="21"/>
        </w:rPr>
      </w:pPr>
      <w:r>
        <w:rPr>
          <w:rFonts w:ascii="宋体" w:hAnsi="宋体"/>
          <w:color w:val="auto"/>
          <w:szCs w:val="21"/>
        </w:rPr>
        <w:t>1.2.1“采购人”系指依法进行政府采购的国家机关、事业单位、团体组织。</w:t>
      </w:r>
    </w:p>
    <w:p w14:paraId="04FFA0A9">
      <w:pPr>
        <w:spacing w:before="120" w:line="320" w:lineRule="atLeast"/>
        <w:ind w:firstLine="420" w:firstLineChars="200"/>
        <w:rPr>
          <w:rFonts w:ascii="宋体" w:hAnsi="宋体"/>
          <w:color w:val="auto"/>
          <w:szCs w:val="21"/>
        </w:rPr>
      </w:pPr>
      <w:r>
        <w:rPr>
          <w:rFonts w:ascii="宋体" w:hAnsi="宋体"/>
          <w:color w:val="auto"/>
          <w:szCs w:val="21"/>
        </w:rPr>
        <w:t>1.2.2“供应商”系</w:t>
      </w:r>
      <w:r>
        <w:rPr>
          <w:rFonts w:ascii="宋体" w:hAnsi="宋体"/>
          <w:color w:val="auto"/>
        </w:rPr>
        <w:t>指响应招标、参加投标竞争的法人、其他组织或者自然人</w:t>
      </w:r>
      <w:r>
        <w:rPr>
          <w:rFonts w:ascii="宋体" w:hAnsi="宋体"/>
          <w:color w:val="auto"/>
          <w:szCs w:val="21"/>
        </w:rPr>
        <w:t>。</w:t>
      </w:r>
    </w:p>
    <w:p w14:paraId="55A999A7">
      <w:pPr>
        <w:spacing w:before="120" w:line="360" w:lineRule="auto"/>
        <w:ind w:firstLine="420" w:firstLineChars="200"/>
        <w:rPr>
          <w:rFonts w:ascii="宋体" w:hAnsi="宋体"/>
          <w:color w:val="auto"/>
        </w:rPr>
      </w:pPr>
      <w:r>
        <w:rPr>
          <w:rFonts w:hint="eastAsia" w:ascii="宋体" w:hAnsi="宋体"/>
          <w:color w:val="auto"/>
        </w:rPr>
        <w:t>1.2.3</w:t>
      </w:r>
      <w:r>
        <w:rPr>
          <w:rFonts w:ascii="宋体" w:hAnsi="宋体"/>
          <w:color w:val="auto"/>
        </w:rPr>
        <w:t>本</w:t>
      </w:r>
      <w:r>
        <w:rPr>
          <w:rFonts w:hint="eastAsia" w:ascii="宋体" w:hAnsi="宋体"/>
          <w:color w:val="auto"/>
        </w:rPr>
        <w:t>文件</w:t>
      </w:r>
      <w:r>
        <w:rPr>
          <w:rFonts w:ascii="宋体" w:hAnsi="宋体"/>
          <w:color w:val="auto"/>
        </w:rPr>
        <w:t>中的</w:t>
      </w:r>
      <w:r>
        <w:rPr>
          <w:rFonts w:hint="eastAsia" w:ascii="宋体" w:hAnsi="宋体"/>
          <w:color w:val="auto"/>
        </w:rPr>
        <w:t>“法定代表人”若无特别说明，当</w:t>
      </w:r>
      <w:r>
        <w:rPr>
          <w:rFonts w:ascii="宋体" w:hAnsi="宋体"/>
          <w:color w:val="auto"/>
        </w:rPr>
        <w:t>供应商是</w:t>
      </w:r>
      <w:r>
        <w:rPr>
          <w:rFonts w:hint="eastAsia" w:ascii="宋体" w:hAnsi="宋体"/>
          <w:color w:val="auto"/>
        </w:rPr>
        <w:t>企业的，是指企业法人营业执照上的法定代表人；当</w:t>
      </w:r>
      <w:r>
        <w:rPr>
          <w:rFonts w:ascii="宋体" w:hAnsi="宋体"/>
          <w:color w:val="auto"/>
        </w:rPr>
        <w:t>供应商是</w:t>
      </w:r>
      <w:r>
        <w:rPr>
          <w:rFonts w:hint="eastAsia" w:ascii="宋体" w:hAnsi="宋体"/>
          <w:color w:val="auto"/>
        </w:rPr>
        <w:t>事业单位的，是指事业单位法人证书上的法定代表人；当</w:t>
      </w:r>
      <w:r>
        <w:rPr>
          <w:rFonts w:ascii="宋体" w:hAnsi="宋体"/>
          <w:color w:val="auto"/>
        </w:rPr>
        <w:t>供应商是</w:t>
      </w:r>
      <w:r>
        <w:rPr>
          <w:rFonts w:hint="eastAsia" w:ascii="宋体" w:hAnsi="宋体"/>
          <w:color w:val="auto"/>
        </w:rPr>
        <w:t>社会团体、民办非企业的，是指法人登记证书中的法定代表人；当</w:t>
      </w:r>
      <w:r>
        <w:rPr>
          <w:rFonts w:ascii="宋体" w:hAnsi="宋体"/>
          <w:color w:val="auto"/>
        </w:rPr>
        <w:t>供应商是</w:t>
      </w:r>
      <w:r>
        <w:rPr>
          <w:rFonts w:hint="eastAsia" w:ascii="宋体" w:hAnsi="宋体"/>
          <w:color w:val="auto"/>
        </w:rPr>
        <w:t>个体工商户的，是指个体工商户营业执照上的经营者；</w:t>
      </w:r>
      <w:r>
        <w:rPr>
          <w:rFonts w:ascii="宋体" w:hAnsi="宋体"/>
          <w:color w:val="auto"/>
        </w:rPr>
        <w:t>当供应商是自然人</w:t>
      </w:r>
      <w:r>
        <w:rPr>
          <w:rFonts w:hint="eastAsia" w:ascii="宋体" w:hAnsi="宋体"/>
          <w:color w:val="auto"/>
        </w:rPr>
        <w:t>的，是指参与本项目响应的自然人本人。</w:t>
      </w:r>
      <w:r>
        <w:rPr>
          <w:rFonts w:ascii="宋体" w:hAnsi="宋体"/>
          <w:color w:val="auto"/>
        </w:rPr>
        <w:br w:type="textWrapping"/>
      </w:r>
      <w:r>
        <w:rPr>
          <w:rFonts w:ascii="宋体" w:hAnsi="宋体"/>
          <w:color w:val="auto"/>
        </w:rPr>
        <w:t xml:space="preserve">    </w:t>
      </w:r>
      <w:r>
        <w:rPr>
          <w:rFonts w:hint="eastAsia" w:ascii="宋体" w:hAnsi="宋体"/>
          <w:color w:val="auto"/>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523F2B6">
      <w:pPr>
        <w:widowControl/>
        <w:spacing w:line="360" w:lineRule="auto"/>
        <w:ind w:firstLine="420" w:firstLineChars="200"/>
        <w:jc w:val="left"/>
        <w:rPr>
          <w:rFonts w:ascii="宋体" w:hAnsi="宋体"/>
          <w:color w:val="auto"/>
          <w:szCs w:val="21"/>
        </w:rPr>
      </w:pPr>
      <w:r>
        <w:rPr>
          <w:rFonts w:ascii="宋体" w:hAnsi="宋体"/>
          <w:color w:val="auto"/>
          <w:szCs w:val="21"/>
        </w:rPr>
        <w:t>1.2.</w:t>
      </w:r>
      <w:r>
        <w:rPr>
          <w:rFonts w:hint="eastAsia" w:ascii="宋体" w:hAnsi="宋体"/>
          <w:color w:val="auto"/>
          <w:szCs w:val="21"/>
        </w:rPr>
        <w:t>5</w:t>
      </w:r>
      <w:r>
        <w:rPr>
          <w:rFonts w:ascii="宋体" w:hAnsi="宋体"/>
          <w:color w:val="auto"/>
          <w:szCs w:val="21"/>
        </w:rPr>
        <w:t>“书面形式”如无特殊规定，</w:t>
      </w:r>
      <w:r>
        <w:rPr>
          <w:rFonts w:hint="eastAsia" w:ascii="宋体" w:hAnsi="宋体"/>
          <w:color w:val="auto"/>
          <w:szCs w:val="21"/>
        </w:rPr>
        <w:t>书面形式是合同书、信件、电报、电传等可以有形地表现所载内容的形式。以电子数据交换、电子邮件等方式能够有形地表现所载内容，并可以随时调取查用的数据电文，视为书面形式。</w:t>
      </w:r>
      <w:r>
        <w:rPr>
          <w:rFonts w:ascii="宋体" w:hAnsi="宋体"/>
          <w:color w:val="auto"/>
          <w:szCs w:val="21"/>
        </w:rPr>
        <w:t xml:space="preserve">采购文件如有特殊规定，以采购文件规定为准。 </w:t>
      </w:r>
    </w:p>
    <w:p w14:paraId="0FCEFBB9">
      <w:pPr>
        <w:spacing w:before="120" w:line="320" w:lineRule="atLeast"/>
        <w:ind w:firstLine="420" w:firstLineChars="200"/>
        <w:rPr>
          <w:rFonts w:ascii="宋体" w:hAnsi="宋体"/>
          <w:color w:val="auto"/>
          <w:szCs w:val="21"/>
        </w:rPr>
      </w:pPr>
      <w:r>
        <w:rPr>
          <w:rFonts w:ascii="宋体" w:hAnsi="宋体"/>
          <w:color w:val="auto"/>
          <w:szCs w:val="21"/>
        </w:rPr>
        <w:t>1.2.</w:t>
      </w:r>
      <w:r>
        <w:rPr>
          <w:rFonts w:hint="eastAsia" w:ascii="宋体" w:hAnsi="宋体"/>
          <w:color w:val="auto"/>
          <w:szCs w:val="21"/>
        </w:rPr>
        <w:t>6本项目的技术商务要求重要性分为“▲”（如有）、“#”（如有）和一般无标识指标。▲代表实质性要求指标，</w:t>
      </w:r>
      <w:r>
        <w:rPr>
          <w:rFonts w:hint="eastAsia" w:ascii="宋体" w:hAnsi="宋体"/>
          <w:b/>
          <w:bCs/>
          <w:color w:val="auto"/>
          <w:szCs w:val="21"/>
        </w:rPr>
        <w:t>不满足该指标项将导致响应被否决</w:t>
      </w:r>
      <w:r>
        <w:rPr>
          <w:rFonts w:hint="eastAsia" w:ascii="宋体" w:hAnsi="宋体"/>
          <w:color w:val="auto"/>
          <w:szCs w:val="21"/>
        </w:rPr>
        <w:t>，#代表重要指标，无标识则表示一般指标项。</w:t>
      </w:r>
    </w:p>
    <w:p w14:paraId="79B56E73">
      <w:pPr>
        <w:spacing w:before="120" w:line="320" w:lineRule="atLeast"/>
        <w:ind w:firstLine="420" w:firstLineChars="200"/>
        <w:rPr>
          <w:rFonts w:ascii="宋体" w:hAnsi="宋体"/>
          <w:color w:val="auto"/>
          <w:szCs w:val="21"/>
        </w:rPr>
      </w:pPr>
      <w:r>
        <w:rPr>
          <w:rFonts w:ascii="宋体" w:hAnsi="宋体"/>
          <w:color w:val="auto"/>
          <w:szCs w:val="21"/>
        </w:rPr>
        <w:t>1.2.</w:t>
      </w:r>
      <w:r>
        <w:rPr>
          <w:rFonts w:hint="eastAsia" w:ascii="宋体" w:hAnsi="宋体"/>
          <w:color w:val="auto"/>
          <w:szCs w:val="21"/>
        </w:rPr>
        <w:t>7 本</w:t>
      </w:r>
      <w:r>
        <w:rPr>
          <w:rFonts w:ascii="宋体" w:hAnsi="宋体"/>
          <w:color w:val="auto"/>
          <w:szCs w:val="21"/>
        </w:rPr>
        <w:t>采购文件</w:t>
      </w:r>
      <w:r>
        <w:rPr>
          <w:rFonts w:hint="eastAsia" w:ascii="宋体" w:hAnsi="宋体"/>
          <w:color w:val="auto"/>
          <w:szCs w:val="21"/>
        </w:rPr>
        <w:t>出现多种选项的条款，以“</w:t>
      </w:r>
      <w:r>
        <w:rPr>
          <w:rFonts w:ascii="宋体" w:hAnsi="宋体"/>
          <w:color w:val="auto"/>
        </w:rPr>
        <w:sym w:font="Wingdings 2" w:char="F052"/>
      </w:r>
      <w:r>
        <w:rPr>
          <w:rFonts w:hint="eastAsia" w:ascii="宋体" w:hAnsi="宋体"/>
          <w:color w:val="auto"/>
          <w:szCs w:val="21"/>
        </w:rPr>
        <w:t>”表示本条款所选择的方式。</w:t>
      </w:r>
    </w:p>
    <w:p w14:paraId="5892BBD6">
      <w:pPr>
        <w:spacing w:before="120" w:line="320" w:lineRule="atLeas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2</w:t>
      </w:r>
      <w:r>
        <w:rPr>
          <w:rFonts w:hint="eastAsia" w:ascii="宋体" w:hAnsi="宋体"/>
          <w:color w:val="auto"/>
          <w:szCs w:val="21"/>
        </w:rPr>
        <w:t>.</w:t>
      </w:r>
      <w:r>
        <w:rPr>
          <w:rFonts w:ascii="宋体" w:hAnsi="宋体"/>
          <w:color w:val="auto"/>
          <w:szCs w:val="21"/>
        </w:rPr>
        <w:t>8 “</w:t>
      </w:r>
      <w:r>
        <w:rPr>
          <w:rFonts w:hint="eastAsia" w:ascii="宋体" w:hAnsi="宋体"/>
          <w:color w:val="auto"/>
          <w:szCs w:val="21"/>
        </w:rPr>
        <w:t>电子交易平台</w:t>
      </w:r>
      <w:r>
        <w:rPr>
          <w:rFonts w:ascii="宋体" w:hAnsi="宋体"/>
          <w:color w:val="auto"/>
          <w:szCs w:val="21"/>
        </w:rPr>
        <w:t>”</w:t>
      </w:r>
      <w:r>
        <w:rPr>
          <w:rFonts w:hint="eastAsia" w:ascii="宋体" w:hAnsi="宋体"/>
          <w:color w:val="auto"/>
          <w:szCs w:val="21"/>
        </w:rPr>
        <w:t>是指以数据电文形式在线完成采购活动的信息平台，本采购文件中也称</w:t>
      </w:r>
      <w:r>
        <w:rPr>
          <w:rFonts w:ascii="宋体" w:hAnsi="宋体"/>
          <w:color w:val="auto"/>
          <w:szCs w:val="21"/>
        </w:rPr>
        <w:t>“</w:t>
      </w:r>
      <w:r>
        <w:rPr>
          <w:rFonts w:hint="eastAsia" w:ascii="宋体" w:hAnsi="宋体"/>
          <w:color w:val="auto"/>
          <w:szCs w:val="21"/>
        </w:rPr>
        <w:t>广西政府采购云平台</w:t>
      </w:r>
      <w:r>
        <w:rPr>
          <w:rFonts w:ascii="宋体" w:hAnsi="宋体"/>
          <w:color w:val="auto"/>
          <w:szCs w:val="21"/>
        </w:rPr>
        <w:t>”</w:t>
      </w:r>
      <w:r>
        <w:rPr>
          <w:rFonts w:hint="eastAsia" w:ascii="宋体" w:hAnsi="宋体"/>
          <w:color w:val="auto"/>
          <w:szCs w:val="21"/>
        </w:rPr>
        <w:t>。</w:t>
      </w:r>
    </w:p>
    <w:p w14:paraId="4F90C754">
      <w:pPr>
        <w:spacing w:before="120" w:line="320" w:lineRule="atLeast"/>
        <w:ind w:firstLine="422" w:firstLineChars="200"/>
        <w:outlineLvl w:val="2"/>
        <w:rPr>
          <w:rFonts w:ascii="宋体" w:hAnsi="宋体"/>
          <w:b/>
          <w:bCs/>
          <w:color w:val="auto"/>
          <w:kern w:val="0"/>
          <w:szCs w:val="21"/>
        </w:rPr>
      </w:pPr>
      <w:r>
        <w:rPr>
          <w:rFonts w:hint="eastAsia" w:ascii="宋体" w:hAnsi="宋体"/>
          <w:b/>
          <w:bCs/>
          <w:color w:val="auto"/>
          <w:kern w:val="0"/>
          <w:szCs w:val="21"/>
        </w:rPr>
        <w:t>1</w:t>
      </w:r>
      <w:r>
        <w:rPr>
          <w:rFonts w:ascii="宋体" w:hAnsi="宋体"/>
          <w:b/>
          <w:bCs/>
          <w:color w:val="auto"/>
          <w:kern w:val="0"/>
          <w:szCs w:val="21"/>
        </w:rPr>
        <w:t>.3</w:t>
      </w:r>
      <w:r>
        <w:rPr>
          <w:rFonts w:hint="eastAsia" w:ascii="宋体" w:hAnsi="宋体"/>
          <w:b/>
          <w:bCs/>
          <w:color w:val="auto"/>
          <w:kern w:val="0"/>
          <w:szCs w:val="21"/>
        </w:rPr>
        <w:t>项目信息</w:t>
      </w:r>
    </w:p>
    <w:p w14:paraId="219A1CEA">
      <w:pPr>
        <w:spacing w:before="120" w:line="320" w:lineRule="atLeas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.3.1</w:t>
      </w:r>
      <w:r>
        <w:rPr>
          <w:rFonts w:hint="eastAsia" w:ascii="宋体" w:hAnsi="宋体"/>
          <w:color w:val="auto"/>
          <w:szCs w:val="21"/>
        </w:rPr>
        <w:t>项目名称及编号：详见供应商须知前附表</w:t>
      </w:r>
    </w:p>
    <w:p w14:paraId="6ADC5877">
      <w:pPr>
        <w:spacing w:before="120" w:line="320" w:lineRule="atLeast"/>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.3.2</w:t>
      </w:r>
      <w:r>
        <w:rPr>
          <w:rFonts w:hint="eastAsia" w:ascii="宋体" w:hAnsi="宋体"/>
          <w:color w:val="auto"/>
          <w:szCs w:val="21"/>
        </w:rPr>
        <w:t>采购方式：详见供应商须知前附表</w:t>
      </w:r>
    </w:p>
    <w:p w14:paraId="2CF817E7">
      <w:pPr>
        <w:spacing w:before="120" w:line="320" w:lineRule="atLeast"/>
        <w:ind w:firstLine="422" w:firstLineChars="200"/>
        <w:outlineLvl w:val="2"/>
        <w:rPr>
          <w:rFonts w:ascii="宋体" w:hAnsi="宋体"/>
          <w:b/>
          <w:bCs/>
          <w:color w:val="auto"/>
          <w:kern w:val="0"/>
          <w:szCs w:val="21"/>
        </w:rPr>
      </w:pPr>
      <w:r>
        <w:rPr>
          <w:rFonts w:hint="eastAsia" w:ascii="宋体" w:hAnsi="宋体"/>
          <w:b/>
          <w:bCs/>
          <w:color w:val="auto"/>
          <w:kern w:val="0"/>
          <w:szCs w:val="21"/>
        </w:rPr>
        <w:t>1</w:t>
      </w:r>
      <w:r>
        <w:rPr>
          <w:rFonts w:ascii="宋体" w:hAnsi="宋体"/>
          <w:b/>
          <w:bCs/>
          <w:color w:val="auto"/>
          <w:kern w:val="0"/>
          <w:szCs w:val="21"/>
        </w:rPr>
        <w:t>.4</w:t>
      </w:r>
      <w:r>
        <w:rPr>
          <w:rFonts w:hint="eastAsia" w:ascii="宋体" w:hAnsi="宋体"/>
          <w:b/>
          <w:bCs/>
          <w:color w:val="auto"/>
          <w:kern w:val="0"/>
          <w:szCs w:val="21"/>
        </w:rPr>
        <w:t>促进中小企业发展政策</w:t>
      </w:r>
    </w:p>
    <w:p w14:paraId="3613D7D9">
      <w:pPr>
        <w:spacing w:before="120" w:line="320" w:lineRule="atLeast"/>
        <w:ind w:left="2" w:leftChars="1" w:firstLine="420" w:firstLineChars="200"/>
        <w:rPr>
          <w:rFonts w:ascii="宋体" w:hAnsi="宋体"/>
          <w:color w:val="auto"/>
          <w:szCs w:val="21"/>
        </w:rPr>
      </w:pPr>
      <w:r>
        <w:rPr>
          <w:rFonts w:ascii="宋体" w:hAnsi="宋体"/>
          <w:color w:val="auto"/>
          <w:szCs w:val="21"/>
        </w:rPr>
        <w:t>1.4.1</w:t>
      </w:r>
      <w:r>
        <w:rPr>
          <w:rFonts w:hint="eastAsia" w:ascii="宋体" w:hAnsi="宋体"/>
          <w:color w:val="auto"/>
          <w:szCs w:val="21"/>
        </w:rPr>
        <w:t>本项目落实促进中小企业发展政策措施在前附表规定。依据促进中小企业发展政策获得政府采购合同的，小微企业不得将合同分包给大中型企业，中型企业不得将合同分包给大型企业。</w:t>
      </w:r>
    </w:p>
    <w:p w14:paraId="59E224BF">
      <w:pPr>
        <w:spacing w:before="120" w:line="320" w:lineRule="atLeast"/>
        <w:ind w:left="2" w:leftChars="1" w:firstLine="420" w:firstLineChars="200"/>
        <w:rPr>
          <w:rFonts w:ascii="宋体" w:hAnsi="宋体"/>
          <w:color w:val="auto"/>
          <w:szCs w:val="21"/>
        </w:rPr>
      </w:pPr>
      <w:bookmarkStart w:id="27" w:name="_Hlk92205820"/>
      <w:r>
        <w:rPr>
          <w:rFonts w:hint="eastAsia" w:ascii="宋体" w:hAnsi="宋体"/>
          <w:color w:val="auto"/>
          <w:szCs w:val="21"/>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3280771A">
      <w:pPr>
        <w:spacing w:before="120" w:line="320" w:lineRule="atLeast"/>
        <w:ind w:left="2" w:leftChars="1" w:firstLine="420" w:firstLineChars="200"/>
        <w:rPr>
          <w:rFonts w:ascii="宋体" w:hAnsi="宋体"/>
          <w:color w:val="auto"/>
          <w:szCs w:val="21"/>
        </w:rPr>
      </w:pPr>
      <w:r>
        <w:rPr>
          <w:rFonts w:ascii="宋体" w:hAnsi="宋体"/>
          <w:color w:val="auto"/>
          <w:szCs w:val="21"/>
        </w:rPr>
        <w:t>1.4.2</w:t>
      </w:r>
      <w:r>
        <w:rPr>
          <w:rFonts w:hint="eastAsia" w:ascii="宋体" w:hAnsi="宋体"/>
          <w:color w:val="auto"/>
          <w:szCs w:val="21"/>
        </w:rPr>
        <w:t>中小企业定义</w:t>
      </w:r>
    </w:p>
    <w:p w14:paraId="7B8F8509">
      <w:pPr>
        <w:spacing w:before="120" w:line="320" w:lineRule="atLeast"/>
        <w:ind w:firstLine="420" w:firstLineChars="200"/>
        <w:rPr>
          <w:rFonts w:ascii="宋体" w:hAnsi="宋体"/>
          <w:color w:val="auto"/>
          <w:szCs w:val="21"/>
        </w:rPr>
      </w:pPr>
      <w:r>
        <w:rPr>
          <w:rFonts w:ascii="宋体" w:hAnsi="宋体"/>
          <w:color w:val="auto"/>
          <w:szCs w:val="21"/>
        </w:rPr>
        <w:t>1.4.2.1</w:t>
      </w:r>
      <w:r>
        <w:rPr>
          <w:rFonts w:hint="eastAsia" w:ascii="宋体" w:hAnsi="宋体"/>
          <w:color w:val="auto"/>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CCAE8F9">
      <w:pPr>
        <w:spacing w:before="120" w:line="320" w:lineRule="atLeast"/>
        <w:ind w:left="2" w:leftChars="1" w:firstLine="420" w:firstLineChars="200"/>
        <w:rPr>
          <w:rFonts w:ascii="宋体" w:hAnsi="宋体"/>
          <w:color w:val="auto"/>
          <w:szCs w:val="21"/>
        </w:rPr>
      </w:pPr>
      <w:r>
        <w:rPr>
          <w:rFonts w:ascii="宋体" w:hAnsi="宋体"/>
          <w:color w:val="auto"/>
          <w:szCs w:val="21"/>
        </w:rPr>
        <w:t>1.4.2.2</w:t>
      </w:r>
      <w:r>
        <w:rPr>
          <w:rFonts w:hint="eastAsia" w:ascii="宋体" w:hAnsi="宋体"/>
          <w:color w:val="auto"/>
          <w:szCs w:val="21"/>
        </w:rPr>
        <w:t>供应商提供的货物、工程或者服务符合下列情形的，享受本款规定的促进中小企业发展政策：</w:t>
      </w:r>
    </w:p>
    <w:p w14:paraId="203F6B60">
      <w:pPr>
        <w:spacing w:before="120" w:line="320" w:lineRule="atLeast"/>
        <w:ind w:left="2" w:leftChars="1" w:firstLine="420" w:firstLineChars="200"/>
        <w:rPr>
          <w:rFonts w:ascii="宋体" w:hAnsi="宋体"/>
          <w:color w:val="auto"/>
          <w:szCs w:val="21"/>
        </w:rPr>
      </w:pPr>
      <w:r>
        <w:rPr>
          <w:rFonts w:hint="eastAsia" w:ascii="宋体" w:hAnsi="宋体"/>
          <w:color w:val="auto"/>
          <w:szCs w:val="21"/>
        </w:rPr>
        <w:t>在货物采购项目中，货物由中小企业制造，即货物由中小企业生产且使用该中小企业商号或者注册商标；</w:t>
      </w:r>
    </w:p>
    <w:p w14:paraId="66911C66">
      <w:pPr>
        <w:spacing w:before="120" w:line="320" w:lineRule="atLeast"/>
        <w:ind w:left="2" w:leftChars="1" w:firstLine="420" w:firstLineChars="200"/>
        <w:rPr>
          <w:rFonts w:ascii="宋体" w:hAnsi="宋体"/>
          <w:color w:val="auto"/>
          <w:szCs w:val="21"/>
        </w:rPr>
      </w:pPr>
      <w:r>
        <w:rPr>
          <w:rFonts w:hint="eastAsia" w:ascii="宋体" w:hAnsi="宋体"/>
          <w:color w:val="auto"/>
          <w:szCs w:val="21"/>
        </w:rPr>
        <w:t>在工程采购项目中，工程由中小企业承建，即工程施工单位为中小企业；</w:t>
      </w:r>
    </w:p>
    <w:p w14:paraId="51A4821E">
      <w:pPr>
        <w:spacing w:before="120" w:line="320" w:lineRule="atLeast"/>
        <w:ind w:left="2" w:leftChars="1" w:firstLine="420" w:firstLineChars="200"/>
        <w:rPr>
          <w:rFonts w:ascii="宋体" w:hAnsi="宋体"/>
          <w:color w:val="auto"/>
          <w:szCs w:val="21"/>
        </w:rPr>
      </w:pPr>
      <w:r>
        <w:rPr>
          <w:rFonts w:hint="eastAsia" w:ascii="宋体" w:hAnsi="宋体"/>
          <w:color w:val="auto"/>
          <w:szCs w:val="21"/>
        </w:rPr>
        <w:t>在服务采购项目中，服务由中小企业承接，即提供服务的人员为中小企业依照《中华人民共和国劳动合同法》订立劳动合同的从业人员。</w:t>
      </w:r>
    </w:p>
    <w:p w14:paraId="4979A2E7">
      <w:pPr>
        <w:spacing w:before="120" w:line="320" w:lineRule="atLeast"/>
        <w:ind w:left="2" w:leftChars="1" w:firstLine="420" w:firstLineChars="200"/>
        <w:rPr>
          <w:rFonts w:ascii="宋体" w:hAnsi="宋体"/>
          <w:color w:val="auto"/>
          <w:szCs w:val="21"/>
        </w:rPr>
      </w:pPr>
      <w:r>
        <w:rPr>
          <w:rFonts w:hint="eastAsia" w:ascii="宋体" w:hAnsi="宋体"/>
          <w:color w:val="auto"/>
          <w:szCs w:val="21"/>
        </w:rPr>
        <w:t>在货物采购项目中，供应商提供的货物既有中小企业制造货物，也有大型企业制造货物的，不享受本款规定的促进中小企业发展政策。</w:t>
      </w:r>
    </w:p>
    <w:p w14:paraId="7F06C9C1">
      <w:pPr>
        <w:spacing w:before="120" w:line="320" w:lineRule="atLeast"/>
        <w:ind w:firstLine="420" w:firstLineChars="200"/>
        <w:rPr>
          <w:rFonts w:ascii="宋体" w:hAnsi="宋体"/>
          <w:color w:val="auto"/>
          <w:szCs w:val="21"/>
        </w:rPr>
      </w:pPr>
      <w:r>
        <w:rPr>
          <w:rFonts w:ascii="宋体" w:hAnsi="宋体"/>
          <w:color w:val="auto"/>
          <w:szCs w:val="21"/>
        </w:rPr>
        <w:t>1.4.2</w:t>
      </w:r>
      <w:r>
        <w:rPr>
          <w:rFonts w:hint="eastAsia" w:ascii="宋体" w:hAnsi="宋体"/>
          <w:color w:val="auto"/>
          <w:szCs w:val="21"/>
        </w:rPr>
        <w:t>.</w:t>
      </w:r>
      <w:r>
        <w:rPr>
          <w:rFonts w:ascii="宋体" w:hAnsi="宋体"/>
          <w:color w:val="auto"/>
          <w:szCs w:val="21"/>
        </w:rPr>
        <w:t>3</w:t>
      </w:r>
      <w:r>
        <w:rPr>
          <w:rFonts w:hint="eastAsia" w:ascii="宋体" w:hAnsi="宋体"/>
          <w:color w:val="auto"/>
          <w:szCs w:val="21"/>
        </w:rPr>
        <w:t>本项目标的所属行业在第二章采购需求中规定。供应商根据中小企业划分标准（《关于印发中小企业划型标准规定的通知》（工信部联企业〔2011〕300号）判断是否为中小企业。（见附件）</w:t>
      </w:r>
    </w:p>
    <w:p w14:paraId="0047DC0A">
      <w:pPr>
        <w:spacing w:before="120" w:line="320" w:lineRule="atLeast"/>
        <w:ind w:firstLine="420" w:firstLineChars="200"/>
        <w:rPr>
          <w:rFonts w:ascii="宋体" w:hAnsi="宋体"/>
          <w:color w:val="auto"/>
          <w:szCs w:val="21"/>
        </w:rPr>
      </w:pPr>
      <w:r>
        <w:rPr>
          <w:rFonts w:hint="eastAsia" w:ascii="宋体" w:hAnsi="宋体"/>
          <w:color w:val="auto"/>
          <w:szCs w:val="21"/>
        </w:rPr>
        <w:t>符合条件的货物制造商、工程施工单位、服务承接单位为中小企业的，应按采购文件规定在响应文件中提供声明函。</w:t>
      </w:r>
    </w:p>
    <w:p w14:paraId="6D0DA74A">
      <w:pPr>
        <w:spacing w:before="120" w:line="320" w:lineRule="atLeast"/>
        <w:ind w:firstLine="420" w:firstLineChars="200"/>
        <w:rPr>
          <w:rFonts w:ascii="宋体" w:hAnsi="宋体"/>
          <w:color w:val="auto"/>
          <w:szCs w:val="21"/>
        </w:rPr>
      </w:pPr>
      <w:r>
        <w:rPr>
          <w:rFonts w:ascii="宋体" w:hAnsi="宋体"/>
          <w:color w:val="auto"/>
          <w:szCs w:val="21"/>
        </w:rPr>
        <w:t>1.4</w:t>
      </w:r>
      <w:r>
        <w:rPr>
          <w:rFonts w:hint="eastAsia" w:ascii="宋体" w:hAnsi="宋体"/>
          <w:color w:val="auto"/>
          <w:szCs w:val="21"/>
        </w:rPr>
        <w:t>.</w:t>
      </w:r>
      <w:r>
        <w:rPr>
          <w:rFonts w:ascii="宋体" w:hAnsi="宋体"/>
          <w:color w:val="auto"/>
          <w:szCs w:val="21"/>
        </w:rPr>
        <w:t>2</w:t>
      </w:r>
      <w:r>
        <w:rPr>
          <w:rFonts w:hint="eastAsia" w:ascii="宋体" w:hAnsi="宋体"/>
          <w:color w:val="auto"/>
          <w:szCs w:val="21"/>
        </w:rPr>
        <w:t>.</w:t>
      </w:r>
      <w:r>
        <w:rPr>
          <w:rFonts w:ascii="宋体" w:hAnsi="宋体"/>
          <w:color w:val="auto"/>
          <w:szCs w:val="21"/>
        </w:rPr>
        <w:t>4</w:t>
      </w:r>
      <w:r>
        <w:rPr>
          <w:rFonts w:hint="eastAsia" w:ascii="宋体" w:hAnsi="宋体"/>
          <w:color w:val="auto"/>
          <w:szCs w:val="21"/>
        </w:rPr>
        <w:t>视同中小企业情形</w:t>
      </w:r>
    </w:p>
    <w:p w14:paraId="75CA8596">
      <w:pPr>
        <w:spacing w:before="120" w:line="320" w:lineRule="atLeast"/>
        <w:ind w:firstLine="420" w:firstLineChars="200"/>
        <w:rPr>
          <w:rFonts w:ascii="宋体" w:hAnsi="宋体"/>
          <w:color w:val="auto"/>
          <w:szCs w:val="21"/>
        </w:rPr>
      </w:pPr>
      <w:r>
        <w:rPr>
          <w:rFonts w:hint="eastAsia" w:ascii="宋体" w:hAnsi="宋体"/>
          <w:color w:val="auto"/>
          <w:szCs w:val="21"/>
        </w:rPr>
        <w:t>（1）符合中小企业划分标准的个体工商户，视同中小企业。</w:t>
      </w:r>
    </w:p>
    <w:p w14:paraId="30347A0E">
      <w:pPr>
        <w:spacing w:before="120" w:line="320" w:lineRule="atLeast"/>
        <w:ind w:firstLine="420" w:firstLineChars="200"/>
        <w:rPr>
          <w:rFonts w:ascii="宋体" w:hAnsi="宋体"/>
          <w:color w:val="auto"/>
          <w:szCs w:val="21"/>
        </w:rPr>
      </w:pPr>
      <w:r>
        <w:rPr>
          <w:rFonts w:hint="eastAsia" w:ascii="宋体" w:hAnsi="宋体"/>
          <w:color w:val="auto"/>
          <w:szCs w:val="21"/>
        </w:rPr>
        <w:t>（2）以联合体形式参加政府采购活动，联合体各方均为中小企业的，联合体视同中小企业。其中，联合体各方均为小微企业的，联合体视同小微企业。</w:t>
      </w:r>
    </w:p>
    <w:p w14:paraId="2B092BDE">
      <w:pPr>
        <w:spacing w:before="120" w:line="320" w:lineRule="atLeast"/>
        <w:ind w:firstLine="420" w:firstLineChars="200"/>
        <w:rPr>
          <w:rFonts w:ascii="宋体" w:hAnsi="宋体"/>
          <w:color w:val="auto"/>
          <w:szCs w:val="21"/>
        </w:rPr>
      </w:pPr>
      <w:r>
        <w:rPr>
          <w:rFonts w:hint="eastAsia" w:ascii="宋体" w:hAnsi="宋体"/>
          <w:color w:val="auto"/>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15B2CCE">
      <w:pPr>
        <w:spacing w:before="120" w:line="320" w:lineRule="atLeast"/>
        <w:ind w:left="2" w:leftChars="1" w:firstLine="420" w:firstLineChars="200"/>
        <w:rPr>
          <w:rFonts w:ascii="宋体" w:hAnsi="宋体"/>
          <w:color w:val="auto"/>
          <w:szCs w:val="21"/>
        </w:rPr>
      </w:pPr>
      <w:r>
        <w:rPr>
          <w:rFonts w:hint="eastAsia" w:ascii="宋体" w:hAnsi="宋体"/>
          <w:color w:val="auto"/>
          <w:szCs w:val="21"/>
        </w:rPr>
        <w:t>符合条件的货物制造商、工程施工单位、服务承接单位为监狱企业或残疾人福利性单位的，应按采购文件规定在响应文件中提供相关证明文件。</w:t>
      </w:r>
      <w:bookmarkEnd w:id="27"/>
    </w:p>
    <w:p w14:paraId="6510F904">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1.5供应商资格</w:t>
      </w:r>
      <w:r>
        <w:rPr>
          <w:rFonts w:hint="eastAsia" w:ascii="宋体" w:hAnsi="宋体"/>
          <w:b/>
          <w:bCs/>
          <w:color w:val="auto"/>
          <w:kern w:val="0"/>
          <w:szCs w:val="21"/>
        </w:rPr>
        <w:t>要求</w:t>
      </w:r>
    </w:p>
    <w:p w14:paraId="7BEA4472">
      <w:pPr>
        <w:spacing w:before="120" w:line="320" w:lineRule="atLeast"/>
        <w:ind w:firstLine="420" w:firstLineChars="200"/>
        <w:rPr>
          <w:rFonts w:ascii="宋体" w:hAnsi="宋体"/>
          <w:color w:val="auto"/>
          <w:szCs w:val="21"/>
        </w:rPr>
      </w:pPr>
      <w:r>
        <w:rPr>
          <w:rFonts w:ascii="宋体" w:hAnsi="宋体"/>
          <w:color w:val="auto"/>
          <w:szCs w:val="21"/>
        </w:rPr>
        <w:t>1.5.1</w:t>
      </w:r>
      <w:r>
        <w:rPr>
          <w:rFonts w:hint="eastAsia" w:ascii="宋体" w:hAnsi="宋体"/>
          <w:color w:val="auto"/>
          <w:szCs w:val="21"/>
        </w:rPr>
        <w:t>供应商资格要求：详见供应商须知前附表</w:t>
      </w:r>
    </w:p>
    <w:p w14:paraId="09FE97FF">
      <w:pPr>
        <w:spacing w:before="120" w:line="320" w:lineRule="atLeast"/>
        <w:ind w:firstLine="420" w:firstLineChars="200"/>
        <w:rPr>
          <w:rFonts w:ascii="宋体" w:hAnsi="宋体"/>
          <w:color w:val="auto"/>
          <w:szCs w:val="21"/>
        </w:rPr>
      </w:pPr>
      <w:r>
        <w:rPr>
          <w:rFonts w:ascii="宋体" w:hAnsi="宋体"/>
          <w:color w:val="auto"/>
          <w:szCs w:val="21"/>
        </w:rPr>
        <w:t>1.5.2按照磋商公告的规定获得采购文件。</w:t>
      </w:r>
    </w:p>
    <w:p w14:paraId="554E4088">
      <w:pPr>
        <w:spacing w:before="120" w:line="320" w:lineRule="atLeast"/>
        <w:ind w:firstLine="420" w:firstLineChars="200"/>
        <w:rPr>
          <w:rFonts w:ascii="宋体" w:hAnsi="宋体"/>
          <w:color w:val="auto"/>
          <w:szCs w:val="21"/>
        </w:rPr>
      </w:pPr>
      <w:r>
        <w:rPr>
          <w:rFonts w:ascii="宋体" w:hAnsi="宋体"/>
          <w:color w:val="auto"/>
          <w:szCs w:val="21"/>
        </w:rPr>
        <w:t>1.5.3本项目是否接受联合体响应，见“供应商须知前附表”规定。</w:t>
      </w:r>
    </w:p>
    <w:p w14:paraId="403DD7FC">
      <w:pPr>
        <w:spacing w:before="120" w:line="320" w:lineRule="atLeast"/>
        <w:ind w:firstLine="420" w:firstLineChars="200"/>
        <w:rPr>
          <w:rFonts w:ascii="宋体" w:hAnsi="宋体"/>
          <w:color w:val="auto"/>
          <w:szCs w:val="21"/>
        </w:rPr>
      </w:pPr>
      <w:r>
        <w:rPr>
          <w:rFonts w:hint="eastAsia" w:ascii="宋体" w:hAnsi="宋体"/>
          <w:color w:val="auto"/>
          <w:szCs w:val="21"/>
        </w:rPr>
        <w:t xml:space="preserve">如接受联合体响应，联合体响应要求如下： </w:t>
      </w:r>
    </w:p>
    <w:p w14:paraId="56F17D7C">
      <w:pPr>
        <w:spacing w:before="120" w:line="320" w:lineRule="atLeast"/>
        <w:ind w:firstLine="420" w:firstLineChars="200"/>
        <w:rPr>
          <w:rFonts w:ascii="宋体" w:hAnsi="宋体"/>
          <w:color w:val="auto"/>
          <w:szCs w:val="21"/>
        </w:rPr>
      </w:pPr>
      <w:r>
        <w:rPr>
          <w:rFonts w:hint="eastAsia" w:ascii="宋体" w:hAnsi="宋体"/>
          <w:color w:val="auto"/>
          <w:szCs w:val="21"/>
        </w:rPr>
        <w:t>（1）供应商可以组成一个响应联合体，以一个供应商的身份共同参加响应。联合体响应的，须提供《联合体协议书》（格式后附）</w:t>
      </w:r>
    </w:p>
    <w:p w14:paraId="0C1506EB">
      <w:pPr>
        <w:spacing w:before="120" w:line="320" w:lineRule="atLeast"/>
        <w:ind w:firstLine="420" w:firstLineChars="200"/>
        <w:rPr>
          <w:rFonts w:ascii="宋体" w:hAnsi="宋体"/>
          <w:color w:val="auto"/>
          <w:szCs w:val="21"/>
        </w:rPr>
      </w:pPr>
      <w:r>
        <w:rPr>
          <w:rFonts w:hint="eastAsia" w:ascii="宋体" w:hAnsi="宋体"/>
          <w:color w:val="auto"/>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697A315D">
      <w:pPr>
        <w:spacing w:before="120" w:line="320" w:lineRule="atLeast"/>
        <w:ind w:firstLine="420" w:firstLineChars="200"/>
        <w:rPr>
          <w:rFonts w:ascii="宋体" w:hAnsi="宋体"/>
          <w:color w:val="auto"/>
          <w:szCs w:val="21"/>
        </w:rPr>
      </w:pPr>
      <w:r>
        <w:rPr>
          <w:rFonts w:hint="eastAsia" w:ascii="宋体" w:hAnsi="宋体"/>
          <w:color w:val="auto"/>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CD17A91">
      <w:pPr>
        <w:spacing w:before="120" w:line="320" w:lineRule="atLeast"/>
        <w:ind w:firstLine="420" w:firstLineChars="200"/>
        <w:rPr>
          <w:rFonts w:ascii="宋体" w:hAnsi="宋体"/>
          <w:color w:val="auto"/>
          <w:szCs w:val="21"/>
        </w:rPr>
      </w:pPr>
      <w:r>
        <w:rPr>
          <w:rFonts w:hint="eastAsia" w:ascii="宋体" w:hAnsi="宋体"/>
          <w:color w:val="auto"/>
          <w:szCs w:val="21"/>
        </w:rPr>
        <w:t>（4）以联合体形式参加政府采购活动的，联合体各方不得再单独参加或者与其他供应商另外组成联合体参加同一合同项下的政府采购活动。</w:t>
      </w:r>
    </w:p>
    <w:p w14:paraId="547AB87D">
      <w:pPr>
        <w:spacing w:before="120" w:line="320" w:lineRule="atLeast"/>
        <w:ind w:firstLine="420" w:firstLineChars="200"/>
        <w:rPr>
          <w:rFonts w:ascii="宋体" w:hAnsi="宋体"/>
          <w:color w:val="auto"/>
          <w:szCs w:val="21"/>
        </w:rPr>
      </w:pPr>
      <w:r>
        <w:rPr>
          <w:rFonts w:hint="eastAsia" w:ascii="宋体" w:hAnsi="宋体"/>
          <w:color w:val="auto"/>
          <w:szCs w:val="21"/>
        </w:rPr>
        <w:t>（5）联合体中有同类资质的供应商按照联合体分工承担相同工作的，应当按照资质等级较低的供应商确定资质等级。</w:t>
      </w:r>
    </w:p>
    <w:p w14:paraId="602E1A11">
      <w:pPr>
        <w:spacing w:before="120" w:line="320" w:lineRule="atLeast"/>
        <w:ind w:firstLine="420" w:firstLineChars="200"/>
        <w:rPr>
          <w:rFonts w:ascii="宋体" w:hAnsi="宋体"/>
          <w:color w:val="auto"/>
          <w:szCs w:val="21"/>
        </w:rPr>
      </w:pPr>
      <w:r>
        <w:rPr>
          <w:rFonts w:hint="eastAsia" w:ascii="宋体" w:hAnsi="宋体"/>
          <w:color w:val="auto"/>
          <w:szCs w:val="21"/>
        </w:rPr>
        <w:t>（6）联合体响应业绩、履约能力按照联合体各方其中较高的一方认定并计算（采购文件其他章节另有规定的除外）。</w:t>
      </w:r>
    </w:p>
    <w:p w14:paraId="60B84B6C">
      <w:pPr>
        <w:spacing w:before="120" w:line="320" w:lineRule="atLeast"/>
        <w:ind w:firstLine="420" w:firstLineChars="200"/>
        <w:rPr>
          <w:rFonts w:ascii="宋体" w:hAnsi="宋体"/>
          <w:color w:val="auto"/>
          <w:szCs w:val="21"/>
        </w:rPr>
      </w:pPr>
      <w:r>
        <w:rPr>
          <w:rFonts w:hint="eastAsia" w:ascii="宋体" w:hAnsi="宋体"/>
          <w:color w:val="auto"/>
          <w:szCs w:val="21"/>
        </w:rPr>
        <w:t>（7）供应商为联合体的，可以由联合体中的一方或者多方共同交纳磋商保证金，其交纳的保证金对联合体各方均具有约束力。</w:t>
      </w:r>
    </w:p>
    <w:p w14:paraId="42F49932">
      <w:pPr>
        <w:spacing w:before="120" w:line="320" w:lineRule="atLeast"/>
        <w:ind w:firstLine="420" w:firstLineChars="200"/>
        <w:rPr>
          <w:rFonts w:ascii="宋体" w:hAnsi="宋体"/>
          <w:color w:val="auto"/>
          <w:szCs w:val="21"/>
        </w:rPr>
      </w:pPr>
      <w:r>
        <w:rPr>
          <w:rFonts w:hint="eastAsia" w:ascii="宋体" w:hAnsi="宋体"/>
          <w:color w:val="auto"/>
          <w:szCs w:val="21"/>
        </w:rPr>
        <w:t>（8）联合体各方均应按照采购文件的规定提交资格证明文件。</w:t>
      </w:r>
    </w:p>
    <w:p w14:paraId="6B33D3A3">
      <w:pPr>
        <w:spacing w:before="120" w:line="320" w:lineRule="atLeast"/>
        <w:ind w:firstLine="422" w:firstLineChars="200"/>
        <w:outlineLvl w:val="2"/>
        <w:rPr>
          <w:rFonts w:ascii="宋体" w:hAnsi="宋体"/>
          <w:b/>
          <w:bCs/>
          <w:color w:val="auto"/>
          <w:kern w:val="0"/>
          <w:szCs w:val="21"/>
        </w:rPr>
      </w:pPr>
      <w:bookmarkStart w:id="28" w:name="_Toc254970672"/>
      <w:bookmarkStart w:id="29" w:name="_Toc254970531"/>
      <w:r>
        <w:rPr>
          <w:rFonts w:ascii="宋体" w:hAnsi="宋体"/>
          <w:b/>
          <w:bCs/>
          <w:color w:val="auto"/>
          <w:kern w:val="0"/>
          <w:szCs w:val="21"/>
        </w:rPr>
        <w:t>1.6现场踏勘及响应费用</w:t>
      </w:r>
      <w:bookmarkEnd w:id="28"/>
      <w:bookmarkEnd w:id="29"/>
    </w:p>
    <w:p w14:paraId="708A979F">
      <w:pPr>
        <w:spacing w:before="120" w:line="320" w:lineRule="atLeast"/>
        <w:ind w:firstLine="420" w:firstLineChars="200"/>
        <w:rPr>
          <w:rFonts w:ascii="宋体" w:hAnsi="宋体"/>
          <w:color w:val="auto"/>
          <w:szCs w:val="21"/>
        </w:rPr>
      </w:pPr>
      <w:r>
        <w:rPr>
          <w:rFonts w:ascii="宋体" w:hAnsi="宋体"/>
          <w:color w:val="auto"/>
          <w:szCs w:val="21"/>
        </w:rPr>
        <w:t>1.6.1前附表如规定现场踏勘的，供应商应按规定时间地点参加踏勘。</w:t>
      </w:r>
    </w:p>
    <w:p w14:paraId="05480B27">
      <w:pPr>
        <w:spacing w:before="120" w:line="320" w:lineRule="atLeast"/>
        <w:ind w:firstLine="420" w:firstLineChars="200"/>
        <w:rPr>
          <w:rFonts w:ascii="宋体" w:hAnsi="宋体"/>
          <w:color w:val="auto"/>
          <w:szCs w:val="21"/>
        </w:rPr>
      </w:pPr>
      <w:r>
        <w:rPr>
          <w:rFonts w:ascii="宋体" w:hAnsi="宋体"/>
          <w:color w:val="auto"/>
          <w:szCs w:val="21"/>
        </w:rPr>
        <w:t>1.6.2供应商均应自行承担所有与响应有关的全部费用（采购文件有相关的规定除外）。</w:t>
      </w:r>
    </w:p>
    <w:p w14:paraId="2A3106C1">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1.7转包与分包</w:t>
      </w:r>
    </w:p>
    <w:p w14:paraId="29484501">
      <w:pPr>
        <w:spacing w:before="120" w:line="320" w:lineRule="atLeast"/>
        <w:ind w:firstLine="420" w:firstLineChars="200"/>
        <w:rPr>
          <w:rFonts w:ascii="宋体" w:hAnsi="宋体"/>
          <w:color w:val="auto"/>
          <w:szCs w:val="21"/>
        </w:rPr>
      </w:pPr>
      <w:r>
        <w:rPr>
          <w:rFonts w:ascii="宋体" w:hAnsi="宋体"/>
          <w:color w:val="auto"/>
          <w:szCs w:val="21"/>
        </w:rPr>
        <w:t>1.7.1如</w:t>
      </w:r>
      <w:r>
        <w:rPr>
          <w:rFonts w:hint="eastAsia" w:ascii="宋体" w:hAnsi="宋体"/>
          <w:color w:val="auto"/>
          <w:szCs w:val="21"/>
        </w:rPr>
        <w:t>采购文件</w:t>
      </w:r>
      <w:r>
        <w:rPr>
          <w:rFonts w:ascii="宋体" w:hAnsi="宋体"/>
          <w:color w:val="auto"/>
          <w:szCs w:val="21"/>
        </w:rPr>
        <w:t>其他地方无特别规定</w:t>
      </w:r>
      <w:r>
        <w:rPr>
          <w:rFonts w:hint="eastAsia" w:ascii="宋体" w:hAnsi="宋体"/>
          <w:color w:val="auto"/>
          <w:szCs w:val="21"/>
        </w:rPr>
        <w:t>，</w:t>
      </w:r>
      <w:r>
        <w:rPr>
          <w:rFonts w:ascii="宋体" w:hAnsi="宋体"/>
          <w:color w:val="auto"/>
          <w:szCs w:val="21"/>
        </w:rPr>
        <w:t>本项目不允许转包。</w:t>
      </w:r>
    </w:p>
    <w:p w14:paraId="3CBC8BD6">
      <w:pPr>
        <w:spacing w:before="120" w:line="320" w:lineRule="atLeast"/>
        <w:ind w:firstLine="420" w:firstLineChars="200"/>
        <w:rPr>
          <w:rFonts w:ascii="宋体" w:hAnsi="宋体"/>
          <w:color w:val="auto"/>
          <w:szCs w:val="21"/>
        </w:rPr>
      </w:pPr>
      <w:r>
        <w:rPr>
          <w:rFonts w:ascii="宋体" w:hAnsi="宋体"/>
          <w:color w:val="auto"/>
          <w:szCs w:val="21"/>
        </w:rPr>
        <w:t>1.7.2</w:t>
      </w:r>
      <w:r>
        <w:rPr>
          <w:rFonts w:hint="eastAsia" w:ascii="宋体" w:hAnsi="宋体"/>
          <w:color w:val="auto"/>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474858F">
      <w:pPr>
        <w:spacing w:before="120" w:line="276" w:lineRule="auto"/>
        <w:ind w:firstLine="422" w:firstLineChars="200"/>
        <w:outlineLvl w:val="2"/>
        <w:rPr>
          <w:rFonts w:ascii="宋体" w:hAnsi="宋体"/>
          <w:b/>
          <w:bCs/>
          <w:color w:val="auto"/>
          <w:kern w:val="0"/>
          <w:szCs w:val="21"/>
        </w:rPr>
      </w:pPr>
      <w:bookmarkStart w:id="30" w:name="_Toc254970532"/>
      <w:bookmarkStart w:id="31" w:name="_Toc254970673"/>
      <w:r>
        <w:rPr>
          <w:rFonts w:ascii="宋体" w:hAnsi="宋体"/>
          <w:b/>
          <w:bCs/>
          <w:color w:val="auto"/>
          <w:kern w:val="0"/>
          <w:szCs w:val="21"/>
        </w:rPr>
        <w:t>1.8特别说明</w:t>
      </w:r>
      <w:bookmarkEnd w:id="30"/>
      <w:bookmarkEnd w:id="31"/>
    </w:p>
    <w:p w14:paraId="0862C263">
      <w:pPr>
        <w:spacing w:line="276" w:lineRule="auto"/>
        <w:ind w:firstLine="420" w:firstLineChars="200"/>
        <w:rPr>
          <w:rFonts w:ascii="宋体" w:hAnsi="宋体"/>
          <w:color w:val="auto"/>
          <w:szCs w:val="21"/>
        </w:rPr>
      </w:pPr>
      <w:r>
        <w:rPr>
          <w:rFonts w:ascii="宋体" w:hAnsi="宋体"/>
          <w:color w:val="auto"/>
          <w:szCs w:val="21"/>
        </w:rPr>
        <w:t>1.8.1 供应商应保证其提供的联系方式（电话、传真、电子邮件）有效，以保证往来函件（澄清、修改等）能及时通知供应商，并能及时反馈，否则采购人</w:t>
      </w:r>
      <w:r>
        <w:rPr>
          <w:rFonts w:hint="eastAsia" w:ascii="宋体" w:hAnsi="宋体"/>
          <w:color w:val="auto"/>
          <w:szCs w:val="21"/>
        </w:rPr>
        <w:t>及代理机构</w:t>
      </w:r>
      <w:r>
        <w:rPr>
          <w:rFonts w:ascii="宋体" w:hAnsi="宋体"/>
          <w:color w:val="auto"/>
          <w:szCs w:val="21"/>
        </w:rPr>
        <w:t>不承担由此引起的一切后果。</w:t>
      </w:r>
    </w:p>
    <w:p w14:paraId="2629E1B2">
      <w:pPr>
        <w:spacing w:before="120" w:line="320" w:lineRule="atLeast"/>
        <w:ind w:firstLine="420" w:firstLineChars="200"/>
        <w:rPr>
          <w:rFonts w:ascii="宋体" w:hAnsi="宋体"/>
          <w:color w:val="auto"/>
          <w:szCs w:val="21"/>
        </w:rPr>
      </w:pPr>
      <w:r>
        <w:rPr>
          <w:rFonts w:ascii="宋体" w:hAnsi="宋体"/>
          <w:color w:val="auto"/>
          <w:szCs w:val="21"/>
        </w:rPr>
        <w:t>1.8.2供应商应仔细阅读采购文件的所有内容，按照采购文件的要求提交响应文件，并对所提供的全部资料的真实性承担法律责任。</w:t>
      </w:r>
    </w:p>
    <w:p w14:paraId="0D032434">
      <w:pPr>
        <w:spacing w:before="120" w:line="360" w:lineRule="auto"/>
        <w:ind w:firstLine="420" w:firstLineChars="200"/>
        <w:rPr>
          <w:rFonts w:ascii="宋体" w:hAnsi="宋体"/>
          <w:color w:val="auto"/>
          <w:szCs w:val="21"/>
        </w:rPr>
      </w:pPr>
      <w:r>
        <w:rPr>
          <w:rFonts w:ascii="宋体" w:hAnsi="宋体"/>
          <w:color w:val="auto"/>
          <w:szCs w:val="21"/>
        </w:rPr>
        <w:t>1.8.3供应商在响应活动中提供任何虚假材料，</w:t>
      </w:r>
      <w:r>
        <w:rPr>
          <w:rFonts w:hint="eastAsia" w:ascii="宋体" w:hAnsi="宋体"/>
          <w:color w:val="auto"/>
          <w:szCs w:val="21"/>
        </w:rPr>
        <w:t>将</w:t>
      </w:r>
      <w:r>
        <w:rPr>
          <w:rFonts w:ascii="宋体" w:hAnsi="宋体"/>
          <w:color w:val="auto"/>
          <w:szCs w:val="21"/>
        </w:rPr>
        <w:t xml:space="preserve">报监管部门查处； </w:t>
      </w:r>
    </w:p>
    <w:p w14:paraId="0983ED9D">
      <w:pPr>
        <w:spacing w:before="120" w:line="276" w:lineRule="auto"/>
        <w:ind w:firstLine="422" w:firstLineChars="200"/>
        <w:outlineLvl w:val="2"/>
        <w:rPr>
          <w:rFonts w:ascii="宋体" w:hAnsi="宋体"/>
          <w:b/>
          <w:bCs/>
          <w:color w:val="auto"/>
          <w:kern w:val="0"/>
          <w:szCs w:val="21"/>
        </w:rPr>
      </w:pPr>
      <w:r>
        <w:rPr>
          <w:rFonts w:hint="eastAsia" w:ascii="宋体" w:hAnsi="宋体"/>
          <w:b/>
          <w:bCs/>
          <w:color w:val="auto"/>
          <w:kern w:val="0"/>
          <w:szCs w:val="21"/>
        </w:rPr>
        <w:t>1</w:t>
      </w:r>
      <w:r>
        <w:rPr>
          <w:rFonts w:ascii="宋体" w:hAnsi="宋体"/>
          <w:b/>
          <w:bCs/>
          <w:color w:val="auto"/>
          <w:kern w:val="0"/>
          <w:szCs w:val="21"/>
        </w:rPr>
        <w:t>.</w:t>
      </w:r>
      <w:r>
        <w:rPr>
          <w:rFonts w:hint="eastAsia" w:ascii="宋体" w:hAnsi="宋体"/>
          <w:b/>
          <w:bCs/>
          <w:color w:val="auto"/>
          <w:kern w:val="0"/>
          <w:szCs w:val="21"/>
        </w:rPr>
        <w:t>9 对本国产品的支持政策</w:t>
      </w:r>
    </w:p>
    <w:p w14:paraId="1735F010">
      <w:pPr>
        <w:spacing w:before="120" w:line="360" w:lineRule="auto"/>
        <w:ind w:left="819" w:leftChars="190" w:hanging="420" w:hangingChars="200"/>
        <w:rPr>
          <w:rFonts w:ascii="宋体" w:hAnsi="宋体"/>
          <w:color w:val="auto"/>
          <w:szCs w:val="21"/>
        </w:rPr>
      </w:pPr>
      <w:r>
        <w:rPr>
          <w:rFonts w:hint="eastAsia" w:ascii="宋体" w:hAnsi="宋体"/>
          <w:color w:val="auto"/>
          <w:szCs w:val="21"/>
        </w:rPr>
        <w:t>1.9.1</w:t>
      </w:r>
      <w:r>
        <w:rPr>
          <w:rFonts w:ascii="宋体" w:hAnsi="宋体"/>
          <w:color w:val="auto"/>
          <w:szCs w:val="21"/>
        </w:rPr>
        <w:t>本国产品标准</w:t>
      </w:r>
    </w:p>
    <w:p w14:paraId="23A141A3">
      <w:pPr>
        <w:spacing w:line="276" w:lineRule="auto"/>
        <w:ind w:firstLine="420" w:firstLineChars="200"/>
        <w:rPr>
          <w:rFonts w:ascii="宋体" w:hAnsi="宋体"/>
          <w:color w:val="auto"/>
          <w:szCs w:val="21"/>
        </w:rPr>
      </w:pPr>
      <w:r>
        <w:rPr>
          <w:rFonts w:hint="eastAsia" w:ascii="宋体" w:hAnsi="宋体"/>
          <w:color w:val="auto"/>
          <w:szCs w:val="21"/>
        </w:rPr>
        <w:t>“本国产品标准的产品”是指：符合《国务院办公厅关于在政府采购中实施本国产品标准及相关政策的通知》（国办发〔2025〕34号）规定的本国产品标准的产品。</w:t>
      </w:r>
    </w:p>
    <w:p w14:paraId="2222B240">
      <w:pPr>
        <w:spacing w:line="276" w:lineRule="auto"/>
        <w:ind w:firstLine="420" w:firstLineChars="200"/>
        <w:rPr>
          <w:rFonts w:ascii="宋体" w:hAnsi="宋体"/>
          <w:color w:val="auto"/>
          <w:szCs w:val="21"/>
        </w:rPr>
      </w:pPr>
      <w:r>
        <w:rPr>
          <w:rFonts w:hint="eastAsia" w:ascii="宋体" w:hAnsi="宋体"/>
          <w:color w:val="auto"/>
          <w:szCs w:val="21"/>
        </w:rPr>
        <w:t>本国产品标准的产品应当符合以下条件：</w:t>
      </w:r>
    </w:p>
    <w:p w14:paraId="70E067E5">
      <w:pPr>
        <w:spacing w:line="276" w:lineRule="auto"/>
        <w:ind w:firstLine="420" w:firstLineChars="200"/>
        <w:rPr>
          <w:rFonts w:ascii="宋体" w:hAnsi="宋体"/>
          <w:color w:val="auto"/>
          <w:szCs w:val="21"/>
        </w:rPr>
      </w:pPr>
      <w:r>
        <w:rPr>
          <w:rFonts w:hint="eastAsia" w:ascii="宋体" w:hAnsi="宋体"/>
          <w:color w:val="auto"/>
          <w:szCs w:val="21"/>
        </w:rPr>
        <w:t>（1）</w:t>
      </w:r>
      <w:r>
        <w:rPr>
          <w:rFonts w:ascii="宋体" w:hAnsi="宋体"/>
          <w:color w:val="auto"/>
          <w:szCs w:val="21"/>
        </w:rPr>
        <w:t>在中国境内生产</w:t>
      </w:r>
      <w:r>
        <w:rPr>
          <w:rFonts w:hint="eastAsia" w:ascii="宋体" w:hAnsi="宋体"/>
          <w:color w:val="auto"/>
          <w:szCs w:val="21"/>
        </w:rPr>
        <w:t>。</w:t>
      </w:r>
      <w:r>
        <w:rPr>
          <w:rFonts w:ascii="宋体" w:hAnsi="宋体"/>
          <w:color w:val="auto"/>
          <w:szCs w:val="21"/>
        </w:rPr>
        <w:t>产品应当在中国境内生产，即在中华人民共和国关境内</w:t>
      </w:r>
      <w:r>
        <w:rPr>
          <w:rFonts w:hint="eastAsia" w:ascii="宋体" w:hAnsi="宋体"/>
          <w:color w:val="auto"/>
          <w:szCs w:val="21"/>
        </w:rPr>
        <w:t>（含保税区、综合保税区等海关特殊监管区域）</w:t>
      </w:r>
      <w:r>
        <w:rPr>
          <w:rFonts w:ascii="宋体" w:hAnsi="宋体"/>
          <w:color w:val="auto"/>
          <w:szCs w:val="21"/>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ascii="宋体" w:hAnsi="宋体"/>
          <w:color w:val="auto"/>
          <w:szCs w:val="21"/>
        </w:rPr>
      </w:pPr>
      <w:r>
        <w:rPr>
          <w:rFonts w:ascii="宋体" w:hAnsi="宋体"/>
          <w:color w:val="auto"/>
          <w:szCs w:val="21"/>
        </w:rPr>
        <w:t>①为确保产品在运输或者储存期间保持某种状态而进行的操作；</w:t>
      </w:r>
    </w:p>
    <w:p w14:paraId="4A58D069">
      <w:pPr>
        <w:spacing w:line="276" w:lineRule="auto"/>
        <w:ind w:firstLine="420" w:firstLineChars="200"/>
        <w:rPr>
          <w:rFonts w:ascii="宋体" w:hAnsi="宋体"/>
          <w:color w:val="auto"/>
          <w:szCs w:val="21"/>
        </w:rPr>
      </w:pPr>
      <w:r>
        <w:rPr>
          <w:rFonts w:ascii="宋体" w:hAnsi="宋体"/>
          <w:color w:val="auto"/>
          <w:szCs w:val="21"/>
        </w:rPr>
        <w:t>②为产品运输或者销售进行的包装或者展示；</w:t>
      </w:r>
    </w:p>
    <w:p w14:paraId="3272DA22">
      <w:pPr>
        <w:spacing w:line="276" w:lineRule="auto"/>
        <w:ind w:firstLine="420" w:firstLineChars="200"/>
        <w:rPr>
          <w:rFonts w:ascii="宋体" w:hAnsi="宋体"/>
          <w:color w:val="auto"/>
          <w:szCs w:val="21"/>
        </w:rPr>
      </w:pPr>
      <w:r>
        <w:rPr>
          <w:rFonts w:ascii="宋体" w:hAnsi="宋体"/>
          <w:color w:val="auto"/>
          <w:szCs w:val="21"/>
        </w:rPr>
        <w:t>③在产品或者其包装上粘贴或者印刷品牌、标志、标识以及其他用于区别的标记；</w:t>
      </w:r>
    </w:p>
    <w:p w14:paraId="153A2491">
      <w:pPr>
        <w:spacing w:line="276" w:lineRule="auto"/>
        <w:ind w:firstLine="420" w:firstLineChars="200"/>
        <w:rPr>
          <w:rFonts w:ascii="宋体" w:hAnsi="宋体"/>
          <w:color w:val="auto"/>
          <w:szCs w:val="21"/>
        </w:rPr>
      </w:pPr>
      <w:r>
        <w:rPr>
          <w:rFonts w:ascii="宋体" w:hAnsi="宋体"/>
          <w:color w:val="auto"/>
          <w:szCs w:val="21"/>
        </w:rPr>
        <w:t>④简单的上漆、磨光和分装；</w:t>
      </w:r>
    </w:p>
    <w:p w14:paraId="7D1505C8">
      <w:pPr>
        <w:spacing w:line="276" w:lineRule="auto"/>
        <w:ind w:firstLine="420" w:firstLineChars="200"/>
        <w:rPr>
          <w:rFonts w:ascii="宋体" w:hAnsi="宋体"/>
          <w:color w:val="auto"/>
          <w:szCs w:val="21"/>
        </w:rPr>
      </w:pPr>
      <w:r>
        <w:rPr>
          <w:rFonts w:ascii="宋体" w:hAnsi="宋体"/>
          <w:color w:val="auto"/>
          <w:szCs w:val="21"/>
        </w:rPr>
        <w:t>⑤其他不属于属性改变的情形；</w:t>
      </w:r>
    </w:p>
    <w:p w14:paraId="2FE38ACE">
      <w:pPr>
        <w:spacing w:line="276"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中国境内生产的组件成本占比达到规定比例</w:t>
      </w:r>
      <w:r>
        <w:rPr>
          <w:rFonts w:hint="eastAsia" w:ascii="宋体" w:hAnsi="宋体"/>
          <w:color w:val="auto"/>
          <w:szCs w:val="21"/>
        </w:rPr>
        <w:t>。</w:t>
      </w:r>
    </w:p>
    <w:p w14:paraId="35274560">
      <w:pPr>
        <w:spacing w:line="276" w:lineRule="auto"/>
        <w:ind w:firstLine="420" w:firstLineChars="200"/>
        <w:rPr>
          <w:rFonts w:ascii="宋体" w:hAnsi="宋体"/>
          <w:color w:val="auto"/>
          <w:szCs w:val="21"/>
        </w:rPr>
      </w:pPr>
      <w:r>
        <w:rPr>
          <w:rFonts w:hint="eastAsia" w:ascii="宋体" w:hAnsi="宋体"/>
          <w:color w:val="auto"/>
          <w:szCs w:val="21"/>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ascii="宋体" w:hAnsi="宋体"/>
          <w:color w:val="auto"/>
          <w:szCs w:val="21"/>
        </w:rPr>
      </w:pPr>
      <w:r>
        <w:rPr>
          <w:rFonts w:hint="eastAsia" w:ascii="宋体" w:hAnsi="宋体"/>
          <w:color w:val="auto"/>
          <w:szCs w:val="21"/>
        </w:rPr>
        <w:t>②产品在中国境内生产的组件成本，按照《中国境内生产的组件成本核算基本规则》计算；</w:t>
      </w:r>
    </w:p>
    <w:p w14:paraId="27020F74">
      <w:pPr>
        <w:spacing w:line="276" w:lineRule="auto"/>
        <w:ind w:firstLine="420" w:firstLineChars="200"/>
        <w:rPr>
          <w:rFonts w:ascii="宋体" w:hAnsi="宋体"/>
          <w:color w:val="auto"/>
          <w:szCs w:val="21"/>
        </w:rPr>
      </w:pPr>
      <w:r>
        <w:rPr>
          <w:rFonts w:hint="eastAsia" w:ascii="宋体" w:hAnsi="宋体"/>
          <w:color w:val="auto"/>
          <w:szCs w:val="21"/>
        </w:rPr>
        <w:t>③中国境内生产的组件成本占比相关要求实施前，符合第（1）项条件的产品在政府采购活动中视同本国产品。</w:t>
      </w:r>
    </w:p>
    <w:p w14:paraId="6178B395">
      <w:pPr>
        <w:spacing w:line="276" w:lineRule="auto"/>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特定产品的关键组件和工序在中国境内完成。</w:t>
      </w:r>
    </w:p>
    <w:p w14:paraId="423F8CFB">
      <w:pPr>
        <w:spacing w:line="276" w:lineRule="auto"/>
        <w:ind w:firstLine="420" w:firstLineChars="200"/>
        <w:rPr>
          <w:rFonts w:ascii="宋体" w:hAnsi="宋体"/>
          <w:color w:val="auto"/>
          <w:szCs w:val="21"/>
        </w:rPr>
      </w:pPr>
      <w:r>
        <w:rPr>
          <w:rFonts w:hint="eastAsia" w:ascii="宋体" w:hAnsi="宋体"/>
          <w:color w:val="auto"/>
          <w:szCs w:val="21"/>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ascii="宋体" w:hAnsi="宋体"/>
          <w:color w:val="auto"/>
          <w:szCs w:val="21"/>
        </w:rPr>
      </w:pPr>
      <w:r>
        <w:rPr>
          <w:rFonts w:hint="eastAsia" w:ascii="宋体" w:hAnsi="宋体"/>
          <w:color w:val="auto"/>
          <w:szCs w:val="21"/>
        </w:rPr>
        <w:t>②特定产品的关键组件、关键工序符合相关要求实施前，符合第（1）项和第（2）项条件的产品在政府采购活动中视同本国产品。</w:t>
      </w:r>
    </w:p>
    <w:p w14:paraId="415588CF">
      <w:pPr>
        <w:spacing w:before="120" w:line="360" w:lineRule="auto"/>
        <w:ind w:left="819" w:leftChars="190" w:hanging="420" w:hangingChars="200"/>
        <w:rPr>
          <w:rFonts w:ascii="宋体" w:hAnsi="宋体"/>
          <w:color w:val="auto"/>
          <w:szCs w:val="21"/>
        </w:rPr>
      </w:pPr>
      <w:r>
        <w:rPr>
          <w:rFonts w:hint="eastAsia" w:ascii="宋体" w:hAnsi="宋体"/>
          <w:color w:val="auto"/>
          <w:szCs w:val="21"/>
        </w:rPr>
        <w:t>1.9.2 本国产品标准的适用范围</w:t>
      </w:r>
    </w:p>
    <w:p w14:paraId="2D739E9B">
      <w:pPr>
        <w:spacing w:line="276" w:lineRule="auto"/>
        <w:ind w:firstLine="420" w:firstLineChars="200"/>
        <w:rPr>
          <w:rFonts w:ascii="宋体" w:hAnsi="宋体"/>
          <w:color w:val="auto"/>
          <w:szCs w:val="21"/>
        </w:rPr>
      </w:pPr>
      <w:r>
        <w:rPr>
          <w:rFonts w:ascii="宋体" w:hAnsi="宋体"/>
          <w:color w:val="auto"/>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b/>
          <w:bCs/>
          <w:color w:val="auto"/>
          <w:szCs w:val="21"/>
        </w:rPr>
        <w:t>本项目是否适用对本国产品的支持政策详见供应商须知前附表。</w:t>
      </w:r>
    </w:p>
    <w:p w14:paraId="36DC1745">
      <w:pPr>
        <w:spacing w:line="276" w:lineRule="auto"/>
        <w:ind w:firstLine="420" w:firstLineChars="200"/>
        <w:rPr>
          <w:rFonts w:ascii="宋体" w:hAnsi="宋体"/>
          <w:color w:val="auto"/>
          <w:szCs w:val="21"/>
        </w:rPr>
      </w:pPr>
      <w:r>
        <w:rPr>
          <w:rFonts w:ascii="宋体" w:hAnsi="宋体"/>
          <w:color w:val="auto"/>
          <w:szCs w:val="21"/>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ascii="宋体" w:hAnsi="宋体"/>
          <w:color w:val="auto"/>
          <w:szCs w:val="21"/>
        </w:rPr>
      </w:pPr>
      <w:r>
        <w:rPr>
          <w:rFonts w:hint="eastAsia" w:ascii="宋体" w:hAnsi="宋体"/>
          <w:color w:val="auto"/>
          <w:szCs w:val="21"/>
        </w:rPr>
        <w:t>1.9.3 价格评审优惠</w:t>
      </w:r>
    </w:p>
    <w:p w14:paraId="4B3D05C6">
      <w:pPr>
        <w:spacing w:before="120" w:line="320" w:lineRule="atLeast"/>
        <w:ind w:firstLine="420" w:firstLineChars="200"/>
        <w:rPr>
          <w:rFonts w:ascii="宋体" w:hAnsi="宋体"/>
          <w:color w:val="auto"/>
          <w:szCs w:val="21"/>
        </w:rPr>
      </w:pPr>
      <w:r>
        <w:rPr>
          <w:rFonts w:hint="eastAsia" w:ascii="宋体" w:hAnsi="宋体"/>
          <w:color w:val="auto"/>
          <w:szCs w:val="21"/>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ascii="宋体" w:hAnsi="宋体"/>
          <w:color w:val="auto"/>
          <w:szCs w:val="21"/>
        </w:rPr>
      </w:pPr>
      <w:r>
        <w:rPr>
          <w:rFonts w:hint="eastAsia" w:ascii="宋体" w:hAnsi="宋体"/>
          <w:color w:val="auto"/>
          <w:szCs w:val="21"/>
        </w:rPr>
        <w:t>价格扣除比例在第四章评审方法及标准中规定。</w:t>
      </w:r>
    </w:p>
    <w:p w14:paraId="5851C88A">
      <w:pPr>
        <w:spacing w:before="120" w:line="320" w:lineRule="atLeast"/>
        <w:ind w:firstLine="420" w:firstLineChars="200"/>
        <w:rPr>
          <w:rFonts w:ascii="宋体" w:hAnsi="宋体"/>
          <w:color w:val="auto"/>
          <w:szCs w:val="21"/>
        </w:rPr>
      </w:pPr>
      <w:r>
        <w:rPr>
          <w:rFonts w:hint="eastAsia" w:ascii="宋体" w:hAnsi="宋体"/>
          <w:color w:val="auto"/>
          <w:szCs w:val="21"/>
        </w:rPr>
        <w:t>1.9.4政策执行要求</w:t>
      </w:r>
    </w:p>
    <w:p w14:paraId="0BCF661E">
      <w:pPr>
        <w:spacing w:before="120" w:line="320" w:lineRule="atLeast"/>
        <w:ind w:firstLine="420" w:firstLineChars="200"/>
        <w:rPr>
          <w:rFonts w:ascii="宋体" w:hAnsi="宋体"/>
          <w:color w:val="auto"/>
          <w:szCs w:val="21"/>
        </w:rPr>
      </w:pPr>
      <w:r>
        <w:rPr>
          <w:rFonts w:hint="eastAsia" w:ascii="宋体" w:hAnsi="宋体"/>
          <w:color w:val="auto"/>
          <w:szCs w:val="21"/>
        </w:rPr>
        <w:t>1.9.4.1产品在中国境内生产的组件成本核算规则：产品在中国境内生产的组件成本，按照《中国境内生产的组件成本核算基本规则》计算。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ascii="宋体" w:hAnsi="宋体"/>
          <w:color w:val="auto"/>
          <w:szCs w:val="21"/>
        </w:rPr>
      </w:pPr>
      <w:r>
        <w:rPr>
          <w:rFonts w:hint="eastAsia" w:ascii="宋体" w:hAnsi="宋体"/>
          <w:color w:val="auto"/>
          <w:szCs w:val="21"/>
        </w:rPr>
        <w:t>《中国境内生产的组件成本核算基本规则》</w:t>
      </w:r>
    </w:p>
    <w:p w14:paraId="26FF60BE">
      <w:pPr>
        <w:spacing w:before="120"/>
        <w:ind w:firstLine="420" w:firstLineChars="200"/>
        <w:rPr>
          <w:rFonts w:ascii="宋体" w:hAnsi="宋体"/>
          <w:color w:val="auto"/>
          <w:szCs w:val="21"/>
        </w:rPr>
      </w:pPr>
      <w:r>
        <w:rPr>
          <w:rFonts w:hint="eastAsia" w:ascii="宋体" w:hAnsi="宋体"/>
          <w:color w:val="auto"/>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spacing w:before="120"/>
        <w:ind w:firstLine="420" w:firstLineChars="200"/>
        <w:rPr>
          <w:rFonts w:ascii="宋体" w:hAnsi="宋体"/>
          <w:color w:val="auto"/>
          <w:szCs w:val="21"/>
        </w:rPr>
      </w:pPr>
      <w:r>
        <w:rPr>
          <w:rFonts w:hint="eastAsia" w:ascii="宋体" w:hAnsi="宋体"/>
          <w:color w:val="auto"/>
          <w:szCs w:val="21"/>
        </w:rPr>
        <w:t>1.产品的一级组件是指直接组成产品的组件。产品的二级组件是指直接组成产品一级组件的组件。一级组件不可分解的，视同二级组件。</w:t>
      </w:r>
    </w:p>
    <w:p w14:paraId="5262BAC1">
      <w:pPr>
        <w:spacing w:before="120"/>
        <w:ind w:firstLine="420" w:firstLineChars="200"/>
        <w:rPr>
          <w:rFonts w:ascii="宋体" w:hAnsi="宋体"/>
          <w:color w:val="auto"/>
          <w:szCs w:val="21"/>
        </w:rPr>
      </w:pPr>
      <w:r>
        <w:rPr>
          <w:rFonts w:hint="eastAsia" w:ascii="宋体" w:hAnsi="宋体"/>
          <w:color w:val="auto"/>
          <w:szCs w:val="21"/>
        </w:rPr>
        <w:t>2.二级组件在中国境内生产的，其全部成本计入中国境内生产的组件成本；二级组件不在中国境内生产的，其成本不计入中国境内生产的组件成本。</w:t>
      </w:r>
    </w:p>
    <w:p w14:paraId="17470F88">
      <w:pPr>
        <w:spacing w:before="120"/>
        <w:ind w:firstLine="420" w:firstLineChars="200"/>
        <w:rPr>
          <w:rFonts w:ascii="宋体" w:hAnsi="宋体"/>
          <w:color w:val="auto"/>
          <w:szCs w:val="21"/>
        </w:rPr>
      </w:pPr>
      <w:r>
        <w:rPr>
          <w:rFonts w:hint="eastAsia" w:ascii="宋体" w:hAnsi="宋体"/>
          <w:color w:val="auto"/>
          <w:szCs w:val="21"/>
        </w:rPr>
        <w:t>3.产品总成本和组件成本以相关会计核算数据、采购合同、进货记录等为基础进行计算。</w:t>
      </w:r>
    </w:p>
    <w:p w14:paraId="7B0DA4B9">
      <w:pPr>
        <w:spacing w:before="120"/>
        <w:ind w:firstLine="420" w:firstLineChars="200"/>
        <w:rPr>
          <w:rFonts w:ascii="宋体" w:hAnsi="宋体"/>
          <w:color w:val="auto"/>
          <w:szCs w:val="21"/>
        </w:rPr>
      </w:pPr>
      <w:r>
        <w:rPr>
          <w:rFonts w:hint="eastAsia" w:ascii="宋体" w:hAnsi="宋体"/>
          <w:color w:val="auto"/>
          <w:szCs w:val="21"/>
        </w:rPr>
        <w:t>4.需要对成本核算规则予以进一步明确的其他有关事项，由财政部会同有关部门另行规定。</w:t>
      </w:r>
    </w:p>
    <w:p w14:paraId="496E4220">
      <w:pPr>
        <w:spacing w:before="120" w:line="320" w:lineRule="atLeast"/>
        <w:ind w:firstLine="420" w:firstLineChars="200"/>
        <w:rPr>
          <w:rFonts w:ascii="宋体" w:hAnsi="宋体"/>
          <w:color w:val="auto"/>
          <w:szCs w:val="21"/>
        </w:rPr>
      </w:pPr>
      <w:r>
        <w:rPr>
          <w:rFonts w:hint="eastAsia" w:ascii="宋体" w:hAnsi="宋体"/>
          <w:color w:val="auto"/>
          <w:szCs w:val="21"/>
        </w:rPr>
        <w:t>1.9.4.2证明材料提交与审查：供应商需在投标（响应）文件中对其提供的产品出具《关于符合本国产品标准的声明函》（样式见响应文件格式）或财政部会同有关部门规定的有关证明文件。</w:t>
      </w:r>
      <w:r>
        <w:rPr>
          <w:rFonts w:hint="eastAsia" w:ascii="宋体" w:hAnsi="宋体"/>
          <w:b/>
          <w:bCs/>
          <w:color w:val="auto"/>
          <w:szCs w:val="21"/>
        </w:rPr>
        <w:t>医疗器械产品凭药品监督管理部门授予的准字号注册证直接认定属于在中国境内生产的产品。</w:t>
      </w:r>
      <w:r>
        <w:rPr>
          <w:rFonts w:hint="eastAsia" w:ascii="宋体" w:hAnsi="宋体"/>
          <w:color w:val="auto"/>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2"/>
        <w:ind w:firstLine="420" w:firstLineChars="200"/>
        <w:rPr>
          <w:rFonts w:ascii="宋体" w:hAnsi="宋体"/>
          <w:color w:val="auto"/>
          <w:sz w:val="21"/>
          <w:szCs w:val="21"/>
        </w:rPr>
      </w:pPr>
      <w:r>
        <w:rPr>
          <w:rFonts w:hint="eastAsia" w:ascii="宋体" w:hAnsi="宋体"/>
          <w:color w:val="auto"/>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69C1BF47">
      <w:pPr>
        <w:pStyle w:val="2"/>
        <w:ind w:firstLine="420" w:firstLineChars="200"/>
        <w:rPr>
          <w:rFonts w:ascii="宋体" w:hAnsi="宋体"/>
          <w:color w:val="auto"/>
          <w:sz w:val="21"/>
          <w:szCs w:val="21"/>
        </w:rPr>
      </w:pPr>
      <w:r>
        <w:rPr>
          <w:rFonts w:hint="eastAsia" w:ascii="宋体" w:hAnsi="宋体"/>
          <w:color w:val="auto"/>
          <w:sz w:val="21"/>
          <w:szCs w:val="21"/>
        </w:rPr>
        <w:t>澄清补正应当按照“6.3.3澄清、说明或补正”的规定提交。</w:t>
      </w:r>
    </w:p>
    <w:p w14:paraId="1C22056C">
      <w:pPr>
        <w:pStyle w:val="2"/>
        <w:ind w:firstLine="420" w:firstLineChars="200"/>
        <w:rPr>
          <w:rFonts w:ascii="宋体" w:hAnsi="宋体"/>
          <w:color w:val="auto"/>
          <w:sz w:val="21"/>
          <w:szCs w:val="21"/>
        </w:rPr>
      </w:pPr>
      <w:r>
        <w:rPr>
          <w:rFonts w:hint="eastAsia" w:ascii="宋体" w:hAnsi="宋体"/>
          <w:color w:val="auto"/>
          <w:sz w:val="21"/>
          <w:szCs w:val="21"/>
        </w:rPr>
        <w:t>1.9.4.3成本核算与承诺</w:t>
      </w:r>
    </w:p>
    <w:p w14:paraId="36EC83CE">
      <w:pPr>
        <w:pStyle w:val="2"/>
        <w:ind w:firstLine="420" w:firstLineChars="200"/>
        <w:rPr>
          <w:rFonts w:ascii="宋体" w:hAnsi="宋体"/>
          <w:color w:val="auto"/>
          <w:sz w:val="21"/>
          <w:szCs w:val="21"/>
        </w:rPr>
      </w:pPr>
      <w:r>
        <w:rPr>
          <w:rFonts w:ascii="宋体" w:hAnsi="宋体"/>
          <w:color w:val="auto"/>
          <w:sz w:val="21"/>
          <w:szCs w:val="21"/>
        </w:rPr>
        <w:t>供应商应依据《中国境内生产的组件成本核算基本规则》核算产品成本占比，并对核算结果负责，按要求提交《</w:t>
      </w:r>
      <w:r>
        <w:rPr>
          <w:rFonts w:hint="eastAsia" w:ascii="宋体" w:hAnsi="宋体"/>
          <w:color w:val="auto"/>
          <w:sz w:val="21"/>
          <w:szCs w:val="21"/>
        </w:rPr>
        <w:t>关于符合</w:t>
      </w:r>
      <w:r>
        <w:rPr>
          <w:rFonts w:ascii="宋体" w:hAnsi="宋体"/>
          <w:color w:val="auto"/>
          <w:sz w:val="21"/>
          <w:szCs w:val="21"/>
        </w:rPr>
        <w:t>本国产品</w:t>
      </w:r>
      <w:r>
        <w:rPr>
          <w:rFonts w:hint="eastAsia" w:ascii="宋体" w:hAnsi="宋体"/>
          <w:color w:val="auto"/>
          <w:sz w:val="21"/>
          <w:szCs w:val="21"/>
        </w:rPr>
        <w:t>标准的</w:t>
      </w:r>
      <w:r>
        <w:rPr>
          <w:rFonts w:ascii="宋体" w:hAnsi="宋体"/>
          <w:color w:val="auto"/>
          <w:sz w:val="21"/>
          <w:szCs w:val="21"/>
        </w:rPr>
        <w:t>成本占比承诺函》</w:t>
      </w:r>
      <w:r>
        <w:rPr>
          <w:rFonts w:hint="eastAsia" w:ascii="宋体" w:hAnsi="宋体"/>
          <w:color w:val="auto"/>
          <w:sz w:val="21"/>
          <w:szCs w:val="21"/>
        </w:rPr>
        <w:t>（如适用）</w:t>
      </w:r>
      <w:r>
        <w:rPr>
          <w:rFonts w:ascii="宋体" w:hAnsi="宋体"/>
          <w:color w:val="auto"/>
          <w:sz w:val="21"/>
          <w:szCs w:val="21"/>
        </w:rPr>
        <w:t>（参考模板</w:t>
      </w:r>
      <w:r>
        <w:rPr>
          <w:rFonts w:hint="eastAsia" w:ascii="宋体" w:hAnsi="宋体"/>
          <w:color w:val="auto"/>
          <w:sz w:val="21"/>
          <w:szCs w:val="21"/>
        </w:rPr>
        <w:t>详见响应文件格式</w:t>
      </w:r>
      <w:r>
        <w:rPr>
          <w:rFonts w:ascii="宋体" w:hAnsi="宋体"/>
          <w:color w:val="auto"/>
          <w:sz w:val="21"/>
          <w:szCs w:val="21"/>
        </w:rPr>
        <w:t>）。相关成本核算的原始凭证应妥善留存，以备核查。采购人可在履约验收环节对相关材料进行抽查。</w:t>
      </w:r>
    </w:p>
    <w:p w14:paraId="333F5497">
      <w:pPr>
        <w:spacing w:before="120" w:line="320" w:lineRule="atLeast"/>
        <w:ind w:firstLine="420" w:firstLineChars="200"/>
        <w:rPr>
          <w:rFonts w:ascii="宋体" w:hAnsi="宋体"/>
          <w:color w:val="auto"/>
          <w:szCs w:val="21"/>
        </w:rPr>
      </w:pPr>
      <w:r>
        <w:rPr>
          <w:rFonts w:hint="eastAsia" w:ascii="宋体" w:hAnsi="宋体"/>
          <w:color w:val="auto"/>
          <w:szCs w:val="21"/>
        </w:rPr>
        <w:t>1.9.5 争议处理</w:t>
      </w:r>
    </w:p>
    <w:p w14:paraId="078A66A9">
      <w:pPr>
        <w:spacing w:before="120" w:line="360" w:lineRule="auto"/>
        <w:ind w:firstLine="420" w:firstLineChars="200"/>
        <w:rPr>
          <w:rFonts w:ascii="宋体" w:hAnsi="宋体"/>
          <w:color w:val="auto"/>
          <w:szCs w:val="21"/>
        </w:rPr>
      </w:pPr>
      <w:r>
        <w:rPr>
          <w:rFonts w:hint="eastAsia" w:ascii="宋体" w:hAnsi="宋体"/>
          <w:color w:val="auto"/>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A3DE1B9">
      <w:pPr>
        <w:spacing w:before="120" w:line="320" w:lineRule="atLeast"/>
        <w:ind w:left="2" w:leftChars="1" w:firstLine="422" w:firstLineChars="200"/>
        <w:outlineLvl w:val="1"/>
        <w:rPr>
          <w:rFonts w:ascii="宋体" w:hAnsi="宋体"/>
          <w:b/>
          <w:bCs/>
          <w:color w:val="auto"/>
          <w:kern w:val="0"/>
          <w:szCs w:val="21"/>
        </w:rPr>
      </w:pPr>
      <w:bookmarkStart w:id="32" w:name="_Toc254970675"/>
      <w:bookmarkStart w:id="33" w:name="_Toc254970534"/>
      <w:r>
        <w:rPr>
          <w:rFonts w:ascii="宋体" w:hAnsi="宋体"/>
          <w:b/>
          <w:bCs/>
          <w:color w:val="auto"/>
          <w:kern w:val="0"/>
          <w:szCs w:val="21"/>
        </w:rPr>
        <w:t>2．采购文件</w:t>
      </w:r>
      <w:bookmarkEnd w:id="32"/>
      <w:bookmarkEnd w:id="33"/>
    </w:p>
    <w:p w14:paraId="56D7A6D6">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2.1采购文件的构成</w:t>
      </w:r>
    </w:p>
    <w:p w14:paraId="5E340189">
      <w:pPr>
        <w:spacing w:before="120" w:line="320" w:lineRule="atLeast"/>
        <w:ind w:firstLine="420" w:firstLineChars="200"/>
        <w:rPr>
          <w:rFonts w:ascii="宋体" w:hAnsi="宋体"/>
          <w:color w:val="auto"/>
          <w:szCs w:val="21"/>
        </w:rPr>
      </w:pPr>
      <w:r>
        <w:rPr>
          <w:rFonts w:ascii="宋体" w:hAnsi="宋体"/>
          <w:color w:val="auto"/>
          <w:szCs w:val="21"/>
        </w:rPr>
        <w:t>第一章 磋商公告</w:t>
      </w:r>
    </w:p>
    <w:p w14:paraId="603B673B">
      <w:pPr>
        <w:spacing w:before="120" w:line="320" w:lineRule="atLeast"/>
        <w:ind w:firstLine="420" w:firstLineChars="200"/>
        <w:rPr>
          <w:rFonts w:ascii="宋体" w:hAnsi="宋体"/>
          <w:color w:val="auto"/>
          <w:szCs w:val="21"/>
        </w:rPr>
      </w:pPr>
      <w:r>
        <w:rPr>
          <w:rFonts w:ascii="宋体" w:hAnsi="宋体"/>
          <w:color w:val="auto"/>
          <w:szCs w:val="21"/>
        </w:rPr>
        <w:t>第二章 采购需求</w:t>
      </w:r>
    </w:p>
    <w:p w14:paraId="73E754B5">
      <w:pPr>
        <w:spacing w:before="120" w:line="320" w:lineRule="atLeast"/>
        <w:ind w:firstLine="420" w:firstLineChars="200"/>
        <w:rPr>
          <w:rFonts w:ascii="宋体" w:hAnsi="宋体"/>
          <w:color w:val="auto"/>
          <w:szCs w:val="21"/>
        </w:rPr>
      </w:pPr>
      <w:r>
        <w:rPr>
          <w:rFonts w:ascii="宋体" w:hAnsi="宋体"/>
          <w:color w:val="auto"/>
          <w:szCs w:val="21"/>
        </w:rPr>
        <w:t>第三章 供应商须知</w:t>
      </w:r>
    </w:p>
    <w:p w14:paraId="1FD7A905">
      <w:pPr>
        <w:spacing w:before="120" w:line="320" w:lineRule="atLeast"/>
        <w:ind w:firstLine="420" w:firstLineChars="200"/>
        <w:rPr>
          <w:rFonts w:ascii="宋体" w:hAnsi="宋体"/>
          <w:color w:val="auto"/>
          <w:szCs w:val="21"/>
        </w:rPr>
      </w:pPr>
      <w:r>
        <w:rPr>
          <w:rFonts w:ascii="宋体" w:hAnsi="宋体"/>
          <w:color w:val="auto"/>
          <w:szCs w:val="21"/>
        </w:rPr>
        <w:t>第四章 评审方法及标准</w:t>
      </w:r>
    </w:p>
    <w:p w14:paraId="71DDF041">
      <w:pPr>
        <w:spacing w:before="120" w:line="320" w:lineRule="atLeast"/>
        <w:ind w:firstLine="420" w:firstLineChars="200"/>
        <w:rPr>
          <w:rFonts w:ascii="宋体" w:hAnsi="宋体"/>
          <w:color w:val="auto"/>
          <w:szCs w:val="21"/>
        </w:rPr>
      </w:pPr>
      <w:r>
        <w:rPr>
          <w:rFonts w:ascii="宋体" w:hAnsi="宋体"/>
          <w:color w:val="auto"/>
          <w:szCs w:val="21"/>
        </w:rPr>
        <w:t>第五章 合同主要条款格式</w:t>
      </w:r>
    </w:p>
    <w:p w14:paraId="5492420C">
      <w:pPr>
        <w:spacing w:before="120" w:line="320" w:lineRule="atLeast"/>
        <w:ind w:firstLine="420" w:firstLineChars="200"/>
        <w:rPr>
          <w:rFonts w:ascii="宋体" w:hAnsi="宋体"/>
          <w:color w:val="auto"/>
          <w:szCs w:val="21"/>
        </w:rPr>
      </w:pPr>
      <w:r>
        <w:rPr>
          <w:rFonts w:ascii="宋体" w:hAnsi="宋体"/>
          <w:color w:val="auto"/>
          <w:szCs w:val="21"/>
        </w:rPr>
        <w:t>第六章 响应文件格式</w:t>
      </w:r>
    </w:p>
    <w:p w14:paraId="3BD39CA8">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2.2供应商的风险</w:t>
      </w:r>
    </w:p>
    <w:p w14:paraId="24D32595">
      <w:pPr>
        <w:spacing w:before="120" w:line="320" w:lineRule="atLeast"/>
        <w:ind w:firstLine="420" w:firstLineChars="200"/>
        <w:rPr>
          <w:rFonts w:ascii="宋体" w:hAnsi="宋体"/>
          <w:color w:val="auto"/>
          <w:szCs w:val="21"/>
        </w:rPr>
      </w:pPr>
      <w:r>
        <w:rPr>
          <w:rFonts w:ascii="宋体" w:hAnsi="宋体"/>
          <w:color w:val="auto"/>
          <w:szCs w:val="21"/>
        </w:rPr>
        <w:t>供应商没有按照采购文件要求提供全部资料，或者供应商没有对采购文件在各方面作出实质性响应是供应商的风险，并可能导致其响应被否决。</w:t>
      </w:r>
    </w:p>
    <w:p w14:paraId="6382B41A">
      <w:pPr>
        <w:spacing w:before="120" w:line="320" w:lineRule="atLeast"/>
        <w:ind w:firstLine="422" w:firstLineChars="200"/>
        <w:outlineLvl w:val="2"/>
        <w:rPr>
          <w:rFonts w:ascii="宋体" w:hAnsi="宋体"/>
          <w:b/>
          <w:color w:val="auto"/>
          <w:szCs w:val="21"/>
        </w:rPr>
      </w:pPr>
      <w:r>
        <w:rPr>
          <w:rFonts w:ascii="宋体" w:hAnsi="宋体"/>
          <w:b/>
          <w:bCs/>
          <w:color w:val="auto"/>
          <w:kern w:val="0"/>
          <w:szCs w:val="21"/>
        </w:rPr>
        <w:t>2.3采购文件的澄清与修改</w:t>
      </w:r>
    </w:p>
    <w:p w14:paraId="3D2F2A05">
      <w:pPr>
        <w:spacing w:before="120" w:line="320" w:lineRule="atLeast"/>
        <w:ind w:firstLine="420" w:firstLineChars="200"/>
        <w:rPr>
          <w:rFonts w:ascii="宋体" w:hAnsi="宋体"/>
          <w:color w:val="auto"/>
          <w:szCs w:val="21"/>
        </w:rPr>
      </w:pPr>
      <w:r>
        <w:rPr>
          <w:rFonts w:ascii="宋体" w:hAnsi="宋体"/>
          <w:color w:val="auto"/>
          <w:szCs w:val="21"/>
        </w:rPr>
        <w:t>2.3.1</w:t>
      </w:r>
      <w:r>
        <w:rPr>
          <w:rFonts w:hint="eastAsia" w:ascii="宋体" w:hAnsi="宋体"/>
          <w:color w:val="auto"/>
          <w:szCs w:val="21"/>
        </w:rPr>
        <w:t>任何已获得采购文件的潜在供应商，均可</w:t>
      </w:r>
      <w:r>
        <w:rPr>
          <w:rFonts w:ascii="宋体" w:hAnsi="宋体"/>
          <w:color w:val="auto"/>
          <w:szCs w:val="21"/>
        </w:rPr>
        <w:t>以书面形式要求采购代理机构作出书面解释、澄清</w:t>
      </w:r>
      <w:r>
        <w:rPr>
          <w:rFonts w:hint="eastAsia" w:ascii="宋体" w:hAnsi="宋体"/>
          <w:color w:val="auto"/>
          <w:szCs w:val="21"/>
        </w:rPr>
        <w:t>。</w:t>
      </w:r>
    </w:p>
    <w:p w14:paraId="27DED9A6">
      <w:pPr>
        <w:spacing w:before="120" w:line="320" w:lineRule="atLeast"/>
        <w:ind w:firstLine="420" w:firstLineChars="200"/>
        <w:rPr>
          <w:rFonts w:ascii="宋体" w:hAnsi="宋体"/>
          <w:color w:val="auto"/>
          <w:szCs w:val="21"/>
        </w:rPr>
      </w:pPr>
      <w:r>
        <w:rPr>
          <w:rFonts w:ascii="宋体" w:hAnsi="宋体"/>
          <w:color w:val="auto"/>
          <w:szCs w:val="21"/>
        </w:rPr>
        <w:t>2.3.2</w:t>
      </w:r>
      <w:r>
        <w:rPr>
          <w:rFonts w:hint="eastAsia" w:ascii="宋体" w:hAnsi="宋体"/>
          <w:color w:val="auto"/>
          <w:szCs w:val="21"/>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rFonts w:ascii="宋体" w:hAnsi="宋体"/>
          <w:color w:val="auto"/>
          <w:szCs w:val="21"/>
        </w:rPr>
        <w:t xml:space="preserve"> </w:t>
      </w:r>
    </w:p>
    <w:p w14:paraId="4C139BC4">
      <w:pPr>
        <w:spacing w:before="120" w:line="320" w:lineRule="atLeast"/>
        <w:ind w:firstLine="420" w:firstLineChars="200"/>
        <w:rPr>
          <w:rFonts w:ascii="宋体" w:hAnsi="宋体"/>
          <w:color w:val="auto"/>
          <w:szCs w:val="21"/>
        </w:rPr>
      </w:pPr>
      <w:r>
        <w:rPr>
          <w:rFonts w:ascii="宋体" w:hAnsi="宋体"/>
          <w:color w:val="auto"/>
          <w:szCs w:val="21"/>
        </w:rPr>
        <w:t>2.3.3采购文件澄清、答复、修改、补充的内容为采购文件的组成部分。当采购文件与采购文件的答复、澄清、修改、补充通知就同一内容的表述不一致时，以最后发出的公告或书面文件为准。</w:t>
      </w:r>
    </w:p>
    <w:p w14:paraId="452B6395">
      <w:pPr>
        <w:spacing w:before="120" w:line="320" w:lineRule="atLeast"/>
        <w:ind w:left="2" w:leftChars="1" w:firstLine="422" w:firstLineChars="200"/>
        <w:outlineLvl w:val="1"/>
        <w:rPr>
          <w:rFonts w:ascii="宋体" w:hAnsi="宋体"/>
          <w:b/>
          <w:bCs/>
          <w:color w:val="auto"/>
          <w:kern w:val="0"/>
          <w:szCs w:val="21"/>
        </w:rPr>
      </w:pPr>
      <w:bookmarkStart w:id="34" w:name="_Toc254970535"/>
      <w:bookmarkStart w:id="35" w:name="_Toc254970676"/>
      <w:r>
        <w:rPr>
          <w:rFonts w:ascii="宋体" w:hAnsi="宋体"/>
          <w:b/>
          <w:bCs/>
          <w:color w:val="auto"/>
          <w:kern w:val="0"/>
          <w:szCs w:val="21"/>
        </w:rPr>
        <w:t>3．响应文件</w:t>
      </w:r>
      <w:bookmarkEnd w:id="34"/>
      <w:bookmarkEnd w:id="35"/>
    </w:p>
    <w:p w14:paraId="424FFAEA">
      <w:pPr>
        <w:spacing w:before="120" w:line="320" w:lineRule="atLeast"/>
        <w:ind w:firstLine="422" w:firstLineChars="200"/>
        <w:outlineLvl w:val="2"/>
        <w:rPr>
          <w:rFonts w:ascii="宋体" w:hAnsi="宋体"/>
          <w:b/>
          <w:bCs/>
          <w:color w:val="auto"/>
          <w:kern w:val="0"/>
          <w:szCs w:val="21"/>
        </w:rPr>
      </w:pPr>
      <w:bookmarkStart w:id="36" w:name="_Toc254970677"/>
      <w:bookmarkStart w:id="37" w:name="_Toc254970536"/>
      <w:r>
        <w:rPr>
          <w:rFonts w:ascii="宋体" w:hAnsi="宋体"/>
          <w:b/>
          <w:bCs/>
          <w:color w:val="auto"/>
          <w:kern w:val="0"/>
          <w:szCs w:val="21"/>
        </w:rPr>
        <w:t>3.1响应文件的组成</w:t>
      </w:r>
      <w:bookmarkEnd w:id="36"/>
      <w:bookmarkEnd w:id="37"/>
    </w:p>
    <w:p w14:paraId="5006F00C">
      <w:pPr>
        <w:spacing w:before="120" w:line="320" w:lineRule="atLeast"/>
        <w:ind w:firstLine="420" w:firstLineChars="200"/>
        <w:rPr>
          <w:rFonts w:ascii="宋体" w:hAnsi="宋体"/>
          <w:color w:val="auto"/>
          <w:szCs w:val="21"/>
        </w:rPr>
      </w:pPr>
      <w:r>
        <w:rPr>
          <w:rFonts w:ascii="宋体" w:hAnsi="宋体"/>
          <w:color w:val="auto"/>
          <w:szCs w:val="21"/>
        </w:rPr>
        <w:t>响应文件由第六章“响应文件格式”规定的</w:t>
      </w:r>
      <w:r>
        <w:rPr>
          <w:rFonts w:hint="eastAsia" w:ascii="宋体" w:hAnsi="宋体"/>
          <w:color w:val="auto"/>
          <w:szCs w:val="21"/>
        </w:rPr>
        <w:t>内容</w:t>
      </w:r>
      <w:r>
        <w:rPr>
          <w:rFonts w:ascii="宋体" w:hAnsi="宋体"/>
          <w:color w:val="auto"/>
          <w:szCs w:val="21"/>
        </w:rPr>
        <w:t>和供应商所作的一切有效补充、修改和承诺等文件组成</w:t>
      </w:r>
      <w:r>
        <w:rPr>
          <w:rFonts w:hint="eastAsia" w:ascii="宋体" w:hAnsi="宋体"/>
          <w:color w:val="auto"/>
          <w:szCs w:val="21"/>
        </w:rPr>
        <w:t>。</w:t>
      </w:r>
    </w:p>
    <w:p w14:paraId="3A2FC4C0">
      <w:pPr>
        <w:spacing w:before="120" w:line="320" w:lineRule="atLeast"/>
        <w:ind w:firstLine="422" w:firstLineChars="200"/>
        <w:outlineLvl w:val="2"/>
        <w:rPr>
          <w:rFonts w:ascii="宋体" w:hAnsi="宋体"/>
          <w:b/>
          <w:bCs/>
          <w:color w:val="auto"/>
          <w:kern w:val="0"/>
          <w:szCs w:val="21"/>
        </w:rPr>
      </w:pPr>
      <w:bookmarkStart w:id="38" w:name="_Toc254970678"/>
      <w:bookmarkStart w:id="39" w:name="_Toc254970537"/>
      <w:r>
        <w:rPr>
          <w:rFonts w:ascii="宋体" w:hAnsi="宋体"/>
          <w:b/>
          <w:color w:val="auto"/>
          <w:szCs w:val="21"/>
        </w:rPr>
        <w:t>3.2</w:t>
      </w:r>
      <w:r>
        <w:rPr>
          <w:rFonts w:ascii="宋体" w:hAnsi="宋体"/>
          <w:b/>
          <w:bCs/>
          <w:color w:val="auto"/>
          <w:kern w:val="0"/>
          <w:szCs w:val="21"/>
        </w:rPr>
        <w:t>响应文件的语言及计量</w:t>
      </w:r>
      <w:bookmarkEnd w:id="38"/>
      <w:bookmarkEnd w:id="39"/>
    </w:p>
    <w:p w14:paraId="60061A74">
      <w:pPr>
        <w:spacing w:before="120" w:line="320" w:lineRule="atLeast"/>
        <w:ind w:firstLine="420" w:firstLineChars="200"/>
        <w:rPr>
          <w:rFonts w:ascii="宋体" w:hAnsi="宋体"/>
          <w:color w:val="auto"/>
          <w:szCs w:val="21"/>
        </w:rPr>
      </w:pPr>
      <w:r>
        <w:rPr>
          <w:rFonts w:ascii="宋体" w:hAnsi="宋体"/>
          <w:color w:val="auto"/>
          <w:szCs w:val="21"/>
        </w:rPr>
        <w:t>3.2.1</w:t>
      </w:r>
      <w:r>
        <w:rPr>
          <w:rFonts w:hint="eastAsia" w:ascii="宋体" w:hAnsi="宋体"/>
          <w:color w:val="auto"/>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422ADD3">
      <w:pPr>
        <w:spacing w:before="120" w:line="320" w:lineRule="atLeast"/>
        <w:ind w:firstLine="420" w:firstLineChars="200"/>
        <w:rPr>
          <w:rFonts w:ascii="宋体" w:hAnsi="宋体"/>
          <w:color w:val="auto"/>
          <w:szCs w:val="21"/>
        </w:rPr>
      </w:pPr>
      <w:r>
        <w:rPr>
          <w:rFonts w:ascii="宋体" w:hAnsi="宋体"/>
          <w:color w:val="auto"/>
          <w:szCs w:val="21"/>
        </w:rPr>
        <w:t>3.2.2计量单位采购文件已有明确规定的，响应使用采购文件规定的计量单位；采购文件没有规定的，应采用中华人民共和国法定计量单位。</w:t>
      </w:r>
    </w:p>
    <w:p w14:paraId="330ED220">
      <w:pPr>
        <w:spacing w:before="120" w:line="320" w:lineRule="atLeast"/>
        <w:ind w:firstLine="422" w:firstLineChars="200"/>
        <w:outlineLvl w:val="2"/>
        <w:rPr>
          <w:rFonts w:ascii="宋体" w:hAnsi="宋体"/>
          <w:b/>
          <w:bCs/>
          <w:color w:val="auto"/>
          <w:kern w:val="0"/>
          <w:szCs w:val="21"/>
        </w:rPr>
      </w:pPr>
      <w:bookmarkStart w:id="40" w:name="_Toc254970679"/>
      <w:bookmarkStart w:id="41" w:name="_Toc254970538"/>
      <w:r>
        <w:rPr>
          <w:rFonts w:ascii="宋体" w:hAnsi="宋体"/>
          <w:b/>
          <w:bCs/>
          <w:color w:val="auto"/>
          <w:kern w:val="0"/>
          <w:szCs w:val="21"/>
        </w:rPr>
        <w:t>3.3响应报价</w:t>
      </w:r>
      <w:bookmarkEnd w:id="40"/>
      <w:bookmarkEnd w:id="41"/>
    </w:p>
    <w:p w14:paraId="243313A2">
      <w:pPr>
        <w:spacing w:before="120" w:line="320" w:lineRule="atLeast"/>
        <w:ind w:firstLine="420" w:firstLineChars="200"/>
        <w:rPr>
          <w:rFonts w:ascii="宋体" w:hAnsi="宋体"/>
          <w:color w:val="auto"/>
          <w:szCs w:val="21"/>
        </w:rPr>
      </w:pPr>
      <w:r>
        <w:rPr>
          <w:rFonts w:ascii="宋体" w:hAnsi="宋体"/>
          <w:color w:val="auto"/>
          <w:szCs w:val="21"/>
        </w:rPr>
        <w:t>3.3.1响应报价应按采购文件中相关附表格式填写。</w:t>
      </w:r>
    </w:p>
    <w:p w14:paraId="5D94AFC9">
      <w:pPr>
        <w:spacing w:before="120" w:line="320" w:lineRule="atLeast"/>
        <w:ind w:firstLine="420" w:firstLineChars="200"/>
        <w:rPr>
          <w:rFonts w:ascii="宋体" w:hAnsi="宋体"/>
          <w:color w:val="auto"/>
          <w:szCs w:val="21"/>
        </w:rPr>
      </w:pPr>
      <w:r>
        <w:rPr>
          <w:rFonts w:ascii="宋体" w:hAnsi="宋体"/>
          <w:color w:val="auto"/>
          <w:szCs w:val="21"/>
        </w:rPr>
        <w:t>3.3.2响应文件只允许有一个报价，有选择的或有条件的报价将不予接受。</w:t>
      </w:r>
    </w:p>
    <w:p w14:paraId="20980138">
      <w:pPr>
        <w:suppressAutoHyphens/>
        <w:spacing w:before="120" w:line="320" w:lineRule="atLeast"/>
        <w:ind w:firstLine="420" w:firstLineChars="200"/>
        <w:rPr>
          <w:rFonts w:ascii="宋体" w:hAnsi="宋体"/>
          <w:color w:val="auto"/>
          <w:kern w:val="1"/>
          <w:szCs w:val="21"/>
        </w:rPr>
      </w:pPr>
      <w:r>
        <w:rPr>
          <w:rFonts w:ascii="宋体" w:hAnsi="宋体"/>
          <w:color w:val="auto"/>
          <w:kern w:val="1"/>
          <w:szCs w:val="21"/>
        </w:rPr>
        <w:t>3.3.3对于本文件中未列明，而供应商认为必需的费用也需列入</w:t>
      </w:r>
      <w:r>
        <w:rPr>
          <w:rFonts w:hint="eastAsia" w:ascii="宋体" w:hAnsi="宋体"/>
          <w:color w:val="auto"/>
          <w:kern w:val="1"/>
          <w:szCs w:val="21"/>
        </w:rPr>
        <w:t>响应报价</w:t>
      </w:r>
      <w:r>
        <w:rPr>
          <w:rFonts w:ascii="宋体" w:hAnsi="宋体"/>
          <w:color w:val="auto"/>
          <w:kern w:val="1"/>
          <w:szCs w:val="21"/>
        </w:rPr>
        <w:t>。在合同实施时，采购人将不予支付成交供应商没有列入的项目费用，并认为此项目的费用已包括在</w:t>
      </w:r>
      <w:r>
        <w:rPr>
          <w:rFonts w:hint="eastAsia" w:ascii="宋体" w:hAnsi="宋体"/>
          <w:color w:val="auto"/>
          <w:kern w:val="1"/>
          <w:szCs w:val="21"/>
        </w:rPr>
        <w:t>响应报价</w:t>
      </w:r>
      <w:r>
        <w:rPr>
          <w:rFonts w:ascii="宋体" w:hAnsi="宋体"/>
          <w:color w:val="auto"/>
          <w:kern w:val="1"/>
          <w:szCs w:val="21"/>
        </w:rPr>
        <w:t>中。</w:t>
      </w:r>
    </w:p>
    <w:p w14:paraId="5C6AE565">
      <w:pPr>
        <w:suppressAutoHyphens/>
        <w:spacing w:before="120" w:line="320" w:lineRule="atLeast"/>
        <w:ind w:firstLine="420" w:firstLineChars="200"/>
        <w:rPr>
          <w:rFonts w:ascii="宋体" w:hAnsi="宋体"/>
          <w:b/>
          <w:bCs/>
          <w:color w:val="auto"/>
          <w:kern w:val="1"/>
          <w:szCs w:val="21"/>
        </w:rPr>
      </w:pPr>
      <w:r>
        <w:rPr>
          <w:rFonts w:hint="eastAsia" w:ascii="宋体" w:hAnsi="宋体"/>
          <w:color w:val="auto"/>
          <w:kern w:val="1"/>
          <w:szCs w:val="21"/>
        </w:rPr>
        <w:t>3</w:t>
      </w:r>
      <w:r>
        <w:rPr>
          <w:rFonts w:ascii="宋体" w:hAnsi="宋体"/>
          <w:color w:val="auto"/>
          <w:kern w:val="1"/>
          <w:szCs w:val="21"/>
        </w:rPr>
        <w:t>.3.4</w:t>
      </w:r>
      <w:r>
        <w:rPr>
          <w:rFonts w:hint="eastAsia" w:ascii="宋体" w:hAnsi="宋体"/>
          <w:color w:val="auto"/>
          <w:kern w:val="1"/>
          <w:szCs w:val="21"/>
        </w:rPr>
        <w:t>采购人不接受供应商给予的赠品、回扣或者与采购无关的其他商品、服务。</w:t>
      </w:r>
    </w:p>
    <w:p w14:paraId="1FB63132">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3.4响应有效期</w:t>
      </w:r>
    </w:p>
    <w:p w14:paraId="04B2D407">
      <w:pPr>
        <w:spacing w:before="120" w:line="320" w:lineRule="atLeast"/>
        <w:ind w:firstLine="420" w:firstLineChars="200"/>
        <w:rPr>
          <w:rFonts w:ascii="宋体" w:hAnsi="宋体"/>
          <w:color w:val="auto"/>
          <w:szCs w:val="21"/>
        </w:rPr>
      </w:pPr>
      <w:r>
        <w:rPr>
          <w:rFonts w:ascii="宋体" w:hAnsi="宋体"/>
          <w:color w:val="auto"/>
          <w:szCs w:val="21"/>
        </w:rPr>
        <w:t>3.4.1如采购文件其他地方无特别规定</w:t>
      </w:r>
      <w:r>
        <w:rPr>
          <w:rFonts w:hint="eastAsia" w:ascii="宋体" w:hAnsi="宋体"/>
          <w:color w:val="auto"/>
          <w:szCs w:val="21"/>
        </w:rPr>
        <w:t>，</w:t>
      </w:r>
      <w:r>
        <w:rPr>
          <w:rFonts w:ascii="宋体" w:hAnsi="宋体"/>
          <w:color w:val="auto"/>
          <w:szCs w:val="21"/>
        </w:rPr>
        <w:t>响应有效期则为响应截止之日起90天</w:t>
      </w:r>
      <w:r>
        <w:rPr>
          <w:rFonts w:hint="eastAsia" w:ascii="宋体" w:hAnsi="宋体"/>
          <w:color w:val="auto"/>
          <w:szCs w:val="21"/>
        </w:rPr>
        <w:t>。</w:t>
      </w:r>
      <w:r>
        <w:rPr>
          <w:rFonts w:ascii="宋体" w:hAnsi="宋体"/>
          <w:color w:val="auto"/>
          <w:szCs w:val="21"/>
        </w:rPr>
        <w:t>在响应有效期内响应文件应保持有效。</w:t>
      </w:r>
      <w:r>
        <w:rPr>
          <w:rFonts w:ascii="宋体" w:hAnsi="宋体"/>
          <w:b/>
          <w:bCs/>
          <w:color w:val="auto"/>
          <w:szCs w:val="21"/>
        </w:rPr>
        <w:t>有效期不足的响应文件将被否决</w:t>
      </w:r>
      <w:r>
        <w:rPr>
          <w:rFonts w:ascii="宋体" w:hAnsi="宋体"/>
          <w:color w:val="auto"/>
          <w:szCs w:val="21"/>
        </w:rPr>
        <w:t>。</w:t>
      </w:r>
    </w:p>
    <w:p w14:paraId="09241475">
      <w:pPr>
        <w:spacing w:before="120" w:line="320" w:lineRule="atLeast"/>
        <w:ind w:firstLine="420" w:firstLineChars="200"/>
        <w:rPr>
          <w:rFonts w:ascii="宋体" w:hAnsi="宋体"/>
          <w:color w:val="auto"/>
          <w:szCs w:val="21"/>
        </w:rPr>
      </w:pPr>
      <w:r>
        <w:rPr>
          <w:rFonts w:ascii="宋体" w:hAnsi="宋体"/>
          <w:color w:val="auto"/>
          <w:szCs w:val="21"/>
        </w:rPr>
        <w:t>3.4.2在特殊情况下，采购人可与供应商协商延长响应文件的有效期，这种要求和答复均以书面形式进行。</w:t>
      </w:r>
    </w:p>
    <w:p w14:paraId="5B4AB222">
      <w:pPr>
        <w:spacing w:before="120" w:line="320" w:lineRule="atLeast"/>
        <w:ind w:firstLine="420" w:firstLineChars="200"/>
        <w:rPr>
          <w:rFonts w:ascii="宋体" w:hAnsi="宋体"/>
          <w:color w:val="auto"/>
          <w:szCs w:val="21"/>
        </w:rPr>
      </w:pPr>
      <w:r>
        <w:rPr>
          <w:rFonts w:ascii="宋体" w:hAnsi="宋体"/>
          <w:color w:val="auto"/>
          <w:szCs w:val="21"/>
        </w:rPr>
        <w:t>3.4.3</w:t>
      </w:r>
      <w:r>
        <w:rPr>
          <w:rFonts w:hint="eastAsia" w:ascii="宋体" w:hAnsi="宋体"/>
          <w:color w:val="auto"/>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44AD5D0">
      <w:pPr>
        <w:spacing w:before="120" w:line="320" w:lineRule="atLeast"/>
        <w:ind w:firstLine="422" w:firstLineChars="200"/>
        <w:outlineLvl w:val="2"/>
        <w:rPr>
          <w:rFonts w:ascii="宋体" w:hAnsi="宋体"/>
          <w:b/>
          <w:bCs/>
          <w:color w:val="auto"/>
          <w:kern w:val="0"/>
          <w:szCs w:val="21"/>
        </w:rPr>
      </w:pPr>
      <w:bookmarkStart w:id="42" w:name="_Toc254970682"/>
      <w:bookmarkStart w:id="43" w:name="_Toc254970541"/>
      <w:r>
        <w:rPr>
          <w:rFonts w:ascii="宋体" w:hAnsi="宋体"/>
          <w:b/>
          <w:bCs/>
          <w:color w:val="auto"/>
          <w:kern w:val="0"/>
          <w:szCs w:val="21"/>
        </w:rPr>
        <w:t>3.5磋商保证金</w:t>
      </w:r>
      <w:bookmarkEnd w:id="42"/>
      <w:bookmarkEnd w:id="43"/>
    </w:p>
    <w:p w14:paraId="76A5BA61">
      <w:pPr>
        <w:spacing w:before="120" w:line="320" w:lineRule="atLeast"/>
        <w:ind w:firstLine="420" w:firstLineChars="200"/>
        <w:rPr>
          <w:rFonts w:ascii="宋体" w:hAnsi="宋体"/>
          <w:color w:val="auto"/>
          <w:szCs w:val="21"/>
        </w:rPr>
      </w:pPr>
      <w:r>
        <w:rPr>
          <w:rFonts w:ascii="宋体" w:hAnsi="宋体"/>
          <w:color w:val="auto"/>
          <w:szCs w:val="21"/>
        </w:rPr>
        <w:t>3.5.1供应商须按须知前附表规定提交磋商保证金，</w:t>
      </w:r>
      <w:r>
        <w:rPr>
          <w:rFonts w:ascii="宋体" w:hAnsi="宋体"/>
          <w:b/>
          <w:bCs/>
          <w:color w:val="auto"/>
          <w:szCs w:val="21"/>
        </w:rPr>
        <w:t>否则其响应将被否决</w:t>
      </w:r>
      <w:r>
        <w:rPr>
          <w:rFonts w:ascii="宋体" w:hAnsi="宋体"/>
          <w:color w:val="auto"/>
          <w:szCs w:val="21"/>
        </w:rPr>
        <w:t>。除采购文件规定不予退还保证金的情形外，代理机构在规定时间内退回供应商的磋商保证金（供应商自行承担因未按供应商须知前附表要求交纳导致磋商保证金无法及时退还的责任）。</w:t>
      </w:r>
    </w:p>
    <w:p w14:paraId="4BBE178A">
      <w:pPr>
        <w:spacing w:before="120" w:line="320" w:lineRule="atLeast"/>
        <w:ind w:firstLine="420" w:firstLineChars="200"/>
        <w:rPr>
          <w:rFonts w:ascii="宋体" w:hAnsi="宋体"/>
          <w:color w:val="auto"/>
          <w:szCs w:val="21"/>
        </w:rPr>
      </w:pPr>
      <w:r>
        <w:rPr>
          <w:rFonts w:ascii="宋体" w:hAnsi="宋体"/>
          <w:color w:val="auto"/>
          <w:szCs w:val="21"/>
        </w:rPr>
        <w:t>3.5.2磋商保证金币种应与响应报价币种相同。</w:t>
      </w:r>
    </w:p>
    <w:p w14:paraId="26850CE8">
      <w:pPr>
        <w:spacing w:before="120" w:line="320" w:lineRule="atLeast"/>
        <w:ind w:firstLine="420" w:firstLineChars="200"/>
        <w:rPr>
          <w:rFonts w:ascii="宋体" w:hAnsi="宋体"/>
          <w:color w:val="auto"/>
          <w:szCs w:val="21"/>
        </w:rPr>
      </w:pPr>
      <w:r>
        <w:rPr>
          <w:rFonts w:ascii="宋体" w:hAnsi="宋体"/>
          <w:color w:val="auto"/>
          <w:szCs w:val="21"/>
        </w:rPr>
        <w:t>3.5.3未成交供应商的磋商保证金在成交通知书发出后5个工作日内退还。成交供应商的磋商保证金在合同签订后5个工作日内退还（办理退还手续时需要向采购代理机构提供两份合同复印件）。</w:t>
      </w:r>
    </w:p>
    <w:p w14:paraId="59F4B3E1">
      <w:pPr>
        <w:spacing w:before="120" w:line="320" w:lineRule="atLeast"/>
        <w:ind w:firstLine="420" w:firstLineChars="200"/>
        <w:rPr>
          <w:rFonts w:ascii="宋体" w:hAnsi="宋体"/>
          <w:color w:val="auto"/>
          <w:szCs w:val="21"/>
        </w:rPr>
      </w:pPr>
      <w:r>
        <w:rPr>
          <w:rFonts w:ascii="宋体" w:hAnsi="宋体"/>
          <w:color w:val="auto"/>
          <w:szCs w:val="21"/>
        </w:rPr>
        <w:t>3.5.4供应商有下列情形之一的，磋商保证金将不予退还：</w:t>
      </w:r>
    </w:p>
    <w:p w14:paraId="1A0415F0">
      <w:pPr>
        <w:numPr>
          <w:ilvl w:val="0"/>
          <w:numId w:val="3"/>
        </w:numPr>
        <w:spacing w:before="120" w:line="320" w:lineRule="atLeast"/>
        <w:rPr>
          <w:rFonts w:ascii="宋体" w:hAnsi="宋体"/>
          <w:color w:val="auto"/>
          <w:szCs w:val="21"/>
        </w:rPr>
      </w:pPr>
      <w:r>
        <w:rPr>
          <w:rFonts w:ascii="宋体" w:hAnsi="宋体"/>
          <w:color w:val="auto"/>
          <w:szCs w:val="21"/>
        </w:rPr>
        <w:t>供应商在响应有效期内撤销响应文件的；</w:t>
      </w:r>
    </w:p>
    <w:p w14:paraId="3D984973">
      <w:pPr>
        <w:numPr>
          <w:ilvl w:val="0"/>
          <w:numId w:val="3"/>
        </w:numPr>
        <w:spacing w:before="120" w:line="320" w:lineRule="atLeast"/>
        <w:rPr>
          <w:rFonts w:ascii="宋体" w:hAnsi="宋体"/>
          <w:color w:val="auto"/>
          <w:szCs w:val="21"/>
        </w:rPr>
      </w:pPr>
      <w:r>
        <w:rPr>
          <w:rFonts w:ascii="宋体" w:hAnsi="宋体"/>
          <w:color w:val="auto"/>
          <w:szCs w:val="21"/>
        </w:rPr>
        <w:t>供应商在响应过程中弄虚作假，提供虚假材料的；</w:t>
      </w:r>
    </w:p>
    <w:p w14:paraId="6FA251B6">
      <w:pPr>
        <w:numPr>
          <w:ilvl w:val="0"/>
          <w:numId w:val="3"/>
        </w:numPr>
        <w:spacing w:before="120" w:line="320" w:lineRule="atLeast"/>
        <w:rPr>
          <w:rFonts w:ascii="宋体" w:hAnsi="宋体"/>
          <w:color w:val="auto"/>
          <w:szCs w:val="21"/>
        </w:rPr>
      </w:pPr>
      <w:r>
        <w:rPr>
          <w:rFonts w:ascii="宋体" w:hAnsi="宋体"/>
          <w:color w:val="auto"/>
          <w:szCs w:val="21"/>
        </w:rPr>
        <w:t>成交供应商无正当理由不与采购人签订合同的；</w:t>
      </w:r>
    </w:p>
    <w:p w14:paraId="546288E7">
      <w:pPr>
        <w:numPr>
          <w:ilvl w:val="0"/>
          <w:numId w:val="3"/>
        </w:numPr>
        <w:spacing w:before="120" w:line="320" w:lineRule="atLeast"/>
        <w:rPr>
          <w:rFonts w:ascii="宋体" w:hAnsi="宋体"/>
          <w:color w:val="auto"/>
          <w:szCs w:val="21"/>
        </w:rPr>
      </w:pPr>
      <w:r>
        <w:rPr>
          <w:rFonts w:ascii="宋体" w:hAnsi="宋体"/>
          <w:color w:val="auto"/>
          <w:szCs w:val="21"/>
        </w:rPr>
        <w:t>将成交项目转让给他人或者在响应文件中未说明且未经采购人同意，将成交项目分包给他人的；</w:t>
      </w:r>
    </w:p>
    <w:p w14:paraId="369DC5AB">
      <w:pPr>
        <w:numPr>
          <w:ilvl w:val="0"/>
          <w:numId w:val="3"/>
        </w:numPr>
        <w:spacing w:before="120" w:line="320" w:lineRule="atLeast"/>
        <w:rPr>
          <w:rFonts w:ascii="宋体" w:hAnsi="宋体"/>
          <w:color w:val="auto"/>
          <w:szCs w:val="21"/>
        </w:rPr>
      </w:pPr>
      <w:r>
        <w:rPr>
          <w:rFonts w:hint="eastAsia" w:ascii="宋体" w:hAnsi="宋体"/>
          <w:color w:val="auto"/>
          <w:szCs w:val="21"/>
        </w:rPr>
        <w:t>供应商与采购人、其他供应商或者采购代理机构恶意串通的；</w:t>
      </w:r>
    </w:p>
    <w:p w14:paraId="08A0613F">
      <w:pPr>
        <w:numPr>
          <w:ilvl w:val="0"/>
          <w:numId w:val="3"/>
        </w:numPr>
        <w:spacing w:before="120" w:line="320" w:lineRule="atLeast"/>
        <w:rPr>
          <w:rFonts w:ascii="宋体" w:hAnsi="宋体"/>
          <w:color w:val="auto"/>
          <w:szCs w:val="21"/>
        </w:rPr>
      </w:pPr>
      <w:r>
        <w:rPr>
          <w:rFonts w:ascii="宋体" w:hAnsi="宋体"/>
          <w:color w:val="auto"/>
          <w:szCs w:val="21"/>
        </w:rPr>
        <w:t>拒绝履行合同义务的；</w:t>
      </w:r>
    </w:p>
    <w:p w14:paraId="286DCE11">
      <w:pPr>
        <w:numPr>
          <w:ilvl w:val="0"/>
          <w:numId w:val="3"/>
        </w:numPr>
        <w:spacing w:before="120" w:line="320" w:lineRule="atLeast"/>
        <w:rPr>
          <w:rFonts w:ascii="宋体" w:hAnsi="宋体"/>
          <w:color w:val="auto"/>
          <w:szCs w:val="21"/>
        </w:rPr>
      </w:pPr>
      <w:r>
        <w:rPr>
          <w:rFonts w:ascii="宋体" w:hAnsi="宋体"/>
          <w:color w:val="auto"/>
          <w:szCs w:val="21"/>
        </w:rPr>
        <w:t>其他严重扰乱招</w:t>
      </w:r>
      <w:r>
        <w:rPr>
          <w:rFonts w:hint="eastAsia" w:ascii="宋体" w:hAnsi="宋体"/>
          <w:color w:val="auto"/>
          <w:szCs w:val="21"/>
        </w:rPr>
        <w:t>投标</w:t>
      </w:r>
      <w:r>
        <w:rPr>
          <w:rFonts w:ascii="宋体" w:hAnsi="宋体"/>
          <w:color w:val="auto"/>
          <w:szCs w:val="21"/>
        </w:rPr>
        <w:t>程序的</w:t>
      </w:r>
      <w:r>
        <w:rPr>
          <w:rFonts w:hint="eastAsia" w:ascii="宋体" w:hAnsi="宋体"/>
          <w:color w:val="auto"/>
          <w:szCs w:val="21"/>
        </w:rPr>
        <w:t>。</w:t>
      </w:r>
    </w:p>
    <w:p w14:paraId="15C03DDF">
      <w:pPr>
        <w:spacing w:before="120" w:line="320" w:lineRule="atLeast"/>
        <w:ind w:firstLine="422" w:firstLineChars="200"/>
        <w:outlineLvl w:val="2"/>
        <w:rPr>
          <w:rFonts w:ascii="宋体" w:hAnsi="宋体"/>
          <w:b/>
          <w:bCs/>
          <w:color w:val="auto"/>
          <w:kern w:val="0"/>
          <w:szCs w:val="21"/>
        </w:rPr>
      </w:pPr>
      <w:bookmarkStart w:id="44" w:name="_Toc254970542"/>
      <w:bookmarkStart w:id="45" w:name="_Toc254970683"/>
      <w:r>
        <w:rPr>
          <w:rFonts w:ascii="宋体" w:hAnsi="宋体"/>
          <w:b/>
          <w:bCs/>
          <w:color w:val="auto"/>
          <w:kern w:val="0"/>
          <w:szCs w:val="21"/>
        </w:rPr>
        <w:t>3.6响应文件的</w:t>
      </w:r>
      <w:bookmarkEnd w:id="44"/>
      <w:bookmarkEnd w:id="45"/>
      <w:r>
        <w:rPr>
          <w:rFonts w:ascii="宋体" w:hAnsi="宋体"/>
          <w:b/>
          <w:bCs/>
          <w:color w:val="auto"/>
          <w:kern w:val="0"/>
          <w:szCs w:val="21"/>
        </w:rPr>
        <w:t>编制要求</w:t>
      </w:r>
    </w:p>
    <w:p w14:paraId="6CD325AE">
      <w:pPr>
        <w:spacing w:before="120" w:line="320" w:lineRule="atLeast"/>
        <w:ind w:firstLine="420" w:firstLineChars="200"/>
        <w:rPr>
          <w:rFonts w:ascii="宋体" w:hAnsi="宋体"/>
          <w:b/>
          <w:bCs/>
          <w:color w:val="auto"/>
          <w:kern w:val="0"/>
          <w:szCs w:val="21"/>
        </w:rPr>
      </w:pPr>
      <w:r>
        <w:rPr>
          <w:rFonts w:hint="eastAsia" w:ascii="宋体" w:hAnsi="宋体"/>
          <w:color w:val="auto"/>
          <w:kern w:val="0"/>
          <w:szCs w:val="21"/>
        </w:rPr>
        <w:t>3</w:t>
      </w:r>
      <w:r>
        <w:rPr>
          <w:rFonts w:ascii="宋体" w:hAnsi="宋体"/>
          <w:color w:val="auto"/>
          <w:kern w:val="0"/>
          <w:szCs w:val="21"/>
        </w:rPr>
        <w:t>.6.1</w:t>
      </w:r>
      <w:r>
        <w:rPr>
          <w:rFonts w:hint="eastAsia" w:ascii="宋体" w:hAnsi="宋体"/>
          <w:color w:val="auto"/>
          <w:szCs w:val="21"/>
        </w:rPr>
        <w:t>供应商应先安装广西政府采购云平台新版客户端，通过账号密码或C</w:t>
      </w:r>
      <w:r>
        <w:rPr>
          <w:rFonts w:ascii="宋体" w:hAnsi="宋体"/>
          <w:color w:val="auto"/>
          <w:szCs w:val="21"/>
        </w:rPr>
        <w:t>A</w:t>
      </w:r>
      <w:r>
        <w:rPr>
          <w:rFonts w:hint="eastAsia" w:ascii="宋体" w:hAnsi="宋体"/>
          <w:color w:val="auto"/>
          <w:szCs w:val="21"/>
        </w:rPr>
        <w:t>登录客户端制作响应文件。</w:t>
      </w:r>
    </w:p>
    <w:p w14:paraId="795077F3">
      <w:pPr>
        <w:spacing w:before="120" w:line="320" w:lineRule="atLeast"/>
        <w:ind w:firstLine="420" w:firstLineChars="200"/>
        <w:rPr>
          <w:rFonts w:ascii="宋体" w:hAnsi="宋体"/>
          <w:color w:val="auto"/>
          <w:szCs w:val="21"/>
        </w:rPr>
      </w:pPr>
      <w:r>
        <w:rPr>
          <w:rFonts w:ascii="宋体" w:hAnsi="宋体"/>
          <w:color w:val="auto"/>
          <w:szCs w:val="21"/>
        </w:rPr>
        <w:t>3.6.2</w:t>
      </w:r>
      <w:r>
        <w:rPr>
          <w:rFonts w:hint="eastAsia" w:ascii="宋体" w:hAnsi="宋体"/>
          <w:color w:val="auto"/>
          <w:szCs w:val="21"/>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230E571E">
      <w:pPr>
        <w:spacing w:before="120" w:line="320" w:lineRule="atLeast"/>
        <w:ind w:firstLine="420" w:firstLineChars="200"/>
        <w:rPr>
          <w:rFonts w:ascii="宋体" w:hAnsi="宋体"/>
          <w:color w:val="auto"/>
          <w:szCs w:val="21"/>
        </w:rPr>
      </w:pPr>
      <w:r>
        <w:rPr>
          <w:rFonts w:ascii="宋体" w:hAnsi="宋体"/>
          <w:color w:val="auto"/>
          <w:szCs w:val="21"/>
        </w:rPr>
        <w:t xml:space="preserve">3.6.3 </w:t>
      </w:r>
      <w:r>
        <w:rPr>
          <w:rFonts w:hint="eastAsia" w:ascii="宋体" w:hAnsi="宋体"/>
          <w:color w:val="auto"/>
          <w:szCs w:val="21"/>
        </w:rPr>
        <w:t>供应商的响应文件未按照采购文件要求签署、盖章的，其响应无效。</w:t>
      </w:r>
    </w:p>
    <w:p w14:paraId="42541D26">
      <w:pPr>
        <w:spacing w:before="120" w:line="320" w:lineRule="atLeast"/>
        <w:ind w:firstLine="420" w:firstLineChars="200"/>
        <w:rPr>
          <w:rFonts w:ascii="宋体" w:hAnsi="宋体"/>
          <w:color w:val="auto"/>
          <w:szCs w:val="21"/>
        </w:rPr>
      </w:pPr>
      <w:r>
        <w:rPr>
          <w:rFonts w:ascii="宋体" w:hAnsi="宋体"/>
          <w:color w:val="auto"/>
          <w:szCs w:val="21"/>
        </w:rPr>
        <w:t>3.6.4</w:t>
      </w:r>
      <w:r>
        <w:rPr>
          <w:rFonts w:hint="eastAsia" w:ascii="宋体" w:hAnsi="宋体"/>
          <w:color w:val="auto"/>
          <w:szCs w:val="21"/>
        </w:rPr>
        <w:t>为确保网上操作合法、有效和安全，供应商应当在响应截止时间前完成在广西政府采购云平台的身份认证，确保在电子投标过程中能够对相关数据电文进行加密和使用电子签名。</w:t>
      </w:r>
    </w:p>
    <w:p w14:paraId="48450458">
      <w:pPr>
        <w:spacing w:before="120" w:line="320" w:lineRule="atLeas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.6.5</w:t>
      </w:r>
      <w:r>
        <w:rPr>
          <w:rFonts w:hint="eastAsia" w:ascii="宋体" w:hAnsi="宋体"/>
          <w:color w:val="auto"/>
          <w:szCs w:val="21"/>
        </w:rPr>
        <w:t>响应文件中标注的供应商名称应与主体资格证明（如营业执照、事业单位法人证书、执业许可证、个体工商户营业执照、自然人身份证等）和公章/电子签章一致，</w:t>
      </w:r>
      <w:r>
        <w:rPr>
          <w:rFonts w:hint="eastAsia" w:ascii="宋体" w:hAnsi="宋体"/>
          <w:b/>
          <w:bCs/>
          <w:color w:val="auto"/>
          <w:szCs w:val="21"/>
        </w:rPr>
        <w:t>否则作无效响应处理。</w:t>
      </w:r>
    </w:p>
    <w:p w14:paraId="6B41A96B">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3.7响应文件的递交、修改和撤回</w:t>
      </w:r>
    </w:p>
    <w:p w14:paraId="50B05760">
      <w:pPr>
        <w:spacing w:before="120" w:line="320" w:lineRule="atLeast"/>
        <w:ind w:firstLine="420" w:firstLineChars="200"/>
        <w:rPr>
          <w:rFonts w:ascii="宋体" w:hAnsi="宋体"/>
          <w:color w:val="auto"/>
          <w:szCs w:val="21"/>
        </w:rPr>
      </w:pPr>
      <w:r>
        <w:rPr>
          <w:rFonts w:ascii="宋体" w:hAnsi="宋体"/>
          <w:color w:val="auto"/>
          <w:szCs w:val="21"/>
        </w:rPr>
        <w:t>3.7.1</w:t>
      </w:r>
      <w:r>
        <w:rPr>
          <w:rFonts w:hint="eastAsia" w:ascii="宋体" w:hAnsi="宋体"/>
          <w:color w:val="auto"/>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EAC191E">
      <w:pPr>
        <w:spacing w:before="120" w:line="320" w:lineRule="atLeast"/>
        <w:ind w:firstLine="420" w:firstLineChars="200"/>
        <w:rPr>
          <w:rFonts w:ascii="宋体" w:hAnsi="宋体"/>
          <w:color w:val="auto"/>
          <w:szCs w:val="21"/>
        </w:rPr>
      </w:pPr>
      <w:r>
        <w:rPr>
          <w:rFonts w:hint="eastAsia" w:ascii="宋体" w:hAnsi="宋体"/>
          <w:color w:val="auto"/>
          <w:szCs w:val="21"/>
        </w:rPr>
        <w:t>3</w:t>
      </w:r>
      <w:r>
        <w:rPr>
          <w:rFonts w:ascii="宋体" w:hAnsi="宋体"/>
          <w:color w:val="auto"/>
          <w:szCs w:val="21"/>
        </w:rPr>
        <w:t>.7.2</w:t>
      </w:r>
      <w:r>
        <w:rPr>
          <w:rFonts w:hint="eastAsia" w:ascii="宋体" w:hAnsi="宋体"/>
          <w:color w:val="auto"/>
          <w:szCs w:val="21"/>
        </w:rPr>
        <w:t xml:space="preserve">未在规定时间内提交或者未按照采购文件要求签章、加密的电子响应文件，广西政府采购云平台将拒收。 </w:t>
      </w:r>
    </w:p>
    <w:p w14:paraId="25324CE9">
      <w:pPr>
        <w:spacing w:before="120" w:line="320" w:lineRule="atLeast"/>
        <w:ind w:left="2" w:leftChars="1" w:firstLine="420" w:firstLineChars="200"/>
        <w:rPr>
          <w:rFonts w:ascii="宋体" w:hAnsi="宋体"/>
          <w:color w:val="auto"/>
          <w:szCs w:val="21"/>
        </w:rPr>
      </w:pPr>
      <w:bookmarkStart w:id="46" w:name="_Toc254970544"/>
      <w:bookmarkStart w:id="47" w:name="_Toc254970685"/>
      <w:r>
        <w:rPr>
          <w:rFonts w:hint="eastAsia" w:ascii="宋体" w:hAnsi="宋体"/>
          <w:color w:val="auto"/>
          <w:szCs w:val="21"/>
        </w:rPr>
        <w:t>3</w:t>
      </w:r>
      <w:r>
        <w:rPr>
          <w:rFonts w:ascii="宋体" w:hAnsi="宋体"/>
          <w:color w:val="auto"/>
          <w:szCs w:val="21"/>
        </w:rPr>
        <w:t>.7.3</w:t>
      </w:r>
      <w:r>
        <w:rPr>
          <w:rFonts w:hint="eastAsia" w:ascii="宋体" w:hAnsi="宋体"/>
          <w:color w:val="auto"/>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66450A5">
      <w:pPr>
        <w:spacing w:before="120" w:line="320" w:lineRule="atLeast"/>
        <w:ind w:left="2" w:leftChars="1" w:firstLine="420" w:firstLineChars="200"/>
        <w:rPr>
          <w:rFonts w:ascii="宋体" w:hAnsi="宋体"/>
          <w:color w:val="auto"/>
          <w:szCs w:val="21"/>
        </w:rPr>
      </w:pPr>
      <w:r>
        <w:rPr>
          <w:rFonts w:ascii="宋体" w:hAnsi="宋体"/>
          <w:color w:val="auto"/>
          <w:szCs w:val="21"/>
        </w:rPr>
        <w:t>3.7.4</w:t>
      </w:r>
      <w:r>
        <w:rPr>
          <w:rFonts w:hint="eastAsia" w:ascii="宋体" w:hAnsi="宋体"/>
          <w:color w:val="auto"/>
          <w:szCs w:val="21"/>
        </w:rPr>
        <w:t>在响应截止时间前，除供应商补充、修改或者撤回响应文件外，任何单位和个人不得解密或提取响应文件。</w:t>
      </w:r>
    </w:p>
    <w:p w14:paraId="2546FF1E">
      <w:pPr>
        <w:spacing w:before="120" w:line="320" w:lineRule="atLeast"/>
        <w:ind w:left="2" w:leftChars="1" w:firstLine="420" w:firstLineChars="200"/>
        <w:rPr>
          <w:rFonts w:ascii="宋体" w:hAnsi="宋体"/>
          <w:color w:val="auto"/>
          <w:szCs w:val="21"/>
        </w:rPr>
      </w:pPr>
      <w:r>
        <w:rPr>
          <w:rFonts w:ascii="宋体" w:hAnsi="宋体"/>
          <w:color w:val="auto"/>
          <w:szCs w:val="21"/>
        </w:rPr>
        <w:t>3.7.5</w:t>
      </w:r>
      <w:r>
        <w:rPr>
          <w:rFonts w:hint="eastAsia" w:ascii="宋体" w:hAnsi="宋体"/>
          <w:color w:val="auto"/>
          <w:szCs w:val="21"/>
        </w:rPr>
        <w:t>在响应截止时间止提交电子版响应文件的供应商不足3家时，电子版响应文件由代理机构在广西政府采购云平台操作退回，除此之外采购人和采购代理机构对已提交的响应文件概不退回。</w:t>
      </w:r>
    </w:p>
    <w:p w14:paraId="1F26F36E">
      <w:pPr>
        <w:spacing w:before="120" w:line="320" w:lineRule="atLeast"/>
        <w:ind w:left="2" w:leftChars="1" w:firstLine="420" w:firstLineChars="200"/>
        <w:rPr>
          <w:rFonts w:ascii="宋体" w:hAnsi="宋体"/>
          <w:color w:val="auto"/>
          <w:szCs w:val="21"/>
        </w:rPr>
      </w:pPr>
      <w:bookmarkStart w:id="48" w:name="_Hlk93046827"/>
      <w:r>
        <w:rPr>
          <w:rFonts w:hint="eastAsia" w:ascii="宋体" w:hAnsi="宋体"/>
          <w:color w:val="auto"/>
          <w:szCs w:val="21"/>
        </w:rPr>
        <w:t>3</w:t>
      </w:r>
      <w:r>
        <w:rPr>
          <w:rFonts w:ascii="宋体" w:hAnsi="宋体"/>
          <w:color w:val="auto"/>
          <w:szCs w:val="21"/>
        </w:rPr>
        <w:t>.7.6</w:t>
      </w:r>
      <w:r>
        <w:rPr>
          <w:rFonts w:hint="eastAsia" w:ascii="宋体" w:hAnsi="宋体"/>
          <w:color w:val="auto"/>
          <w:szCs w:val="21"/>
        </w:rPr>
        <w:t>采购文件</w:t>
      </w:r>
      <w:bookmarkStart w:id="49" w:name="_Hlk106638610"/>
      <w:r>
        <w:rPr>
          <w:rFonts w:hint="eastAsia" w:ascii="宋体" w:hAnsi="宋体"/>
          <w:color w:val="auto"/>
          <w:szCs w:val="21"/>
        </w:rPr>
        <w:t>未允许同一供应商提交两个或以上不同的响应文件，但存在</w:t>
      </w:r>
      <w:r>
        <w:rPr>
          <w:rFonts w:hint="eastAsia" w:ascii="宋体" w:hAnsi="宋体"/>
          <w:color w:val="auto"/>
        </w:rPr>
        <w:t>同</w:t>
      </w:r>
      <w:r>
        <w:rPr>
          <w:rFonts w:hint="eastAsia" w:ascii="宋体" w:hAnsi="宋体"/>
          <w:color w:val="auto"/>
          <w:szCs w:val="21"/>
        </w:rPr>
        <w:t>一供应商提交两个或以上不同的响应文件的</w:t>
      </w:r>
      <w:bookmarkEnd w:id="49"/>
      <w:r>
        <w:rPr>
          <w:rFonts w:hint="eastAsia" w:ascii="宋体" w:hAnsi="宋体"/>
          <w:color w:val="auto"/>
          <w:szCs w:val="21"/>
        </w:rPr>
        <w:t>，</w:t>
      </w:r>
      <w:r>
        <w:rPr>
          <w:rFonts w:hint="eastAsia" w:ascii="宋体" w:hAnsi="宋体"/>
          <w:b/>
          <w:bCs/>
          <w:color w:val="auto"/>
          <w:szCs w:val="21"/>
        </w:rPr>
        <w:t>其响应无效。</w:t>
      </w:r>
      <w:r>
        <w:rPr>
          <w:rFonts w:hint="eastAsia" w:ascii="宋体" w:hAnsi="宋体"/>
          <w:color w:val="auto"/>
          <w:szCs w:val="21"/>
        </w:rPr>
        <w:t>供应商在同一响应文件中对某项技术、商务要求提供有选择性的响应参数或方案等同于提交两个或以上不同的响应文件。</w:t>
      </w:r>
      <w:bookmarkEnd w:id="48"/>
    </w:p>
    <w:p w14:paraId="3F9545E3">
      <w:pPr>
        <w:spacing w:before="120" w:line="320" w:lineRule="atLeast"/>
        <w:ind w:left="2" w:leftChars="1" w:firstLine="422" w:firstLineChars="200"/>
        <w:outlineLvl w:val="1"/>
        <w:rPr>
          <w:rFonts w:ascii="宋体" w:hAnsi="宋体"/>
          <w:b/>
          <w:bCs/>
          <w:color w:val="auto"/>
          <w:kern w:val="0"/>
          <w:szCs w:val="21"/>
        </w:rPr>
      </w:pPr>
      <w:r>
        <w:rPr>
          <w:rFonts w:ascii="宋体" w:hAnsi="宋体"/>
          <w:b/>
          <w:bCs/>
          <w:color w:val="auto"/>
          <w:kern w:val="0"/>
          <w:szCs w:val="21"/>
        </w:rPr>
        <w:t>4．截标</w:t>
      </w:r>
      <w:bookmarkEnd w:id="46"/>
      <w:bookmarkEnd w:id="47"/>
    </w:p>
    <w:p w14:paraId="794C7061">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4.1截标准备</w:t>
      </w:r>
    </w:p>
    <w:p w14:paraId="6BAA310E">
      <w:pPr>
        <w:spacing w:before="120" w:line="276" w:lineRule="auto"/>
        <w:ind w:firstLine="420" w:firstLineChars="200"/>
        <w:rPr>
          <w:rFonts w:ascii="宋体" w:hAnsi="宋体"/>
          <w:color w:val="auto"/>
          <w:szCs w:val="21"/>
        </w:rPr>
      </w:pPr>
      <w:r>
        <w:rPr>
          <w:rFonts w:ascii="宋体" w:hAnsi="宋体"/>
          <w:color w:val="auto"/>
          <w:szCs w:val="21"/>
        </w:rPr>
        <w:t>本项目响应截止时间及地点见“供应商须知前附表”规定。</w:t>
      </w:r>
    </w:p>
    <w:p w14:paraId="2222E543">
      <w:pPr>
        <w:autoSpaceDE w:val="0"/>
        <w:autoSpaceDN w:val="0"/>
        <w:adjustRightInd w:val="0"/>
        <w:spacing w:line="276" w:lineRule="auto"/>
        <w:ind w:firstLine="420" w:firstLineChars="200"/>
        <w:rPr>
          <w:rFonts w:ascii="宋体" w:hAnsi="宋体"/>
          <w:color w:val="auto"/>
          <w:szCs w:val="21"/>
        </w:rPr>
      </w:pPr>
      <w:r>
        <w:rPr>
          <w:rFonts w:hint="eastAsia" w:ascii="宋体" w:hAnsi="宋体"/>
          <w:color w:val="auto"/>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Pr>
          <w:rFonts w:ascii="宋体" w:hAnsi="宋体"/>
          <w:color w:val="auto"/>
          <w:szCs w:val="21"/>
        </w:rPr>
        <w:t>如不</w:t>
      </w:r>
      <w:r>
        <w:rPr>
          <w:rFonts w:hint="eastAsia" w:ascii="宋体" w:hAnsi="宋体"/>
          <w:color w:val="auto"/>
          <w:szCs w:val="21"/>
        </w:rPr>
        <w:t>参加</w:t>
      </w:r>
      <w:r>
        <w:rPr>
          <w:rFonts w:ascii="宋体" w:hAnsi="宋体"/>
          <w:color w:val="auto"/>
          <w:szCs w:val="21"/>
        </w:rPr>
        <w:t>截标大会的，</w:t>
      </w:r>
      <w:r>
        <w:rPr>
          <w:rFonts w:hint="eastAsia" w:ascii="宋体" w:hAnsi="宋体"/>
          <w:color w:val="auto"/>
          <w:szCs w:val="21"/>
        </w:rPr>
        <w:t>视同认可截标结果，</w:t>
      </w:r>
      <w:r>
        <w:rPr>
          <w:rFonts w:ascii="宋体" w:hAnsi="宋体"/>
          <w:color w:val="auto"/>
          <w:szCs w:val="21"/>
        </w:rPr>
        <w:t>事后不得对采购相关人员、截标过程和截标结果提出异议</w:t>
      </w:r>
      <w:r>
        <w:rPr>
          <w:rFonts w:hint="eastAsia" w:ascii="宋体" w:hAnsi="宋体"/>
          <w:color w:val="auto"/>
          <w:szCs w:val="21"/>
        </w:rPr>
        <w:t>，同时供应商因未在线参加截标而导致响应文件无法按时解密等一切后果由供应商自己承担。</w:t>
      </w:r>
    </w:p>
    <w:p w14:paraId="0CB9ABA7">
      <w:pPr>
        <w:spacing w:before="120" w:line="276" w:lineRule="auto"/>
        <w:ind w:firstLine="420" w:firstLineChars="200"/>
        <w:rPr>
          <w:rFonts w:ascii="宋体" w:hAnsi="宋体"/>
          <w:color w:val="auto"/>
          <w:szCs w:val="21"/>
        </w:rPr>
      </w:pPr>
      <w:r>
        <w:rPr>
          <w:rFonts w:hint="eastAsia" w:ascii="宋体" w:hAnsi="宋体"/>
          <w:color w:val="auto"/>
          <w:szCs w:val="21"/>
        </w:rPr>
        <w:t xml:space="preserve">如供应商成功解密响应文件，但未在广西政府采购云平台电子开标大厅参加截标的，视同认可截标过程和结果，由此产生的后果由供应商自行负责。 </w:t>
      </w:r>
    </w:p>
    <w:p w14:paraId="2BF8A5A1">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4.2截标程序</w:t>
      </w:r>
    </w:p>
    <w:p w14:paraId="47DB4B57">
      <w:pPr>
        <w:spacing w:before="120" w:line="320" w:lineRule="atLeast"/>
        <w:ind w:firstLine="420" w:firstLineChars="200"/>
        <w:rPr>
          <w:rFonts w:ascii="宋体" w:hAnsi="宋体"/>
          <w:color w:val="auto"/>
          <w:szCs w:val="21"/>
        </w:rPr>
      </w:pPr>
      <w:r>
        <w:rPr>
          <w:rFonts w:ascii="宋体" w:hAnsi="宋体"/>
          <w:color w:val="auto"/>
          <w:szCs w:val="21"/>
        </w:rPr>
        <w:t>4.2.1</w:t>
      </w:r>
      <w:r>
        <w:rPr>
          <w:rFonts w:hint="eastAsia" w:ascii="宋体" w:hAnsi="宋体"/>
          <w:color w:val="auto"/>
          <w:szCs w:val="21"/>
        </w:rPr>
        <w:t>供应商登录广西政府采购云平台进入开标大厅签到。</w:t>
      </w:r>
    </w:p>
    <w:p w14:paraId="0CF453F8">
      <w:pPr>
        <w:spacing w:before="120" w:line="320" w:lineRule="atLeas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.2.2</w:t>
      </w:r>
      <w:r>
        <w:rPr>
          <w:rFonts w:hint="eastAsia" w:ascii="宋体" w:hAnsi="宋体"/>
          <w:color w:val="auto"/>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0" w:name="_Hlk106639817"/>
      <w:r>
        <w:rPr>
          <w:rFonts w:hint="eastAsia" w:ascii="宋体" w:hAnsi="宋体"/>
          <w:color w:val="auto"/>
        </w:rPr>
        <w:t>通知后供应商仍未在上述规定时间内解密响应文件</w:t>
      </w:r>
      <w:bookmarkEnd w:id="50"/>
      <w:r>
        <w:rPr>
          <w:rFonts w:hint="eastAsia" w:ascii="宋体" w:hAnsi="宋体"/>
          <w:color w:val="auto"/>
          <w:szCs w:val="21"/>
        </w:rPr>
        <w:t>，或者供应商没预留联系方式或预留联系方式无效导致代理机构无法联系到供应商进行解密的，均视为无效响应。</w:t>
      </w:r>
    </w:p>
    <w:p w14:paraId="44F285BA">
      <w:pPr>
        <w:spacing w:before="120" w:line="320" w:lineRule="atLeas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.2.3</w:t>
      </w:r>
      <w:bookmarkStart w:id="51" w:name="_Hlk106637968"/>
      <w:r>
        <w:rPr>
          <w:rFonts w:hint="eastAsia" w:ascii="宋体" w:hAnsi="宋体"/>
          <w:color w:val="auto"/>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1"/>
    <w:p w14:paraId="1CCF0378">
      <w:pPr>
        <w:spacing w:before="120" w:line="320" w:lineRule="atLeast"/>
        <w:ind w:firstLine="420" w:firstLineChars="200"/>
        <w:rPr>
          <w:rFonts w:ascii="宋体" w:hAnsi="宋体"/>
          <w:color w:val="auto"/>
          <w:szCs w:val="21"/>
        </w:rPr>
      </w:pPr>
      <w:r>
        <w:rPr>
          <w:rFonts w:hint="eastAsia" w:ascii="宋体" w:hAnsi="宋体"/>
          <w:color w:val="auto"/>
          <w:szCs w:val="21"/>
        </w:rPr>
        <w:t>4</w:t>
      </w:r>
      <w:r>
        <w:rPr>
          <w:rFonts w:ascii="宋体" w:hAnsi="宋体"/>
          <w:color w:val="auto"/>
          <w:szCs w:val="21"/>
        </w:rPr>
        <w:t>.2.4</w:t>
      </w:r>
      <w:r>
        <w:rPr>
          <w:rFonts w:hint="eastAsia" w:ascii="宋体" w:hAnsi="宋体"/>
          <w:color w:val="auto"/>
          <w:szCs w:val="21"/>
        </w:rPr>
        <w:t>解密异常情况处理：详见本章</w:t>
      </w:r>
      <w:r>
        <w:rPr>
          <w:rFonts w:ascii="宋体" w:hAnsi="宋体"/>
          <w:color w:val="auto"/>
          <w:szCs w:val="21"/>
        </w:rPr>
        <w:t>9.2</w:t>
      </w:r>
      <w:r>
        <w:rPr>
          <w:rFonts w:hint="eastAsia" w:ascii="宋体" w:hAnsi="宋体"/>
          <w:color w:val="auto"/>
          <w:szCs w:val="21"/>
        </w:rPr>
        <w:t>电子交易活动的中止。</w:t>
      </w:r>
    </w:p>
    <w:p w14:paraId="17BCFD4A">
      <w:pPr>
        <w:spacing w:before="120" w:line="320" w:lineRule="atLeast"/>
        <w:ind w:firstLine="420" w:firstLineChars="200"/>
        <w:rPr>
          <w:rFonts w:ascii="宋体" w:hAnsi="宋体"/>
          <w:color w:val="auto"/>
          <w:szCs w:val="21"/>
        </w:rPr>
      </w:pPr>
      <w:r>
        <w:rPr>
          <w:rFonts w:ascii="宋体" w:hAnsi="宋体"/>
          <w:color w:val="auto"/>
          <w:szCs w:val="21"/>
        </w:rPr>
        <w:t>4.2.5截标结束。</w:t>
      </w:r>
    </w:p>
    <w:p w14:paraId="6A906B65">
      <w:pPr>
        <w:pStyle w:val="26"/>
        <w:snapToGrid w:val="0"/>
        <w:spacing w:line="440" w:lineRule="exact"/>
        <w:ind w:firstLine="422" w:firstLineChars="200"/>
        <w:rPr>
          <w:rFonts w:hAnsi="宋体"/>
          <w:color w:val="auto"/>
        </w:rPr>
      </w:pPr>
      <w:r>
        <w:rPr>
          <w:rFonts w:hint="eastAsia" w:hAnsi="宋体"/>
          <w:b/>
          <w:bCs/>
          <w:color w:val="auto"/>
        </w:rPr>
        <w:t>特别说明：</w:t>
      </w:r>
      <w:r>
        <w:rPr>
          <w:rFonts w:hint="eastAsia" w:hAnsi="宋体"/>
          <w:color w:val="auto"/>
        </w:rPr>
        <w:t>如遇广西政府采购云平台电子化截标或评审程序调整的，按调整后的程序执行。</w:t>
      </w:r>
    </w:p>
    <w:p w14:paraId="55E9E3E8">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4.3演示</w:t>
      </w:r>
    </w:p>
    <w:p w14:paraId="22BA3632">
      <w:pPr>
        <w:spacing w:before="120" w:line="320" w:lineRule="atLeast"/>
        <w:ind w:firstLine="420" w:firstLineChars="200"/>
        <w:rPr>
          <w:rFonts w:ascii="宋体" w:hAnsi="宋体"/>
          <w:color w:val="auto"/>
          <w:szCs w:val="21"/>
        </w:rPr>
      </w:pPr>
      <w:r>
        <w:rPr>
          <w:rFonts w:ascii="宋体" w:hAnsi="宋体"/>
          <w:color w:val="auto"/>
          <w:szCs w:val="21"/>
        </w:rPr>
        <w:t>4.3.1“供应商须知前附表”规定在截标会议结束后进行演示的，供应商应按规定进行演示。</w:t>
      </w:r>
    </w:p>
    <w:p w14:paraId="7C3ED0E3">
      <w:pPr>
        <w:spacing w:before="120" w:line="320" w:lineRule="atLeast"/>
        <w:ind w:firstLine="420" w:firstLineChars="200"/>
        <w:rPr>
          <w:rFonts w:ascii="宋体" w:hAnsi="宋体"/>
          <w:color w:val="auto"/>
          <w:szCs w:val="21"/>
        </w:rPr>
      </w:pPr>
      <w:r>
        <w:rPr>
          <w:rFonts w:ascii="宋体" w:hAnsi="宋体"/>
          <w:color w:val="auto"/>
          <w:szCs w:val="21"/>
        </w:rPr>
        <w:t>4.3.2未按规定时间进行演示可能引起的演示分数被计为0分或响应无效等后果由供应商自行承担。</w:t>
      </w:r>
    </w:p>
    <w:p w14:paraId="7071EA34">
      <w:pPr>
        <w:spacing w:before="120" w:line="320" w:lineRule="atLeast"/>
        <w:ind w:firstLine="422" w:firstLineChars="200"/>
        <w:outlineLvl w:val="2"/>
        <w:rPr>
          <w:rFonts w:ascii="宋体" w:hAnsi="宋体"/>
          <w:color w:val="auto"/>
          <w:szCs w:val="21"/>
        </w:rPr>
      </w:pPr>
      <w:r>
        <w:rPr>
          <w:rFonts w:ascii="宋体" w:hAnsi="宋体"/>
          <w:b/>
          <w:bCs/>
          <w:color w:val="auto"/>
          <w:kern w:val="0"/>
          <w:szCs w:val="21"/>
        </w:rPr>
        <w:t>4.4样品</w:t>
      </w:r>
    </w:p>
    <w:p w14:paraId="65A26316">
      <w:pPr>
        <w:spacing w:before="120" w:line="320" w:lineRule="atLeast"/>
        <w:ind w:firstLine="420" w:firstLineChars="200"/>
        <w:rPr>
          <w:rFonts w:ascii="宋体" w:hAnsi="宋体"/>
          <w:color w:val="auto"/>
          <w:szCs w:val="21"/>
        </w:rPr>
      </w:pPr>
      <w:r>
        <w:rPr>
          <w:rFonts w:ascii="宋体" w:hAnsi="宋体"/>
          <w:color w:val="auto"/>
          <w:szCs w:val="21"/>
        </w:rPr>
        <w:t>4.4.1“供应商须知前附表”规定递交样品的，供应商应按前附表规定递交样品，递交样品时应附样品递交表（格式见第六章）。</w:t>
      </w:r>
    </w:p>
    <w:p w14:paraId="5B1247B2">
      <w:pPr>
        <w:spacing w:before="120" w:line="320" w:lineRule="atLeast"/>
        <w:ind w:firstLine="420" w:firstLineChars="200"/>
        <w:rPr>
          <w:rFonts w:ascii="宋体" w:hAnsi="宋体"/>
          <w:color w:val="auto"/>
          <w:szCs w:val="21"/>
        </w:rPr>
      </w:pPr>
      <w:r>
        <w:rPr>
          <w:rFonts w:ascii="宋体" w:hAnsi="宋体"/>
          <w:color w:val="auto"/>
          <w:szCs w:val="21"/>
        </w:rPr>
        <w:t>4.4.2未按规定时间递交样品可能引起的样品分数被计为0分或响应无效等后果由供应商自行承担。</w:t>
      </w:r>
    </w:p>
    <w:p w14:paraId="266FF001">
      <w:pPr>
        <w:spacing w:before="120" w:line="320" w:lineRule="atLeast"/>
        <w:ind w:firstLine="420" w:firstLineChars="200"/>
        <w:rPr>
          <w:rFonts w:ascii="宋体" w:hAnsi="宋体"/>
          <w:color w:val="auto"/>
          <w:szCs w:val="21"/>
        </w:rPr>
      </w:pPr>
      <w:bookmarkStart w:id="52" w:name="_Toc254970545"/>
      <w:bookmarkStart w:id="53" w:name="_Toc254970686"/>
      <w:r>
        <w:rPr>
          <w:rFonts w:ascii="宋体" w:hAnsi="宋体"/>
          <w:color w:val="auto"/>
          <w:szCs w:val="21"/>
        </w:rPr>
        <w:t>4.4.3样品封存或退还的说明请见第六章响应文件格式所附样品递交表。</w:t>
      </w:r>
    </w:p>
    <w:p w14:paraId="4485B3B5">
      <w:pPr>
        <w:spacing w:before="120" w:line="320" w:lineRule="atLeast"/>
        <w:ind w:left="2" w:leftChars="1" w:firstLine="422" w:firstLineChars="200"/>
        <w:outlineLvl w:val="1"/>
        <w:rPr>
          <w:rFonts w:ascii="宋体" w:hAnsi="宋体"/>
          <w:b/>
          <w:bCs/>
          <w:color w:val="auto"/>
          <w:kern w:val="0"/>
          <w:szCs w:val="21"/>
        </w:rPr>
      </w:pPr>
      <w:r>
        <w:rPr>
          <w:rFonts w:ascii="宋体" w:hAnsi="宋体"/>
          <w:b/>
          <w:bCs/>
          <w:color w:val="auto"/>
          <w:kern w:val="0"/>
          <w:szCs w:val="21"/>
        </w:rPr>
        <w:t>5．</w:t>
      </w:r>
      <w:r>
        <w:rPr>
          <w:rFonts w:hint="eastAsia" w:ascii="宋体" w:hAnsi="宋体"/>
          <w:b/>
          <w:bCs/>
          <w:color w:val="auto"/>
          <w:kern w:val="0"/>
          <w:szCs w:val="21"/>
        </w:rPr>
        <w:t>资格审查</w:t>
      </w:r>
    </w:p>
    <w:p w14:paraId="25ACEB3E">
      <w:pPr>
        <w:spacing w:before="120" w:line="320" w:lineRule="atLeast"/>
        <w:ind w:left="2" w:leftChars="1" w:firstLine="420" w:firstLineChars="200"/>
        <w:outlineLvl w:val="2"/>
        <w:rPr>
          <w:rFonts w:ascii="宋体" w:hAnsi="宋体"/>
          <w:bCs/>
          <w:color w:val="auto"/>
          <w:kern w:val="0"/>
          <w:szCs w:val="21"/>
        </w:rPr>
      </w:pPr>
      <w:r>
        <w:rPr>
          <w:rFonts w:hint="eastAsia" w:ascii="宋体" w:hAnsi="宋体"/>
          <w:bCs/>
          <w:color w:val="auto"/>
          <w:kern w:val="0"/>
          <w:szCs w:val="21"/>
        </w:rPr>
        <w:t>5</w:t>
      </w:r>
      <w:r>
        <w:rPr>
          <w:rFonts w:ascii="宋体" w:hAnsi="宋体"/>
          <w:bCs/>
          <w:color w:val="auto"/>
          <w:kern w:val="0"/>
          <w:szCs w:val="21"/>
        </w:rPr>
        <w:t>.1</w:t>
      </w:r>
      <w:r>
        <w:rPr>
          <w:rFonts w:hint="eastAsia" w:ascii="宋体" w:hAnsi="宋体"/>
          <w:bCs/>
          <w:color w:val="auto"/>
          <w:kern w:val="0"/>
          <w:szCs w:val="21"/>
        </w:rPr>
        <w:t>截标</w:t>
      </w:r>
      <w:r>
        <w:rPr>
          <w:rFonts w:ascii="宋体" w:hAnsi="宋体"/>
          <w:bCs/>
          <w:color w:val="auto"/>
          <w:szCs w:val="21"/>
        </w:rPr>
        <w:t>后，</w:t>
      </w:r>
      <w:r>
        <w:rPr>
          <w:rFonts w:hint="eastAsia" w:ascii="宋体" w:hAnsi="宋体"/>
          <w:bCs/>
          <w:color w:val="auto"/>
          <w:szCs w:val="21"/>
        </w:rPr>
        <w:t>磋商小组通过电子交易平台</w:t>
      </w:r>
      <w:r>
        <w:rPr>
          <w:rFonts w:ascii="宋体" w:hAnsi="宋体"/>
          <w:bCs/>
          <w:color w:val="auto"/>
          <w:szCs w:val="21"/>
        </w:rPr>
        <w:t>对供应商的资格进行审查。</w:t>
      </w:r>
      <w:r>
        <w:rPr>
          <w:rFonts w:hint="eastAsia" w:ascii="宋体" w:hAnsi="宋体"/>
          <w:bCs/>
          <w:color w:val="auto"/>
          <w:szCs w:val="21"/>
        </w:rPr>
        <w:t>资格审查</w:t>
      </w:r>
      <w:r>
        <w:rPr>
          <w:rFonts w:hint="eastAsia" w:ascii="宋体" w:hAnsi="宋体"/>
          <w:bCs/>
          <w:color w:val="auto"/>
          <w:kern w:val="0"/>
          <w:szCs w:val="21"/>
        </w:rPr>
        <w:t>是根据法律法规和采购文件的规定，对供应商的基本资格条件、特定资格条件进行审查。</w:t>
      </w:r>
    </w:p>
    <w:p w14:paraId="1955725A">
      <w:pPr>
        <w:spacing w:before="120" w:line="320" w:lineRule="atLeast"/>
        <w:ind w:left="2" w:leftChars="1" w:firstLine="420" w:firstLineChars="200"/>
        <w:outlineLvl w:val="2"/>
        <w:rPr>
          <w:rFonts w:ascii="宋体" w:hAnsi="宋体"/>
          <w:bCs/>
          <w:color w:val="auto"/>
          <w:kern w:val="0"/>
          <w:szCs w:val="21"/>
        </w:rPr>
      </w:pPr>
      <w:r>
        <w:rPr>
          <w:rFonts w:hint="eastAsia" w:ascii="宋体" w:hAnsi="宋体"/>
          <w:bCs/>
          <w:color w:val="auto"/>
          <w:kern w:val="0"/>
          <w:szCs w:val="21"/>
        </w:rPr>
        <w:t>5.</w:t>
      </w:r>
      <w:r>
        <w:rPr>
          <w:rFonts w:ascii="宋体" w:hAnsi="宋体"/>
          <w:bCs/>
          <w:color w:val="auto"/>
          <w:kern w:val="0"/>
          <w:szCs w:val="21"/>
        </w:rPr>
        <w:t>2</w:t>
      </w:r>
      <w:r>
        <w:rPr>
          <w:rFonts w:hint="eastAsia" w:ascii="宋体" w:hAnsi="宋体"/>
          <w:bCs/>
          <w:color w:val="auto"/>
          <w:kern w:val="0"/>
          <w:szCs w:val="21"/>
        </w:rPr>
        <w:t>资格审查标准在第四章评审方法及标准中规定，符合资格审查标准要求的供应商即为资格审查合格。</w:t>
      </w:r>
    </w:p>
    <w:p w14:paraId="5FE2A4BC">
      <w:pPr>
        <w:spacing w:before="120" w:line="276" w:lineRule="auto"/>
        <w:ind w:left="2" w:leftChars="1" w:firstLine="420" w:firstLineChars="200"/>
        <w:outlineLvl w:val="2"/>
        <w:rPr>
          <w:rFonts w:ascii="宋体" w:hAnsi="宋体"/>
          <w:bCs/>
          <w:color w:val="auto"/>
          <w:kern w:val="0"/>
          <w:szCs w:val="21"/>
        </w:rPr>
      </w:pPr>
      <w:r>
        <w:rPr>
          <w:rFonts w:ascii="宋体" w:hAnsi="宋体"/>
          <w:bCs/>
          <w:color w:val="auto"/>
          <w:kern w:val="0"/>
          <w:szCs w:val="21"/>
        </w:rPr>
        <w:t>5.3</w:t>
      </w:r>
      <w:r>
        <w:rPr>
          <w:rFonts w:hint="eastAsia" w:ascii="宋体" w:hAnsi="宋体"/>
          <w:bCs/>
          <w:color w:val="auto"/>
          <w:kern w:val="0"/>
          <w:szCs w:val="21"/>
        </w:rPr>
        <w:t>供应商有下列情形之一的，资格审查不合格，作无效响应处理：</w:t>
      </w:r>
    </w:p>
    <w:p w14:paraId="76BA3FE9">
      <w:pPr>
        <w:spacing w:line="276" w:lineRule="auto"/>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.3.1</w:t>
      </w:r>
      <w:r>
        <w:rPr>
          <w:rFonts w:hint="eastAsia" w:ascii="宋体" w:hAnsi="宋体"/>
          <w:color w:val="auto"/>
          <w:szCs w:val="21"/>
        </w:rPr>
        <w:t>不具备采购文件中规定的资格要求或资格条件的； （注：其中信用查询规则见“供应商须知前附表”，广西政府采购云平台已与“信用中国”平台做接口，可直接在线查询）</w:t>
      </w:r>
    </w:p>
    <w:p w14:paraId="226EA991">
      <w:pPr>
        <w:spacing w:before="120" w:line="276" w:lineRule="auto"/>
        <w:ind w:firstLine="420" w:firstLineChars="200"/>
        <w:rPr>
          <w:rFonts w:ascii="宋体" w:hAnsi="宋体"/>
          <w:color w:val="auto"/>
          <w:szCs w:val="21"/>
        </w:rPr>
      </w:pPr>
      <w:r>
        <w:rPr>
          <w:rFonts w:hint="eastAsia" w:ascii="宋体" w:hAnsi="宋体"/>
          <w:color w:val="auto"/>
          <w:szCs w:val="21"/>
        </w:rPr>
        <w:t>5</w:t>
      </w:r>
      <w:r>
        <w:rPr>
          <w:rFonts w:ascii="宋体" w:hAnsi="宋体"/>
          <w:color w:val="auto"/>
          <w:szCs w:val="21"/>
        </w:rPr>
        <w:t>.3.2</w:t>
      </w:r>
      <w:r>
        <w:rPr>
          <w:rFonts w:hint="eastAsia" w:ascii="宋体" w:hAnsi="宋体"/>
          <w:color w:val="auto"/>
          <w:szCs w:val="21"/>
        </w:rPr>
        <w:t>响应文件缺少任何一项资格证明文件或不符合第四章评审方法及标准中资格审查标准规定的评审内容的。</w:t>
      </w:r>
    </w:p>
    <w:p w14:paraId="306ECBD2">
      <w:pPr>
        <w:spacing w:before="120" w:line="320" w:lineRule="atLeast"/>
        <w:ind w:left="2" w:leftChars="1" w:firstLine="422" w:firstLineChars="200"/>
        <w:outlineLvl w:val="1"/>
        <w:rPr>
          <w:rFonts w:ascii="宋体" w:hAnsi="宋体"/>
          <w:b/>
          <w:bCs/>
          <w:color w:val="auto"/>
          <w:kern w:val="0"/>
          <w:szCs w:val="21"/>
        </w:rPr>
      </w:pPr>
      <w:r>
        <w:rPr>
          <w:rFonts w:ascii="宋体" w:hAnsi="宋体"/>
          <w:b/>
          <w:bCs/>
          <w:color w:val="auto"/>
          <w:kern w:val="0"/>
          <w:szCs w:val="21"/>
        </w:rPr>
        <w:t>6．评审</w:t>
      </w:r>
    </w:p>
    <w:bookmarkEnd w:id="52"/>
    <w:bookmarkEnd w:id="53"/>
    <w:p w14:paraId="2D0FF68B">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6.1组建磋商小组</w:t>
      </w:r>
    </w:p>
    <w:p w14:paraId="37AF944C">
      <w:pPr>
        <w:spacing w:before="120" w:line="320" w:lineRule="atLeast"/>
        <w:ind w:firstLine="420" w:firstLineChars="200"/>
        <w:rPr>
          <w:rFonts w:ascii="宋体" w:hAnsi="宋体"/>
          <w:color w:val="auto"/>
          <w:szCs w:val="21"/>
        </w:rPr>
      </w:pPr>
      <w:r>
        <w:rPr>
          <w:rFonts w:hint="eastAsia" w:ascii="宋体" w:hAnsi="宋体"/>
          <w:color w:val="auto"/>
          <w:szCs w:val="21"/>
        </w:rPr>
        <w:t>6.1.1</w:t>
      </w:r>
      <w:r>
        <w:rPr>
          <w:rFonts w:ascii="宋体" w:hAnsi="宋体"/>
          <w:color w:val="auto"/>
          <w:szCs w:val="21"/>
        </w:rPr>
        <w:t>本项目</w:t>
      </w:r>
      <w:r>
        <w:rPr>
          <w:rFonts w:hint="eastAsia" w:ascii="宋体" w:hAnsi="宋体"/>
          <w:color w:val="auto"/>
          <w:szCs w:val="21"/>
        </w:rPr>
        <w:t>评审工作由</w:t>
      </w:r>
      <w:r>
        <w:rPr>
          <w:rFonts w:ascii="宋体" w:hAnsi="宋体"/>
          <w:color w:val="auto"/>
          <w:szCs w:val="21"/>
        </w:rPr>
        <w:t>磋商小组</w:t>
      </w:r>
      <w:r>
        <w:rPr>
          <w:rFonts w:hint="eastAsia" w:ascii="宋体" w:hAnsi="宋体"/>
          <w:color w:val="auto"/>
          <w:szCs w:val="21"/>
        </w:rPr>
        <w:t>负责，磋商小组</w:t>
      </w:r>
      <w:r>
        <w:rPr>
          <w:rFonts w:ascii="宋体" w:hAnsi="宋体"/>
          <w:color w:val="auto"/>
          <w:szCs w:val="21"/>
        </w:rPr>
        <w:t>由</w:t>
      </w:r>
      <w:r>
        <w:rPr>
          <w:rFonts w:hint="eastAsia" w:ascii="宋体" w:hAnsi="宋体"/>
          <w:color w:val="auto"/>
          <w:szCs w:val="21"/>
        </w:rPr>
        <w:t>评审专家</w:t>
      </w:r>
      <w:r>
        <w:rPr>
          <w:rFonts w:ascii="宋体" w:hAnsi="宋体"/>
          <w:color w:val="auto"/>
          <w:szCs w:val="21"/>
        </w:rPr>
        <w:t>和采购人代表</w:t>
      </w:r>
      <w:r>
        <w:rPr>
          <w:rFonts w:hint="eastAsia" w:ascii="宋体" w:hAnsi="宋体"/>
          <w:color w:val="auto"/>
          <w:szCs w:val="21"/>
        </w:rPr>
        <w:t>（如有）</w:t>
      </w:r>
      <w:r>
        <w:rPr>
          <w:rFonts w:ascii="宋体" w:hAnsi="宋体"/>
          <w:color w:val="auto"/>
          <w:szCs w:val="21"/>
        </w:rPr>
        <w:t>组成。</w:t>
      </w:r>
      <w:r>
        <w:rPr>
          <w:rFonts w:hint="eastAsia" w:ascii="宋体" w:hAnsi="宋体"/>
          <w:color w:val="auto"/>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rFonts w:ascii="宋体" w:hAnsi="宋体"/>
          <w:color w:val="auto"/>
          <w:szCs w:val="21"/>
        </w:rPr>
        <w:t>评审专家发现本人与参加采购活动的供应商有利害关系的，应当主动提出回避</w:t>
      </w:r>
      <w:r>
        <w:rPr>
          <w:rFonts w:hint="eastAsia" w:ascii="宋体" w:hAnsi="宋体"/>
          <w:color w:val="auto"/>
          <w:szCs w:val="21"/>
        </w:rPr>
        <w:t>。</w:t>
      </w:r>
    </w:p>
    <w:p w14:paraId="6F2AF47A">
      <w:pPr>
        <w:spacing w:before="120" w:line="320" w:lineRule="atLeast"/>
        <w:ind w:firstLine="420" w:firstLineChars="200"/>
        <w:rPr>
          <w:rFonts w:ascii="宋体" w:hAnsi="宋体"/>
          <w:color w:val="auto"/>
          <w:szCs w:val="21"/>
        </w:rPr>
      </w:pPr>
      <w:r>
        <w:rPr>
          <w:rFonts w:hint="eastAsia" w:ascii="宋体" w:hAnsi="宋体"/>
          <w:color w:val="auto"/>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5CF5D02">
      <w:pPr>
        <w:spacing w:before="120" w:line="320" w:lineRule="atLeast"/>
        <w:ind w:firstLine="420" w:firstLineChars="200"/>
        <w:rPr>
          <w:rFonts w:ascii="宋体" w:hAnsi="宋体"/>
          <w:color w:val="auto"/>
          <w:szCs w:val="21"/>
        </w:rPr>
      </w:pPr>
      <w:r>
        <w:rPr>
          <w:rFonts w:hint="eastAsia" w:ascii="宋体" w:hAnsi="宋体"/>
          <w:color w:val="auto"/>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01D669">
      <w:pPr>
        <w:spacing w:before="120" w:line="320" w:lineRule="atLeast"/>
        <w:ind w:firstLine="420" w:firstLineChars="200"/>
        <w:rPr>
          <w:rFonts w:ascii="宋体" w:hAnsi="宋体"/>
          <w:color w:val="auto"/>
          <w:szCs w:val="21"/>
        </w:rPr>
      </w:pPr>
      <w:r>
        <w:rPr>
          <w:rFonts w:hint="eastAsia" w:ascii="宋体" w:hAnsi="宋体"/>
          <w:color w:val="auto"/>
          <w:szCs w:val="21"/>
        </w:rPr>
        <w:t>6.1.4本项目评审过程实行全程网上留痕及录音、录像监控，供应商在评审过程中所进行的试图影响评审结果的不公正活动，可能导致其响应按无效处理。</w:t>
      </w:r>
    </w:p>
    <w:p w14:paraId="570FDA41">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6.2</w:t>
      </w:r>
      <w:r>
        <w:rPr>
          <w:rFonts w:hint="eastAsia" w:ascii="宋体" w:hAnsi="宋体"/>
          <w:b/>
          <w:bCs/>
          <w:color w:val="auto"/>
          <w:kern w:val="0"/>
          <w:szCs w:val="21"/>
        </w:rPr>
        <w:t>评审方法及依据</w:t>
      </w:r>
    </w:p>
    <w:p w14:paraId="7F1CBE66">
      <w:pPr>
        <w:spacing w:before="120" w:line="320" w:lineRule="atLeast"/>
        <w:ind w:firstLine="420" w:firstLineChars="200"/>
        <w:rPr>
          <w:rFonts w:ascii="宋体" w:hAnsi="宋体"/>
          <w:bCs/>
          <w:color w:val="auto"/>
          <w:kern w:val="0"/>
          <w:szCs w:val="21"/>
        </w:rPr>
      </w:pPr>
      <w:r>
        <w:rPr>
          <w:rFonts w:ascii="宋体" w:hAnsi="宋体"/>
          <w:bCs/>
          <w:color w:val="auto"/>
          <w:kern w:val="0"/>
          <w:szCs w:val="21"/>
        </w:rPr>
        <w:t>6.2.1</w:t>
      </w:r>
      <w:r>
        <w:rPr>
          <w:rFonts w:hint="eastAsia" w:ascii="宋体" w:hAnsi="宋体"/>
          <w:bCs/>
          <w:color w:val="auto"/>
          <w:kern w:val="0"/>
          <w:szCs w:val="21"/>
        </w:rPr>
        <w:t>本项目采用第四章评审方法及标准规定的方法进行评审。</w:t>
      </w:r>
    </w:p>
    <w:p w14:paraId="7A276E14">
      <w:pPr>
        <w:suppressAutoHyphens/>
        <w:spacing w:before="120" w:line="320" w:lineRule="atLeast"/>
        <w:ind w:firstLine="420" w:firstLineChars="200"/>
        <w:rPr>
          <w:rFonts w:ascii="宋体" w:hAnsi="宋体"/>
          <w:bCs/>
          <w:color w:val="auto"/>
          <w:kern w:val="0"/>
          <w:szCs w:val="21"/>
        </w:rPr>
      </w:pPr>
      <w:r>
        <w:rPr>
          <w:rFonts w:ascii="宋体" w:hAnsi="宋体"/>
          <w:bCs/>
          <w:color w:val="auto"/>
          <w:kern w:val="0"/>
          <w:szCs w:val="21"/>
        </w:rPr>
        <w:t>6.2.2</w:t>
      </w:r>
      <w:r>
        <w:rPr>
          <w:rFonts w:hint="eastAsia" w:ascii="宋体" w:hAnsi="宋体"/>
          <w:bCs/>
          <w:color w:val="auto"/>
          <w:kern w:val="0"/>
          <w:szCs w:val="21"/>
        </w:rPr>
        <w:t>磋商小组</w:t>
      </w:r>
      <w:r>
        <w:rPr>
          <w:rFonts w:ascii="宋体" w:hAnsi="宋体"/>
          <w:color w:val="auto"/>
        </w:rPr>
        <w:t>以</w:t>
      </w:r>
      <w:r>
        <w:rPr>
          <w:rFonts w:hint="eastAsia" w:ascii="宋体" w:hAnsi="宋体"/>
          <w:color w:val="auto"/>
        </w:rPr>
        <w:t>采购</w:t>
      </w:r>
      <w:r>
        <w:rPr>
          <w:rFonts w:ascii="宋体" w:hAnsi="宋体"/>
          <w:color w:val="auto"/>
        </w:rPr>
        <w:t>文件、补充文件、</w:t>
      </w:r>
      <w:r>
        <w:rPr>
          <w:rFonts w:hint="eastAsia" w:ascii="宋体" w:hAnsi="宋体"/>
          <w:color w:val="auto"/>
        </w:rPr>
        <w:t>响应</w:t>
      </w:r>
      <w:r>
        <w:rPr>
          <w:rFonts w:ascii="宋体" w:hAnsi="宋体"/>
          <w:color w:val="auto"/>
        </w:rPr>
        <w:t>文件、澄清及答复为评审依据</w:t>
      </w:r>
      <w:r>
        <w:rPr>
          <w:rFonts w:hint="eastAsia" w:ascii="宋体" w:hAnsi="宋体"/>
          <w:color w:val="auto"/>
        </w:rPr>
        <w:t>，</w:t>
      </w:r>
      <w:r>
        <w:rPr>
          <w:rFonts w:hint="eastAsia" w:ascii="宋体" w:hAnsi="宋体"/>
          <w:bCs/>
          <w:color w:val="auto"/>
          <w:kern w:val="0"/>
          <w:szCs w:val="21"/>
        </w:rPr>
        <w:t>第四章评审方法及标准没有规定的评审方法、标准及因素，不得作为评审依据。</w:t>
      </w:r>
    </w:p>
    <w:p w14:paraId="5FF51EFF">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6.3评审</w:t>
      </w:r>
      <w:r>
        <w:rPr>
          <w:rFonts w:hint="eastAsia" w:ascii="宋体" w:hAnsi="宋体"/>
          <w:b/>
          <w:bCs/>
          <w:color w:val="auto"/>
          <w:kern w:val="0"/>
          <w:szCs w:val="21"/>
        </w:rPr>
        <w:t>程序</w:t>
      </w:r>
    </w:p>
    <w:p w14:paraId="7F1C0DF0">
      <w:pPr>
        <w:spacing w:before="120" w:line="320" w:lineRule="atLeast"/>
        <w:ind w:firstLine="420" w:firstLineChars="200"/>
        <w:rPr>
          <w:rFonts w:ascii="宋体" w:hAnsi="宋体"/>
          <w:color w:val="auto"/>
        </w:rPr>
      </w:pPr>
      <w:r>
        <w:rPr>
          <w:rFonts w:ascii="宋体" w:hAnsi="宋体"/>
          <w:color w:val="auto"/>
        </w:rPr>
        <w:t>6.</w:t>
      </w:r>
      <w:bookmarkStart w:id="54" w:name="_Hlk80956880"/>
      <w:bookmarkStart w:id="55" w:name="_Hlk19175507"/>
      <w:r>
        <w:rPr>
          <w:rFonts w:ascii="宋体" w:hAnsi="宋体"/>
          <w:color w:val="auto"/>
        </w:rPr>
        <w:t>3.1</w:t>
      </w:r>
      <w:r>
        <w:rPr>
          <w:rFonts w:hint="eastAsia" w:ascii="宋体" w:hAnsi="宋体"/>
          <w:color w:val="auto"/>
        </w:rPr>
        <w:t>符合性审查</w:t>
      </w:r>
    </w:p>
    <w:p w14:paraId="22EE26DC">
      <w:pPr>
        <w:spacing w:before="120" w:line="320" w:lineRule="atLeast"/>
        <w:ind w:firstLine="420" w:firstLineChars="200"/>
        <w:rPr>
          <w:rFonts w:ascii="宋体" w:hAnsi="宋体"/>
          <w:color w:val="auto"/>
          <w:szCs w:val="21"/>
        </w:rPr>
      </w:pPr>
      <w:r>
        <w:rPr>
          <w:rFonts w:ascii="宋体" w:hAnsi="宋体"/>
          <w:bCs/>
          <w:color w:val="auto"/>
          <w:kern w:val="1"/>
          <w:szCs w:val="21"/>
        </w:rPr>
        <w:t>资格审查结束后，</w:t>
      </w:r>
      <w:r>
        <w:rPr>
          <w:rFonts w:hint="eastAsia" w:ascii="宋体" w:hAnsi="宋体"/>
          <w:color w:val="auto"/>
        </w:rPr>
        <w:t>磋商小组对</w:t>
      </w:r>
      <w:r>
        <w:rPr>
          <w:rFonts w:ascii="宋体" w:hAnsi="宋体"/>
          <w:color w:val="auto"/>
        </w:rPr>
        <w:t>通过资格审查的供应商</w:t>
      </w:r>
      <w:r>
        <w:rPr>
          <w:rFonts w:hint="eastAsia" w:ascii="宋体" w:hAnsi="宋体"/>
          <w:color w:val="auto"/>
        </w:rPr>
        <w:t>的响应文件报价、商务资信、技术等方面实质性内容进行符合性审查，</w:t>
      </w:r>
      <w:r>
        <w:rPr>
          <w:rFonts w:hint="eastAsia" w:ascii="宋体" w:hAnsi="宋体"/>
          <w:color w:val="auto"/>
          <w:szCs w:val="21"/>
        </w:rPr>
        <w:t>符合性审查标准</w:t>
      </w:r>
      <w:r>
        <w:rPr>
          <w:rFonts w:ascii="宋体" w:hAnsi="宋体"/>
          <w:color w:val="auto"/>
          <w:szCs w:val="21"/>
        </w:rPr>
        <w:t>详见第四章评审方法及标准。</w:t>
      </w:r>
    </w:p>
    <w:bookmarkEnd w:id="54"/>
    <w:bookmarkEnd w:id="55"/>
    <w:p w14:paraId="7D51EEE1">
      <w:pPr>
        <w:spacing w:before="120" w:line="320" w:lineRule="atLeast"/>
        <w:ind w:firstLine="420" w:firstLineChars="200"/>
        <w:rPr>
          <w:rFonts w:ascii="宋体" w:hAnsi="宋体"/>
          <w:color w:val="auto"/>
          <w:szCs w:val="21"/>
        </w:rPr>
      </w:pPr>
      <w:r>
        <w:rPr>
          <w:rFonts w:hint="eastAsia" w:ascii="宋体" w:hAnsi="宋体"/>
          <w:color w:val="auto"/>
          <w:szCs w:val="21"/>
        </w:rPr>
        <w:t>6</w:t>
      </w:r>
      <w:r>
        <w:rPr>
          <w:rFonts w:ascii="宋体" w:hAnsi="宋体"/>
          <w:color w:val="auto"/>
          <w:szCs w:val="21"/>
        </w:rPr>
        <w:t>.3.2</w:t>
      </w:r>
      <w:r>
        <w:rPr>
          <w:rFonts w:ascii="宋体" w:hAnsi="宋体"/>
          <w:color w:val="auto"/>
        </w:rPr>
        <w:t>强制性</w:t>
      </w:r>
      <w:r>
        <w:rPr>
          <w:rFonts w:ascii="宋体" w:hAnsi="宋体"/>
          <w:color w:val="auto"/>
          <w:szCs w:val="21"/>
        </w:rPr>
        <w:t>采购要求</w:t>
      </w:r>
      <w:r>
        <w:rPr>
          <w:rFonts w:hint="eastAsia" w:ascii="宋体" w:hAnsi="宋体"/>
          <w:color w:val="auto"/>
          <w:szCs w:val="21"/>
        </w:rPr>
        <w:t>（仅适用于货物采购项目）</w:t>
      </w:r>
    </w:p>
    <w:p w14:paraId="2345C843">
      <w:pPr>
        <w:suppressAutoHyphens/>
        <w:spacing w:before="120" w:line="320" w:lineRule="atLeast"/>
        <w:ind w:firstLine="422" w:firstLineChars="201"/>
        <w:rPr>
          <w:rFonts w:ascii="宋体" w:hAnsi="宋体"/>
          <w:color w:val="auto"/>
          <w:szCs w:val="21"/>
        </w:rPr>
      </w:pPr>
      <w:bookmarkStart w:id="56" w:name="_Hlk47714684"/>
      <w:r>
        <w:rPr>
          <w:rFonts w:hint="eastAsia" w:ascii="宋体" w:hAnsi="宋体"/>
          <w:color w:val="auto"/>
          <w:szCs w:val="21"/>
        </w:rPr>
        <w:t>（1）</w:t>
      </w:r>
      <w:bookmarkEnd w:id="56"/>
      <w:r>
        <w:rPr>
          <w:rFonts w:hint="eastAsia" w:ascii="宋体" w:hAnsi="宋体"/>
          <w:color w:val="auto"/>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B8FAEDB">
      <w:pPr>
        <w:spacing w:before="120" w:line="276" w:lineRule="auto"/>
        <w:ind w:firstLine="420" w:firstLineChars="200"/>
        <w:rPr>
          <w:rFonts w:ascii="宋体" w:hAnsi="宋体"/>
          <w:color w:val="auto"/>
          <w:szCs w:val="21"/>
        </w:rPr>
      </w:pPr>
      <w:bookmarkStart w:id="57" w:name="_Hlk19176155"/>
      <w:r>
        <w:rPr>
          <w:rFonts w:hint="eastAsia" w:ascii="宋体" w:hAnsi="宋体"/>
          <w:color w:val="auto"/>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供应商在响应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AD28FC0">
      <w:pPr>
        <w:spacing w:before="120" w:line="276" w:lineRule="auto"/>
        <w:ind w:firstLine="420" w:firstLineChars="200"/>
        <w:rPr>
          <w:rFonts w:ascii="宋体" w:hAnsi="宋体"/>
          <w:color w:val="auto"/>
          <w:szCs w:val="21"/>
        </w:rPr>
      </w:pPr>
      <w:r>
        <w:rPr>
          <w:rFonts w:hint="eastAsia" w:ascii="宋体" w:hAnsi="宋体"/>
          <w:color w:val="auto"/>
          <w:szCs w:val="21"/>
        </w:rPr>
        <w:t>注：网络安全专用产品在中共中央网络安全和信息化委员会办公室网站上发布的《网络关键设备和网络安全专用产品目录》中查询。</w:t>
      </w:r>
      <w:r>
        <w:rPr>
          <w:rFonts w:ascii="宋体" w:hAnsi="宋体"/>
          <w:color w:val="auto"/>
          <w:szCs w:val="21"/>
        </w:rPr>
        <w:t xml:space="preserve"> </w:t>
      </w:r>
      <w:r>
        <w:rPr>
          <w:rFonts w:hint="eastAsia" w:ascii="宋体" w:hAnsi="宋体"/>
          <w:color w:val="auto"/>
          <w:szCs w:val="21"/>
        </w:rPr>
        <w:t>“网络安全专用产品”内“产品类别”共34类：数据备份与恢复产品、防火墙、入侵检测系统（I</w:t>
      </w:r>
      <w:r>
        <w:rPr>
          <w:rFonts w:ascii="宋体" w:hAnsi="宋体"/>
          <w:color w:val="auto"/>
          <w:szCs w:val="21"/>
        </w:rPr>
        <w:t>DS</w:t>
      </w:r>
      <w:r>
        <w:rPr>
          <w:rFonts w:hint="eastAsia" w:ascii="宋体" w:hAnsi="宋体"/>
          <w:color w:val="auto"/>
          <w:szCs w:val="21"/>
        </w:rPr>
        <w:t>）、入侵防御系统（</w:t>
      </w:r>
      <w:r>
        <w:rPr>
          <w:rFonts w:ascii="宋体" w:hAnsi="宋体"/>
          <w:color w:val="auto"/>
          <w:szCs w:val="21"/>
        </w:rPr>
        <w:t>IPS</w:t>
      </w:r>
      <w:r>
        <w:rPr>
          <w:rFonts w:hint="eastAsia" w:ascii="宋体" w:hAnsi="宋体"/>
          <w:color w:val="auto"/>
          <w:szCs w:val="21"/>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E0BB13F">
      <w:pPr>
        <w:spacing w:before="120" w:line="320" w:lineRule="atLeast"/>
        <w:ind w:firstLine="420" w:firstLineChars="200"/>
        <w:rPr>
          <w:rFonts w:ascii="宋体" w:hAnsi="宋体"/>
          <w:color w:val="auto"/>
        </w:rPr>
      </w:pPr>
      <w:r>
        <w:rPr>
          <w:rFonts w:ascii="宋体" w:hAnsi="宋体"/>
          <w:color w:val="auto"/>
        </w:rPr>
        <w:t>6.3.3澄清、说明或补正</w:t>
      </w:r>
    </w:p>
    <w:p w14:paraId="11A89751">
      <w:pPr>
        <w:spacing w:before="120" w:line="320" w:lineRule="atLeast"/>
        <w:ind w:firstLine="420" w:firstLineChars="200"/>
        <w:rPr>
          <w:rFonts w:ascii="宋体" w:hAnsi="宋体"/>
          <w:color w:val="auto"/>
        </w:rPr>
      </w:pPr>
      <w:r>
        <w:rPr>
          <w:rFonts w:hint="eastAsia" w:ascii="宋体" w:hAnsi="宋体"/>
          <w:color w:val="auto"/>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50F0CE37">
      <w:pPr>
        <w:spacing w:before="120" w:line="320" w:lineRule="atLeast"/>
        <w:ind w:firstLine="420" w:firstLineChars="200"/>
        <w:rPr>
          <w:rFonts w:ascii="宋体" w:hAnsi="宋体"/>
          <w:color w:val="auto"/>
        </w:rPr>
      </w:pPr>
      <w:r>
        <w:rPr>
          <w:rFonts w:hint="eastAsia" w:ascii="宋体" w:hAnsi="宋体"/>
          <w:color w:val="auto"/>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B9056E0">
      <w:pPr>
        <w:spacing w:before="120" w:line="320" w:lineRule="atLeast"/>
        <w:ind w:firstLine="420" w:firstLineChars="200"/>
        <w:rPr>
          <w:rFonts w:ascii="宋体" w:hAnsi="宋体"/>
          <w:color w:val="auto"/>
        </w:rPr>
      </w:pPr>
      <w:r>
        <w:rPr>
          <w:rFonts w:ascii="宋体" w:hAnsi="宋体"/>
          <w:color w:val="auto"/>
        </w:rPr>
        <w:t>6.3.4</w:t>
      </w:r>
      <w:r>
        <w:rPr>
          <w:rFonts w:hint="eastAsia" w:ascii="宋体" w:hAnsi="宋体"/>
          <w:color w:val="auto"/>
        </w:rPr>
        <w:t>报价</w:t>
      </w:r>
      <w:r>
        <w:rPr>
          <w:rFonts w:ascii="宋体" w:hAnsi="宋体"/>
          <w:color w:val="auto"/>
        </w:rPr>
        <w:t>修正</w:t>
      </w:r>
    </w:p>
    <w:p w14:paraId="408C4C6E">
      <w:pPr>
        <w:spacing w:before="120" w:line="320" w:lineRule="atLeast"/>
        <w:ind w:firstLine="420" w:firstLineChars="200"/>
        <w:rPr>
          <w:rFonts w:ascii="宋体" w:hAnsi="宋体"/>
          <w:color w:val="auto"/>
        </w:rPr>
      </w:pPr>
      <w:r>
        <w:rPr>
          <w:rFonts w:hint="eastAsia" w:ascii="宋体" w:hAnsi="宋体"/>
          <w:color w:val="auto"/>
        </w:rPr>
        <w:t>（1）报价出现前后不一致的，按照下列规定修正：</w:t>
      </w:r>
    </w:p>
    <w:p w14:paraId="26F65C62">
      <w:pPr>
        <w:spacing w:before="120" w:line="320" w:lineRule="atLeast"/>
        <w:ind w:firstLine="420" w:firstLineChars="200"/>
        <w:rPr>
          <w:rFonts w:ascii="宋体" w:hAnsi="宋体"/>
          <w:color w:val="auto"/>
          <w:szCs w:val="21"/>
        </w:rPr>
      </w:pPr>
      <w:r>
        <w:rPr>
          <w:rFonts w:hint="eastAsia" w:ascii="宋体" w:hAnsi="宋体"/>
          <w:color w:val="auto"/>
          <w:szCs w:val="21"/>
        </w:rPr>
        <w:t>①</w:t>
      </w:r>
      <w:r>
        <w:rPr>
          <w:rFonts w:ascii="宋体" w:hAnsi="宋体"/>
          <w:color w:val="auto"/>
          <w:szCs w:val="21"/>
        </w:rPr>
        <w:t>响应文件中开标一览表（报价表）内容与响应文件中相应内容不一致的，以开标一览表（报价表）为准；</w:t>
      </w:r>
    </w:p>
    <w:p w14:paraId="36CCA591">
      <w:pPr>
        <w:spacing w:before="120" w:line="320" w:lineRule="atLeast"/>
        <w:ind w:firstLine="420" w:firstLineChars="200"/>
        <w:rPr>
          <w:rFonts w:ascii="宋体" w:hAnsi="宋体"/>
          <w:color w:val="auto"/>
          <w:szCs w:val="21"/>
        </w:rPr>
      </w:pPr>
      <w:r>
        <w:rPr>
          <w:rFonts w:ascii="宋体" w:hAnsi="宋体"/>
          <w:color w:val="auto"/>
          <w:szCs w:val="21"/>
        </w:rPr>
        <w:t>②大写金额和小写金额不一致的，以大写金额为准；</w:t>
      </w:r>
    </w:p>
    <w:p w14:paraId="3C2149EE">
      <w:pPr>
        <w:spacing w:before="120" w:line="320" w:lineRule="atLeast"/>
        <w:ind w:firstLine="420" w:firstLineChars="200"/>
        <w:rPr>
          <w:rFonts w:ascii="宋体" w:hAnsi="宋体"/>
          <w:color w:val="auto"/>
          <w:szCs w:val="21"/>
        </w:rPr>
      </w:pPr>
      <w:r>
        <w:rPr>
          <w:rFonts w:hint="eastAsia" w:ascii="宋体" w:hAnsi="宋体"/>
          <w:color w:val="auto"/>
          <w:szCs w:val="21"/>
        </w:rPr>
        <w:t>③</w:t>
      </w:r>
      <w:r>
        <w:rPr>
          <w:rFonts w:ascii="宋体" w:hAnsi="宋体"/>
          <w:color w:val="auto"/>
          <w:szCs w:val="21"/>
        </w:rPr>
        <w:t>单价金额小数点或者百分比有明显错位的，以开标一览表的总价为准，并修改单价；</w:t>
      </w:r>
    </w:p>
    <w:p w14:paraId="2DB37C98">
      <w:pPr>
        <w:spacing w:before="120" w:line="320" w:lineRule="atLeast"/>
        <w:ind w:firstLine="420" w:firstLineChars="200"/>
        <w:rPr>
          <w:rFonts w:ascii="宋体" w:hAnsi="宋体"/>
          <w:color w:val="auto"/>
          <w:szCs w:val="21"/>
        </w:rPr>
      </w:pPr>
      <w:r>
        <w:rPr>
          <w:rFonts w:hint="eastAsia" w:ascii="宋体" w:hAnsi="宋体"/>
          <w:color w:val="auto"/>
          <w:szCs w:val="21"/>
        </w:rPr>
        <w:t>④</w:t>
      </w:r>
      <w:r>
        <w:rPr>
          <w:rFonts w:ascii="宋体" w:hAnsi="宋体"/>
          <w:color w:val="auto"/>
          <w:szCs w:val="21"/>
        </w:rPr>
        <w:t>总价金额与按单价汇总金额不一致的，以单价金额计算结果为准</w:t>
      </w:r>
      <w:r>
        <w:rPr>
          <w:rFonts w:hint="eastAsia" w:ascii="宋体" w:hAnsi="宋体"/>
          <w:color w:val="auto"/>
          <w:szCs w:val="21"/>
        </w:rPr>
        <w:t>。</w:t>
      </w:r>
    </w:p>
    <w:p w14:paraId="357D4F44">
      <w:pPr>
        <w:spacing w:before="120" w:line="320" w:lineRule="atLeast"/>
        <w:ind w:firstLine="420" w:firstLineChars="200"/>
        <w:rPr>
          <w:rFonts w:ascii="宋体" w:hAnsi="宋体"/>
          <w:color w:val="auto"/>
          <w:szCs w:val="21"/>
        </w:rPr>
      </w:pPr>
      <w:r>
        <w:rPr>
          <w:rFonts w:hint="eastAsia" w:ascii="宋体" w:hAnsi="宋体"/>
          <w:color w:val="auto"/>
          <w:szCs w:val="21"/>
        </w:rPr>
        <w:t>同时出现两种以上不一致的，按照上述①-④顺序修正。修正后的报价按照上述“</w:t>
      </w:r>
      <w:r>
        <w:rPr>
          <w:rFonts w:ascii="宋体" w:hAnsi="宋体"/>
          <w:color w:val="auto"/>
          <w:szCs w:val="21"/>
        </w:rPr>
        <w:t>6.3.3</w:t>
      </w:r>
      <w:r>
        <w:rPr>
          <w:rFonts w:hint="eastAsia" w:ascii="宋体" w:hAnsi="宋体"/>
          <w:color w:val="auto"/>
          <w:szCs w:val="21"/>
        </w:rPr>
        <w:t>澄清、说明或补正”的规定经供应商确认后产生约束力，供应商不确认的，其响应无效。</w:t>
      </w:r>
    </w:p>
    <w:p w14:paraId="2EE59561">
      <w:pPr>
        <w:spacing w:before="120" w:line="320" w:lineRule="atLeas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）经供应商确认修正后的报价若超过采购预算金额或者最高限价，其响应文件作无效响应处理。</w:t>
      </w:r>
    </w:p>
    <w:p w14:paraId="67129933">
      <w:pPr>
        <w:spacing w:before="120" w:line="320" w:lineRule="atLeas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）经供应商确认修正后的报价作为签订合同的依据，并以此报价计算价格分。</w:t>
      </w:r>
    </w:p>
    <w:p w14:paraId="5258A885">
      <w:pPr>
        <w:spacing w:before="120" w:line="320" w:lineRule="atLeas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）如磋商过程中有多轮报价的，磋商小组在每一轮报价均应按上述规则修正报价。</w:t>
      </w:r>
    </w:p>
    <w:p w14:paraId="5E7F82FF">
      <w:pPr>
        <w:spacing w:before="120" w:line="320" w:lineRule="atLeast"/>
        <w:ind w:firstLine="420" w:firstLineChars="200"/>
        <w:rPr>
          <w:rFonts w:ascii="宋体" w:hAnsi="宋体"/>
          <w:color w:val="auto"/>
          <w:szCs w:val="21"/>
        </w:rPr>
      </w:pPr>
      <w:r>
        <w:rPr>
          <w:rFonts w:hint="eastAsia" w:ascii="宋体" w:hAnsi="宋体"/>
          <w:color w:val="auto"/>
          <w:szCs w:val="21"/>
        </w:rPr>
        <w:t>6.3.5异常低价审查</w:t>
      </w:r>
    </w:p>
    <w:p w14:paraId="1565AC64">
      <w:pPr>
        <w:spacing w:before="120" w:line="320" w:lineRule="atLeast"/>
        <w:ind w:firstLine="420" w:firstLineChars="200"/>
        <w:rPr>
          <w:rFonts w:ascii="宋体" w:hAnsi="宋体"/>
          <w:color w:val="auto"/>
          <w:szCs w:val="21"/>
        </w:rPr>
      </w:pPr>
      <w:r>
        <w:rPr>
          <w:rFonts w:ascii="宋体" w:hAnsi="宋体"/>
          <w:color w:val="auto"/>
          <w:szCs w:val="21"/>
        </w:rPr>
        <w:t>本项目</w:t>
      </w:r>
      <w:r>
        <w:rPr>
          <w:rFonts w:hint="eastAsia" w:ascii="宋体" w:hAnsi="宋体"/>
          <w:color w:val="auto"/>
          <w:szCs w:val="21"/>
        </w:rPr>
        <w:t>异常低价审查情形见</w:t>
      </w:r>
      <w:r>
        <w:rPr>
          <w:rFonts w:ascii="宋体" w:hAnsi="宋体"/>
          <w:color w:val="auto"/>
          <w:szCs w:val="21"/>
        </w:rPr>
        <w:t>“</w:t>
      </w:r>
      <w:r>
        <w:rPr>
          <w:rFonts w:hint="eastAsia" w:ascii="宋体" w:hAnsi="宋体"/>
          <w:color w:val="auto"/>
          <w:szCs w:val="21"/>
        </w:rPr>
        <w:t>供应商须知</w:t>
      </w:r>
      <w:r>
        <w:rPr>
          <w:rFonts w:ascii="宋体" w:hAnsi="宋体"/>
          <w:color w:val="auto"/>
          <w:szCs w:val="21"/>
        </w:rPr>
        <w:t>前附表”规定。</w:t>
      </w:r>
    </w:p>
    <w:p w14:paraId="6BFF4C10">
      <w:pPr>
        <w:spacing w:before="120" w:line="320" w:lineRule="atLeast"/>
        <w:ind w:firstLine="420" w:firstLineChars="200"/>
        <w:rPr>
          <w:rFonts w:ascii="宋体" w:hAnsi="宋体"/>
          <w:color w:val="auto"/>
          <w:szCs w:val="21"/>
        </w:rPr>
      </w:pPr>
      <w:r>
        <w:rPr>
          <w:rFonts w:hint="eastAsia" w:ascii="宋体" w:hAnsi="宋体"/>
          <w:color w:val="auto"/>
          <w:szCs w:val="21"/>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spacing w:before="120" w:line="320" w:lineRule="atLeast"/>
        <w:ind w:firstLine="420" w:firstLineChars="200"/>
        <w:rPr>
          <w:rFonts w:ascii="宋体" w:hAnsi="宋体"/>
          <w:strike/>
          <w:color w:val="auto"/>
          <w:szCs w:val="21"/>
        </w:rPr>
      </w:pPr>
      <w:r>
        <w:rPr>
          <w:rFonts w:hint="eastAsia" w:ascii="宋体" w:hAnsi="宋体"/>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D07FE73">
      <w:pPr>
        <w:spacing w:before="120" w:line="320" w:lineRule="atLeast"/>
        <w:ind w:firstLine="420" w:firstLineChars="200"/>
        <w:rPr>
          <w:rFonts w:ascii="宋体" w:hAnsi="宋体"/>
          <w:color w:val="auto"/>
          <w:szCs w:val="21"/>
        </w:rPr>
      </w:pPr>
      <w:r>
        <w:rPr>
          <w:rFonts w:hint="eastAsia" w:ascii="宋体" w:hAnsi="宋体"/>
          <w:color w:val="auto"/>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spacing w:before="120" w:line="320" w:lineRule="atLeast"/>
        <w:ind w:firstLine="420" w:firstLineChars="200"/>
        <w:rPr>
          <w:rFonts w:ascii="宋体" w:hAnsi="宋体"/>
          <w:color w:val="auto"/>
          <w:szCs w:val="21"/>
        </w:rPr>
      </w:pPr>
      <w:r>
        <w:rPr>
          <w:rFonts w:hint="eastAsia" w:ascii="宋体" w:hAnsi="宋体"/>
          <w:color w:val="auto"/>
          <w:szCs w:val="21"/>
        </w:rPr>
        <w:t>异常低价投标审查的启动原因、审查意见和审查结果应当在评审报告中记录，并随供应商提供的相关书面说明及证明材料，以及评审委员会有关互联网浏览、查询历史一并归档。</w:t>
      </w:r>
    </w:p>
    <w:p w14:paraId="1A1F95F7">
      <w:pPr>
        <w:spacing w:before="120" w:line="320" w:lineRule="atLeast"/>
        <w:ind w:firstLine="420" w:firstLineChars="200"/>
        <w:rPr>
          <w:rFonts w:ascii="宋体" w:hAnsi="宋体"/>
          <w:color w:val="auto"/>
          <w:szCs w:val="21"/>
        </w:rPr>
      </w:pPr>
      <w:r>
        <w:rPr>
          <w:rFonts w:hint="eastAsia" w:ascii="宋体" w:hAnsi="宋体"/>
          <w:color w:val="auto"/>
          <w:szCs w:val="21"/>
        </w:rPr>
        <w:t>书面证明应当按照上述“</w:t>
      </w:r>
      <w:r>
        <w:rPr>
          <w:rFonts w:ascii="宋体" w:hAnsi="宋体"/>
          <w:color w:val="auto"/>
          <w:szCs w:val="21"/>
        </w:rPr>
        <w:t>6.3.3</w:t>
      </w:r>
      <w:r>
        <w:rPr>
          <w:rFonts w:hint="eastAsia" w:ascii="宋体" w:hAnsi="宋体"/>
          <w:color w:val="auto"/>
          <w:szCs w:val="21"/>
        </w:rPr>
        <w:t>澄清、说明或补正”的规定提交。</w:t>
      </w:r>
    </w:p>
    <w:p w14:paraId="27224172">
      <w:pPr>
        <w:spacing w:before="120" w:line="320" w:lineRule="atLeast"/>
        <w:ind w:firstLine="420" w:firstLineChars="200"/>
        <w:rPr>
          <w:rFonts w:ascii="宋体" w:hAnsi="宋体"/>
          <w:color w:val="auto"/>
          <w:szCs w:val="21"/>
        </w:rPr>
      </w:pPr>
      <w:r>
        <w:rPr>
          <w:rFonts w:hint="eastAsia" w:ascii="宋体" w:hAnsi="宋体"/>
          <w:color w:val="auto"/>
          <w:szCs w:val="21"/>
        </w:rPr>
        <w:t>6</w:t>
      </w:r>
      <w:r>
        <w:rPr>
          <w:rFonts w:ascii="宋体" w:hAnsi="宋体"/>
          <w:color w:val="auto"/>
          <w:szCs w:val="21"/>
        </w:rPr>
        <w:t>.3.</w:t>
      </w:r>
      <w:r>
        <w:rPr>
          <w:rFonts w:hint="eastAsia" w:ascii="宋体" w:hAnsi="宋体"/>
          <w:color w:val="auto"/>
          <w:szCs w:val="21"/>
        </w:rPr>
        <w:t>6相同品牌认定（仅适用于货物采购项目）</w:t>
      </w:r>
    </w:p>
    <w:p w14:paraId="5DBEB1E5">
      <w:pPr>
        <w:spacing w:before="120" w:line="320" w:lineRule="atLeast"/>
        <w:ind w:firstLine="420" w:firstLineChars="200"/>
        <w:rPr>
          <w:rFonts w:ascii="宋体" w:hAnsi="宋体"/>
          <w:color w:val="auto"/>
          <w:szCs w:val="21"/>
        </w:rPr>
      </w:pPr>
      <w:r>
        <w:rPr>
          <w:rFonts w:hint="eastAsia" w:ascii="宋体" w:hAnsi="宋体"/>
          <w:color w:val="auto"/>
          <w:szCs w:val="21"/>
        </w:rPr>
        <w:t>（1）单一产品采购项目，</w:t>
      </w:r>
      <w:r>
        <w:rPr>
          <w:rFonts w:ascii="宋体" w:hAnsi="宋体"/>
          <w:color w:val="auto"/>
        </w:rPr>
        <w:t>不同供应商提供的产品品牌相同时，</w:t>
      </w:r>
      <w:r>
        <w:rPr>
          <w:rFonts w:hint="eastAsia" w:ascii="宋体" w:hAnsi="宋体"/>
          <w:color w:val="auto"/>
        </w:rPr>
        <w:t>按以下</w:t>
      </w:r>
      <w:r>
        <w:rPr>
          <w:rFonts w:ascii="宋体" w:hAnsi="宋体"/>
          <w:color w:val="auto"/>
        </w:rPr>
        <w:t>规定</w:t>
      </w:r>
      <w:r>
        <w:rPr>
          <w:rFonts w:hint="eastAsia" w:ascii="宋体" w:hAnsi="宋体"/>
          <w:color w:val="auto"/>
        </w:rPr>
        <w:t>确定</w:t>
      </w:r>
      <w:r>
        <w:rPr>
          <w:rFonts w:ascii="宋体" w:hAnsi="宋体"/>
          <w:bCs/>
          <w:color w:val="auto"/>
          <w:kern w:val="0"/>
          <w:szCs w:val="21"/>
        </w:rPr>
        <w:t>相同品牌的响应有效性</w:t>
      </w:r>
      <w:r>
        <w:rPr>
          <w:rFonts w:ascii="宋体" w:hAnsi="宋体"/>
          <w:color w:val="auto"/>
        </w:rPr>
        <w:t>。</w:t>
      </w:r>
    </w:p>
    <w:bookmarkEnd w:id="57"/>
    <w:p w14:paraId="7B6B595F">
      <w:pPr>
        <w:spacing w:before="120" w:line="320" w:lineRule="atLeast"/>
        <w:ind w:firstLine="420" w:firstLineChars="200"/>
        <w:rPr>
          <w:rFonts w:ascii="宋体" w:hAnsi="宋体"/>
          <w:color w:val="auto"/>
          <w:szCs w:val="21"/>
        </w:rPr>
      </w:pPr>
      <w:r>
        <w:rPr>
          <w:rFonts w:hint="eastAsia" w:ascii="宋体" w:hAnsi="宋体"/>
          <w:color w:val="auto"/>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98C4EA7">
      <w:pPr>
        <w:spacing w:before="120" w:line="320" w:lineRule="atLeast"/>
        <w:ind w:firstLine="420" w:firstLineChars="200"/>
        <w:rPr>
          <w:rFonts w:ascii="宋体" w:hAnsi="宋体"/>
          <w:color w:val="auto"/>
          <w:szCs w:val="21"/>
        </w:rPr>
      </w:pPr>
      <w:r>
        <w:rPr>
          <w:rFonts w:hint="eastAsia" w:ascii="宋体" w:hAnsi="宋体"/>
          <w:color w:val="auto"/>
          <w:szCs w:val="21"/>
        </w:rPr>
        <w:t>（2）非单一产品采购项目，</w:t>
      </w:r>
      <w:r>
        <w:rPr>
          <w:rFonts w:ascii="宋体" w:hAnsi="宋体"/>
          <w:color w:val="auto"/>
          <w:szCs w:val="21"/>
        </w:rPr>
        <w:t>采购人应当确定核心产品，并在采购文件中载明。</w:t>
      </w:r>
      <w:r>
        <w:rPr>
          <w:rFonts w:hint="eastAsia" w:ascii="宋体" w:hAnsi="宋体"/>
          <w:color w:val="auto"/>
          <w:szCs w:val="21"/>
        </w:rPr>
        <w:t>不同</w:t>
      </w:r>
      <w:r>
        <w:rPr>
          <w:rFonts w:ascii="宋体" w:hAnsi="宋体"/>
          <w:color w:val="auto"/>
          <w:szCs w:val="21"/>
        </w:rPr>
        <w:t>供应商提供的核心产品品牌相同的，按上述规定处理。核心产品</w:t>
      </w:r>
      <w:r>
        <w:rPr>
          <w:rFonts w:hint="eastAsia" w:ascii="宋体" w:hAnsi="宋体"/>
          <w:color w:val="auto"/>
          <w:szCs w:val="21"/>
        </w:rPr>
        <w:t>在第二章</w:t>
      </w:r>
      <w:r>
        <w:rPr>
          <w:rFonts w:ascii="宋体" w:hAnsi="宋体"/>
          <w:color w:val="auto"/>
          <w:szCs w:val="21"/>
        </w:rPr>
        <w:t>采购需求规定。</w:t>
      </w:r>
    </w:p>
    <w:p w14:paraId="35AAEF70">
      <w:pPr>
        <w:spacing w:before="120" w:line="320" w:lineRule="atLeast"/>
        <w:ind w:firstLine="420" w:firstLineChars="200"/>
        <w:rPr>
          <w:rFonts w:ascii="宋体" w:hAnsi="宋体"/>
          <w:color w:val="auto"/>
        </w:rPr>
      </w:pPr>
      <w:r>
        <w:rPr>
          <w:rFonts w:ascii="宋体" w:hAnsi="宋体"/>
          <w:color w:val="auto"/>
        </w:rPr>
        <w:t>6.3.</w:t>
      </w:r>
      <w:r>
        <w:rPr>
          <w:rFonts w:hint="eastAsia" w:ascii="宋体" w:hAnsi="宋体"/>
          <w:color w:val="auto"/>
        </w:rPr>
        <w:t>7磋商</w:t>
      </w:r>
    </w:p>
    <w:p w14:paraId="27204F00">
      <w:pPr>
        <w:spacing w:before="120" w:line="320" w:lineRule="atLeast"/>
        <w:ind w:firstLine="420" w:firstLineChars="200"/>
        <w:rPr>
          <w:rFonts w:ascii="宋体" w:hAnsi="宋体"/>
          <w:color w:val="auto"/>
        </w:rPr>
      </w:pPr>
      <w:r>
        <w:rPr>
          <w:rFonts w:hint="eastAsia" w:ascii="宋体" w:hAnsi="宋体"/>
          <w:color w:val="auto"/>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C52722">
      <w:pPr>
        <w:spacing w:before="120" w:line="320" w:lineRule="atLeast"/>
        <w:ind w:firstLine="420" w:firstLineChars="200"/>
        <w:rPr>
          <w:rFonts w:ascii="宋体" w:hAnsi="宋体"/>
          <w:color w:val="auto"/>
        </w:rPr>
      </w:pPr>
      <w:r>
        <w:rPr>
          <w:rFonts w:hint="eastAsia" w:ascii="宋体" w:hAnsi="宋体"/>
          <w:color w:val="auto"/>
        </w:rPr>
        <w:t>（2）在磋商过程中，磋商小组可以根据采购文件和磋商情况实质性变动采购需求中的技术、服务要求以及合同草案条款，但不得变动采购文件中的其他内容。实质性变动的内容，须经采购人代表确认。</w:t>
      </w:r>
    </w:p>
    <w:p w14:paraId="26DEFE5B">
      <w:pPr>
        <w:spacing w:before="120" w:line="320" w:lineRule="atLeast"/>
        <w:ind w:firstLine="420" w:firstLineChars="200"/>
        <w:rPr>
          <w:rFonts w:ascii="宋体" w:hAnsi="宋体"/>
          <w:color w:val="auto"/>
        </w:rPr>
      </w:pPr>
      <w:r>
        <w:rPr>
          <w:rFonts w:hint="eastAsia" w:ascii="宋体" w:hAnsi="宋体"/>
          <w:color w:val="auto"/>
        </w:rPr>
        <w:t>对采购文件作出的实质性变动是采购文件的有效组成部分，由磋商小组通过广西政府采购云平台以书面形式同时通知所有参加磋商的供应商。</w:t>
      </w:r>
    </w:p>
    <w:p w14:paraId="3DA463E1">
      <w:pPr>
        <w:spacing w:before="120" w:line="320" w:lineRule="atLeast"/>
        <w:ind w:firstLine="420" w:firstLineChars="200"/>
        <w:rPr>
          <w:rFonts w:ascii="宋体" w:hAnsi="宋体"/>
          <w:color w:val="auto"/>
        </w:rPr>
      </w:pPr>
      <w:r>
        <w:rPr>
          <w:rFonts w:hint="eastAsia" w:ascii="宋体" w:hAnsi="宋体"/>
          <w:color w:val="auto"/>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1D236381">
      <w:pPr>
        <w:spacing w:before="120" w:line="320" w:lineRule="atLeast"/>
        <w:ind w:firstLine="420" w:firstLineChars="200"/>
        <w:rPr>
          <w:rFonts w:ascii="宋体" w:hAnsi="宋体"/>
          <w:color w:val="auto"/>
        </w:rPr>
      </w:pPr>
      <w:r>
        <w:rPr>
          <w:rFonts w:hint="eastAsia" w:ascii="宋体" w:hAnsi="宋体"/>
          <w:color w:val="auto"/>
        </w:rPr>
        <w:t>（4）供应商的法定代表人或其授权代表无须到现场参加磋商，提问及回答/响应均通过广西政府采购云平台进行。磋商过程中使用的电子签章应为供应商上传响应文件的同一签章。</w:t>
      </w:r>
    </w:p>
    <w:p w14:paraId="4060133C">
      <w:pPr>
        <w:spacing w:before="120" w:line="320" w:lineRule="atLeast"/>
        <w:ind w:firstLine="420" w:firstLineChars="200"/>
        <w:rPr>
          <w:rFonts w:ascii="宋体" w:hAnsi="宋体"/>
          <w:color w:val="auto"/>
        </w:rPr>
      </w:pPr>
      <w:r>
        <w:rPr>
          <w:rFonts w:hint="eastAsia" w:ascii="宋体" w:hAnsi="宋体"/>
          <w:color w:val="auto"/>
        </w:rPr>
        <w:t>6</w:t>
      </w:r>
      <w:r>
        <w:rPr>
          <w:rFonts w:ascii="宋体" w:hAnsi="宋体"/>
          <w:color w:val="auto"/>
        </w:rPr>
        <w:t>.3.</w:t>
      </w:r>
      <w:r>
        <w:rPr>
          <w:rFonts w:hint="eastAsia" w:ascii="宋体" w:hAnsi="宋体"/>
          <w:color w:val="auto"/>
        </w:rPr>
        <w:t>8最后报价</w:t>
      </w:r>
    </w:p>
    <w:p w14:paraId="4F9E48F2">
      <w:pPr>
        <w:spacing w:before="120" w:line="320" w:lineRule="atLeast"/>
        <w:ind w:firstLine="420" w:firstLineChars="200"/>
        <w:rPr>
          <w:rFonts w:ascii="宋体" w:hAnsi="宋体"/>
          <w:color w:val="auto"/>
        </w:rPr>
      </w:pPr>
      <w:r>
        <w:rPr>
          <w:rFonts w:hint="eastAsia" w:ascii="宋体" w:hAnsi="宋体"/>
          <w:color w:val="auto"/>
        </w:rPr>
        <w:t xml:space="preserve">（1）采购文件能够详细列明采购标的的技术、服务要求的，磋商结束后，磋商小组应当要求所有实质性响应的供应商在规定时间内提交最后报价，提交最后报价的供应商不得少于3家。 </w:t>
      </w:r>
    </w:p>
    <w:p w14:paraId="790D240F">
      <w:pPr>
        <w:spacing w:before="120" w:line="320" w:lineRule="atLeast"/>
        <w:ind w:firstLine="420" w:firstLineChars="200"/>
        <w:rPr>
          <w:rFonts w:ascii="宋体" w:hAnsi="宋体"/>
          <w:color w:val="auto"/>
        </w:rPr>
      </w:pPr>
      <w:r>
        <w:rPr>
          <w:rFonts w:hint="eastAsia" w:ascii="宋体" w:hAnsi="宋体"/>
          <w:color w:val="auto"/>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20BA24B">
      <w:pPr>
        <w:spacing w:before="120" w:line="320" w:lineRule="atLeast"/>
        <w:ind w:firstLine="420" w:firstLineChars="200"/>
        <w:rPr>
          <w:rFonts w:ascii="宋体" w:hAnsi="宋体"/>
          <w:color w:val="auto"/>
        </w:rPr>
      </w:pPr>
      <w:r>
        <w:rPr>
          <w:rFonts w:hint="eastAsia" w:ascii="宋体" w:hAnsi="宋体"/>
          <w:color w:val="auto"/>
        </w:rPr>
        <w:t>最后报价是供应商响应文件的有效组成部分。</w:t>
      </w:r>
    </w:p>
    <w:p w14:paraId="2937C997">
      <w:pPr>
        <w:spacing w:before="120" w:line="320" w:lineRule="atLeast"/>
        <w:ind w:firstLine="420" w:firstLineChars="200"/>
        <w:rPr>
          <w:rFonts w:ascii="宋体" w:hAnsi="宋体"/>
          <w:color w:val="auto"/>
        </w:rPr>
      </w:pPr>
      <w:r>
        <w:rPr>
          <w:rFonts w:hint="eastAsia" w:ascii="宋体" w:hAnsi="宋体"/>
          <w:color w:val="auto"/>
        </w:rPr>
        <w:t>（2）如符合“市场竞争不充分的科研项目、需要扶持的科技成果转化项目、政府购买服务项目（含政府和社会资本合作项目）的，提交最后报价的供应商可以为2家。</w:t>
      </w:r>
    </w:p>
    <w:p w14:paraId="0173AED0">
      <w:pPr>
        <w:spacing w:before="120" w:line="320" w:lineRule="atLeast"/>
        <w:ind w:firstLine="420" w:firstLineChars="200"/>
        <w:rPr>
          <w:rFonts w:ascii="宋体" w:hAnsi="宋体"/>
          <w:color w:val="auto"/>
        </w:rPr>
      </w:pPr>
      <w:r>
        <w:rPr>
          <w:rFonts w:hint="eastAsia" w:ascii="宋体" w:hAnsi="宋体"/>
          <w:color w:val="auto"/>
        </w:rPr>
        <w:t>（3）最后报价要求通过广西政府采购云平台发出，供应商需在广西政府采购云平台设置的时间内报价，最后报价不得超过采购预算金额且具有唯一性，否则否决其响应。</w:t>
      </w:r>
    </w:p>
    <w:p w14:paraId="677EB522">
      <w:pPr>
        <w:spacing w:before="120" w:line="320" w:lineRule="atLeast"/>
        <w:ind w:firstLine="420" w:firstLineChars="200"/>
        <w:rPr>
          <w:rFonts w:ascii="宋体" w:hAnsi="宋体"/>
          <w:color w:val="auto"/>
        </w:rPr>
      </w:pPr>
      <w:r>
        <w:rPr>
          <w:rFonts w:hint="eastAsia" w:ascii="宋体" w:hAnsi="宋体"/>
          <w:color w:val="auto"/>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3D96FE4E">
      <w:pPr>
        <w:spacing w:before="120" w:line="320" w:lineRule="atLeast"/>
        <w:ind w:firstLine="420" w:firstLineChars="200"/>
        <w:rPr>
          <w:rFonts w:ascii="宋体" w:hAnsi="宋体"/>
          <w:color w:val="auto"/>
        </w:rPr>
      </w:pPr>
      <w:r>
        <w:rPr>
          <w:rFonts w:hint="eastAsia" w:ascii="宋体" w:hAnsi="宋体"/>
          <w:color w:val="auto"/>
        </w:rPr>
        <w:t>（5）供应商未在规定时间内提交最后报价的，视同退出磋商。</w:t>
      </w:r>
    </w:p>
    <w:p w14:paraId="00E6FE0C">
      <w:pPr>
        <w:spacing w:before="120" w:line="320" w:lineRule="atLeast"/>
        <w:ind w:firstLine="420" w:firstLineChars="200"/>
        <w:rPr>
          <w:rFonts w:ascii="宋体" w:hAnsi="宋体"/>
          <w:color w:val="auto"/>
        </w:rPr>
      </w:pPr>
      <w:r>
        <w:rPr>
          <w:rFonts w:hint="eastAsia" w:ascii="宋体" w:hAnsi="宋体"/>
          <w:color w:val="auto"/>
        </w:rPr>
        <w:t>（6）最后报价结束后，磋商小组不得再与供应商进行任何形式的商谈。</w:t>
      </w:r>
    </w:p>
    <w:p w14:paraId="252C606F">
      <w:pPr>
        <w:spacing w:before="120" w:line="320" w:lineRule="atLeast"/>
        <w:ind w:firstLine="420" w:firstLineChars="200"/>
        <w:rPr>
          <w:rFonts w:ascii="宋体" w:hAnsi="宋体"/>
          <w:color w:val="auto"/>
          <w:szCs w:val="21"/>
        </w:rPr>
      </w:pPr>
      <w:r>
        <w:rPr>
          <w:rFonts w:ascii="宋体" w:hAnsi="宋体"/>
          <w:color w:val="auto"/>
          <w:szCs w:val="21"/>
        </w:rPr>
        <w:t>6.3.</w:t>
      </w:r>
      <w:r>
        <w:rPr>
          <w:rFonts w:hint="eastAsia" w:ascii="宋体" w:hAnsi="宋体"/>
          <w:color w:val="auto"/>
          <w:szCs w:val="21"/>
        </w:rPr>
        <w:t>9</w:t>
      </w:r>
      <w:r>
        <w:rPr>
          <w:rFonts w:ascii="宋体" w:hAnsi="宋体"/>
          <w:color w:val="auto"/>
          <w:szCs w:val="21"/>
        </w:rPr>
        <w:t>串通投标认定</w:t>
      </w:r>
    </w:p>
    <w:p w14:paraId="2990BDC6">
      <w:pPr>
        <w:spacing w:before="120" w:line="320" w:lineRule="atLeast"/>
        <w:ind w:firstLine="420" w:firstLineChars="200"/>
        <w:rPr>
          <w:rFonts w:ascii="宋体" w:hAnsi="宋体"/>
          <w:color w:val="auto"/>
        </w:rPr>
      </w:pPr>
      <w:r>
        <w:rPr>
          <w:rFonts w:ascii="宋体" w:hAnsi="宋体"/>
          <w:color w:val="auto"/>
          <w:szCs w:val="21"/>
        </w:rPr>
        <w:t>磋商小组须根据</w:t>
      </w:r>
      <w:r>
        <w:rPr>
          <w:rFonts w:hint="eastAsia" w:ascii="宋体" w:hAnsi="宋体"/>
          <w:color w:val="auto"/>
          <w:szCs w:val="21"/>
        </w:rPr>
        <w:t>以下</w:t>
      </w:r>
      <w:r>
        <w:rPr>
          <w:rFonts w:ascii="宋体" w:hAnsi="宋体"/>
          <w:color w:val="auto"/>
          <w:szCs w:val="21"/>
        </w:rPr>
        <w:t>规定</w:t>
      </w:r>
      <w:r>
        <w:rPr>
          <w:rFonts w:hint="eastAsia" w:ascii="宋体" w:hAnsi="宋体"/>
          <w:color w:val="auto"/>
          <w:szCs w:val="21"/>
        </w:rPr>
        <w:t>认定</w:t>
      </w:r>
      <w:r>
        <w:rPr>
          <w:rFonts w:ascii="宋体" w:hAnsi="宋体"/>
          <w:color w:val="auto"/>
          <w:szCs w:val="21"/>
        </w:rPr>
        <w:t>供应商是否有</w:t>
      </w:r>
      <w:r>
        <w:rPr>
          <w:rFonts w:ascii="宋体" w:hAnsi="宋体"/>
          <w:bCs/>
          <w:color w:val="auto"/>
          <w:kern w:val="0"/>
          <w:szCs w:val="21"/>
        </w:rPr>
        <w:t>串通投标的行为</w:t>
      </w:r>
      <w:r>
        <w:rPr>
          <w:rFonts w:ascii="宋体" w:hAnsi="宋体"/>
          <w:color w:val="auto"/>
        </w:rPr>
        <w:t>。</w:t>
      </w:r>
    </w:p>
    <w:p w14:paraId="47A8A8A9">
      <w:pPr>
        <w:spacing w:before="120" w:line="320" w:lineRule="atLeast"/>
        <w:ind w:firstLine="420" w:firstLineChars="200"/>
        <w:rPr>
          <w:rFonts w:ascii="宋体" w:hAnsi="宋体"/>
          <w:color w:val="auto"/>
          <w:szCs w:val="21"/>
        </w:rPr>
      </w:pPr>
      <w:bookmarkStart w:id="58" w:name="_Hlk19122026"/>
      <w:r>
        <w:rPr>
          <w:rFonts w:hint="eastAsia" w:ascii="宋体" w:hAnsi="宋体"/>
          <w:color w:val="auto"/>
          <w:szCs w:val="21"/>
        </w:rPr>
        <w:t>（1）</w:t>
      </w:r>
      <w:bookmarkEnd w:id="58"/>
      <w:r>
        <w:rPr>
          <w:rFonts w:ascii="宋体" w:hAnsi="宋体"/>
          <w:color w:val="auto"/>
          <w:szCs w:val="21"/>
        </w:rPr>
        <w:t>根据《关于防治政府采购招标中串通投标行为的通知》</w:t>
      </w:r>
      <w:r>
        <w:rPr>
          <w:rFonts w:hint="eastAsia" w:ascii="宋体" w:hAnsi="宋体"/>
          <w:color w:val="auto"/>
          <w:szCs w:val="21"/>
        </w:rPr>
        <w:t>（</w:t>
      </w:r>
      <w:r>
        <w:rPr>
          <w:rFonts w:ascii="宋体" w:hAnsi="宋体"/>
          <w:color w:val="auto"/>
          <w:szCs w:val="21"/>
        </w:rPr>
        <w:t>桂财采</w:t>
      </w:r>
      <w:r>
        <w:rPr>
          <w:rFonts w:hint="eastAsia" w:ascii="宋体" w:hAnsi="宋体"/>
          <w:color w:val="auto"/>
          <w:szCs w:val="21"/>
        </w:rPr>
        <w:t>〔2016〕42号）</w:t>
      </w:r>
      <w:r>
        <w:rPr>
          <w:rFonts w:ascii="宋体" w:hAnsi="宋体"/>
          <w:color w:val="auto"/>
          <w:szCs w:val="21"/>
        </w:rPr>
        <w:t>规定，出现下述情况的，相关供应商的投标作无效投标处理。</w:t>
      </w:r>
    </w:p>
    <w:p w14:paraId="76DB5ADD">
      <w:pPr>
        <w:spacing w:before="120" w:line="320" w:lineRule="atLeast"/>
        <w:ind w:firstLine="420" w:firstLineChars="200"/>
        <w:rPr>
          <w:rFonts w:ascii="宋体" w:hAnsi="宋体"/>
          <w:color w:val="auto"/>
          <w:szCs w:val="21"/>
        </w:rPr>
      </w:pPr>
      <w:bookmarkStart w:id="59" w:name="_Hlk19122039"/>
      <w:r>
        <w:rPr>
          <w:rFonts w:hint="eastAsia" w:ascii="宋体" w:hAnsi="宋体" w:cs="宋体"/>
          <w:color w:val="auto"/>
          <w:szCs w:val="21"/>
        </w:rPr>
        <w:t>①</w:t>
      </w:r>
      <w:r>
        <w:rPr>
          <w:rFonts w:ascii="宋体" w:hAnsi="宋体"/>
          <w:color w:val="auto"/>
          <w:szCs w:val="21"/>
        </w:rPr>
        <w:t>单位负责人为同一人或者存在直接控股、管理关系，参加同一合同项下政府采购活动的不同供应商。</w:t>
      </w:r>
    </w:p>
    <w:p w14:paraId="1A2E93E9">
      <w:pPr>
        <w:spacing w:before="120" w:line="320" w:lineRule="atLeast"/>
        <w:ind w:firstLine="420" w:firstLineChars="200"/>
        <w:rPr>
          <w:rFonts w:ascii="宋体" w:hAnsi="宋体"/>
          <w:color w:val="auto"/>
          <w:szCs w:val="21"/>
        </w:rPr>
      </w:pPr>
      <w:r>
        <w:rPr>
          <w:rFonts w:hint="eastAsia" w:ascii="宋体" w:hAnsi="宋体"/>
          <w:color w:val="auto"/>
          <w:szCs w:val="21"/>
        </w:rPr>
        <w:t>②</w:t>
      </w:r>
      <w:r>
        <w:rPr>
          <w:rFonts w:ascii="宋体" w:hAnsi="宋体"/>
          <w:color w:val="auto"/>
          <w:szCs w:val="21"/>
        </w:rPr>
        <w:t>授权给供应商后参加同一合同项（分标、分包）投标的生产厂商。</w:t>
      </w:r>
    </w:p>
    <w:p w14:paraId="3E233425">
      <w:pPr>
        <w:spacing w:before="120" w:line="320" w:lineRule="atLeast"/>
        <w:ind w:firstLine="420" w:firstLineChars="200"/>
        <w:rPr>
          <w:rFonts w:ascii="宋体" w:hAnsi="宋体"/>
          <w:color w:val="auto"/>
          <w:szCs w:val="21"/>
        </w:rPr>
      </w:pPr>
      <w:r>
        <w:rPr>
          <w:rFonts w:hint="eastAsia" w:ascii="宋体" w:hAnsi="宋体"/>
          <w:color w:val="auto"/>
          <w:szCs w:val="21"/>
        </w:rPr>
        <w:t>③</w:t>
      </w:r>
      <w:r>
        <w:rPr>
          <w:rFonts w:ascii="宋体" w:hAnsi="宋体"/>
          <w:color w:val="auto"/>
          <w:szCs w:val="21"/>
        </w:rPr>
        <w:t>视为或被认定为串通投标的相关供应商。</w:t>
      </w:r>
    </w:p>
    <w:bookmarkEnd w:id="59"/>
    <w:p w14:paraId="432C751F">
      <w:pPr>
        <w:spacing w:before="120" w:line="320" w:lineRule="atLeast"/>
        <w:ind w:firstLine="420" w:firstLineChars="200"/>
        <w:rPr>
          <w:rFonts w:ascii="宋体" w:hAnsi="宋体"/>
          <w:color w:val="auto"/>
          <w:szCs w:val="21"/>
        </w:rPr>
      </w:pPr>
      <w:bookmarkStart w:id="60" w:name="_Hlk19122058"/>
      <w:r>
        <w:rPr>
          <w:rFonts w:hint="eastAsia" w:ascii="宋体" w:hAnsi="宋体"/>
          <w:color w:val="auto"/>
          <w:szCs w:val="21"/>
        </w:rPr>
        <w:t>（2）</w:t>
      </w:r>
      <w:bookmarkEnd w:id="60"/>
      <w:r>
        <w:rPr>
          <w:rFonts w:ascii="宋体" w:hAnsi="宋体"/>
          <w:color w:val="auto"/>
          <w:szCs w:val="21"/>
        </w:rPr>
        <w:t>根据《关于防治政府采购招标中串通投标行为的通知》</w:t>
      </w:r>
      <w:r>
        <w:rPr>
          <w:rFonts w:hint="eastAsia" w:ascii="宋体" w:hAnsi="宋体"/>
          <w:color w:val="auto"/>
          <w:szCs w:val="21"/>
        </w:rPr>
        <w:t>（</w:t>
      </w:r>
      <w:r>
        <w:rPr>
          <w:rFonts w:ascii="宋体" w:hAnsi="宋体"/>
          <w:color w:val="auto"/>
          <w:szCs w:val="21"/>
        </w:rPr>
        <w:t>桂财采</w:t>
      </w:r>
      <w:r>
        <w:rPr>
          <w:rFonts w:hint="eastAsia" w:ascii="宋体" w:hAnsi="宋体"/>
          <w:color w:val="auto"/>
          <w:szCs w:val="21"/>
        </w:rPr>
        <w:t>〔2016〕42号）</w:t>
      </w:r>
      <w:r>
        <w:rPr>
          <w:rFonts w:ascii="宋体" w:hAnsi="宋体"/>
          <w:color w:val="auto"/>
          <w:szCs w:val="21"/>
        </w:rPr>
        <w:t>规定，有下列情形之一的视为供应商相互串通投标，响应文件将被视为无效。</w:t>
      </w:r>
    </w:p>
    <w:p w14:paraId="7D21FA2E">
      <w:pPr>
        <w:spacing w:before="120" w:line="320" w:lineRule="atLeast"/>
        <w:ind w:firstLine="420" w:firstLineChars="200"/>
        <w:rPr>
          <w:rFonts w:ascii="宋体" w:hAnsi="宋体"/>
          <w:color w:val="auto"/>
          <w:szCs w:val="21"/>
        </w:rPr>
      </w:pPr>
      <w:bookmarkStart w:id="61" w:name="_Hlk19122048"/>
      <w:r>
        <w:rPr>
          <w:rFonts w:hint="eastAsia" w:ascii="宋体" w:hAnsi="宋体" w:cs="宋体"/>
          <w:color w:val="auto"/>
          <w:szCs w:val="21"/>
        </w:rPr>
        <w:t>①</w:t>
      </w:r>
      <w:r>
        <w:rPr>
          <w:rFonts w:ascii="宋体" w:hAnsi="宋体"/>
          <w:color w:val="auto"/>
          <w:szCs w:val="21"/>
        </w:rPr>
        <w:t>不同供应商的响应文件由同一单位或者个人编制；或不同供应商报名的IP地址一致的；</w:t>
      </w:r>
    </w:p>
    <w:p w14:paraId="1FE11733">
      <w:pPr>
        <w:spacing w:before="120" w:line="320" w:lineRule="atLeast"/>
        <w:ind w:firstLine="420" w:firstLineChars="200"/>
        <w:rPr>
          <w:rFonts w:ascii="宋体" w:hAnsi="宋体"/>
          <w:color w:val="auto"/>
          <w:szCs w:val="21"/>
        </w:rPr>
      </w:pPr>
      <w:r>
        <w:rPr>
          <w:rFonts w:hint="eastAsia" w:ascii="宋体" w:hAnsi="宋体"/>
          <w:color w:val="auto"/>
          <w:szCs w:val="21"/>
        </w:rPr>
        <w:t>②</w:t>
      </w:r>
      <w:r>
        <w:rPr>
          <w:rFonts w:ascii="宋体" w:hAnsi="宋体"/>
          <w:color w:val="auto"/>
          <w:szCs w:val="21"/>
        </w:rPr>
        <w:t>不同供应商委托同一单位或者个人办理投标事宜；</w:t>
      </w:r>
    </w:p>
    <w:p w14:paraId="50549E99">
      <w:pPr>
        <w:spacing w:before="120" w:line="320" w:lineRule="atLeast"/>
        <w:ind w:firstLine="420" w:firstLineChars="200"/>
        <w:rPr>
          <w:rFonts w:ascii="宋体" w:hAnsi="宋体"/>
          <w:color w:val="auto"/>
          <w:szCs w:val="21"/>
        </w:rPr>
      </w:pPr>
      <w:r>
        <w:rPr>
          <w:rFonts w:hint="eastAsia" w:ascii="宋体" w:hAnsi="宋体"/>
          <w:color w:val="auto"/>
          <w:szCs w:val="21"/>
        </w:rPr>
        <w:t>③</w:t>
      </w:r>
      <w:r>
        <w:rPr>
          <w:rFonts w:ascii="宋体" w:hAnsi="宋体"/>
          <w:color w:val="auto"/>
          <w:szCs w:val="21"/>
        </w:rPr>
        <w:t>不同的供应商的响应文件载明的项目管理员为同一个人；</w:t>
      </w:r>
    </w:p>
    <w:p w14:paraId="5A7D5FA0">
      <w:pPr>
        <w:spacing w:before="120" w:line="320" w:lineRule="atLeast"/>
        <w:ind w:firstLine="420" w:firstLineChars="200"/>
        <w:rPr>
          <w:rFonts w:ascii="宋体" w:hAnsi="宋体"/>
          <w:color w:val="auto"/>
          <w:szCs w:val="21"/>
        </w:rPr>
      </w:pPr>
      <w:r>
        <w:rPr>
          <w:rFonts w:hint="eastAsia" w:ascii="宋体" w:hAnsi="宋体"/>
          <w:color w:val="auto"/>
          <w:szCs w:val="21"/>
        </w:rPr>
        <w:t>④</w:t>
      </w:r>
      <w:r>
        <w:rPr>
          <w:rFonts w:ascii="宋体" w:hAnsi="宋体"/>
          <w:color w:val="auto"/>
          <w:szCs w:val="21"/>
        </w:rPr>
        <w:t>不同供应商的响应文件异常一致或投标报价呈规律性差异；</w:t>
      </w:r>
    </w:p>
    <w:p w14:paraId="0F6749C6">
      <w:pPr>
        <w:spacing w:before="120" w:line="320" w:lineRule="atLeast"/>
        <w:ind w:firstLine="420" w:firstLineChars="200"/>
        <w:rPr>
          <w:rFonts w:ascii="宋体" w:hAnsi="宋体"/>
          <w:color w:val="auto"/>
          <w:szCs w:val="21"/>
        </w:rPr>
      </w:pPr>
      <w:r>
        <w:rPr>
          <w:rFonts w:hint="eastAsia" w:ascii="宋体" w:hAnsi="宋体"/>
          <w:color w:val="auto"/>
          <w:szCs w:val="21"/>
        </w:rPr>
        <w:t>⑤</w:t>
      </w:r>
      <w:r>
        <w:rPr>
          <w:rFonts w:ascii="宋体" w:hAnsi="宋体"/>
          <w:color w:val="auto"/>
          <w:szCs w:val="21"/>
        </w:rPr>
        <w:t>不同供应商的响应文件相互混装；</w:t>
      </w:r>
    </w:p>
    <w:p w14:paraId="02935C70">
      <w:pPr>
        <w:spacing w:before="120" w:line="320" w:lineRule="atLeast"/>
        <w:ind w:firstLine="420" w:firstLineChars="200"/>
        <w:rPr>
          <w:rFonts w:ascii="宋体" w:hAnsi="宋体"/>
          <w:color w:val="auto"/>
          <w:szCs w:val="21"/>
        </w:rPr>
      </w:pPr>
      <w:r>
        <w:rPr>
          <w:rFonts w:hint="eastAsia" w:ascii="宋体" w:hAnsi="宋体"/>
          <w:color w:val="auto"/>
          <w:szCs w:val="21"/>
        </w:rPr>
        <w:t>⑥</w:t>
      </w:r>
      <w:r>
        <w:rPr>
          <w:rFonts w:ascii="宋体" w:hAnsi="宋体"/>
          <w:color w:val="auto"/>
          <w:szCs w:val="21"/>
        </w:rPr>
        <w:t>不同供应商的保证金从同一单位或者个人账户转出。</w:t>
      </w:r>
    </w:p>
    <w:bookmarkEnd w:id="61"/>
    <w:p w14:paraId="16632645">
      <w:pPr>
        <w:spacing w:before="120" w:line="320" w:lineRule="atLeast"/>
        <w:ind w:firstLine="420" w:firstLineChars="200"/>
        <w:rPr>
          <w:rFonts w:ascii="宋体" w:hAnsi="宋体"/>
          <w:color w:val="auto"/>
          <w:szCs w:val="21"/>
        </w:rPr>
      </w:pPr>
      <w:bookmarkStart w:id="62" w:name="_Hlk19122102"/>
      <w:r>
        <w:rPr>
          <w:rFonts w:hint="eastAsia" w:ascii="宋体" w:hAnsi="宋体"/>
          <w:color w:val="auto"/>
          <w:szCs w:val="21"/>
        </w:rPr>
        <w:t>（3）</w:t>
      </w:r>
      <w:bookmarkEnd w:id="62"/>
      <w:r>
        <w:rPr>
          <w:rFonts w:ascii="宋体" w:hAnsi="宋体"/>
          <w:color w:val="auto"/>
          <w:szCs w:val="21"/>
        </w:rPr>
        <w:t>根据《关于防治政府采购招标中串通投标行为的通知》</w:t>
      </w:r>
      <w:r>
        <w:rPr>
          <w:rFonts w:hint="eastAsia" w:ascii="宋体" w:hAnsi="宋体"/>
          <w:color w:val="auto"/>
          <w:szCs w:val="21"/>
        </w:rPr>
        <w:t>（</w:t>
      </w:r>
      <w:r>
        <w:rPr>
          <w:rFonts w:ascii="宋体" w:hAnsi="宋体"/>
          <w:color w:val="auto"/>
          <w:szCs w:val="21"/>
        </w:rPr>
        <w:t>桂财采</w:t>
      </w:r>
      <w:r>
        <w:rPr>
          <w:rFonts w:hint="eastAsia" w:ascii="宋体" w:hAnsi="宋体"/>
          <w:color w:val="auto"/>
          <w:szCs w:val="21"/>
        </w:rPr>
        <w:t>〔2016〕42号）</w:t>
      </w:r>
      <w:r>
        <w:rPr>
          <w:rFonts w:ascii="宋体" w:hAnsi="宋体"/>
          <w:color w:val="auto"/>
          <w:szCs w:val="21"/>
        </w:rPr>
        <w:t>规定，供应商有下列情形之一的，属于恶意串通行为，响应文件将被视为无效。</w:t>
      </w:r>
    </w:p>
    <w:p w14:paraId="44684C9B">
      <w:pPr>
        <w:spacing w:before="120" w:line="320" w:lineRule="atLeast"/>
        <w:ind w:firstLine="420" w:firstLineChars="200"/>
        <w:rPr>
          <w:rFonts w:ascii="宋体" w:hAnsi="宋体"/>
          <w:color w:val="auto"/>
          <w:szCs w:val="21"/>
        </w:rPr>
      </w:pPr>
      <w:bookmarkStart w:id="63" w:name="_Hlk19122095"/>
      <w:r>
        <w:rPr>
          <w:rFonts w:hint="eastAsia" w:ascii="宋体" w:hAnsi="宋体"/>
          <w:color w:val="auto"/>
          <w:szCs w:val="21"/>
        </w:rPr>
        <w:t>①</w:t>
      </w:r>
      <w:r>
        <w:rPr>
          <w:rFonts w:ascii="宋体" w:hAnsi="宋体"/>
          <w:color w:val="auto"/>
          <w:szCs w:val="21"/>
        </w:rPr>
        <w:t>供应商直接或者间接从采购人或者采购代理机构处获得其他供应商的相关信息并修改其响应文件或者响应文件；</w:t>
      </w:r>
    </w:p>
    <w:p w14:paraId="02CE141D">
      <w:pPr>
        <w:spacing w:before="120" w:line="320" w:lineRule="atLeast"/>
        <w:ind w:firstLine="420" w:firstLineChars="200"/>
        <w:rPr>
          <w:rFonts w:ascii="宋体" w:hAnsi="宋体"/>
          <w:color w:val="auto"/>
          <w:szCs w:val="21"/>
        </w:rPr>
      </w:pPr>
      <w:r>
        <w:rPr>
          <w:rFonts w:hint="eastAsia" w:ascii="宋体" w:hAnsi="宋体"/>
          <w:color w:val="auto"/>
          <w:szCs w:val="21"/>
        </w:rPr>
        <w:t>②</w:t>
      </w:r>
      <w:r>
        <w:rPr>
          <w:rFonts w:ascii="宋体" w:hAnsi="宋体"/>
          <w:color w:val="auto"/>
          <w:szCs w:val="21"/>
        </w:rPr>
        <w:t>供应商按照采购人或者采购代理机构的授意撤换、修改响应文件或者响应文件</w:t>
      </w:r>
      <w:r>
        <w:rPr>
          <w:rFonts w:hint="eastAsia" w:ascii="宋体" w:hAnsi="宋体"/>
          <w:color w:val="auto"/>
          <w:szCs w:val="21"/>
        </w:rPr>
        <w:t>;</w:t>
      </w:r>
    </w:p>
    <w:p w14:paraId="2DBE63A3">
      <w:pPr>
        <w:spacing w:before="120" w:line="320" w:lineRule="atLeast"/>
        <w:ind w:firstLine="420" w:firstLineChars="200"/>
        <w:rPr>
          <w:rFonts w:ascii="宋体" w:hAnsi="宋体"/>
          <w:color w:val="auto"/>
          <w:szCs w:val="21"/>
        </w:rPr>
      </w:pPr>
      <w:r>
        <w:rPr>
          <w:rFonts w:hint="eastAsia" w:ascii="宋体" w:hAnsi="宋体"/>
          <w:color w:val="auto"/>
          <w:szCs w:val="21"/>
        </w:rPr>
        <w:t>③</w:t>
      </w:r>
      <w:r>
        <w:rPr>
          <w:rFonts w:ascii="宋体" w:hAnsi="宋体"/>
          <w:color w:val="auto"/>
          <w:szCs w:val="21"/>
        </w:rPr>
        <w:t>供应商之间协商报价、技术方案等响应文件或者响应文件的实质性内容；</w:t>
      </w:r>
    </w:p>
    <w:p w14:paraId="1943CB7E">
      <w:pPr>
        <w:spacing w:before="120" w:line="320" w:lineRule="atLeast"/>
        <w:ind w:firstLine="420" w:firstLineChars="200"/>
        <w:rPr>
          <w:rFonts w:ascii="宋体" w:hAnsi="宋体"/>
          <w:color w:val="auto"/>
          <w:szCs w:val="21"/>
        </w:rPr>
      </w:pPr>
      <w:r>
        <w:rPr>
          <w:rFonts w:hint="eastAsia" w:ascii="宋体" w:hAnsi="宋体"/>
          <w:color w:val="auto"/>
          <w:szCs w:val="21"/>
        </w:rPr>
        <w:t>④</w:t>
      </w:r>
      <w:r>
        <w:rPr>
          <w:rFonts w:ascii="宋体" w:hAnsi="宋体"/>
          <w:color w:val="auto"/>
          <w:szCs w:val="21"/>
        </w:rPr>
        <w:t>属于同一集团、协会、商会等组织成员的供应商按照该组织要求协同参加政府采购活动；</w:t>
      </w:r>
    </w:p>
    <w:p w14:paraId="1DD70255">
      <w:pPr>
        <w:spacing w:before="120" w:line="320" w:lineRule="atLeast"/>
        <w:ind w:firstLine="420" w:firstLineChars="200"/>
        <w:rPr>
          <w:rFonts w:ascii="宋体" w:hAnsi="宋体"/>
          <w:color w:val="auto"/>
          <w:szCs w:val="21"/>
        </w:rPr>
      </w:pPr>
      <w:r>
        <w:rPr>
          <w:rFonts w:hint="eastAsia" w:ascii="宋体" w:hAnsi="宋体"/>
          <w:color w:val="auto"/>
          <w:szCs w:val="21"/>
        </w:rPr>
        <w:t>⑤</w:t>
      </w:r>
      <w:r>
        <w:rPr>
          <w:rFonts w:ascii="宋体" w:hAnsi="宋体"/>
          <w:color w:val="auto"/>
          <w:szCs w:val="21"/>
        </w:rPr>
        <w:t>供应商之间事先约定一致抬高或者压低投标报价，或者在招标项目中事先约定轮流以高价位或者低价位中标，或者事先约定由某一特定供应商中标，然后再参加投标；</w:t>
      </w:r>
    </w:p>
    <w:p w14:paraId="30ABB20C">
      <w:pPr>
        <w:spacing w:before="120" w:line="320" w:lineRule="atLeast"/>
        <w:ind w:firstLine="420" w:firstLineChars="200"/>
        <w:rPr>
          <w:rFonts w:ascii="宋体" w:hAnsi="宋体"/>
          <w:color w:val="auto"/>
          <w:szCs w:val="21"/>
        </w:rPr>
      </w:pPr>
      <w:r>
        <w:rPr>
          <w:rFonts w:hint="eastAsia" w:ascii="宋体" w:hAnsi="宋体"/>
          <w:color w:val="auto"/>
          <w:szCs w:val="21"/>
        </w:rPr>
        <w:t>⑥</w:t>
      </w:r>
      <w:r>
        <w:rPr>
          <w:rFonts w:ascii="宋体" w:hAnsi="宋体"/>
          <w:color w:val="auto"/>
          <w:szCs w:val="21"/>
        </w:rPr>
        <w:t>供应商之间商定部分供应商放弃参加政府采购活动或者放弃中标；</w:t>
      </w:r>
    </w:p>
    <w:p w14:paraId="3D1A3C46">
      <w:pPr>
        <w:spacing w:before="120" w:line="320" w:lineRule="atLeast"/>
        <w:ind w:firstLine="420" w:firstLineChars="200"/>
        <w:rPr>
          <w:rFonts w:ascii="宋体" w:hAnsi="宋体"/>
          <w:color w:val="auto"/>
          <w:szCs w:val="21"/>
        </w:rPr>
      </w:pPr>
      <w:r>
        <w:rPr>
          <w:rFonts w:hint="eastAsia" w:ascii="宋体" w:hAnsi="宋体"/>
          <w:color w:val="auto"/>
          <w:szCs w:val="21"/>
        </w:rPr>
        <w:t>⑦</w:t>
      </w:r>
      <w:r>
        <w:rPr>
          <w:rFonts w:ascii="宋体" w:hAnsi="宋体"/>
          <w:color w:val="auto"/>
          <w:szCs w:val="21"/>
        </w:rPr>
        <w:t>供应商与采购人或者采购代理机构之间、供应商相互之间，为谋求特定供应商中标或者排斥其他供应商的其他串通行为。</w:t>
      </w:r>
    </w:p>
    <w:bookmarkEnd w:id="63"/>
    <w:p w14:paraId="20A09357">
      <w:pPr>
        <w:spacing w:before="120" w:line="320" w:lineRule="atLeast"/>
        <w:ind w:firstLine="420" w:firstLineChars="200"/>
        <w:rPr>
          <w:rFonts w:ascii="宋体" w:hAnsi="宋体"/>
          <w:color w:val="auto"/>
          <w:szCs w:val="21"/>
        </w:rPr>
      </w:pPr>
      <w:r>
        <w:rPr>
          <w:rFonts w:ascii="宋体" w:hAnsi="宋体"/>
          <w:color w:val="auto"/>
          <w:szCs w:val="21"/>
        </w:rPr>
        <w:t>6.3.</w:t>
      </w:r>
      <w:r>
        <w:rPr>
          <w:rFonts w:hint="eastAsia" w:ascii="宋体" w:hAnsi="宋体"/>
          <w:color w:val="auto"/>
          <w:szCs w:val="21"/>
        </w:rPr>
        <w:t>10</w:t>
      </w:r>
      <w:r>
        <w:rPr>
          <w:rFonts w:ascii="宋体" w:hAnsi="宋体"/>
          <w:color w:val="auto"/>
          <w:szCs w:val="21"/>
        </w:rPr>
        <w:t>响应</w:t>
      </w:r>
      <w:r>
        <w:rPr>
          <w:rFonts w:hint="eastAsia" w:ascii="宋体" w:hAnsi="宋体"/>
          <w:color w:val="auto"/>
          <w:szCs w:val="21"/>
        </w:rPr>
        <w:t>无效</w:t>
      </w:r>
      <w:r>
        <w:rPr>
          <w:rFonts w:ascii="宋体" w:hAnsi="宋体"/>
          <w:color w:val="auto"/>
          <w:szCs w:val="21"/>
        </w:rPr>
        <w:t>认定</w:t>
      </w:r>
    </w:p>
    <w:p w14:paraId="105A21D3">
      <w:pPr>
        <w:spacing w:before="120" w:line="320" w:lineRule="atLeast"/>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1）在</w:t>
      </w:r>
      <w:r>
        <w:rPr>
          <w:rFonts w:hint="eastAsia" w:ascii="宋体" w:hAnsi="宋体"/>
          <w:color w:val="auto"/>
          <w:szCs w:val="21"/>
        </w:rPr>
        <w:t>评审过程中</w:t>
      </w:r>
      <w:r>
        <w:rPr>
          <w:rFonts w:ascii="宋体" w:hAnsi="宋体"/>
          <w:color w:val="auto"/>
          <w:szCs w:val="21"/>
        </w:rPr>
        <w:t>如发现下列情形之一的，响应文件将被视为无效：</w:t>
      </w:r>
    </w:p>
    <w:p w14:paraId="67C6A24F">
      <w:pPr>
        <w:spacing w:before="120" w:line="320" w:lineRule="atLeast"/>
        <w:ind w:firstLine="420" w:firstLineChars="200"/>
        <w:rPr>
          <w:rFonts w:ascii="宋体" w:hAnsi="宋体"/>
          <w:color w:val="auto"/>
        </w:rPr>
      </w:pPr>
      <w:r>
        <w:rPr>
          <w:rFonts w:hint="eastAsia" w:ascii="宋体" w:hAnsi="宋体"/>
          <w:color w:val="auto"/>
          <w:szCs w:val="21"/>
        </w:rPr>
        <w:t>①</w:t>
      </w:r>
      <w:r>
        <w:rPr>
          <w:rFonts w:ascii="宋体" w:hAnsi="宋体"/>
          <w:color w:val="auto"/>
          <w:szCs w:val="21"/>
        </w:rPr>
        <w:t>响应文件</w:t>
      </w:r>
      <w:r>
        <w:rPr>
          <w:rFonts w:hint="eastAsia" w:ascii="宋体" w:hAnsi="宋体"/>
          <w:color w:val="auto"/>
          <w:szCs w:val="21"/>
        </w:rPr>
        <w:t>存在法律、法规及监督部门有关文件规定的无效情形</w:t>
      </w:r>
      <w:r>
        <w:rPr>
          <w:rFonts w:ascii="宋体" w:hAnsi="宋体"/>
          <w:color w:val="auto"/>
          <w:szCs w:val="21"/>
        </w:rPr>
        <w:t>。</w:t>
      </w:r>
    </w:p>
    <w:p w14:paraId="0BB2894C">
      <w:pPr>
        <w:spacing w:before="120" w:line="320" w:lineRule="atLeast"/>
        <w:ind w:firstLine="420" w:firstLineChars="200"/>
        <w:rPr>
          <w:rFonts w:ascii="宋体" w:hAnsi="宋体"/>
          <w:color w:val="auto"/>
          <w:szCs w:val="21"/>
        </w:rPr>
      </w:pPr>
      <w:r>
        <w:rPr>
          <w:rFonts w:hint="eastAsia" w:ascii="宋体" w:hAnsi="宋体"/>
          <w:color w:val="auto"/>
          <w:szCs w:val="21"/>
        </w:rPr>
        <w:t>②</w:t>
      </w:r>
      <w:r>
        <w:rPr>
          <w:rFonts w:ascii="宋体" w:hAnsi="宋体"/>
          <w:color w:val="auto"/>
          <w:szCs w:val="21"/>
        </w:rPr>
        <w:t>响应文件</w:t>
      </w:r>
      <w:r>
        <w:rPr>
          <w:rFonts w:hint="eastAsia" w:ascii="宋体" w:hAnsi="宋体"/>
          <w:color w:val="auto"/>
          <w:szCs w:val="21"/>
        </w:rPr>
        <w:t>存在采购文件规定的无效情形。</w:t>
      </w:r>
    </w:p>
    <w:p w14:paraId="27B6A3D0">
      <w:pPr>
        <w:spacing w:before="120" w:line="320" w:lineRule="atLeast"/>
        <w:ind w:firstLine="420" w:firstLineChars="200"/>
        <w:rPr>
          <w:rFonts w:ascii="宋体" w:hAnsi="宋体"/>
          <w:color w:val="auto"/>
          <w:szCs w:val="21"/>
        </w:rPr>
      </w:pPr>
      <w:bookmarkStart w:id="64" w:name="_Hlk19113313"/>
      <w:r>
        <w:rPr>
          <w:rFonts w:hint="eastAsia" w:ascii="宋体" w:hAnsi="宋体"/>
          <w:color w:val="auto"/>
          <w:szCs w:val="21"/>
        </w:rPr>
        <w:t>（2）根据</w:t>
      </w:r>
      <w:r>
        <w:rPr>
          <w:rFonts w:ascii="宋体" w:hAnsi="宋体"/>
          <w:color w:val="auto"/>
          <w:szCs w:val="21"/>
        </w:rPr>
        <w:t>财库</w:t>
      </w:r>
      <w:r>
        <w:rPr>
          <w:rFonts w:hint="eastAsia" w:ascii="宋体" w:hAnsi="宋体"/>
          <w:color w:val="auto"/>
          <w:szCs w:val="21"/>
        </w:rPr>
        <w:t>《</w:t>
      </w:r>
      <w:r>
        <w:rPr>
          <w:rFonts w:ascii="宋体" w:hAnsi="宋体"/>
          <w:color w:val="auto"/>
          <w:szCs w:val="21"/>
        </w:rPr>
        <w:t>关于促进政府采购公平竞争优化营商环境的通知</w:t>
      </w:r>
      <w:r>
        <w:rPr>
          <w:rFonts w:hint="eastAsia" w:ascii="宋体" w:hAnsi="宋体"/>
          <w:color w:val="auto"/>
          <w:szCs w:val="21"/>
        </w:rPr>
        <w:t>》（</w:t>
      </w:r>
      <w:r>
        <w:rPr>
          <w:rFonts w:ascii="宋体" w:hAnsi="宋体"/>
          <w:color w:val="auto"/>
          <w:szCs w:val="21"/>
        </w:rPr>
        <w:t>〔2019〕38号</w:t>
      </w:r>
      <w:r>
        <w:rPr>
          <w:rFonts w:hint="eastAsia" w:ascii="宋体" w:hAnsi="宋体"/>
          <w:color w:val="auto"/>
          <w:szCs w:val="21"/>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4"/>
    <w:p w14:paraId="463FA828">
      <w:pPr>
        <w:spacing w:before="120" w:line="320" w:lineRule="atLeast"/>
        <w:ind w:firstLine="420" w:firstLineChars="200"/>
        <w:rPr>
          <w:rFonts w:ascii="宋体" w:hAnsi="宋体"/>
          <w:color w:val="auto"/>
          <w:szCs w:val="21"/>
        </w:rPr>
      </w:pPr>
      <w:bookmarkStart w:id="65" w:name="_Hlk19113363"/>
      <w:r>
        <w:rPr>
          <w:rFonts w:ascii="宋体" w:hAnsi="宋体"/>
          <w:color w:val="auto"/>
          <w:szCs w:val="21"/>
        </w:rPr>
        <w:t>6.3.1</w:t>
      </w:r>
      <w:r>
        <w:rPr>
          <w:rFonts w:hint="eastAsia" w:ascii="宋体" w:hAnsi="宋体"/>
          <w:color w:val="auto"/>
          <w:szCs w:val="21"/>
        </w:rPr>
        <w:t>1</w:t>
      </w:r>
      <w:r>
        <w:rPr>
          <w:rFonts w:ascii="宋体" w:hAnsi="宋体"/>
          <w:color w:val="auto"/>
          <w:szCs w:val="21"/>
        </w:rPr>
        <w:t>比较与评价</w:t>
      </w:r>
    </w:p>
    <w:p w14:paraId="76A87349">
      <w:pPr>
        <w:spacing w:before="120" w:line="320" w:lineRule="atLeast"/>
        <w:ind w:firstLine="420" w:firstLineChars="200"/>
        <w:rPr>
          <w:rFonts w:ascii="宋体" w:hAnsi="宋体"/>
          <w:color w:val="auto"/>
          <w:szCs w:val="21"/>
        </w:rPr>
      </w:pPr>
      <w:r>
        <w:rPr>
          <w:rFonts w:hint="eastAsia" w:ascii="宋体" w:hAnsi="宋体"/>
          <w:color w:val="auto"/>
          <w:szCs w:val="21"/>
        </w:rPr>
        <w:t>（1）磋商小组</w:t>
      </w:r>
      <w:r>
        <w:rPr>
          <w:rFonts w:ascii="宋体" w:hAnsi="宋体"/>
          <w:color w:val="auto"/>
          <w:szCs w:val="21"/>
        </w:rPr>
        <w:t>按采购文件中规定的评审方法和标准，</w:t>
      </w:r>
      <w:r>
        <w:rPr>
          <w:rFonts w:hint="eastAsia" w:ascii="宋体" w:hAnsi="宋体"/>
          <w:color w:val="auto"/>
          <w:szCs w:val="21"/>
        </w:rPr>
        <w:t>对提交最后报价的供应商的响应文件和最后报价进行综合评分。</w:t>
      </w:r>
    </w:p>
    <w:p w14:paraId="1092593B">
      <w:pPr>
        <w:spacing w:before="120" w:line="320" w:lineRule="atLeast"/>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磋商小组各成员独立对每个有效供应商的响应文件进行评价</w:t>
      </w:r>
      <w:r>
        <w:rPr>
          <w:rFonts w:hint="eastAsia" w:ascii="宋体" w:hAnsi="宋体"/>
          <w:color w:val="auto"/>
          <w:szCs w:val="21"/>
        </w:rPr>
        <w:t>、打分。评价打分</w:t>
      </w:r>
      <w:r>
        <w:rPr>
          <w:rFonts w:ascii="宋体" w:hAnsi="宋体"/>
          <w:color w:val="auto"/>
          <w:szCs w:val="21"/>
        </w:rPr>
        <w:t>有误的应及时进行修正。</w:t>
      </w:r>
      <w:r>
        <w:rPr>
          <w:rFonts w:hint="eastAsia" w:ascii="宋体" w:hAnsi="宋体"/>
          <w:color w:val="auto"/>
          <w:szCs w:val="21"/>
        </w:rPr>
        <w:t>评分</w:t>
      </w:r>
      <w:r>
        <w:rPr>
          <w:rFonts w:ascii="宋体" w:hAnsi="宋体"/>
          <w:color w:val="auto"/>
          <w:szCs w:val="21"/>
        </w:rPr>
        <w:t>标准如有客观分定义，磋商小组所有成员的客观分</w:t>
      </w:r>
      <w:r>
        <w:rPr>
          <w:rFonts w:hint="eastAsia" w:ascii="宋体" w:hAnsi="宋体"/>
          <w:color w:val="auto"/>
          <w:szCs w:val="21"/>
        </w:rPr>
        <w:t>评分分值</w:t>
      </w:r>
      <w:r>
        <w:rPr>
          <w:rFonts w:ascii="宋体" w:hAnsi="宋体"/>
          <w:color w:val="auto"/>
          <w:szCs w:val="21"/>
        </w:rPr>
        <w:t>应当一致。</w:t>
      </w:r>
    </w:p>
    <w:p w14:paraId="6699CEA6">
      <w:pPr>
        <w:spacing w:before="120" w:line="320" w:lineRule="atLeast"/>
        <w:ind w:firstLine="420" w:firstLineChars="200"/>
        <w:rPr>
          <w:rFonts w:ascii="宋体" w:hAnsi="宋体"/>
          <w:color w:val="auto"/>
          <w:szCs w:val="21"/>
        </w:rPr>
      </w:pPr>
      <w:r>
        <w:rPr>
          <w:rFonts w:hint="eastAsia" w:ascii="宋体" w:hAnsi="宋体"/>
          <w:color w:val="auto"/>
          <w:szCs w:val="21"/>
        </w:rPr>
        <w:t>（3）磋商小组按综合评分由高到低的排列顺序推荐</w:t>
      </w:r>
      <w:r>
        <w:rPr>
          <w:rFonts w:ascii="宋体" w:hAnsi="宋体"/>
          <w:color w:val="auto"/>
          <w:szCs w:val="21"/>
        </w:rPr>
        <w:t>3</w:t>
      </w:r>
      <w:r>
        <w:rPr>
          <w:rFonts w:hint="eastAsia" w:ascii="宋体" w:hAnsi="宋体"/>
          <w:color w:val="auto"/>
          <w:szCs w:val="21"/>
        </w:rPr>
        <w:t>名以上成交候选供应商，排名第一的为第一成交候选供应商。</w:t>
      </w:r>
      <w:r>
        <w:rPr>
          <w:rFonts w:ascii="宋体" w:hAnsi="宋体"/>
          <w:color w:val="auto"/>
          <w:szCs w:val="21"/>
        </w:rPr>
        <w:t>若</w:t>
      </w:r>
      <w:r>
        <w:rPr>
          <w:rFonts w:hint="eastAsia" w:ascii="宋体" w:hAnsi="宋体"/>
          <w:color w:val="auto"/>
          <w:szCs w:val="21"/>
        </w:rPr>
        <w:t>成交</w:t>
      </w:r>
      <w:r>
        <w:rPr>
          <w:rFonts w:ascii="宋体" w:hAnsi="宋体"/>
          <w:color w:val="auto"/>
          <w:szCs w:val="21"/>
        </w:rPr>
        <w:t>候选人综合</w:t>
      </w:r>
      <w:r>
        <w:rPr>
          <w:rFonts w:hint="eastAsia" w:ascii="宋体" w:hAnsi="宋体"/>
          <w:color w:val="auto"/>
          <w:szCs w:val="21"/>
        </w:rPr>
        <w:t>评</w:t>
      </w:r>
      <w:r>
        <w:rPr>
          <w:rFonts w:ascii="宋体" w:hAnsi="宋体"/>
          <w:color w:val="auto"/>
          <w:szCs w:val="21"/>
        </w:rPr>
        <w:t>分相同的，按</w:t>
      </w:r>
      <w:r>
        <w:rPr>
          <w:rFonts w:hint="eastAsia" w:ascii="宋体" w:hAnsi="宋体"/>
          <w:color w:val="auto"/>
          <w:szCs w:val="21"/>
        </w:rPr>
        <w:t>最后</w:t>
      </w:r>
      <w:r>
        <w:rPr>
          <w:rFonts w:ascii="宋体" w:hAnsi="宋体"/>
          <w:color w:val="auto"/>
          <w:szCs w:val="21"/>
        </w:rPr>
        <w:t>报价由低到高顺序排列；综合</w:t>
      </w:r>
      <w:r>
        <w:rPr>
          <w:rFonts w:hint="eastAsia" w:ascii="宋体" w:hAnsi="宋体"/>
          <w:color w:val="auto"/>
          <w:szCs w:val="21"/>
        </w:rPr>
        <w:t>评</w:t>
      </w:r>
      <w:r>
        <w:rPr>
          <w:rFonts w:ascii="宋体" w:hAnsi="宋体"/>
          <w:color w:val="auto"/>
          <w:szCs w:val="21"/>
        </w:rPr>
        <w:t>分且</w:t>
      </w:r>
      <w:r>
        <w:rPr>
          <w:rFonts w:hint="eastAsia" w:ascii="宋体" w:hAnsi="宋体"/>
          <w:color w:val="auto"/>
          <w:szCs w:val="21"/>
        </w:rPr>
        <w:t>最后</w:t>
      </w:r>
      <w:r>
        <w:rPr>
          <w:rFonts w:ascii="宋体" w:hAnsi="宋体"/>
          <w:color w:val="auto"/>
          <w:szCs w:val="21"/>
        </w:rPr>
        <w:t>报价相同的</w:t>
      </w:r>
      <w:r>
        <w:rPr>
          <w:rFonts w:ascii="宋体" w:hAnsi="宋体"/>
          <w:color w:val="auto"/>
        </w:rPr>
        <w:t>并列</w:t>
      </w:r>
      <w:r>
        <w:rPr>
          <w:rFonts w:ascii="宋体" w:hAnsi="宋体"/>
          <w:color w:val="auto"/>
          <w:szCs w:val="21"/>
        </w:rPr>
        <w:t>；</w:t>
      </w:r>
      <w:r>
        <w:rPr>
          <w:rFonts w:hint="eastAsia" w:ascii="宋体" w:hAnsi="宋体"/>
          <w:color w:val="auto"/>
          <w:szCs w:val="21"/>
        </w:rPr>
        <w:t>成交</w:t>
      </w:r>
      <w:r>
        <w:rPr>
          <w:rFonts w:ascii="宋体" w:hAnsi="宋体"/>
          <w:color w:val="auto"/>
          <w:szCs w:val="21"/>
        </w:rPr>
        <w:t>候选人并列的，按技术部分</w:t>
      </w:r>
      <w:r>
        <w:rPr>
          <w:rFonts w:hint="eastAsia" w:ascii="宋体" w:hAnsi="宋体"/>
          <w:color w:val="auto"/>
          <w:szCs w:val="21"/>
        </w:rPr>
        <w:t>评</w:t>
      </w:r>
      <w:r>
        <w:rPr>
          <w:rFonts w:ascii="宋体" w:hAnsi="宋体"/>
          <w:color w:val="auto"/>
          <w:szCs w:val="21"/>
        </w:rPr>
        <w:t>分由高到低顺序排列，若综合评分、</w:t>
      </w:r>
      <w:r>
        <w:rPr>
          <w:rFonts w:hint="eastAsia" w:ascii="宋体" w:hAnsi="宋体"/>
          <w:color w:val="auto"/>
          <w:szCs w:val="21"/>
        </w:rPr>
        <w:t>最后</w:t>
      </w:r>
      <w:r>
        <w:rPr>
          <w:rFonts w:ascii="宋体" w:hAnsi="宋体"/>
          <w:color w:val="auto"/>
          <w:szCs w:val="21"/>
        </w:rPr>
        <w:t>报价、技术部分</w:t>
      </w:r>
      <w:r>
        <w:rPr>
          <w:rFonts w:hint="eastAsia" w:ascii="宋体" w:hAnsi="宋体"/>
          <w:color w:val="auto"/>
          <w:szCs w:val="21"/>
        </w:rPr>
        <w:t>评分</w:t>
      </w:r>
      <w:r>
        <w:rPr>
          <w:rFonts w:ascii="宋体" w:hAnsi="宋体"/>
          <w:color w:val="auto"/>
          <w:szCs w:val="21"/>
        </w:rPr>
        <w:t>均相同的，按商务</w:t>
      </w:r>
      <w:r>
        <w:rPr>
          <w:rFonts w:hint="eastAsia" w:ascii="宋体" w:hAnsi="宋体"/>
          <w:color w:val="auto"/>
          <w:szCs w:val="21"/>
        </w:rPr>
        <w:t>资信</w:t>
      </w:r>
      <w:r>
        <w:rPr>
          <w:rFonts w:ascii="宋体" w:hAnsi="宋体"/>
          <w:color w:val="auto"/>
          <w:szCs w:val="21"/>
        </w:rPr>
        <w:t>部分</w:t>
      </w:r>
      <w:r>
        <w:rPr>
          <w:rFonts w:hint="eastAsia" w:ascii="宋体" w:hAnsi="宋体"/>
          <w:color w:val="auto"/>
          <w:szCs w:val="21"/>
        </w:rPr>
        <w:t>评</w:t>
      </w:r>
      <w:r>
        <w:rPr>
          <w:rFonts w:ascii="宋体" w:hAnsi="宋体"/>
          <w:color w:val="auto"/>
          <w:szCs w:val="21"/>
        </w:rPr>
        <w:t>分由高到低顺序排列。</w:t>
      </w:r>
      <w:r>
        <w:rPr>
          <w:rFonts w:hint="eastAsia" w:ascii="宋体" w:hAnsi="宋体"/>
          <w:color w:val="auto"/>
          <w:szCs w:val="21"/>
        </w:rPr>
        <w:t>若综合评分、最后报价、技术部分评分、商务资信部分评分均相同的，由采购人自行决定。</w:t>
      </w:r>
    </w:p>
    <w:p w14:paraId="5CF18826">
      <w:pPr>
        <w:spacing w:before="120" w:line="320" w:lineRule="atLeast"/>
        <w:ind w:firstLine="420" w:firstLineChars="200"/>
        <w:rPr>
          <w:rFonts w:ascii="宋体" w:hAnsi="宋体"/>
          <w:color w:val="auto"/>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）磋商小组根据评审记录及评审结果编写评审报告，磋商小组成员均应当在评审报告上签字，对自己的评审意见承担法律责任。</w:t>
      </w:r>
      <w:r>
        <w:rPr>
          <w:rFonts w:ascii="宋体" w:hAnsi="宋体"/>
          <w:color w:val="auto"/>
        </w:rPr>
        <w:t>评审报告签署前，经复核发现存在以</w:t>
      </w:r>
      <w:r>
        <w:rPr>
          <w:rFonts w:hint="eastAsia" w:ascii="宋体" w:hAnsi="宋体"/>
          <w:color w:val="auto"/>
        </w:rPr>
        <w:t>下</w:t>
      </w:r>
      <w:r>
        <w:rPr>
          <w:rFonts w:ascii="宋体" w:hAnsi="宋体"/>
          <w:color w:val="auto"/>
        </w:rPr>
        <w:t>情形之一的，磋商小组应当当场修改评审结果，并在评审报告中记载；评审报告签署后，采购人或者采购代理机构发现存在以</w:t>
      </w:r>
      <w:r>
        <w:rPr>
          <w:rFonts w:hint="eastAsia" w:ascii="宋体" w:hAnsi="宋体"/>
          <w:color w:val="auto"/>
        </w:rPr>
        <w:t>下</w:t>
      </w:r>
      <w:r>
        <w:rPr>
          <w:rFonts w:ascii="宋体" w:hAnsi="宋体"/>
          <w:color w:val="auto"/>
        </w:rPr>
        <w:t>情形之一的，应当组织原磋商小组进行重新评审。</w:t>
      </w:r>
    </w:p>
    <w:p w14:paraId="659D27EB">
      <w:pPr>
        <w:spacing w:before="120" w:line="320" w:lineRule="atLeast"/>
        <w:ind w:firstLine="420" w:firstLineChars="200"/>
        <w:rPr>
          <w:rFonts w:ascii="宋体" w:hAnsi="宋体"/>
          <w:color w:val="auto"/>
        </w:rPr>
      </w:pPr>
      <w:r>
        <w:rPr>
          <w:rFonts w:hint="eastAsia" w:ascii="宋体" w:hAnsi="宋体"/>
          <w:color w:val="auto"/>
        </w:rPr>
        <w:t>资格性检查认定错误、分值汇总计算错误、分项评分超出评分标准范围、客观分评分不一致、经磋商小组一致认定评分畸高、畸低。</w:t>
      </w:r>
    </w:p>
    <w:bookmarkEnd w:id="65"/>
    <w:p w14:paraId="0EFC6D5D">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6.4确定成交供应商</w:t>
      </w:r>
    </w:p>
    <w:p w14:paraId="021AC714">
      <w:pPr>
        <w:spacing w:before="120" w:line="276" w:lineRule="auto"/>
        <w:ind w:firstLine="420" w:firstLineChars="200"/>
        <w:rPr>
          <w:rFonts w:ascii="宋体" w:hAnsi="宋体"/>
          <w:color w:val="auto"/>
          <w:szCs w:val="21"/>
        </w:rPr>
      </w:pPr>
      <w:r>
        <w:rPr>
          <w:rFonts w:hint="eastAsia" w:ascii="宋体" w:hAnsi="宋体"/>
          <w:color w:val="auto"/>
          <w:szCs w:val="21"/>
        </w:rPr>
        <w:t>6.4</w:t>
      </w:r>
      <w:r>
        <w:rPr>
          <w:rFonts w:ascii="宋体" w:hAnsi="宋体"/>
          <w:color w:val="auto"/>
          <w:szCs w:val="21"/>
        </w:rPr>
        <w:t>.1采购代理机构在评审结束后2个工作日内将评审报告送采购人，采购人在5个工作日内按照评审报告中推荐的成交候选供应商顺序确定成交供应商。</w:t>
      </w:r>
    </w:p>
    <w:p w14:paraId="7BE57F2F">
      <w:pPr>
        <w:spacing w:before="120" w:line="276" w:lineRule="auto"/>
        <w:ind w:firstLine="420" w:firstLineChars="200"/>
        <w:rPr>
          <w:rFonts w:ascii="宋体" w:hAnsi="宋体"/>
          <w:color w:val="auto"/>
          <w:szCs w:val="21"/>
        </w:rPr>
      </w:pPr>
      <w:r>
        <w:rPr>
          <w:rFonts w:ascii="宋体" w:hAnsi="宋体"/>
          <w:color w:val="auto"/>
          <w:szCs w:val="21"/>
        </w:rPr>
        <w:t>6.4.2</w:t>
      </w:r>
      <w:r>
        <w:rPr>
          <w:rFonts w:hint="eastAsia" w:ascii="宋体" w:hAnsi="宋体"/>
          <w:color w:val="auto"/>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74B3BAA">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6.5</w:t>
      </w:r>
      <w:r>
        <w:rPr>
          <w:rFonts w:hint="eastAsia" w:ascii="宋体" w:hAnsi="宋体"/>
          <w:b/>
          <w:bCs/>
          <w:color w:val="auto"/>
          <w:kern w:val="0"/>
          <w:szCs w:val="21"/>
        </w:rPr>
        <w:t>结果公告</w:t>
      </w:r>
    </w:p>
    <w:p w14:paraId="5536FBA0">
      <w:pPr>
        <w:spacing w:before="120" w:line="320" w:lineRule="atLeast"/>
        <w:ind w:firstLine="420" w:firstLineChars="200"/>
        <w:rPr>
          <w:rFonts w:ascii="宋体" w:hAnsi="宋体"/>
          <w:color w:val="auto"/>
          <w:szCs w:val="21"/>
        </w:rPr>
      </w:pPr>
      <w:r>
        <w:rPr>
          <w:rFonts w:hint="eastAsia" w:ascii="宋体" w:hAnsi="宋体"/>
          <w:color w:val="auto"/>
          <w:szCs w:val="21"/>
        </w:rPr>
        <w:t>6</w:t>
      </w:r>
      <w:r>
        <w:rPr>
          <w:rFonts w:ascii="宋体" w:hAnsi="宋体"/>
          <w:color w:val="auto"/>
          <w:szCs w:val="21"/>
        </w:rPr>
        <w:t>.5.1自成交供应商确定后2个工作日内，采购代理机构</w:t>
      </w:r>
      <w:r>
        <w:rPr>
          <w:rFonts w:hint="eastAsia" w:ascii="宋体" w:hAnsi="宋体"/>
          <w:color w:val="auto"/>
          <w:szCs w:val="21"/>
        </w:rPr>
        <w:t>按照供应商须知</w:t>
      </w:r>
      <w:r>
        <w:rPr>
          <w:rFonts w:hint="eastAsia" w:ascii="宋体" w:hAnsi="宋体"/>
          <w:color w:val="auto"/>
          <w:kern w:val="0"/>
          <w:szCs w:val="21"/>
        </w:rPr>
        <w:t>前附表的规定</w:t>
      </w:r>
      <w:r>
        <w:rPr>
          <w:rFonts w:ascii="宋体" w:hAnsi="宋体"/>
          <w:color w:val="auto"/>
          <w:kern w:val="0"/>
          <w:szCs w:val="21"/>
        </w:rPr>
        <w:t>公告</w:t>
      </w:r>
      <w:r>
        <w:rPr>
          <w:rFonts w:ascii="宋体" w:hAnsi="宋体"/>
          <w:color w:val="auto"/>
          <w:szCs w:val="21"/>
        </w:rPr>
        <w:t>成交结果</w:t>
      </w:r>
      <w:r>
        <w:rPr>
          <w:rFonts w:hint="eastAsia" w:ascii="宋体" w:hAnsi="宋体"/>
          <w:color w:val="auto"/>
          <w:szCs w:val="21"/>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56150E47">
      <w:pPr>
        <w:spacing w:before="120" w:line="320" w:lineRule="atLeast"/>
        <w:ind w:firstLine="420" w:firstLineChars="200"/>
        <w:rPr>
          <w:rFonts w:ascii="宋体" w:hAnsi="宋体"/>
          <w:color w:val="auto"/>
          <w:szCs w:val="21"/>
        </w:rPr>
      </w:pPr>
      <w:r>
        <w:rPr>
          <w:rFonts w:hint="eastAsia" w:ascii="宋体" w:hAnsi="宋体"/>
          <w:color w:val="auto"/>
          <w:szCs w:val="21"/>
        </w:rPr>
        <w:t>6</w:t>
      </w:r>
      <w:r>
        <w:rPr>
          <w:rFonts w:ascii="宋体" w:hAnsi="宋体"/>
          <w:color w:val="auto"/>
          <w:szCs w:val="21"/>
        </w:rPr>
        <w:t>.5.2在发布</w:t>
      </w:r>
      <w:r>
        <w:rPr>
          <w:rFonts w:hint="eastAsia" w:ascii="宋体" w:hAnsi="宋体"/>
          <w:color w:val="auto"/>
          <w:szCs w:val="21"/>
        </w:rPr>
        <w:t>结果</w:t>
      </w:r>
      <w:r>
        <w:rPr>
          <w:rFonts w:ascii="宋体" w:hAnsi="宋体"/>
          <w:color w:val="auto"/>
          <w:szCs w:val="21"/>
        </w:rPr>
        <w:t>公告的同时，采购代理机构以供应商须知前附表规定的形式向成交供应商发出成交通知书。成交通知书发出后，采购人改变成交结果，或者成交供应商放弃成交，应当承担相应的法律责任。</w:t>
      </w:r>
    </w:p>
    <w:p w14:paraId="342B8876">
      <w:pPr>
        <w:suppressAutoHyphens/>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6.6</w:t>
      </w:r>
      <w:r>
        <w:rPr>
          <w:rFonts w:hint="eastAsia" w:ascii="宋体" w:hAnsi="宋体"/>
          <w:b/>
          <w:bCs/>
          <w:color w:val="auto"/>
          <w:kern w:val="0"/>
          <w:szCs w:val="21"/>
        </w:rPr>
        <w:t>废标</w:t>
      </w:r>
    </w:p>
    <w:p w14:paraId="4AEAAE42">
      <w:pPr>
        <w:spacing w:before="120" w:line="320" w:lineRule="atLeast"/>
        <w:ind w:firstLine="420" w:firstLineChars="200"/>
        <w:rPr>
          <w:rFonts w:ascii="宋体" w:hAnsi="宋体"/>
          <w:color w:val="auto"/>
          <w:kern w:val="1"/>
          <w:szCs w:val="21"/>
        </w:rPr>
      </w:pPr>
      <w:r>
        <w:rPr>
          <w:rFonts w:ascii="宋体" w:hAnsi="宋体"/>
          <w:color w:val="auto"/>
          <w:kern w:val="1"/>
          <w:szCs w:val="21"/>
        </w:rPr>
        <w:t>6.6.1</w:t>
      </w:r>
      <w:r>
        <w:rPr>
          <w:rFonts w:hint="eastAsia" w:ascii="宋体" w:hAnsi="宋体"/>
          <w:color w:val="auto"/>
          <w:kern w:val="1"/>
          <w:szCs w:val="21"/>
        </w:rPr>
        <w:t xml:space="preserve">出现下列情形之一，将导致项目废标： </w:t>
      </w:r>
    </w:p>
    <w:p w14:paraId="326FA1CA">
      <w:pPr>
        <w:spacing w:before="120" w:line="320" w:lineRule="atLeast"/>
        <w:ind w:firstLine="420" w:firstLineChars="200"/>
        <w:rPr>
          <w:rFonts w:ascii="宋体" w:hAnsi="宋体"/>
          <w:color w:val="auto"/>
          <w:szCs w:val="21"/>
        </w:rPr>
      </w:pPr>
      <w:r>
        <w:rPr>
          <w:rFonts w:hint="eastAsia" w:ascii="宋体" w:hAnsi="宋体"/>
          <w:color w:val="auto"/>
          <w:kern w:val="1"/>
          <w:szCs w:val="21"/>
        </w:rPr>
        <w:t>（1</w:t>
      </w:r>
      <w:r>
        <w:rPr>
          <w:rFonts w:hint="eastAsia" w:ascii="宋体" w:hAnsi="宋体"/>
          <w:color w:val="auto"/>
          <w:szCs w:val="21"/>
        </w:rPr>
        <w:t>）符合专业条件的供应商或者对采购文件做实质性响应的供应商不足三家；</w:t>
      </w:r>
    </w:p>
    <w:p w14:paraId="15916840">
      <w:pPr>
        <w:spacing w:before="120" w:line="320" w:lineRule="atLeast"/>
        <w:ind w:firstLine="420" w:firstLineChars="200"/>
        <w:rPr>
          <w:rFonts w:ascii="宋体" w:hAnsi="宋体"/>
          <w:color w:val="auto"/>
          <w:szCs w:val="21"/>
        </w:rPr>
      </w:pPr>
      <w:r>
        <w:rPr>
          <w:rFonts w:hint="eastAsia" w:ascii="宋体" w:hAnsi="宋体"/>
          <w:color w:val="auto"/>
          <w:szCs w:val="21"/>
        </w:rPr>
        <w:t>（2）出现影响采购公正的违法、违规行为的；</w:t>
      </w:r>
    </w:p>
    <w:p w14:paraId="0E6EE8CB">
      <w:pPr>
        <w:spacing w:before="120" w:line="320" w:lineRule="atLeast"/>
        <w:ind w:firstLine="420" w:firstLineChars="200"/>
        <w:rPr>
          <w:rFonts w:ascii="宋体" w:hAnsi="宋体"/>
          <w:color w:val="auto"/>
          <w:szCs w:val="21"/>
        </w:rPr>
      </w:pPr>
      <w:r>
        <w:rPr>
          <w:rFonts w:hint="eastAsia" w:ascii="宋体" w:hAnsi="宋体"/>
          <w:color w:val="auto"/>
          <w:szCs w:val="21"/>
        </w:rPr>
        <w:t>（3）供应商的报价均超过了采购预算，采购人不能支付的；</w:t>
      </w:r>
    </w:p>
    <w:p w14:paraId="71B4C1B3">
      <w:pPr>
        <w:spacing w:before="120" w:line="320" w:lineRule="atLeast"/>
        <w:ind w:firstLine="420" w:firstLineChars="200"/>
        <w:rPr>
          <w:rFonts w:ascii="宋体" w:hAnsi="宋体"/>
          <w:color w:val="auto"/>
        </w:rPr>
      </w:pPr>
      <w:r>
        <w:rPr>
          <w:rFonts w:hint="eastAsia" w:ascii="宋体" w:hAnsi="宋体"/>
          <w:color w:val="auto"/>
          <w:szCs w:val="21"/>
        </w:rPr>
        <w:t>（4）</w:t>
      </w:r>
      <w:r>
        <w:rPr>
          <w:rFonts w:hint="eastAsia" w:ascii="宋体" w:hAnsi="宋体"/>
          <w:color w:val="auto"/>
        </w:rPr>
        <w:t>因发生重大变故或采购任务取消的。</w:t>
      </w:r>
    </w:p>
    <w:p w14:paraId="5BD1300F">
      <w:pPr>
        <w:spacing w:before="120" w:line="320" w:lineRule="atLeast"/>
        <w:ind w:firstLine="420" w:firstLineChars="200"/>
        <w:rPr>
          <w:rFonts w:ascii="宋体" w:hAnsi="宋体"/>
          <w:color w:val="auto"/>
          <w:szCs w:val="21"/>
        </w:rPr>
      </w:pPr>
      <w:r>
        <w:rPr>
          <w:rFonts w:ascii="宋体" w:hAnsi="宋体"/>
          <w:color w:val="auto"/>
          <w:kern w:val="1"/>
          <w:szCs w:val="21"/>
        </w:rPr>
        <w:t>6.6.2</w:t>
      </w:r>
      <w:r>
        <w:rPr>
          <w:rFonts w:hint="eastAsia" w:ascii="宋体" w:hAnsi="宋体"/>
          <w:color w:val="auto"/>
          <w:kern w:val="1"/>
          <w:szCs w:val="21"/>
        </w:rPr>
        <w:t>废标后</w:t>
      </w:r>
      <w:r>
        <w:rPr>
          <w:rFonts w:hint="eastAsia" w:ascii="宋体" w:hAnsi="宋体"/>
          <w:color w:val="auto"/>
          <w:szCs w:val="21"/>
        </w:rPr>
        <w:t>采购</w:t>
      </w:r>
      <w:r>
        <w:rPr>
          <w:rFonts w:hint="eastAsia" w:ascii="宋体" w:hAnsi="宋体"/>
          <w:color w:val="auto"/>
          <w:kern w:val="1"/>
          <w:szCs w:val="21"/>
        </w:rPr>
        <w:t>代理机构将发布废标公告通知供应商。</w:t>
      </w:r>
    </w:p>
    <w:p w14:paraId="67EECBB6">
      <w:pPr>
        <w:spacing w:before="120" w:line="320" w:lineRule="atLeast"/>
        <w:ind w:left="2" w:leftChars="1" w:firstLine="422" w:firstLineChars="200"/>
        <w:outlineLvl w:val="1"/>
        <w:rPr>
          <w:rFonts w:ascii="宋体" w:hAnsi="宋体"/>
          <w:b/>
          <w:bCs/>
          <w:color w:val="auto"/>
          <w:kern w:val="0"/>
          <w:szCs w:val="21"/>
        </w:rPr>
      </w:pPr>
      <w:r>
        <w:rPr>
          <w:rFonts w:ascii="宋体" w:hAnsi="宋体"/>
          <w:b/>
          <w:bCs/>
          <w:color w:val="auto"/>
          <w:kern w:val="0"/>
          <w:szCs w:val="21"/>
        </w:rPr>
        <w:t>7．合同</w:t>
      </w:r>
    </w:p>
    <w:p w14:paraId="14442116">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7.1合同授予标准</w:t>
      </w:r>
    </w:p>
    <w:p w14:paraId="6B8E9F06">
      <w:pPr>
        <w:spacing w:before="120" w:line="320" w:lineRule="atLeast"/>
        <w:ind w:firstLine="420" w:firstLineChars="200"/>
        <w:rPr>
          <w:rFonts w:ascii="宋体" w:hAnsi="宋体"/>
          <w:color w:val="auto"/>
          <w:szCs w:val="21"/>
        </w:rPr>
      </w:pPr>
      <w:r>
        <w:rPr>
          <w:rFonts w:ascii="宋体" w:hAnsi="宋体"/>
          <w:color w:val="auto"/>
          <w:szCs w:val="21"/>
        </w:rPr>
        <w:t>合同将授予被确定实质上响应采购文件要求，具备履行合同能力，综合评分排名第一的供应商。在</w:t>
      </w:r>
      <w:r>
        <w:rPr>
          <w:rFonts w:hint="eastAsia" w:ascii="宋体" w:hAnsi="宋体"/>
          <w:color w:val="auto"/>
          <w:szCs w:val="21"/>
        </w:rPr>
        <w:t>成交通知书</w:t>
      </w:r>
      <w:r>
        <w:rPr>
          <w:rFonts w:ascii="宋体" w:hAnsi="宋体"/>
          <w:color w:val="auto"/>
          <w:szCs w:val="21"/>
        </w:rPr>
        <w:t>发出前或签订合同前，如果</w:t>
      </w:r>
      <w:r>
        <w:rPr>
          <w:rFonts w:hint="eastAsia" w:ascii="宋体" w:hAnsi="宋体"/>
          <w:color w:val="auto"/>
          <w:szCs w:val="21"/>
        </w:rPr>
        <w:t>成交供应商</w:t>
      </w:r>
      <w:r>
        <w:rPr>
          <w:rFonts w:ascii="宋体" w:hAnsi="宋体"/>
          <w:color w:val="auto"/>
          <w:szCs w:val="21"/>
        </w:rPr>
        <w:t>的组织机构</w:t>
      </w:r>
      <w:r>
        <w:rPr>
          <w:rFonts w:hint="eastAsia" w:ascii="宋体" w:hAnsi="宋体"/>
          <w:color w:val="auto"/>
          <w:szCs w:val="21"/>
        </w:rPr>
        <w:t>、</w:t>
      </w:r>
      <w:r>
        <w:rPr>
          <w:rFonts w:ascii="宋体" w:hAnsi="宋体"/>
          <w:color w:val="auto"/>
          <w:szCs w:val="21"/>
        </w:rPr>
        <w:t>经营、财务状况发生较大变化，可能造成不能履行合同、无法按照</w:t>
      </w:r>
      <w:r>
        <w:rPr>
          <w:rFonts w:hint="eastAsia" w:ascii="宋体" w:hAnsi="宋体"/>
          <w:color w:val="auto"/>
          <w:szCs w:val="21"/>
        </w:rPr>
        <w:t>采购文件</w:t>
      </w:r>
      <w:r>
        <w:rPr>
          <w:rFonts w:ascii="宋体" w:hAnsi="宋体"/>
          <w:color w:val="auto"/>
          <w:szCs w:val="21"/>
        </w:rPr>
        <w:t>要求提交履约保证金等情形，不符合成交条件或不满足供应商资格条件要求 ，应在</w:t>
      </w:r>
      <w:r>
        <w:rPr>
          <w:rFonts w:hint="eastAsia" w:ascii="宋体" w:hAnsi="宋体"/>
          <w:color w:val="auto"/>
          <w:szCs w:val="21"/>
        </w:rPr>
        <w:t>成交通知书</w:t>
      </w:r>
      <w:r>
        <w:rPr>
          <w:rFonts w:ascii="宋体" w:hAnsi="宋体"/>
          <w:color w:val="auto"/>
          <w:szCs w:val="21"/>
        </w:rPr>
        <w:t>发出前或签订合同前及时书面告知采购人</w:t>
      </w:r>
      <w:r>
        <w:rPr>
          <w:rFonts w:hint="eastAsia" w:ascii="宋体" w:hAnsi="宋体"/>
          <w:color w:val="auto"/>
          <w:szCs w:val="21"/>
        </w:rPr>
        <w:t>，</w:t>
      </w:r>
      <w:r>
        <w:rPr>
          <w:rFonts w:ascii="宋体" w:hAnsi="宋体"/>
          <w:color w:val="auto"/>
          <w:szCs w:val="21"/>
        </w:rPr>
        <w:t>未主动告知</w:t>
      </w:r>
      <w:r>
        <w:rPr>
          <w:rFonts w:hint="eastAsia" w:ascii="宋体" w:hAnsi="宋体"/>
          <w:color w:val="auto"/>
          <w:szCs w:val="21"/>
        </w:rPr>
        <w:t>，</w:t>
      </w:r>
      <w:r>
        <w:rPr>
          <w:rFonts w:ascii="宋体" w:hAnsi="宋体"/>
          <w:color w:val="auto"/>
          <w:szCs w:val="21"/>
        </w:rPr>
        <w:t>给采购人造成损失的</w:t>
      </w:r>
      <w:r>
        <w:rPr>
          <w:rFonts w:hint="eastAsia" w:ascii="宋体" w:hAnsi="宋体"/>
          <w:color w:val="auto"/>
          <w:szCs w:val="21"/>
        </w:rPr>
        <w:t>，</w:t>
      </w:r>
      <w:r>
        <w:rPr>
          <w:rFonts w:ascii="宋体" w:hAnsi="宋体"/>
          <w:color w:val="auto"/>
          <w:szCs w:val="21"/>
        </w:rPr>
        <w:t>采购人有权</w:t>
      </w:r>
      <w:r>
        <w:rPr>
          <w:rFonts w:hint="eastAsia" w:ascii="宋体" w:hAnsi="宋体"/>
          <w:color w:val="auto"/>
          <w:szCs w:val="21"/>
        </w:rPr>
        <w:t>取消其成交资格并</w:t>
      </w:r>
      <w:r>
        <w:rPr>
          <w:rFonts w:ascii="宋体" w:hAnsi="宋体"/>
          <w:color w:val="auto"/>
          <w:szCs w:val="21"/>
        </w:rPr>
        <w:t>没收磋商保证金</w:t>
      </w:r>
      <w:r>
        <w:rPr>
          <w:rFonts w:hint="eastAsia" w:ascii="宋体" w:hAnsi="宋体"/>
          <w:color w:val="auto"/>
          <w:szCs w:val="21"/>
        </w:rPr>
        <w:t>。</w:t>
      </w:r>
    </w:p>
    <w:p w14:paraId="5508AB56">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7.2签订合同</w:t>
      </w:r>
    </w:p>
    <w:p w14:paraId="2FC0F15D">
      <w:pPr>
        <w:spacing w:before="120" w:line="320" w:lineRule="atLeast"/>
        <w:ind w:firstLine="420" w:firstLineChars="200"/>
        <w:rPr>
          <w:rFonts w:ascii="宋体" w:hAnsi="宋体"/>
          <w:color w:val="auto"/>
          <w:szCs w:val="21"/>
        </w:rPr>
      </w:pPr>
      <w:r>
        <w:rPr>
          <w:rFonts w:ascii="宋体" w:hAnsi="宋体"/>
          <w:color w:val="auto"/>
          <w:szCs w:val="21"/>
        </w:rPr>
        <w:t>7.2.1如</w:t>
      </w:r>
      <w:r>
        <w:rPr>
          <w:rFonts w:hint="eastAsia" w:ascii="宋体" w:hAnsi="宋体"/>
          <w:color w:val="auto"/>
          <w:szCs w:val="21"/>
        </w:rPr>
        <w:t>采购文件</w:t>
      </w:r>
      <w:r>
        <w:rPr>
          <w:rFonts w:ascii="宋体" w:hAnsi="宋体"/>
          <w:color w:val="auto"/>
          <w:szCs w:val="21"/>
        </w:rPr>
        <w:t>无</w:t>
      </w:r>
      <w:r>
        <w:rPr>
          <w:rFonts w:hint="eastAsia" w:ascii="宋体" w:hAnsi="宋体"/>
          <w:color w:val="auto"/>
          <w:szCs w:val="21"/>
        </w:rPr>
        <w:t>特别</w:t>
      </w:r>
      <w:r>
        <w:rPr>
          <w:rFonts w:ascii="宋体" w:hAnsi="宋体"/>
          <w:color w:val="auto"/>
          <w:szCs w:val="21"/>
        </w:rPr>
        <w:t>规定，</w:t>
      </w:r>
      <w:r>
        <w:rPr>
          <w:rFonts w:hint="eastAsia" w:ascii="宋体" w:hAnsi="宋体"/>
          <w:color w:val="auto"/>
          <w:szCs w:val="21"/>
        </w:rPr>
        <w:t>成交供应商按采购文件确定的事项签订政府采购合同。</w:t>
      </w:r>
    </w:p>
    <w:p w14:paraId="60037D3B">
      <w:pPr>
        <w:spacing w:before="120" w:line="320" w:lineRule="atLeast"/>
        <w:ind w:firstLine="420" w:firstLineChars="200"/>
        <w:rPr>
          <w:rFonts w:ascii="宋体" w:hAnsi="宋体"/>
          <w:color w:val="auto"/>
          <w:szCs w:val="21"/>
        </w:rPr>
      </w:pPr>
      <w:r>
        <w:rPr>
          <w:rFonts w:ascii="宋体" w:hAnsi="宋体"/>
          <w:color w:val="auto"/>
          <w:szCs w:val="21"/>
        </w:rPr>
        <w:t>7.2.2</w:t>
      </w:r>
      <w:r>
        <w:rPr>
          <w:rFonts w:hint="eastAsia" w:ascii="宋体" w:hAnsi="宋体"/>
          <w:color w:val="auto"/>
          <w:szCs w:val="21"/>
        </w:rPr>
        <w:t>政府采购合同应当包括采购人与成交供应商的名称和住所、标的、数量、质量、价款或者报酬、履行期限及地点和方式、验收要求、违约责任、解决争议的方法等内容。</w:t>
      </w:r>
      <w:r>
        <w:rPr>
          <w:rFonts w:ascii="宋体" w:hAnsi="宋体"/>
          <w:color w:val="auto"/>
          <w:szCs w:val="21"/>
        </w:rPr>
        <w:t>采购文件、成交供应商的响应文件及澄清文件等，均为签订政府采购合同的依据。</w:t>
      </w:r>
    </w:p>
    <w:p w14:paraId="26BE7434">
      <w:pPr>
        <w:spacing w:before="120" w:line="320" w:lineRule="atLeast"/>
        <w:ind w:firstLine="420" w:firstLineChars="200"/>
        <w:rPr>
          <w:rFonts w:ascii="宋体" w:hAnsi="宋体"/>
          <w:color w:val="auto"/>
          <w:szCs w:val="21"/>
        </w:rPr>
      </w:pPr>
      <w:r>
        <w:rPr>
          <w:rFonts w:ascii="宋体" w:hAnsi="宋体"/>
          <w:color w:val="auto"/>
          <w:szCs w:val="21"/>
        </w:rPr>
        <w:t>7.2.3如成交供应商不按成交通知书的规定签订合同，</w:t>
      </w:r>
      <w:r>
        <w:rPr>
          <w:rFonts w:hint="eastAsia" w:ascii="宋体" w:hAnsi="宋体"/>
          <w:color w:val="auto"/>
          <w:szCs w:val="21"/>
        </w:rPr>
        <w:t>其磋商保证金将不予退还，并报由同级政府采购监督管理部门处理。</w:t>
      </w:r>
    </w:p>
    <w:p w14:paraId="51FC6BC3">
      <w:pPr>
        <w:spacing w:before="120" w:line="320" w:lineRule="atLeast"/>
        <w:ind w:firstLine="420" w:firstLineChars="200"/>
        <w:rPr>
          <w:rFonts w:ascii="宋体" w:hAnsi="宋体"/>
          <w:color w:val="auto"/>
          <w:szCs w:val="21"/>
        </w:rPr>
      </w:pPr>
      <w:r>
        <w:rPr>
          <w:rFonts w:hint="eastAsia" w:ascii="宋体" w:hAnsi="宋体"/>
          <w:color w:val="auto"/>
          <w:szCs w:val="21"/>
        </w:rPr>
        <w:t>7</w:t>
      </w:r>
      <w:r>
        <w:rPr>
          <w:rFonts w:ascii="宋体" w:hAnsi="宋体"/>
          <w:color w:val="auto"/>
          <w:szCs w:val="21"/>
        </w:rPr>
        <w:t>.2.4</w:t>
      </w:r>
      <w:r>
        <w:rPr>
          <w:rFonts w:hint="eastAsia" w:ascii="宋体" w:hAnsi="宋体"/>
          <w:color w:val="auto"/>
          <w:szCs w:val="21"/>
        </w:rPr>
        <w:t>成交供应商拒绝与采购人签订合同的，采购人可以按照评审报告推荐的成交候选人名单排序，确定下一候选人为成交供应商，也可以重新开展政府采购活动。</w:t>
      </w:r>
    </w:p>
    <w:p w14:paraId="3F81CF38">
      <w:pPr>
        <w:spacing w:before="120" w:line="320" w:lineRule="atLeast"/>
        <w:ind w:firstLine="420" w:firstLineChars="200"/>
        <w:rPr>
          <w:rFonts w:ascii="宋体" w:hAnsi="宋体"/>
          <w:color w:val="auto"/>
          <w:szCs w:val="21"/>
        </w:rPr>
      </w:pPr>
      <w:bookmarkStart w:id="66" w:name="_Hlk155170999"/>
      <w:r>
        <w:rPr>
          <w:rFonts w:hint="eastAsia" w:ascii="宋体" w:hAnsi="宋体"/>
          <w:color w:val="auto"/>
          <w:szCs w:val="21"/>
        </w:rPr>
        <w:t>7</w:t>
      </w:r>
      <w:r>
        <w:rPr>
          <w:rFonts w:ascii="宋体" w:hAnsi="宋体"/>
          <w:color w:val="auto"/>
          <w:szCs w:val="21"/>
        </w:rPr>
        <w:t>.2.5</w:t>
      </w:r>
      <w:r>
        <w:rPr>
          <w:rFonts w:hint="eastAsia" w:ascii="宋体" w:hAnsi="宋体"/>
          <w:color w:val="auto"/>
          <w:szCs w:val="21"/>
        </w:rPr>
        <w:t>采购人因不可抗力原因迟延签订合同的，应当自不可抗力事由消除之日起5个工作日内完成合同签订事宜。</w:t>
      </w:r>
      <w:bookmarkEnd w:id="66"/>
    </w:p>
    <w:p w14:paraId="7844BC33">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7.3合同公告</w:t>
      </w:r>
    </w:p>
    <w:p w14:paraId="601CB944">
      <w:pPr>
        <w:spacing w:before="120" w:line="320" w:lineRule="atLeast"/>
        <w:ind w:firstLine="420" w:firstLineChars="200"/>
        <w:rPr>
          <w:rFonts w:ascii="宋体" w:hAnsi="宋体"/>
          <w:color w:val="auto"/>
          <w:szCs w:val="21"/>
        </w:rPr>
      </w:pPr>
      <w:r>
        <w:rPr>
          <w:rFonts w:ascii="宋体" w:hAnsi="宋体"/>
          <w:color w:val="auto"/>
          <w:szCs w:val="21"/>
        </w:rPr>
        <w:t>7.3.1如</w:t>
      </w:r>
      <w:r>
        <w:rPr>
          <w:rFonts w:hint="eastAsia" w:ascii="宋体" w:hAnsi="宋体"/>
          <w:color w:val="auto"/>
          <w:szCs w:val="21"/>
        </w:rPr>
        <w:t>采购文件</w:t>
      </w:r>
      <w:r>
        <w:rPr>
          <w:rFonts w:ascii="宋体" w:hAnsi="宋体"/>
          <w:color w:val="auto"/>
          <w:szCs w:val="21"/>
        </w:rPr>
        <w:t>无特殊规定</w:t>
      </w:r>
      <w:r>
        <w:rPr>
          <w:rFonts w:hint="eastAsia" w:ascii="宋体" w:hAnsi="宋体"/>
          <w:color w:val="auto"/>
          <w:szCs w:val="21"/>
        </w:rPr>
        <w:t>，</w:t>
      </w:r>
      <w:r>
        <w:rPr>
          <w:rFonts w:ascii="宋体" w:hAnsi="宋体"/>
          <w:color w:val="auto"/>
          <w:szCs w:val="21"/>
        </w:rPr>
        <w:t>成交供应商应在签订合同后1个工作日内，将政府采购合同副本送采购代理机构</w:t>
      </w:r>
      <w:r>
        <w:rPr>
          <w:rFonts w:hint="eastAsia" w:ascii="宋体" w:hAnsi="宋体"/>
          <w:color w:val="auto"/>
          <w:szCs w:val="21"/>
        </w:rPr>
        <w:t>存档</w:t>
      </w:r>
      <w:r>
        <w:rPr>
          <w:rFonts w:ascii="宋体" w:hAnsi="宋体"/>
          <w:color w:val="auto"/>
          <w:szCs w:val="21"/>
        </w:rPr>
        <w:t>。</w:t>
      </w:r>
    </w:p>
    <w:p w14:paraId="34637FDA">
      <w:pPr>
        <w:spacing w:before="120" w:line="320" w:lineRule="atLeast"/>
        <w:ind w:firstLine="420" w:firstLineChars="200"/>
        <w:rPr>
          <w:rFonts w:ascii="宋体" w:hAnsi="宋体"/>
          <w:color w:val="auto"/>
          <w:szCs w:val="21"/>
        </w:rPr>
      </w:pPr>
      <w:r>
        <w:rPr>
          <w:rFonts w:ascii="宋体" w:hAnsi="宋体"/>
          <w:color w:val="auto"/>
          <w:szCs w:val="21"/>
        </w:rPr>
        <w:t>7.3.2采购人应当自政府采购合同签订之日起2个工作日内，将政府采购合同在省级以上人民政府财政部门指定的媒体上公告，但政府采购合同中涉及国家秘密、商业秘密的内容除外。</w:t>
      </w:r>
    </w:p>
    <w:p w14:paraId="0588BD68">
      <w:pPr>
        <w:spacing w:before="120" w:line="320" w:lineRule="atLeast"/>
        <w:ind w:firstLine="420" w:firstLineChars="200"/>
        <w:rPr>
          <w:rFonts w:ascii="宋体" w:hAnsi="宋体"/>
          <w:color w:val="auto"/>
          <w:szCs w:val="21"/>
        </w:rPr>
      </w:pPr>
      <w:bookmarkStart w:id="67" w:name="_Hlk155171014"/>
      <w:r>
        <w:rPr>
          <w:rFonts w:hint="eastAsia" w:ascii="宋体" w:hAnsi="宋体"/>
          <w:color w:val="auto"/>
          <w:szCs w:val="21"/>
        </w:rPr>
        <w:t>7</w:t>
      </w:r>
      <w:r>
        <w:rPr>
          <w:rFonts w:ascii="宋体" w:hAnsi="宋体"/>
          <w:color w:val="auto"/>
          <w:szCs w:val="21"/>
        </w:rPr>
        <w:t xml:space="preserve">.3.3 </w:t>
      </w:r>
      <w:r>
        <w:rPr>
          <w:rFonts w:hint="eastAsia" w:ascii="宋体" w:hAnsi="宋体"/>
          <w:color w:val="auto"/>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7"/>
    </w:p>
    <w:p w14:paraId="5CB46D5F">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7.4 履行合同</w:t>
      </w:r>
    </w:p>
    <w:p w14:paraId="1DA2BDC1">
      <w:pPr>
        <w:spacing w:before="120" w:line="320" w:lineRule="atLeast"/>
        <w:ind w:firstLine="420" w:firstLineChars="200"/>
        <w:rPr>
          <w:rFonts w:ascii="宋体" w:hAnsi="宋体"/>
          <w:color w:val="auto"/>
          <w:szCs w:val="21"/>
        </w:rPr>
      </w:pPr>
      <w:bookmarkStart w:id="68" w:name="_Toc217446070"/>
      <w:bookmarkStart w:id="69" w:name="_Toc308164814"/>
      <w:r>
        <w:rPr>
          <w:rFonts w:ascii="宋体" w:hAnsi="宋体"/>
          <w:color w:val="auto"/>
          <w:szCs w:val="21"/>
        </w:rPr>
        <w:t>7.4.1</w:t>
      </w:r>
      <w:r>
        <w:rPr>
          <w:rFonts w:hint="eastAsia" w:ascii="宋体" w:hAnsi="宋体"/>
          <w:color w:val="auto"/>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97A1171">
      <w:pPr>
        <w:spacing w:before="120" w:line="320" w:lineRule="atLeast"/>
        <w:ind w:firstLine="422" w:firstLineChars="200"/>
        <w:rPr>
          <w:rFonts w:ascii="宋体" w:hAnsi="宋体"/>
          <w:b/>
          <w:bCs/>
          <w:color w:val="auto"/>
          <w:kern w:val="0"/>
          <w:szCs w:val="21"/>
        </w:rPr>
      </w:pPr>
      <w:r>
        <w:rPr>
          <w:rFonts w:ascii="宋体" w:hAnsi="宋体"/>
          <w:b/>
          <w:bCs/>
          <w:color w:val="auto"/>
          <w:kern w:val="0"/>
          <w:szCs w:val="21"/>
        </w:rPr>
        <w:t>7.5履约验收</w:t>
      </w:r>
      <w:bookmarkEnd w:id="68"/>
      <w:bookmarkEnd w:id="69"/>
    </w:p>
    <w:p w14:paraId="602F026E">
      <w:pPr>
        <w:spacing w:before="120" w:line="320" w:lineRule="atLeast"/>
        <w:ind w:firstLine="420" w:firstLineChars="200"/>
        <w:rPr>
          <w:rFonts w:ascii="宋体" w:hAnsi="宋体"/>
          <w:color w:val="auto"/>
          <w:szCs w:val="21"/>
        </w:rPr>
      </w:pPr>
      <w:r>
        <w:rPr>
          <w:rFonts w:ascii="宋体" w:hAnsi="宋体"/>
          <w:color w:val="auto"/>
          <w:szCs w:val="21"/>
        </w:rPr>
        <w:t>7.5.1采购人可以根据政府采购项目具体情况自行组织验收，或者委托政府采购代理机构、国家认可的质量检测机构开展采购项目履约验收工作。</w:t>
      </w:r>
    </w:p>
    <w:p w14:paraId="14FC2A23">
      <w:pPr>
        <w:spacing w:before="120" w:line="320" w:lineRule="atLeast"/>
        <w:ind w:firstLine="420" w:firstLineChars="200"/>
        <w:rPr>
          <w:rFonts w:ascii="宋体" w:hAnsi="宋体"/>
          <w:color w:val="auto"/>
          <w:szCs w:val="21"/>
        </w:rPr>
      </w:pPr>
      <w:r>
        <w:rPr>
          <w:rFonts w:ascii="宋体" w:hAnsi="宋体"/>
          <w:color w:val="auto"/>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986B077">
      <w:pPr>
        <w:spacing w:before="120" w:line="320" w:lineRule="atLeast"/>
        <w:ind w:firstLine="420" w:firstLineChars="200"/>
        <w:rPr>
          <w:rFonts w:ascii="宋体" w:hAnsi="宋体"/>
          <w:color w:val="auto"/>
          <w:szCs w:val="21"/>
        </w:rPr>
      </w:pPr>
      <w:r>
        <w:rPr>
          <w:rFonts w:ascii="宋体" w:hAnsi="宋体"/>
          <w:color w:val="auto"/>
          <w:szCs w:val="21"/>
        </w:rPr>
        <w:t>7.5.3采购合同项目完成验收后，采购人应当将验收原始记录、验收书等资料作为该采购项目档案妥善保管，不得伪造、变造、隐匿或者销毁，验收资料保存期为采购结束之日起至少保存15年。</w:t>
      </w:r>
    </w:p>
    <w:p w14:paraId="0784FA26">
      <w:pPr>
        <w:spacing w:before="120" w:line="320" w:lineRule="atLeast"/>
        <w:ind w:firstLine="420" w:firstLineChars="200"/>
        <w:rPr>
          <w:rFonts w:ascii="宋体" w:hAnsi="宋体"/>
          <w:color w:val="auto"/>
          <w:szCs w:val="21"/>
        </w:rPr>
      </w:pPr>
      <w:r>
        <w:rPr>
          <w:rFonts w:ascii="宋体" w:hAnsi="宋体"/>
          <w:color w:val="auto"/>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8604533">
      <w:pPr>
        <w:spacing w:before="120" w:line="320" w:lineRule="atLeast"/>
        <w:ind w:left="2" w:leftChars="1" w:firstLine="422" w:firstLineChars="200"/>
        <w:outlineLvl w:val="1"/>
        <w:rPr>
          <w:rFonts w:ascii="宋体" w:hAnsi="宋体"/>
          <w:b/>
          <w:bCs/>
          <w:color w:val="auto"/>
          <w:kern w:val="0"/>
          <w:szCs w:val="21"/>
        </w:rPr>
      </w:pPr>
      <w:bookmarkStart w:id="70" w:name="_Toc254970533"/>
      <w:bookmarkStart w:id="71" w:name="_Toc254970674"/>
      <w:r>
        <w:rPr>
          <w:rFonts w:ascii="宋体" w:hAnsi="宋体"/>
          <w:b/>
          <w:bCs/>
          <w:color w:val="auto"/>
          <w:kern w:val="0"/>
          <w:szCs w:val="21"/>
        </w:rPr>
        <w:t>8．质疑和投诉</w:t>
      </w:r>
      <w:bookmarkEnd w:id="70"/>
      <w:bookmarkEnd w:id="71"/>
    </w:p>
    <w:p w14:paraId="45A601E5">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8.1质疑</w:t>
      </w:r>
    </w:p>
    <w:p w14:paraId="4836E9CF">
      <w:pPr>
        <w:spacing w:before="120" w:line="320" w:lineRule="atLeast"/>
        <w:ind w:firstLine="420" w:firstLineChars="200"/>
        <w:rPr>
          <w:rFonts w:ascii="宋体" w:hAnsi="宋体"/>
          <w:color w:val="auto"/>
          <w:szCs w:val="21"/>
        </w:rPr>
      </w:pPr>
      <w:r>
        <w:rPr>
          <w:rFonts w:ascii="宋体" w:hAnsi="宋体"/>
          <w:color w:val="auto"/>
          <w:szCs w:val="21"/>
        </w:rPr>
        <w:t>8.1.1质疑内容、时限</w:t>
      </w:r>
    </w:p>
    <w:p w14:paraId="307B62C3">
      <w:pPr>
        <w:spacing w:before="120" w:line="320" w:lineRule="atLeast"/>
        <w:ind w:firstLine="420" w:firstLineChars="200"/>
        <w:rPr>
          <w:rFonts w:ascii="宋体" w:hAnsi="宋体"/>
          <w:color w:val="auto"/>
          <w:szCs w:val="21"/>
        </w:rPr>
      </w:pPr>
      <w:r>
        <w:rPr>
          <w:rFonts w:hint="eastAsia" w:ascii="宋体" w:hAnsi="宋体"/>
          <w:color w:val="auto"/>
          <w:szCs w:val="21"/>
        </w:rPr>
        <w:t>（1）供应商对政府采购活动有疑问的，可以向采购人或采购代理机构提出询问。采购人或者采购代理机构应当在3个工作日内对供应商依法提出的询问作出答复。</w:t>
      </w:r>
    </w:p>
    <w:p w14:paraId="2A5AFBB9">
      <w:pPr>
        <w:spacing w:before="120" w:line="320" w:lineRule="atLeast"/>
        <w:ind w:firstLine="420" w:firstLineChars="200"/>
        <w:rPr>
          <w:rFonts w:ascii="宋体" w:hAnsi="宋体"/>
          <w:color w:val="auto"/>
          <w:szCs w:val="21"/>
        </w:rPr>
      </w:pPr>
      <w:r>
        <w:rPr>
          <w:rFonts w:hint="eastAsia" w:ascii="宋体" w:hAnsi="宋体"/>
          <w:color w:val="auto"/>
          <w:szCs w:val="21"/>
        </w:rPr>
        <w:t>（2）供应商认为采购文件、采购过程、中标或者成交结果使自己的权益受到损害的，可以在知道或者应知其权益受到损害之日起7个工作日内向采购人或采购代理机构提出质疑。采购人或</w:t>
      </w:r>
      <w:r>
        <w:rPr>
          <w:rFonts w:ascii="宋体" w:hAnsi="宋体"/>
          <w:color w:val="auto"/>
          <w:szCs w:val="21"/>
        </w:rPr>
        <w:t>采购代理机构在收到供应商书面质疑后7个工作日内，对质疑内容作出答复。</w:t>
      </w:r>
    </w:p>
    <w:p w14:paraId="73DF2D11">
      <w:pPr>
        <w:spacing w:before="120" w:line="320" w:lineRule="atLeast"/>
        <w:ind w:firstLine="420" w:firstLineChars="200"/>
        <w:rPr>
          <w:rFonts w:ascii="宋体" w:hAnsi="宋体"/>
          <w:color w:val="auto"/>
          <w:szCs w:val="21"/>
        </w:rPr>
      </w:pPr>
      <w:r>
        <w:rPr>
          <w:rFonts w:ascii="宋体" w:hAnsi="宋体"/>
          <w:color w:val="auto"/>
          <w:szCs w:val="21"/>
        </w:rPr>
        <w:t>8.1.2质疑形式</w:t>
      </w:r>
    </w:p>
    <w:p w14:paraId="6D9C10C4">
      <w:pPr>
        <w:spacing w:before="120" w:line="320" w:lineRule="atLeast"/>
        <w:ind w:firstLine="420" w:firstLineChars="200"/>
        <w:rPr>
          <w:rFonts w:ascii="宋体" w:hAnsi="宋体"/>
          <w:color w:val="auto"/>
          <w:szCs w:val="21"/>
        </w:rPr>
      </w:pPr>
      <w:r>
        <w:rPr>
          <w:rFonts w:ascii="宋体" w:hAnsi="宋体"/>
          <w:color w:val="auto"/>
          <w:szCs w:val="21"/>
        </w:rPr>
        <w:t>质疑应当采用</w:t>
      </w:r>
      <w:r>
        <w:rPr>
          <w:rFonts w:hint="eastAsia" w:ascii="宋体" w:hAnsi="宋体"/>
          <w:color w:val="auto"/>
          <w:szCs w:val="21"/>
        </w:rPr>
        <w:t>供应商</w:t>
      </w:r>
      <w:r>
        <w:rPr>
          <w:rFonts w:ascii="宋体" w:hAnsi="宋体"/>
          <w:color w:val="auto"/>
          <w:szCs w:val="21"/>
        </w:rPr>
        <w:t>须知前附表所规定的形式，质疑书应明确阐述</w:t>
      </w:r>
      <w:r>
        <w:rPr>
          <w:rFonts w:hint="eastAsia" w:ascii="宋体" w:hAnsi="宋体"/>
          <w:color w:val="auto"/>
          <w:szCs w:val="21"/>
        </w:rPr>
        <w:t>采购文件</w:t>
      </w:r>
      <w:r>
        <w:rPr>
          <w:rFonts w:ascii="宋体" w:hAnsi="宋体"/>
          <w:color w:val="auto"/>
          <w:szCs w:val="21"/>
        </w:rPr>
        <w:t>、</w:t>
      </w:r>
      <w:r>
        <w:rPr>
          <w:rFonts w:hint="eastAsia" w:ascii="宋体" w:hAnsi="宋体"/>
          <w:color w:val="auto"/>
          <w:szCs w:val="21"/>
        </w:rPr>
        <w:t>采购</w:t>
      </w:r>
      <w:r>
        <w:rPr>
          <w:rFonts w:ascii="宋体" w:hAnsi="宋体"/>
          <w:color w:val="auto"/>
          <w:szCs w:val="21"/>
        </w:rPr>
        <w:t>过程或成交结果中使自己合法权益受到损害的实质性内容，提供相关事实、依据和证据及其来源或线索，便于有关单位调查、答复和处理。</w:t>
      </w:r>
    </w:p>
    <w:p w14:paraId="3D8C6533">
      <w:pPr>
        <w:spacing w:before="120" w:line="320" w:lineRule="atLeast"/>
        <w:ind w:firstLine="420" w:firstLineChars="200"/>
        <w:rPr>
          <w:rFonts w:ascii="宋体" w:hAnsi="宋体"/>
          <w:color w:val="auto"/>
          <w:szCs w:val="21"/>
        </w:rPr>
      </w:pPr>
      <w:r>
        <w:rPr>
          <w:rFonts w:hint="eastAsia" w:ascii="宋体" w:hAnsi="宋体"/>
          <w:color w:val="auto"/>
          <w:szCs w:val="21"/>
        </w:rPr>
        <w:t>8</w:t>
      </w:r>
      <w:r>
        <w:rPr>
          <w:rFonts w:ascii="宋体" w:hAnsi="宋体"/>
          <w:color w:val="auto"/>
          <w:szCs w:val="21"/>
        </w:rPr>
        <w:t>.1.3</w:t>
      </w:r>
      <w:r>
        <w:rPr>
          <w:rFonts w:hint="eastAsia" w:ascii="宋体" w:hAnsi="宋体"/>
          <w:color w:val="auto"/>
        </w:rPr>
        <w:t xml:space="preserve"> </w:t>
      </w:r>
      <w:r>
        <w:rPr>
          <w:rFonts w:hint="eastAsia" w:ascii="宋体" w:hAnsi="宋体"/>
          <w:color w:val="auto"/>
          <w:szCs w:val="21"/>
        </w:rPr>
        <w:t>供应商提出质疑应当提交质疑函和必要的证明材料。质疑函应当包括下列内容：</w:t>
      </w:r>
    </w:p>
    <w:p w14:paraId="0F075B8E">
      <w:pPr>
        <w:spacing w:before="120" w:line="320" w:lineRule="atLeast"/>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rPr>
        <w:tab/>
      </w:r>
      <w:r>
        <w:rPr>
          <w:rFonts w:hint="eastAsia" w:ascii="宋体" w:hAnsi="宋体"/>
          <w:color w:val="auto"/>
          <w:szCs w:val="21"/>
        </w:rPr>
        <w:t>供应商的姓名或者名称、地址、邮编、联系人及联系电话；</w:t>
      </w:r>
    </w:p>
    <w:p w14:paraId="5E95C660">
      <w:pPr>
        <w:spacing w:before="120" w:line="320" w:lineRule="atLeast"/>
        <w:ind w:firstLine="420" w:firstLineChars="200"/>
        <w:rPr>
          <w:rFonts w:ascii="宋体" w:hAnsi="宋体"/>
          <w:color w:val="auto"/>
          <w:szCs w:val="21"/>
        </w:rPr>
      </w:pPr>
      <w:r>
        <w:rPr>
          <w:rFonts w:hint="eastAsia" w:ascii="宋体" w:hAnsi="宋体"/>
          <w:color w:val="auto"/>
          <w:szCs w:val="21"/>
        </w:rPr>
        <w:t>（2）</w:t>
      </w:r>
      <w:r>
        <w:rPr>
          <w:rFonts w:hint="eastAsia" w:ascii="宋体" w:hAnsi="宋体"/>
          <w:color w:val="auto"/>
          <w:szCs w:val="21"/>
        </w:rPr>
        <w:tab/>
      </w:r>
      <w:r>
        <w:rPr>
          <w:rFonts w:hint="eastAsia" w:ascii="宋体" w:hAnsi="宋体"/>
          <w:color w:val="auto"/>
          <w:szCs w:val="21"/>
        </w:rPr>
        <w:t>质疑项目的名称、编号；</w:t>
      </w:r>
    </w:p>
    <w:p w14:paraId="080B08FB">
      <w:pPr>
        <w:spacing w:before="120" w:line="320" w:lineRule="atLeast"/>
        <w:ind w:firstLine="420" w:firstLineChars="200"/>
        <w:rPr>
          <w:rFonts w:ascii="宋体" w:hAnsi="宋体"/>
          <w:color w:val="auto"/>
          <w:szCs w:val="21"/>
        </w:rPr>
      </w:pPr>
      <w:r>
        <w:rPr>
          <w:rFonts w:hint="eastAsia" w:ascii="宋体" w:hAnsi="宋体"/>
          <w:color w:val="auto"/>
          <w:szCs w:val="21"/>
        </w:rPr>
        <w:t>（3）</w:t>
      </w:r>
      <w:r>
        <w:rPr>
          <w:rFonts w:hint="eastAsia" w:ascii="宋体" w:hAnsi="宋体"/>
          <w:color w:val="auto"/>
          <w:szCs w:val="21"/>
        </w:rPr>
        <w:tab/>
      </w:r>
      <w:r>
        <w:rPr>
          <w:rFonts w:hint="eastAsia" w:ascii="宋体" w:hAnsi="宋体"/>
          <w:color w:val="auto"/>
          <w:szCs w:val="21"/>
        </w:rPr>
        <w:t>具体、明确的质疑事项和与质疑事项相关的请求；</w:t>
      </w:r>
    </w:p>
    <w:p w14:paraId="2EC3BBAF">
      <w:pPr>
        <w:spacing w:before="120" w:line="320" w:lineRule="atLeast"/>
        <w:ind w:firstLine="420" w:firstLineChars="200"/>
        <w:rPr>
          <w:rFonts w:ascii="宋体" w:hAnsi="宋体"/>
          <w:color w:val="auto"/>
          <w:szCs w:val="21"/>
        </w:rPr>
      </w:pPr>
      <w:r>
        <w:rPr>
          <w:rFonts w:hint="eastAsia" w:ascii="宋体" w:hAnsi="宋体"/>
          <w:color w:val="auto"/>
          <w:szCs w:val="21"/>
        </w:rPr>
        <w:t>（4）</w:t>
      </w:r>
      <w:r>
        <w:rPr>
          <w:rFonts w:hint="eastAsia" w:ascii="宋体" w:hAnsi="宋体"/>
          <w:color w:val="auto"/>
          <w:szCs w:val="21"/>
        </w:rPr>
        <w:tab/>
      </w:r>
      <w:r>
        <w:rPr>
          <w:rFonts w:hint="eastAsia" w:ascii="宋体" w:hAnsi="宋体"/>
          <w:color w:val="auto"/>
          <w:szCs w:val="21"/>
        </w:rPr>
        <w:t>事实依据；</w:t>
      </w:r>
    </w:p>
    <w:p w14:paraId="6489AE9D">
      <w:pPr>
        <w:spacing w:before="120" w:line="320" w:lineRule="atLeast"/>
        <w:ind w:firstLine="420" w:firstLineChars="200"/>
        <w:rPr>
          <w:rFonts w:ascii="宋体" w:hAnsi="宋体"/>
          <w:color w:val="auto"/>
          <w:szCs w:val="21"/>
        </w:rPr>
      </w:pPr>
      <w:r>
        <w:rPr>
          <w:rFonts w:hint="eastAsia" w:ascii="宋体" w:hAnsi="宋体"/>
          <w:color w:val="auto"/>
          <w:szCs w:val="21"/>
        </w:rPr>
        <w:t>（5）</w:t>
      </w:r>
      <w:r>
        <w:rPr>
          <w:rFonts w:hint="eastAsia" w:ascii="宋体" w:hAnsi="宋体"/>
          <w:color w:val="auto"/>
          <w:szCs w:val="21"/>
        </w:rPr>
        <w:tab/>
      </w:r>
      <w:r>
        <w:rPr>
          <w:rFonts w:hint="eastAsia" w:ascii="宋体" w:hAnsi="宋体"/>
          <w:color w:val="auto"/>
          <w:szCs w:val="21"/>
        </w:rPr>
        <w:t>必要的法律依据；</w:t>
      </w:r>
    </w:p>
    <w:p w14:paraId="1B856548">
      <w:pPr>
        <w:spacing w:before="120" w:line="320" w:lineRule="atLeast"/>
        <w:ind w:firstLine="420" w:firstLineChars="200"/>
        <w:rPr>
          <w:rFonts w:ascii="宋体" w:hAnsi="宋体"/>
          <w:color w:val="auto"/>
          <w:szCs w:val="21"/>
        </w:rPr>
      </w:pPr>
      <w:r>
        <w:rPr>
          <w:rFonts w:hint="eastAsia" w:ascii="宋体" w:hAnsi="宋体"/>
          <w:color w:val="auto"/>
          <w:szCs w:val="21"/>
        </w:rPr>
        <w:t>（6）</w:t>
      </w:r>
      <w:r>
        <w:rPr>
          <w:rFonts w:hint="eastAsia" w:ascii="宋体" w:hAnsi="宋体"/>
          <w:color w:val="auto"/>
          <w:szCs w:val="21"/>
        </w:rPr>
        <w:tab/>
      </w:r>
      <w:r>
        <w:rPr>
          <w:rFonts w:hint="eastAsia" w:ascii="宋体" w:hAnsi="宋体"/>
          <w:color w:val="auto"/>
          <w:szCs w:val="21"/>
        </w:rPr>
        <w:t>提出质疑的日期。</w:t>
      </w:r>
    </w:p>
    <w:p w14:paraId="60E419F9">
      <w:pPr>
        <w:spacing w:before="120" w:line="320" w:lineRule="atLeast"/>
        <w:ind w:firstLine="420" w:firstLineChars="200"/>
        <w:rPr>
          <w:rFonts w:ascii="宋体" w:hAnsi="宋体"/>
          <w:color w:val="auto"/>
          <w:szCs w:val="21"/>
        </w:rPr>
      </w:pPr>
      <w:r>
        <w:rPr>
          <w:rFonts w:hint="eastAsia" w:ascii="宋体" w:hAnsi="宋体"/>
          <w:color w:val="auto"/>
          <w:szCs w:val="21"/>
        </w:rPr>
        <w:t>供应商为自然人的，应当由本人签字；供应商为法人或者其他组织的，应当由法定代表人、主要负责人，或者其授权代表签字或者盖章，并加盖公章。</w:t>
      </w:r>
      <w:r>
        <w:rPr>
          <w:rFonts w:ascii="宋体" w:hAnsi="宋体"/>
          <w:color w:val="auto"/>
          <w:szCs w:val="21"/>
        </w:rPr>
        <w:t xml:space="preserve"> </w:t>
      </w:r>
    </w:p>
    <w:p w14:paraId="7734CC99">
      <w:pPr>
        <w:spacing w:before="120" w:line="320" w:lineRule="atLeast"/>
        <w:ind w:firstLine="422" w:firstLineChars="200"/>
        <w:outlineLvl w:val="2"/>
        <w:rPr>
          <w:rFonts w:ascii="宋体" w:hAnsi="宋体"/>
          <w:b/>
          <w:bCs/>
          <w:color w:val="auto"/>
          <w:kern w:val="0"/>
          <w:szCs w:val="21"/>
        </w:rPr>
      </w:pPr>
      <w:r>
        <w:rPr>
          <w:rFonts w:ascii="宋体" w:hAnsi="宋体"/>
          <w:b/>
          <w:bCs/>
          <w:color w:val="auto"/>
          <w:kern w:val="0"/>
          <w:szCs w:val="21"/>
        </w:rPr>
        <w:t>8.2投诉</w:t>
      </w:r>
    </w:p>
    <w:p w14:paraId="4BB938E0">
      <w:pPr>
        <w:spacing w:before="120" w:line="320" w:lineRule="atLeast"/>
        <w:ind w:firstLine="420" w:firstLineChars="200"/>
        <w:rPr>
          <w:rFonts w:ascii="宋体" w:hAnsi="宋体"/>
          <w:color w:val="auto"/>
          <w:szCs w:val="21"/>
        </w:rPr>
      </w:pPr>
      <w:r>
        <w:rPr>
          <w:rFonts w:ascii="宋体" w:hAnsi="宋体"/>
          <w:color w:val="auto"/>
          <w:szCs w:val="21"/>
        </w:rPr>
        <w:t>8.2.1供应商对采购人、采购代理机构的答复不满意，或者采购人、采购代理机构未在规定时间内答复的，可在答复期满后15个工作日内按有关规定，向同级财政部门投诉。</w:t>
      </w:r>
    </w:p>
    <w:p w14:paraId="484A9EC3">
      <w:pPr>
        <w:spacing w:before="120" w:line="320" w:lineRule="atLeast"/>
        <w:ind w:firstLine="420" w:firstLineChars="200"/>
        <w:rPr>
          <w:rFonts w:ascii="宋体" w:hAnsi="宋体"/>
          <w:color w:val="auto"/>
          <w:szCs w:val="21"/>
        </w:rPr>
      </w:pPr>
      <w:r>
        <w:rPr>
          <w:rFonts w:ascii="宋体" w:hAnsi="宋体"/>
          <w:color w:val="auto"/>
          <w:szCs w:val="21"/>
        </w:rPr>
        <w:t>8.2.</w:t>
      </w:r>
      <w:r>
        <w:rPr>
          <w:rFonts w:hint="eastAsia" w:ascii="宋体" w:hAnsi="宋体"/>
          <w:color w:val="auto"/>
          <w:szCs w:val="21"/>
        </w:rPr>
        <w:t>2投诉</w:t>
      </w:r>
      <w:r>
        <w:rPr>
          <w:rFonts w:ascii="宋体" w:hAnsi="宋体"/>
          <w:color w:val="auto"/>
          <w:szCs w:val="21"/>
        </w:rPr>
        <w:t>书应使用财政部发布的</w:t>
      </w:r>
      <w:r>
        <w:rPr>
          <w:rFonts w:hint="eastAsia" w:ascii="宋体" w:hAnsi="宋体"/>
          <w:color w:val="auto"/>
          <w:szCs w:val="21"/>
        </w:rPr>
        <w:t>政府采购供应投诉书范本，并应按照“投诉书制作说明”进行编写。</w:t>
      </w:r>
    </w:p>
    <w:p w14:paraId="71814809">
      <w:pPr>
        <w:spacing w:before="120" w:line="320" w:lineRule="atLeast"/>
        <w:ind w:firstLine="422" w:firstLineChars="200"/>
        <w:outlineLvl w:val="1"/>
        <w:rPr>
          <w:rFonts w:ascii="宋体" w:hAnsi="宋体"/>
          <w:b/>
          <w:bCs/>
          <w:color w:val="auto"/>
          <w:kern w:val="0"/>
          <w:szCs w:val="21"/>
        </w:rPr>
      </w:pPr>
      <w:r>
        <w:rPr>
          <w:rFonts w:ascii="宋体" w:hAnsi="宋体"/>
          <w:b/>
          <w:bCs/>
          <w:color w:val="auto"/>
          <w:kern w:val="0"/>
          <w:szCs w:val="21"/>
        </w:rPr>
        <w:t>9．其他事项</w:t>
      </w:r>
    </w:p>
    <w:p w14:paraId="57DEA025">
      <w:pPr>
        <w:spacing w:before="120" w:line="320" w:lineRule="atLeast"/>
        <w:ind w:firstLine="420" w:firstLineChars="200"/>
        <w:rPr>
          <w:rFonts w:ascii="宋体" w:hAnsi="宋体"/>
          <w:color w:val="auto"/>
          <w:szCs w:val="21"/>
        </w:rPr>
      </w:pPr>
      <w:r>
        <w:rPr>
          <w:rFonts w:ascii="宋体" w:hAnsi="宋体"/>
          <w:color w:val="auto"/>
          <w:szCs w:val="21"/>
        </w:rPr>
        <w:t>9.1代理服务收费由采购代理机构向成交供应商收取。签订合同前，成交供应商应向采购代理机构一次付清代理服务费。</w:t>
      </w:r>
    </w:p>
    <w:p w14:paraId="20E860C4">
      <w:pPr>
        <w:spacing w:before="120" w:line="276" w:lineRule="auto"/>
        <w:ind w:firstLine="420" w:firstLineChars="200"/>
        <w:rPr>
          <w:rFonts w:ascii="宋体" w:hAnsi="宋体"/>
          <w:color w:val="auto"/>
          <w:szCs w:val="21"/>
        </w:rPr>
      </w:pPr>
      <w:r>
        <w:rPr>
          <w:rFonts w:ascii="宋体" w:hAnsi="宋体"/>
          <w:color w:val="auto"/>
          <w:szCs w:val="21"/>
        </w:rPr>
        <w:t>9.2</w:t>
      </w:r>
      <w:r>
        <w:rPr>
          <w:rFonts w:hint="eastAsia" w:ascii="宋体" w:hAnsi="宋体"/>
          <w:color w:val="auto"/>
          <w:szCs w:val="21"/>
        </w:rPr>
        <w:t>电子交易活动的中止。采购过程中出现以下情形，导致电子交易平台无法正常运行，或者无法保证电子交易的公平、公正和安全时，采购机构可中止电子交易活动：</w:t>
      </w:r>
    </w:p>
    <w:p w14:paraId="63CC3771">
      <w:pPr>
        <w:spacing w:before="120" w:line="276" w:lineRule="auto"/>
        <w:ind w:firstLine="420" w:firstLineChars="200"/>
        <w:rPr>
          <w:rFonts w:ascii="宋体" w:hAnsi="宋体"/>
          <w:color w:val="auto"/>
          <w:szCs w:val="21"/>
        </w:rPr>
      </w:pPr>
      <w:r>
        <w:rPr>
          <w:rFonts w:hint="eastAsia" w:ascii="宋体" w:hAnsi="宋体"/>
          <w:color w:val="auto"/>
          <w:szCs w:val="21"/>
        </w:rPr>
        <w:t xml:space="preserve">（1）电子交易平台发生故障而无法登录访问的； </w:t>
      </w:r>
    </w:p>
    <w:p w14:paraId="726CE6EA">
      <w:pPr>
        <w:spacing w:before="120" w:line="276" w:lineRule="auto"/>
        <w:ind w:firstLine="420" w:firstLineChars="200"/>
        <w:rPr>
          <w:rFonts w:ascii="宋体" w:hAnsi="宋体"/>
          <w:color w:val="auto"/>
          <w:szCs w:val="21"/>
        </w:rPr>
      </w:pPr>
      <w:r>
        <w:rPr>
          <w:rFonts w:hint="eastAsia" w:ascii="宋体" w:hAnsi="宋体"/>
          <w:color w:val="auto"/>
          <w:szCs w:val="21"/>
        </w:rPr>
        <w:t>（2）电子交易平台应用或数据库出现错误，不能进行正常操作的；</w:t>
      </w:r>
    </w:p>
    <w:p w14:paraId="4143F582">
      <w:pPr>
        <w:spacing w:before="120" w:line="276" w:lineRule="auto"/>
        <w:ind w:firstLine="420" w:firstLineChars="200"/>
        <w:rPr>
          <w:rFonts w:ascii="宋体" w:hAnsi="宋体"/>
          <w:color w:val="auto"/>
          <w:szCs w:val="21"/>
        </w:rPr>
      </w:pPr>
      <w:r>
        <w:rPr>
          <w:rFonts w:hint="eastAsia" w:ascii="宋体" w:hAnsi="宋体"/>
          <w:color w:val="auto"/>
          <w:szCs w:val="21"/>
        </w:rPr>
        <w:t>（3）电子交易平台发现严重安全漏洞，有潜在泄密危险的；</w:t>
      </w:r>
    </w:p>
    <w:p w14:paraId="1B53A358">
      <w:pPr>
        <w:spacing w:before="120" w:line="276" w:lineRule="auto"/>
        <w:ind w:firstLine="420" w:firstLineChars="200"/>
        <w:rPr>
          <w:rFonts w:ascii="宋体" w:hAnsi="宋体"/>
          <w:color w:val="auto"/>
          <w:szCs w:val="21"/>
        </w:rPr>
      </w:pPr>
      <w:r>
        <w:rPr>
          <w:rFonts w:hint="eastAsia" w:ascii="宋体" w:hAnsi="宋体"/>
          <w:color w:val="auto"/>
          <w:szCs w:val="21"/>
        </w:rPr>
        <w:t xml:space="preserve">（4）病毒发作导致不能进行正常操作的； </w:t>
      </w:r>
    </w:p>
    <w:p w14:paraId="01E2FDC1">
      <w:pPr>
        <w:spacing w:before="120" w:line="276" w:lineRule="auto"/>
        <w:ind w:firstLine="420" w:firstLineChars="200"/>
        <w:rPr>
          <w:rFonts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）其他无法保证电子交易的公平、公正和安全的情况。</w:t>
      </w:r>
    </w:p>
    <w:p w14:paraId="6C7FE8E7">
      <w:pPr>
        <w:tabs>
          <w:tab w:val="left" w:pos="4820"/>
        </w:tabs>
        <w:spacing w:before="120" w:line="360" w:lineRule="auto"/>
        <w:ind w:firstLine="420" w:firstLineChars="200"/>
        <w:rPr>
          <w:rFonts w:ascii="宋体" w:hAnsi="宋体"/>
          <w:color w:val="auto"/>
          <w:szCs w:val="21"/>
        </w:rPr>
      </w:pPr>
      <w:r>
        <w:rPr>
          <w:rFonts w:hint="eastAsia" w:ascii="宋体" w:hAnsi="宋体"/>
          <w:color w:val="auto"/>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ascii="宋体" w:hAnsi="宋体"/>
          <w:color w:val="auto"/>
          <w:szCs w:val="21"/>
        </w:rPr>
        <w:t xml:space="preserve"> </w:t>
      </w:r>
    </w:p>
    <w:p w14:paraId="19798282">
      <w:pPr>
        <w:spacing w:line="360" w:lineRule="auto"/>
        <w:ind w:firstLine="420"/>
        <w:rPr>
          <w:rFonts w:ascii="宋体" w:hAnsi="宋体"/>
          <w:color w:val="auto"/>
          <w:szCs w:val="21"/>
        </w:rPr>
      </w:pPr>
      <w:r>
        <w:rPr>
          <w:rFonts w:ascii="宋体" w:hAnsi="宋体"/>
          <w:color w:val="auto"/>
          <w:szCs w:val="21"/>
        </w:rPr>
        <w:t>9.3</w:t>
      </w:r>
      <w:r>
        <w:rPr>
          <w:rFonts w:hint="eastAsia" w:ascii="宋体" w:hAnsi="宋体"/>
          <w:color w:val="auto"/>
          <w:szCs w:val="21"/>
        </w:rPr>
        <w:t>本项目的附件及图纸</w:t>
      </w:r>
      <w:r>
        <w:rPr>
          <w:rFonts w:ascii="宋体" w:hAnsi="宋体"/>
          <w:color w:val="auto"/>
          <w:szCs w:val="21"/>
        </w:rPr>
        <w:t>详见供应商须知前附表</w:t>
      </w:r>
      <w:r>
        <w:rPr>
          <w:rFonts w:hint="eastAsia" w:ascii="宋体" w:hAnsi="宋体"/>
          <w:color w:val="auto"/>
          <w:szCs w:val="21"/>
        </w:rPr>
        <w:t>。</w:t>
      </w:r>
    </w:p>
    <w:p w14:paraId="7C9BA139">
      <w:pPr>
        <w:spacing w:line="360" w:lineRule="auto"/>
        <w:ind w:firstLine="420"/>
        <w:rPr>
          <w:rFonts w:ascii="宋体" w:hAnsi="宋体"/>
          <w:color w:val="auto"/>
          <w:szCs w:val="21"/>
        </w:rPr>
      </w:pPr>
      <w:r>
        <w:rPr>
          <w:rFonts w:ascii="宋体" w:hAnsi="宋体"/>
          <w:color w:val="auto"/>
          <w:szCs w:val="21"/>
        </w:rPr>
        <w:t>9.4</w:t>
      </w:r>
      <w:r>
        <w:rPr>
          <w:rFonts w:hint="eastAsia" w:ascii="宋体" w:hAnsi="宋体"/>
          <w:color w:val="auto"/>
          <w:szCs w:val="21"/>
        </w:rPr>
        <w:t>本项目的其他事项</w:t>
      </w:r>
      <w:r>
        <w:rPr>
          <w:rFonts w:ascii="宋体" w:hAnsi="宋体"/>
          <w:color w:val="auto"/>
          <w:szCs w:val="21"/>
        </w:rPr>
        <w:t>详见供应商须知前附表</w:t>
      </w:r>
      <w:r>
        <w:rPr>
          <w:rFonts w:hint="eastAsia" w:ascii="宋体" w:hAnsi="宋体"/>
          <w:color w:val="auto"/>
          <w:szCs w:val="21"/>
        </w:rPr>
        <w:t>。</w:t>
      </w:r>
    </w:p>
    <w:p w14:paraId="5FD96AA9">
      <w:pPr>
        <w:spacing w:before="120" w:line="320" w:lineRule="atLeast"/>
        <w:ind w:left="2" w:leftChars="1" w:firstLine="422" w:firstLineChars="200"/>
        <w:outlineLvl w:val="1"/>
        <w:rPr>
          <w:rFonts w:ascii="宋体" w:hAnsi="宋体"/>
          <w:b/>
          <w:bCs/>
          <w:color w:val="auto"/>
          <w:kern w:val="0"/>
          <w:szCs w:val="21"/>
        </w:rPr>
      </w:pPr>
      <w:r>
        <w:rPr>
          <w:rFonts w:ascii="宋体" w:hAnsi="宋体"/>
          <w:b/>
          <w:bCs/>
          <w:color w:val="auto"/>
          <w:kern w:val="0"/>
          <w:szCs w:val="21"/>
        </w:rPr>
        <w:t>10．</w:t>
      </w:r>
      <w:r>
        <w:rPr>
          <w:rFonts w:hint="eastAsia" w:ascii="宋体" w:hAnsi="宋体"/>
          <w:b/>
          <w:bCs/>
          <w:color w:val="auto"/>
          <w:kern w:val="0"/>
          <w:szCs w:val="21"/>
        </w:rPr>
        <w:t>其他说明</w:t>
      </w:r>
    </w:p>
    <w:p w14:paraId="432A5976">
      <w:pPr>
        <w:spacing w:before="120" w:line="320" w:lineRule="atLeast"/>
        <w:ind w:left="2" w:leftChars="1" w:firstLine="422" w:firstLineChars="200"/>
        <w:outlineLvl w:val="1"/>
        <w:rPr>
          <w:rFonts w:ascii="宋体" w:hAnsi="宋体"/>
          <w:color w:val="auto"/>
          <w:kern w:val="0"/>
          <w:szCs w:val="21"/>
        </w:rPr>
      </w:pPr>
      <w:r>
        <w:rPr>
          <w:rFonts w:hint="eastAsia" w:ascii="宋体" w:hAnsi="宋体"/>
          <w:b/>
          <w:bCs/>
          <w:color w:val="auto"/>
          <w:kern w:val="0"/>
          <w:szCs w:val="21"/>
        </w:rPr>
        <w:t>1</w:t>
      </w:r>
      <w:r>
        <w:rPr>
          <w:rFonts w:ascii="宋体" w:hAnsi="宋体"/>
          <w:b/>
          <w:bCs/>
          <w:color w:val="auto"/>
          <w:kern w:val="0"/>
          <w:szCs w:val="21"/>
        </w:rPr>
        <w:t>0.1</w:t>
      </w:r>
      <w:r>
        <w:rPr>
          <w:rFonts w:hint="eastAsia" w:ascii="宋体" w:hAnsi="宋体"/>
          <w:color w:val="auto"/>
          <w:kern w:val="0"/>
          <w:szCs w:val="21"/>
        </w:rPr>
        <w:t>其余未尽事宜按</w:t>
      </w:r>
      <w:r>
        <w:rPr>
          <w:rFonts w:ascii="宋体" w:hAnsi="宋体"/>
          <w:color w:val="auto"/>
          <w:kern w:val="0"/>
          <w:szCs w:val="21"/>
        </w:rPr>
        <w:t>《中华人民共和国政府采购法》、《中华人民共和国政府采购法实施条例》</w:t>
      </w:r>
      <w:r>
        <w:rPr>
          <w:rFonts w:hint="eastAsia" w:ascii="宋体" w:hAnsi="宋体"/>
          <w:color w:val="auto"/>
          <w:kern w:val="0"/>
          <w:szCs w:val="21"/>
        </w:rPr>
        <w:t>的相关规定执行。</w:t>
      </w:r>
    </w:p>
    <w:p w14:paraId="3C8FE82C">
      <w:pPr>
        <w:spacing w:before="120" w:line="320" w:lineRule="atLeast"/>
        <w:ind w:left="2" w:leftChars="1" w:firstLine="422" w:firstLineChars="200"/>
        <w:outlineLvl w:val="1"/>
        <w:rPr>
          <w:rFonts w:ascii="宋体" w:hAnsi="宋体"/>
          <w:color w:val="auto"/>
          <w:sz w:val="32"/>
          <w:szCs w:val="32"/>
        </w:rPr>
        <w:sectPr>
          <w:headerReference r:id="rId15" w:type="first"/>
          <w:headerReference r:id="rId14" w:type="default"/>
          <w:pgSz w:w="11906" w:h="16838"/>
          <w:pgMar w:top="993" w:right="1133" w:bottom="1246" w:left="1418" w:header="851" w:footer="992" w:gutter="0"/>
          <w:cols w:space="720" w:num="1"/>
          <w:titlePg/>
          <w:docGrid w:linePitch="312" w:charSpace="0"/>
        </w:sectPr>
      </w:pPr>
      <w:r>
        <w:rPr>
          <w:rFonts w:ascii="宋体" w:hAnsi="宋体"/>
          <w:b/>
          <w:bCs/>
          <w:color w:val="auto"/>
          <w:kern w:val="0"/>
          <w:szCs w:val="21"/>
        </w:rPr>
        <w:t>10.2</w:t>
      </w:r>
      <w:r>
        <w:rPr>
          <w:rFonts w:hint="eastAsia" w:ascii="宋体" w:hAnsi="宋体"/>
          <w:color w:val="auto"/>
        </w:rPr>
        <w:t>本</w:t>
      </w:r>
      <w:r>
        <w:rPr>
          <w:rFonts w:ascii="宋体" w:hAnsi="宋体"/>
          <w:color w:val="auto"/>
        </w:rPr>
        <w:t>采购文件是根据国家有关法律及有关政策、法规和参照国际惯例编制，解释权属采购代理机构</w:t>
      </w:r>
    </w:p>
    <w:p w14:paraId="1E4BFB14">
      <w:pPr>
        <w:pStyle w:val="26"/>
        <w:snapToGrid w:val="0"/>
        <w:spacing w:before="120" w:after="120" w:line="320" w:lineRule="exact"/>
        <w:jc w:val="center"/>
        <w:outlineLvl w:val="0"/>
        <w:rPr>
          <w:rFonts w:hAnsi="宋体" w:cs="Times New Roman"/>
          <w:color w:val="auto"/>
          <w:sz w:val="32"/>
          <w:szCs w:val="32"/>
        </w:rPr>
      </w:pPr>
      <w:bookmarkStart w:id="72" w:name="_Toc229435053"/>
      <w:bookmarkStart w:id="73" w:name="_Toc254970549"/>
      <w:bookmarkStart w:id="74" w:name="_Toc254970690"/>
      <w:r>
        <w:rPr>
          <w:rFonts w:hAnsi="宋体" w:cs="Times New Roman"/>
          <w:color w:val="auto"/>
          <w:sz w:val="32"/>
          <w:szCs w:val="32"/>
        </w:rPr>
        <w:t>第四章  评审方法及标准</w:t>
      </w:r>
      <w:bookmarkEnd w:id="72"/>
    </w:p>
    <w:p w14:paraId="0D60927A">
      <w:pPr>
        <w:spacing w:before="120" w:line="320" w:lineRule="atLeast"/>
        <w:ind w:firstLine="413" w:firstLineChars="196"/>
        <w:outlineLvl w:val="1"/>
        <w:rPr>
          <w:rFonts w:ascii="宋体" w:hAnsi="宋体"/>
          <w:b/>
          <w:bCs/>
          <w:color w:val="auto"/>
          <w:kern w:val="0"/>
          <w:szCs w:val="21"/>
        </w:rPr>
      </w:pPr>
      <w:r>
        <w:rPr>
          <w:rFonts w:hint="eastAsia" w:ascii="宋体" w:hAnsi="宋体"/>
          <w:b/>
          <w:bCs/>
          <w:color w:val="auto"/>
          <w:kern w:val="0"/>
          <w:szCs w:val="21"/>
        </w:rPr>
        <w:t>1.</w:t>
      </w:r>
      <w:r>
        <w:rPr>
          <w:rFonts w:ascii="宋体" w:hAnsi="宋体"/>
          <w:b/>
          <w:bCs/>
          <w:color w:val="auto"/>
          <w:kern w:val="0"/>
          <w:szCs w:val="21"/>
        </w:rPr>
        <w:t>评审</w:t>
      </w:r>
      <w:r>
        <w:rPr>
          <w:rFonts w:hint="eastAsia" w:ascii="宋体" w:hAnsi="宋体"/>
          <w:b/>
          <w:bCs/>
          <w:color w:val="auto"/>
          <w:kern w:val="0"/>
          <w:szCs w:val="21"/>
        </w:rPr>
        <w:t>方法</w:t>
      </w:r>
    </w:p>
    <w:p w14:paraId="09FF64CF">
      <w:pPr>
        <w:suppressAutoHyphens/>
        <w:spacing w:before="120" w:line="320" w:lineRule="atLeast"/>
        <w:ind w:firstLine="420" w:firstLineChars="200"/>
        <w:rPr>
          <w:rFonts w:ascii="宋体" w:hAnsi="宋体"/>
          <w:color w:val="auto"/>
          <w:kern w:val="1"/>
          <w:szCs w:val="21"/>
        </w:rPr>
      </w:pPr>
      <w:r>
        <w:rPr>
          <w:rFonts w:ascii="宋体" w:hAnsi="宋体"/>
          <w:color w:val="auto"/>
          <w:szCs w:val="21"/>
        </w:rPr>
        <w:t>本项目采用</w:t>
      </w:r>
      <w:r>
        <w:rPr>
          <w:rFonts w:ascii="宋体" w:hAnsi="宋体"/>
          <w:bCs/>
          <w:color w:val="auto"/>
          <w:kern w:val="1"/>
          <w:szCs w:val="21"/>
        </w:rPr>
        <w:t>综合评分法</w:t>
      </w:r>
      <w:r>
        <w:rPr>
          <w:rFonts w:ascii="宋体" w:hAnsi="宋体"/>
          <w:color w:val="auto"/>
          <w:szCs w:val="21"/>
        </w:rPr>
        <w:t>进行评审</w:t>
      </w:r>
      <w:r>
        <w:rPr>
          <w:rFonts w:ascii="宋体" w:hAnsi="宋体"/>
          <w:bCs/>
          <w:color w:val="auto"/>
          <w:kern w:val="1"/>
          <w:szCs w:val="21"/>
        </w:rPr>
        <w:t>。</w:t>
      </w:r>
      <w:r>
        <w:rPr>
          <w:rFonts w:ascii="宋体" w:hAnsi="宋体"/>
          <w:color w:val="auto"/>
          <w:szCs w:val="21"/>
        </w:rPr>
        <w:t>综合评分法，是指响应文件满足采购文件全部实质性要求且按照评审因素的量化指标评审得分最高的</w:t>
      </w:r>
      <w:r>
        <w:rPr>
          <w:rFonts w:hint="eastAsia" w:ascii="宋体" w:hAnsi="宋体"/>
          <w:color w:val="auto"/>
          <w:szCs w:val="21"/>
        </w:rPr>
        <w:t>供应商</w:t>
      </w:r>
      <w:r>
        <w:rPr>
          <w:rFonts w:ascii="宋体" w:hAnsi="宋体"/>
          <w:color w:val="auto"/>
          <w:szCs w:val="21"/>
        </w:rPr>
        <w:t>为</w:t>
      </w:r>
      <w:r>
        <w:rPr>
          <w:rFonts w:hint="eastAsia" w:ascii="宋体" w:hAnsi="宋体"/>
          <w:color w:val="auto"/>
          <w:szCs w:val="21"/>
        </w:rPr>
        <w:t>成交</w:t>
      </w:r>
      <w:r>
        <w:rPr>
          <w:rFonts w:ascii="宋体" w:hAnsi="宋体"/>
          <w:color w:val="auto"/>
          <w:szCs w:val="21"/>
        </w:rPr>
        <w:t>候选人的评审方法。</w:t>
      </w:r>
    </w:p>
    <w:p w14:paraId="4163B413">
      <w:pPr>
        <w:suppressAutoHyphens/>
        <w:spacing w:before="120" w:line="320" w:lineRule="atLeast"/>
        <w:ind w:firstLine="420" w:firstLineChars="200"/>
        <w:rPr>
          <w:rFonts w:ascii="宋体" w:hAnsi="宋体"/>
          <w:color w:val="auto"/>
          <w:kern w:val="1"/>
          <w:szCs w:val="21"/>
        </w:rPr>
      </w:pPr>
      <w:r>
        <w:rPr>
          <w:rFonts w:hint="eastAsia" w:ascii="宋体" w:hAnsi="宋体"/>
          <w:color w:val="auto"/>
          <w:kern w:val="1"/>
          <w:szCs w:val="21"/>
        </w:rPr>
        <w:t>本项目评审的其他详细规定在第三章供应商须知中规定。</w:t>
      </w:r>
    </w:p>
    <w:p w14:paraId="3921CEF4">
      <w:pPr>
        <w:spacing w:before="120" w:line="320" w:lineRule="atLeast"/>
        <w:ind w:firstLine="413" w:firstLineChars="196"/>
        <w:outlineLvl w:val="1"/>
        <w:rPr>
          <w:rFonts w:ascii="宋体" w:hAnsi="宋体"/>
          <w:b/>
          <w:color w:val="auto"/>
          <w:kern w:val="0"/>
          <w:szCs w:val="21"/>
        </w:rPr>
      </w:pPr>
      <w:r>
        <w:rPr>
          <w:rFonts w:ascii="宋体" w:hAnsi="宋体"/>
          <w:b/>
          <w:color w:val="auto"/>
          <w:kern w:val="0"/>
          <w:szCs w:val="21"/>
        </w:rPr>
        <w:t>2</w:t>
      </w:r>
      <w:r>
        <w:rPr>
          <w:rFonts w:hint="eastAsia" w:ascii="宋体" w:hAnsi="宋体"/>
          <w:b/>
          <w:color w:val="auto"/>
          <w:kern w:val="0"/>
          <w:szCs w:val="21"/>
        </w:rPr>
        <w:t>.资格审查标准</w:t>
      </w:r>
      <w:r>
        <w:rPr>
          <w:rFonts w:hint="eastAsia" w:ascii="宋体" w:hAnsi="宋体"/>
          <w:b/>
          <w:bCs/>
          <w:color w:val="auto"/>
          <w:kern w:val="0"/>
          <w:szCs w:val="21"/>
        </w:rPr>
        <w:t>（不满足任何一项审查内容要求，资格审查即为不合格；</w:t>
      </w:r>
      <w:bookmarkStart w:id="75" w:name="_Hlk160525103"/>
      <w:r>
        <w:rPr>
          <w:rFonts w:hint="eastAsia" w:ascii="宋体" w:hAnsi="宋体"/>
          <w:b/>
          <w:bCs/>
          <w:color w:val="auto"/>
          <w:kern w:val="0"/>
          <w:szCs w:val="21"/>
        </w:rPr>
        <w:t>联合体投标的，联合体各方均应提交第一项基本资格要求的资格证明文件）</w:t>
      </w:r>
      <w:bookmarkEnd w:id="75"/>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78B0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44DFDBFC">
            <w:pPr>
              <w:spacing w:line="240" w:lineRule="exact"/>
              <w:jc w:val="center"/>
              <w:rPr>
                <w:rFonts w:ascii="宋体" w:hAnsi="宋体"/>
                <w:b/>
                <w:color w:val="auto"/>
                <w:kern w:val="0"/>
                <w:szCs w:val="21"/>
              </w:rPr>
            </w:pPr>
            <w:r>
              <w:rPr>
                <w:rFonts w:hint="eastAsia" w:ascii="宋体" w:hAnsi="宋体"/>
                <w:b/>
                <w:color w:val="auto"/>
                <w:kern w:val="0"/>
                <w:szCs w:val="21"/>
              </w:rPr>
              <w:t>审查</w:t>
            </w:r>
            <w:r>
              <w:rPr>
                <w:rFonts w:ascii="宋体" w:hAnsi="宋体"/>
                <w:b/>
                <w:color w:val="auto"/>
                <w:kern w:val="0"/>
                <w:szCs w:val="21"/>
              </w:rPr>
              <w:t>因素</w:t>
            </w:r>
          </w:p>
        </w:tc>
        <w:tc>
          <w:tcPr>
            <w:tcW w:w="1843" w:type="dxa"/>
            <w:vAlign w:val="center"/>
          </w:tcPr>
          <w:p w14:paraId="789102D9">
            <w:pPr>
              <w:spacing w:line="240" w:lineRule="exact"/>
              <w:jc w:val="center"/>
              <w:rPr>
                <w:rFonts w:ascii="宋体" w:hAnsi="宋体"/>
                <w:b/>
                <w:color w:val="auto"/>
                <w:kern w:val="0"/>
                <w:szCs w:val="21"/>
              </w:rPr>
            </w:pPr>
            <w:r>
              <w:rPr>
                <w:rFonts w:hint="eastAsia" w:ascii="宋体" w:hAnsi="宋体"/>
                <w:b/>
                <w:color w:val="auto"/>
                <w:kern w:val="0"/>
                <w:szCs w:val="21"/>
              </w:rPr>
              <w:t>审查</w:t>
            </w:r>
            <w:r>
              <w:rPr>
                <w:rFonts w:ascii="宋体" w:hAnsi="宋体"/>
                <w:b/>
                <w:color w:val="auto"/>
                <w:kern w:val="0"/>
                <w:szCs w:val="21"/>
              </w:rPr>
              <w:t>内容</w:t>
            </w:r>
          </w:p>
        </w:tc>
        <w:tc>
          <w:tcPr>
            <w:tcW w:w="6242" w:type="dxa"/>
            <w:vAlign w:val="center"/>
          </w:tcPr>
          <w:p w14:paraId="7BE2E2FD">
            <w:pPr>
              <w:spacing w:line="240" w:lineRule="exact"/>
              <w:jc w:val="center"/>
              <w:rPr>
                <w:rFonts w:ascii="宋体" w:hAnsi="宋体"/>
                <w:b/>
                <w:color w:val="auto"/>
                <w:kern w:val="0"/>
                <w:szCs w:val="21"/>
              </w:rPr>
            </w:pPr>
            <w:r>
              <w:rPr>
                <w:rFonts w:hint="eastAsia" w:ascii="宋体" w:hAnsi="宋体"/>
                <w:b/>
                <w:color w:val="auto"/>
                <w:kern w:val="0"/>
                <w:szCs w:val="21"/>
              </w:rPr>
              <w:t>说明</w:t>
            </w:r>
          </w:p>
        </w:tc>
      </w:tr>
      <w:tr w14:paraId="2855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vAlign w:val="center"/>
          </w:tcPr>
          <w:p w14:paraId="38BFC097">
            <w:pPr>
              <w:spacing w:line="240" w:lineRule="exact"/>
              <w:rPr>
                <w:rFonts w:ascii="宋体" w:hAnsi="宋体"/>
                <w:color w:val="auto"/>
                <w:szCs w:val="21"/>
                <w:lang w:val="zh-CN"/>
              </w:rPr>
            </w:pPr>
            <w:r>
              <w:rPr>
                <w:rFonts w:ascii="宋体" w:hAnsi="宋体"/>
                <w:color w:val="auto"/>
                <w:szCs w:val="21"/>
                <w:lang w:val="zh-CN"/>
              </w:rPr>
              <w:t>供应商应符合的</w:t>
            </w:r>
            <w:r>
              <w:rPr>
                <w:rFonts w:hint="eastAsia" w:ascii="宋体" w:hAnsi="宋体"/>
                <w:color w:val="auto"/>
                <w:szCs w:val="21"/>
                <w:lang w:val="zh-CN"/>
              </w:rPr>
              <w:t>基本</w:t>
            </w:r>
            <w:r>
              <w:rPr>
                <w:rFonts w:ascii="宋体" w:hAnsi="宋体"/>
                <w:color w:val="auto"/>
                <w:szCs w:val="21"/>
              </w:rPr>
              <w:t>资格</w:t>
            </w:r>
            <w:r>
              <w:rPr>
                <w:rFonts w:hint="eastAsia" w:ascii="宋体" w:hAnsi="宋体"/>
                <w:color w:val="auto"/>
                <w:szCs w:val="21"/>
              </w:rPr>
              <w:t>要求</w:t>
            </w:r>
          </w:p>
        </w:tc>
        <w:tc>
          <w:tcPr>
            <w:tcW w:w="1843" w:type="dxa"/>
            <w:vAlign w:val="center"/>
          </w:tcPr>
          <w:p w14:paraId="7A17CEA5">
            <w:pPr>
              <w:spacing w:line="240" w:lineRule="exact"/>
              <w:jc w:val="left"/>
              <w:rPr>
                <w:rFonts w:ascii="宋体" w:hAnsi="宋体"/>
                <w:color w:val="auto"/>
                <w:szCs w:val="21"/>
              </w:rPr>
            </w:pPr>
            <w:r>
              <w:rPr>
                <w:rFonts w:ascii="宋体" w:hAnsi="宋体"/>
                <w:color w:val="auto"/>
                <w:szCs w:val="21"/>
              </w:rPr>
              <w:t>（1）具有独立承担民事责任的能力</w:t>
            </w:r>
          </w:p>
        </w:tc>
        <w:tc>
          <w:tcPr>
            <w:tcW w:w="6242" w:type="dxa"/>
          </w:tcPr>
          <w:p w14:paraId="66ABD379">
            <w:pPr>
              <w:spacing w:line="240" w:lineRule="exact"/>
              <w:rPr>
                <w:rFonts w:ascii="宋体" w:hAnsi="宋体"/>
                <w:color w:val="auto"/>
                <w:szCs w:val="21"/>
              </w:rPr>
            </w:pPr>
            <w:r>
              <w:rPr>
                <w:rFonts w:hint="eastAsia" w:ascii="宋体" w:hAnsi="宋体"/>
                <w:color w:val="auto"/>
                <w:szCs w:val="21"/>
              </w:rPr>
              <w:t>审查供应商为法人或者其他组织的，提供营业执照等证明文件（如营业执照或者事业单位法人证书或者执业许可证等），供应商为自然人的，提供身份证复印件</w:t>
            </w:r>
          </w:p>
        </w:tc>
      </w:tr>
      <w:tr w14:paraId="4D15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658C3ED">
            <w:pPr>
              <w:spacing w:line="240" w:lineRule="exact"/>
              <w:rPr>
                <w:rFonts w:ascii="宋体" w:hAnsi="宋体"/>
                <w:color w:val="auto"/>
                <w:szCs w:val="21"/>
                <w:lang w:val="zh-CN"/>
              </w:rPr>
            </w:pPr>
          </w:p>
        </w:tc>
        <w:tc>
          <w:tcPr>
            <w:tcW w:w="1843" w:type="dxa"/>
            <w:vAlign w:val="center"/>
          </w:tcPr>
          <w:p w14:paraId="3F007CA8">
            <w:pPr>
              <w:spacing w:line="240" w:lineRule="exact"/>
              <w:jc w:val="left"/>
              <w:rPr>
                <w:rFonts w:ascii="宋体" w:hAnsi="宋体"/>
                <w:color w:val="auto"/>
                <w:szCs w:val="21"/>
              </w:rPr>
            </w:pPr>
            <w:r>
              <w:rPr>
                <w:rFonts w:ascii="宋体" w:hAnsi="宋体"/>
                <w:color w:val="auto"/>
                <w:szCs w:val="21"/>
                <w:lang w:val="zh-CN"/>
              </w:rPr>
              <w:t>（2）</w:t>
            </w:r>
            <w:r>
              <w:rPr>
                <w:rFonts w:ascii="宋体" w:hAnsi="宋体"/>
                <w:color w:val="auto"/>
                <w:szCs w:val="21"/>
              </w:rPr>
              <w:t>具有良好的商业信誉和健全的财务会计制度</w:t>
            </w:r>
          </w:p>
        </w:tc>
        <w:tc>
          <w:tcPr>
            <w:tcW w:w="6242" w:type="dxa"/>
          </w:tcPr>
          <w:p w14:paraId="706E5B09">
            <w:pPr>
              <w:spacing w:line="240" w:lineRule="exact"/>
              <w:jc w:val="left"/>
              <w:rPr>
                <w:rFonts w:ascii="宋体" w:hAnsi="宋体"/>
                <w:color w:val="auto"/>
                <w:szCs w:val="21"/>
              </w:rPr>
            </w:pPr>
            <w:r>
              <w:rPr>
                <w:rFonts w:hint="eastAsia" w:ascii="宋体" w:hAnsi="宋体" w:cs="宋体"/>
                <w:color w:val="auto"/>
                <w:szCs w:val="21"/>
              </w:rPr>
              <w:t>①</w:t>
            </w:r>
            <w:r>
              <w:rPr>
                <w:rFonts w:ascii="宋体" w:hAnsi="宋体"/>
                <w:color w:val="auto"/>
                <w:szCs w:val="21"/>
              </w:rPr>
              <w:t>审查商业信誉声明。须提供，格式见第六章</w:t>
            </w:r>
            <w:r>
              <w:rPr>
                <w:rFonts w:hint="eastAsia" w:ascii="宋体" w:hAnsi="宋体"/>
                <w:color w:val="auto"/>
                <w:szCs w:val="21"/>
              </w:rPr>
              <w:t>响应</w:t>
            </w:r>
            <w:r>
              <w:rPr>
                <w:rFonts w:ascii="宋体" w:hAnsi="宋体"/>
                <w:color w:val="auto"/>
                <w:szCs w:val="21"/>
              </w:rPr>
              <w:t>文件格式“</w:t>
            </w:r>
            <w:r>
              <w:rPr>
                <w:rFonts w:hint="eastAsia" w:ascii="宋体" w:hAnsi="宋体"/>
                <w:color w:val="auto"/>
                <w:szCs w:val="21"/>
              </w:rPr>
              <w:t>响应</w:t>
            </w:r>
            <w:r>
              <w:rPr>
                <w:rFonts w:ascii="宋体" w:hAnsi="宋体"/>
                <w:color w:val="auto"/>
                <w:szCs w:val="21"/>
              </w:rPr>
              <w:t>声明书”。</w:t>
            </w:r>
          </w:p>
          <w:p w14:paraId="24211A83">
            <w:pPr>
              <w:spacing w:line="240" w:lineRule="exact"/>
              <w:jc w:val="left"/>
              <w:rPr>
                <w:rFonts w:ascii="宋体" w:hAnsi="宋体"/>
                <w:color w:val="auto"/>
                <w:szCs w:val="21"/>
              </w:rPr>
            </w:pPr>
            <w:r>
              <w:rPr>
                <w:rFonts w:hint="eastAsia" w:ascii="宋体" w:hAnsi="宋体" w:cs="宋体"/>
                <w:color w:val="auto"/>
                <w:szCs w:val="21"/>
              </w:rPr>
              <w:t>②</w:t>
            </w:r>
            <w:r>
              <w:rPr>
                <w:rFonts w:ascii="宋体" w:hAnsi="宋体"/>
                <w:color w:val="auto"/>
                <w:szCs w:val="21"/>
              </w:rPr>
              <w:t>审查</w:t>
            </w:r>
            <w:r>
              <w:rPr>
                <w:rFonts w:hint="eastAsia" w:ascii="宋体" w:hAnsi="宋体"/>
                <w:color w:val="auto"/>
                <w:szCs w:val="21"/>
              </w:rPr>
              <w:t>2025年</w:t>
            </w:r>
            <w:r>
              <w:rPr>
                <w:rFonts w:ascii="宋体" w:hAnsi="宋体"/>
                <w:color w:val="auto"/>
                <w:szCs w:val="21"/>
              </w:rPr>
              <w:t>度财务状况报告（表）复印件或银行出具的资信证明复印件，</w:t>
            </w:r>
            <w:r>
              <w:rPr>
                <w:rFonts w:ascii="宋体" w:hAnsi="宋体"/>
                <w:color w:val="auto"/>
              </w:rPr>
              <w:t>对于从取得营业执照时间起到响应文件递交截止时间为止不足1年的供应商，只需提交</w:t>
            </w:r>
            <w:r>
              <w:rPr>
                <w:rFonts w:hint="eastAsia" w:ascii="宋体" w:hAnsi="宋体"/>
                <w:color w:val="auto"/>
                <w:szCs w:val="21"/>
              </w:rPr>
              <w:t>响应</w:t>
            </w:r>
            <w:r>
              <w:rPr>
                <w:rFonts w:ascii="宋体" w:hAnsi="宋体"/>
                <w:color w:val="auto"/>
                <w:szCs w:val="21"/>
              </w:rPr>
              <w:t>文件递交截止时间前一个月的财务状况报告（表）复印件。</w:t>
            </w:r>
          </w:p>
        </w:tc>
      </w:tr>
      <w:tr w14:paraId="698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42F94FCF">
            <w:pPr>
              <w:spacing w:line="240" w:lineRule="exact"/>
              <w:rPr>
                <w:rFonts w:ascii="宋体" w:hAnsi="宋体"/>
                <w:color w:val="auto"/>
                <w:szCs w:val="21"/>
                <w:lang w:val="zh-CN"/>
              </w:rPr>
            </w:pPr>
          </w:p>
        </w:tc>
        <w:tc>
          <w:tcPr>
            <w:tcW w:w="1843" w:type="dxa"/>
            <w:vAlign w:val="center"/>
          </w:tcPr>
          <w:p w14:paraId="219AE0C9">
            <w:pPr>
              <w:spacing w:line="240" w:lineRule="exact"/>
              <w:jc w:val="left"/>
              <w:rPr>
                <w:rFonts w:ascii="宋体" w:hAnsi="宋体"/>
                <w:color w:val="auto"/>
                <w:szCs w:val="21"/>
              </w:rPr>
            </w:pPr>
            <w:r>
              <w:rPr>
                <w:rFonts w:ascii="宋体" w:hAnsi="宋体"/>
                <w:color w:val="auto"/>
                <w:szCs w:val="21"/>
                <w:lang w:val="zh-CN"/>
              </w:rPr>
              <w:t>（3）具有履行合同所必需的设备和专业技术能力</w:t>
            </w:r>
          </w:p>
        </w:tc>
        <w:tc>
          <w:tcPr>
            <w:tcW w:w="6242" w:type="dxa"/>
          </w:tcPr>
          <w:p w14:paraId="70B575F7">
            <w:pPr>
              <w:spacing w:line="240" w:lineRule="exact"/>
              <w:jc w:val="left"/>
              <w:rPr>
                <w:rFonts w:ascii="宋体" w:hAnsi="宋体"/>
                <w:color w:val="auto"/>
                <w:szCs w:val="21"/>
              </w:rPr>
            </w:pPr>
            <w:r>
              <w:rPr>
                <w:rFonts w:hint="eastAsia" w:ascii="宋体" w:hAnsi="宋体" w:cs="宋体"/>
                <w:color w:val="auto"/>
                <w:szCs w:val="21"/>
              </w:rPr>
              <w:t>①</w:t>
            </w:r>
            <w:r>
              <w:rPr>
                <w:rFonts w:ascii="宋体" w:hAnsi="宋体"/>
                <w:color w:val="auto"/>
                <w:szCs w:val="21"/>
              </w:rPr>
              <w:t xml:space="preserve">审查供应商营业执照，须有效； </w:t>
            </w:r>
          </w:p>
          <w:p w14:paraId="2C5A35B9">
            <w:pPr>
              <w:spacing w:line="240" w:lineRule="exact"/>
              <w:jc w:val="left"/>
              <w:rPr>
                <w:rFonts w:ascii="宋体" w:hAnsi="宋体"/>
                <w:color w:val="auto"/>
                <w:szCs w:val="21"/>
              </w:rPr>
            </w:pPr>
            <w:r>
              <w:rPr>
                <w:rFonts w:hint="eastAsia" w:ascii="宋体" w:hAnsi="宋体" w:cs="宋体"/>
                <w:color w:val="auto"/>
                <w:szCs w:val="21"/>
              </w:rPr>
              <w:t>②</w:t>
            </w:r>
            <w:r>
              <w:rPr>
                <w:rFonts w:ascii="宋体" w:hAnsi="宋体"/>
                <w:color w:val="auto"/>
                <w:szCs w:val="21"/>
              </w:rPr>
              <w:t>审查书面声明。须提供，格式见第六章</w:t>
            </w:r>
            <w:r>
              <w:rPr>
                <w:rFonts w:hint="eastAsia" w:ascii="宋体" w:hAnsi="宋体"/>
                <w:color w:val="auto"/>
                <w:szCs w:val="21"/>
              </w:rPr>
              <w:t>响应</w:t>
            </w:r>
            <w:r>
              <w:rPr>
                <w:rFonts w:ascii="宋体" w:hAnsi="宋体"/>
                <w:color w:val="auto"/>
                <w:szCs w:val="21"/>
              </w:rPr>
              <w:t>文件格式“</w:t>
            </w:r>
            <w:r>
              <w:rPr>
                <w:rFonts w:hint="eastAsia" w:ascii="宋体" w:hAnsi="宋体"/>
                <w:color w:val="auto"/>
                <w:szCs w:val="21"/>
              </w:rPr>
              <w:t>响应</w:t>
            </w:r>
            <w:r>
              <w:rPr>
                <w:rFonts w:ascii="宋体" w:hAnsi="宋体"/>
                <w:color w:val="auto"/>
              </w:rPr>
              <w:t>声明书</w:t>
            </w:r>
            <w:r>
              <w:rPr>
                <w:rFonts w:ascii="宋体" w:hAnsi="宋体"/>
                <w:color w:val="auto"/>
                <w:szCs w:val="21"/>
              </w:rPr>
              <w:t>”。</w:t>
            </w:r>
          </w:p>
          <w:p w14:paraId="51983F15">
            <w:pPr>
              <w:spacing w:line="240" w:lineRule="exact"/>
              <w:jc w:val="left"/>
              <w:rPr>
                <w:rFonts w:ascii="宋体" w:hAnsi="宋体"/>
                <w:color w:val="auto"/>
                <w:szCs w:val="21"/>
              </w:rPr>
            </w:pPr>
            <w:r>
              <w:rPr>
                <w:rFonts w:ascii="宋体" w:hAnsi="宋体"/>
                <w:color w:val="auto"/>
                <w:szCs w:val="21"/>
              </w:rPr>
              <w:t>审查</w:t>
            </w:r>
            <w:r>
              <w:rPr>
                <w:rFonts w:hint="eastAsia" w:ascii="宋体" w:hAnsi="宋体" w:cs="宋体"/>
                <w:color w:val="auto"/>
                <w:szCs w:val="21"/>
              </w:rPr>
              <w:t>①</w:t>
            </w:r>
            <w:r>
              <w:rPr>
                <w:rFonts w:ascii="宋体" w:hAnsi="宋体"/>
                <w:color w:val="auto"/>
                <w:szCs w:val="21"/>
              </w:rPr>
              <w:t>或</w:t>
            </w:r>
            <w:r>
              <w:rPr>
                <w:rFonts w:hint="eastAsia" w:ascii="宋体" w:hAnsi="宋体" w:cs="宋体"/>
                <w:color w:val="auto"/>
                <w:szCs w:val="21"/>
              </w:rPr>
              <w:t>②</w:t>
            </w:r>
            <w:r>
              <w:rPr>
                <w:rFonts w:ascii="宋体" w:hAnsi="宋体"/>
                <w:color w:val="auto"/>
                <w:szCs w:val="21"/>
              </w:rPr>
              <w:t>，满足其一，即为符合要求。</w:t>
            </w:r>
          </w:p>
        </w:tc>
      </w:tr>
      <w:tr w14:paraId="3618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F0B493F">
            <w:pPr>
              <w:spacing w:line="240" w:lineRule="exact"/>
              <w:rPr>
                <w:rFonts w:ascii="宋体" w:hAnsi="宋体"/>
                <w:color w:val="auto"/>
                <w:szCs w:val="21"/>
                <w:lang w:val="zh-CN"/>
              </w:rPr>
            </w:pPr>
          </w:p>
        </w:tc>
        <w:tc>
          <w:tcPr>
            <w:tcW w:w="1843" w:type="dxa"/>
            <w:vAlign w:val="center"/>
          </w:tcPr>
          <w:p w14:paraId="3228FF97">
            <w:pPr>
              <w:spacing w:line="240" w:lineRule="exact"/>
              <w:jc w:val="left"/>
              <w:rPr>
                <w:rFonts w:ascii="宋体" w:hAnsi="宋体"/>
                <w:color w:val="auto"/>
                <w:szCs w:val="21"/>
              </w:rPr>
            </w:pPr>
            <w:r>
              <w:rPr>
                <w:rFonts w:ascii="宋体" w:hAnsi="宋体"/>
                <w:color w:val="auto"/>
                <w:szCs w:val="21"/>
                <w:lang w:val="zh-CN"/>
              </w:rPr>
              <w:t>（4）有依法缴纳税收和社会保障金的良好记录</w:t>
            </w:r>
          </w:p>
        </w:tc>
        <w:tc>
          <w:tcPr>
            <w:tcW w:w="6242" w:type="dxa"/>
          </w:tcPr>
          <w:p w14:paraId="4EFC3EB8">
            <w:pPr>
              <w:spacing w:line="240" w:lineRule="exact"/>
              <w:jc w:val="left"/>
              <w:rPr>
                <w:rFonts w:ascii="宋体" w:hAnsi="宋体"/>
                <w:color w:val="auto"/>
                <w:szCs w:val="21"/>
              </w:rPr>
            </w:pPr>
            <w:r>
              <w:rPr>
                <w:rFonts w:hint="eastAsia" w:ascii="宋体" w:hAnsi="宋体" w:cs="宋体"/>
                <w:color w:val="auto"/>
                <w:szCs w:val="21"/>
              </w:rPr>
              <w:t>①</w:t>
            </w:r>
            <w:r>
              <w:rPr>
                <w:rFonts w:ascii="宋体" w:hAnsi="宋体"/>
                <w:color w:val="auto"/>
                <w:szCs w:val="21"/>
              </w:rPr>
              <w:t>审查</w:t>
            </w:r>
            <w:r>
              <w:rPr>
                <w:rFonts w:hint="eastAsia" w:ascii="宋体" w:hAnsi="宋体"/>
                <w:color w:val="auto"/>
                <w:szCs w:val="21"/>
              </w:rPr>
              <w:t>响应</w:t>
            </w:r>
            <w:r>
              <w:rPr>
                <w:rFonts w:ascii="宋体" w:hAnsi="宋体"/>
                <w:color w:val="auto"/>
                <w:szCs w:val="21"/>
              </w:rPr>
              <w:t>截止时间前6个月内，</w:t>
            </w:r>
            <w:r>
              <w:rPr>
                <w:rFonts w:hint="eastAsia" w:ascii="宋体" w:hAnsi="宋体"/>
                <w:color w:val="auto"/>
              </w:rPr>
              <w:t>供应商</w:t>
            </w:r>
            <w:r>
              <w:rPr>
                <w:rFonts w:ascii="宋体" w:hAnsi="宋体"/>
                <w:color w:val="auto"/>
              </w:rPr>
              <w:t>任意</w:t>
            </w:r>
            <w:r>
              <w:rPr>
                <w:rFonts w:hint="eastAsia" w:ascii="宋体" w:hAnsi="宋体"/>
                <w:color w:val="auto"/>
              </w:rPr>
              <w:t>1个月</w:t>
            </w:r>
            <w:r>
              <w:rPr>
                <w:rFonts w:ascii="宋体" w:hAnsi="宋体"/>
                <w:color w:val="auto"/>
                <w:szCs w:val="21"/>
              </w:rPr>
              <w:t>依法缴纳税费证明复印件加盖供应商</w:t>
            </w:r>
            <w:r>
              <w:rPr>
                <w:rFonts w:hint="eastAsia" w:ascii="宋体" w:hAnsi="宋体"/>
                <w:color w:val="auto"/>
                <w:szCs w:val="21"/>
              </w:rPr>
              <w:t>电子签章</w:t>
            </w:r>
            <w:r>
              <w:rPr>
                <w:rFonts w:ascii="宋体" w:hAnsi="宋体"/>
                <w:color w:val="auto"/>
                <w:szCs w:val="21"/>
              </w:rPr>
              <w:t>。</w:t>
            </w:r>
          </w:p>
          <w:p w14:paraId="4D6CA2F9">
            <w:pPr>
              <w:spacing w:line="240" w:lineRule="exact"/>
              <w:jc w:val="left"/>
              <w:rPr>
                <w:rFonts w:ascii="宋体" w:hAnsi="宋体"/>
                <w:color w:val="auto"/>
                <w:szCs w:val="21"/>
              </w:rPr>
            </w:pPr>
            <w:r>
              <w:rPr>
                <w:rFonts w:hint="eastAsia" w:ascii="宋体" w:hAnsi="宋体" w:cs="宋体"/>
                <w:color w:val="auto"/>
                <w:szCs w:val="21"/>
              </w:rPr>
              <w:t>②</w:t>
            </w:r>
            <w:r>
              <w:rPr>
                <w:rFonts w:ascii="宋体" w:hAnsi="宋体"/>
                <w:color w:val="auto"/>
                <w:szCs w:val="21"/>
              </w:rPr>
              <w:t>审查</w:t>
            </w:r>
            <w:r>
              <w:rPr>
                <w:rFonts w:hint="eastAsia" w:ascii="宋体" w:hAnsi="宋体"/>
                <w:color w:val="auto"/>
                <w:szCs w:val="21"/>
              </w:rPr>
              <w:t>响应</w:t>
            </w:r>
            <w:r>
              <w:rPr>
                <w:rFonts w:ascii="宋体" w:hAnsi="宋体"/>
                <w:color w:val="auto"/>
                <w:szCs w:val="21"/>
              </w:rPr>
              <w:t>截止时间前6个月内，</w:t>
            </w:r>
            <w:r>
              <w:rPr>
                <w:rFonts w:hint="eastAsia" w:ascii="宋体" w:hAnsi="宋体"/>
                <w:color w:val="auto"/>
              </w:rPr>
              <w:t>供应商</w:t>
            </w:r>
            <w:r>
              <w:rPr>
                <w:rFonts w:ascii="宋体" w:hAnsi="宋体"/>
                <w:color w:val="auto"/>
              </w:rPr>
              <w:t>任意</w:t>
            </w:r>
            <w:r>
              <w:rPr>
                <w:rFonts w:hint="eastAsia" w:ascii="宋体" w:hAnsi="宋体"/>
                <w:color w:val="auto"/>
              </w:rPr>
              <w:t>1个月</w:t>
            </w:r>
            <w:r>
              <w:rPr>
                <w:rFonts w:ascii="宋体" w:hAnsi="宋体"/>
                <w:color w:val="auto"/>
                <w:szCs w:val="21"/>
              </w:rPr>
              <w:t>的社保缴费证明记录复印件加盖供应商</w:t>
            </w:r>
            <w:r>
              <w:rPr>
                <w:rFonts w:hint="eastAsia" w:ascii="宋体" w:hAnsi="宋体"/>
                <w:color w:val="auto"/>
                <w:szCs w:val="21"/>
              </w:rPr>
              <w:t>电子签章</w:t>
            </w:r>
            <w:r>
              <w:rPr>
                <w:rFonts w:ascii="宋体" w:hAnsi="宋体"/>
                <w:color w:val="auto"/>
                <w:szCs w:val="21"/>
              </w:rPr>
              <w:t>。</w:t>
            </w:r>
          </w:p>
          <w:p w14:paraId="4FCF2C4F">
            <w:pPr>
              <w:spacing w:line="240" w:lineRule="exact"/>
              <w:jc w:val="left"/>
              <w:rPr>
                <w:rFonts w:ascii="宋体" w:hAnsi="宋体"/>
                <w:color w:val="auto"/>
                <w:szCs w:val="21"/>
              </w:rPr>
            </w:pPr>
            <w:r>
              <w:rPr>
                <w:rFonts w:ascii="宋体" w:hAnsi="宋体"/>
                <w:color w:val="auto"/>
                <w:szCs w:val="21"/>
              </w:rPr>
              <w:t>供应商成立不足</w:t>
            </w:r>
            <w:r>
              <w:rPr>
                <w:rFonts w:hint="eastAsia" w:ascii="宋体" w:hAnsi="宋体"/>
                <w:color w:val="auto"/>
                <w:szCs w:val="21"/>
              </w:rPr>
              <w:t>1个月的，无须提供</w:t>
            </w:r>
            <w:r>
              <w:rPr>
                <w:rFonts w:ascii="宋体" w:hAnsi="宋体"/>
                <w:color w:val="auto"/>
                <w:szCs w:val="21"/>
              </w:rPr>
              <w:t>缴纳税费证明及社保缴费证明加盖供应商电子签章</w:t>
            </w:r>
            <w:r>
              <w:rPr>
                <w:rFonts w:hint="eastAsia" w:ascii="宋体" w:hAnsi="宋体"/>
                <w:color w:val="auto"/>
                <w:szCs w:val="21"/>
              </w:rPr>
              <w:t>。</w:t>
            </w:r>
          </w:p>
          <w:p w14:paraId="0EA352E2">
            <w:pPr>
              <w:spacing w:line="240" w:lineRule="exact"/>
              <w:jc w:val="left"/>
              <w:rPr>
                <w:rFonts w:ascii="宋体" w:hAnsi="宋体"/>
                <w:color w:val="auto"/>
                <w:szCs w:val="21"/>
              </w:rPr>
            </w:pPr>
            <w:r>
              <w:rPr>
                <w:rFonts w:ascii="宋体" w:hAnsi="宋体"/>
                <w:color w:val="auto"/>
                <w:szCs w:val="21"/>
              </w:rPr>
              <w:t>依法免税或不需要缴纳社会保障资金的供应商，须提供相应文件证明其依法免税或不需要缴纳社会保障资金。</w:t>
            </w:r>
          </w:p>
        </w:tc>
      </w:tr>
      <w:tr w14:paraId="5184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811D21B">
            <w:pPr>
              <w:spacing w:line="240" w:lineRule="exact"/>
              <w:rPr>
                <w:rFonts w:ascii="宋体" w:hAnsi="宋体"/>
                <w:color w:val="auto"/>
                <w:szCs w:val="21"/>
                <w:lang w:val="zh-CN"/>
              </w:rPr>
            </w:pPr>
          </w:p>
        </w:tc>
        <w:tc>
          <w:tcPr>
            <w:tcW w:w="1843" w:type="dxa"/>
            <w:vAlign w:val="center"/>
          </w:tcPr>
          <w:p w14:paraId="18D75CFA">
            <w:pPr>
              <w:spacing w:line="240" w:lineRule="exact"/>
              <w:jc w:val="left"/>
              <w:rPr>
                <w:rFonts w:ascii="宋体" w:hAnsi="宋体"/>
                <w:color w:val="auto"/>
                <w:szCs w:val="21"/>
              </w:rPr>
            </w:pPr>
            <w:r>
              <w:rPr>
                <w:rFonts w:ascii="宋体" w:hAnsi="宋体"/>
                <w:color w:val="auto"/>
                <w:szCs w:val="21"/>
              </w:rPr>
              <w:t>（5）参加政府采购活动前三年内，在经营活动中没有重大违法记录</w:t>
            </w:r>
          </w:p>
        </w:tc>
        <w:tc>
          <w:tcPr>
            <w:tcW w:w="6242" w:type="dxa"/>
            <w:vAlign w:val="center"/>
          </w:tcPr>
          <w:p w14:paraId="414B641D">
            <w:pPr>
              <w:spacing w:line="240" w:lineRule="exact"/>
              <w:jc w:val="left"/>
              <w:rPr>
                <w:rFonts w:ascii="宋体" w:hAnsi="宋体"/>
                <w:color w:val="auto"/>
                <w:szCs w:val="21"/>
              </w:rPr>
            </w:pPr>
            <w:r>
              <w:rPr>
                <w:rFonts w:ascii="宋体" w:hAnsi="宋体"/>
                <w:color w:val="auto"/>
                <w:szCs w:val="21"/>
              </w:rPr>
              <w:t>审查无重大违法记录声明。须提供，格式见第六章</w:t>
            </w:r>
            <w:r>
              <w:rPr>
                <w:rFonts w:hint="eastAsia" w:ascii="宋体" w:hAnsi="宋体"/>
                <w:color w:val="auto"/>
                <w:szCs w:val="21"/>
              </w:rPr>
              <w:t>响应</w:t>
            </w:r>
            <w:r>
              <w:rPr>
                <w:rFonts w:ascii="宋体" w:hAnsi="宋体"/>
                <w:color w:val="auto"/>
                <w:szCs w:val="21"/>
              </w:rPr>
              <w:t>文件格式“</w:t>
            </w:r>
            <w:r>
              <w:rPr>
                <w:rFonts w:hint="eastAsia" w:ascii="宋体" w:hAnsi="宋体"/>
                <w:color w:val="auto"/>
                <w:szCs w:val="21"/>
              </w:rPr>
              <w:t>响应</w:t>
            </w:r>
            <w:r>
              <w:rPr>
                <w:rFonts w:ascii="宋体" w:hAnsi="宋体"/>
                <w:color w:val="auto"/>
                <w:szCs w:val="21"/>
              </w:rPr>
              <w:t xml:space="preserve">声明书”。 </w:t>
            </w:r>
          </w:p>
        </w:tc>
      </w:tr>
      <w:tr w14:paraId="1177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591A00E8">
            <w:pPr>
              <w:spacing w:line="240" w:lineRule="exact"/>
              <w:rPr>
                <w:rFonts w:ascii="宋体" w:hAnsi="宋体"/>
                <w:color w:val="auto"/>
                <w:szCs w:val="21"/>
                <w:lang w:val="zh-CN"/>
              </w:rPr>
            </w:pPr>
          </w:p>
        </w:tc>
        <w:tc>
          <w:tcPr>
            <w:tcW w:w="1843" w:type="dxa"/>
            <w:vAlign w:val="center"/>
          </w:tcPr>
          <w:p w14:paraId="5EE015F2">
            <w:pPr>
              <w:spacing w:line="240" w:lineRule="exact"/>
              <w:jc w:val="left"/>
              <w:rPr>
                <w:rFonts w:ascii="宋体" w:hAnsi="宋体"/>
                <w:color w:val="auto"/>
                <w:szCs w:val="21"/>
              </w:rPr>
            </w:pPr>
            <w:r>
              <w:rPr>
                <w:rFonts w:ascii="宋体" w:hAnsi="宋体"/>
                <w:color w:val="auto"/>
                <w:szCs w:val="21"/>
              </w:rPr>
              <w:t>（6）具备法律、行政法规规定的其他要求</w:t>
            </w:r>
          </w:p>
        </w:tc>
        <w:tc>
          <w:tcPr>
            <w:tcW w:w="6242" w:type="dxa"/>
            <w:vAlign w:val="center"/>
          </w:tcPr>
          <w:p w14:paraId="2FADEDEA">
            <w:pPr>
              <w:spacing w:line="240" w:lineRule="exact"/>
              <w:jc w:val="left"/>
              <w:rPr>
                <w:rFonts w:ascii="宋体" w:hAnsi="宋体"/>
                <w:color w:val="auto"/>
                <w:szCs w:val="21"/>
              </w:rPr>
            </w:pPr>
            <w:r>
              <w:rPr>
                <w:rFonts w:ascii="宋体" w:hAnsi="宋体"/>
                <w:color w:val="auto"/>
                <w:szCs w:val="21"/>
              </w:rPr>
              <w:t>无。</w:t>
            </w:r>
          </w:p>
        </w:tc>
      </w:tr>
      <w:tr w14:paraId="57C2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Align w:val="center"/>
          </w:tcPr>
          <w:p w14:paraId="6485F237">
            <w:pPr>
              <w:spacing w:line="240" w:lineRule="exact"/>
              <w:rPr>
                <w:rFonts w:ascii="宋体" w:hAnsi="宋体"/>
                <w:color w:val="auto"/>
                <w:szCs w:val="21"/>
                <w:lang w:val="zh-CN"/>
              </w:rPr>
            </w:pPr>
            <w:r>
              <w:rPr>
                <w:rFonts w:hint="eastAsia" w:ascii="宋体" w:hAnsi="宋体"/>
                <w:color w:val="auto"/>
                <w:kern w:val="0"/>
                <w:szCs w:val="21"/>
              </w:rPr>
              <w:t>采购政策</w:t>
            </w:r>
          </w:p>
        </w:tc>
        <w:tc>
          <w:tcPr>
            <w:tcW w:w="1843" w:type="dxa"/>
            <w:vAlign w:val="center"/>
          </w:tcPr>
          <w:p w14:paraId="3DB6B075">
            <w:pPr>
              <w:spacing w:line="240" w:lineRule="exact"/>
              <w:jc w:val="left"/>
              <w:rPr>
                <w:rFonts w:ascii="宋体" w:hAnsi="宋体"/>
                <w:color w:val="auto"/>
                <w:szCs w:val="21"/>
              </w:rPr>
            </w:pPr>
            <w:r>
              <w:rPr>
                <w:rFonts w:hint="eastAsia" w:ascii="宋体" w:hAnsi="宋体"/>
                <w:color w:val="auto"/>
                <w:szCs w:val="21"/>
              </w:rPr>
              <w:t>落实政府采购政策需满足的资格要求</w:t>
            </w:r>
          </w:p>
        </w:tc>
        <w:tc>
          <w:tcPr>
            <w:tcW w:w="6242" w:type="dxa"/>
            <w:vAlign w:val="center"/>
          </w:tcPr>
          <w:p w14:paraId="37C54C61">
            <w:pPr>
              <w:spacing w:line="240" w:lineRule="exact"/>
              <w:rPr>
                <w:rFonts w:ascii="宋体" w:hAnsi="宋体"/>
                <w:color w:val="auto"/>
                <w:szCs w:val="21"/>
              </w:rPr>
            </w:pPr>
            <w:r>
              <w:rPr>
                <w:rFonts w:hint="eastAsia" w:ascii="宋体" w:hAnsi="宋体"/>
                <w:color w:val="auto"/>
                <w:szCs w:val="21"/>
              </w:rPr>
              <w:t>无。</w:t>
            </w:r>
          </w:p>
        </w:tc>
      </w:tr>
      <w:tr w14:paraId="7102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vAlign w:val="center"/>
          </w:tcPr>
          <w:p w14:paraId="4129ABA9">
            <w:pPr>
              <w:spacing w:line="240" w:lineRule="exact"/>
              <w:rPr>
                <w:rFonts w:ascii="宋体" w:hAnsi="宋体"/>
                <w:color w:val="auto"/>
                <w:szCs w:val="21"/>
              </w:rPr>
            </w:pPr>
            <w:r>
              <w:rPr>
                <w:rFonts w:ascii="宋体" w:hAnsi="宋体"/>
                <w:color w:val="auto"/>
                <w:szCs w:val="21"/>
                <w:lang w:val="zh-CN"/>
              </w:rPr>
              <w:t>供应商应符合的</w:t>
            </w:r>
            <w:r>
              <w:rPr>
                <w:rFonts w:ascii="宋体" w:hAnsi="宋体"/>
                <w:color w:val="auto"/>
                <w:szCs w:val="21"/>
              </w:rPr>
              <w:t>特定资格</w:t>
            </w:r>
            <w:r>
              <w:rPr>
                <w:rFonts w:hint="eastAsia" w:ascii="宋体" w:hAnsi="宋体"/>
                <w:color w:val="auto"/>
                <w:szCs w:val="21"/>
              </w:rPr>
              <w:t>要求</w:t>
            </w:r>
          </w:p>
        </w:tc>
        <w:tc>
          <w:tcPr>
            <w:tcW w:w="1843" w:type="dxa"/>
            <w:vAlign w:val="center"/>
          </w:tcPr>
          <w:p w14:paraId="3510AB33">
            <w:pPr>
              <w:spacing w:line="240" w:lineRule="exact"/>
              <w:jc w:val="left"/>
              <w:rPr>
                <w:rFonts w:ascii="宋体" w:hAnsi="宋体"/>
                <w:color w:val="auto"/>
                <w:szCs w:val="21"/>
              </w:rPr>
            </w:pPr>
            <w:r>
              <w:rPr>
                <w:rFonts w:ascii="宋体" w:hAnsi="宋体"/>
                <w:color w:val="auto"/>
                <w:szCs w:val="21"/>
              </w:rPr>
              <w:t>（1）资质</w:t>
            </w:r>
            <w:r>
              <w:rPr>
                <w:rFonts w:hint="eastAsia" w:ascii="宋体" w:hAnsi="宋体"/>
                <w:color w:val="auto"/>
                <w:szCs w:val="21"/>
              </w:rPr>
              <w:t>要求</w:t>
            </w:r>
          </w:p>
        </w:tc>
        <w:tc>
          <w:tcPr>
            <w:tcW w:w="6242" w:type="dxa"/>
            <w:vAlign w:val="center"/>
          </w:tcPr>
          <w:p w14:paraId="4746F940">
            <w:pPr>
              <w:spacing w:line="240" w:lineRule="exact"/>
              <w:jc w:val="left"/>
              <w:rPr>
                <w:rFonts w:ascii="宋体" w:hAnsi="宋体"/>
                <w:color w:val="auto"/>
                <w:szCs w:val="21"/>
              </w:rPr>
            </w:pPr>
            <w:r>
              <w:rPr>
                <w:rFonts w:ascii="宋体" w:hAnsi="宋体"/>
                <w:color w:val="auto"/>
                <w:szCs w:val="21"/>
              </w:rPr>
              <w:t>须符合</w:t>
            </w:r>
            <w:r>
              <w:rPr>
                <w:rFonts w:hint="eastAsia" w:ascii="宋体" w:hAnsi="宋体"/>
                <w:color w:val="auto"/>
                <w:szCs w:val="21"/>
              </w:rPr>
              <w:t>“磋商公告”</w:t>
            </w:r>
            <w:r>
              <w:rPr>
                <w:rFonts w:ascii="宋体" w:hAnsi="宋体"/>
                <w:color w:val="auto"/>
                <w:szCs w:val="21"/>
              </w:rPr>
              <w:t>的要求</w:t>
            </w:r>
          </w:p>
        </w:tc>
      </w:tr>
      <w:tr w14:paraId="785F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vAlign w:val="center"/>
          </w:tcPr>
          <w:p w14:paraId="22934BA3">
            <w:pPr>
              <w:spacing w:line="240" w:lineRule="exact"/>
              <w:rPr>
                <w:rFonts w:ascii="宋体" w:hAnsi="宋体"/>
                <w:color w:val="auto"/>
                <w:szCs w:val="21"/>
              </w:rPr>
            </w:pPr>
          </w:p>
        </w:tc>
        <w:tc>
          <w:tcPr>
            <w:tcW w:w="1843" w:type="dxa"/>
            <w:vAlign w:val="center"/>
          </w:tcPr>
          <w:p w14:paraId="0D5B9097">
            <w:pPr>
              <w:spacing w:line="240" w:lineRule="exact"/>
              <w:jc w:val="left"/>
              <w:rPr>
                <w:rFonts w:ascii="宋体" w:hAnsi="宋体"/>
                <w:color w:val="auto"/>
                <w:szCs w:val="21"/>
              </w:rPr>
            </w:pPr>
            <w:r>
              <w:rPr>
                <w:rFonts w:ascii="宋体" w:hAnsi="宋体"/>
                <w:color w:val="auto"/>
                <w:szCs w:val="21"/>
              </w:rPr>
              <w:t>（2）业绩要求</w:t>
            </w:r>
          </w:p>
        </w:tc>
        <w:tc>
          <w:tcPr>
            <w:tcW w:w="6242" w:type="dxa"/>
            <w:vAlign w:val="center"/>
          </w:tcPr>
          <w:p w14:paraId="4702B9B9">
            <w:pPr>
              <w:spacing w:line="240" w:lineRule="exact"/>
              <w:jc w:val="left"/>
              <w:rPr>
                <w:rFonts w:ascii="宋体" w:hAnsi="宋体"/>
                <w:color w:val="auto"/>
                <w:szCs w:val="21"/>
              </w:rPr>
            </w:pPr>
            <w:r>
              <w:rPr>
                <w:rFonts w:ascii="宋体" w:hAnsi="宋体"/>
                <w:color w:val="auto"/>
                <w:szCs w:val="21"/>
              </w:rPr>
              <w:t>须符合</w:t>
            </w:r>
            <w:r>
              <w:rPr>
                <w:rFonts w:hint="eastAsia" w:ascii="宋体" w:hAnsi="宋体"/>
                <w:color w:val="auto"/>
                <w:szCs w:val="21"/>
              </w:rPr>
              <w:t>“磋商公告”</w:t>
            </w:r>
            <w:r>
              <w:rPr>
                <w:rFonts w:ascii="宋体" w:hAnsi="宋体"/>
                <w:color w:val="auto"/>
                <w:szCs w:val="21"/>
              </w:rPr>
              <w:t>的要求</w:t>
            </w:r>
          </w:p>
        </w:tc>
      </w:tr>
      <w:tr w14:paraId="6FCF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vAlign w:val="center"/>
          </w:tcPr>
          <w:p w14:paraId="223698A4">
            <w:pPr>
              <w:spacing w:line="240" w:lineRule="exact"/>
              <w:jc w:val="left"/>
              <w:rPr>
                <w:rFonts w:ascii="宋体" w:hAnsi="宋体"/>
                <w:color w:val="auto"/>
                <w:szCs w:val="21"/>
              </w:rPr>
            </w:pPr>
          </w:p>
        </w:tc>
        <w:tc>
          <w:tcPr>
            <w:tcW w:w="1843" w:type="dxa"/>
            <w:vAlign w:val="center"/>
          </w:tcPr>
          <w:p w14:paraId="4F9AAC89">
            <w:pPr>
              <w:spacing w:line="240" w:lineRule="exact"/>
              <w:jc w:val="left"/>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）供应商不得参加响应的情形</w:t>
            </w:r>
          </w:p>
        </w:tc>
        <w:tc>
          <w:tcPr>
            <w:tcW w:w="6242" w:type="dxa"/>
            <w:vAlign w:val="center"/>
          </w:tcPr>
          <w:p w14:paraId="0820356B">
            <w:pPr>
              <w:spacing w:line="240" w:lineRule="exact"/>
              <w:jc w:val="left"/>
              <w:rPr>
                <w:rFonts w:ascii="宋体" w:hAnsi="宋体"/>
                <w:color w:val="auto"/>
                <w:kern w:val="0"/>
                <w:szCs w:val="21"/>
              </w:rPr>
            </w:pPr>
            <w:r>
              <w:rPr>
                <w:rFonts w:ascii="宋体" w:hAnsi="宋体"/>
                <w:color w:val="auto"/>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ascii="宋体" w:hAnsi="宋体"/>
                <w:color w:val="auto"/>
                <w:kern w:val="0"/>
                <w:szCs w:val="21"/>
              </w:rPr>
              <w:t>本</w:t>
            </w:r>
            <w:r>
              <w:rPr>
                <w:rFonts w:ascii="宋体" w:hAnsi="宋体"/>
                <w:color w:val="auto"/>
                <w:kern w:val="0"/>
                <w:szCs w:val="21"/>
              </w:rPr>
              <w:t>项目的采购活动。</w:t>
            </w:r>
          </w:p>
          <w:p w14:paraId="57C0858B">
            <w:pPr>
              <w:spacing w:line="240" w:lineRule="exact"/>
              <w:jc w:val="left"/>
              <w:rPr>
                <w:rFonts w:ascii="宋体" w:hAnsi="宋体"/>
                <w:color w:val="auto"/>
                <w:szCs w:val="21"/>
              </w:rPr>
            </w:pPr>
            <w:r>
              <w:rPr>
                <w:rFonts w:ascii="宋体" w:hAnsi="宋体"/>
                <w:color w:val="auto"/>
                <w:szCs w:val="21"/>
              </w:rPr>
              <w:t>须提供，格式见第六章</w:t>
            </w:r>
            <w:r>
              <w:rPr>
                <w:rFonts w:hint="eastAsia" w:ascii="宋体" w:hAnsi="宋体"/>
                <w:color w:val="auto"/>
                <w:szCs w:val="21"/>
              </w:rPr>
              <w:t>响应</w:t>
            </w:r>
            <w:r>
              <w:rPr>
                <w:rFonts w:ascii="宋体" w:hAnsi="宋体"/>
                <w:color w:val="auto"/>
                <w:szCs w:val="21"/>
              </w:rPr>
              <w:t>文件格式“</w:t>
            </w:r>
            <w:r>
              <w:rPr>
                <w:rFonts w:hint="eastAsia" w:ascii="宋体" w:hAnsi="宋体"/>
                <w:color w:val="auto"/>
                <w:szCs w:val="21"/>
              </w:rPr>
              <w:t>供应商直接控股股东、管理关系信息表</w:t>
            </w:r>
            <w:r>
              <w:rPr>
                <w:rFonts w:ascii="宋体" w:hAnsi="宋体"/>
                <w:color w:val="auto"/>
                <w:szCs w:val="21"/>
              </w:rPr>
              <w:t>”。</w:t>
            </w:r>
          </w:p>
        </w:tc>
      </w:tr>
      <w:tr w14:paraId="56D3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409F78DA">
            <w:pPr>
              <w:spacing w:line="240" w:lineRule="exact"/>
              <w:jc w:val="left"/>
              <w:rPr>
                <w:rFonts w:ascii="宋体" w:hAnsi="宋体"/>
                <w:color w:val="auto"/>
                <w:kern w:val="0"/>
                <w:szCs w:val="21"/>
              </w:rPr>
            </w:pPr>
          </w:p>
        </w:tc>
        <w:tc>
          <w:tcPr>
            <w:tcW w:w="1843" w:type="dxa"/>
            <w:vAlign w:val="center"/>
          </w:tcPr>
          <w:p w14:paraId="6B105F70">
            <w:pPr>
              <w:spacing w:line="240" w:lineRule="exact"/>
              <w:jc w:val="left"/>
              <w:rPr>
                <w:rFonts w:ascii="宋体" w:hAnsi="宋体"/>
                <w:color w:val="auto"/>
                <w:kern w:val="0"/>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）诚信要求</w:t>
            </w:r>
          </w:p>
        </w:tc>
        <w:tc>
          <w:tcPr>
            <w:tcW w:w="6242" w:type="dxa"/>
          </w:tcPr>
          <w:p w14:paraId="37762CB5">
            <w:pPr>
              <w:spacing w:line="240" w:lineRule="exact"/>
              <w:jc w:val="left"/>
              <w:rPr>
                <w:rFonts w:ascii="宋体" w:hAnsi="宋体"/>
                <w:color w:val="auto"/>
                <w:kern w:val="0"/>
                <w:szCs w:val="21"/>
              </w:rPr>
            </w:pPr>
            <w:r>
              <w:rPr>
                <w:rFonts w:hint="eastAsia" w:ascii="宋体" w:hAnsi="宋体"/>
                <w:color w:val="auto"/>
                <w:szCs w:val="21"/>
              </w:rPr>
              <w:t>未被列入失信被执行人、</w:t>
            </w:r>
            <w:r>
              <w:rPr>
                <w:rFonts w:ascii="宋体" w:hAnsi="宋体"/>
                <w:color w:val="auto"/>
                <w:szCs w:val="21"/>
              </w:rPr>
              <w:t>重大税收违法失信主体、政府采购严重违法失信行为记录名单</w:t>
            </w:r>
            <w:r>
              <w:rPr>
                <w:rFonts w:hint="eastAsia" w:ascii="宋体" w:hAnsi="宋体"/>
                <w:color w:val="auto"/>
                <w:szCs w:val="21"/>
              </w:rPr>
              <w:t>。</w:t>
            </w:r>
          </w:p>
        </w:tc>
      </w:tr>
      <w:tr w14:paraId="3AC2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68E47D4">
            <w:pPr>
              <w:spacing w:line="240" w:lineRule="exact"/>
              <w:jc w:val="left"/>
              <w:rPr>
                <w:rFonts w:ascii="宋体" w:hAnsi="宋体"/>
                <w:color w:val="auto"/>
                <w:kern w:val="0"/>
                <w:szCs w:val="21"/>
              </w:rPr>
            </w:pPr>
          </w:p>
        </w:tc>
        <w:tc>
          <w:tcPr>
            <w:tcW w:w="1843" w:type="dxa"/>
            <w:vAlign w:val="center"/>
          </w:tcPr>
          <w:p w14:paraId="73FDB0F5">
            <w:pPr>
              <w:spacing w:line="240" w:lineRule="exact"/>
              <w:jc w:val="left"/>
              <w:rPr>
                <w:rFonts w:ascii="宋体" w:hAnsi="宋体"/>
                <w:color w:val="auto"/>
                <w:szCs w:val="21"/>
              </w:rPr>
            </w:pPr>
            <w:r>
              <w:rPr>
                <w:rFonts w:hint="eastAsia" w:ascii="宋体" w:hAnsi="宋体"/>
                <w:color w:val="auto"/>
                <w:szCs w:val="21"/>
              </w:rPr>
              <w:t>（5）分公司</w:t>
            </w:r>
          </w:p>
        </w:tc>
        <w:tc>
          <w:tcPr>
            <w:tcW w:w="6242" w:type="dxa"/>
            <w:vAlign w:val="center"/>
          </w:tcPr>
          <w:p w14:paraId="7385EF2A">
            <w:pPr>
              <w:spacing w:line="240" w:lineRule="exact"/>
              <w:rPr>
                <w:rFonts w:ascii="宋体" w:hAnsi="宋体"/>
                <w:color w:val="auto"/>
                <w:szCs w:val="21"/>
              </w:rPr>
            </w:pPr>
            <w:r>
              <w:rPr>
                <w:rFonts w:hint="eastAsia" w:ascii="宋体" w:hAnsi="宋体"/>
                <w:color w:val="auto"/>
                <w:szCs w:val="21"/>
              </w:rPr>
              <w:t>允许分公司参与响应的，供应商须提供总公司出具的授权其参与本项目的授权文件或制度。</w:t>
            </w:r>
          </w:p>
        </w:tc>
      </w:tr>
      <w:tr w14:paraId="2662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0DAA80B5">
            <w:pPr>
              <w:spacing w:line="240" w:lineRule="exact"/>
              <w:jc w:val="left"/>
              <w:rPr>
                <w:rFonts w:ascii="宋体" w:hAnsi="宋体"/>
                <w:color w:val="auto"/>
                <w:kern w:val="0"/>
                <w:szCs w:val="21"/>
              </w:rPr>
            </w:pPr>
          </w:p>
        </w:tc>
        <w:tc>
          <w:tcPr>
            <w:tcW w:w="1843" w:type="dxa"/>
            <w:vAlign w:val="center"/>
          </w:tcPr>
          <w:p w14:paraId="140725E8">
            <w:pPr>
              <w:spacing w:line="240" w:lineRule="exact"/>
              <w:jc w:val="left"/>
              <w:rPr>
                <w:rFonts w:ascii="宋体" w:hAns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）分包</w:t>
            </w:r>
          </w:p>
        </w:tc>
        <w:tc>
          <w:tcPr>
            <w:tcW w:w="6242" w:type="dxa"/>
            <w:vAlign w:val="center"/>
          </w:tcPr>
          <w:p w14:paraId="5BD92C6C">
            <w:pPr>
              <w:spacing w:line="240" w:lineRule="exact"/>
              <w:rPr>
                <w:rFonts w:ascii="宋体" w:hAnsi="宋体"/>
                <w:color w:val="auto"/>
                <w:szCs w:val="21"/>
                <w:lang w:val="zh-CN"/>
              </w:rPr>
            </w:pPr>
            <w:r>
              <w:rPr>
                <w:rFonts w:ascii="宋体" w:hAnsi="宋体"/>
                <w:color w:val="auto"/>
                <w:szCs w:val="21"/>
              </w:rPr>
              <w:t>须符合</w:t>
            </w:r>
            <w:r>
              <w:rPr>
                <w:rFonts w:hint="eastAsia" w:ascii="宋体" w:hAnsi="宋体"/>
                <w:color w:val="auto"/>
                <w:szCs w:val="21"/>
              </w:rPr>
              <w:t>“磋商公告”</w:t>
            </w:r>
            <w:r>
              <w:rPr>
                <w:rFonts w:ascii="宋体" w:hAnsi="宋体"/>
                <w:color w:val="auto"/>
                <w:szCs w:val="21"/>
              </w:rPr>
              <w:t>的要求</w:t>
            </w:r>
          </w:p>
        </w:tc>
      </w:tr>
      <w:tr w14:paraId="252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624A77FD">
            <w:pPr>
              <w:spacing w:line="240" w:lineRule="exact"/>
              <w:jc w:val="left"/>
              <w:rPr>
                <w:rFonts w:ascii="宋体" w:hAnsi="宋体"/>
                <w:color w:val="auto"/>
                <w:kern w:val="0"/>
                <w:szCs w:val="21"/>
              </w:rPr>
            </w:pPr>
          </w:p>
        </w:tc>
        <w:tc>
          <w:tcPr>
            <w:tcW w:w="1843" w:type="dxa"/>
            <w:vAlign w:val="center"/>
          </w:tcPr>
          <w:p w14:paraId="3B7F4B14">
            <w:pPr>
              <w:spacing w:line="240" w:lineRule="exact"/>
              <w:jc w:val="left"/>
              <w:rPr>
                <w:rFonts w:ascii="宋体" w:hAnsi="宋体"/>
                <w:color w:val="auto"/>
                <w:szCs w:val="21"/>
              </w:rPr>
            </w:pPr>
            <w:r>
              <w:rPr>
                <w:rFonts w:hint="eastAsia" w:ascii="宋体" w:hAnsi="宋体"/>
                <w:color w:val="auto"/>
                <w:szCs w:val="21"/>
              </w:rPr>
              <w:t>（</w:t>
            </w:r>
            <w:r>
              <w:rPr>
                <w:rFonts w:ascii="宋体" w:hAnsi="宋体"/>
                <w:color w:val="auto"/>
                <w:szCs w:val="21"/>
              </w:rPr>
              <w:t>7</w:t>
            </w:r>
            <w:r>
              <w:rPr>
                <w:rFonts w:hint="eastAsia" w:ascii="宋体" w:hAnsi="宋体"/>
                <w:color w:val="auto"/>
                <w:szCs w:val="21"/>
              </w:rPr>
              <w:t>）联合体</w:t>
            </w:r>
          </w:p>
        </w:tc>
        <w:tc>
          <w:tcPr>
            <w:tcW w:w="6242" w:type="dxa"/>
            <w:vAlign w:val="center"/>
          </w:tcPr>
          <w:p w14:paraId="009CB6DF">
            <w:pPr>
              <w:spacing w:line="240" w:lineRule="exact"/>
              <w:rPr>
                <w:rFonts w:ascii="宋体" w:hAnsi="宋体"/>
                <w:color w:val="auto"/>
                <w:szCs w:val="21"/>
              </w:rPr>
            </w:pPr>
            <w:r>
              <w:rPr>
                <w:rFonts w:hint="eastAsia" w:ascii="宋体" w:hAnsi="宋体"/>
                <w:color w:val="auto"/>
                <w:szCs w:val="21"/>
                <w:lang w:val="zh-CN"/>
              </w:rPr>
              <w:t>须符合“磋商公告”的要求</w:t>
            </w:r>
          </w:p>
        </w:tc>
      </w:tr>
      <w:tr w14:paraId="14A9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vAlign w:val="center"/>
          </w:tcPr>
          <w:p w14:paraId="3A5BBFAB">
            <w:pPr>
              <w:spacing w:line="240" w:lineRule="exact"/>
              <w:jc w:val="left"/>
              <w:rPr>
                <w:rFonts w:ascii="宋体" w:hAnsi="宋体"/>
                <w:color w:val="auto"/>
                <w:kern w:val="0"/>
                <w:szCs w:val="21"/>
              </w:rPr>
            </w:pPr>
          </w:p>
        </w:tc>
        <w:tc>
          <w:tcPr>
            <w:tcW w:w="1843" w:type="dxa"/>
            <w:vAlign w:val="center"/>
          </w:tcPr>
          <w:p w14:paraId="59BAC4CC">
            <w:pPr>
              <w:spacing w:line="240" w:lineRule="exact"/>
              <w:jc w:val="left"/>
              <w:rPr>
                <w:rFonts w:ascii="宋体" w:hAnsi="宋体"/>
                <w:color w:val="auto"/>
                <w:szCs w:val="21"/>
              </w:rPr>
            </w:pPr>
            <w:r>
              <w:rPr>
                <w:rFonts w:hint="eastAsia" w:ascii="宋体" w:hAnsi="宋体"/>
                <w:color w:val="auto"/>
                <w:szCs w:val="21"/>
              </w:rPr>
              <w:t>（</w:t>
            </w:r>
            <w:r>
              <w:rPr>
                <w:rFonts w:ascii="宋体" w:hAnsi="宋体"/>
                <w:color w:val="auto"/>
                <w:szCs w:val="21"/>
              </w:rPr>
              <w:t>8</w:t>
            </w:r>
            <w:r>
              <w:rPr>
                <w:rFonts w:hint="eastAsia" w:ascii="宋体" w:hAnsi="宋体"/>
                <w:color w:val="auto"/>
                <w:szCs w:val="21"/>
              </w:rPr>
              <w:t>）其他要求</w:t>
            </w:r>
          </w:p>
        </w:tc>
        <w:tc>
          <w:tcPr>
            <w:tcW w:w="6242" w:type="dxa"/>
          </w:tcPr>
          <w:p w14:paraId="4F5E06EA">
            <w:pPr>
              <w:spacing w:line="312" w:lineRule="auto"/>
              <w:jc w:val="left"/>
              <w:rPr>
                <w:rFonts w:ascii="宋体" w:hAnsi="宋体"/>
                <w:color w:val="auto"/>
                <w:kern w:val="0"/>
                <w:szCs w:val="21"/>
              </w:rPr>
            </w:pPr>
            <w:r>
              <w:rPr>
                <w:rFonts w:hint="eastAsia" w:ascii="宋体" w:hAnsi="宋体"/>
                <w:color w:val="auto"/>
                <w:kern w:val="0"/>
                <w:szCs w:val="21"/>
              </w:rPr>
              <w:t>按</w:t>
            </w:r>
            <w:r>
              <w:rPr>
                <w:rFonts w:ascii="宋体" w:hAnsi="宋体"/>
                <w:color w:val="auto"/>
                <w:kern w:val="0"/>
                <w:szCs w:val="21"/>
              </w:rPr>
              <w:t>照</w:t>
            </w:r>
            <w:r>
              <w:rPr>
                <w:rFonts w:hint="eastAsia" w:ascii="宋体" w:hAnsi="宋体"/>
                <w:color w:val="auto"/>
                <w:kern w:val="0"/>
                <w:szCs w:val="21"/>
              </w:rPr>
              <w:t>磋商</w:t>
            </w:r>
            <w:r>
              <w:rPr>
                <w:rFonts w:ascii="宋体" w:hAnsi="宋体"/>
                <w:color w:val="auto"/>
                <w:kern w:val="0"/>
                <w:szCs w:val="21"/>
              </w:rPr>
              <w:t>公告规定获得</w:t>
            </w:r>
            <w:r>
              <w:rPr>
                <w:rFonts w:hint="eastAsia" w:ascii="宋体" w:hAnsi="宋体"/>
                <w:color w:val="auto"/>
                <w:kern w:val="0"/>
                <w:szCs w:val="21"/>
              </w:rPr>
              <w:t>采购</w:t>
            </w:r>
            <w:r>
              <w:rPr>
                <w:rFonts w:ascii="宋体" w:hAnsi="宋体"/>
                <w:color w:val="auto"/>
                <w:kern w:val="0"/>
                <w:szCs w:val="21"/>
              </w:rPr>
              <w:t>文件。</w:t>
            </w:r>
            <w:r>
              <w:rPr>
                <w:rFonts w:hint="eastAsia" w:ascii="宋体" w:hAnsi="宋体"/>
                <w:color w:val="auto"/>
                <w:kern w:val="0"/>
                <w:szCs w:val="21"/>
              </w:rPr>
              <w:t>足额、及时缴纳磋商保证金。</w:t>
            </w:r>
          </w:p>
        </w:tc>
      </w:tr>
    </w:tbl>
    <w:p w14:paraId="52B2202F">
      <w:pPr>
        <w:spacing w:before="120" w:line="320" w:lineRule="atLeast"/>
        <w:ind w:firstLine="413" w:firstLineChars="196"/>
        <w:outlineLvl w:val="1"/>
        <w:rPr>
          <w:rFonts w:ascii="宋体" w:hAnsi="宋体"/>
          <w:color w:val="auto"/>
          <w:szCs w:val="21"/>
        </w:rPr>
      </w:pPr>
      <w:r>
        <w:rPr>
          <w:rFonts w:ascii="宋体" w:hAnsi="宋体"/>
          <w:b/>
          <w:bCs/>
          <w:color w:val="auto"/>
          <w:kern w:val="0"/>
          <w:szCs w:val="21"/>
        </w:rPr>
        <w:t>3</w:t>
      </w:r>
      <w:r>
        <w:rPr>
          <w:rFonts w:hint="eastAsia" w:ascii="宋体" w:hAnsi="宋体"/>
          <w:b/>
          <w:bCs/>
          <w:color w:val="auto"/>
          <w:kern w:val="0"/>
          <w:szCs w:val="21"/>
        </w:rPr>
        <w:t>.</w:t>
      </w:r>
      <w:r>
        <w:rPr>
          <w:rFonts w:ascii="宋体" w:hAnsi="宋体"/>
          <w:b/>
          <w:bCs/>
          <w:color w:val="auto"/>
          <w:kern w:val="0"/>
          <w:szCs w:val="21"/>
        </w:rPr>
        <w:t>符合性审查</w:t>
      </w:r>
      <w:r>
        <w:rPr>
          <w:rFonts w:hint="eastAsia" w:ascii="宋体" w:hAnsi="宋体"/>
          <w:b/>
          <w:bCs/>
          <w:color w:val="auto"/>
          <w:kern w:val="0"/>
          <w:szCs w:val="21"/>
        </w:rPr>
        <w:t>标准（不满足任何一项审查内容要求，符合性审查即为不合格）</w:t>
      </w:r>
    </w:p>
    <w:tbl>
      <w:tblPr>
        <w:tblStyle w:val="51"/>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74AD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Align w:val="center"/>
          </w:tcPr>
          <w:p w14:paraId="39551210">
            <w:pPr>
              <w:spacing w:line="240" w:lineRule="exact"/>
              <w:jc w:val="center"/>
              <w:rPr>
                <w:rFonts w:ascii="宋体" w:hAnsi="宋体"/>
                <w:b/>
                <w:color w:val="auto"/>
                <w:kern w:val="0"/>
                <w:szCs w:val="21"/>
              </w:rPr>
            </w:pPr>
            <w:bookmarkStart w:id="76" w:name="_Hlk48146640"/>
            <w:bookmarkStart w:id="77" w:name="_Hlk20388968"/>
            <w:r>
              <w:rPr>
                <w:rFonts w:hint="eastAsia" w:ascii="宋体" w:hAnsi="宋体"/>
                <w:b/>
                <w:color w:val="auto"/>
                <w:kern w:val="0"/>
                <w:szCs w:val="21"/>
              </w:rPr>
              <w:t>审查</w:t>
            </w:r>
            <w:r>
              <w:rPr>
                <w:rFonts w:ascii="宋体" w:hAnsi="宋体"/>
                <w:b/>
                <w:color w:val="auto"/>
                <w:kern w:val="0"/>
                <w:szCs w:val="21"/>
              </w:rPr>
              <w:t>因素</w:t>
            </w:r>
          </w:p>
        </w:tc>
        <w:tc>
          <w:tcPr>
            <w:tcW w:w="2333" w:type="dxa"/>
            <w:vAlign w:val="center"/>
          </w:tcPr>
          <w:p w14:paraId="199DF36D">
            <w:pPr>
              <w:spacing w:line="240" w:lineRule="exact"/>
              <w:jc w:val="center"/>
              <w:rPr>
                <w:rFonts w:ascii="宋体" w:hAnsi="宋体"/>
                <w:b/>
                <w:color w:val="auto"/>
                <w:kern w:val="0"/>
                <w:szCs w:val="21"/>
              </w:rPr>
            </w:pPr>
            <w:r>
              <w:rPr>
                <w:rFonts w:hint="eastAsia" w:ascii="宋体" w:hAnsi="宋体"/>
                <w:b/>
                <w:color w:val="auto"/>
                <w:kern w:val="0"/>
                <w:szCs w:val="21"/>
              </w:rPr>
              <w:t>审查内容</w:t>
            </w:r>
          </w:p>
        </w:tc>
        <w:tc>
          <w:tcPr>
            <w:tcW w:w="5085" w:type="dxa"/>
          </w:tcPr>
          <w:p w14:paraId="4581D01E">
            <w:pPr>
              <w:spacing w:line="240" w:lineRule="exact"/>
              <w:jc w:val="center"/>
              <w:rPr>
                <w:rFonts w:ascii="宋体" w:hAnsi="宋体"/>
                <w:b/>
                <w:color w:val="auto"/>
                <w:kern w:val="0"/>
                <w:szCs w:val="21"/>
              </w:rPr>
            </w:pPr>
          </w:p>
          <w:p w14:paraId="28037F71">
            <w:pPr>
              <w:spacing w:line="240" w:lineRule="exact"/>
              <w:jc w:val="center"/>
              <w:rPr>
                <w:rFonts w:ascii="宋体" w:hAnsi="宋体"/>
                <w:b/>
                <w:color w:val="auto"/>
                <w:kern w:val="0"/>
                <w:szCs w:val="21"/>
              </w:rPr>
            </w:pPr>
            <w:r>
              <w:rPr>
                <w:rFonts w:hint="eastAsia" w:ascii="宋体" w:hAnsi="宋体"/>
                <w:b/>
                <w:color w:val="auto"/>
                <w:kern w:val="0"/>
                <w:szCs w:val="21"/>
              </w:rPr>
              <w:t>说明</w:t>
            </w:r>
          </w:p>
        </w:tc>
      </w:tr>
      <w:tr w14:paraId="5068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vAlign w:val="center"/>
          </w:tcPr>
          <w:p w14:paraId="65FA315F">
            <w:pPr>
              <w:spacing w:line="240" w:lineRule="exact"/>
              <w:jc w:val="center"/>
              <w:rPr>
                <w:rFonts w:ascii="宋体" w:hAnsi="宋体"/>
                <w:color w:val="auto"/>
                <w:kern w:val="0"/>
                <w:szCs w:val="21"/>
              </w:rPr>
            </w:pPr>
            <w:r>
              <w:rPr>
                <w:rFonts w:hint="eastAsia" w:ascii="宋体" w:hAnsi="宋体"/>
                <w:color w:val="auto"/>
                <w:kern w:val="0"/>
                <w:szCs w:val="21"/>
              </w:rPr>
              <w:t>商务资信</w:t>
            </w:r>
          </w:p>
        </w:tc>
        <w:tc>
          <w:tcPr>
            <w:tcW w:w="2333" w:type="dxa"/>
            <w:vAlign w:val="center"/>
          </w:tcPr>
          <w:p w14:paraId="01D63FF5">
            <w:pPr>
              <w:spacing w:line="240" w:lineRule="exact"/>
              <w:rPr>
                <w:rFonts w:ascii="宋体" w:hAnsi="宋体"/>
                <w:color w:val="auto"/>
              </w:rPr>
            </w:pPr>
            <w:r>
              <w:rPr>
                <w:rFonts w:hint="eastAsia" w:ascii="宋体" w:hAnsi="宋体"/>
                <w:color w:val="auto"/>
              </w:rPr>
              <w:t>法定代表人身份证明及授权委托书</w:t>
            </w:r>
          </w:p>
        </w:tc>
        <w:tc>
          <w:tcPr>
            <w:tcW w:w="5085" w:type="dxa"/>
            <w:vAlign w:val="center"/>
          </w:tcPr>
          <w:p w14:paraId="28293E7A">
            <w:pPr>
              <w:spacing w:line="240" w:lineRule="exact"/>
              <w:rPr>
                <w:rFonts w:ascii="宋体" w:hAnsi="宋体"/>
                <w:color w:val="auto"/>
                <w:szCs w:val="21"/>
              </w:rPr>
            </w:pPr>
            <w:r>
              <w:rPr>
                <w:rFonts w:hint="eastAsia" w:ascii="宋体" w:hAnsi="宋体"/>
                <w:color w:val="auto"/>
                <w:szCs w:val="21"/>
              </w:rPr>
              <w:t>授权</w:t>
            </w:r>
            <w:r>
              <w:rPr>
                <w:rFonts w:ascii="宋体" w:hAnsi="宋体"/>
                <w:color w:val="auto"/>
                <w:szCs w:val="21"/>
              </w:rPr>
              <w:t>代表</w:t>
            </w:r>
            <w:r>
              <w:rPr>
                <w:rFonts w:hint="eastAsia" w:ascii="宋体" w:hAnsi="宋体"/>
                <w:color w:val="auto"/>
                <w:szCs w:val="21"/>
              </w:rPr>
              <w:t>参加响应</w:t>
            </w:r>
            <w:r>
              <w:rPr>
                <w:rFonts w:ascii="宋体" w:hAnsi="宋体"/>
                <w:color w:val="auto"/>
                <w:szCs w:val="21"/>
              </w:rPr>
              <w:t>时审查</w:t>
            </w:r>
            <w:r>
              <w:rPr>
                <w:rFonts w:ascii="宋体" w:hAnsi="宋体"/>
                <w:color w:val="auto"/>
              </w:rPr>
              <w:t>：</w:t>
            </w:r>
            <w:r>
              <w:rPr>
                <w:rFonts w:ascii="宋体" w:hAnsi="宋体"/>
                <w:color w:val="auto"/>
                <w:szCs w:val="21"/>
              </w:rPr>
              <w:t xml:space="preserve">法定代表人授权委托书及附件 </w:t>
            </w:r>
          </w:p>
          <w:p w14:paraId="1E0D3ECB">
            <w:pPr>
              <w:spacing w:line="240" w:lineRule="exact"/>
              <w:rPr>
                <w:rFonts w:ascii="宋体" w:hAnsi="宋体"/>
                <w:color w:val="auto"/>
                <w:szCs w:val="21"/>
              </w:rPr>
            </w:pPr>
            <w:r>
              <w:rPr>
                <w:rFonts w:hint="eastAsia" w:ascii="宋体" w:hAnsi="宋体"/>
                <w:color w:val="auto"/>
                <w:szCs w:val="21"/>
              </w:rPr>
              <w:t>法定代表人直接参加响应</w:t>
            </w:r>
            <w:r>
              <w:rPr>
                <w:rFonts w:ascii="宋体" w:hAnsi="宋体"/>
                <w:color w:val="auto"/>
                <w:szCs w:val="21"/>
              </w:rPr>
              <w:t>时审查</w:t>
            </w:r>
            <w:r>
              <w:rPr>
                <w:rFonts w:ascii="宋体" w:hAnsi="宋体"/>
                <w:color w:val="auto"/>
              </w:rPr>
              <w:t>：</w:t>
            </w:r>
            <w:r>
              <w:rPr>
                <w:rFonts w:ascii="宋体" w:hAnsi="宋体"/>
                <w:color w:val="auto"/>
                <w:szCs w:val="21"/>
              </w:rPr>
              <w:t>法定代表人身份证明</w:t>
            </w:r>
            <w:r>
              <w:rPr>
                <w:rFonts w:hint="eastAsia" w:ascii="宋体" w:hAnsi="宋体"/>
                <w:color w:val="auto"/>
                <w:szCs w:val="21"/>
              </w:rPr>
              <w:t>及</w:t>
            </w:r>
            <w:r>
              <w:rPr>
                <w:rFonts w:ascii="宋体" w:hAnsi="宋体"/>
                <w:color w:val="auto"/>
                <w:szCs w:val="21"/>
              </w:rPr>
              <w:t>附件</w:t>
            </w:r>
          </w:p>
          <w:p w14:paraId="1026F538">
            <w:pPr>
              <w:spacing w:line="240" w:lineRule="exact"/>
              <w:rPr>
                <w:rFonts w:ascii="宋体" w:hAnsi="宋体"/>
                <w:color w:val="auto"/>
              </w:rPr>
            </w:pPr>
            <w:r>
              <w:rPr>
                <w:rFonts w:ascii="宋体" w:hAnsi="宋体"/>
                <w:color w:val="auto"/>
                <w:szCs w:val="21"/>
              </w:rPr>
              <w:t>格式及附件见第六章响应文件格式要求</w:t>
            </w:r>
          </w:p>
        </w:tc>
      </w:tr>
      <w:tr w14:paraId="4BB3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256C35FD">
            <w:pPr>
              <w:spacing w:line="240" w:lineRule="exact"/>
              <w:jc w:val="center"/>
              <w:rPr>
                <w:rFonts w:ascii="宋体" w:hAnsi="宋体"/>
                <w:color w:val="auto"/>
                <w:kern w:val="0"/>
                <w:szCs w:val="21"/>
              </w:rPr>
            </w:pPr>
          </w:p>
        </w:tc>
        <w:tc>
          <w:tcPr>
            <w:tcW w:w="2333" w:type="dxa"/>
            <w:vAlign w:val="center"/>
          </w:tcPr>
          <w:p w14:paraId="1FFE7AC4">
            <w:pPr>
              <w:spacing w:line="240" w:lineRule="exact"/>
              <w:rPr>
                <w:rFonts w:ascii="宋体" w:hAnsi="宋体"/>
                <w:color w:val="auto"/>
                <w:szCs w:val="21"/>
              </w:rPr>
            </w:pPr>
            <w:r>
              <w:rPr>
                <w:rFonts w:hint="eastAsia" w:ascii="宋体" w:hAnsi="宋体"/>
                <w:color w:val="auto"/>
                <w:szCs w:val="21"/>
              </w:rPr>
              <w:t>实质性条款响应</w:t>
            </w:r>
          </w:p>
        </w:tc>
        <w:tc>
          <w:tcPr>
            <w:tcW w:w="5085" w:type="dxa"/>
            <w:vAlign w:val="center"/>
          </w:tcPr>
          <w:p w14:paraId="23EB001C">
            <w:pPr>
              <w:spacing w:line="240" w:lineRule="exact"/>
              <w:rPr>
                <w:rFonts w:ascii="宋体" w:hAnsi="宋体"/>
                <w:color w:val="auto"/>
                <w:szCs w:val="21"/>
              </w:rPr>
            </w:pPr>
            <w:r>
              <w:rPr>
                <w:rFonts w:hint="eastAsia" w:ascii="宋体" w:hAnsi="宋体"/>
                <w:color w:val="auto"/>
                <w:szCs w:val="21"/>
              </w:rPr>
              <w:t>采购文件实质性要求响应均无负偏离</w:t>
            </w:r>
          </w:p>
        </w:tc>
      </w:tr>
      <w:tr w14:paraId="1C2C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3ED58C05">
            <w:pPr>
              <w:spacing w:line="240" w:lineRule="exact"/>
              <w:jc w:val="center"/>
              <w:rPr>
                <w:rFonts w:ascii="宋体" w:hAnsi="宋体"/>
                <w:color w:val="auto"/>
                <w:kern w:val="0"/>
                <w:szCs w:val="21"/>
              </w:rPr>
            </w:pPr>
          </w:p>
        </w:tc>
        <w:tc>
          <w:tcPr>
            <w:tcW w:w="2333" w:type="dxa"/>
            <w:vAlign w:val="center"/>
          </w:tcPr>
          <w:p w14:paraId="0DC7C550">
            <w:pPr>
              <w:spacing w:line="240" w:lineRule="exact"/>
              <w:rPr>
                <w:rFonts w:ascii="宋体" w:hAnsi="宋体"/>
                <w:color w:val="auto"/>
                <w:szCs w:val="21"/>
              </w:rPr>
            </w:pPr>
            <w:r>
              <w:rPr>
                <w:rFonts w:hint="eastAsia" w:ascii="宋体" w:hAnsi="宋体"/>
                <w:color w:val="auto"/>
                <w:szCs w:val="21"/>
              </w:rPr>
              <w:t>串通投标</w:t>
            </w:r>
          </w:p>
        </w:tc>
        <w:tc>
          <w:tcPr>
            <w:tcW w:w="5085" w:type="dxa"/>
            <w:vAlign w:val="center"/>
          </w:tcPr>
          <w:p w14:paraId="4D518935">
            <w:pPr>
              <w:spacing w:line="240" w:lineRule="exact"/>
              <w:rPr>
                <w:rFonts w:ascii="宋体" w:hAnsi="宋体"/>
                <w:color w:val="auto"/>
                <w:szCs w:val="21"/>
              </w:rPr>
            </w:pPr>
            <w:r>
              <w:rPr>
                <w:rFonts w:hint="eastAsia" w:ascii="宋体" w:hAnsi="宋体"/>
                <w:color w:val="auto"/>
                <w:szCs w:val="21"/>
              </w:rPr>
              <w:t>不属于供应商须知正文第</w:t>
            </w:r>
            <w:r>
              <w:rPr>
                <w:rFonts w:ascii="宋体" w:hAnsi="宋体"/>
                <w:color w:val="auto"/>
                <w:szCs w:val="21"/>
              </w:rPr>
              <w:t>6</w:t>
            </w:r>
            <w:r>
              <w:rPr>
                <w:rFonts w:hint="eastAsia" w:ascii="宋体" w:hAnsi="宋体"/>
                <w:color w:val="auto"/>
                <w:szCs w:val="21"/>
              </w:rPr>
              <w:t>.</w:t>
            </w:r>
            <w:r>
              <w:rPr>
                <w:rFonts w:ascii="宋体" w:hAnsi="宋体"/>
                <w:color w:val="auto"/>
                <w:szCs w:val="21"/>
              </w:rPr>
              <w:t>3</w:t>
            </w:r>
            <w:r>
              <w:rPr>
                <w:rFonts w:hint="eastAsia" w:ascii="宋体" w:hAnsi="宋体"/>
                <w:color w:val="auto"/>
                <w:szCs w:val="21"/>
              </w:rPr>
              <w:t>.9规定的串通投标情形，见</w:t>
            </w:r>
            <w:r>
              <w:rPr>
                <w:rFonts w:ascii="宋体" w:hAnsi="宋体"/>
                <w:color w:val="auto"/>
                <w:szCs w:val="21"/>
              </w:rPr>
              <w:t>第六章响应文件格式要求</w:t>
            </w:r>
          </w:p>
        </w:tc>
      </w:tr>
      <w:tr w14:paraId="1AF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vAlign w:val="center"/>
          </w:tcPr>
          <w:p w14:paraId="6132D926">
            <w:pPr>
              <w:spacing w:line="240" w:lineRule="exact"/>
              <w:jc w:val="center"/>
              <w:rPr>
                <w:rFonts w:ascii="宋体" w:hAnsi="宋体"/>
                <w:color w:val="auto"/>
                <w:kern w:val="0"/>
                <w:szCs w:val="21"/>
              </w:rPr>
            </w:pPr>
            <w:r>
              <w:rPr>
                <w:rFonts w:hint="eastAsia" w:ascii="宋体" w:hAnsi="宋体"/>
                <w:color w:val="auto"/>
                <w:kern w:val="0"/>
                <w:szCs w:val="21"/>
              </w:rPr>
              <w:t>报价</w:t>
            </w:r>
          </w:p>
        </w:tc>
        <w:tc>
          <w:tcPr>
            <w:tcW w:w="2333" w:type="dxa"/>
            <w:vAlign w:val="center"/>
          </w:tcPr>
          <w:p w14:paraId="1C3DBB1D">
            <w:pPr>
              <w:spacing w:line="240" w:lineRule="exact"/>
              <w:rPr>
                <w:rFonts w:ascii="宋体" w:hAnsi="宋体"/>
                <w:color w:val="auto"/>
                <w:szCs w:val="21"/>
              </w:rPr>
            </w:pPr>
            <w:r>
              <w:rPr>
                <w:rFonts w:hint="eastAsia" w:ascii="宋体" w:hAnsi="宋体"/>
                <w:color w:val="auto"/>
                <w:szCs w:val="21"/>
              </w:rPr>
              <w:t>有效报价</w:t>
            </w:r>
          </w:p>
        </w:tc>
        <w:tc>
          <w:tcPr>
            <w:tcW w:w="5085" w:type="dxa"/>
            <w:vAlign w:val="center"/>
          </w:tcPr>
          <w:p w14:paraId="2F71B759">
            <w:pPr>
              <w:spacing w:line="240" w:lineRule="exact"/>
              <w:rPr>
                <w:rFonts w:ascii="宋体" w:hAnsi="宋体"/>
                <w:bCs/>
                <w:color w:val="auto"/>
                <w:kern w:val="0"/>
                <w:szCs w:val="21"/>
              </w:rPr>
            </w:pPr>
            <w:r>
              <w:rPr>
                <w:rFonts w:hint="eastAsia" w:ascii="宋体" w:hAnsi="宋体"/>
                <w:color w:val="auto"/>
              </w:rPr>
              <w:t>报价未超出采购预算金额，也未超出最高限价（如有）</w:t>
            </w:r>
          </w:p>
        </w:tc>
      </w:tr>
      <w:tr w14:paraId="3FD7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258E911A">
            <w:pPr>
              <w:spacing w:line="240" w:lineRule="exact"/>
              <w:jc w:val="center"/>
              <w:rPr>
                <w:rFonts w:ascii="宋体" w:hAnsi="宋体"/>
                <w:color w:val="auto"/>
                <w:kern w:val="0"/>
                <w:szCs w:val="21"/>
              </w:rPr>
            </w:pPr>
          </w:p>
        </w:tc>
        <w:tc>
          <w:tcPr>
            <w:tcW w:w="2333" w:type="dxa"/>
            <w:vAlign w:val="center"/>
          </w:tcPr>
          <w:p w14:paraId="7AF07860">
            <w:pPr>
              <w:spacing w:line="240" w:lineRule="exact"/>
              <w:rPr>
                <w:rFonts w:ascii="宋体" w:hAnsi="宋体"/>
                <w:bCs/>
                <w:color w:val="auto"/>
                <w:kern w:val="0"/>
                <w:szCs w:val="21"/>
              </w:rPr>
            </w:pPr>
            <w:r>
              <w:rPr>
                <w:rFonts w:hint="eastAsia" w:ascii="宋体" w:hAnsi="宋体"/>
                <w:bCs/>
                <w:color w:val="auto"/>
                <w:kern w:val="0"/>
                <w:szCs w:val="21"/>
              </w:rPr>
              <w:t>漏项报价</w:t>
            </w:r>
          </w:p>
        </w:tc>
        <w:tc>
          <w:tcPr>
            <w:tcW w:w="5085" w:type="dxa"/>
            <w:vAlign w:val="center"/>
          </w:tcPr>
          <w:p w14:paraId="61BB4E97">
            <w:pPr>
              <w:spacing w:line="240" w:lineRule="exact"/>
              <w:rPr>
                <w:rFonts w:ascii="宋体" w:hAnsi="宋体"/>
                <w:color w:val="auto"/>
                <w:szCs w:val="21"/>
              </w:rPr>
            </w:pPr>
            <w:r>
              <w:rPr>
                <w:rFonts w:hint="eastAsia" w:ascii="宋体" w:hAnsi="宋体"/>
                <w:color w:val="auto"/>
                <w:szCs w:val="21"/>
              </w:rPr>
              <w:t>未就所投分标进行报价或者存在漏项报价；</w:t>
            </w:r>
          </w:p>
        </w:tc>
      </w:tr>
      <w:tr w14:paraId="17FF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09E15467">
            <w:pPr>
              <w:spacing w:line="240" w:lineRule="exact"/>
              <w:jc w:val="center"/>
              <w:rPr>
                <w:rFonts w:ascii="宋体" w:hAnsi="宋体"/>
                <w:color w:val="auto"/>
                <w:kern w:val="0"/>
                <w:szCs w:val="21"/>
              </w:rPr>
            </w:pPr>
          </w:p>
        </w:tc>
        <w:tc>
          <w:tcPr>
            <w:tcW w:w="2333" w:type="dxa"/>
            <w:vAlign w:val="center"/>
          </w:tcPr>
          <w:p w14:paraId="526AA93C">
            <w:pPr>
              <w:spacing w:line="240" w:lineRule="exact"/>
              <w:rPr>
                <w:rFonts w:ascii="宋体" w:hAnsi="宋体"/>
                <w:color w:val="auto"/>
                <w:szCs w:val="21"/>
              </w:rPr>
            </w:pPr>
            <w:r>
              <w:rPr>
                <w:rFonts w:hint="eastAsia" w:ascii="宋体" w:hAnsi="宋体"/>
                <w:color w:val="auto"/>
                <w:szCs w:val="21"/>
              </w:rPr>
              <w:t>响应报价唯一性</w:t>
            </w:r>
          </w:p>
        </w:tc>
        <w:tc>
          <w:tcPr>
            <w:tcW w:w="5085" w:type="dxa"/>
            <w:vAlign w:val="center"/>
          </w:tcPr>
          <w:p w14:paraId="2E5CCC27">
            <w:pPr>
              <w:spacing w:line="240" w:lineRule="exact"/>
              <w:rPr>
                <w:rFonts w:ascii="宋体" w:hAnsi="宋体"/>
                <w:color w:val="auto"/>
                <w:szCs w:val="21"/>
              </w:rPr>
            </w:pPr>
            <w:r>
              <w:rPr>
                <w:rFonts w:hint="eastAsia" w:ascii="宋体" w:hAnsi="宋体"/>
                <w:color w:val="auto"/>
                <w:szCs w:val="21"/>
              </w:rPr>
              <w:t>不存在有选择、有条件的最后报价（采购文件允许有备选方案或者其他约定的除外）</w:t>
            </w:r>
          </w:p>
        </w:tc>
      </w:tr>
      <w:tr w14:paraId="7A99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02581615">
            <w:pPr>
              <w:spacing w:line="240" w:lineRule="exact"/>
              <w:jc w:val="center"/>
              <w:rPr>
                <w:rFonts w:ascii="宋体" w:hAnsi="宋体"/>
                <w:color w:val="auto"/>
                <w:kern w:val="0"/>
                <w:szCs w:val="21"/>
              </w:rPr>
            </w:pPr>
          </w:p>
        </w:tc>
        <w:tc>
          <w:tcPr>
            <w:tcW w:w="2333" w:type="dxa"/>
            <w:vAlign w:val="center"/>
          </w:tcPr>
          <w:p w14:paraId="65D2A41A">
            <w:pPr>
              <w:spacing w:line="240" w:lineRule="exact"/>
              <w:rPr>
                <w:rFonts w:ascii="宋体" w:hAnsi="宋体"/>
                <w:color w:val="auto"/>
                <w:lang w:val="zh-CN"/>
              </w:rPr>
            </w:pPr>
            <w:r>
              <w:rPr>
                <w:rFonts w:hint="eastAsia" w:ascii="宋体" w:hAnsi="宋体"/>
                <w:color w:val="auto"/>
                <w:szCs w:val="21"/>
                <w:lang w:val="zh-CN"/>
              </w:rPr>
              <w:t>过低报价合理性</w:t>
            </w:r>
          </w:p>
        </w:tc>
        <w:tc>
          <w:tcPr>
            <w:tcW w:w="5085" w:type="dxa"/>
            <w:vAlign w:val="center"/>
          </w:tcPr>
          <w:p w14:paraId="60FD92E8">
            <w:pPr>
              <w:spacing w:line="240" w:lineRule="exact"/>
              <w:rPr>
                <w:rFonts w:ascii="宋体" w:hAnsi="宋体"/>
                <w:color w:val="auto"/>
              </w:rPr>
            </w:pPr>
            <w:r>
              <w:rPr>
                <w:rFonts w:hint="eastAsia" w:ascii="宋体" w:hAnsi="宋体"/>
                <w:color w:val="auto"/>
              </w:rPr>
              <w:t>供应商的报价存在异常低价问题的情形，评审委员会</w:t>
            </w:r>
            <w:r>
              <w:rPr>
                <w:rFonts w:hint="eastAsia" w:ascii="宋体" w:hAnsi="宋体"/>
                <w:color w:val="auto"/>
                <w:szCs w:val="21"/>
              </w:rPr>
              <w:t>应当要求其在评标现场合理的时间内提供报价合理性相关的书面说明及必要的证明材料。</w:t>
            </w:r>
            <w:r>
              <w:rPr>
                <w:rFonts w:hint="eastAsia" w:ascii="宋体" w:hAnsi="宋体"/>
                <w:color w:val="auto"/>
              </w:rPr>
              <w:t>供应商不能证明其报价合理性的，评审委员会应当将其作为无效投标处理。</w:t>
            </w:r>
          </w:p>
        </w:tc>
      </w:tr>
      <w:tr w14:paraId="17F7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458456C6">
            <w:pPr>
              <w:spacing w:line="240" w:lineRule="exact"/>
              <w:jc w:val="center"/>
              <w:rPr>
                <w:rFonts w:ascii="宋体" w:hAnsi="宋体"/>
                <w:color w:val="auto"/>
                <w:kern w:val="0"/>
                <w:szCs w:val="21"/>
              </w:rPr>
            </w:pPr>
          </w:p>
        </w:tc>
        <w:tc>
          <w:tcPr>
            <w:tcW w:w="2333" w:type="dxa"/>
            <w:vAlign w:val="center"/>
          </w:tcPr>
          <w:p w14:paraId="651CD25A">
            <w:pPr>
              <w:spacing w:line="240" w:lineRule="exact"/>
              <w:rPr>
                <w:rFonts w:ascii="宋体" w:hAnsi="宋体"/>
                <w:color w:val="auto"/>
                <w:szCs w:val="21"/>
              </w:rPr>
            </w:pPr>
            <w:r>
              <w:rPr>
                <w:rFonts w:hint="eastAsia" w:ascii="宋体" w:hAnsi="宋体"/>
                <w:color w:val="auto"/>
                <w:szCs w:val="21"/>
              </w:rPr>
              <w:t>响应有效期</w:t>
            </w:r>
          </w:p>
        </w:tc>
        <w:tc>
          <w:tcPr>
            <w:tcW w:w="5085" w:type="dxa"/>
            <w:vAlign w:val="center"/>
          </w:tcPr>
          <w:p w14:paraId="6069E9B1">
            <w:pPr>
              <w:spacing w:line="240" w:lineRule="exact"/>
              <w:rPr>
                <w:rFonts w:ascii="宋体" w:hAnsi="宋体"/>
                <w:color w:val="auto"/>
                <w:szCs w:val="21"/>
              </w:rPr>
            </w:pPr>
            <w:r>
              <w:rPr>
                <w:rFonts w:hint="eastAsia" w:ascii="宋体" w:hAnsi="宋体"/>
                <w:color w:val="auto"/>
                <w:szCs w:val="21"/>
              </w:rPr>
              <w:t>满足采购文件规定</w:t>
            </w:r>
          </w:p>
        </w:tc>
      </w:tr>
      <w:bookmarkEnd w:id="76"/>
      <w:bookmarkEnd w:id="77"/>
    </w:tbl>
    <w:p w14:paraId="0C83817C">
      <w:pPr>
        <w:spacing w:before="120" w:line="320" w:lineRule="atLeast"/>
        <w:rPr>
          <w:rFonts w:ascii="宋体" w:hAnsi="宋体"/>
          <w:color w:val="auto"/>
        </w:rPr>
      </w:pPr>
    </w:p>
    <w:p w14:paraId="51CCB7E9">
      <w:pPr>
        <w:spacing w:before="120" w:line="320" w:lineRule="atLeast"/>
        <w:rPr>
          <w:rFonts w:ascii="宋体" w:hAnsi="宋体"/>
          <w:color w:val="auto"/>
        </w:rPr>
      </w:pPr>
    </w:p>
    <w:p w14:paraId="15130C5D">
      <w:pPr>
        <w:tabs>
          <w:tab w:val="left" w:pos="1950"/>
        </w:tabs>
        <w:spacing w:before="120" w:line="320" w:lineRule="atLeast"/>
        <w:jc w:val="left"/>
        <w:outlineLvl w:val="1"/>
        <w:rPr>
          <w:rFonts w:ascii="宋体" w:hAnsi="宋体"/>
          <w:b/>
          <w:bCs/>
          <w:color w:val="auto"/>
          <w:kern w:val="0"/>
          <w:szCs w:val="21"/>
        </w:rPr>
      </w:pPr>
      <w:r>
        <w:rPr>
          <w:rFonts w:ascii="宋体" w:hAnsi="宋体"/>
          <w:b/>
          <w:bCs/>
          <w:color w:val="auto"/>
          <w:kern w:val="0"/>
        </w:rPr>
        <w:br w:type="page"/>
      </w:r>
      <w:r>
        <w:rPr>
          <w:rFonts w:ascii="宋体" w:hAnsi="宋体"/>
          <w:b/>
          <w:bCs/>
          <w:color w:val="auto"/>
          <w:kern w:val="0"/>
          <w:szCs w:val="21"/>
        </w:rPr>
        <w:t>4.</w:t>
      </w:r>
      <w:r>
        <w:rPr>
          <w:rFonts w:hint="eastAsia" w:ascii="宋体" w:hAnsi="宋体"/>
          <w:b/>
          <w:bCs/>
          <w:color w:val="auto"/>
          <w:kern w:val="0"/>
          <w:szCs w:val="21"/>
        </w:rPr>
        <w:t>评审标准</w:t>
      </w:r>
    </w:p>
    <w:p w14:paraId="155567A4">
      <w:pPr>
        <w:ind w:firstLine="420" w:firstLineChars="200"/>
        <w:outlineLvl w:val="2"/>
        <w:rPr>
          <w:rFonts w:ascii="宋体" w:hAnsi="宋体"/>
          <w:color w:val="auto"/>
        </w:rPr>
      </w:pPr>
      <w:r>
        <w:rPr>
          <w:rFonts w:hint="eastAsia" w:ascii="宋体" w:hAnsi="宋体"/>
          <w:color w:val="auto"/>
        </w:rPr>
        <w:t>1分标</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9"/>
        <w:gridCol w:w="692"/>
        <w:gridCol w:w="5003"/>
        <w:gridCol w:w="2044"/>
      </w:tblGrid>
      <w:tr w14:paraId="522A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60CEE7E7">
            <w:pPr>
              <w:spacing w:after="160" w:line="278" w:lineRule="auto"/>
              <w:jc w:val="center"/>
              <w:rPr>
                <w:rFonts w:ascii="宋体" w:hAnsi="宋体"/>
                <w:b/>
                <w:color w:val="auto"/>
                <w:szCs w:val="21"/>
              </w:rPr>
            </w:pPr>
            <w:r>
              <w:rPr>
                <w:rFonts w:ascii="宋体" w:hAnsi="宋体"/>
                <w:b/>
                <w:color w:val="auto"/>
                <w:szCs w:val="21"/>
              </w:rPr>
              <w:t>序号</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7CA3831F">
            <w:pPr>
              <w:spacing w:after="160" w:line="278" w:lineRule="auto"/>
              <w:jc w:val="center"/>
              <w:rPr>
                <w:rFonts w:ascii="宋体" w:hAnsi="宋体"/>
                <w:b/>
                <w:color w:val="auto"/>
                <w:szCs w:val="21"/>
              </w:rPr>
            </w:pPr>
            <w:r>
              <w:rPr>
                <w:rFonts w:ascii="宋体" w:hAnsi="宋体"/>
                <w:b/>
                <w:color w:val="auto"/>
                <w:szCs w:val="21"/>
              </w:rPr>
              <w:t>评审因素及分值</w:t>
            </w:r>
          </w:p>
        </w:tc>
        <w:tc>
          <w:tcPr>
            <w:tcW w:w="692" w:type="dxa"/>
            <w:tcBorders>
              <w:top w:val="single" w:color="auto" w:sz="4" w:space="0"/>
              <w:left w:val="single" w:color="auto" w:sz="4" w:space="0"/>
              <w:bottom w:val="single" w:color="auto" w:sz="4" w:space="0"/>
              <w:right w:val="single" w:color="auto" w:sz="4" w:space="0"/>
            </w:tcBorders>
            <w:vAlign w:val="center"/>
          </w:tcPr>
          <w:p w14:paraId="27EA4648">
            <w:pPr>
              <w:spacing w:after="160" w:line="278" w:lineRule="auto"/>
              <w:jc w:val="center"/>
              <w:rPr>
                <w:rFonts w:ascii="宋体" w:hAnsi="宋体"/>
                <w:b/>
                <w:color w:val="auto"/>
                <w:szCs w:val="21"/>
              </w:rPr>
            </w:pPr>
            <w:r>
              <w:rPr>
                <w:rFonts w:ascii="宋体" w:hAnsi="宋体"/>
                <w:b/>
                <w:color w:val="auto"/>
                <w:szCs w:val="21"/>
              </w:rPr>
              <w:t>分值</w:t>
            </w:r>
          </w:p>
          <w:p w14:paraId="6197021C">
            <w:pPr>
              <w:spacing w:after="160" w:line="278" w:lineRule="auto"/>
              <w:jc w:val="center"/>
              <w:rPr>
                <w:rFonts w:ascii="宋体" w:hAnsi="宋体"/>
                <w:b/>
                <w:color w:val="auto"/>
                <w:szCs w:val="21"/>
              </w:rPr>
            </w:pPr>
            <w:r>
              <w:rPr>
                <w:rFonts w:ascii="宋体" w:hAnsi="宋体"/>
                <w:b/>
                <w:color w:val="auto"/>
                <w:szCs w:val="21"/>
              </w:rPr>
              <w:t>属性</w:t>
            </w:r>
          </w:p>
        </w:tc>
        <w:tc>
          <w:tcPr>
            <w:tcW w:w="5003" w:type="dxa"/>
            <w:tcBorders>
              <w:top w:val="single" w:color="auto" w:sz="4" w:space="0"/>
              <w:left w:val="single" w:color="auto" w:sz="4" w:space="0"/>
              <w:bottom w:val="single" w:color="auto" w:sz="4" w:space="0"/>
              <w:right w:val="single" w:color="auto" w:sz="4" w:space="0"/>
            </w:tcBorders>
            <w:vAlign w:val="center"/>
          </w:tcPr>
          <w:p w14:paraId="7938D0B9">
            <w:pPr>
              <w:spacing w:after="160" w:line="278" w:lineRule="auto"/>
              <w:jc w:val="center"/>
              <w:rPr>
                <w:rFonts w:ascii="宋体" w:hAnsi="宋体"/>
                <w:b/>
                <w:color w:val="auto"/>
                <w:szCs w:val="21"/>
              </w:rPr>
            </w:pPr>
            <w:r>
              <w:rPr>
                <w:rFonts w:ascii="宋体" w:hAnsi="宋体"/>
                <w:b/>
                <w:color w:val="auto"/>
                <w:szCs w:val="21"/>
              </w:rPr>
              <w:t>评审标准</w:t>
            </w:r>
          </w:p>
        </w:tc>
        <w:tc>
          <w:tcPr>
            <w:tcW w:w="2044" w:type="dxa"/>
            <w:tcBorders>
              <w:top w:val="single" w:color="auto" w:sz="4" w:space="0"/>
              <w:left w:val="single" w:color="auto" w:sz="4" w:space="0"/>
              <w:bottom w:val="single" w:color="auto" w:sz="4" w:space="0"/>
              <w:right w:val="single" w:color="auto" w:sz="4" w:space="0"/>
            </w:tcBorders>
            <w:vAlign w:val="center"/>
          </w:tcPr>
          <w:p w14:paraId="13AC4045">
            <w:pPr>
              <w:spacing w:after="160" w:line="278" w:lineRule="auto"/>
              <w:jc w:val="center"/>
              <w:rPr>
                <w:rFonts w:ascii="宋体" w:hAnsi="宋体"/>
                <w:b/>
                <w:color w:val="auto"/>
                <w:szCs w:val="21"/>
              </w:rPr>
            </w:pPr>
            <w:r>
              <w:rPr>
                <w:rFonts w:ascii="宋体" w:hAnsi="宋体"/>
                <w:b/>
                <w:color w:val="auto"/>
                <w:szCs w:val="21"/>
              </w:rPr>
              <w:t>说明</w:t>
            </w:r>
          </w:p>
        </w:tc>
      </w:tr>
      <w:tr w14:paraId="2DB4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3F181E86">
            <w:pPr>
              <w:spacing w:after="160" w:line="278" w:lineRule="auto"/>
              <w:jc w:val="center"/>
              <w:rPr>
                <w:rFonts w:ascii="宋体" w:hAnsi="宋体"/>
                <w:color w:val="auto"/>
                <w:szCs w:val="21"/>
              </w:rPr>
            </w:pPr>
            <w:r>
              <w:rPr>
                <w:rFonts w:ascii="宋体" w:hAnsi="宋体"/>
                <w:color w:val="auto"/>
                <w:szCs w:val="21"/>
              </w:rPr>
              <w:t>1</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1B57E3CF">
            <w:pPr>
              <w:tabs>
                <w:tab w:val="center" w:pos="4153"/>
                <w:tab w:val="right" w:pos="8306"/>
              </w:tabs>
              <w:snapToGrid w:val="0"/>
              <w:spacing w:after="160" w:line="278" w:lineRule="auto"/>
              <w:jc w:val="left"/>
              <w:rPr>
                <w:rFonts w:ascii="宋体" w:hAnsi="宋体"/>
                <w:color w:val="auto"/>
                <w:szCs w:val="21"/>
              </w:rPr>
            </w:pPr>
            <w:r>
              <w:rPr>
                <w:rFonts w:ascii="宋体" w:hAnsi="宋体"/>
                <w:color w:val="auto"/>
                <w:szCs w:val="21"/>
              </w:rPr>
              <w:t>商务部分（46分）</w:t>
            </w:r>
          </w:p>
        </w:tc>
        <w:tc>
          <w:tcPr>
            <w:tcW w:w="1009" w:type="dxa"/>
            <w:tcBorders>
              <w:top w:val="single" w:color="auto" w:sz="4" w:space="0"/>
              <w:left w:val="single" w:color="auto" w:sz="4" w:space="0"/>
              <w:bottom w:val="single" w:color="auto" w:sz="4" w:space="0"/>
              <w:right w:val="single" w:color="auto" w:sz="4" w:space="0"/>
            </w:tcBorders>
            <w:vAlign w:val="center"/>
          </w:tcPr>
          <w:p w14:paraId="15CB299C">
            <w:pPr>
              <w:spacing w:after="160" w:line="278" w:lineRule="auto"/>
              <w:rPr>
                <w:rFonts w:ascii="宋体" w:hAnsi="宋体"/>
                <w:color w:val="auto"/>
                <w:szCs w:val="21"/>
              </w:rPr>
            </w:pPr>
            <w:r>
              <w:rPr>
                <w:rFonts w:ascii="宋体" w:hAnsi="宋体"/>
                <w:color w:val="auto"/>
                <w:szCs w:val="21"/>
              </w:rPr>
              <w:t>信誉业绩（10分）</w:t>
            </w:r>
          </w:p>
        </w:tc>
        <w:tc>
          <w:tcPr>
            <w:tcW w:w="692" w:type="dxa"/>
            <w:tcBorders>
              <w:top w:val="single" w:color="auto" w:sz="4" w:space="0"/>
              <w:left w:val="single" w:color="auto" w:sz="4" w:space="0"/>
              <w:bottom w:val="single" w:color="auto" w:sz="4" w:space="0"/>
              <w:right w:val="single" w:color="auto" w:sz="4" w:space="0"/>
            </w:tcBorders>
            <w:vAlign w:val="center"/>
          </w:tcPr>
          <w:p w14:paraId="2E07FBFF">
            <w:pPr>
              <w:spacing w:after="160" w:line="278" w:lineRule="auto"/>
              <w:jc w:val="center"/>
              <w:rPr>
                <w:rFonts w:ascii="宋体" w:hAnsi="宋体"/>
                <w:color w:val="auto"/>
                <w:szCs w:val="21"/>
              </w:rPr>
            </w:pPr>
            <w:r>
              <w:rPr>
                <w:rFonts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035B3391">
            <w:pPr>
              <w:spacing w:after="160" w:line="278" w:lineRule="auto"/>
              <w:jc w:val="left"/>
              <w:rPr>
                <w:rFonts w:ascii="宋体" w:hAnsi="宋体"/>
                <w:color w:val="auto"/>
                <w:szCs w:val="21"/>
              </w:rPr>
            </w:pPr>
            <w:r>
              <w:rPr>
                <w:rFonts w:ascii="宋体" w:hAnsi="宋体"/>
                <w:color w:val="auto"/>
                <w:szCs w:val="21"/>
              </w:rPr>
              <w:t>供应商每提供1个有效业绩得2分，满分10分。有效业绩定义：指规划编制、课题研究等类型项目业绩。</w:t>
            </w:r>
          </w:p>
        </w:tc>
        <w:tc>
          <w:tcPr>
            <w:tcW w:w="2044" w:type="dxa"/>
            <w:tcBorders>
              <w:top w:val="single" w:color="auto" w:sz="4" w:space="0"/>
              <w:left w:val="single" w:color="auto" w:sz="4" w:space="0"/>
              <w:bottom w:val="single" w:color="auto" w:sz="4" w:space="0"/>
              <w:right w:val="single" w:color="auto" w:sz="4" w:space="0"/>
            </w:tcBorders>
            <w:vAlign w:val="center"/>
          </w:tcPr>
          <w:p w14:paraId="5CD5F18E">
            <w:pPr>
              <w:spacing w:after="160" w:line="278" w:lineRule="auto"/>
              <w:rPr>
                <w:rFonts w:ascii="宋体" w:hAnsi="宋体"/>
                <w:color w:val="auto"/>
                <w:szCs w:val="21"/>
              </w:rPr>
            </w:pPr>
            <w:r>
              <w:rPr>
                <w:rFonts w:ascii="宋体" w:hAnsi="宋体"/>
                <w:color w:val="auto"/>
                <w:szCs w:val="21"/>
              </w:rPr>
              <w:t>（1）必须提供证明材料。</w:t>
            </w:r>
          </w:p>
          <w:p w14:paraId="16A0B10D">
            <w:pPr>
              <w:spacing w:after="160" w:line="278" w:lineRule="auto"/>
              <w:rPr>
                <w:rFonts w:ascii="宋体" w:hAnsi="宋体"/>
                <w:color w:val="auto"/>
                <w:szCs w:val="21"/>
              </w:rPr>
            </w:pPr>
            <w:r>
              <w:rPr>
                <w:rFonts w:ascii="宋体" w:hAnsi="宋体"/>
                <w:color w:val="auto"/>
                <w:szCs w:val="21"/>
              </w:rPr>
              <w:t>（2）以中标或成交通知书或合同复印件为准。</w:t>
            </w:r>
          </w:p>
        </w:tc>
      </w:tr>
      <w:tr w14:paraId="0ED4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12B773A2">
            <w:pPr>
              <w:widowControl/>
              <w:spacing w:after="160" w:line="278" w:lineRule="auto"/>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22DBC2D4">
            <w:pPr>
              <w:widowControl/>
              <w:spacing w:after="160" w:line="278" w:lineRule="auto"/>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63CE0299">
            <w:pPr>
              <w:spacing w:after="160" w:line="278" w:lineRule="auto"/>
              <w:rPr>
                <w:rFonts w:ascii="宋体" w:hAnsi="宋体"/>
                <w:color w:val="auto"/>
                <w:szCs w:val="21"/>
              </w:rPr>
            </w:pPr>
            <w:r>
              <w:rPr>
                <w:rFonts w:ascii="宋体" w:hAnsi="宋体"/>
                <w:color w:val="auto"/>
                <w:szCs w:val="21"/>
              </w:rPr>
              <w:t>服务团队人员（20分）</w:t>
            </w:r>
          </w:p>
        </w:tc>
        <w:tc>
          <w:tcPr>
            <w:tcW w:w="692" w:type="dxa"/>
            <w:tcBorders>
              <w:top w:val="single" w:color="auto" w:sz="4" w:space="0"/>
              <w:left w:val="single" w:color="auto" w:sz="4" w:space="0"/>
              <w:bottom w:val="single" w:color="auto" w:sz="4" w:space="0"/>
              <w:right w:val="single" w:color="auto" w:sz="4" w:space="0"/>
            </w:tcBorders>
            <w:vAlign w:val="center"/>
          </w:tcPr>
          <w:p w14:paraId="7146A1A3">
            <w:pPr>
              <w:spacing w:after="160" w:line="278" w:lineRule="auto"/>
              <w:jc w:val="center"/>
              <w:rPr>
                <w:rFonts w:ascii="宋体" w:hAnsi="宋体"/>
                <w:color w:val="auto"/>
                <w:szCs w:val="21"/>
              </w:rPr>
            </w:pPr>
            <w:r>
              <w:rPr>
                <w:rFonts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3DB3E64C">
            <w:pPr>
              <w:spacing w:after="160" w:line="300" w:lineRule="exact"/>
              <w:jc w:val="left"/>
              <w:rPr>
                <w:rFonts w:ascii="宋体" w:hAnsi="宋体"/>
                <w:color w:val="auto"/>
                <w:szCs w:val="21"/>
              </w:rPr>
            </w:pPr>
            <w:r>
              <w:rPr>
                <w:rFonts w:ascii="宋体" w:hAnsi="宋体"/>
                <w:color w:val="auto"/>
                <w:szCs w:val="21"/>
              </w:rPr>
              <w:t>一档（5分）：本项目拟投入课题团队人员仅满足采购文件人员要求，拟投入团队人员3人</w:t>
            </w:r>
            <w:r>
              <w:rPr>
                <w:rFonts w:hint="eastAsia" w:ascii="宋体" w:hAnsi="宋体"/>
                <w:color w:val="auto"/>
                <w:szCs w:val="21"/>
              </w:rPr>
              <w:t>及以上</w:t>
            </w:r>
            <w:r>
              <w:rPr>
                <w:rFonts w:ascii="宋体" w:hAnsi="宋体"/>
                <w:color w:val="auto"/>
                <w:szCs w:val="21"/>
              </w:rPr>
              <w:t>的，至少1人具有高级及以上职称。</w:t>
            </w:r>
          </w:p>
          <w:p w14:paraId="3996C3A8">
            <w:pPr>
              <w:spacing w:after="160" w:line="300" w:lineRule="exact"/>
              <w:jc w:val="left"/>
              <w:rPr>
                <w:rFonts w:ascii="宋体" w:hAnsi="宋体"/>
                <w:color w:val="auto"/>
                <w:szCs w:val="21"/>
              </w:rPr>
            </w:pPr>
            <w:r>
              <w:rPr>
                <w:rFonts w:ascii="宋体" w:hAnsi="宋体"/>
                <w:color w:val="auto"/>
                <w:szCs w:val="21"/>
              </w:rPr>
              <w:t>二档（10分）：本项目拟投入课题团队人员在满足采购文件人员要求下，能投入4人及以上的，团队人员中拥有工业领域或经济学、管理学领域的本科及以上相关学位，至少2人具有高级及以上职称。</w:t>
            </w:r>
          </w:p>
          <w:p w14:paraId="67DCD9E6">
            <w:pPr>
              <w:spacing w:after="160" w:line="278" w:lineRule="auto"/>
              <w:rPr>
                <w:rFonts w:ascii="宋体" w:hAnsi="宋体"/>
                <w:color w:val="auto"/>
                <w:szCs w:val="21"/>
              </w:rPr>
            </w:pPr>
            <w:r>
              <w:rPr>
                <w:rFonts w:ascii="宋体" w:hAnsi="宋体"/>
                <w:color w:val="auto"/>
                <w:szCs w:val="21"/>
              </w:rPr>
              <w:t>三档（15分）：本项目拟投入团队人员7人</w:t>
            </w:r>
            <w:r>
              <w:rPr>
                <w:rFonts w:hint="eastAsia" w:ascii="宋体" w:hAnsi="宋体"/>
                <w:color w:val="auto"/>
                <w:szCs w:val="21"/>
              </w:rPr>
              <w:t>及以上</w:t>
            </w:r>
            <w:r>
              <w:rPr>
                <w:rFonts w:ascii="宋体" w:hAnsi="宋体"/>
                <w:color w:val="auto"/>
                <w:szCs w:val="21"/>
              </w:rPr>
              <w:t>，且团队人员中拥有工业领域或经济学领域硕士及以上相关学位，至少3人具有高级及以上职称。</w:t>
            </w:r>
          </w:p>
          <w:p w14:paraId="1EA02C8A">
            <w:pPr>
              <w:spacing w:after="160" w:line="278" w:lineRule="auto"/>
              <w:rPr>
                <w:rFonts w:ascii="宋体" w:hAnsi="宋体"/>
                <w:color w:val="auto"/>
                <w:szCs w:val="21"/>
              </w:rPr>
            </w:pPr>
            <w:r>
              <w:rPr>
                <w:rFonts w:ascii="宋体" w:hAnsi="宋体"/>
                <w:color w:val="auto"/>
                <w:szCs w:val="21"/>
              </w:rPr>
              <w:t>四档（20分）本项目拟投入团队人员10人及以上，且团队人员中拥有工业领域或经济学、管理学等相关领域的硕士以上学位；至少3人具有高级及以上职称。</w:t>
            </w:r>
          </w:p>
        </w:tc>
        <w:tc>
          <w:tcPr>
            <w:tcW w:w="2044" w:type="dxa"/>
            <w:tcBorders>
              <w:top w:val="single" w:color="auto" w:sz="4" w:space="0"/>
              <w:left w:val="single" w:color="auto" w:sz="4" w:space="0"/>
              <w:bottom w:val="single" w:color="auto" w:sz="4" w:space="0"/>
              <w:right w:val="single" w:color="auto" w:sz="4" w:space="0"/>
            </w:tcBorders>
            <w:vAlign w:val="center"/>
          </w:tcPr>
          <w:p w14:paraId="01D977C3">
            <w:pPr>
              <w:spacing w:after="160" w:line="278" w:lineRule="auto"/>
              <w:rPr>
                <w:rFonts w:ascii="宋体" w:hAnsi="宋体"/>
                <w:color w:val="auto"/>
                <w:szCs w:val="21"/>
              </w:rPr>
            </w:pPr>
            <w:r>
              <w:rPr>
                <w:rFonts w:ascii="宋体" w:hAnsi="宋体"/>
                <w:color w:val="auto"/>
                <w:szCs w:val="21"/>
              </w:rPr>
              <w:t>必须提供相关证明材料。</w:t>
            </w:r>
            <w:r>
              <w:rPr>
                <w:rFonts w:hint="eastAsia" w:ascii="宋体" w:hAnsi="宋体"/>
                <w:color w:val="auto"/>
                <w:szCs w:val="21"/>
              </w:rPr>
              <w:t>未提供或不满足一档要求的不得分。</w:t>
            </w:r>
          </w:p>
        </w:tc>
      </w:tr>
      <w:tr w14:paraId="5FF2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7CFD9433">
            <w:pPr>
              <w:widowControl/>
              <w:spacing w:after="160" w:line="278" w:lineRule="auto"/>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272B5D6B">
            <w:pPr>
              <w:widowControl/>
              <w:spacing w:after="160" w:line="278" w:lineRule="auto"/>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45AB9322">
            <w:pPr>
              <w:spacing w:after="160" w:line="278" w:lineRule="auto"/>
              <w:rPr>
                <w:rFonts w:ascii="宋体" w:hAnsi="宋体"/>
                <w:color w:val="auto"/>
                <w:szCs w:val="21"/>
              </w:rPr>
            </w:pPr>
            <w:r>
              <w:rPr>
                <w:rFonts w:ascii="宋体" w:hAnsi="宋体"/>
                <w:color w:val="auto"/>
                <w:szCs w:val="21"/>
              </w:rPr>
              <w:t>质量保证措施（16分）</w:t>
            </w:r>
          </w:p>
        </w:tc>
        <w:tc>
          <w:tcPr>
            <w:tcW w:w="692" w:type="dxa"/>
            <w:tcBorders>
              <w:top w:val="single" w:color="auto" w:sz="4" w:space="0"/>
              <w:left w:val="single" w:color="auto" w:sz="4" w:space="0"/>
              <w:bottom w:val="single" w:color="auto" w:sz="4" w:space="0"/>
              <w:right w:val="single" w:color="auto" w:sz="4" w:space="0"/>
            </w:tcBorders>
            <w:vAlign w:val="center"/>
          </w:tcPr>
          <w:p w14:paraId="62386135">
            <w:pPr>
              <w:spacing w:after="160" w:line="278" w:lineRule="auto"/>
              <w:jc w:val="center"/>
              <w:rPr>
                <w:rFonts w:ascii="宋体" w:hAnsi="宋体"/>
                <w:color w:val="auto"/>
                <w:szCs w:val="21"/>
              </w:rPr>
            </w:pPr>
            <w:r>
              <w:rPr>
                <w:rFonts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27F610A3">
            <w:pPr>
              <w:spacing w:after="160" w:line="278" w:lineRule="auto"/>
              <w:rPr>
                <w:rFonts w:ascii="宋体" w:hAnsi="宋体"/>
                <w:color w:val="auto"/>
                <w:szCs w:val="21"/>
              </w:rPr>
            </w:pPr>
            <w:r>
              <w:rPr>
                <w:rFonts w:ascii="宋体" w:hAnsi="宋体"/>
                <w:color w:val="auto"/>
                <w:szCs w:val="21"/>
              </w:rPr>
              <w:t>一档（4分）：供应商为采购人提供有合理的承诺，</w:t>
            </w:r>
          </w:p>
          <w:p w14:paraId="25E903A6">
            <w:pPr>
              <w:spacing w:after="160" w:line="278" w:lineRule="auto"/>
              <w:rPr>
                <w:rFonts w:ascii="宋体" w:hAnsi="宋体"/>
                <w:color w:val="auto"/>
                <w:szCs w:val="21"/>
              </w:rPr>
            </w:pPr>
            <w:r>
              <w:rPr>
                <w:rFonts w:ascii="宋体" w:hAnsi="宋体"/>
                <w:color w:val="auto"/>
                <w:szCs w:val="21"/>
              </w:rPr>
              <w:t>并包含有项目保障措施，但方案为简单，缺乏、针对性；</w:t>
            </w:r>
          </w:p>
          <w:p w14:paraId="773DC740">
            <w:pPr>
              <w:spacing w:after="160" w:line="278" w:lineRule="auto"/>
              <w:rPr>
                <w:rFonts w:ascii="宋体" w:hAnsi="宋体"/>
                <w:color w:val="auto"/>
                <w:szCs w:val="21"/>
              </w:rPr>
            </w:pPr>
            <w:r>
              <w:rPr>
                <w:rFonts w:ascii="宋体" w:hAnsi="宋体"/>
                <w:color w:val="auto"/>
                <w:szCs w:val="21"/>
              </w:rPr>
              <w:t>二档（10分）：供应商为采购人提供有服务质量及成果完成时间承诺，并包含有项目保障措施、保密承诺及廉洁承诺等，且描述了项目保障措施的方法以及实现方式，方案合理可行，具有针对性；</w:t>
            </w:r>
          </w:p>
          <w:p w14:paraId="1811DB30">
            <w:pPr>
              <w:spacing w:after="160" w:line="278" w:lineRule="auto"/>
              <w:rPr>
                <w:rFonts w:ascii="宋体" w:hAnsi="宋体"/>
                <w:color w:val="auto"/>
                <w:szCs w:val="21"/>
              </w:rPr>
            </w:pPr>
            <w:r>
              <w:rPr>
                <w:rFonts w:ascii="宋体" w:hAnsi="宋体"/>
                <w:color w:val="auto"/>
                <w:szCs w:val="21"/>
              </w:rPr>
              <w:t>三档（16分）：供应商为采购人提供优于采购需求的服务质量及成果完成时间承诺，并包含有合理可行并且具有针对性的项目保障措施、保密承诺及廉洁承诺等，且描述了应急保障方案的方法以及实现方式 ，服务质量承诺方案的联系人等，服务承诺和保障措施考虑周全完整，有额外优惠服务措施和内容。</w:t>
            </w:r>
          </w:p>
        </w:tc>
        <w:tc>
          <w:tcPr>
            <w:tcW w:w="2044" w:type="dxa"/>
            <w:tcBorders>
              <w:top w:val="single" w:color="auto" w:sz="4" w:space="0"/>
              <w:left w:val="single" w:color="auto" w:sz="4" w:space="0"/>
              <w:bottom w:val="single" w:color="auto" w:sz="4" w:space="0"/>
              <w:right w:val="single" w:color="auto" w:sz="4" w:space="0"/>
            </w:tcBorders>
            <w:vAlign w:val="center"/>
          </w:tcPr>
          <w:p w14:paraId="00127A83">
            <w:pPr>
              <w:spacing w:after="160" w:line="278" w:lineRule="auto"/>
              <w:rPr>
                <w:rFonts w:ascii="宋体" w:hAnsi="宋体"/>
                <w:color w:val="auto"/>
                <w:szCs w:val="21"/>
              </w:rPr>
            </w:pPr>
            <w:r>
              <w:rPr>
                <w:rFonts w:ascii="宋体" w:hAnsi="宋体"/>
                <w:color w:val="auto"/>
                <w:szCs w:val="21"/>
              </w:rPr>
              <w:t>未提供或不满足一档要求的不得分。</w:t>
            </w:r>
          </w:p>
        </w:tc>
      </w:tr>
      <w:tr w14:paraId="692A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79AFB7FA">
            <w:pPr>
              <w:spacing w:after="160" w:line="278" w:lineRule="auto"/>
              <w:jc w:val="center"/>
              <w:rPr>
                <w:rFonts w:ascii="宋体" w:hAnsi="宋体"/>
                <w:color w:val="auto"/>
                <w:szCs w:val="21"/>
              </w:rPr>
            </w:pPr>
            <w:r>
              <w:rPr>
                <w:rFonts w:ascii="宋体" w:hAnsi="宋体"/>
                <w:color w:val="auto"/>
                <w:szCs w:val="21"/>
              </w:rPr>
              <w:t>2</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6531EEA6">
            <w:pPr>
              <w:spacing w:after="160" w:line="278" w:lineRule="auto"/>
              <w:jc w:val="center"/>
              <w:rPr>
                <w:rFonts w:ascii="宋体" w:hAnsi="宋体"/>
                <w:color w:val="auto"/>
                <w:szCs w:val="21"/>
              </w:rPr>
            </w:pPr>
            <w:r>
              <w:rPr>
                <w:rFonts w:ascii="宋体" w:hAnsi="宋体"/>
                <w:color w:val="auto"/>
                <w:szCs w:val="21"/>
              </w:rPr>
              <w:t>技术部分（44分）</w:t>
            </w:r>
          </w:p>
        </w:tc>
        <w:tc>
          <w:tcPr>
            <w:tcW w:w="1009" w:type="dxa"/>
            <w:tcBorders>
              <w:top w:val="single" w:color="auto" w:sz="4" w:space="0"/>
              <w:left w:val="single" w:color="auto" w:sz="4" w:space="0"/>
              <w:bottom w:val="single" w:color="auto" w:sz="4" w:space="0"/>
              <w:right w:val="single" w:color="auto" w:sz="4" w:space="0"/>
            </w:tcBorders>
            <w:vAlign w:val="center"/>
          </w:tcPr>
          <w:p w14:paraId="479D47D2">
            <w:pPr>
              <w:widowControl/>
              <w:spacing w:after="160" w:line="278" w:lineRule="auto"/>
              <w:jc w:val="left"/>
              <w:rPr>
                <w:rFonts w:ascii="宋体" w:hAnsi="宋体"/>
                <w:color w:val="auto"/>
                <w:szCs w:val="21"/>
              </w:rPr>
            </w:pPr>
            <w:r>
              <w:rPr>
                <w:rFonts w:ascii="宋体" w:hAnsi="宋体"/>
                <w:color w:val="auto"/>
                <w:szCs w:val="21"/>
              </w:rPr>
              <w:t>工作方案（30分）</w:t>
            </w:r>
          </w:p>
        </w:tc>
        <w:tc>
          <w:tcPr>
            <w:tcW w:w="692" w:type="dxa"/>
            <w:tcBorders>
              <w:top w:val="single" w:color="auto" w:sz="4" w:space="0"/>
              <w:left w:val="single" w:color="auto" w:sz="4" w:space="0"/>
              <w:bottom w:val="single" w:color="auto" w:sz="4" w:space="0"/>
              <w:right w:val="single" w:color="auto" w:sz="4" w:space="0"/>
            </w:tcBorders>
            <w:vAlign w:val="center"/>
          </w:tcPr>
          <w:p w14:paraId="77D9243E">
            <w:pPr>
              <w:spacing w:after="160" w:line="278" w:lineRule="auto"/>
              <w:jc w:val="center"/>
              <w:rPr>
                <w:rFonts w:ascii="宋体" w:hAnsi="宋体"/>
                <w:color w:val="auto"/>
                <w:szCs w:val="21"/>
              </w:rPr>
            </w:pPr>
            <w:r>
              <w:rPr>
                <w:rFonts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6050605F">
            <w:pPr>
              <w:spacing w:after="160" w:line="278" w:lineRule="auto"/>
              <w:rPr>
                <w:rFonts w:ascii="宋体" w:hAnsi="宋体"/>
                <w:color w:val="auto"/>
                <w:szCs w:val="21"/>
              </w:rPr>
            </w:pPr>
            <w:r>
              <w:rPr>
                <w:rFonts w:ascii="宋体" w:hAnsi="宋体"/>
                <w:color w:val="auto"/>
                <w:szCs w:val="21"/>
              </w:rPr>
              <w:t>一档（8分）：目标工作方案简单，对项目的总体需求的理解程度、对项目范围把握不准确，项目重点难点分析不完整。</w:t>
            </w:r>
          </w:p>
          <w:p w14:paraId="068E147A">
            <w:pPr>
              <w:spacing w:after="160" w:line="278" w:lineRule="auto"/>
              <w:rPr>
                <w:rFonts w:ascii="宋体" w:hAnsi="宋体"/>
                <w:color w:val="auto"/>
                <w:szCs w:val="21"/>
              </w:rPr>
            </w:pPr>
            <w:r>
              <w:rPr>
                <w:rFonts w:ascii="宋体" w:hAnsi="宋体"/>
                <w:color w:val="auto"/>
                <w:szCs w:val="21"/>
              </w:rPr>
              <w:t>二档（16分）：目标工作方案合理完整，具有针对性，对项目的总体需求的理解程度、对项目范围把握准确度低，项目重点难点分析简单，应对措施不够具体。</w:t>
            </w:r>
          </w:p>
          <w:p w14:paraId="13B43862">
            <w:pPr>
              <w:spacing w:after="160" w:line="278" w:lineRule="auto"/>
              <w:rPr>
                <w:rFonts w:ascii="宋体" w:hAnsi="宋体"/>
                <w:color w:val="auto"/>
                <w:szCs w:val="21"/>
              </w:rPr>
            </w:pPr>
            <w:r>
              <w:rPr>
                <w:rFonts w:ascii="宋体" w:hAnsi="宋体"/>
                <w:color w:val="auto"/>
                <w:szCs w:val="21"/>
              </w:rPr>
              <w:t>三档（24分）：目标工作方案合理完整，具有针对性和一定的先进性，对项目的总体需求的理解程度、对项目范围把握准确度良好，项目重点难点分析完善，应对措施具体可行，并附有相关的合理化建议，建立完善的组织机构、规范的内部操作规程。</w:t>
            </w:r>
          </w:p>
          <w:p w14:paraId="03E3B397">
            <w:pPr>
              <w:spacing w:after="160" w:line="278" w:lineRule="auto"/>
              <w:rPr>
                <w:rFonts w:ascii="宋体" w:hAnsi="宋体"/>
                <w:color w:val="auto"/>
                <w:szCs w:val="21"/>
              </w:rPr>
            </w:pPr>
            <w:r>
              <w:rPr>
                <w:rFonts w:ascii="宋体" w:hAnsi="宋体"/>
                <w:color w:val="auto"/>
                <w:szCs w:val="21"/>
              </w:rPr>
              <w:t>四档（30分）：目标工作方案合理完整，具有针对性和先进性，对项目的总体需求的理解程度、对项目范围把握准确度高并具有切合的额外建设建议和措施，项目重点难点分析翔实且有针对性，应对措施具体可行，相关的合理化建议有可操作性和先进性，建立完善的组织机构、规范的内部操作规程。</w:t>
            </w:r>
          </w:p>
        </w:tc>
        <w:tc>
          <w:tcPr>
            <w:tcW w:w="2044" w:type="dxa"/>
            <w:tcBorders>
              <w:top w:val="single" w:color="auto" w:sz="4" w:space="0"/>
              <w:left w:val="single" w:color="auto" w:sz="4" w:space="0"/>
              <w:bottom w:val="single" w:color="auto" w:sz="4" w:space="0"/>
              <w:right w:val="single" w:color="auto" w:sz="4" w:space="0"/>
            </w:tcBorders>
            <w:vAlign w:val="center"/>
          </w:tcPr>
          <w:p w14:paraId="516D4CDF">
            <w:pPr>
              <w:spacing w:after="160" w:line="278" w:lineRule="auto"/>
              <w:rPr>
                <w:rFonts w:ascii="宋体" w:hAnsi="宋体"/>
                <w:color w:val="auto"/>
                <w:szCs w:val="21"/>
              </w:rPr>
            </w:pPr>
            <w:r>
              <w:rPr>
                <w:rFonts w:ascii="宋体" w:hAnsi="宋体"/>
                <w:color w:val="auto"/>
                <w:szCs w:val="21"/>
              </w:rPr>
              <w:t>未提供</w:t>
            </w:r>
            <w:r>
              <w:rPr>
                <w:rFonts w:hint="eastAsia" w:ascii="宋体" w:hAnsi="宋体"/>
                <w:color w:val="auto"/>
                <w:szCs w:val="21"/>
              </w:rPr>
              <w:t>或不满足一档要求的</w:t>
            </w:r>
            <w:r>
              <w:rPr>
                <w:rFonts w:ascii="宋体" w:hAnsi="宋体"/>
                <w:color w:val="auto"/>
                <w:szCs w:val="21"/>
              </w:rPr>
              <w:t>不得分。</w:t>
            </w:r>
          </w:p>
        </w:tc>
      </w:tr>
      <w:tr w14:paraId="44F7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2B742EB7">
            <w:pPr>
              <w:widowControl/>
              <w:spacing w:after="160" w:line="278" w:lineRule="auto"/>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2330F521">
            <w:pPr>
              <w:widowControl/>
              <w:spacing w:after="160" w:line="278" w:lineRule="auto"/>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2838B3E1">
            <w:pPr>
              <w:widowControl/>
              <w:spacing w:after="160" w:line="278" w:lineRule="auto"/>
              <w:jc w:val="left"/>
              <w:rPr>
                <w:rFonts w:ascii="宋体" w:hAnsi="宋体"/>
                <w:color w:val="auto"/>
                <w:szCs w:val="21"/>
              </w:rPr>
            </w:pPr>
            <w:r>
              <w:rPr>
                <w:rFonts w:ascii="宋体" w:hAnsi="宋体"/>
                <w:color w:val="auto"/>
                <w:szCs w:val="21"/>
              </w:rPr>
              <w:t>实施计划（14分）</w:t>
            </w:r>
          </w:p>
        </w:tc>
        <w:tc>
          <w:tcPr>
            <w:tcW w:w="692" w:type="dxa"/>
            <w:tcBorders>
              <w:top w:val="single" w:color="auto" w:sz="4" w:space="0"/>
              <w:left w:val="single" w:color="auto" w:sz="4" w:space="0"/>
              <w:bottom w:val="single" w:color="auto" w:sz="4" w:space="0"/>
              <w:right w:val="single" w:color="auto" w:sz="4" w:space="0"/>
            </w:tcBorders>
            <w:vAlign w:val="center"/>
          </w:tcPr>
          <w:p w14:paraId="22597DC1">
            <w:pPr>
              <w:spacing w:after="160" w:line="278" w:lineRule="auto"/>
              <w:jc w:val="center"/>
              <w:rPr>
                <w:rFonts w:ascii="宋体" w:hAnsi="宋体"/>
                <w:color w:val="auto"/>
                <w:szCs w:val="21"/>
              </w:rPr>
            </w:pPr>
            <w:r>
              <w:rPr>
                <w:rFonts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5E3A25BC">
            <w:pPr>
              <w:spacing w:after="160" w:line="278" w:lineRule="auto"/>
              <w:rPr>
                <w:rFonts w:ascii="宋体" w:hAnsi="宋体"/>
                <w:color w:val="auto"/>
                <w:szCs w:val="21"/>
              </w:rPr>
            </w:pPr>
            <w:r>
              <w:rPr>
                <w:rFonts w:ascii="宋体" w:hAnsi="宋体"/>
                <w:color w:val="auto"/>
                <w:szCs w:val="21"/>
              </w:rPr>
              <w:t>一档（5分）：计划安排内容简单；</w:t>
            </w:r>
          </w:p>
          <w:p w14:paraId="77C68837">
            <w:pPr>
              <w:spacing w:after="160" w:line="278" w:lineRule="auto"/>
              <w:rPr>
                <w:rFonts w:ascii="宋体" w:hAnsi="宋体"/>
                <w:color w:val="auto"/>
                <w:szCs w:val="21"/>
              </w:rPr>
            </w:pPr>
            <w:r>
              <w:rPr>
                <w:rFonts w:ascii="宋体" w:hAnsi="宋体"/>
                <w:color w:val="auto"/>
                <w:szCs w:val="21"/>
              </w:rPr>
              <w:t>二档（8分）：有工作步骤、对本项目调研计划合理，时间安排基本满足采购文件要求；</w:t>
            </w:r>
          </w:p>
          <w:p w14:paraId="1664ADE7">
            <w:pPr>
              <w:spacing w:after="160" w:line="278" w:lineRule="auto"/>
              <w:rPr>
                <w:rFonts w:ascii="宋体" w:hAnsi="宋体"/>
                <w:color w:val="auto"/>
                <w:szCs w:val="21"/>
              </w:rPr>
            </w:pPr>
            <w:r>
              <w:rPr>
                <w:rFonts w:ascii="宋体" w:hAnsi="宋体"/>
                <w:color w:val="auto"/>
                <w:szCs w:val="21"/>
              </w:rPr>
              <w:t>三档（11分）：有工作步骤、对本项目调研计划合理，时间满足采购文件要求，有参加课题前期调研、中期汇报的安排内容；</w:t>
            </w:r>
          </w:p>
          <w:p w14:paraId="2F703D94">
            <w:pPr>
              <w:spacing w:after="160" w:line="278" w:lineRule="auto"/>
              <w:rPr>
                <w:rFonts w:ascii="宋体" w:hAnsi="宋体"/>
                <w:color w:val="auto"/>
                <w:szCs w:val="21"/>
              </w:rPr>
            </w:pPr>
            <w:r>
              <w:rPr>
                <w:rFonts w:ascii="宋体" w:hAnsi="宋体"/>
                <w:color w:val="auto"/>
                <w:szCs w:val="21"/>
              </w:rPr>
              <w:t>四档（14分）：有工作步骤、对本项目调研计划科学合理，时间安排紧凑且优于采购文件要求，推进步骤清晰明了，参加课题前期调研、中期汇报的安排科学合理，保证课题质量措施有利于采购人完成项目。</w:t>
            </w:r>
          </w:p>
        </w:tc>
        <w:tc>
          <w:tcPr>
            <w:tcW w:w="2044" w:type="dxa"/>
            <w:tcBorders>
              <w:top w:val="single" w:color="auto" w:sz="4" w:space="0"/>
              <w:left w:val="single" w:color="auto" w:sz="4" w:space="0"/>
              <w:bottom w:val="single" w:color="auto" w:sz="4" w:space="0"/>
              <w:right w:val="single" w:color="auto" w:sz="4" w:space="0"/>
            </w:tcBorders>
            <w:vAlign w:val="center"/>
          </w:tcPr>
          <w:p w14:paraId="7FF71541">
            <w:pPr>
              <w:spacing w:after="160" w:line="278" w:lineRule="auto"/>
              <w:rPr>
                <w:rFonts w:ascii="宋体" w:hAnsi="宋体"/>
                <w:color w:val="auto"/>
                <w:szCs w:val="21"/>
              </w:rPr>
            </w:pPr>
            <w:r>
              <w:rPr>
                <w:rFonts w:ascii="宋体" w:hAnsi="宋体"/>
                <w:color w:val="auto"/>
                <w:szCs w:val="21"/>
              </w:rPr>
              <w:t>未提供</w:t>
            </w:r>
            <w:r>
              <w:rPr>
                <w:rFonts w:hint="eastAsia" w:ascii="宋体" w:hAnsi="宋体"/>
                <w:color w:val="auto"/>
                <w:szCs w:val="21"/>
              </w:rPr>
              <w:t>或不满足一档要求的</w:t>
            </w:r>
            <w:r>
              <w:rPr>
                <w:rFonts w:ascii="宋体" w:hAnsi="宋体"/>
                <w:color w:val="auto"/>
                <w:szCs w:val="21"/>
              </w:rPr>
              <w:t>不得分。</w:t>
            </w:r>
          </w:p>
        </w:tc>
      </w:tr>
      <w:tr w14:paraId="3F94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5E0C2B8E">
            <w:pPr>
              <w:spacing w:after="160" w:line="278" w:lineRule="auto"/>
              <w:jc w:val="center"/>
              <w:rPr>
                <w:rFonts w:ascii="宋体" w:hAnsi="宋体"/>
                <w:color w:val="auto"/>
                <w:szCs w:val="21"/>
              </w:rPr>
            </w:pPr>
            <w:r>
              <w:rPr>
                <w:rFonts w:ascii="宋体" w:hAnsi="宋体"/>
                <w:color w:val="auto"/>
                <w:szCs w:val="21"/>
              </w:rPr>
              <w:t>3</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13EFCC7E">
            <w:pPr>
              <w:spacing w:after="160" w:line="278" w:lineRule="auto"/>
              <w:jc w:val="center"/>
              <w:rPr>
                <w:rFonts w:ascii="宋体" w:hAnsi="宋体"/>
                <w:color w:val="auto"/>
                <w:szCs w:val="21"/>
              </w:rPr>
            </w:pPr>
            <w:r>
              <w:rPr>
                <w:rFonts w:ascii="宋体" w:hAnsi="宋体"/>
                <w:color w:val="auto"/>
                <w:szCs w:val="21"/>
              </w:rPr>
              <w:t>响应报价分</w:t>
            </w:r>
          </w:p>
          <w:p w14:paraId="7184B272">
            <w:pPr>
              <w:spacing w:after="160" w:line="278" w:lineRule="auto"/>
              <w:jc w:val="center"/>
              <w:rPr>
                <w:rFonts w:ascii="宋体" w:hAnsi="宋体"/>
                <w:color w:val="auto"/>
                <w:szCs w:val="21"/>
              </w:rPr>
            </w:pPr>
            <w:r>
              <w:rPr>
                <w:rFonts w:ascii="宋体" w:hAnsi="宋体"/>
                <w:color w:val="auto"/>
                <w:szCs w:val="21"/>
              </w:rPr>
              <w:t>（10分）</w:t>
            </w:r>
          </w:p>
        </w:tc>
        <w:tc>
          <w:tcPr>
            <w:tcW w:w="692" w:type="dxa"/>
            <w:tcBorders>
              <w:top w:val="single" w:color="auto" w:sz="4" w:space="0"/>
              <w:left w:val="single" w:color="auto" w:sz="4" w:space="0"/>
              <w:bottom w:val="single" w:color="auto" w:sz="4" w:space="0"/>
              <w:right w:val="single" w:color="auto" w:sz="4" w:space="0"/>
            </w:tcBorders>
            <w:vAlign w:val="center"/>
          </w:tcPr>
          <w:p w14:paraId="0ABEB3DB">
            <w:pPr>
              <w:spacing w:after="160" w:line="278" w:lineRule="auto"/>
              <w:jc w:val="center"/>
              <w:rPr>
                <w:rFonts w:ascii="宋体" w:hAnsi="宋体"/>
                <w:color w:val="auto"/>
                <w:szCs w:val="21"/>
              </w:rPr>
            </w:pPr>
            <w:r>
              <w:rPr>
                <w:rFonts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51069686">
            <w:pPr>
              <w:spacing w:after="160" w:line="278" w:lineRule="auto"/>
              <w:jc w:val="center"/>
              <w:rPr>
                <w:rFonts w:ascii="宋体" w:hAnsi="宋体"/>
                <w:color w:val="auto"/>
                <w:szCs w:val="21"/>
              </w:rPr>
            </w:pPr>
            <w:r>
              <w:rPr>
                <w:rFonts w:ascii="宋体" w:hAnsi="宋体"/>
                <w:color w:val="auto"/>
                <w:szCs w:val="21"/>
              </w:rPr>
              <w:t>以满足采购文件要求且响应价格最低的响应报价为评审基准价，其价格分为满分。其他供应商的价格分统一按照下列公式计算：响应报价得分=（评审基准价/响应报价）×响应报价分满分分值。</w:t>
            </w:r>
          </w:p>
        </w:tc>
        <w:tc>
          <w:tcPr>
            <w:tcW w:w="2044" w:type="dxa"/>
            <w:tcBorders>
              <w:top w:val="single" w:color="auto" w:sz="4" w:space="0"/>
              <w:left w:val="single" w:color="auto" w:sz="4" w:space="0"/>
              <w:bottom w:val="single" w:color="auto" w:sz="4" w:space="0"/>
              <w:right w:val="single" w:color="auto" w:sz="4" w:space="0"/>
            </w:tcBorders>
            <w:vAlign w:val="center"/>
          </w:tcPr>
          <w:p w14:paraId="04C974D7">
            <w:pPr>
              <w:spacing w:after="160" w:line="278" w:lineRule="auto"/>
              <w:rPr>
                <w:rFonts w:ascii="宋体" w:hAnsi="宋体"/>
                <w:color w:val="auto"/>
                <w:szCs w:val="21"/>
              </w:rPr>
            </w:pPr>
            <w:r>
              <w:rPr>
                <w:rFonts w:ascii="宋体" w:hAnsi="宋体"/>
                <w:color w:val="auto"/>
                <w:szCs w:val="21"/>
              </w:rPr>
              <w:t>如有价格扣除时，响应报价分均按供应商实际响应报价进行价格扣除后的价格进行计算，最终成交金额＝响应报价。价格扣除计算方法见后。</w:t>
            </w:r>
          </w:p>
        </w:tc>
      </w:tr>
      <w:tr w14:paraId="2344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2DDBDC2A">
            <w:pPr>
              <w:spacing w:after="160" w:line="278" w:lineRule="auto"/>
              <w:jc w:val="center"/>
              <w:rPr>
                <w:rFonts w:ascii="宋体" w:hAnsi="宋体"/>
                <w:color w:val="auto"/>
                <w:szCs w:val="21"/>
              </w:rPr>
            </w:pPr>
            <w:r>
              <w:rPr>
                <w:rFonts w:ascii="宋体" w:hAnsi="宋体"/>
                <w:color w:val="auto"/>
                <w:szCs w:val="21"/>
              </w:rPr>
              <w:t>4</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669A08B4">
            <w:pPr>
              <w:spacing w:after="160" w:line="278" w:lineRule="auto"/>
              <w:jc w:val="center"/>
              <w:rPr>
                <w:rFonts w:ascii="宋体" w:hAnsi="宋体"/>
                <w:color w:val="auto"/>
                <w:szCs w:val="21"/>
              </w:rPr>
            </w:pPr>
            <w:r>
              <w:rPr>
                <w:rFonts w:ascii="宋体" w:hAnsi="宋体"/>
                <w:color w:val="auto"/>
                <w:szCs w:val="21"/>
              </w:rPr>
              <w:t>综合得分</w:t>
            </w:r>
          </w:p>
        </w:tc>
        <w:tc>
          <w:tcPr>
            <w:tcW w:w="7739" w:type="dxa"/>
            <w:gridSpan w:val="3"/>
            <w:tcBorders>
              <w:top w:val="single" w:color="auto" w:sz="4" w:space="0"/>
              <w:left w:val="single" w:color="auto" w:sz="4" w:space="0"/>
              <w:bottom w:val="single" w:color="auto" w:sz="4" w:space="0"/>
              <w:right w:val="single" w:color="auto" w:sz="4" w:space="0"/>
            </w:tcBorders>
            <w:vAlign w:val="center"/>
          </w:tcPr>
          <w:p w14:paraId="3E4CCC3D">
            <w:pPr>
              <w:spacing w:after="160" w:line="278" w:lineRule="auto"/>
              <w:rPr>
                <w:rFonts w:ascii="宋体" w:hAnsi="宋体"/>
                <w:color w:val="auto"/>
                <w:szCs w:val="21"/>
              </w:rPr>
            </w:pPr>
            <w:r>
              <w:rPr>
                <w:rFonts w:ascii="宋体" w:hAnsi="宋体"/>
                <w:color w:val="auto"/>
                <w:szCs w:val="21"/>
              </w:rPr>
              <w:t>=1+2+3（各项评分分值计算保留小数点后两位，小数点后第三位“四舍五入”）</w:t>
            </w:r>
          </w:p>
        </w:tc>
      </w:tr>
    </w:tbl>
    <w:p w14:paraId="0E43E21D">
      <w:pPr>
        <w:spacing w:before="120" w:line="320" w:lineRule="atLeast"/>
        <w:ind w:firstLine="316" w:firstLineChars="150"/>
        <w:rPr>
          <w:rFonts w:ascii="宋体" w:hAnsi="宋体"/>
          <w:b/>
          <w:bCs/>
          <w:color w:val="auto"/>
          <w:kern w:val="0"/>
          <w:szCs w:val="21"/>
        </w:rPr>
      </w:pPr>
      <w:r>
        <w:rPr>
          <w:rFonts w:ascii="宋体" w:hAnsi="宋体"/>
          <w:b/>
          <w:bCs/>
          <w:color w:val="auto"/>
          <w:kern w:val="0"/>
          <w:szCs w:val="21"/>
        </w:rPr>
        <w:t>政策性扣除计算方法</w:t>
      </w:r>
      <w:r>
        <w:rPr>
          <w:rFonts w:hint="eastAsia" w:ascii="宋体" w:hAnsi="宋体"/>
          <w:b/>
          <w:bCs/>
          <w:color w:val="auto"/>
          <w:kern w:val="0"/>
          <w:szCs w:val="21"/>
        </w:rPr>
        <w:t>：</w:t>
      </w:r>
    </w:p>
    <w:p w14:paraId="63C60498">
      <w:pPr>
        <w:spacing w:before="120" w:line="320" w:lineRule="atLeast"/>
        <w:ind w:firstLine="315" w:firstLineChars="150"/>
        <w:rPr>
          <w:rFonts w:ascii="宋体" w:hAnsi="宋体"/>
          <w:color w:val="auto"/>
          <w:szCs w:val="21"/>
        </w:rPr>
      </w:pPr>
      <w:r>
        <w:rPr>
          <w:rFonts w:hint="eastAsia" w:ascii="宋体" w:hAnsi="宋体"/>
          <w:color w:val="auto"/>
          <w:szCs w:val="21"/>
        </w:rPr>
        <w:t>小微企业的价格扣除计算:供应商响应</w:t>
      </w:r>
      <w:r>
        <w:rPr>
          <w:rFonts w:ascii="宋体" w:hAnsi="宋体"/>
          <w:color w:val="auto"/>
          <w:szCs w:val="21"/>
        </w:rPr>
        <w:t>报价将按相应比例进行扣除，用扣除后的价格参与评审（计算价格分）</w:t>
      </w:r>
      <w:r>
        <w:rPr>
          <w:rFonts w:hint="eastAsia" w:ascii="宋体" w:hAnsi="宋体"/>
          <w:color w:val="auto"/>
          <w:szCs w:val="21"/>
        </w:rPr>
        <w:t>，价格扣除比例分别如下：</w:t>
      </w:r>
      <w:r>
        <w:rPr>
          <w:rFonts w:ascii="宋体" w:hAnsi="宋体"/>
          <w:color w:val="auto"/>
          <w:szCs w:val="21"/>
        </w:rPr>
        <w:t xml:space="preserve"> </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6482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495C9A6A">
            <w:pPr>
              <w:spacing w:before="120" w:line="320" w:lineRule="atLeast"/>
              <w:jc w:val="center"/>
              <w:rPr>
                <w:rFonts w:ascii="宋体" w:hAnsi="宋体"/>
                <w:color w:val="auto"/>
                <w:szCs w:val="21"/>
              </w:rPr>
            </w:pPr>
            <w:r>
              <w:rPr>
                <w:rFonts w:hint="eastAsia" w:ascii="宋体" w:hAnsi="宋体"/>
                <w:color w:val="auto"/>
                <w:szCs w:val="21"/>
              </w:rPr>
              <w:t>独立投标</w:t>
            </w:r>
          </w:p>
        </w:tc>
        <w:tc>
          <w:tcPr>
            <w:tcW w:w="4962" w:type="dxa"/>
          </w:tcPr>
          <w:p w14:paraId="61BFE31B">
            <w:pPr>
              <w:spacing w:before="120" w:line="320" w:lineRule="atLeast"/>
              <w:rPr>
                <w:rFonts w:ascii="宋体" w:hAnsi="宋体"/>
                <w:color w:val="auto"/>
                <w:szCs w:val="21"/>
              </w:rPr>
            </w:pPr>
            <w:r>
              <w:rPr>
                <w:rFonts w:hint="eastAsia" w:ascii="宋体" w:hAnsi="宋体"/>
                <w:color w:val="auto"/>
                <w:szCs w:val="21"/>
              </w:rPr>
              <w:t>供应商均为所列企业之一（小型企业、微型企业、残疾人福利企业、监狱企业）</w:t>
            </w:r>
          </w:p>
        </w:tc>
        <w:tc>
          <w:tcPr>
            <w:tcW w:w="2551" w:type="dxa"/>
          </w:tcPr>
          <w:p w14:paraId="6F02DA71">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1292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2C666A17">
            <w:pPr>
              <w:spacing w:before="120" w:line="320" w:lineRule="atLeast"/>
              <w:jc w:val="center"/>
              <w:rPr>
                <w:rFonts w:ascii="宋体" w:hAnsi="宋体"/>
                <w:color w:val="auto"/>
                <w:szCs w:val="21"/>
              </w:rPr>
            </w:pPr>
            <w:r>
              <w:rPr>
                <w:rFonts w:hint="eastAsia" w:ascii="宋体" w:hAnsi="宋体"/>
                <w:color w:val="auto"/>
                <w:szCs w:val="21"/>
              </w:rPr>
              <w:t>联合体或</w:t>
            </w:r>
          </w:p>
          <w:p w14:paraId="617DD524">
            <w:pPr>
              <w:spacing w:before="120" w:line="320" w:lineRule="atLeast"/>
              <w:jc w:val="center"/>
              <w:rPr>
                <w:rFonts w:ascii="宋体" w:hAnsi="宋体"/>
                <w:color w:val="auto"/>
                <w:szCs w:val="21"/>
              </w:rPr>
            </w:pPr>
            <w:r>
              <w:rPr>
                <w:rFonts w:hint="eastAsia" w:ascii="宋体" w:hAnsi="宋体"/>
                <w:color w:val="auto"/>
                <w:szCs w:val="21"/>
              </w:rPr>
              <w:t>分包</w:t>
            </w:r>
          </w:p>
        </w:tc>
        <w:tc>
          <w:tcPr>
            <w:tcW w:w="4962" w:type="dxa"/>
          </w:tcPr>
          <w:p w14:paraId="48D2DA6A">
            <w:pPr>
              <w:spacing w:before="120" w:line="320" w:lineRule="atLeast"/>
              <w:rPr>
                <w:rFonts w:ascii="宋体" w:hAnsi="宋体"/>
                <w:color w:val="auto"/>
                <w:szCs w:val="21"/>
              </w:rPr>
            </w:pPr>
            <w:r>
              <w:rPr>
                <w:rFonts w:hint="eastAsia" w:ascii="宋体" w:hAnsi="宋体"/>
                <w:color w:val="auto"/>
                <w:szCs w:val="21"/>
              </w:rPr>
              <w:t>小微企业承接的金额比例为1</w:t>
            </w:r>
            <w:r>
              <w:rPr>
                <w:rFonts w:ascii="宋体" w:hAnsi="宋体"/>
                <w:color w:val="auto"/>
                <w:szCs w:val="21"/>
              </w:rPr>
              <w:t>00</w:t>
            </w:r>
            <w:r>
              <w:rPr>
                <w:rFonts w:hint="eastAsia" w:ascii="宋体" w:hAnsi="宋体"/>
                <w:color w:val="auto"/>
                <w:szCs w:val="21"/>
              </w:rPr>
              <w:t>%</w:t>
            </w:r>
          </w:p>
        </w:tc>
        <w:tc>
          <w:tcPr>
            <w:tcW w:w="2551" w:type="dxa"/>
          </w:tcPr>
          <w:p w14:paraId="48805D34">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6785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1CF4B0B">
            <w:pPr>
              <w:spacing w:before="120" w:line="320" w:lineRule="atLeast"/>
              <w:rPr>
                <w:rFonts w:ascii="宋体" w:hAnsi="宋体"/>
                <w:color w:val="auto"/>
                <w:szCs w:val="21"/>
              </w:rPr>
            </w:pPr>
          </w:p>
        </w:tc>
        <w:tc>
          <w:tcPr>
            <w:tcW w:w="4962" w:type="dxa"/>
          </w:tcPr>
          <w:p w14:paraId="469985F7">
            <w:pPr>
              <w:spacing w:before="120" w:line="320" w:lineRule="atLeast"/>
              <w:rPr>
                <w:rFonts w:ascii="宋体" w:hAnsi="宋体"/>
                <w:color w:val="auto"/>
                <w:szCs w:val="21"/>
              </w:rPr>
            </w:pPr>
            <w:r>
              <w:rPr>
                <w:rFonts w:hint="eastAsia" w:ascii="宋体" w:hAnsi="宋体"/>
                <w:color w:val="auto"/>
                <w:szCs w:val="21"/>
              </w:rPr>
              <w:t>小微企业承接的金额比例达到合同总金额3</w:t>
            </w:r>
            <w:r>
              <w:rPr>
                <w:rFonts w:ascii="宋体" w:hAnsi="宋体"/>
                <w:color w:val="auto"/>
                <w:szCs w:val="21"/>
              </w:rPr>
              <w:t>0%</w:t>
            </w:r>
            <w:r>
              <w:rPr>
                <w:rFonts w:hint="eastAsia" w:ascii="宋体" w:hAnsi="宋体"/>
                <w:color w:val="auto"/>
                <w:szCs w:val="21"/>
              </w:rPr>
              <w:t>以上</w:t>
            </w:r>
          </w:p>
        </w:tc>
        <w:tc>
          <w:tcPr>
            <w:tcW w:w="2551" w:type="dxa"/>
          </w:tcPr>
          <w:p w14:paraId="3D982A05">
            <w:pPr>
              <w:spacing w:before="120" w:line="320" w:lineRule="atLeast"/>
              <w:rPr>
                <w:rFonts w:ascii="宋体" w:hAnsi="宋体"/>
                <w:color w:val="auto"/>
                <w:szCs w:val="21"/>
              </w:rPr>
            </w:pPr>
            <w:r>
              <w:rPr>
                <w:rFonts w:hint="eastAsia" w:ascii="宋体" w:hAnsi="宋体"/>
                <w:color w:val="auto"/>
                <w:szCs w:val="21"/>
              </w:rPr>
              <w:t>价格扣除响应报价的</w:t>
            </w:r>
            <w:r>
              <w:rPr>
                <w:rFonts w:ascii="宋体" w:hAnsi="宋体"/>
                <w:color w:val="auto"/>
                <w:szCs w:val="21"/>
              </w:rPr>
              <w:t>4</w:t>
            </w:r>
            <w:r>
              <w:rPr>
                <w:rFonts w:hint="eastAsia" w:ascii="宋体" w:hAnsi="宋体"/>
                <w:color w:val="auto"/>
                <w:szCs w:val="21"/>
              </w:rPr>
              <w:t>%</w:t>
            </w:r>
          </w:p>
        </w:tc>
      </w:tr>
      <w:tr w14:paraId="0C91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1AAB0467">
            <w:pPr>
              <w:spacing w:before="120" w:line="320" w:lineRule="atLeast"/>
              <w:rPr>
                <w:rFonts w:ascii="宋体" w:hAnsi="宋体"/>
                <w:color w:val="auto"/>
                <w:szCs w:val="21"/>
              </w:rPr>
            </w:pPr>
            <w:r>
              <w:rPr>
                <w:rFonts w:hint="eastAsia" w:ascii="宋体" w:hAnsi="宋体"/>
                <w:color w:val="auto"/>
                <w:szCs w:val="21"/>
              </w:rPr>
              <w:t>注：未提供《中小企业声明函》、《分包意向协议书》或《联合体协议书》或不符合条件的，不享受价格扣除优惠。</w:t>
            </w:r>
          </w:p>
        </w:tc>
      </w:tr>
    </w:tbl>
    <w:p w14:paraId="66588600">
      <w:pPr>
        <w:rPr>
          <w:rFonts w:ascii="宋体" w:hAnsi="宋体"/>
          <w:color w:val="auto"/>
        </w:rPr>
      </w:pPr>
    </w:p>
    <w:p w14:paraId="3BA05403">
      <w:pPr>
        <w:pStyle w:val="26"/>
        <w:snapToGrid w:val="0"/>
        <w:spacing w:before="120" w:after="120" w:line="320" w:lineRule="exact"/>
        <w:jc w:val="center"/>
        <w:outlineLvl w:val="0"/>
        <w:rPr>
          <w:rFonts w:hAnsi="宋体"/>
          <w:color w:val="auto"/>
        </w:rPr>
        <w:sectPr>
          <w:headerReference r:id="rId16" w:type="default"/>
          <w:pgSz w:w="11906" w:h="16838"/>
          <w:pgMar w:top="1418" w:right="1418" w:bottom="1246" w:left="1418" w:header="851" w:footer="992" w:gutter="0"/>
          <w:cols w:space="720" w:num="1"/>
          <w:docGrid w:linePitch="312" w:charSpace="0"/>
        </w:sectPr>
      </w:pPr>
    </w:p>
    <w:p w14:paraId="2CBB2E32">
      <w:pPr>
        <w:ind w:firstLine="420" w:firstLineChars="200"/>
        <w:outlineLvl w:val="2"/>
        <w:rPr>
          <w:rFonts w:ascii="宋体" w:hAnsi="宋体"/>
          <w:color w:val="auto"/>
        </w:rPr>
      </w:pPr>
      <w:r>
        <w:rPr>
          <w:rFonts w:hint="eastAsia" w:ascii="宋体" w:hAnsi="宋体"/>
          <w:color w:val="auto"/>
        </w:rPr>
        <w:t>2分标</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9"/>
        <w:gridCol w:w="692"/>
        <w:gridCol w:w="5003"/>
        <w:gridCol w:w="2044"/>
      </w:tblGrid>
      <w:tr w14:paraId="3633F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23E7F308">
            <w:pPr>
              <w:jc w:val="center"/>
              <w:rPr>
                <w:rFonts w:ascii="宋体" w:hAnsi="宋体"/>
                <w:b/>
                <w:color w:val="auto"/>
                <w:szCs w:val="21"/>
              </w:rPr>
            </w:pPr>
            <w:r>
              <w:rPr>
                <w:rFonts w:hint="eastAsia" w:ascii="宋体" w:hAnsi="宋体"/>
                <w:b/>
                <w:color w:val="auto"/>
                <w:szCs w:val="21"/>
              </w:rPr>
              <w:t>序号</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14633C98">
            <w:pPr>
              <w:jc w:val="center"/>
              <w:rPr>
                <w:rFonts w:ascii="宋体" w:hAnsi="宋体"/>
                <w:b/>
                <w:color w:val="auto"/>
                <w:szCs w:val="21"/>
              </w:rPr>
            </w:pPr>
            <w:r>
              <w:rPr>
                <w:rFonts w:hint="eastAsia" w:ascii="宋体" w:hAnsi="宋体"/>
                <w:b/>
                <w:color w:val="auto"/>
                <w:szCs w:val="21"/>
              </w:rPr>
              <w:t>评审因素及分值</w:t>
            </w:r>
          </w:p>
        </w:tc>
        <w:tc>
          <w:tcPr>
            <w:tcW w:w="692" w:type="dxa"/>
            <w:tcBorders>
              <w:top w:val="single" w:color="auto" w:sz="4" w:space="0"/>
              <w:left w:val="single" w:color="auto" w:sz="4" w:space="0"/>
              <w:bottom w:val="single" w:color="auto" w:sz="4" w:space="0"/>
              <w:right w:val="single" w:color="auto" w:sz="4" w:space="0"/>
            </w:tcBorders>
            <w:vAlign w:val="center"/>
          </w:tcPr>
          <w:p w14:paraId="3E186005">
            <w:pPr>
              <w:jc w:val="center"/>
              <w:rPr>
                <w:rFonts w:ascii="宋体" w:hAnsi="宋体"/>
                <w:b/>
                <w:color w:val="auto"/>
                <w:szCs w:val="21"/>
              </w:rPr>
            </w:pPr>
            <w:r>
              <w:rPr>
                <w:rFonts w:hint="eastAsia" w:ascii="宋体" w:hAnsi="宋体"/>
                <w:b/>
                <w:color w:val="auto"/>
                <w:szCs w:val="21"/>
              </w:rPr>
              <w:t>分值</w:t>
            </w:r>
          </w:p>
          <w:p w14:paraId="482880A0">
            <w:pPr>
              <w:jc w:val="center"/>
              <w:rPr>
                <w:rFonts w:ascii="宋体" w:hAnsi="宋体"/>
                <w:b/>
                <w:color w:val="auto"/>
                <w:szCs w:val="21"/>
              </w:rPr>
            </w:pPr>
            <w:r>
              <w:rPr>
                <w:rFonts w:hint="eastAsia" w:ascii="宋体" w:hAnsi="宋体"/>
                <w:b/>
                <w:color w:val="auto"/>
                <w:szCs w:val="21"/>
              </w:rPr>
              <w:t>属性</w:t>
            </w:r>
          </w:p>
        </w:tc>
        <w:tc>
          <w:tcPr>
            <w:tcW w:w="5003" w:type="dxa"/>
            <w:tcBorders>
              <w:top w:val="single" w:color="auto" w:sz="4" w:space="0"/>
              <w:left w:val="single" w:color="auto" w:sz="4" w:space="0"/>
              <w:bottom w:val="single" w:color="auto" w:sz="4" w:space="0"/>
              <w:right w:val="single" w:color="auto" w:sz="4" w:space="0"/>
            </w:tcBorders>
            <w:vAlign w:val="center"/>
          </w:tcPr>
          <w:p w14:paraId="54DB47AD">
            <w:pPr>
              <w:jc w:val="center"/>
              <w:rPr>
                <w:rFonts w:ascii="宋体" w:hAnsi="宋体"/>
                <w:b/>
                <w:color w:val="auto"/>
                <w:szCs w:val="21"/>
              </w:rPr>
            </w:pPr>
            <w:r>
              <w:rPr>
                <w:rFonts w:hint="eastAsia" w:ascii="宋体" w:hAnsi="宋体"/>
                <w:b/>
                <w:color w:val="auto"/>
                <w:szCs w:val="21"/>
              </w:rPr>
              <w:t>评审标准</w:t>
            </w:r>
          </w:p>
        </w:tc>
        <w:tc>
          <w:tcPr>
            <w:tcW w:w="2044" w:type="dxa"/>
            <w:tcBorders>
              <w:top w:val="single" w:color="auto" w:sz="4" w:space="0"/>
              <w:left w:val="single" w:color="auto" w:sz="4" w:space="0"/>
              <w:bottom w:val="single" w:color="auto" w:sz="4" w:space="0"/>
              <w:right w:val="single" w:color="auto" w:sz="4" w:space="0"/>
            </w:tcBorders>
            <w:vAlign w:val="center"/>
          </w:tcPr>
          <w:p w14:paraId="7B59919C">
            <w:pPr>
              <w:jc w:val="center"/>
              <w:rPr>
                <w:rFonts w:ascii="宋体" w:hAnsi="宋体"/>
                <w:b/>
                <w:color w:val="auto"/>
                <w:szCs w:val="21"/>
              </w:rPr>
            </w:pPr>
            <w:r>
              <w:rPr>
                <w:rFonts w:hint="eastAsia" w:ascii="宋体" w:hAnsi="宋体"/>
                <w:b/>
                <w:color w:val="auto"/>
                <w:szCs w:val="21"/>
              </w:rPr>
              <w:t>说明</w:t>
            </w:r>
          </w:p>
        </w:tc>
      </w:tr>
      <w:tr w14:paraId="751ED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03C07640">
            <w:pPr>
              <w:jc w:val="center"/>
              <w:rPr>
                <w:rFonts w:ascii="宋体" w:hAnsi="宋体"/>
                <w:color w:val="auto"/>
                <w:szCs w:val="21"/>
              </w:rPr>
            </w:pPr>
            <w:r>
              <w:rPr>
                <w:rFonts w:ascii="宋体" w:hAnsi="宋体"/>
                <w:color w:val="auto"/>
                <w:szCs w:val="21"/>
              </w:rPr>
              <w:t>1</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098523B6">
            <w:pPr>
              <w:tabs>
                <w:tab w:val="center" w:pos="4153"/>
                <w:tab w:val="right" w:pos="8306"/>
              </w:tabs>
              <w:snapToGrid w:val="0"/>
              <w:jc w:val="left"/>
              <w:rPr>
                <w:rFonts w:ascii="宋体" w:hAnsi="宋体"/>
                <w:color w:val="auto"/>
                <w:szCs w:val="21"/>
              </w:rPr>
            </w:pPr>
            <w:r>
              <w:rPr>
                <w:rFonts w:hint="eastAsia" w:ascii="宋体" w:hAnsi="宋体"/>
                <w:color w:val="auto"/>
                <w:szCs w:val="21"/>
              </w:rPr>
              <w:t>商务部分（46分）</w:t>
            </w:r>
          </w:p>
        </w:tc>
        <w:tc>
          <w:tcPr>
            <w:tcW w:w="1009" w:type="dxa"/>
            <w:tcBorders>
              <w:top w:val="single" w:color="auto" w:sz="4" w:space="0"/>
              <w:left w:val="single" w:color="auto" w:sz="4" w:space="0"/>
              <w:bottom w:val="single" w:color="auto" w:sz="4" w:space="0"/>
              <w:right w:val="single" w:color="auto" w:sz="4" w:space="0"/>
            </w:tcBorders>
            <w:vAlign w:val="center"/>
          </w:tcPr>
          <w:p w14:paraId="53B7A1E8">
            <w:pPr>
              <w:rPr>
                <w:rFonts w:ascii="宋体" w:hAnsi="宋体"/>
                <w:color w:val="auto"/>
                <w:szCs w:val="21"/>
              </w:rPr>
            </w:pPr>
            <w:r>
              <w:rPr>
                <w:rFonts w:hint="eastAsia" w:ascii="宋体" w:hAnsi="宋体"/>
                <w:color w:val="auto"/>
                <w:szCs w:val="21"/>
              </w:rPr>
              <w:t>信誉业绩（10分）</w:t>
            </w:r>
          </w:p>
        </w:tc>
        <w:tc>
          <w:tcPr>
            <w:tcW w:w="692" w:type="dxa"/>
            <w:tcBorders>
              <w:top w:val="single" w:color="auto" w:sz="4" w:space="0"/>
              <w:left w:val="single" w:color="auto" w:sz="4" w:space="0"/>
              <w:bottom w:val="single" w:color="auto" w:sz="4" w:space="0"/>
              <w:right w:val="single" w:color="auto" w:sz="4" w:space="0"/>
            </w:tcBorders>
            <w:vAlign w:val="center"/>
          </w:tcPr>
          <w:p w14:paraId="46CB223D">
            <w:pPr>
              <w:jc w:val="center"/>
              <w:rPr>
                <w:rFonts w:ascii="宋体" w:hAnsi="宋体"/>
                <w:color w:val="auto"/>
                <w:szCs w:val="21"/>
              </w:rPr>
            </w:pPr>
            <w:r>
              <w:rPr>
                <w:rFonts w:hint="eastAsia"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79ED59A5">
            <w:pPr>
              <w:jc w:val="left"/>
              <w:rPr>
                <w:rFonts w:ascii="宋体" w:hAnsi="宋体"/>
                <w:color w:val="auto"/>
                <w:szCs w:val="21"/>
              </w:rPr>
            </w:pPr>
            <w:r>
              <w:rPr>
                <w:rFonts w:hint="eastAsia" w:ascii="宋体" w:hAnsi="宋体"/>
                <w:color w:val="auto"/>
                <w:szCs w:val="21"/>
              </w:rPr>
              <w:t>供应商每提供</w:t>
            </w:r>
            <w:r>
              <w:rPr>
                <w:rFonts w:ascii="宋体" w:hAnsi="宋体"/>
                <w:color w:val="auto"/>
                <w:szCs w:val="21"/>
              </w:rPr>
              <w:t>1</w:t>
            </w:r>
            <w:r>
              <w:rPr>
                <w:rFonts w:hint="eastAsia" w:ascii="宋体" w:hAnsi="宋体"/>
                <w:color w:val="auto"/>
                <w:szCs w:val="21"/>
              </w:rPr>
              <w:t>个有效业绩得2分，满分10分。有效业绩定义：指规划编制、课题研究等类型项目业绩。</w:t>
            </w:r>
          </w:p>
        </w:tc>
        <w:tc>
          <w:tcPr>
            <w:tcW w:w="2044" w:type="dxa"/>
            <w:tcBorders>
              <w:top w:val="single" w:color="auto" w:sz="4" w:space="0"/>
              <w:left w:val="single" w:color="auto" w:sz="4" w:space="0"/>
              <w:bottom w:val="single" w:color="auto" w:sz="4" w:space="0"/>
              <w:right w:val="single" w:color="auto" w:sz="4" w:space="0"/>
            </w:tcBorders>
            <w:vAlign w:val="center"/>
          </w:tcPr>
          <w:p w14:paraId="219506D4">
            <w:pPr>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）必须提供证明材料。</w:t>
            </w:r>
          </w:p>
          <w:p w14:paraId="6D33BE77">
            <w:pPr>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）以中标或成交通知书或合同复印件为准。</w:t>
            </w:r>
          </w:p>
        </w:tc>
      </w:tr>
      <w:tr w14:paraId="09CD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3B53A8F7">
            <w:pPr>
              <w:widowControl/>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1385ECC4">
            <w:pPr>
              <w:widowControl/>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13D8D74C">
            <w:pPr>
              <w:rPr>
                <w:rFonts w:ascii="宋体" w:hAnsi="宋体"/>
                <w:color w:val="auto"/>
                <w:szCs w:val="21"/>
              </w:rPr>
            </w:pPr>
            <w:r>
              <w:rPr>
                <w:rFonts w:hint="eastAsia" w:ascii="宋体" w:hAnsi="宋体"/>
                <w:color w:val="auto"/>
                <w:szCs w:val="21"/>
              </w:rPr>
              <w:t>服务团队人员（</w:t>
            </w:r>
            <w:r>
              <w:rPr>
                <w:rFonts w:ascii="宋体" w:hAnsi="宋体"/>
                <w:color w:val="auto"/>
                <w:szCs w:val="21"/>
              </w:rPr>
              <w:t>20</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00C84C04">
            <w:pPr>
              <w:jc w:val="center"/>
              <w:rPr>
                <w:rFonts w:ascii="宋体" w:hAnsi="宋体"/>
                <w:color w:val="auto"/>
                <w:szCs w:val="21"/>
              </w:rPr>
            </w:pPr>
            <w:r>
              <w:rPr>
                <w:rFonts w:hint="eastAsia"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1F18DAEB">
            <w:pPr>
              <w:spacing w:line="300" w:lineRule="exact"/>
              <w:jc w:val="left"/>
              <w:rPr>
                <w:rFonts w:ascii="宋体" w:hAnsi="宋体"/>
                <w:color w:val="auto"/>
                <w:szCs w:val="21"/>
              </w:rPr>
            </w:pPr>
            <w:r>
              <w:rPr>
                <w:rFonts w:hint="eastAsia" w:ascii="宋体" w:hAnsi="宋体"/>
                <w:color w:val="auto"/>
                <w:szCs w:val="21"/>
              </w:rPr>
              <w:t>一档（</w:t>
            </w:r>
            <w:r>
              <w:rPr>
                <w:rFonts w:ascii="宋体" w:hAnsi="宋体"/>
                <w:color w:val="auto"/>
                <w:szCs w:val="21"/>
              </w:rPr>
              <w:t>5</w:t>
            </w:r>
            <w:r>
              <w:rPr>
                <w:rFonts w:hint="eastAsia" w:ascii="宋体" w:hAnsi="宋体"/>
                <w:color w:val="auto"/>
                <w:szCs w:val="21"/>
              </w:rPr>
              <w:t>分）：本项目拟投入课题团队人员仅满足采购文件人员要求，拟投入团队人员</w:t>
            </w:r>
            <w:r>
              <w:rPr>
                <w:rFonts w:ascii="宋体" w:hAnsi="宋体"/>
                <w:color w:val="auto"/>
                <w:szCs w:val="21"/>
              </w:rPr>
              <w:t>3</w:t>
            </w:r>
            <w:r>
              <w:rPr>
                <w:rFonts w:hint="eastAsia" w:ascii="宋体" w:hAnsi="宋体"/>
                <w:color w:val="auto"/>
                <w:szCs w:val="21"/>
              </w:rPr>
              <w:t>人的，配置基本合理，至少</w:t>
            </w:r>
            <w:r>
              <w:rPr>
                <w:rFonts w:ascii="宋体" w:hAnsi="宋体"/>
                <w:color w:val="auto"/>
                <w:szCs w:val="21"/>
              </w:rPr>
              <w:t>1</w:t>
            </w:r>
            <w:r>
              <w:rPr>
                <w:rFonts w:hint="eastAsia" w:ascii="宋体" w:hAnsi="宋体"/>
                <w:color w:val="auto"/>
                <w:szCs w:val="21"/>
              </w:rPr>
              <w:t>人具有高级及以上职称。</w:t>
            </w:r>
          </w:p>
          <w:p w14:paraId="17933C52">
            <w:pPr>
              <w:spacing w:line="300" w:lineRule="exact"/>
              <w:jc w:val="left"/>
              <w:rPr>
                <w:rFonts w:ascii="宋体" w:hAnsi="宋体"/>
                <w:color w:val="auto"/>
                <w:szCs w:val="21"/>
              </w:rPr>
            </w:pPr>
            <w:r>
              <w:rPr>
                <w:rFonts w:hint="eastAsia" w:ascii="宋体" w:hAnsi="宋体"/>
                <w:color w:val="auto"/>
                <w:szCs w:val="21"/>
              </w:rPr>
              <w:t>二档（</w:t>
            </w:r>
            <w:r>
              <w:rPr>
                <w:rFonts w:ascii="宋体" w:hAnsi="宋体"/>
                <w:color w:val="auto"/>
                <w:szCs w:val="21"/>
              </w:rPr>
              <w:t>10</w:t>
            </w:r>
            <w:r>
              <w:rPr>
                <w:rFonts w:hint="eastAsia" w:ascii="宋体" w:hAnsi="宋体"/>
                <w:color w:val="auto"/>
                <w:szCs w:val="21"/>
              </w:rPr>
              <w:t>分）：本项目拟投入课题团队人员在满足采购文件人员要求下，能投入</w:t>
            </w:r>
            <w:r>
              <w:rPr>
                <w:rFonts w:ascii="宋体" w:hAnsi="宋体"/>
                <w:color w:val="auto"/>
                <w:szCs w:val="21"/>
              </w:rPr>
              <w:t>4</w:t>
            </w:r>
            <w:r>
              <w:rPr>
                <w:rFonts w:hint="eastAsia" w:ascii="宋体" w:hAnsi="宋体"/>
                <w:color w:val="auto"/>
                <w:szCs w:val="21"/>
              </w:rPr>
              <w:t>人及以上的，配置合理，团队人员中拥有工业领域或经济学、管理学领域的本科及以上相关学位，至少2人具有高级及以上职称。</w:t>
            </w:r>
          </w:p>
          <w:p w14:paraId="067DD7B1">
            <w:pPr>
              <w:rPr>
                <w:rFonts w:ascii="宋体" w:hAnsi="宋体"/>
                <w:color w:val="auto"/>
                <w:szCs w:val="21"/>
              </w:rPr>
            </w:pPr>
            <w:r>
              <w:rPr>
                <w:rFonts w:hint="eastAsia" w:ascii="宋体" w:hAnsi="宋体"/>
                <w:color w:val="auto"/>
                <w:szCs w:val="21"/>
              </w:rPr>
              <w:t>三档（</w:t>
            </w:r>
            <w:r>
              <w:rPr>
                <w:rFonts w:ascii="宋体" w:hAnsi="宋体"/>
                <w:color w:val="auto"/>
                <w:szCs w:val="21"/>
              </w:rPr>
              <w:t>15</w:t>
            </w:r>
            <w:r>
              <w:rPr>
                <w:rFonts w:hint="eastAsia" w:ascii="宋体" w:hAnsi="宋体"/>
                <w:color w:val="auto"/>
                <w:szCs w:val="21"/>
              </w:rPr>
              <w:t>分）：</w:t>
            </w:r>
            <w:r>
              <w:rPr>
                <w:rFonts w:ascii="宋体" w:hAnsi="宋体"/>
                <w:color w:val="auto"/>
                <w:szCs w:val="21"/>
              </w:rPr>
              <w:t>本项目拟投入团队人员7-9人，配置充足合理，且团队人员中拥有工业领域或经济学领域硕士及以上相关学位，至少3人具有高级及以上职称。</w:t>
            </w:r>
          </w:p>
          <w:p w14:paraId="24C85E7B">
            <w:pPr>
              <w:rPr>
                <w:rFonts w:ascii="宋体" w:hAnsi="宋体"/>
                <w:color w:val="auto"/>
                <w:szCs w:val="21"/>
              </w:rPr>
            </w:pPr>
            <w:r>
              <w:rPr>
                <w:rFonts w:ascii="宋体" w:hAnsi="宋体"/>
                <w:color w:val="auto"/>
                <w:szCs w:val="21"/>
              </w:rPr>
              <w:t>四档（20分）本项目拟投入团队人员10人及以上，配置充足、合理，且团队人员中拥有工业领域或经济学、管理学等相关领域的硕士以上学位；</w:t>
            </w:r>
            <w:r>
              <w:rPr>
                <w:rFonts w:hint="eastAsia" w:ascii="宋体" w:hAnsi="宋体"/>
                <w:color w:val="auto"/>
                <w:szCs w:val="21"/>
              </w:rPr>
              <w:t>至少3人具有高级及以上职称，其中项目负责人为正高级职称</w:t>
            </w:r>
            <w:r>
              <w:rPr>
                <w:rFonts w:ascii="宋体" w:hAnsi="宋体"/>
                <w:color w:val="auto"/>
                <w:szCs w:val="21"/>
              </w:rPr>
              <w:t>。</w:t>
            </w:r>
          </w:p>
        </w:tc>
        <w:tc>
          <w:tcPr>
            <w:tcW w:w="2044" w:type="dxa"/>
            <w:tcBorders>
              <w:top w:val="single" w:color="auto" w:sz="4" w:space="0"/>
              <w:left w:val="single" w:color="auto" w:sz="4" w:space="0"/>
              <w:bottom w:val="single" w:color="auto" w:sz="4" w:space="0"/>
              <w:right w:val="single" w:color="auto" w:sz="4" w:space="0"/>
            </w:tcBorders>
            <w:vAlign w:val="center"/>
          </w:tcPr>
          <w:p w14:paraId="35DD6738">
            <w:pPr>
              <w:rPr>
                <w:rFonts w:ascii="宋体" w:hAnsi="宋体"/>
                <w:color w:val="auto"/>
                <w:szCs w:val="21"/>
              </w:rPr>
            </w:pPr>
            <w:r>
              <w:rPr>
                <w:rFonts w:hint="eastAsia" w:ascii="宋体" w:hAnsi="宋体"/>
                <w:color w:val="auto"/>
                <w:szCs w:val="21"/>
              </w:rPr>
              <w:t>必须提供相关证明材料。</w:t>
            </w:r>
          </w:p>
        </w:tc>
      </w:tr>
      <w:tr w14:paraId="517E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2F71EDC9">
            <w:pPr>
              <w:widowControl/>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40BBF862">
            <w:pPr>
              <w:widowControl/>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0634A292">
            <w:pPr>
              <w:rPr>
                <w:rFonts w:ascii="宋体" w:hAnsi="宋体"/>
                <w:color w:val="auto"/>
                <w:szCs w:val="21"/>
              </w:rPr>
            </w:pPr>
            <w:r>
              <w:rPr>
                <w:rFonts w:hint="eastAsia" w:ascii="宋体" w:hAnsi="宋体"/>
                <w:color w:val="auto"/>
                <w:szCs w:val="21"/>
              </w:rPr>
              <w:t>质量保证措施（</w:t>
            </w:r>
            <w:r>
              <w:rPr>
                <w:rFonts w:ascii="宋体" w:hAnsi="宋体"/>
                <w:color w:val="auto"/>
                <w:szCs w:val="21"/>
              </w:rPr>
              <w:t>16</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2C4D5BC9">
            <w:pPr>
              <w:jc w:val="center"/>
              <w:rPr>
                <w:rFonts w:ascii="宋体" w:hAnsi="宋体"/>
                <w:color w:val="auto"/>
                <w:szCs w:val="21"/>
              </w:rPr>
            </w:pPr>
            <w:r>
              <w:rPr>
                <w:rFonts w:hint="eastAsia"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2EC6EFF5">
            <w:pPr>
              <w:rPr>
                <w:rFonts w:ascii="宋体" w:hAnsi="宋体"/>
                <w:color w:val="auto"/>
                <w:szCs w:val="21"/>
              </w:rPr>
            </w:pPr>
            <w:r>
              <w:rPr>
                <w:rFonts w:hint="eastAsia" w:ascii="宋体" w:hAnsi="宋体"/>
                <w:color w:val="auto"/>
                <w:szCs w:val="21"/>
              </w:rPr>
              <w:t>一档（</w:t>
            </w:r>
            <w:r>
              <w:rPr>
                <w:rFonts w:ascii="宋体" w:hAnsi="宋体"/>
                <w:color w:val="auto"/>
                <w:szCs w:val="21"/>
              </w:rPr>
              <w:t>4</w:t>
            </w:r>
            <w:r>
              <w:rPr>
                <w:rFonts w:hint="eastAsia" w:ascii="宋体" w:hAnsi="宋体"/>
                <w:color w:val="auto"/>
                <w:szCs w:val="21"/>
              </w:rPr>
              <w:t>分）：供应商为采购人提供有合理的承诺，</w:t>
            </w:r>
          </w:p>
          <w:p w14:paraId="20F05DDA">
            <w:pPr>
              <w:rPr>
                <w:rFonts w:ascii="宋体" w:hAnsi="宋体"/>
                <w:color w:val="auto"/>
                <w:szCs w:val="21"/>
              </w:rPr>
            </w:pPr>
            <w:r>
              <w:rPr>
                <w:rFonts w:hint="eastAsia" w:ascii="宋体" w:hAnsi="宋体"/>
                <w:color w:val="auto"/>
                <w:szCs w:val="21"/>
              </w:rPr>
              <w:t>并包含有项目保障措施，但方案为简单，缺乏、针对性；</w:t>
            </w:r>
          </w:p>
          <w:p w14:paraId="404D317D">
            <w:pPr>
              <w:rPr>
                <w:rFonts w:ascii="宋体" w:hAnsi="宋体"/>
                <w:color w:val="auto"/>
                <w:szCs w:val="21"/>
              </w:rPr>
            </w:pPr>
            <w:r>
              <w:rPr>
                <w:rFonts w:hint="eastAsia" w:ascii="宋体" w:hAnsi="宋体"/>
                <w:color w:val="auto"/>
                <w:szCs w:val="21"/>
              </w:rPr>
              <w:t>二档（</w:t>
            </w:r>
            <w:r>
              <w:rPr>
                <w:rFonts w:ascii="宋体" w:hAnsi="宋体"/>
                <w:color w:val="auto"/>
                <w:szCs w:val="21"/>
              </w:rPr>
              <w:t>10</w:t>
            </w:r>
            <w:r>
              <w:rPr>
                <w:rFonts w:hint="eastAsia" w:ascii="宋体" w:hAnsi="宋体"/>
                <w:color w:val="auto"/>
                <w:szCs w:val="21"/>
              </w:rPr>
              <w:t>分）：供应商为采购人提供有服务质量及成果完成时间承诺，并包含有项目保障措施、保密承诺及廉洁承诺等，且描述了项目保障措施的方法以及实现方式，方案合理可行，具有针对性；</w:t>
            </w:r>
          </w:p>
          <w:p w14:paraId="6C705236">
            <w:pPr>
              <w:rPr>
                <w:rFonts w:ascii="宋体" w:hAnsi="宋体"/>
                <w:color w:val="auto"/>
                <w:szCs w:val="21"/>
              </w:rPr>
            </w:pPr>
            <w:r>
              <w:rPr>
                <w:rFonts w:hint="eastAsia" w:ascii="宋体" w:hAnsi="宋体"/>
                <w:color w:val="auto"/>
                <w:szCs w:val="21"/>
              </w:rPr>
              <w:t>三档（</w:t>
            </w:r>
            <w:r>
              <w:rPr>
                <w:rFonts w:ascii="宋体" w:hAnsi="宋体"/>
                <w:color w:val="auto"/>
                <w:szCs w:val="21"/>
              </w:rPr>
              <w:t>16</w:t>
            </w:r>
            <w:r>
              <w:rPr>
                <w:rFonts w:hint="eastAsia" w:ascii="宋体" w:hAnsi="宋体"/>
                <w:color w:val="auto"/>
                <w:szCs w:val="21"/>
              </w:rPr>
              <w:t>分）：供应商为采购人提供优于采购需求的服务质量及成果完成时间承诺，并包含有合理可行并且具有针对性的项目保障措施、保密承诺及廉洁承诺等，且描述了应急保障方案的方法以及实现方式</w:t>
            </w:r>
            <w:r>
              <w:rPr>
                <w:rFonts w:ascii="宋体" w:hAnsi="宋体"/>
                <w:color w:val="auto"/>
                <w:szCs w:val="21"/>
              </w:rPr>
              <w:t xml:space="preserve"> </w:t>
            </w:r>
            <w:r>
              <w:rPr>
                <w:rFonts w:hint="eastAsia" w:ascii="宋体" w:hAnsi="宋体"/>
                <w:color w:val="auto"/>
                <w:szCs w:val="21"/>
              </w:rPr>
              <w:t>，服务质量承诺方案的联系人等，服务承诺和保障措施考虑周全完整，有额外优惠服务措施和内容。</w:t>
            </w:r>
          </w:p>
        </w:tc>
        <w:tc>
          <w:tcPr>
            <w:tcW w:w="2044" w:type="dxa"/>
            <w:tcBorders>
              <w:top w:val="single" w:color="auto" w:sz="4" w:space="0"/>
              <w:left w:val="single" w:color="auto" w:sz="4" w:space="0"/>
              <w:bottom w:val="single" w:color="auto" w:sz="4" w:space="0"/>
              <w:right w:val="single" w:color="auto" w:sz="4" w:space="0"/>
            </w:tcBorders>
            <w:vAlign w:val="center"/>
          </w:tcPr>
          <w:p w14:paraId="2C0EDE99">
            <w:pPr>
              <w:rPr>
                <w:rFonts w:ascii="宋体" w:hAnsi="宋体"/>
                <w:color w:val="auto"/>
                <w:szCs w:val="21"/>
              </w:rPr>
            </w:pPr>
            <w:r>
              <w:rPr>
                <w:rFonts w:hint="eastAsia" w:ascii="宋体" w:hAnsi="宋体"/>
                <w:color w:val="auto"/>
                <w:szCs w:val="21"/>
              </w:rPr>
              <w:t>未提供不得分。</w:t>
            </w:r>
          </w:p>
        </w:tc>
      </w:tr>
      <w:tr w14:paraId="7475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7A161B74">
            <w:pPr>
              <w:jc w:val="center"/>
              <w:rPr>
                <w:rFonts w:ascii="宋体" w:hAnsi="宋体"/>
                <w:color w:val="auto"/>
                <w:szCs w:val="21"/>
              </w:rPr>
            </w:pPr>
            <w:r>
              <w:rPr>
                <w:rFonts w:ascii="宋体" w:hAnsi="宋体"/>
                <w:color w:val="auto"/>
                <w:szCs w:val="21"/>
              </w:rPr>
              <w:t>2</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3D283BFC">
            <w:pPr>
              <w:jc w:val="center"/>
              <w:rPr>
                <w:rFonts w:ascii="宋体" w:hAnsi="宋体"/>
                <w:color w:val="auto"/>
                <w:szCs w:val="21"/>
              </w:rPr>
            </w:pPr>
            <w:r>
              <w:rPr>
                <w:rFonts w:hint="eastAsia" w:ascii="宋体" w:hAnsi="宋体"/>
                <w:color w:val="auto"/>
                <w:szCs w:val="21"/>
              </w:rPr>
              <w:t>技术部分（</w:t>
            </w:r>
            <w:r>
              <w:rPr>
                <w:rFonts w:ascii="宋体" w:hAnsi="宋体"/>
                <w:color w:val="auto"/>
                <w:szCs w:val="21"/>
              </w:rPr>
              <w:t>4</w:t>
            </w:r>
            <w:r>
              <w:rPr>
                <w:rFonts w:hint="eastAsia" w:ascii="宋体" w:hAnsi="宋体"/>
                <w:color w:val="auto"/>
                <w:szCs w:val="21"/>
              </w:rPr>
              <w:t>4分）</w:t>
            </w:r>
          </w:p>
        </w:tc>
        <w:tc>
          <w:tcPr>
            <w:tcW w:w="1009" w:type="dxa"/>
            <w:tcBorders>
              <w:top w:val="single" w:color="auto" w:sz="4" w:space="0"/>
              <w:left w:val="single" w:color="auto" w:sz="4" w:space="0"/>
              <w:bottom w:val="single" w:color="auto" w:sz="4" w:space="0"/>
              <w:right w:val="single" w:color="auto" w:sz="4" w:space="0"/>
            </w:tcBorders>
            <w:vAlign w:val="center"/>
          </w:tcPr>
          <w:p w14:paraId="4B91FC5A">
            <w:pPr>
              <w:widowControl/>
              <w:jc w:val="left"/>
              <w:rPr>
                <w:rFonts w:ascii="宋体" w:hAnsi="宋体"/>
                <w:color w:val="auto"/>
                <w:szCs w:val="21"/>
              </w:rPr>
            </w:pPr>
            <w:r>
              <w:rPr>
                <w:rFonts w:hint="eastAsia" w:ascii="宋体" w:hAnsi="宋体"/>
                <w:color w:val="auto"/>
                <w:szCs w:val="21"/>
              </w:rPr>
              <w:t>工作方案（</w:t>
            </w:r>
            <w:r>
              <w:rPr>
                <w:rFonts w:ascii="宋体" w:hAnsi="宋体"/>
                <w:color w:val="auto"/>
                <w:szCs w:val="21"/>
              </w:rPr>
              <w:t>30</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3A8ADF50">
            <w:pPr>
              <w:jc w:val="center"/>
              <w:rPr>
                <w:rFonts w:ascii="宋体" w:hAnsi="宋体"/>
                <w:color w:val="auto"/>
                <w:szCs w:val="21"/>
              </w:rPr>
            </w:pPr>
            <w:r>
              <w:rPr>
                <w:rFonts w:hint="eastAsia"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7CA5D900">
            <w:pPr>
              <w:rPr>
                <w:rFonts w:ascii="宋体" w:hAnsi="宋体"/>
                <w:color w:val="auto"/>
                <w:szCs w:val="21"/>
              </w:rPr>
            </w:pPr>
            <w:r>
              <w:rPr>
                <w:rFonts w:hint="eastAsia" w:ascii="宋体" w:hAnsi="宋体"/>
                <w:color w:val="auto"/>
                <w:szCs w:val="21"/>
              </w:rPr>
              <w:t>一档（</w:t>
            </w:r>
            <w:r>
              <w:rPr>
                <w:rFonts w:ascii="宋体" w:hAnsi="宋体"/>
                <w:color w:val="auto"/>
                <w:szCs w:val="21"/>
              </w:rPr>
              <w:t>8</w:t>
            </w:r>
            <w:r>
              <w:rPr>
                <w:rFonts w:hint="eastAsia" w:ascii="宋体" w:hAnsi="宋体"/>
                <w:color w:val="auto"/>
                <w:szCs w:val="21"/>
              </w:rPr>
              <w:t>分）：目标工作方案简单，对项目的总体需求的理解程度、对项目范围把握不准确，项目重点难点分析不完整。</w:t>
            </w:r>
          </w:p>
          <w:p w14:paraId="0182C625">
            <w:pPr>
              <w:rPr>
                <w:rFonts w:ascii="宋体" w:hAnsi="宋体"/>
                <w:color w:val="auto"/>
                <w:szCs w:val="21"/>
              </w:rPr>
            </w:pPr>
            <w:r>
              <w:rPr>
                <w:rFonts w:hint="eastAsia" w:ascii="宋体" w:hAnsi="宋体"/>
                <w:color w:val="auto"/>
                <w:szCs w:val="21"/>
              </w:rPr>
              <w:t>二档（</w:t>
            </w:r>
            <w:r>
              <w:rPr>
                <w:rFonts w:ascii="宋体" w:hAnsi="宋体"/>
                <w:color w:val="auto"/>
                <w:szCs w:val="21"/>
              </w:rPr>
              <w:t>16</w:t>
            </w:r>
            <w:r>
              <w:rPr>
                <w:rFonts w:hint="eastAsia" w:ascii="宋体" w:hAnsi="宋体"/>
                <w:color w:val="auto"/>
                <w:szCs w:val="21"/>
              </w:rPr>
              <w:t>分）：目标工作方案合理完整，具有针对性，对项目的总体需求的理解程度、对项目范围把握准确度低，项目重点难点分析简单，应对措施不够具体。</w:t>
            </w:r>
          </w:p>
          <w:p w14:paraId="10F837B6">
            <w:pPr>
              <w:rPr>
                <w:rFonts w:ascii="宋体" w:hAnsi="宋体"/>
                <w:color w:val="auto"/>
                <w:szCs w:val="21"/>
              </w:rPr>
            </w:pPr>
            <w:r>
              <w:rPr>
                <w:rFonts w:hint="eastAsia" w:ascii="宋体" w:hAnsi="宋体"/>
                <w:color w:val="auto"/>
                <w:szCs w:val="21"/>
              </w:rPr>
              <w:t>三档（</w:t>
            </w:r>
            <w:r>
              <w:rPr>
                <w:rFonts w:ascii="宋体" w:hAnsi="宋体"/>
                <w:color w:val="auto"/>
                <w:szCs w:val="21"/>
              </w:rPr>
              <w:t>24</w:t>
            </w:r>
            <w:r>
              <w:rPr>
                <w:rFonts w:hint="eastAsia" w:ascii="宋体" w:hAnsi="宋体"/>
                <w:color w:val="auto"/>
                <w:szCs w:val="21"/>
              </w:rPr>
              <w:t>分）：目标工作方案合理完整，具有针对性和一定的先进性，对项目的总体需求的理解程度、对项目范围把握准确度良好，项目重点难点分析完善，应对措施具体可行，并附有相关的合理化建议，建立完善的组织机构、规范的内部操作规程。</w:t>
            </w:r>
          </w:p>
          <w:p w14:paraId="1D7DF26C">
            <w:pPr>
              <w:rPr>
                <w:rFonts w:ascii="宋体" w:hAnsi="宋体"/>
                <w:color w:val="auto"/>
                <w:szCs w:val="21"/>
              </w:rPr>
            </w:pPr>
            <w:r>
              <w:rPr>
                <w:rFonts w:hint="eastAsia" w:ascii="宋体" w:hAnsi="宋体"/>
                <w:color w:val="auto"/>
                <w:szCs w:val="21"/>
              </w:rPr>
              <w:t>四档（</w:t>
            </w:r>
            <w:r>
              <w:rPr>
                <w:rFonts w:ascii="宋体" w:hAnsi="宋体"/>
                <w:color w:val="auto"/>
                <w:szCs w:val="21"/>
              </w:rPr>
              <w:t>30</w:t>
            </w:r>
            <w:r>
              <w:rPr>
                <w:rFonts w:hint="eastAsia" w:ascii="宋体" w:hAnsi="宋体"/>
                <w:color w:val="auto"/>
                <w:szCs w:val="21"/>
              </w:rPr>
              <w:t>分）：目标工作方案合理完整，具有针对性和一定的先进性，对项目的总体需求的理解程度、对项目范围把握准确度高并具有切合的额外建设建议和措施，项目重点难点分析翔实且有针对性，应对措施具体可行，相关的合理化建议有可操作性和先进性，建立完善的组织机构、规范的内部操作规程。</w:t>
            </w:r>
          </w:p>
        </w:tc>
        <w:tc>
          <w:tcPr>
            <w:tcW w:w="2044" w:type="dxa"/>
            <w:tcBorders>
              <w:top w:val="single" w:color="auto" w:sz="4" w:space="0"/>
              <w:left w:val="single" w:color="auto" w:sz="4" w:space="0"/>
              <w:bottom w:val="single" w:color="auto" w:sz="4" w:space="0"/>
              <w:right w:val="single" w:color="auto" w:sz="4" w:space="0"/>
            </w:tcBorders>
            <w:vAlign w:val="center"/>
          </w:tcPr>
          <w:p w14:paraId="03C9EC26">
            <w:pPr>
              <w:rPr>
                <w:rFonts w:ascii="宋体" w:hAnsi="宋体"/>
                <w:color w:val="auto"/>
                <w:szCs w:val="21"/>
              </w:rPr>
            </w:pPr>
            <w:r>
              <w:rPr>
                <w:rFonts w:hint="eastAsia" w:ascii="宋体" w:hAnsi="宋体"/>
                <w:color w:val="auto"/>
                <w:szCs w:val="21"/>
              </w:rPr>
              <w:t>未提供不得分。</w:t>
            </w:r>
          </w:p>
        </w:tc>
      </w:tr>
      <w:tr w14:paraId="4B60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49952AE8">
            <w:pPr>
              <w:widowControl/>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7A9BD853">
            <w:pPr>
              <w:widowControl/>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47C6E462">
            <w:pPr>
              <w:widowControl/>
              <w:jc w:val="left"/>
              <w:rPr>
                <w:rFonts w:ascii="宋体" w:hAnsi="宋体"/>
                <w:color w:val="auto"/>
                <w:szCs w:val="21"/>
              </w:rPr>
            </w:pPr>
            <w:r>
              <w:rPr>
                <w:rFonts w:hint="eastAsia" w:ascii="宋体" w:hAnsi="宋体"/>
                <w:color w:val="auto"/>
                <w:szCs w:val="21"/>
              </w:rPr>
              <w:t>实施计划（14分）</w:t>
            </w:r>
          </w:p>
        </w:tc>
        <w:tc>
          <w:tcPr>
            <w:tcW w:w="692" w:type="dxa"/>
            <w:tcBorders>
              <w:top w:val="single" w:color="auto" w:sz="4" w:space="0"/>
              <w:left w:val="single" w:color="auto" w:sz="4" w:space="0"/>
              <w:bottom w:val="single" w:color="auto" w:sz="4" w:space="0"/>
              <w:right w:val="single" w:color="auto" w:sz="4" w:space="0"/>
            </w:tcBorders>
            <w:vAlign w:val="center"/>
          </w:tcPr>
          <w:p w14:paraId="343463BC">
            <w:pPr>
              <w:jc w:val="center"/>
              <w:rPr>
                <w:rFonts w:ascii="宋体" w:hAnsi="宋体"/>
                <w:color w:val="auto"/>
                <w:szCs w:val="21"/>
              </w:rPr>
            </w:pPr>
            <w:r>
              <w:rPr>
                <w:rFonts w:hint="eastAsia"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58E2FEDC">
            <w:pPr>
              <w:rPr>
                <w:rFonts w:ascii="宋体" w:hAnsi="宋体"/>
                <w:color w:val="auto"/>
                <w:szCs w:val="21"/>
              </w:rPr>
            </w:pPr>
            <w:r>
              <w:rPr>
                <w:rFonts w:hint="eastAsia" w:ascii="宋体" w:hAnsi="宋体"/>
                <w:color w:val="auto"/>
                <w:szCs w:val="21"/>
              </w:rPr>
              <w:t>一档（5分）：计划安排内容简单；</w:t>
            </w:r>
          </w:p>
          <w:p w14:paraId="1758166A">
            <w:pPr>
              <w:rPr>
                <w:rFonts w:ascii="宋体" w:hAnsi="宋体"/>
                <w:color w:val="auto"/>
                <w:szCs w:val="21"/>
              </w:rPr>
            </w:pPr>
            <w:r>
              <w:rPr>
                <w:rFonts w:hint="eastAsia" w:ascii="宋体" w:hAnsi="宋体"/>
                <w:color w:val="auto"/>
                <w:szCs w:val="21"/>
              </w:rPr>
              <w:t>二档（8分）：有工作步骤、对本项目调研计划基本合理，时间安排基本满足采购文件要求；</w:t>
            </w:r>
          </w:p>
          <w:p w14:paraId="2960A7D7">
            <w:pPr>
              <w:rPr>
                <w:rFonts w:ascii="宋体" w:hAnsi="宋体"/>
                <w:color w:val="auto"/>
                <w:szCs w:val="21"/>
              </w:rPr>
            </w:pPr>
            <w:r>
              <w:rPr>
                <w:rFonts w:hint="eastAsia" w:ascii="宋体" w:hAnsi="宋体"/>
                <w:color w:val="auto"/>
                <w:szCs w:val="21"/>
              </w:rPr>
              <w:t>三档（11分）：有工作步骤、对本项目调研计划合理，时间满足采购文件要求，有参加课题前期调研、中期汇报的安排内容；</w:t>
            </w:r>
          </w:p>
          <w:p w14:paraId="7C13B9F2">
            <w:pPr>
              <w:rPr>
                <w:rFonts w:ascii="宋体" w:hAnsi="宋体"/>
                <w:color w:val="auto"/>
                <w:szCs w:val="21"/>
              </w:rPr>
            </w:pPr>
            <w:r>
              <w:rPr>
                <w:rFonts w:hint="eastAsia" w:ascii="宋体" w:hAnsi="宋体"/>
                <w:color w:val="auto"/>
                <w:szCs w:val="21"/>
              </w:rPr>
              <w:t>四档（14分）：有工作步骤、对本项目调研计划科学合理，时间安排紧凑且优于采购文件要求，推进步骤清晰明了，参加课题前期调研、中期汇报的安排科学合理，保证课题质量措施有利于采购人完成项目。</w:t>
            </w:r>
          </w:p>
        </w:tc>
        <w:tc>
          <w:tcPr>
            <w:tcW w:w="2044" w:type="dxa"/>
            <w:tcBorders>
              <w:top w:val="single" w:color="auto" w:sz="4" w:space="0"/>
              <w:left w:val="single" w:color="auto" w:sz="4" w:space="0"/>
              <w:bottom w:val="single" w:color="auto" w:sz="4" w:space="0"/>
              <w:right w:val="single" w:color="auto" w:sz="4" w:space="0"/>
            </w:tcBorders>
            <w:vAlign w:val="center"/>
          </w:tcPr>
          <w:p w14:paraId="1BD166C3">
            <w:pPr>
              <w:rPr>
                <w:rFonts w:ascii="宋体" w:hAnsi="宋体"/>
                <w:color w:val="auto"/>
                <w:szCs w:val="21"/>
              </w:rPr>
            </w:pPr>
            <w:r>
              <w:rPr>
                <w:rFonts w:hint="eastAsia" w:ascii="宋体" w:hAnsi="宋体"/>
                <w:color w:val="auto"/>
                <w:szCs w:val="21"/>
              </w:rPr>
              <w:t>未提供不得分。</w:t>
            </w:r>
          </w:p>
        </w:tc>
      </w:tr>
      <w:tr w14:paraId="2D9E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3DBC33F5">
            <w:pPr>
              <w:jc w:val="center"/>
              <w:rPr>
                <w:rFonts w:ascii="宋体" w:hAnsi="宋体"/>
                <w:color w:val="auto"/>
                <w:szCs w:val="21"/>
              </w:rPr>
            </w:pPr>
            <w:r>
              <w:rPr>
                <w:rFonts w:ascii="宋体" w:hAnsi="宋体"/>
                <w:color w:val="auto"/>
                <w:szCs w:val="21"/>
              </w:rPr>
              <w:t>3</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78221B49">
            <w:pPr>
              <w:jc w:val="center"/>
              <w:rPr>
                <w:rFonts w:ascii="宋体" w:hAnsi="宋体"/>
                <w:color w:val="auto"/>
                <w:szCs w:val="21"/>
              </w:rPr>
            </w:pPr>
            <w:r>
              <w:rPr>
                <w:rFonts w:hint="eastAsia" w:ascii="宋体" w:hAnsi="宋体"/>
                <w:color w:val="auto"/>
                <w:szCs w:val="21"/>
              </w:rPr>
              <w:t>响应报价分</w:t>
            </w:r>
          </w:p>
          <w:p w14:paraId="4F7DC531">
            <w:pPr>
              <w:jc w:val="center"/>
              <w:rPr>
                <w:rFonts w:ascii="宋体" w:hAnsi="宋体"/>
                <w:color w:val="auto"/>
                <w:szCs w:val="21"/>
              </w:rPr>
            </w:pPr>
            <w:r>
              <w:rPr>
                <w:rFonts w:hint="eastAsia" w:ascii="宋体" w:hAnsi="宋体"/>
                <w:color w:val="auto"/>
                <w:szCs w:val="21"/>
              </w:rPr>
              <w:t>（</w:t>
            </w:r>
            <w:r>
              <w:rPr>
                <w:rFonts w:ascii="宋体" w:hAnsi="宋体"/>
                <w:color w:val="auto"/>
                <w:szCs w:val="21"/>
              </w:rPr>
              <w:t>10</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2702C471">
            <w:pPr>
              <w:jc w:val="center"/>
              <w:rPr>
                <w:rFonts w:ascii="宋体" w:hAnsi="宋体"/>
                <w:color w:val="auto"/>
                <w:szCs w:val="21"/>
              </w:rPr>
            </w:pPr>
            <w:r>
              <w:rPr>
                <w:rFonts w:hint="eastAsia"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3036DC26">
            <w:pPr>
              <w:jc w:val="center"/>
              <w:rPr>
                <w:rFonts w:ascii="宋体" w:hAnsi="宋体"/>
                <w:color w:val="auto"/>
                <w:szCs w:val="21"/>
              </w:rPr>
            </w:pPr>
            <w:r>
              <w:rPr>
                <w:rFonts w:hint="eastAsia" w:ascii="宋体" w:hAnsi="宋体"/>
                <w:color w:val="auto"/>
                <w:szCs w:val="21"/>
              </w:rPr>
              <w:t>以满足采购文件要求且响应价格最低的响应报价为评审基准价，其价格分为满分。其他供应商的价格分统一按照下列公式计算：响应报价得分</w:t>
            </w:r>
            <w:r>
              <w:rPr>
                <w:rFonts w:ascii="宋体" w:hAnsi="宋体"/>
                <w:color w:val="auto"/>
                <w:szCs w:val="21"/>
              </w:rPr>
              <w:t>=</w:t>
            </w:r>
            <w:r>
              <w:rPr>
                <w:rFonts w:hint="eastAsia" w:ascii="宋体" w:hAnsi="宋体"/>
                <w:color w:val="auto"/>
                <w:szCs w:val="21"/>
              </w:rPr>
              <w:t>（评审基准价</w:t>
            </w:r>
            <w:r>
              <w:rPr>
                <w:rFonts w:ascii="宋体" w:hAnsi="宋体"/>
                <w:color w:val="auto"/>
                <w:szCs w:val="21"/>
              </w:rPr>
              <w:t>/</w:t>
            </w:r>
            <w:r>
              <w:rPr>
                <w:rFonts w:hint="eastAsia" w:ascii="宋体" w:hAnsi="宋体"/>
                <w:color w:val="auto"/>
                <w:szCs w:val="21"/>
              </w:rPr>
              <w:t>响应报价）</w:t>
            </w:r>
            <w:r>
              <w:rPr>
                <w:rFonts w:ascii="宋体" w:hAnsi="宋体"/>
                <w:color w:val="auto"/>
                <w:szCs w:val="21"/>
              </w:rPr>
              <w:t>×</w:t>
            </w:r>
            <w:r>
              <w:rPr>
                <w:rFonts w:hint="eastAsia" w:ascii="宋体" w:hAnsi="宋体"/>
                <w:color w:val="auto"/>
                <w:szCs w:val="21"/>
              </w:rPr>
              <w:t>响应报价分满分分值。</w:t>
            </w:r>
          </w:p>
        </w:tc>
        <w:tc>
          <w:tcPr>
            <w:tcW w:w="2044" w:type="dxa"/>
            <w:tcBorders>
              <w:top w:val="single" w:color="auto" w:sz="4" w:space="0"/>
              <w:left w:val="single" w:color="auto" w:sz="4" w:space="0"/>
              <w:bottom w:val="single" w:color="auto" w:sz="4" w:space="0"/>
              <w:right w:val="single" w:color="auto" w:sz="4" w:space="0"/>
            </w:tcBorders>
            <w:vAlign w:val="center"/>
          </w:tcPr>
          <w:p w14:paraId="43A86104">
            <w:pPr>
              <w:rPr>
                <w:rFonts w:ascii="宋体" w:hAnsi="宋体"/>
                <w:color w:val="auto"/>
                <w:szCs w:val="21"/>
              </w:rPr>
            </w:pPr>
            <w:r>
              <w:rPr>
                <w:rFonts w:hint="eastAsia" w:ascii="宋体" w:hAnsi="宋体"/>
                <w:color w:val="auto"/>
                <w:szCs w:val="21"/>
              </w:rPr>
              <w:t>如有价格扣除时，响应报价分均按供应商实际响应报价进行价格扣除后的价格进行计算，最终成交金额＝响应报价。价格扣除计算方法见后。</w:t>
            </w:r>
          </w:p>
        </w:tc>
      </w:tr>
      <w:tr w14:paraId="06B2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3B796372">
            <w:pPr>
              <w:jc w:val="center"/>
              <w:rPr>
                <w:rFonts w:ascii="宋体" w:hAnsi="宋体"/>
                <w:color w:val="auto"/>
                <w:szCs w:val="21"/>
              </w:rPr>
            </w:pPr>
            <w:r>
              <w:rPr>
                <w:rFonts w:ascii="宋体" w:hAnsi="宋体"/>
                <w:color w:val="auto"/>
                <w:szCs w:val="21"/>
              </w:rPr>
              <w:t>4</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3AE8DC97">
            <w:pPr>
              <w:jc w:val="center"/>
              <w:rPr>
                <w:rFonts w:ascii="宋体" w:hAnsi="宋体"/>
                <w:color w:val="auto"/>
                <w:szCs w:val="21"/>
              </w:rPr>
            </w:pPr>
            <w:r>
              <w:rPr>
                <w:rFonts w:hint="eastAsia" w:ascii="宋体" w:hAnsi="宋体"/>
                <w:color w:val="auto"/>
                <w:szCs w:val="21"/>
              </w:rPr>
              <w:t>综合得分</w:t>
            </w:r>
          </w:p>
        </w:tc>
        <w:tc>
          <w:tcPr>
            <w:tcW w:w="7739" w:type="dxa"/>
            <w:gridSpan w:val="3"/>
            <w:tcBorders>
              <w:top w:val="single" w:color="auto" w:sz="4" w:space="0"/>
              <w:left w:val="single" w:color="auto" w:sz="4" w:space="0"/>
              <w:bottom w:val="single" w:color="auto" w:sz="4" w:space="0"/>
              <w:right w:val="single" w:color="auto" w:sz="4" w:space="0"/>
            </w:tcBorders>
            <w:vAlign w:val="center"/>
          </w:tcPr>
          <w:p w14:paraId="12634DF9">
            <w:pPr>
              <w:rPr>
                <w:rFonts w:ascii="宋体" w:hAnsi="宋体"/>
                <w:color w:val="auto"/>
                <w:szCs w:val="21"/>
              </w:rPr>
            </w:pPr>
            <w:r>
              <w:rPr>
                <w:rFonts w:ascii="宋体" w:hAnsi="宋体"/>
                <w:color w:val="auto"/>
                <w:szCs w:val="21"/>
              </w:rPr>
              <w:t>=1+2+3</w:t>
            </w:r>
            <w:r>
              <w:rPr>
                <w:rFonts w:hint="eastAsia" w:ascii="宋体" w:hAnsi="宋体"/>
                <w:color w:val="auto"/>
                <w:szCs w:val="21"/>
              </w:rPr>
              <w:t>（各项评分分值计算保留小数点后两位，小数点后第三位</w:t>
            </w:r>
            <w:r>
              <w:rPr>
                <w:rFonts w:ascii="宋体" w:hAnsi="宋体"/>
                <w:color w:val="auto"/>
                <w:szCs w:val="21"/>
              </w:rPr>
              <w:t>“</w:t>
            </w:r>
            <w:r>
              <w:rPr>
                <w:rFonts w:hint="eastAsia" w:ascii="宋体" w:hAnsi="宋体"/>
                <w:color w:val="auto"/>
                <w:szCs w:val="21"/>
              </w:rPr>
              <w:t>四舍五入</w:t>
            </w:r>
            <w:r>
              <w:rPr>
                <w:rFonts w:ascii="宋体" w:hAnsi="宋体"/>
                <w:color w:val="auto"/>
                <w:szCs w:val="21"/>
              </w:rPr>
              <w:t>”</w:t>
            </w:r>
            <w:r>
              <w:rPr>
                <w:rFonts w:hint="eastAsia" w:ascii="宋体" w:hAnsi="宋体"/>
                <w:color w:val="auto"/>
                <w:szCs w:val="21"/>
              </w:rPr>
              <w:t>）</w:t>
            </w:r>
          </w:p>
        </w:tc>
      </w:tr>
    </w:tbl>
    <w:p w14:paraId="1ABB18B7">
      <w:pPr>
        <w:spacing w:before="120" w:line="320" w:lineRule="atLeast"/>
        <w:ind w:firstLine="316" w:firstLineChars="150"/>
        <w:rPr>
          <w:rFonts w:ascii="宋体" w:hAnsi="宋体"/>
          <w:b/>
          <w:bCs/>
          <w:color w:val="auto"/>
          <w:kern w:val="0"/>
          <w:szCs w:val="21"/>
        </w:rPr>
      </w:pPr>
      <w:r>
        <w:rPr>
          <w:rFonts w:ascii="宋体" w:hAnsi="宋体"/>
          <w:b/>
          <w:bCs/>
          <w:color w:val="auto"/>
          <w:kern w:val="0"/>
          <w:szCs w:val="21"/>
        </w:rPr>
        <w:t>政策性扣除计算方法</w:t>
      </w:r>
      <w:r>
        <w:rPr>
          <w:rFonts w:hint="eastAsia" w:ascii="宋体" w:hAnsi="宋体"/>
          <w:b/>
          <w:bCs/>
          <w:color w:val="auto"/>
          <w:kern w:val="0"/>
          <w:szCs w:val="21"/>
        </w:rPr>
        <w:t>：</w:t>
      </w:r>
    </w:p>
    <w:p w14:paraId="16AFEA2B">
      <w:pPr>
        <w:spacing w:before="120" w:line="320" w:lineRule="atLeast"/>
        <w:ind w:firstLine="315" w:firstLineChars="150"/>
        <w:rPr>
          <w:rFonts w:ascii="宋体" w:hAnsi="宋体"/>
          <w:color w:val="auto"/>
          <w:szCs w:val="21"/>
        </w:rPr>
      </w:pPr>
      <w:r>
        <w:rPr>
          <w:rFonts w:hint="eastAsia" w:ascii="宋体" w:hAnsi="宋体"/>
          <w:color w:val="auto"/>
          <w:szCs w:val="21"/>
        </w:rPr>
        <w:t>小微企业的价格扣除计算:供应商响应</w:t>
      </w:r>
      <w:r>
        <w:rPr>
          <w:rFonts w:ascii="宋体" w:hAnsi="宋体"/>
          <w:color w:val="auto"/>
          <w:szCs w:val="21"/>
        </w:rPr>
        <w:t>报价将按相应比例进行扣除，用扣除后的价格参与评审（计算价格分）</w:t>
      </w:r>
      <w:r>
        <w:rPr>
          <w:rFonts w:hint="eastAsia" w:ascii="宋体" w:hAnsi="宋体"/>
          <w:color w:val="auto"/>
          <w:szCs w:val="21"/>
        </w:rPr>
        <w:t>，价格扣除比例分别如下：</w:t>
      </w:r>
      <w:r>
        <w:rPr>
          <w:rFonts w:ascii="宋体" w:hAnsi="宋体"/>
          <w:color w:val="auto"/>
          <w:szCs w:val="21"/>
        </w:rPr>
        <w:t xml:space="preserve"> </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2193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5B7243F">
            <w:pPr>
              <w:spacing w:before="120" w:line="320" w:lineRule="atLeast"/>
              <w:jc w:val="center"/>
              <w:rPr>
                <w:rFonts w:ascii="宋体" w:hAnsi="宋体"/>
                <w:color w:val="auto"/>
                <w:szCs w:val="21"/>
              </w:rPr>
            </w:pPr>
            <w:r>
              <w:rPr>
                <w:rFonts w:hint="eastAsia" w:ascii="宋体" w:hAnsi="宋体"/>
                <w:color w:val="auto"/>
                <w:szCs w:val="21"/>
              </w:rPr>
              <w:t>独立投标</w:t>
            </w:r>
          </w:p>
        </w:tc>
        <w:tc>
          <w:tcPr>
            <w:tcW w:w="4962" w:type="dxa"/>
          </w:tcPr>
          <w:p w14:paraId="0DF680AC">
            <w:pPr>
              <w:spacing w:before="120" w:line="320" w:lineRule="atLeast"/>
              <w:rPr>
                <w:rFonts w:ascii="宋体" w:hAnsi="宋体"/>
                <w:color w:val="auto"/>
                <w:szCs w:val="21"/>
              </w:rPr>
            </w:pPr>
            <w:r>
              <w:rPr>
                <w:rFonts w:hint="eastAsia" w:ascii="宋体" w:hAnsi="宋体"/>
                <w:color w:val="auto"/>
                <w:szCs w:val="21"/>
              </w:rPr>
              <w:t>供应商均为所列企业之一（小型企业、微型企业、残疾人福利企业、监狱企业）</w:t>
            </w:r>
          </w:p>
        </w:tc>
        <w:tc>
          <w:tcPr>
            <w:tcW w:w="2551" w:type="dxa"/>
          </w:tcPr>
          <w:p w14:paraId="44B2FCA8">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001E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37565116">
            <w:pPr>
              <w:spacing w:before="120" w:line="320" w:lineRule="atLeast"/>
              <w:jc w:val="center"/>
              <w:rPr>
                <w:rFonts w:ascii="宋体" w:hAnsi="宋体"/>
                <w:color w:val="auto"/>
                <w:szCs w:val="21"/>
              </w:rPr>
            </w:pPr>
            <w:r>
              <w:rPr>
                <w:rFonts w:hint="eastAsia" w:ascii="宋体" w:hAnsi="宋体"/>
                <w:color w:val="auto"/>
                <w:szCs w:val="21"/>
              </w:rPr>
              <w:t>联合体或</w:t>
            </w:r>
          </w:p>
          <w:p w14:paraId="057194B5">
            <w:pPr>
              <w:spacing w:before="120" w:line="320" w:lineRule="atLeast"/>
              <w:jc w:val="center"/>
              <w:rPr>
                <w:rFonts w:ascii="宋体" w:hAnsi="宋体"/>
                <w:color w:val="auto"/>
                <w:szCs w:val="21"/>
              </w:rPr>
            </w:pPr>
            <w:r>
              <w:rPr>
                <w:rFonts w:hint="eastAsia" w:ascii="宋体" w:hAnsi="宋体"/>
                <w:color w:val="auto"/>
                <w:szCs w:val="21"/>
              </w:rPr>
              <w:t>分包</w:t>
            </w:r>
          </w:p>
        </w:tc>
        <w:tc>
          <w:tcPr>
            <w:tcW w:w="4962" w:type="dxa"/>
          </w:tcPr>
          <w:p w14:paraId="7162A3D1">
            <w:pPr>
              <w:spacing w:before="120" w:line="320" w:lineRule="atLeast"/>
              <w:rPr>
                <w:rFonts w:ascii="宋体" w:hAnsi="宋体"/>
                <w:color w:val="auto"/>
                <w:szCs w:val="21"/>
              </w:rPr>
            </w:pPr>
            <w:r>
              <w:rPr>
                <w:rFonts w:hint="eastAsia" w:ascii="宋体" w:hAnsi="宋体"/>
                <w:color w:val="auto"/>
                <w:szCs w:val="21"/>
              </w:rPr>
              <w:t>小微企业承接的金额比例为1</w:t>
            </w:r>
            <w:r>
              <w:rPr>
                <w:rFonts w:ascii="宋体" w:hAnsi="宋体"/>
                <w:color w:val="auto"/>
                <w:szCs w:val="21"/>
              </w:rPr>
              <w:t>00</w:t>
            </w:r>
            <w:r>
              <w:rPr>
                <w:rFonts w:hint="eastAsia" w:ascii="宋体" w:hAnsi="宋体"/>
                <w:color w:val="auto"/>
                <w:szCs w:val="21"/>
              </w:rPr>
              <w:t>%</w:t>
            </w:r>
          </w:p>
        </w:tc>
        <w:tc>
          <w:tcPr>
            <w:tcW w:w="2551" w:type="dxa"/>
          </w:tcPr>
          <w:p w14:paraId="70336E60">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474E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26FBA9A3">
            <w:pPr>
              <w:spacing w:before="120" w:line="320" w:lineRule="atLeast"/>
              <w:rPr>
                <w:rFonts w:ascii="宋体" w:hAnsi="宋体"/>
                <w:color w:val="auto"/>
                <w:szCs w:val="21"/>
              </w:rPr>
            </w:pPr>
          </w:p>
        </w:tc>
        <w:tc>
          <w:tcPr>
            <w:tcW w:w="4962" w:type="dxa"/>
          </w:tcPr>
          <w:p w14:paraId="1FA78C83">
            <w:pPr>
              <w:spacing w:before="120" w:line="320" w:lineRule="atLeast"/>
              <w:rPr>
                <w:rFonts w:ascii="宋体" w:hAnsi="宋体"/>
                <w:color w:val="auto"/>
                <w:szCs w:val="21"/>
              </w:rPr>
            </w:pPr>
            <w:r>
              <w:rPr>
                <w:rFonts w:hint="eastAsia" w:ascii="宋体" w:hAnsi="宋体"/>
                <w:color w:val="auto"/>
                <w:szCs w:val="21"/>
              </w:rPr>
              <w:t>小微企业承接的金额比例达到合同总金额3</w:t>
            </w:r>
            <w:r>
              <w:rPr>
                <w:rFonts w:ascii="宋体" w:hAnsi="宋体"/>
                <w:color w:val="auto"/>
                <w:szCs w:val="21"/>
              </w:rPr>
              <w:t>0%</w:t>
            </w:r>
            <w:r>
              <w:rPr>
                <w:rFonts w:hint="eastAsia" w:ascii="宋体" w:hAnsi="宋体"/>
                <w:color w:val="auto"/>
                <w:szCs w:val="21"/>
              </w:rPr>
              <w:t>以上</w:t>
            </w:r>
          </w:p>
        </w:tc>
        <w:tc>
          <w:tcPr>
            <w:tcW w:w="2551" w:type="dxa"/>
          </w:tcPr>
          <w:p w14:paraId="79C64B96">
            <w:pPr>
              <w:spacing w:before="120" w:line="320" w:lineRule="atLeast"/>
              <w:rPr>
                <w:rFonts w:ascii="宋体" w:hAnsi="宋体"/>
                <w:color w:val="auto"/>
                <w:szCs w:val="21"/>
              </w:rPr>
            </w:pPr>
            <w:r>
              <w:rPr>
                <w:rFonts w:hint="eastAsia" w:ascii="宋体" w:hAnsi="宋体"/>
                <w:color w:val="auto"/>
                <w:szCs w:val="21"/>
              </w:rPr>
              <w:t>价格扣除响应报价的</w:t>
            </w:r>
            <w:r>
              <w:rPr>
                <w:rFonts w:ascii="宋体" w:hAnsi="宋体"/>
                <w:color w:val="auto"/>
                <w:szCs w:val="21"/>
              </w:rPr>
              <w:t>4</w:t>
            </w:r>
            <w:r>
              <w:rPr>
                <w:rFonts w:hint="eastAsia" w:ascii="宋体" w:hAnsi="宋体"/>
                <w:color w:val="auto"/>
                <w:szCs w:val="21"/>
              </w:rPr>
              <w:t>%</w:t>
            </w:r>
          </w:p>
        </w:tc>
      </w:tr>
      <w:tr w14:paraId="59EB6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32B80D84">
            <w:pPr>
              <w:spacing w:before="120" w:line="320" w:lineRule="atLeast"/>
              <w:rPr>
                <w:rFonts w:ascii="宋体" w:hAnsi="宋体"/>
                <w:color w:val="auto"/>
                <w:szCs w:val="21"/>
              </w:rPr>
            </w:pPr>
            <w:r>
              <w:rPr>
                <w:rFonts w:hint="eastAsia" w:ascii="宋体" w:hAnsi="宋体"/>
                <w:color w:val="auto"/>
                <w:szCs w:val="21"/>
              </w:rPr>
              <w:t>注：未提供《中小企业声明函》、《分包意向协议书》或《联合体协议书》或不符合条件的，不享受价格扣除优惠。</w:t>
            </w:r>
          </w:p>
        </w:tc>
      </w:tr>
    </w:tbl>
    <w:p w14:paraId="4695368C">
      <w:pPr>
        <w:pStyle w:val="26"/>
        <w:snapToGrid w:val="0"/>
        <w:spacing w:before="120" w:after="120" w:line="320" w:lineRule="exact"/>
        <w:jc w:val="center"/>
        <w:outlineLvl w:val="0"/>
        <w:rPr>
          <w:rFonts w:hAnsi="宋体"/>
          <w:color w:val="auto"/>
        </w:rPr>
        <w:sectPr>
          <w:pgSz w:w="11906" w:h="16838"/>
          <w:pgMar w:top="1418" w:right="1418" w:bottom="1246" w:left="1418" w:header="851" w:footer="992" w:gutter="0"/>
          <w:cols w:space="720" w:num="1"/>
          <w:docGrid w:linePitch="312" w:charSpace="0"/>
        </w:sectPr>
      </w:pPr>
    </w:p>
    <w:p w14:paraId="5A098BE2">
      <w:pPr>
        <w:ind w:firstLine="420" w:firstLineChars="200"/>
        <w:outlineLvl w:val="2"/>
        <w:rPr>
          <w:rFonts w:ascii="宋体" w:hAnsi="宋体"/>
          <w:color w:val="auto"/>
        </w:rPr>
      </w:pPr>
      <w:r>
        <w:rPr>
          <w:rFonts w:hint="eastAsia" w:ascii="宋体" w:hAnsi="宋体"/>
          <w:color w:val="auto"/>
          <w:lang w:val="en-US" w:eastAsia="zh-CN"/>
        </w:rPr>
        <w:t>3</w:t>
      </w:r>
      <w:r>
        <w:rPr>
          <w:rFonts w:hint="eastAsia" w:ascii="宋体" w:hAnsi="宋体"/>
          <w:color w:val="auto"/>
        </w:rPr>
        <w:t>分标</w:t>
      </w:r>
    </w:p>
    <w:tbl>
      <w:tblPr>
        <w:tblStyle w:val="51"/>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9"/>
        <w:gridCol w:w="692"/>
        <w:gridCol w:w="5003"/>
        <w:gridCol w:w="2044"/>
      </w:tblGrid>
      <w:tr w14:paraId="7081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321117B3">
            <w:pPr>
              <w:jc w:val="center"/>
              <w:rPr>
                <w:rFonts w:ascii="宋体" w:hAnsi="宋体"/>
                <w:b/>
                <w:color w:val="auto"/>
                <w:szCs w:val="21"/>
                <w:highlight w:val="none"/>
              </w:rPr>
            </w:pPr>
            <w:r>
              <w:rPr>
                <w:rFonts w:hint="eastAsia" w:ascii="宋体" w:hAnsi="宋体"/>
                <w:b/>
                <w:color w:val="auto"/>
                <w:szCs w:val="21"/>
                <w:highlight w:val="none"/>
              </w:rPr>
              <w:t>序号</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54C70F5C">
            <w:pPr>
              <w:jc w:val="center"/>
              <w:rPr>
                <w:rFonts w:ascii="宋体" w:hAnsi="宋体"/>
                <w:b/>
                <w:color w:val="auto"/>
                <w:szCs w:val="21"/>
                <w:highlight w:val="none"/>
              </w:rPr>
            </w:pPr>
            <w:r>
              <w:rPr>
                <w:rFonts w:hint="eastAsia" w:ascii="宋体" w:hAnsi="宋体"/>
                <w:b/>
                <w:color w:val="auto"/>
                <w:szCs w:val="21"/>
                <w:highlight w:val="none"/>
              </w:rPr>
              <w:t>评审因素及分值</w:t>
            </w:r>
          </w:p>
        </w:tc>
        <w:tc>
          <w:tcPr>
            <w:tcW w:w="692" w:type="dxa"/>
            <w:tcBorders>
              <w:top w:val="single" w:color="auto" w:sz="4" w:space="0"/>
              <w:left w:val="single" w:color="auto" w:sz="4" w:space="0"/>
              <w:bottom w:val="single" w:color="auto" w:sz="4" w:space="0"/>
              <w:right w:val="single" w:color="auto" w:sz="4" w:space="0"/>
            </w:tcBorders>
            <w:vAlign w:val="center"/>
          </w:tcPr>
          <w:p w14:paraId="73A51463">
            <w:pPr>
              <w:jc w:val="center"/>
              <w:rPr>
                <w:rFonts w:ascii="宋体" w:hAnsi="宋体"/>
                <w:b/>
                <w:color w:val="auto"/>
                <w:szCs w:val="21"/>
                <w:highlight w:val="none"/>
              </w:rPr>
            </w:pPr>
            <w:r>
              <w:rPr>
                <w:rFonts w:hint="eastAsia" w:ascii="宋体" w:hAnsi="宋体"/>
                <w:b/>
                <w:color w:val="auto"/>
                <w:szCs w:val="21"/>
                <w:highlight w:val="none"/>
              </w:rPr>
              <w:t>分值</w:t>
            </w:r>
          </w:p>
          <w:p w14:paraId="1F0BFD3F">
            <w:pPr>
              <w:jc w:val="center"/>
              <w:rPr>
                <w:rFonts w:ascii="宋体" w:hAnsi="宋体"/>
                <w:b/>
                <w:color w:val="auto"/>
                <w:szCs w:val="21"/>
                <w:highlight w:val="none"/>
              </w:rPr>
            </w:pPr>
            <w:r>
              <w:rPr>
                <w:rFonts w:hint="eastAsia" w:ascii="宋体" w:hAnsi="宋体"/>
                <w:b/>
                <w:color w:val="auto"/>
                <w:szCs w:val="21"/>
                <w:highlight w:val="none"/>
              </w:rPr>
              <w:t>属性</w:t>
            </w:r>
          </w:p>
        </w:tc>
        <w:tc>
          <w:tcPr>
            <w:tcW w:w="5003" w:type="dxa"/>
            <w:tcBorders>
              <w:top w:val="single" w:color="auto" w:sz="4" w:space="0"/>
              <w:left w:val="single" w:color="auto" w:sz="4" w:space="0"/>
              <w:bottom w:val="single" w:color="auto" w:sz="4" w:space="0"/>
              <w:right w:val="single" w:color="auto" w:sz="4" w:space="0"/>
            </w:tcBorders>
            <w:vAlign w:val="center"/>
          </w:tcPr>
          <w:p w14:paraId="29FF274A">
            <w:pPr>
              <w:jc w:val="center"/>
              <w:rPr>
                <w:rFonts w:ascii="宋体" w:hAnsi="宋体"/>
                <w:b/>
                <w:color w:val="auto"/>
                <w:szCs w:val="21"/>
                <w:highlight w:val="none"/>
              </w:rPr>
            </w:pPr>
            <w:r>
              <w:rPr>
                <w:rFonts w:hint="eastAsia" w:ascii="宋体" w:hAnsi="宋体"/>
                <w:b/>
                <w:color w:val="auto"/>
                <w:szCs w:val="21"/>
                <w:highlight w:val="none"/>
              </w:rPr>
              <w:t>评审标准</w:t>
            </w:r>
          </w:p>
        </w:tc>
        <w:tc>
          <w:tcPr>
            <w:tcW w:w="2044" w:type="dxa"/>
            <w:tcBorders>
              <w:top w:val="single" w:color="auto" w:sz="4" w:space="0"/>
              <w:left w:val="single" w:color="auto" w:sz="4" w:space="0"/>
              <w:bottom w:val="single" w:color="auto" w:sz="4" w:space="0"/>
              <w:right w:val="single" w:color="auto" w:sz="4" w:space="0"/>
            </w:tcBorders>
            <w:vAlign w:val="center"/>
          </w:tcPr>
          <w:p w14:paraId="3C930DB6">
            <w:pPr>
              <w:jc w:val="center"/>
              <w:rPr>
                <w:rFonts w:ascii="宋体" w:hAnsi="宋体"/>
                <w:b/>
                <w:color w:val="auto"/>
                <w:szCs w:val="21"/>
                <w:highlight w:val="none"/>
              </w:rPr>
            </w:pPr>
            <w:r>
              <w:rPr>
                <w:rFonts w:hint="eastAsia" w:ascii="宋体" w:hAnsi="宋体"/>
                <w:b/>
                <w:color w:val="auto"/>
                <w:szCs w:val="21"/>
                <w:highlight w:val="none"/>
              </w:rPr>
              <w:t>说明</w:t>
            </w:r>
          </w:p>
        </w:tc>
      </w:tr>
      <w:tr w14:paraId="0BB6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3F648C93">
            <w:pPr>
              <w:jc w:val="center"/>
              <w:rPr>
                <w:rFonts w:ascii="宋体" w:hAnsi="宋体"/>
                <w:color w:val="auto"/>
                <w:szCs w:val="21"/>
                <w:highlight w:val="none"/>
              </w:rPr>
            </w:pPr>
            <w:r>
              <w:rPr>
                <w:rFonts w:ascii="宋体" w:hAnsi="宋体"/>
                <w:color w:val="auto"/>
                <w:szCs w:val="21"/>
                <w:highlight w:val="none"/>
              </w:rPr>
              <w:t>1</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0F71B873">
            <w:pPr>
              <w:tabs>
                <w:tab w:val="center" w:pos="4153"/>
                <w:tab w:val="right" w:pos="8306"/>
              </w:tabs>
              <w:snapToGrid w:val="0"/>
              <w:jc w:val="left"/>
              <w:rPr>
                <w:rFonts w:ascii="宋体" w:hAnsi="宋体"/>
                <w:color w:val="auto"/>
                <w:szCs w:val="21"/>
                <w:highlight w:val="none"/>
              </w:rPr>
            </w:pPr>
            <w:r>
              <w:rPr>
                <w:rFonts w:hint="eastAsia" w:ascii="宋体" w:hAnsi="宋体"/>
                <w:color w:val="auto"/>
                <w:szCs w:val="21"/>
                <w:highlight w:val="none"/>
              </w:rPr>
              <w:t>商务部分（46分）</w:t>
            </w:r>
          </w:p>
        </w:tc>
        <w:tc>
          <w:tcPr>
            <w:tcW w:w="1009" w:type="dxa"/>
            <w:tcBorders>
              <w:top w:val="single" w:color="auto" w:sz="4" w:space="0"/>
              <w:left w:val="single" w:color="auto" w:sz="4" w:space="0"/>
              <w:bottom w:val="single" w:color="auto" w:sz="4" w:space="0"/>
              <w:right w:val="single" w:color="auto" w:sz="4" w:space="0"/>
            </w:tcBorders>
            <w:vAlign w:val="center"/>
          </w:tcPr>
          <w:p w14:paraId="18BDCD7A">
            <w:pPr>
              <w:rPr>
                <w:rFonts w:ascii="宋体" w:hAnsi="宋体"/>
                <w:color w:val="auto"/>
                <w:szCs w:val="21"/>
                <w:highlight w:val="none"/>
              </w:rPr>
            </w:pPr>
            <w:r>
              <w:rPr>
                <w:rFonts w:hint="eastAsia" w:ascii="宋体" w:hAnsi="宋体"/>
                <w:color w:val="auto"/>
                <w:szCs w:val="21"/>
                <w:highlight w:val="none"/>
              </w:rPr>
              <w:t>信誉业绩（10分）</w:t>
            </w:r>
          </w:p>
        </w:tc>
        <w:tc>
          <w:tcPr>
            <w:tcW w:w="692" w:type="dxa"/>
            <w:tcBorders>
              <w:top w:val="single" w:color="auto" w:sz="4" w:space="0"/>
              <w:left w:val="single" w:color="auto" w:sz="4" w:space="0"/>
              <w:bottom w:val="single" w:color="auto" w:sz="4" w:space="0"/>
              <w:right w:val="single" w:color="auto" w:sz="4" w:space="0"/>
            </w:tcBorders>
            <w:vAlign w:val="center"/>
          </w:tcPr>
          <w:p w14:paraId="44806F8D">
            <w:pPr>
              <w:jc w:val="center"/>
              <w:rPr>
                <w:rFonts w:ascii="宋体" w:hAnsi="宋体"/>
                <w:color w:val="auto"/>
                <w:szCs w:val="21"/>
                <w:highlight w:val="none"/>
              </w:rPr>
            </w:pPr>
            <w:r>
              <w:rPr>
                <w:rFonts w:hint="eastAsia" w:ascii="宋体" w:hAnsi="宋体"/>
                <w:color w:val="auto"/>
                <w:szCs w:val="21"/>
                <w:highlight w:val="none"/>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0E4450D6">
            <w:pPr>
              <w:jc w:val="left"/>
              <w:rPr>
                <w:rFonts w:ascii="宋体" w:hAnsi="宋体"/>
                <w:color w:val="auto"/>
                <w:szCs w:val="21"/>
                <w:highlight w:val="none"/>
              </w:rPr>
            </w:pPr>
            <w:r>
              <w:rPr>
                <w:rFonts w:hint="eastAsia" w:ascii="宋体" w:hAnsi="宋体"/>
                <w:color w:val="auto"/>
                <w:szCs w:val="21"/>
                <w:highlight w:val="none"/>
              </w:rPr>
              <w:t>供应商每提供</w:t>
            </w:r>
            <w:r>
              <w:rPr>
                <w:rFonts w:ascii="宋体" w:hAnsi="宋体"/>
                <w:color w:val="auto"/>
                <w:szCs w:val="21"/>
                <w:highlight w:val="none"/>
              </w:rPr>
              <w:t>1</w:t>
            </w:r>
            <w:r>
              <w:rPr>
                <w:rFonts w:hint="eastAsia" w:ascii="宋体" w:hAnsi="宋体"/>
                <w:color w:val="auto"/>
                <w:szCs w:val="21"/>
                <w:highlight w:val="none"/>
              </w:rPr>
              <w:t>个有效业绩得</w:t>
            </w:r>
            <w:r>
              <w:rPr>
                <w:rFonts w:ascii="宋体" w:hAnsi="宋体"/>
                <w:color w:val="auto"/>
                <w:szCs w:val="21"/>
                <w:highlight w:val="none"/>
              </w:rPr>
              <w:t>2分，满分10分。有效业绩定义：指202</w:t>
            </w:r>
            <w:r>
              <w:rPr>
                <w:rFonts w:hint="eastAsia" w:ascii="宋体" w:hAnsi="宋体"/>
                <w:color w:val="auto"/>
                <w:szCs w:val="21"/>
                <w:highlight w:val="none"/>
              </w:rPr>
              <w:t>3年</w:t>
            </w:r>
            <w:r>
              <w:rPr>
                <w:rFonts w:ascii="宋体" w:hAnsi="宋体"/>
                <w:color w:val="auto"/>
                <w:szCs w:val="21"/>
                <w:highlight w:val="none"/>
              </w:rPr>
              <w:t>1</w:t>
            </w:r>
            <w:r>
              <w:rPr>
                <w:rFonts w:hint="eastAsia" w:ascii="宋体" w:hAnsi="宋体"/>
                <w:color w:val="auto"/>
                <w:szCs w:val="21"/>
                <w:highlight w:val="none"/>
              </w:rPr>
              <w:t>月以来承接的规划编制、课题研究等类型项目业绩。</w:t>
            </w:r>
          </w:p>
        </w:tc>
        <w:tc>
          <w:tcPr>
            <w:tcW w:w="2044" w:type="dxa"/>
            <w:tcBorders>
              <w:top w:val="single" w:color="auto" w:sz="4" w:space="0"/>
              <w:left w:val="single" w:color="auto" w:sz="4" w:space="0"/>
              <w:bottom w:val="single" w:color="auto" w:sz="4" w:space="0"/>
              <w:right w:val="single" w:color="auto" w:sz="4" w:space="0"/>
            </w:tcBorders>
            <w:vAlign w:val="center"/>
          </w:tcPr>
          <w:p w14:paraId="6DDDE8B2">
            <w:pPr>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）必须提供证明材料。</w:t>
            </w:r>
          </w:p>
          <w:p w14:paraId="7534F563">
            <w:pPr>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）以中标或成交通知书或合同复印件为准。</w:t>
            </w:r>
          </w:p>
        </w:tc>
      </w:tr>
      <w:tr w14:paraId="14CE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00C55A3C">
            <w:pPr>
              <w:widowControl/>
              <w:jc w:val="left"/>
              <w:rPr>
                <w:rFonts w:ascii="宋体" w:hAnsi="宋体"/>
                <w:color w:val="auto"/>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2E235902">
            <w:pPr>
              <w:widowControl/>
              <w:jc w:val="left"/>
              <w:rPr>
                <w:rFonts w:ascii="宋体" w:hAnsi="宋体"/>
                <w:color w:val="auto"/>
                <w:szCs w:val="21"/>
                <w:highlight w:val="none"/>
              </w:rPr>
            </w:pPr>
          </w:p>
        </w:tc>
        <w:tc>
          <w:tcPr>
            <w:tcW w:w="1009" w:type="dxa"/>
            <w:tcBorders>
              <w:top w:val="single" w:color="auto" w:sz="4" w:space="0"/>
              <w:left w:val="single" w:color="auto" w:sz="4" w:space="0"/>
              <w:bottom w:val="single" w:color="auto" w:sz="4" w:space="0"/>
              <w:right w:val="single" w:color="auto" w:sz="4" w:space="0"/>
            </w:tcBorders>
            <w:vAlign w:val="center"/>
          </w:tcPr>
          <w:p w14:paraId="1D1A77D3">
            <w:pPr>
              <w:rPr>
                <w:rFonts w:ascii="宋体" w:hAnsi="宋体"/>
                <w:color w:val="auto"/>
                <w:szCs w:val="21"/>
                <w:highlight w:val="none"/>
              </w:rPr>
            </w:pPr>
            <w:r>
              <w:rPr>
                <w:rFonts w:hint="eastAsia" w:ascii="宋体" w:hAnsi="宋体"/>
                <w:color w:val="auto"/>
                <w:szCs w:val="21"/>
                <w:highlight w:val="none"/>
              </w:rPr>
              <w:t>服务团队人员（</w:t>
            </w:r>
            <w:r>
              <w:rPr>
                <w:rFonts w:ascii="宋体" w:hAnsi="宋体"/>
                <w:color w:val="auto"/>
                <w:szCs w:val="21"/>
                <w:highlight w:val="none"/>
              </w:rPr>
              <w:t>20</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1B738D51">
            <w:pPr>
              <w:jc w:val="center"/>
              <w:rPr>
                <w:rFonts w:ascii="宋体" w:hAnsi="宋体"/>
                <w:color w:val="auto"/>
                <w:szCs w:val="21"/>
                <w:highlight w:val="none"/>
              </w:rPr>
            </w:pPr>
            <w:r>
              <w:rPr>
                <w:rFonts w:hint="eastAsia" w:ascii="宋体" w:hAnsi="宋体"/>
                <w:color w:val="auto"/>
                <w:szCs w:val="21"/>
                <w:highlight w:val="none"/>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3B012C56">
            <w:pPr>
              <w:spacing w:line="300" w:lineRule="exact"/>
              <w:rPr>
                <w:rFonts w:ascii="宋体" w:hAnsi="宋体"/>
                <w:color w:val="auto"/>
                <w:szCs w:val="21"/>
                <w:highlight w:val="none"/>
              </w:rPr>
            </w:pPr>
            <w:r>
              <w:rPr>
                <w:rFonts w:hint="eastAsia" w:ascii="宋体" w:hAnsi="宋体"/>
                <w:color w:val="auto"/>
                <w:szCs w:val="21"/>
                <w:highlight w:val="none"/>
              </w:rPr>
              <w:t>一档（</w:t>
            </w:r>
            <w:r>
              <w:rPr>
                <w:rFonts w:ascii="宋体" w:hAnsi="宋体"/>
                <w:color w:val="auto"/>
                <w:szCs w:val="21"/>
                <w:highlight w:val="none"/>
              </w:rPr>
              <w:t>5</w:t>
            </w:r>
            <w:r>
              <w:rPr>
                <w:rFonts w:hint="eastAsia" w:ascii="宋体" w:hAnsi="宋体"/>
                <w:color w:val="auto"/>
                <w:szCs w:val="21"/>
                <w:highlight w:val="none"/>
              </w:rPr>
              <w:t>分）：本项目拟投入课题团队人员仅满足采购文件人员要求，拟投入团队人员</w:t>
            </w:r>
            <w:r>
              <w:rPr>
                <w:rFonts w:ascii="宋体" w:hAnsi="宋体"/>
                <w:color w:val="auto"/>
                <w:szCs w:val="21"/>
                <w:highlight w:val="none"/>
              </w:rPr>
              <w:t>3</w:t>
            </w:r>
            <w:r>
              <w:rPr>
                <w:rFonts w:hint="eastAsia" w:ascii="宋体" w:hAnsi="宋体"/>
                <w:color w:val="auto"/>
                <w:szCs w:val="21"/>
                <w:highlight w:val="none"/>
              </w:rPr>
              <w:t>人的，配置基本合理，至少</w:t>
            </w:r>
            <w:r>
              <w:rPr>
                <w:rFonts w:ascii="宋体" w:hAnsi="宋体"/>
                <w:color w:val="auto"/>
                <w:szCs w:val="21"/>
                <w:highlight w:val="none"/>
              </w:rPr>
              <w:t>1</w:t>
            </w:r>
            <w:r>
              <w:rPr>
                <w:rFonts w:hint="eastAsia" w:ascii="宋体" w:hAnsi="宋体"/>
                <w:color w:val="auto"/>
                <w:szCs w:val="21"/>
                <w:highlight w:val="none"/>
              </w:rPr>
              <w:t>人具有副高级及以上职称。</w:t>
            </w:r>
          </w:p>
          <w:p w14:paraId="370EC183">
            <w:pPr>
              <w:spacing w:line="300" w:lineRule="exact"/>
              <w:rPr>
                <w:rFonts w:ascii="宋体" w:hAnsi="宋体"/>
                <w:color w:val="auto"/>
                <w:szCs w:val="21"/>
                <w:highlight w:val="none"/>
              </w:rPr>
            </w:pPr>
            <w:r>
              <w:rPr>
                <w:rFonts w:hint="eastAsia" w:ascii="宋体" w:hAnsi="宋体"/>
                <w:color w:val="auto"/>
                <w:szCs w:val="21"/>
                <w:highlight w:val="none"/>
              </w:rPr>
              <w:t>二档（10分）：本项目拟投入课题团队人员在满足采购文件人员要求下，能投入4人及以上的，配置合理，团队人员中拥有经济学、管理学或城乡规划类相关领域的本科及以上相关学位，至少2人具有副高级及以上职称。</w:t>
            </w:r>
          </w:p>
          <w:p w14:paraId="4C228DB7">
            <w:pPr>
              <w:rPr>
                <w:rFonts w:ascii="宋体" w:hAnsi="宋体"/>
                <w:color w:val="auto"/>
                <w:szCs w:val="21"/>
                <w:highlight w:val="none"/>
              </w:rPr>
            </w:pPr>
            <w:r>
              <w:rPr>
                <w:rFonts w:hint="eastAsia" w:ascii="宋体" w:hAnsi="宋体"/>
                <w:color w:val="auto"/>
                <w:szCs w:val="21"/>
                <w:highlight w:val="none"/>
              </w:rPr>
              <w:t>三档（15分）：本项目拟投入团队人员</w:t>
            </w:r>
            <w:r>
              <w:rPr>
                <w:rFonts w:ascii="宋体" w:hAnsi="宋体"/>
                <w:color w:val="auto"/>
                <w:szCs w:val="21"/>
                <w:highlight w:val="none"/>
              </w:rPr>
              <w:t>7</w:t>
            </w:r>
            <w:r>
              <w:rPr>
                <w:rFonts w:hint="eastAsia" w:ascii="宋体" w:hAnsi="宋体"/>
                <w:color w:val="auto"/>
                <w:szCs w:val="21"/>
                <w:highlight w:val="none"/>
              </w:rPr>
              <w:t>人及以上，配置充足合理，且团队人员中拥有经济学、管理学或城乡规划类相关领域硕士及以上相关学位，至少3人具有副高级及以上职称。</w:t>
            </w:r>
          </w:p>
          <w:p w14:paraId="64A37820">
            <w:pPr>
              <w:rPr>
                <w:rFonts w:ascii="宋体" w:hAnsi="宋体"/>
                <w:color w:val="auto"/>
                <w:szCs w:val="21"/>
                <w:highlight w:val="none"/>
              </w:rPr>
            </w:pPr>
            <w:r>
              <w:rPr>
                <w:rFonts w:hint="eastAsia" w:ascii="宋体" w:hAnsi="宋体"/>
                <w:color w:val="auto"/>
                <w:szCs w:val="21"/>
                <w:highlight w:val="none"/>
              </w:rPr>
              <w:t>四档（</w:t>
            </w:r>
            <w:r>
              <w:rPr>
                <w:rFonts w:ascii="宋体" w:hAnsi="宋体"/>
                <w:color w:val="auto"/>
                <w:szCs w:val="21"/>
                <w:highlight w:val="none"/>
              </w:rPr>
              <w:t>20分）本项目拟投入团队人员10人及以上，配置充足、合理，且团队人员中拥有经济学、管理学或城乡规划类相关领域硕士以上学位；其中至少7人具有副高级及以上职称，5人具有注册咨询工程师（投资）证书</w:t>
            </w:r>
            <w:r>
              <w:rPr>
                <w:rFonts w:hint="eastAsia" w:ascii="宋体" w:hAnsi="宋体"/>
                <w:color w:val="auto"/>
                <w:szCs w:val="21"/>
                <w:highlight w:val="none"/>
              </w:rPr>
              <w:t>。</w:t>
            </w:r>
            <w:r>
              <w:rPr>
                <w:rStyle w:val="58"/>
                <w:rFonts w:hint="eastAsia" w:ascii="宋体" w:hAnsi="宋体"/>
                <w:color w:val="auto"/>
                <w:highlight w:val="none"/>
              </w:rPr>
              <w:t>项目负责人同时具有</w:t>
            </w:r>
            <w:r>
              <w:rPr>
                <w:rFonts w:hint="eastAsia" w:ascii="宋体" w:hAnsi="宋体"/>
                <w:color w:val="auto"/>
                <w:szCs w:val="21"/>
                <w:highlight w:val="none"/>
              </w:rPr>
              <w:t>注册咨询工程师（投资）</w:t>
            </w:r>
            <w:r>
              <w:rPr>
                <w:rStyle w:val="58"/>
                <w:rFonts w:hint="eastAsia" w:ascii="宋体" w:hAnsi="宋体"/>
                <w:color w:val="auto"/>
                <w:highlight w:val="none"/>
              </w:rPr>
              <w:t>和注册城乡规划师证书。</w:t>
            </w:r>
          </w:p>
        </w:tc>
        <w:tc>
          <w:tcPr>
            <w:tcW w:w="2044" w:type="dxa"/>
            <w:tcBorders>
              <w:top w:val="single" w:color="auto" w:sz="4" w:space="0"/>
              <w:left w:val="single" w:color="auto" w:sz="4" w:space="0"/>
              <w:bottom w:val="single" w:color="auto" w:sz="4" w:space="0"/>
              <w:right w:val="single" w:color="auto" w:sz="4" w:space="0"/>
            </w:tcBorders>
            <w:vAlign w:val="center"/>
          </w:tcPr>
          <w:p w14:paraId="4CF958C1">
            <w:pPr>
              <w:rPr>
                <w:rFonts w:ascii="宋体" w:hAnsi="宋体"/>
                <w:color w:val="auto"/>
                <w:szCs w:val="21"/>
                <w:highlight w:val="none"/>
              </w:rPr>
            </w:pPr>
            <w:r>
              <w:rPr>
                <w:rFonts w:hint="eastAsia" w:ascii="宋体" w:hAnsi="宋体"/>
                <w:color w:val="auto"/>
                <w:szCs w:val="21"/>
                <w:highlight w:val="none"/>
              </w:rPr>
              <w:t>必须提供相关证明材料。</w:t>
            </w:r>
          </w:p>
        </w:tc>
      </w:tr>
      <w:tr w14:paraId="2A25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58FB5B17">
            <w:pPr>
              <w:widowControl/>
              <w:jc w:val="left"/>
              <w:rPr>
                <w:rFonts w:ascii="宋体" w:hAnsi="宋体"/>
                <w:color w:val="auto"/>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3DE25ECB">
            <w:pPr>
              <w:widowControl/>
              <w:jc w:val="left"/>
              <w:rPr>
                <w:rFonts w:ascii="宋体" w:hAnsi="宋体"/>
                <w:color w:val="auto"/>
                <w:szCs w:val="21"/>
                <w:highlight w:val="none"/>
              </w:rPr>
            </w:pPr>
          </w:p>
        </w:tc>
        <w:tc>
          <w:tcPr>
            <w:tcW w:w="1009" w:type="dxa"/>
            <w:tcBorders>
              <w:top w:val="single" w:color="auto" w:sz="4" w:space="0"/>
              <w:left w:val="single" w:color="auto" w:sz="4" w:space="0"/>
              <w:bottom w:val="single" w:color="auto" w:sz="4" w:space="0"/>
              <w:right w:val="single" w:color="auto" w:sz="4" w:space="0"/>
            </w:tcBorders>
            <w:vAlign w:val="center"/>
          </w:tcPr>
          <w:p w14:paraId="305B58A1">
            <w:pPr>
              <w:rPr>
                <w:rFonts w:ascii="宋体" w:hAnsi="宋体"/>
                <w:color w:val="auto"/>
                <w:szCs w:val="21"/>
                <w:highlight w:val="none"/>
              </w:rPr>
            </w:pPr>
            <w:r>
              <w:rPr>
                <w:rFonts w:hint="eastAsia" w:ascii="宋体" w:hAnsi="宋体"/>
                <w:color w:val="auto"/>
                <w:szCs w:val="21"/>
                <w:highlight w:val="none"/>
              </w:rPr>
              <w:t>质量保证措施（</w:t>
            </w:r>
            <w:r>
              <w:rPr>
                <w:rFonts w:ascii="宋体" w:hAnsi="宋体"/>
                <w:color w:val="auto"/>
                <w:szCs w:val="21"/>
                <w:highlight w:val="none"/>
              </w:rPr>
              <w:t>16</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3B63EBE2">
            <w:pPr>
              <w:jc w:val="center"/>
              <w:rPr>
                <w:rFonts w:ascii="宋体" w:hAnsi="宋体"/>
                <w:color w:val="auto"/>
                <w:szCs w:val="21"/>
                <w:highlight w:val="none"/>
              </w:rPr>
            </w:pPr>
            <w:r>
              <w:rPr>
                <w:rFonts w:hint="eastAsia" w:ascii="宋体" w:hAnsi="宋体"/>
                <w:color w:val="auto"/>
                <w:szCs w:val="21"/>
                <w:highlight w:val="none"/>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035D1D50">
            <w:pPr>
              <w:rPr>
                <w:rFonts w:ascii="宋体" w:hAnsi="宋体"/>
                <w:color w:val="auto"/>
                <w:szCs w:val="21"/>
                <w:highlight w:val="none"/>
              </w:rPr>
            </w:pPr>
            <w:r>
              <w:rPr>
                <w:rFonts w:hint="eastAsia" w:ascii="宋体" w:hAnsi="宋体"/>
                <w:color w:val="auto"/>
                <w:szCs w:val="21"/>
                <w:highlight w:val="none"/>
              </w:rPr>
              <w:t>一档（</w:t>
            </w:r>
            <w:r>
              <w:rPr>
                <w:rFonts w:ascii="宋体" w:hAnsi="宋体"/>
                <w:color w:val="auto"/>
                <w:szCs w:val="21"/>
                <w:highlight w:val="none"/>
              </w:rPr>
              <w:t>4</w:t>
            </w:r>
            <w:r>
              <w:rPr>
                <w:rFonts w:hint="eastAsia" w:ascii="宋体" w:hAnsi="宋体"/>
                <w:color w:val="auto"/>
                <w:szCs w:val="21"/>
                <w:highlight w:val="none"/>
              </w:rPr>
              <w:t>分）：供应商为采购人提供有合理的承诺，</w:t>
            </w:r>
          </w:p>
          <w:p w14:paraId="263A423B">
            <w:pPr>
              <w:rPr>
                <w:rFonts w:ascii="宋体" w:hAnsi="宋体"/>
                <w:color w:val="auto"/>
                <w:szCs w:val="21"/>
                <w:highlight w:val="none"/>
              </w:rPr>
            </w:pPr>
            <w:r>
              <w:rPr>
                <w:rFonts w:hint="eastAsia" w:ascii="宋体" w:hAnsi="宋体"/>
                <w:color w:val="auto"/>
                <w:szCs w:val="21"/>
                <w:highlight w:val="none"/>
              </w:rPr>
              <w:t>并包含有项目保障措施，但方案简单，缺乏、针对性；</w:t>
            </w:r>
          </w:p>
          <w:p w14:paraId="240BA5CE">
            <w:pPr>
              <w:rPr>
                <w:rFonts w:ascii="宋体" w:hAnsi="宋体"/>
                <w:color w:val="auto"/>
                <w:szCs w:val="21"/>
                <w:highlight w:val="none"/>
              </w:rPr>
            </w:pPr>
            <w:r>
              <w:rPr>
                <w:rFonts w:hint="eastAsia" w:ascii="宋体" w:hAnsi="宋体"/>
                <w:color w:val="auto"/>
                <w:szCs w:val="21"/>
                <w:highlight w:val="none"/>
              </w:rPr>
              <w:t>二档（</w:t>
            </w:r>
            <w:r>
              <w:rPr>
                <w:rFonts w:ascii="宋体" w:hAnsi="宋体"/>
                <w:color w:val="auto"/>
                <w:szCs w:val="21"/>
                <w:highlight w:val="none"/>
              </w:rPr>
              <w:t>10</w:t>
            </w:r>
            <w:r>
              <w:rPr>
                <w:rFonts w:hint="eastAsia" w:ascii="宋体" w:hAnsi="宋体"/>
                <w:color w:val="auto"/>
                <w:szCs w:val="21"/>
                <w:highlight w:val="none"/>
              </w:rPr>
              <w:t>分）：供应商为采购人提供有服务质量及成果完成时间承诺，并包含有项目保障措施、保密承诺及廉洁承诺等，且描述了项目保障措施的方法以及实现方式，方案合理可行，具有针对性；</w:t>
            </w:r>
          </w:p>
          <w:p w14:paraId="6DE4978A">
            <w:pPr>
              <w:rPr>
                <w:rFonts w:ascii="宋体" w:hAnsi="宋体"/>
                <w:color w:val="auto"/>
                <w:szCs w:val="21"/>
                <w:highlight w:val="none"/>
              </w:rPr>
            </w:pPr>
            <w:r>
              <w:rPr>
                <w:rFonts w:hint="eastAsia" w:ascii="宋体" w:hAnsi="宋体"/>
                <w:color w:val="auto"/>
                <w:szCs w:val="21"/>
                <w:highlight w:val="none"/>
              </w:rPr>
              <w:t>三档（</w:t>
            </w:r>
            <w:r>
              <w:rPr>
                <w:rFonts w:ascii="宋体" w:hAnsi="宋体"/>
                <w:color w:val="auto"/>
                <w:szCs w:val="21"/>
                <w:highlight w:val="none"/>
              </w:rPr>
              <w:t>16</w:t>
            </w:r>
            <w:r>
              <w:rPr>
                <w:rFonts w:hint="eastAsia" w:ascii="宋体" w:hAnsi="宋体"/>
                <w:color w:val="auto"/>
                <w:szCs w:val="21"/>
                <w:highlight w:val="none"/>
              </w:rPr>
              <w:t>分）：供应商为采购人提供优于采购需求的服务质量及成果完成时间承诺，并包含有合理可行并且具有针对性的项目保障措施、保密承诺及廉洁承诺等，且描述了应急保障方案的方法以及实现方式</w:t>
            </w:r>
            <w:r>
              <w:rPr>
                <w:rFonts w:ascii="宋体" w:hAnsi="宋体"/>
                <w:color w:val="auto"/>
                <w:szCs w:val="21"/>
                <w:highlight w:val="none"/>
              </w:rPr>
              <w:t xml:space="preserve"> </w:t>
            </w:r>
            <w:r>
              <w:rPr>
                <w:rFonts w:hint="eastAsia" w:ascii="宋体" w:hAnsi="宋体"/>
                <w:color w:val="auto"/>
                <w:szCs w:val="21"/>
                <w:highlight w:val="none"/>
              </w:rPr>
              <w:t>，服务质量承诺方案的联系人等，服务承诺和保障措施考虑周全完整，有额外优惠服务措施和内容。</w:t>
            </w:r>
          </w:p>
        </w:tc>
        <w:tc>
          <w:tcPr>
            <w:tcW w:w="2044" w:type="dxa"/>
            <w:tcBorders>
              <w:top w:val="single" w:color="auto" w:sz="4" w:space="0"/>
              <w:left w:val="single" w:color="auto" w:sz="4" w:space="0"/>
              <w:bottom w:val="single" w:color="auto" w:sz="4" w:space="0"/>
              <w:right w:val="single" w:color="auto" w:sz="4" w:space="0"/>
            </w:tcBorders>
            <w:vAlign w:val="center"/>
          </w:tcPr>
          <w:p w14:paraId="759682D0">
            <w:pPr>
              <w:rPr>
                <w:rFonts w:ascii="宋体" w:hAnsi="宋体"/>
                <w:color w:val="auto"/>
                <w:szCs w:val="21"/>
                <w:highlight w:val="none"/>
              </w:rPr>
            </w:pPr>
            <w:r>
              <w:rPr>
                <w:rFonts w:hint="eastAsia" w:ascii="宋体" w:hAnsi="宋体"/>
                <w:color w:val="auto"/>
                <w:szCs w:val="21"/>
                <w:highlight w:val="none"/>
              </w:rPr>
              <w:t>未提供不得分。</w:t>
            </w:r>
          </w:p>
        </w:tc>
      </w:tr>
      <w:tr w14:paraId="2E53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77A6E2FB">
            <w:pPr>
              <w:jc w:val="center"/>
              <w:rPr>
                <w:rFonts w:ascii="宋体" w:hAnsi="宋体"/>
                <w:color w:val="auto"/>
                <w:szCs w:val="21"/>
                <w:highlight w:val="none"/>
              </w:rPr>
            </w:pPr>
            <w:r>
              <w:rPr>
                <w:rFonts w:ascii="宋体" w:hAnsi="宋体"/>
                <w:color w:val="auto"/>
                <w:szCs w:val="21"/>
                <w:highlight w:val="none"/>
              </w:rPr>
              <w:t>2</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585EB882">
            <w:pPr>
              <w:jc w:val="center"/>
              <w:rPr>
                <w:rFonts w:ascii="宋体" w:hAnsi="宋体"/>
                <w:color w:val="auto"/>
                <w:szCs w:val="21"/>
                <w:highlight w:val="none"/>
              </w:rPr>
            </w:pPr>
            <w:r>
              <w:rPr>
                <w:rFonts w:hint="eastAsia" w:ascii="宋体" w:hAnsi="宋体"/>
                <w:color w:val="auto"/>
                <w:szCs w:val="21"/>
                <w:highlight w:val="none"/>
              </w:rPr>
              <w:t>技术部分（</w:t>
            </w:r>
            <w:r>
              <w:rPr>
                <w:rFonts w:ascii="宋体" w:hAnsi="宋体"/>
                <w:color w:val="auto"/>
                <w:szCs w:val="21"/>
                <w:highlight w:val="none"/>
              </w:rPr>
              <w:t>4</w:t>
            </w:r>
            <w:r>
              <w:rPr>
                <w:rFonts w:hint="eastAsia" w:ascii="宋体" w:hAnsi="宋体"/>
                <w:color w:val="auto"/>
                <w:szCs w:val="21"/>
                <w:highlight w:val="none"/>
              </w:rPr>
              <w:t>4分）</w:t>
            </w:r>
          </w:p>
        </w:tc>
        <w:tc>
          <w:tcPr>
            <w:tcW w:w="1009" w:type="dxa"/>
            <w:tcBorders>
              <w:top w:val="single" w:color="auto" w:sz="4" w:space="0"/>
              <w:left w:val="single" w:color="auto" w:sz="4" w:space="0"/>
              <w:bottom w:val="single" w:color="auto" w:sz="4" w:space="0"/>
              <w:right w:val="single" w:color="auto" w:sz="4" w:space="0"/>
            </w:tcBorders>
            <w:vAlign w:val="center"/>
          </w:tcPr>
          <w:p w14:paraId="44D940D9">
            <w:pPr>
              <w:widowControl/>
              <w:jc w:val="left"/>
              <w:rPr>
                <w:rFonts w:ascii="宋体" w:hAnsi="宋体"/>
                <w:color w:val="auto"/>
                <w:szCs w:val="21"/>
                <w:highlight w:val="none"/>
              </w:rPr>
            </w:pPr>
            <w:r>
              <w:rPr>
                <w:rFonts w:hint="eastAsia" w:ascii="宋体" w:hAnsi="宋体"/>
                <w:color w:val="auto"/>
                <w:szCs w:val="21"/>
                <w:highlight w:val="none"/>
              </w:rPr>
              <w:t>工作方案（</w:t>
            </w:r>
            <w:r>
              <w:rPr>
                <w:rFonts w:ascii="宋体" w:hAnsi="宋体"/>
                <w:color w:val="auto"/>
                <w:szCs w:val="21"/>
                <w:highlight w:val="none"/>
              </w:rPr>
              <w:t>30</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5D9994B4">
            <w:pPr>
              <w:jc w:val="center"/>
              <w:rPr>
                <w:rFonts w:ascii="宋体" w:hAnsi="宋体"/>
                <w:color w:val="auto"/>
                <w:szCs w:val="21"/>
                <w:highlight w:val="none"/>
              </w:rPr>
            </w:pPr>
            <w:r>
              <w:rPr>
                <w:rFonts w:hint="eastAsia" w:ascii="宋体" w:hAnsi="宋体"/>
                <w:color w:val="auto"/>
                <w:szCs w:val="21"/>
                <w:highlight w:val="none"/>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67EAAF5B">
            <w:pPr>
              <w:rPr>
                <w:rFonts w:ascii="宋体" w:hAnsi="宋体"/>
                <w:color w:val="auto"/>
                <w:szCs w:val="21"/>
                <w:highlight w:val="none"/>
              </w:rPr>
            </w:pPr>
            <w:r>
              <w:rPr>
                <w:rFonts w:hint="eastAsia" w:ascii="宋体" w:hAnsi="宋体"/>
                <w:color w:val="auto"/>
                <w:szCs w:val="21"/>
                <w:highlight w:val="none"/>
              </w:rPr>
              <w:t>一档（</w:t>
            </w:r>
            <w:r>
              <w:rPr>
                <w:rFonts w:ascii="宋体" w:hAnsi="宋体"/>
                <w:color w:val="auto"/>
                <w:szCs w:val="21"/>
                <w:highlight w:val="none"/>
              </w:rPr>
              <w:t>8</w:t>
            </w:r>
            <w:r>
              <w:rPr>
                <w:rFonts w:hint="eastAsia" w:ascii="宋体" w:hAnsi="宋体"/>
                <w:color w:val="auto"/>
                <w:szCs w:val="21"/>
                <w:highlight w:val="none"/>
              </w:rPr>
              <w:t>分）：目标工作方案简单，对项目的总体需求的理解程度、对项目范围把握不准确，项目重点难点分析不完整。</w:t>
            </w:r>
          </w:p>
          <w:p w14:paraId="31561A77">
            <w:pPr>
              <w:rPr>
                <w:rFonts w:ascii="宋体" w:hAnsi="宋体"/>
                <w:color w:val="auto"/>
                <w:szCs w:val="21"/>
                <w:highlight w:val="none"/>
              </w:rPr>
            </w:pPr>
            <w:r>
              <w:rPr>
                <w:rFonts w:hint="eastAsia" w:ascii="宋体" w:hAnsi="宋体"/>
                <w:color w:val="auto"/>
                <w:szCs w:val="21"/>
                <w:highlight w:val="none"/>
              </w:rPr>
              <w:t>二档（</w:t>
            </w:r>
            <w:r>
              <w:rPr>
                <w:rFonts w:ascii="宋体" w:hAnsi="宋体"/>
                <w:color w:val="auto"/>
                <w:szCs w:val="21"/>
                <w:highlight w:val="none"/>
              </w:rPr>
              <w:t>16</w:t>
            </w:r>
            <w:r>
              <w:rPr>
                <w:rFonts w:hint="eastAsia" w:ascii="宋体" w:hAnsi="宋体"/>
                <w:color w:val="auto"/>
                <w:szCs w:val="21"/>
                <w:highlight w:val="none"/>
              </w:rPr>
              <w:t>分）：目标工作方案合理完整，具有针对性，对项目的总体需求的理解程度、对项目范围把握准确度低，项目重点难点分析简单，应对措施不够具体。</w:t>
            </w:r>
          </w:p>
          <w:p w14:paraId="4F4209FE">
            <w:pPr>
              <w:rPr>
                <w:rFonts w:ascii="宋体" w:hAnsi="宋体"/>
                <w:color w:val="auto"/>
                <w:szCs w:val="21"/>
                <w:highlight w:val="none"/>
              </w:rPr>
            </w:pPr>
            <w:r>
              <w:rPr>
                <w:rFonts w:hint="eastAsia" w:ascii="宋体" w:hAnsi="宋体"/>
                <w:color w:val="auto"/>
                <w:szCs w:val="21"/>
                <w:highlight w:val="none"/>
              </w:rPr>
              <w:t>三档（</w:t>
            </w:r>
            <w:r>
              <w:rPr>
                <w:rFonts w:ascii="宋体" w:hAnsi="宋体"/>
                <w:color w:val="auto"/>
                <w:szCs w:val="21"/>
                <w:highlight w:val="none"/>
              </w:rPr>
              <w:t>24</w:t>
            </w:r>
            <w:r>
              <w:rPr>
                <w:rFonts w:hint="eastAsia" w:ascii="宋体" w:hAnsi="宋体"/>
                <w:color w:val="auto"/>
                <w:szCs w:val="21"/>
                <w:highlight w:val="none"/>
              </w:rPr>
              <w:t>分）：目标工作方案合理完整，具有针对性和一定的先进性，对项目的总体需求的理解程度、对项目范围把握准确度良好，项目重点难点分析完善，应对措施具体可行，并附有相关的合理化建议，建立完善的组织机构、规范的内部操作规程，技术方案综合评价良好。</w:t>
            </w:r>
          </w:p>
          <w:p w14:paraId="3386290B">
            <w:pPr>
              <w:rPr>
                <w:rFonts w:ascii="宋体" w:hAnsi="宋体"/>
                <w:color w:val="auto"/>
                <w:szCs w:val="21"/>
                <w:highlight w:val="none"/>
              </w:rPr>
            </w:pPr>
            <w:r>
              <w:rPr>
                <w:rFonts w:hint="eastAsia" w:ascii="宋体" w:hAnsi="宋体"/>
                <w:color w:val="auto"/>
                <w:szCs w:val="21"/>
                <w:highlight w:val="none"/>
              </w:rPr>
              <w:t>四档（</w:t>
            </w:r>
            <w:r>
              <w:rPr>
                <w:rFonts w:ascii="宋体" w:hAnsi="宋体"/>
                <w:color w:val="auto"/>
                <w:szCs w:val="21"/>
                <w:highlight w:val="none"/>
              </w:rPr>
              <w:t>30</w:t>
            </w:r>
            <w:r>
              <w:rPr>
                <w:rFonts w:hint="eastAsia" w:ascii="宋体" w:hAnsi="宋体"/>
                <w:color w:val="auto"/>
                <w:szCs w:val="21"/>
                <w:highlight w:val="none"/>
              </w:rPr>
              <w:t>分）：目标工作方案合理完整，具有针对性和一定的先进性，对项目的总体需求的理解程度、对项目范围把握准确度高并具有切合的额外建设建议和措施，项目重点难点分析翔实且有针对性，应对措施具体可行，相关的合理化建议有可操作性和先进性，建立完善的组织机构、规范的内部操作规程，综合评价优秀。</w:t>
            </w:r>
          </w:p>
        </w:tc>
        <w:tc>
          <w:tcPr>
            <w:tcW w:w="2044" w:type="dxa"/>
            <w:tcBorders>
              <w:top w:val="single" w:color="auto" w:sz="4" w:space="0"/>
              <w:left w:val="single" w:color="auto" w:sz="4" w:space="0"/>
              <w:bottom w:val="single" w:color="auto" w:sz="4" w:space="0"/>
              <w:right w:val="single" w:color="auto" w:sz="4" w:space="0"/>
            </w:tcBorders>
            <w:vAlign w:val="center"/>
          </w:tcPr>
          <w:p w14:paraId="3CE167AF">
            <w:pPr>
              <w:rPr>
                <w:rFonts w:ascii="宋体" w:hAnsi="宋体"/>
                <w:color w:val="auto"/>
                <w:szCs w:val="21"/>
                <w:highlight w:val="none"/>
              </w:rPr>
            </w:pPr>
            <w:r>
              <w:rPr>
                <w:rFonts w:hint="eastAsia" w:ascii="宋体" w:hAnsi="宋体"/>
                <w:color w:val="auto"/>
                <w:szCs w:val="21"/>
                <w:highlight w:val="none"/>
              </w:rPr>
              <w:t>未提供不得分。</w:t>
            </w:r>
          </w:p>
        </w:tc>
      </w:tr>
      <w:tr w14:paraId="208A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525C6EBE">
            <w:pPr>
              <w:widowControl/>
              <w:jc w:val="left"/>
              <w:rPr>
                <w:rFonts w:ascii="宋体" w:hAnsi="宋体"/>
                <w:color w:val="auto"/>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3F114B7C">
            <w:pPr>
              <w:widowControl/>
              <w:jc w:val="left"/>
              <w:rPr>
                <w:rFonts w:ascii="宋体" w:hAnsi="宋体"/>
                <w:color w:val="auto"/>
                <w:szCs w:val="21"/>
                <w:highlight w:val="none"/>
              </w:rPr>
            </w:pPr>
          </w:p>
        </w:tc>
        <w:tc>
          <w:tcPr>
            <w:tcW w:w="1009" w:type="dxa"/>
            <w:tcBorders>
              <w:top w:val="single" w:color="auto" w:sz="4" w:space="0"/>
              <w:left w:val="single" w:color="auto" w:sz="4" w:space="0"/>
              <w:bottom w:val="single" w:color="auto" w:sz="4" w:space="0"/>
              <w:right w:val="single" w:color="auto" w:sz="4" w:space="0"/>
            </w:tcBorders>
            <w:vAlign w:val="center"/>
          </w:tcPr>
          <w:p w14:paraId="1589B36F">
            <w:pPr>
              <w:widowControl/>
              <w:jc w:val="left"/>
              <w:rPr>
                <w:rFonts w:ascii="宋体" w:hAnsi="宋体"/>
                <w:color w:val="auto"/>
                <w:szCs w:val="21"/>
                <w:highlight w:val="none"/>
              </w:rPr>
            </w:pPr>
            <w:r>
              <w:rPr>
                <w:rFonts w:hint="eastAsia" w:ascii="宋体" w:hAnsi="宋体"/>
                <w:color w:val="auto"/>
                <w:szCs w:val="21"/>
                <w:highlight w:val="none"/>
              </w:rPr>
              <w:t>实施计划（14分）</w:t>
            </w:r>
          </w:p>
        </w:tc>
        <w:tc>
          <w:tcPr>
            <w:tcW w:w="692" w:type="dxa"/>
            <w:tcBorders>
              <w:top w:val="single" w:color="auto" w:sz="4" w:space="0"/>
              <w:left w:val="single" w:color="auto" w:sz="4" w:space="0"/>
              <w:bottom w:val="single" w:color="auto" w:sz="4" w:space="0"/>
              <w:right w:val="single" w:color="auto" w:sz="4" w:space="0"/>
            </w:tcBorders>
            <w:vAlign w:val="center"/>
          </w:tcPr>
          <w:p w14:paraId="5EB56591">
            <w:pPr>
              <w:jc w:val="center"/>
              <w:rPr>
                <w:rFonts w:ascii="宋体" w:hAnsi="宋体"/>
                <w:color w:val="auto"/>
                <w:szCs w:val="21"/>
                <w:highlight w:val="none"/>
              </w:rPr>
            </w:pPr>
            <w:r>
              <w:rPr>
                <w:rFonts w:hint="eastAsia" w:ascii="宋体" w:hAnsi="宋体"/>
                <w:color w:val="auto"/>
                <w:szCs w:val="21"/>
                <w:highlight w:val="none"/>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70064703">
            <w:pPr>
              <w:rPr>
                <w:rFonts w:ascii="宋体" w:hAnsi="宋体"/>
                <w:color w:val="auto"/>
                <w:szCs w:val="21"/>
                <w:highlight w:val="none"/>
              </w:rPr>
            </w:pPr>
            <w:r>
              <w:rPr>
                <w:rFonts w:hint="eastAsia" w:ascii="宋体" w:hAnsi="宋体"/>
                <w:color w:val="auto"/>
                <w:szCs w:val="21"/>
                <w:highlight w:val="none"/>
              </w:rPr>
              <w:t>一档（5分）：计划安排内容简单；</w:t>
            </w:r>
          </w:p>
          <w:p w14:paraId="3BDF280A">
            <w:pPr>
              <w:rPr>
                <w:rFonts w:ascii="宋体" w:hAnsi="宋体"/>
                <w:color w:val="auto"/>
                <w:szCs w:val="21"/>
                <w:highlight w:val="none"/>
              </w:rPr>
            </w:pPr>
            <w:r>
              <w:rPr>
                <w:rFonts w:hint="eastAsia" w:ascii="宋体" w:hAnsi="宋体"/>
                <w:color w:val="auto"/>
                <w:szCs w:val="21"/>
                <w:highlight w:val="none"/>
              </w:rPr>
              <w:t>二档（8分）：有工作步骤、对本项目调研计划基本合理，时间安排基本满足采购文件要求；</w:t>
            </w:r>
          </w:p>
          <w:p w14:paraId="7B0FDB79">
            <w:pPr>
              <w:rPr>
                <w:rFonts w:ascii="宋体" w:hAnsi="宋体"/>
                <w:color w:val="auto"/>
                <w:szCs w:val="21"/>
                <w:highlight w:val="none"/>
              </w:rPr>
            </w:pPr>
            <w:r>
              <w:rPr>
                <w:rFonts w:hint="eastAsia" w:ascii="宋体" w:hAnsi="宋体"/>
                <w:color w:val="auto"/>
                <w:szCs w:val="21"/>
                <w:highlight w:val="none"/>
              </w:rPr>
              <w:t>三档（11分）：有工作步骤、对本项目调研计划合理，时间满足采购文件要求，有参加课题前期调研、中期汇报的安排内容；</w:t>
            </w:r>
          </w:p>
          <w:p w14:paraId="2A63BAFA">
            <w:pPr>
              <w:rPr>
                <w:rFonts w:ascii="宋体" w:hAnsi="宋体"/>
                <w:color w:val="auto"/>
                <w:szCs w:val="21"/>
                <w:highlight w:val="none"/>
              </w:rPr>
            </w:pPr>
            <w:r>
              <w:rPr>
                <w:rFonts w:hint="eastAsia" w:ascii="宋体" w:hAnsi="宋体"/>
                <w:color w:val="auto"/>
                <w:szCs w:val="21"/>
                <w:highlight w:val="none"/>
              </w:rPr>
              <w:t>四档（14分）：有工作步骤、对本项目调研计划科学合理，时间安排紧凑且优于采购文件要求，推进步骤清晰明了，参加课题前期调研、中期汇报的安排科学合理，保证课题质量措施有利于采购人完成项目。</w:t>
            </w:r>
          </w:p>
        </w:tc>
        <w:tc>
          <w:tcPr>
            <w:tcW w:w="2044" w:type="dxa"/>
            <w:tcBorders>
              <w:top w:val="single" w:color="auto" w:sz="4" w:space="0"/>
              <w:left w:val="single" w:color="auto" w:sz="4" w:space="0"/>
              <w:bottom w:val="single" w:color="auto" w:sz="4" w:space="0"/>
              <w:right w:val="single" w:color="auto" w:sz="4" w:space="0"/>
            </w:tcBorders>
            <w:vAlign w:val="center"/>
          </w:tcPr>
          <w:p w14:paraId="4F08D2C6">
            <w:pPr>
              <w:rPr>
                <w:rFonts w:ascii="宋体" w:hAnsi="宋体"/>
                <w:color w:val="auto"/>
                <w:szCs w:val="21"/>
                <w:highlight w:val="none"/>
              </w:rPr>
            </w:pPr>
            <w:r>
              <w:rPr>
                <w:rFonts w:hint="eastAsia" w:ascii="宋体" w:hAnsi="宋体"/>
                <w:color w:val="auto"/>
                <w:szCs w:val="21"/>
                <w:highlight w:val="none"/>
              </w:rPr>
              <w:t>未提供不得分。</w:t>
            </w:r>
          </w:p>
        </w:tc>
      </w:tr>
      <w:tr w14:paraId="38B2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09EC97C0">
            <w:pPr>
              <w:jc w:val="center"/>
              <w:rPr>
                <w:rFonts w:ascii="宋体" w:hAnsi="宋体"/>
                <w:color w:val="auto"/>
                <w:szCs w:val="21"/>
                <w:highlight w:val="none"/>
              </w:rPr>
            </w:pPr>
            <w:r>
              <w:rPr>
                <w:rFonts w:ascii="宋体" w:hAnsi="宋体"/>
                <w:color w:val="auto"/>
                <w:szCs w:val="21"/>
                <w:highlight w:val="none"/>
              </w:rPr>
              <w:t>3</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548645EA">
            <w:pPr>
              <w:jc w:val="center"/>
              <w:rPr>
                <w:rFonts w:ascii="宋体" w:hAnsi="宋体"/>
                <w:color w:val="auto"/>
                <w:szCs w:val="21"/>
                <w:highlight w:val="none"/>
              </w:rPr>
            </w:pPr>
            <w:r>
              <w:rPr>
                <w:rFonts w:hint="eastAsia" w:ascii="宋体" w:hAnsi="宋体"/>
                <w:color w:val="auto"/>
                <w:szCs w:val="21"/>
                <w:highlight w:val="none"/>
              </w:rPr>
              <w:t>响应报价分</w:t>
            </w:r>
          </w:p>
          <w:p w14:paraId="3E34FF72">
            <w:pPr>
              <w:jc w:val="center"/>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10</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12387F4D">
            <w:pPr>
              <w:jc w:val="center"/>
              <w:rPr>
                <w:rFonts w:ascii="宋体" w:hAnsi="宋体"/>
                <w:color w:val="auto"/>
                <w:szCs w:val="21"/>
                <w:highlight w:val="none"/>
              </w:rPr>
            </w:pPr>
            <w:r>
              <w:rPr>
                <w:rFonts w:hint="eastAsia" w:ascii="宋体" w:hAnsi="宋体"/>
                <w:color w:val="auto"/>
                <w:szCs w:val="21"/>
                <w:highlight w:val="none"/>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1C785A02">
            <w:pPr>
              <w:jc w:val="center"/>
              <w:rPr>
                <w:rFonts w:ascii="宋体" w:hAnsi="宋体"/>
                <w:color w:val="auto"/>
                <w:szCs w:val="21"/>
                <w:highlight w:val="none"/>
              </w:rPr>
            </w:pPr>
            <w:r>
              <w:rPr>
                <w:rFonts w:hint="eastAsia" w:ascii="宋体" w:hAnsi="宋体"/>
                <w:color w:val="auto"/>
                <w:szCs w:val="21"/>
                <w:highlight w:val="none"/>
              </w:rPr>
              <w:t>以满足采购文件要求且响应价格最低的响应报价为评审基准价，其价格分为满分。其他供应商的价格分统一按照下列公式计算：响应报价得分</w:t>
            </w:r>
            <w:r>
              <w:rPr>
                <w:rFonts w:ascii="宋体" w:hAnsi="宋体"/>
                <w:color w:val="auto"/>
                <w:szCs w:val="21"/>
                <w:highlight w:val="none"/>
              </w:rPr>
              <w:t>=</w:t>
            </w:r>
            <w:r>
              <w:rPr>
                <w:rFonts w:hint="eastAsia" w:ascii="宋体" w:hAnsi="宋体"/>
                <w:color w:val="auto"/>
                <w:szCs w:val="21"/>
                <w:highlight w:val="none"/>
              </w:rPr>
              <w:t>（评审基准价</w:t>
            </w:r>
            <w:r>
              <w:rPr>
                <w:rFonts w:ascii="宋体" w:hAnsi="宋体"/>
                <w:color w:val="auto"/>
                <w:szCs w:val="21"/>
                <w:highlight w:val="none"/>
              </w:rPr>
              <w:t>/</w:t>
            </w:r>
            <w:r>
              <w:rPr>
                <w:rFonts w:hint="eastAsia" w:ascii="宋体" w:hAnsi="宋体"/>
                <w:color w:val="auto"/>
                <w:szCs w:val="21"/>
                <w:highlight w:val="none"/>
              </w:rPr>
              <w:t>响应报价）</w:t>
            </w:r>
            <w:r>
              <w:rPr>
                <w:rFonts w:ascii="宋体" w:hAnsi="宋体"/>
                <w:color w:val="auto"/>
                <w:szCs w:val="21"/>
                <w:highlight w:val="none"/>
              </w:rPr>
              <w:t>×</w:t>
            </w:r>
            <w:r>
              <w:rPr>
                <w:rFonts w:hint="eastAsia" w:ascii="宋体" w:hAnsi="宋体"/>
                <w:color w:val="auto"/>
                <w:szCs w:val="21"/>
                <w:highlight w:val="none"/>
              </w:rPr>
              <w:t>响应报价分满分分值。</w:t>
            </w:r>
          </w:p>
        </w:tc>
        <w:tc>
          <w:tcPr>
            <w:tcW w:w="2044" w:type="dxa"/>
            <w:tcBorders>
              <w:top w:val="single" w:color="auto" w:sz="4" w:space="0"/>
              <w:left w:val="single" w:color="auto" w:sz="4" w:space="0"/>
              <w:bottom w:val="single" w:color="auto" w:sz="4" w:space="0"/>
              <w:right w:val="single" w:color="auto" w:sz="4" w:space="0"/>
            </w:tcBorders>
            <w:vAlign w:val="center"/>
          </w:tcPr>
          <w:p w14:paraId="5021B892">
            <w:pPr>
              <w:rPr>
                <w:rFonts w:ascii="宋体" w:hAnsi="宋体"/>
                <w:color w:val="auto"/>
                <w:szCs w:val="21"/>
                <w:highlight w:val="none"/>
              </w:rPr>
            </w:pPr>
            <w:r>
              <w:rPr>
                <w:rFonts w:hint="eastAsia" w:ascii="宋体" w:hAnsi="宋体"/>
                <w:color w:val="auto"/>
                <w:szCs w:val="21"/>
                <w:highlight w:val="none"/>
              </w:rPr>
              <w:t>如有价格扣除时，响应报价分均按供应商实际响应报价进行价格扣除后的价格进行计算，最终成交金额＝响应报价。价格扣除计算方法见后。</w:t>
            </w:r>
          </w:p>
        </w:tc>
      </w:tr>
      <w:tr w14:paraId="28B8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37070469">
            <w:pPr>
              <w:jc w:val="center"/>
              <w:rPr>
                <w:rFonts w:ascii="宋体" w:hAnsi="宋体"/>
                <w:color w:val="auto"/>
                <w:szCs w:val="21"/>
                <w:highlight w:val="none"/>
              </w:rPr>
            </w:pPr>
            <w:r>
              <w:rPr>
                <w:rFonts w:ascii="宋体" w:hAnsi="宋体"/>
                <w:color w:val="auto"/>
                <w:szCs w:val="21"/>
                <w:highlight w:val="none"/>
              </w:rPr>
              <w:t>4</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2340F7DA">
            <w:pPr>
              <w:jc w:val="center"/>
              <w:rPr>
                <w:rFonts w:ascii="宋体" w:hAnsi="宋体"/>
                <w:color w:val="auto"/>
                <w:szCs w:val="21"/>
                <w:highlight w:val="none"/>
              </w:rPr>
            </w:pPr>
            <w:r>
              <w:rPr>
                <w:rFonts w:hint="eastAsia" w:ascii="宋体" w:hAnsi="宋体"/>
                <w:color w:val="auto"/>
                <w:szCs w:val="21"/>
                <w:highlight w:val="none"/>
              </w:rPr>
              <w:t>综合得分</w:t>
            </w:r>
          </w:p>
        </w:tc>
        <w:tc>
          <w:tcPr>
            <w:tcW w:w="7739" w:type="dxa"/>
            <w:gridSpan w:val="3"/>
            <w:tcBorders>
              <w:top w:val="single" w:color="auto" w:sz="4" w:space="0"/>
              <w:left w:val="single" w:color="auto" w:sz="4" w:space="0"/>
              <w:bottom w:val="single" w:color="auto" w:sz="4" w:space="0"/>
              <w:right w:val="single" w:color="auto" w:sz="4" w:space="0"/>
            </w:tcBorders>
            <w:vAlign w:val="center"/>
          </w:tcPr>
          <w:p w14:paraId="0E713985">
            <w:pPr>
              <w:rPr>
                <w:rFonts w:ascii="宋体" w:hAnsi="宋体"/>
                <w:color w:val="auto"/>
                <w:szCs w:val="21"/>
                <w:highlight w:val="none"/>
              </w:rPr>
            </w:pPr>
            <w:r>
              <w:rPr>
                <w:rFonts w:ascii="宋体" w:hAnsi="宋体"/>
                <w:color w:val="auto"/>
                <w:szCs w:val="21"/>
                <w:highlight w:val="none"/>
              </w:rPr>
              <w:t>=1+2+3</w:t>
            </w:r>
            <w:r>
              <w:rPr>
                <w:rFonts w:hint="eastAsia" w:ascii="宋体" w:hAnsi="宋体"/>
                <w:color w:val="auto"/>
                <w:szCs w:val="21"/>
                <w:highlight w:val="none"/>
              </w:rPr>
              <w:t>（各项评分分值计算保留小数点后两位，小数点后第三位</w:t>
            </w:r>
            <w:r>
              <w:rPr>
                <w:rFonts w:ascii="宋体" w:hAnsi="宋体"/>
                <w:color w:val="auto"/>
                <w:szCs w:val="21"/>
                <w:highlight w:val="none"/>
              </w:rPr>
              <w:t>“</w:t>
            </w:r>
            <w:r>
              <w:rPr>
                <w:rFonts w:hint="eastAsia" w:ascii="宋体" w:hAnsi="宋体"/>
                <w:color w:val="auto"/>
                <w:szCs w:val="21"/>
                <w:highlight w:val="none"/>
              </w:rPr>
              <w:t>四舍五入</w:t>
            </w:r>
            <w:r>
              <w:rPr>
                <w:rFonts w:ascii="宋体" w:hAnsi="宋体"/>
                <w:color w:val="auto"/>
                <w:szCs w:val="21"/>
                <w:highlight w:val="none"/>
              </w:rPr>
              <w:t>”</w:t>
            </w:r>
            <w:r>
              <w:rPr>
                <w:rFonts w:hint="eastAsia" w:ascii="宋体" w:hAnsi="宋体"/>
                <w:color w:val="auto"/>
                <w:szCs w:val="21"/>
                <w:highlight w:val="none"/>
              </w:rPr>
              <w:t>）</w:t>
            </w:r>
          </w:p>
        </w:tc>
      </w:tr>
    </w:tbl>
    <w:p w14:paraId="21461EC0">
      <w:pPr>
        <w:spacing w:before="120" w:line="320" w:lineRule="atLeast"/>
        <w:ind w:firstLine="316" w:firstLineChars="150"/>
        <w:rPr>
          <w:rFonts w:ascii="宋体" w:hAnsi="宋体"/>
          <w:b/>
          <w:bCs/>
          <w:color w:val="auto"/>
          <w:kern w:val="0"/>
          <w:szCs w:val="21"/>
        </w:rPr>
      </w:pPr>
      <w:r>
        <w:rPr>
          <w:rFonts w:ascii="宋体" w:hAnsi="宋体"/>
          <w:b/>
          <w:bCs/>
          <w:color w:val="auto"/>
          <w:kern w:val="0"/>
          <w:szCs w:val="21"/>
        </w:rPr>
        <w:t>政策性扣除计算方法</w:t>
      </w:r>
      <w:r>
        <w:rPr>
          <w:rFonts w:hint="eastAsia" w:ascii="宋体" w:hAnsi="宋体"/>
          <w:b/>
          <w:bCs/>
          <w:color w:val="auto"/>
          <w:kern w:val="0"/>
          <w:szCs w:val="21"/>
        </w:rPr>
        <w:t>：</w:t>
      </w:r>
    </w:p>
    <w:p w14:paraId="1B4108EB">
      <w:pPr>
        <w:spacing w:before="120" w:line="320" w:lineRule="atLeast"/>
        <w:ind w:firstLine="315" w:firstLineChars="150"/>
        <w:rPr>
          <w:rFonts w:ascii="宋体" w:hAnsi="宋体"/>
          <w:color w:val="auto"/>
          <w:szCs w:val="21"/>
        </w:rPr>
      </w:pPr>
      <w:r>
        <w:rPr>
          <w:rFonts w:hint="eastAsia" w:ascii="宋体" w:hAnsi="宋体"/>
          <w:color w:val="auto"/>
          <w:szCs w:val="21"/>
        </w:rPr>
        <w:t>小微企业的价格扣除计算:供应商响应</w:t>
      </w:r>
      <w:r>
        <w:rPr>
          <w:rFonts w:ascii="宋体" w:hAnsi="宋体"/>
          <w:color w:val="auto"/>
          <w:szCs w:val="21"/>
        </w:rPr>
        <w:t>报价将按相应比例进行扣除，用扣除后的价格参与评审（计算价格分）</w:t>
      </w:r>
      <w:r>
        <w:rPr>
          <w:rFonts w:hint="eastAsia" w:ascii="宋体" w:hAnsi="宋体"/>
          <w:color w:val="auto"/>
          <w:szCs w:val="21"/>
        </w:rPr>
        <w:t>，价格扣除比例分别如下：</w:t>
      </w:r>
      <w:r>
        <w:rPr>
          <w:rFonts w:ascii="宋体" w:hAnsi="宋体"/>
          <w:color w:val="auto"/>
          <w:szCs w:val="21"/>
        </w:rPr>
        <w:t xml:space="preserve"> </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6B82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6FAE1ADC">
            <w:pPr>
              <w:spacing w:before="120" w:line="320" w:lineRule="atLeast"/>
              <w:jc w:val="center"/>
              <w:rPr>
                <w:rFonts w:ascii="宋体" w:hAnsi="宋体"/>
                <w:color w:val="auto"/>
                <w:szCs w:val="21"/>
              </w:rPr>
            </w:pPr>
            <w:r>
              <w:rPr>
                <w:rFonts w:hint="eastAsia" w:ascii="宋体" w:hAnsi="宋体"/>
                <w:color w:val="auto"/>
                <w:szCs w:val="21"/>
              </w:rPr>
              <w:t>独立投标</w:t>
            </w:r>
          </w:p>
        </w:tc>
        <w:tc>
          <w:tcPr>
            <w:tcW w:w="4962" w:type="dxa"/>
          </w:tcPr>
          <w:p w14:paraId="60CBB851">
            <w:pPr>
              <w:spacing w:before="120" w:line="320" w:lineRule="atLeast"/>
              <w:rPr>
                <w:rFonts w:ascii="宋体" w:hAnsi="宋体"/>
                <w:color w:val="auto"/>
                <w:szCs w:val="21"/>
              </w:rPr>
            </w:pPr>
            <w:r>
              <w:rPr>
                <w:rFonts w:hint="eastAsia" w:ascii="宋体" w:hAnsi="宋体"/>
                <w:color w:val="auto"/>
                <w:szCs w:val="21"/>
              </w:rPr>
              <w:t>供应商均为所列企业之一（小型企业、微型企业、残疾人福利企业、监狱企业）</w:t>
            </w:r>
          </w:p>
        </w:tc>
        <w:tc>
          <w:tcPr>
            <w:tcW w:w="2551" w:type="dxa"/>
          </w:tcPr>
          <w:p w14:paraId="363717FB">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4502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0B5A7D83">
            <w:pPr>
              <w:spacing w:before="120" w:line="320" w:lineRule="atLeast"/>
              <w:jc w:val="center"/>
              <w:rPr>
                <w:rFonts w:ascii="宋体" w:hAnsi="宋体"/>
                <w:color w:val="auto"/>
                <w:szCs w:val="21"/>
              </w:rPr>
            </w:pPr>
            <w:r>
              <w:rPr>
                <w:rFonts w:hint="eastAsia" w:ascii="宋体" w:hAnsi="宋体"/>
                <w:color w:val="auto"/>
                <w:szCs w:val="21"/>
              </w:rPr>
              <w:t>联合体或</w:t>
            </w:r>
          </w:p>
          <w:p w14:paraId="760F87D2">
            <w:pPr>
              <w:spacing w:before="120" w:line="320" w:lineRule="atLeast"/>
              <w:jc w:val="center"/>
              <w:rPr>
                <w:rFonts w:ascii="宋体" w:hAnsi="宋体"/>
                <w:color w:val="auto"/>
                <w:szCs w:val="21"/>
              </w:rPr>
            </w:pPr>
            <w:r>
              <w:rPr>
                <w:rFonts w:hint="eastAsia" w:ascii="宋体" w:hAnsi="宋体"/>
                <w:color w:val="auto"/>
                <w:szCs w:val="21"/>
              </w:rPr>
              <w:t>分包</w:t>
            </w:r>
          </w:p>
        </w:tc>
        <w:tc>
          <w:tcPr>
            <w:tcW w:w="4962" w:type="dxa"/>
          </w:tcPr>
          <w:p w14:paraId="49605A24">
            <w:pPr>
              <w:spacing w:before="120" w:line="320" w:lineRule="atLeast"/>
              <w:rPr>
                <w:rFonts w:ascii="宋体" w:hAnsi="宋体"/>
                <w:color w:val="auto"/>
                <w:szCs w:val="21"/>
              </w:rPr>
            </w:pPr>
            <w:r>
              <w:rPr>
                <w:rFonts w:hint="eastAsia" w:ascii="宋体" w:hAnsi="宋体"/>
                <w:color w:val="auto"/>
                <w:szCs w:val="21"/>
              </w:rPr>
              <w:t>小微企业承接的金额比例为1</w:t>
            </w:r>
            <w:r>
              <w:rPr>
                <w:rFonts w:ascii="宋体" w:hAnsi="宋体"/>
                <w:color w:val="auto"/>
                <w:szCs w:val="21"/>
              </w:rPr>
              <w:t>00</w:t>
            </w:r>
            <w:r>
              <w:rPr>
                <w:rFonts w:hint="eastAsia" w:ascii="宋体" w:hAnsi="宋体"/>
                <w:color w:val="auto"/>
                <w:szCs w:val="21"/>
              </w:rPr>
              <w:t>%</w:t>
            </w:r>
          </w:p>
        </w:tc>
        <w:tc>
          <w:tcPr>
            <w:tcW w:w="2551" w:type="dxa"/>
          </w:tcPr>
          <w:p w14:paraId="75922842">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19E3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4169BA68">
            <w:pPr>
              <w:spacing w:before="120" w:line="320" w:lineRule="atLeast"/>
              <w:rPr>
                <w:rFonts w:ascii="宋体" w:hAnsi="宋体"/>
                <w:color w:val="auto"/>
                <w:szCs w:val="21"/>
              </w:rPr>
            </w:pPr>
          </w:p>
        </w:tc>
        <w:tc>
          <w:tcPr>
            <w:tcW w:w="4962" w:type="dxa"/>
          </w:tcPr>
          <w:p w14:paraId="03FC1224">
            <w:pPr>
              <w:spacing w:before="120" w:line="320" w:lineRule="atLeast"/>
              <w:rPr>
                <w:rFonts w:ascii="宋体" w:hAnsi="宋体"/>
                <w:color w:val="auto"/>
                <w:szCs w:val="21"/>
              </w:rPr>
            </w:pPr>
            <w:r>
              <w:rPr>
                <w:rFonts w:hint="eastAsia" w:ascii="宋体" w:hAnsi="宋体"/>
                <w:color w:val="auto"/>
                <w:szCs w:val="21"/>
              </w:rPr>
              <w:t>小微企业承接的金额比例达到合同总金额3</w:t>
            </w:r>
            <w:r>
              <w:rPr>
                <w:rFonts w:ascii="宋体" w:hAnsi="宋体"/>
                <w:color w:val="auto"/>
                <w:szCs w:val="21"/>
              </w:rPr>
              <w:t>0%</w:t>
            </w:r>
            <w:r>
              <w:rPr>
                <w:rFonts w:hint="eastAsia" w:ascii="宋体" w:hAnsi="宋体"/>
                <w:color w:val="auto"/>
                <w:szCs w:val="21"/>
              </w:rPr>
              <w:t>以上</w:t>
            </w:r>
          </w:p>
        </w:tc>
        <w:tc>
          <w:tcPr>
            <w:tcW w:w="2551" w:type="dxa"/>
          </w:tcPr>
          <w:p w14:paraId="40095D1A">
            <w:pPr>
              <w:spacing w:before="120" w:line="320" w:lineRule="atLeast"/>
              <w:rPr>
                <w:rFonts w:ascii="宋体" w:hAnsi="宋体"/>
                <w:color w:val="auto"/>
                <w:szCs w:val="21"/>
              </w:rPr>
            </w:pPr>
            <w:r>
              <w:rPr>
                <w:rFonts w:hint="eastAsia" w:ascii="宋体" w:hAnsi="宋体"/>
                <w:color w:val="auto"/>
                <w:szCs w:val="21"/>
              </w:rPr>
              <w:t>价格扣除响应报价的</w:t>
            </w:r>
            <w:r>
              <w:rPr>
                <w:rFonts w:ascii="宋体" w:hAnsi="宋体"/>
                <w:color w:val="auto"/>
                <w:szCs w:val="21"/>
              </w:rPr>
              <w:t>4</w:t>
            </w:r>
            <w:r>
              <w:rPr>
                <w:rFonts w:hint="eastAsia" w:ascii="宋体" w:hAnsi="宋体"/>
                <w:color w:val="auto"/>
                <w:szCs w:val="21"/>
              </w:rPr>
              <w:t>%</w:t>
            </w:r>
          </w:p>
        </w:tc>
      </w:tr>
      <w:tr w14:paraId="1A2F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494E10C3">
            <w:pPr>
              <w:spacing w:before="120" w:line="320" w:lineRule="atLeast"/>
              <w:rPr>
                <w:rFonts w:ascii="宋体" w:hAnsi="宋体"/>
                <w:color w:val="auto"/>
                <w:szCs w:val="21"/>
              </w:rPr>
            </w:pPr>
            <w:r>
              <w:rPr>
                <w:rFonts w:hint="eastAsia" w:ascii="宋体" w:hAnsi="宋体"/>
                <w:color w:val="auto"/>
                <w:szCs w:val="21"/>
              </w:rPr>
              <w:t>注：未提供《中小企业声明函》、《分包意向协议书》或《联合体协议书》或不符合条件的，不享受价格扣除优惠。</w:t>
            </w:r>
          </w:p>
        </w:tc>
      </w:tr>
    </w:tbl>
    <w:p w14:paraId="1EAB46CD">
      <w:pPr>
        <w:pStyle w:val="26"/>
        <w:snapToGrid w:val="0"/>
        <w:spacing w:before="120" w:after="120" w:line="320" w:lineRule="exact"/>
        <w:jc w:val="center"/>
        <w:outlineLvl w:val="0"/>
        <w:rPr>
          <w:rFonts w:hAnsi="宋体"/>
          <w:color w:val="auto"/>
        </w:rPr>
        <w:sectPr>
          <w:pgSz w:w="11906" w:h="16838"/>
          <w:pgMar w:top="1418" w:right="1418" w:bottom="1246" w:left="1418" w:header="851" w:footer="992" w:gutter="0"/>
          <w:cols w:space="720" w:num="1"/>
          <w:docGrid w:linePitch="312" w:charSpace="0"/>
        </w:sectPr>
      </w:pPr>
    </w:p>
    <w:p w14:paraId="2D213CF7">
      <w:pPr>
        <w:ind w:firstLine="420" w:firstLineChars="200"/>
        <w:outlineLvl w:val="2"/>
        <w:rPr>
          <w:rFonts w:ascii="宋体" w:hAnsi="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4</w:t>
      </w:r>
      <w:r>
        <w:rPr>
          <w:rFonts w:hint="eastAsia" w:ascii="宋体" w:hAnsi="宋体"/>
          <w:color w:val="000000" w:themeColor="text1"/>
          <w14:textFill>
            <w14:solidFill>
              <w14:schemeClr w14:val="tx1"/>
            </w14:solidFill>
          </w14:textFill>
        </w:rPr>
        <w:t>分标</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9"/>
        <w:gridCol w:w="692"/>
        <w:gridCol w:w="5003"/>
        <w:gridCol w:w="2044"/>
      </w:tblGrid>
      <w:tr w14:paraId="4FBA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50FBB25A">
            <w:pPr>
              <w:spacing w:after="160" w:line="278" w:lineRule="auto"/>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序号</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2C868B13">
            <w:pPr>
              <w:spacing w:after="160" w:line="278" w:lineRule="auto"/>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评审因素及分值</w:t>
            </w:r>
          </w:p>
        </w:tc>
        <w:tc>
          <w:tcPr>
            <w:tcW w:w="692" w:type="dxa"/>
            <w:tcBorders>
              <w:top w:val="single" w:color="auto" w:sz="4" w:space="0"/>
              <w:left w:val="single" w:color="auto" w:sz="4" w:space="0"/>
              <w:bottom w:val="single" w:color="auto" w:sz="4" w:space="0"/>
              <w:right w:val="single" w:color="auto" w:sz="4" w:space="0"/>
            </w:tcBorders>
            <w:vAlign w:val="center"/>
          </w:tcPr>
          <w:p w14:paraId="649C8C4F">
            <w:pPr>
              <w:spacing w:after="160" w:line="278" w:lineRule="auto"/>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分值</w:t>
            </w:r>
          </w:p>
          <w:p w14:paraId="20D5EF1A">
            <w:pPr>
              <w:spacing w:after="160" w:line="278" w:lineRule="auto"/>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属性</w:t>
            </w:r>
          </w:p>
        </w:tc>
        <w:tc>
          <w:tcPr>
            <w:tcW w:w="5003" w:type="dxa"/>
            <w:tcBorders>
              <w:top w:val="single" w:color="auto" w:sz="4" w:space="0"/>
              <w:left w:val="single" w:color="auto" w:sz="4" w:space="0"/>
              <w:bottom w:val="single" w:color="auto" w:sz="4" w:space="0"/>
              <w:right w:val="single" w:color="auto" w:sz="4" w:space="0"/>
            </w:tcBorders>
            <w:vAlign w:val="center"/>
          </w:tcPr>
          <w:p w14:paraId="0C16658A">
            <w:pPr>
              <w:spacing w:after="160" w:line="278" w:lineRule="auto"/>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评审标准</w:t>
            </w:r>
          </w:p>
        </w:tc>
        <w:tc>
          <w:tcPr>
            <w:tcW w:w="2044" w:type="dxa"/>
            <w:tcBorders>
              <w:top w:val="single" w:color="auto" w:sz="4" w:space="0"/>
              <w:left w:val="single" w:color="auto" w:sz="4" w:space="0"/>
              <w:bottom w:val="single" w:color="auto" w:sz="4" w:space="0"/>
              <w:right w:val="single" w:color="auto" w:sz="4" w:space="0"/>
            </w:tcBorders>
            <w:vAlign w:val="center"/>
          </w:tcPr>
          <w:p w14:paraId="25BDF152">
            <w:pPr>
              <w:spacing w:after="160" w:line="278" w:lineRule="auto"/>
              <w:jc w:val="center"/>
              <w:rPr>
                <w:rFonts w:ascii="宋体" w:hAns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说明</w:t>
            </w:r>
          </w:p>
        </w:tc>
      </w:tr>
      <w:tr w14:paraId="7E3E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04280B59">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169A9C7D">
            <w:pPr>
              <w:tabs>
                <w:tab w:val="center" w:pos="4153"/>
                <w:tab w:val="right" w:pos="8306"/>
              </w:tabs>
              <w:snapToGrid w:val="0"/>
              <w:spacing w:after="160" w:line="278" w:lineRule="auto"/>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商务部分（46分）</w:t>
            </w:r>
          </w:p>
        </w:tc>
        <w:tc>
          <w:tcPr>
            <w:tcW w:w="1009" w:type="dxa"/>
            <w:tcBorders>
              <w:top w:val="single" w:color="auto" w:sz="4" w:space="0"/>
              <w:left w:val="single" w:color="auto" w:sz="4" w:space="0"/>
              <w:bottom w:val="single" w:color="auto" w:sz="4" w:space="0"/>
              <w:right w:val="single" w:color="auto" w:sz="4" w:space="0"/>
            </w:tcBorders>
            <w:vAlign w:val="center"/>
          </w:tcPr>
          <w:p w14:paraId="0D999240">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信誉业绩（10分）</w:t>
            </w:r>
          </w:p>
        </w:tc>
        <w:tc>
          <w:tcPr>
            <w:tcW w:w="692" w:type="dxa"/>
            <w:tcBorders>
              <w:top w:val="single" w:color="auto" w:sz="4" w:space="0"/>
              <w:left w:val="single" w:color="auto" w:sz="4" w:space="0"/>
              <w:bottom w:val="single" w:color="auto" w:sz="4" w:space="0"/>
              <w:right w:val="single" w:color="auto" w:sz="4" w:space="0"/>
            </w:tcBorders>
            <w:vAlign w:val="center"/>
          </w:tcPr>
          <w:p w14:paraId="7595A9E1">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717DCDA3">
            <w:pPr>
              <w:spacing w:after="160" w:line="278" w:lineRule="auto"/>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供应商每提供1个有效业绩得2分，满分10分。有效业绩定义：指规划编制、课题研究等类型项目业绩。</w:t>
            </w:r>
          </w:p>
        </w:tc>
        <w:tc>
          <w:tcPr>
            <w:tcW w:w="2044" w:type="dxa"/>
            <w:tcBorders>
              <w:top w:val="single" w:color="auto" w:sz="4" w:space="0"/>
              <w:left w:val="single" w:color="auto" w:sz="4" w:space="0"/>
              <w:bottom w:val="single" w:color="auto" w:sz="4" w:space="0"/>
              <w:right w:val="single" w:color="auto" w:sz="4" w:space="0"/>
            </w:tcBorders>
            <w:vAlign w:val="center"/>
          </w:tcPr>
          <w:p w14:paraId="5CE45353">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（1）必须提供证明材料。</w:t>
            </w:r>
          </w:p>
          <w:p w14:paraId="1AD9D47F">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（2）以中标或成交通知书或合同复印件为准。</w:t>
            </w:r>
          </w:p>
        </w:tc>
      </w:tr>
      <w:tr w14:paraId="11AC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30810AF6">
            <w:pPr>
              <w:widowControl/>
              <w:spacing w:after="160" w:line="278" w:lineRule="auto"/>
              <w:jc w:val="left"/>
              <w:rPr>
                <w:rFonts w:ascii="宋体" w:hAnsi="宋体"/>
                <w:color w:val="000000" w:themeColor="text1"/>
                <w:szCs w:val="21"/>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4A361BA2">
            <w:pPr>
              <w:widowControl/>
              <w:spacing w:after="160" w:line="278" w:lineRule="auto"/>
              <w:jc w:val="left"/>
              <w:rPr>
                <w:rFonts w:ascii="宋体" w:hAnsi="宋体"/>
                <w:color w:val="000000" w:themeColor="text1"/>
                <w:szCs w:val="21"/>
                <w14:textFill>
                  <w14:solidFill>
                    <w14:schemeClr w14:val="tx1"/>
                  </w14:solidFill>
                </w14:textFill>
              </w:rPr>
            </w:pPr>
          </w:p>
        </w:tc>
        <w:tc>
          <w:tcPr>
            <w:tcW w:w="1009" w:type="dxa"/>
            <w:tcBorders>
              <w:top w:val="single" w:color="auto" w:sz="4" w:space="0"/>
              <w:left w:val="single" w:color="auto" w:sz="4" w:space="0"/>
              <w:bottom w:val="single" w:color="auto" w:sz="4" w:space="0"/>
              <w:right w:val="single" w:color="auto" w:sz="4" w:space="0"/>
            </w:tcBorders>
            <w:vAlign w:val="center"/>
          </w:tcPr>
          <w:p w14:paraId="329DEBC1">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服务团队人员（20分）</w:t>
            </w:r>
          </w:p>
        </w:tc>
        <w:tc>
          <w:tcPr>
            <w:tcW w:w="692" w:type="dxa"/>
            <w:tcBorders>
              <w:top w:val="single" w:color="auto" w:sz="4" w:space="0"/>
              <w:left w:val="single" w:color="auto" w:sz="4" w:space="0"/>
              <w:bottom w:val="single" w:color="auto" w:sz="4" w:space="0"/>
              <w:right w:val="single" w:color="auto" w:sz="4" w:space="0"/>
            </w:tcBorders>
            <w:vAlign w:val="center"/>
          </w:tcPr>
          <w:p w14:paraId="7103F546">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76E2C593">
            <w:pPr>
              <w:spacing w:after="160" w:line="300" w:lineRule="exact"/>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一档（5分）：本项目拟投入课题团队人员仅满足采购文件人员要求，拟投入团队人员3人</w:t>
            </w:r>
            <w:r>
              <w:rPr>
                <w:rFonts w:hint="eastAsia" w:ascii="宋体" w:hAnsi="宋体"/>
                <w:color w:val="000000" w:themeColor="text1"/>
                <w:szCs w:val="21"/>
                <w14:textFill>
                  <w14:solidFill>
                    <w14:schemeClr w14:val="tx1"/>
                  </w14:solidFill>
                </w14:textFill>
              </w:rPr>
              <w:t>及以上</w:t>
            </w:r>
            <w:r>
              <w:rPr>
                <w:rFonts w:ascii="宋体" w:hAnsi="宋体"/>
                <w:color w:val="000000" w:themeColor="text1"/>
                <w:szCs w:val="21"/>
                <w14:textFill>
                  <w14:solidFill>
                    <w14:schemeClr w14:val="tx1"/>
                  </w14:solidFill>
                </w14:textFill>
              </w:rPr>
              <w:t>的，至少1人具有高级及以上职称。</w:t>
            </w:r>
          </w:p>
          <w:p w14:paraId="28EF204E">
            <w:pPr>
              <w:spacing w:after="160" w:line="300" w:lineRule="exact"/>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二档（10分）：本项目拟投入课题团队人员在满足采购文件人员要求下，能投入4人及以上的，团队人员中拥有工业领域或经济学、管理学领域的本科及以上相关学位，至少2人具有高级及以上职称。</w:t>
            </w:r>
          </w:p>
          <w:p w14:paraId="152A3FFE">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三档（15分）：本项目拟投入团队人员7人</w:t>
            </w:r>
            <w:r>
              <w:rPr>
                <w:rFonts w:hint="eastAsia" w:ascii="宋体" w:hAnsi="宋体"/>
                <w:color w:val="000000" w:themeColor="text1"/>
                <w:szCs w:val="21"/>
                <w14:textFill>
                  <w14:solidFill>
                    <w14:schemeClr w14:val="tx1"/>
                  </w14:solidFill>
                </w14:textFill>
              </w:rPr>
              <w:t>及以上</w:t>
            </w:r>
            <w:r>
              <w:rPr>
                <w:rFonts w:ascii="宋体" w:hAnsi="宋体"/>
                <w:color w:val="000000" w:themeColor="text1"/>
                <w:szCs w:val="21"/>
                <w14:textFill>
                  <w14:solidFill>
                    <w14:schemeClr w14:val="tx1"/>
                  </w14:solidFill>
                </w14:textFill>
              </w:rPr>
              <w:t>，且团队人员中拥有工业领域或经济学领域硕士及以上相关学位，至少3人具有高级及以上职称。</w:t>
            </w:r>
          </w:p>
          <w:p w14:paraId="2746F13F">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四档（20分）本项目拟投入团队人员10人及以上，且团队人员中拥有工业领域或经济学、管理学等相关领域的硕士以上学位；至少3人具有高级及以上职称。</w:t>
            </w:r>
          </w:p>
        </w:tc>
        <w:tc>
          <w:tcPr>
            <w:tcW w:w="2044" w:type="dxa"/>
            <w:tcBorders>
              <w:top w:val="single" w:color="auto" w:sz="4" w:space="0"/>
              <w:left w:val="single" w:color="auto" w:sz="4" w:space="0"/>
              <w:bottom w:val="single" w:color="auto" w:sz="4" w:space="0"/>
              <w:right w:val="single" w:color="auto" w:sz="4" w:space="0"/>
            </w:tcBorders>
            <w:vAlign w:val="center"/>
          </w:tcPr>
          <w:p w14:paraId="1A380B54">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必须提供相关证明材料。</w:t>
            </w:r>
            <w:r>
              <w:rPr>
                <w:rFonts w:hint="eastAsia" w:ascii="宋体" w:hAnsi="宋体"/>
                <w:color w:val="000000" w:themeColor="text1"/>
                <w:szCs w:val="21"/>
                <w14:textFill>
                  <w14:solidFill>
                    <w14:schemeClr w14:val="tx1"/>
                  </w14:solidFill>
                </w14:textFill>
              </w:rPr>
              <w:t>未提供或不满足一档要求的不得分。</w:t>
            </w:r>
          </w:p>
        </w:tc>
      </w:tr>
      <w:tr w14:paraId="6C9A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679633D9">
            <w:pPr>
              <w:widowControl/>
              <w:spacing w:after="160" w:line="278" w:lineRule="auto"/>
              <w:jc w:val="left"/>
              <w:rPr>
                <w:rFonts w:ascii="宋体" w:hAnsi="宋体"/>
                <w:color w:val="000000" w:themeColor="text1"/>
                <w:szCs w:val="21"/>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152983E0">
            <w:pPr>
              <w:widowControl/>
              <w:spacing w:after="160" w:line="278" w:lineRule="auto"/>
              <w:jc w:val="left"/>
              <w:rPr>
                <w:rFonts w:ascii="宋体" w:hAnsi="宋体"/>
                <w:color w:val="000000" w:themeColor="text1"/>
                <w:szCs w:val="21"/>
                <w14:textFill>
                  <w14:solidFill>
                    <w14:schemeClr w14:val="tx1"/>
                  </w14:solidFill>
                </w14:textFill>
              </w:rPr>
            </w:pPr>
          </w:p>
        </w:tc>
        <w:tc>
          <w:tcPr>
            <w:tcW w:w="1009" w:type="dxa"/>
            <w:tcBorders>
              <w:top w:val="single" w:color="auto" w:sz="4" w:space="0"/>
              <w:left w:val="single" w:color="auto" w:sz="4" w:space="0"/>
              <w:bottom w:val="single" w:color="auto" w:sz="4" w:space="0"/>
              <w:right w:val="single" w:color="auto" w:sz="4" w:space="0"/>
            </w:tcBorders>
            <w:vAlign w:val="center"/>
          </w:tcPr>
          <w:p w14:paraId="468F298E">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质量保证措施（16分）</w:t>
            </w:r>
          </w:p>
        </w:tc>
        <w:tc>
          <w:tcPr>
            <w:tcW w:w="692" w:type="dxa"/>
            <w:tcBorders>
              <w:top w:val="single" w:color="auto" w:sz="4" w:space="0"/>
              <w:left w:val="single" w:color="auto" w:sz="4" w:space="0"/>
              <w:bottom w:val="single" w:color="auto" w:sz="4" w:space="0"/>
              <w:right w:val="single" w:color="auto" w:sz="4" w:space="0"/>
            </w:tcBorders>
            <w:vAlign w:val="center"/>
          </w:tcPr>
          <w:p w14:paraId="24AA0C4D">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1B430A4E">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一档（4分）：供应商为采购人提供有合理的承诺，</w:t>
            </w:r>
          </w:p>
          <w:p w14:paraId="09E5698D">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并包含有项目保障措施，但方案简单，缺乏、针对性；</w:t>
            </w:r>
          </w:p>
          <w:p w14:paraId="3C71436C">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二档（10分）：供应商为采购人提供有服务质量及成果完成时间承诺，并包含有项目保障措施、保密承诺及廉洁承诺等，且描述了项目保障措施的方法以及实现方式，方案合理可行，具有针对性；</w:t>
            </w:r>
          </w:p>
          <w:p w14:paraId="4E0E87A7">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三档（16分）：供应商为采购人提供优于采购需求的服务质量及成果完成时间承诺，并包含有合理可行并且具有针对性的项目保障措施、保密承诺及廉洁承诺等，且描述了应急保障方案的方法以及实现方式 ，服务质量承诺方案的联系人等，服务承诺和保障措施考虑周全完整，有额外优惠服务措施和内容。</w:t>
            </w:r>
          </w:p>
        </w:tc>
        <w:tc>
          <w:tcPr>
            <w:tcW w:w="2044" w:type="dxa"/>
            <w:tcBorders>
              <w:top w:val="single" w:color="auto" w:sz="4" w:space="0"/>
              <w:left w:val="single" w:color="auto" w:sz="4" w:space="0"/>
              <w:bottom w:val="single" w:color="auto" w:sz="4" w:space="0"/>
              <w:right w:val="single" w:color="auto" w:sz="4" w:space="0"/>
            </w:tcBorders>
            <w:vAlign w:val="center"/>
          </w:tcPr>
          <w:p w14:paraId="6C20AF6E">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未提供或不满足一档要求的不得分。</w:t>
            </w:r>
          </w:p>
        </w:tc>
      </w:tr>
      <w:tr w14:paraId="6E55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68E5B726">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29C7AFAB">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技术部分（44分）</w:t>
            </w:r>
          </w:p>
        </w:tc>
        <w:tc>
          <w:tcPr>
            <w:tcW w:w="1009" w:type="dxa"/>
            <w:tcBorders>
              <w:top w:val="single" w:color="auto" w:sz="4" w:space="0"/>
              <w:left w:val="single" w:color="auto" w:sz="4" w:space="0"/>
              <w:bottom w:val="single" w:color="auto" w:sz="4" w:space="0"/>
              <w:right w:val="single" w:color="auto" w:sz="4" w:space="0"/>
            </w:tcBorders>
            <w:vAlign w:val="center"/>
          </w:tcPr>
          <w:p w14:paraId="1F6AE98E">
            <w:pPr>
              <w:widowControl/>
              <w:spacing w:after="160" w:line="278" w:lineRule="auto"/>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工作方案（30分）</w:t>
            </w:r>
          </w:p>
        </w:tc>
        <w:tc>
          <w:tcPr>
            <w:tcW w:w="692" w:type="dxa"/>
            <w:tcBorders>
              <w:top w:val="single" w:color="auto" w:sz="4" w:space="0"/>
              <w:left w:val="single" w:color="auto" w:sz="4" w:space="0"/>
              <w:bottom w:val="single" w:color="auto" w:sz="4" w:space="0"/>
              <w:right w:val="single" w:color="auto" w:sz="4" w:space="0"/>
            </w:tcBorders>
            <w:vAlign w:val="center"/>
          </w:tcPr>
          <w:p w14:paraId="787EF9B6">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750F53C1">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一档（8分）：目标工作方案简单，对项目的总体需求的理解程度、对项目范围把握不准确，项目重点难点分析不完整。</w:t>
            </w:r>
          </w:p>
          <w:p w14:paraId="6BD492A7">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二档（16分）：目标工作方案合理完整，具有针对性，对项目的总体需求的理解程度、对项目范围把握准确度低，项目重点难点分析简单，应对措施不够具体。</w:t>
            </w:r>
          </w:p>
          <w:p w14:paraId="5D416161">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三档（24分）：目标工作方案合理完整，具有针对性和一定的先进性，对项目的总体需求的理解程度、对项目范围把握准确度良好，项目重点难点分析完善，应对措施具体可行，并附有相关的合理化建议，建立完善的组织机构、规范的内部操作规程。</w:t>
            </w:r>
          </w:p>
          <w:p w14:paraId="54FD2D38">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四档（30分）：目标工作方案合理完整，具有针对性和先进性，对项目的总体需求的理解程度、对项目范围把握准确度高并具有切合的额外建设建议和措施，项目重点难点分析翔实且有针对性，应对措施具体可行，相关的合理化建议有可操作性和先进性，建立完善的组织机构、规范的内部操作规程。</w:t>
            </w:r>
          </w:p>
        </w:tc>
        <w:tc>
          <w:tcPr>
            <w:tcW w:w="2044" w:type="dxa"/>
            <w:tcBorders>
              <w:top w:val="single" w:color="auto" w:sz="4" w:space="0"/>
              <w:left w:val="single" w:color="auto" w:sz="4" w:space="0"/>
              <w:bottom w:val="single" w:color="auto" w:sz="4" w:space="0"/>
              <w:right w:val="single" w:color="auto" w:sz="4" w:space="0"/>
            </w:tcBorders>
            <w:vAlign w:val="center"/>
          </w:tcPr>
          <w:p w14:paraId="44A49547">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未提供</w:t>
            </w:r>
            <w:r>
              <w:rPr>
                <w:rFonts w:hint="eastAsia" w:ascii="宋体" w:hAnsi="宋体"/>
                <w:color w:val="000000" w:themeColor="text1"/>
                <w:szCs w:val="21"/>
                <w14:textFill>
                  <w14:solidFill>
                    <w14:schemeClr w14:val="tx1"/>
                  </w14:solidFill>
                </w14:textFill>
              </w:rPr>
              <w:t>或不满足一档要求的</w:t>
            </w:r>
            <w:r>
              <w:rPr>
                <w:rFonts w:ascii="宋体" w:hAnsi="宋体"/>
                <w:color w:val="000000" w:themeColor="text1"/>
                <w:szCs w:val="21"/>
                <w14:textFill>
                  <w14:solidFill>
                    <w14:schemeClr w14:val="tx1"/>
                  </w14:solidFill>
                </w14:textFill>
              </w:rPr>
              <w:t>不得分。</w:t>
            </w:r>
          </w:p>
        </w:tc>
      </w:tr>
      <w:tr w14:paraId="6F26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3085AD46">
            <w:pPr>
              <w:widowControl/>
              <w:spacing w:after="160" w:line="278" w:lineRule="auto"/>
              <w:jc w:val="left"/>
              <w:rPr>
                <w:rFonts w:ascii="宋体" w:hAnsi="宋体"/>
                <w:color w:val="000000" w:themeColor="text1"/>
                <w:szCs w:val="21"/>
                <w14:textFill>
                  <w14:solidFill>
                    <w14:schemeClr w14:val="tx1"/>
                  </w14:solidFill>
                </w14:textFill>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708AC6CD">
            <w:pPr>
              <w:widowControl/>
              <w:spacing w:after="160" w:line="278" w:lineRule="auto"/>
              <w:jc w:val="left"/>
              <w:rPr>
                <w:rFonts w:ascii="宋体" w:hAnsi="宋体"/>
                <w:color w:val="000000" w:themeColor="text1"/>
                <w:szCs w:val="21"/>
                <w14:textFill>
                  <w14:solidFill>
                    <w14:schemeClr w14:val="tx1"/>
                  </w14:solidFill>
                </w14:textFill>
              </w:rPr>
            </w:pPr>
          </w:p>
        </w:tc>
        <w:tc>
          <w:tcPr>
            <w:tcW w:w="1009" w:type="dxa"/>
            <w:tcBorders>
              <w:top w:val="single" w:color="auto" w:sz="4" w:space="0"/>
              <w:left w:val="single" w:color="auto" w:sz="4" w:space="0"/>
              <w:bottom w:val="single" w:color="auto" w:sz="4" w:space="0"/>
              <w:right w:val="single" w:color="auto" w:sz="4" w:space="0"/>
            </w:tcBorders>
            <w:vAlign w:val="center"/>
          </w:tcPr>
          <w:p w14:paraId="6AB357C5">
            <w:pPr>
              <w:widowControl/>
              <w:spacing w:after="160" w:line="278" w:lineRule="auto"/>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实施计划（14分）</w:t>
            </w:r>
          </w:p>
        </w:tc>
        <w:tc>
          <w:tcPr>
            <w:tcW w:w="692" w:type="dxa"/>
            <w:tcBorders>
              <w:top w:val="single" w:color="auto" w:sz="4" w:space="0"/>
              <w:left w:val="single" w:color="auto" w:sz="4" w:space="0"/>
              <w:bottom w:val="single" w:color="auto" w:sz="4" w:space="0"/>
              <w:right w:val="single" w:color="auto" w:sz="4" w:space="0"/>
            </w:tcBorders>
            <w:vAlign w:val="center"/>
          </w:tcPr>
          <w:p w14:paraId="6C15D467">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3314F887">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一档（5分）：计划安排内容简单；</w:t>
            </w:r>
          </w:p>
          <w:p w14:paraId="7669736F">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二档（8分）：有工作步骤、对本项目调研计划合理，时间安排基本满足采购文件要求；</w:t>
            </w:r>
          </w:p>
          <w:p w14:paraId="23B780B9">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三档（11分）：有工作步骤、对本项目调研计划合理，时间满足采购文件要求，有参加课题前期调研、中期汇报的安排内容；</w:t>
            </w:r>
          </w:p>
          <w:p w14:paraId="139CEEAC">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四档（14分）：有工作步骤、对本项目调研计划科学合理，时间安排紧凑且优于采购文件要求，推进步骤清晰明了，参加课题前期调研、中期汇报的安排科学合理，保证课题质量措施有利于采购人完成项目。</w:t>
            </w:r>
          </w:p>
        </w:tc>
        <w:tc>
          <w:tcPr>
            <w:tcW w:w="2044" w:type="dxa"/>
            <w:tcBorders>
              <w:top w:val="single" w:color="auto" w:sz="4" w:space="0"/>
              <w:left w:val="single" w:color="auto" w:sz="4" w:space="0"/>
              <w:bottom w:val="single" w:color="auto" w:sz="4" w:space="0"/>
              <w:right w:val="single" w:color="auto" w:sz="4" w:space="0"/>
            </w:tcBorders>
            <w:vAlign w:val="center"/>
          </w:tcPr>
          <w:p w14:paraId="3A21AE45">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未提供</w:t>
            </w:r>
            <w:r>
              <w:rPr>
                <w:rFonts w:hint="eastAsia" w:ascii="宋体" w:hAnsi="宋体"/>
                <w:color w:val="000000" w:themeColor="text1"/>
                <w:szCs w:val="21"/>
                <w14:textFill>
                  <w14:solidFill>
                    <w14:schemeClr w14:val="tx1"/>
                  </w14:solidFill>
                </w14:textFill>
              </w:rPr>
              <w:t>或不满足一档要求的</w:t>
            </w:r>
            <w:r>
              <w:rPr>
                <w:rFonts w:ascii="宋体" w:hAnsi="宋体"/>
                <w:color w:val="000000" w:themeColor="text1"/>
                <w:szCs w:val="21"/>
                <w14:textFill>
                  <w14:solidFill>
                    <w14:schemeClr w14:val="tx1"/>
                  </w14:solidFill>
                </w14:textFill>
              </w:rPr>
              <w:t>不得分。</w:t>
            </w:r>
          </w:p>
        </w:tc>
      </w:tr>
      <w:tr w14:paraId="71BA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7B430E08">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30534030">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响应报价分</w:t>
            </w:r>
          </w:p>
          <w:p w14:paraId="46983CE6">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（10分）</w:t>
            </w:r>
          </w:p>
        </w:tc>
        <w:tc>
          <w:tcPr>
            <w:tcW w:w="692" w:type="dxa"/>
            <w:tcBorders>
              <w:top w:val="single" w:color="auto" w:sz="4" w:space="0"/>
              <w:left w:val="single" w:color="auto" w:sz="4" w:space="0"/>
              <w:bottom w:val="single" w:color="auto" w:sz="4" w:space="0"/>
              <w:right w:val="single" w:color="auto" w:sz="4" w:space="0"/>
            </w:tcBorders>
            <w:vAlign w:val="center"/>
          </w:tcPr>
          <w:p w14:paraId="65BCAEFF">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43C9E32F">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以满足采购文件要求且响应价格最低的响应报价为评审基准价，其价格分为满分。其他供应商的价格分统一按照下列公式计算：响应报价得分=（评审基准价/响应报价）×响应报价分满分分值。</w:t>
            </w:r>
          </w:p>
        </w:tc>
        <w:tc>
          <w:tcPr>
            <w:tcW w:w="2044" w:type="dxa"/>
            <w:tcBorders>
              <w:top w:val="single" w:color="auto" w:sz="4" w:space="0"/>
              <w:left w:val="single" w:color="auto" w:sz="4" w:space="0"/>
              <w:bottom w:val="single" w:color="auto" w:sz="4" w:space="0"/>
              <w:right w:val="single" w:color="auto" w:sz="4" w:space="0"/>
            </w:tcBorders>
            <w:vAlign w:val="center"/>
          </w:tcPr>
          <w:p w14:paraId="79EFC582">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如有价格扣除时，响应报价分均按供应商实际响应报价进行价格扣除后的价格进行计算，最终成交金额＝响应报价。价格扣除计算方法见后。</w:t>
            </w:r>
          </w:p>
        </w:tc>
      </w:tr>
      <w:tr w14:paraId="1D5B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2DB16D46">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3DC3FC2B">
            <w:pPr>
              <w:spacing w:after="160" w:line="278" w:lineRule="auto"/>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综合得分</w:t>
            </w:r>
          </w:p>
        </w:tc>
        <w:tc>
          <w:tcPr>
            <w:tcW w:w="7739" w:type="dxa"/>
            <w:gridSpan w:val="3"/>
            <w:tcBorders>
              <w:top w:val="single" w:color="auto" w:sz="4" w:space="0"/>
              <w:left w:val="single" w:color="auto" w:sz="4" w:space="0"/>
              <w:bottom w:val="single" w:color="auto" w:sz="4" w:space="0"/>
              <w:right w:val="single" w:color="auto" w:sz="4" w:space="0"/>
            </w:tcBorders>
            <w:vAlign w:val="center"/>
          </w:tcPr>
          <w:p w14:paraId="786C1788">
            <w:pPr>
              <w:spacing w:after="160" w:line="278" w:lineRule="auto"/>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=1+2+3（各项评分分值计算保留小数点后两位，小数点后第三位“四舍五入”）</w:t>
            </w:r>
          </w:p>
        </w:tc>
      </w:tr>
    </w:tbl>
    <w:p w14:paraId="274F9C2B">
      <w:pPr>
        <w:spacing w:before="120" w:line="320" w:lineRule="atLeast"/>
        <w:ind w:firstLine="316" w:firstLineChars="150"/>
        <w:rPr>
          <w:rFonts w:ascii="宋体" w:hAnsi="宋体"/>
          <w:b/>
          <w:bCs/>
          <w:color w:val="000000" w:themeColor="text1"/>
          <w:kern w:val="0"/>
          <w:szCs w:val="21"/>
          <w14:textFill>
            <w14:solidFill>
              <w14:schemeClr w14:val="tx1"/>
            </w14:solidFill>
          </w14:textFill>
        </w:rPr>
      </w:pPr>
      <w:r>
        <w:rPr>
          <w:rFonts w:ascii="宋体" w:hAnsi="宋体"/>
          <w:b/>
          <w:bCs/>
          <w:color w:val="000000" w:themeColor="text1"/>
          <w:kern w:val="0"/>
          <w:szCs w:val="21"/>
          <w14:textFill>
            <w14:solidFill>
              <w14:schemeClr w14:val="tx1"/>
            </w14:solidFill>
          </w14:textFill>
        </w:rPr>
        <w:t>政策性扣除计算方法</w:t>
      </w:r>
      <w:r>
        <w:rPr>
          <w:rFonts w:hint="eastAsia" w:ascii="宋体" w:hAnsi="宋体"/>
          <w:b/>
          <w:bCs/>
          <w:color w:val="000000" w:themeColor="text1"/>
          <w:kern w:val="0"/>
          <w:szCs w:val="21"/>
          <w14:textFill>
            <w14:solidFill>
              <w14:schemeClr w14:val="tx1"/>
            </w14:solidFill>
          </w14:textFill>
        </w:rPr>
        <w:t>：</w:t>
      </w:r>
    </w:p>
    <w:p w14:paraId="46342BAB">
      <w:pPr>
        <w:spacing w:before="120" w:line="320" w:lineRule="atLeast"/>
        <w:ind w:firstLine="315" w:firstLineChars="1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小微企业的价格扣除计算:供应商响应</w:t>
      </w:r>
      <w:r>
        <w:rPr>
          <w:rFonts w:ascii="宋体" w:hAnsi="宋体"/>
          <w:color w:val="000000" w:themeColor="text1"/>
          <w:szCs w:val="21"/>
          <w14:textFill>
            <w14:solidFill>
              <w14:schemeClr w14:val="tx1"/>
            </w14:solidFill>
          </w14:textFill>
        </w:rPr>
        <w:t>报价将按相应比例进行扣除，用扣除后的价格参与评审（计算价格分）</w:t>
      </w:r>
      <w:r>
        <w:rPr>
          <w:rFonts w:hint="eastAsia" w:ascii="宋体" w:hAnsi="宋体"/>
          <w:color w:val="000000" w:themeColor="text1"/>
          <w:szCs w:val="21"/>
          <w14:textFill>
            <w14:solidFill>
              <w14:schemeClr w14:val="tx1"/>
            </w14:solidFill>
          </w14:textFill>
        </w:rPr>
        <w:t>，价格扣除比例分别如下：</w:t>
      </w:r>
      <w:r>
        <w:rPr>
          <w:rFonts w:ascii="宋体" w:hAnsi="宋体"/>
          <w:color w:val="000000" w:themeColor="text1"/>
          <w:szCs w:val="21"/>
          <w14:textFill>
            <w14:solidFill>
              <w14:schemeClr w14:val="tx1"/>
            </w14:solidFill>
          </w14:textFill>
        </w:rPr>
        <w:t xml:space="preserve"> </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5303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15869963">
            <w:pPr>
              <w:spacing w:before="120" w:line="3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独立投标</w:t>
            </w:r>
          </w:p>
        </w:tc>
        <w:tc>
          <w:tcPr>
            <w:tcW w:w="4962" w:type="dxa"/>
          </w:tcPr>
          <w:p w14:paraId="7BB18F4C">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供应商均为所列企业之一（小型企业、微型企业、残疾人福利企业、监狱企业）</w:t>
            </w:r>
          </w:p>
        </w:tc>
        <w:tc>
          <w:tcPr>
            <w:tcW w:w="2551" w:type="dxa"/>
          </w:tcPr>
          <w:p w14:paraId="499676FE">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价格扣除响应报价的10%</w:t>
            </w:r>
          </w:p>
        </w:tc>
      </w:tr>
      <w:tr w14:paraId="52A2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2D6F5A94">
            <w:pPr>
              <w:spacing w:before="120" w:line="3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联合体或</w:t>
            </w:r>
          </w:p>
          <w:p w14:paraId="712D4F8B">
            <w:pPr>
              <w:spacing w:before="120" w:line="320" w:lineRule="atLeas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w:t>
            </w:r>
          </w:p>
        </w:tc>
        <w:tc>
          <w:tcPr>
            <w:tcW w:w="4962" w:type="dxa"/>
          </w:tcPr>
          <w:p w14:paraId="0D0E4794">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小微企业承接的金额比例为1</w:t>
            </w:r>
            <w:r>
              <w:rPr>
                <w:rFonts w:ascii="宋体" w:hAnsi="宋体"/>
                <w:color w:val="000000" w:themeColor="text1"/>
                <w:szCs w:val="21"/>
                <w14:textFill>
                  <w14:solidFill>
                    <w14:schemeClr w14:val="tx1"/>
                  </w14:solidFill>
                </w14:textFill>
              </w:rPr>
              <w:t>00</w:t>
            </w:r>
            <w:r>
              <w:rPr>
                <w:rFonts w:hint="eastAsia" w:ascii="宋体" w:hAnsi="宋体"/>
                <w:color w:val="000000" w:themeColor="text1"/>
                <w:szCs w:val="21"/>
                <w14:textFill>
                  <w14:solidFill>
                    <w14:schemeClr w14:val="tx1"/>
                  </w14:solidFill>
                </w14:textFill>
              </w:rPr>
              <w:t>%</w:t>
            </w:r>
          </w:p>
        </w:tc>
        <w:tc>
          <w:tcPr>
            <w:tcW w:w="2551" w:type="dxa"/>
          </w:tcPr>
          <w:p w14:paraId="001E66B6">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价格扣除响应报价的10%</w:t>
            </w:r>
          </w:p>
        </w:tc>
      </w:tr>
      <w:tr w14:paraId="210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0C79635">
            <w:pPr>
              <w:spacing w:before="120" w:line="320" w:lineRule="atLeast"/>
              <w:rPr>
                <w:rFonts w:ascii="宋体" w:hAnsi="宋体"/>
                <w:color w:val="000000" w:themeColor="text1"/>
                <w:szCs w:val="21"/>
                <w14:textFill>
                  <w14:solidFill>
                    <w14:schemeClr w14:val="tx1"/>
                  </w14:solidFill>
                </w14:textFill>
              </w:rPr>
            </w:pPr>
          </w:p>
        </w:tc>
        <w:tc>
          <w:tcPr>
            <w:tcW w:w="4962" w:type="dxa"/>
          </w:tcPr>
          <w:p w14:paraId="304A0CAD">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小微企业承接的金额比例达到合同总金额3</w:t>
            </w:r>
            <w:r>
              <w:rPr>
                <w:rFonts w:ascii="宋体" w:hAnsi="宋体"/>
                <w:color w:val="000000" w:themeColor="text1"/>
                <w:szCs w:val="21"/>
                <w14:textFill>
                  <w14:solidFill>
                    <w14:schemeClr w14:val="tx1"/>
                  </w14:solidFill>
                </w14:textFill>
              </w:rPr>
              <w:t>0%</w:t>
            </w:r>
            <w:r>
              <w:rPr>
                <w:rFonts w:hint="eastAsia" w:ascii="宋体" w:hAnsi="宋体"/>
                <w:color w:val="000000" w:themeColor="text1"/>
                <w:szCs w:val="21"/>
                <w14:textFill>
                  <w14:solidFill>
                    <w14:schemeClr w14:val="tx1"/>
                  </w14:solidFill>
                </w14:textFill>
              </w:rPr>
              <w:t>以上</w:t>
            </w:r>
          </w:p>
        </w:tc>
        <w:tc>
          <w:tcPr>
            <w:tcW w:w="2551" w:type="dxa"/>
          </w:tcPr>
          <w:p w14:paraId="76C6D7CA">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价格扣除响应报价的</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w:t>
            </w:r>
          </w:p>
        </w:tc>
      </w:tr>
      <w:tr w14:paraId="70CE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6FD1273D">
            <w:pPr>
              <w:spacing w:before="120"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注：未提供《中小企业声明函》、《分包意向协议书》或《联合体协议书》或不符合条件的，不享受价格扣除优惠。</w:t>
            </w:r>
          </w:p>
        </w:tc>
      </w:tr>
    </w:tbl>
    <w:p w14:paraId="0B11A230">
      <w:pPr>
        <w:pStyle w:val="26"/>
        <w:snapToGrid w:val="0"/>
        <w:spacing w:before="120" w:after="120" w:line="320" w:lineRule="exact"/>
        <w:jc w:val="center"/>
        <w:outlineLvl w:val="0"/>
        <w:rPr>
          <w:rFonts w:hAnsi="宋体"/>
          <w:color w:val="auto"/>
        </w:rPr>
        <w:sectPr>
          <w:pgSz w:w="11906" w:h="16838"/>
          <w:pgMar w:top="1418" w:right="1418" w:bottom="1246" w:left="1418" w:header="851" w:footer="992" w:gutter="0"/>
          <w:cols w:space="720" w:num="1"/>
          <w:docGrid w:linePitch="312" w:charSpace="0"/>
        </w:sectPr>
      </w:pPr>
    </w:p>
    <w:p w14:paraId="2FA864A0">
      <w:pPr>
        <w:ind w:firstLine="420" w:firstLineChars="200"/>
        <w:outlineLvl w:val="2"/>
        <w:rPr>
          <w:rFonts w:ascii="宋体" w:hAnsi="宋体"/>
          <w:color w:val="auto"/>
        </w:rPr>
      </w:pPr>
      <w:r>
        <w:rPr>
          <w:rFonts w:hint="eastAsia" w:ascii="宋体" w:hAnsi="宋体"/>
          <w:color w:val="auto"/>
        </w:rPr>
        <w:t>5分标</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9"/>
        <w:gridCol w:w="692"/>
        <w:gridCol w:w="5003"/>
        <w:gridCol w:w="2044"/>
      </w:tblGrid>
      <w:tr w14:paraId="0785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43CB1478">
            <w:pPr>
              <w:jc w:val="center"/>
              <w:rPr>
                <w:rFonts w:ascii="宋体" w:hAnsi="宋体"/>
                <w:b/>
                <w:color w:val="auto"/>
                <w:szCs w:val="21"/>
              </w:rPr>
            </w:pPr>
            <w:r>
              <w:rPr>
                <w:rFonts w:hint="eastAsia" w:ascii="宋体" w:hAnsi="宋体"/>
                <w:b/>
                <w:color w:val="auto"/>
                <w:szCs w:val="21"/>
              </w:rPr>
              <w:t>序号</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60DD20A0">
            <w:pPr>
              <w:jc w:val="center"/>
              <w:rPr>
                <w:rFonts w:ascii="宋体" w:hAnsi="宋体"/>
                <w:b/>
                <w:color w:val="auto"/>
                <w:szCs w:val="21"/>
              </w:rPr>
            </w:pPr>
            <w:r>
              <w:rPr>
                <w:rFonts w:hint="eastAsia" w:ascii="宋体" w:hAnsi="宋体"/>
                <w:b/>
                <w:color w:val="auto"/>
                <w:szCs w:val="21"/>
              </w:rPr>
              <w:t>评审因素及分值</w:t>
            </w:r>
          </w:p>
        </w:tc>
        <w:tc>
          <w:tcPr>
            <w:tcW w:w="692" w:type="dxa"/>
            <w:tcBorders>
              <w:top w:val="single" w:color="auto" w:sz="4" w:space="0"/>
              <w:left w:val="single" w:color="auto" w:sz="4" w:space="0"/>
              <w:bottom w:val="single" w:color="auto" w:sz="4" w:space="0"/>
              <w:right w:val="single" w:color="auto" w:sz="4" w:space="0"/>
            </w:tcBorders>
            <w:vAlign w:val="center"/>
          </w:tcPr>
          <w:p w14:paraId="1E397C95">
            <w:pPr>
              <w:jc w:val="center"/>
              <w:rPr>
                <w:rFonts w:ascii="宋体" w:hAnsi="宋体"/>
                <w:b/>
                <w:color w:val="auto"/>
                <w:szCs w:val="21"/>
              </w:rPr>
            </w:pPr>
            <w:r>
              <w:rPr>
                <w:rFonts w:hint="eastAsia" w:ascii="宋体" w:hAnsi="宋体"/>
                <w:b/>
                <w:color w:val="auto"/>
                <w:szCs w:val="21"/>
              </w:rPr>
              <w:t>分值</w:t>
            </w:r>
          </w:p>
          <w:p w14:paraId="1E6D2D88">
            <w:pPr>
              <w:jc w:val="center"/>
              <w:rPr>
                <w:rFonts w:ascii="宋体" w:hAnsi="宋体"/>
                <w:b/>
                <w:color w:val="auto"/>
                <w:szCs w:val="21"/>
              </w:rPr>
            </w:pPr>
            <w:r>
              <w:rPr>
                <w:rFonts w:hint="eastAsia" w:ascii="宋体" w:hAnsi="宋体"/>
                <w:b/>
                <w:color w:val="auto"/>
                <w:szCs w:val="21"/>
              </w:rPr>
              <w:t>属性</w:t>
            </w:r>
          </w:p>
        </w:tc>
        <w:tc>
          <w:tcPr>
            <w:tcW w:w="5003" w:type="dxa"/>
            <w:tcBorders>
              <w:top w:val="single" w:color="auto" w:sz="4" w:space="0"/>
              <w:left w:val="single" w:color="auto" w:sz="4" w:space="0"/>
              <w:bottom w:val="single" w:color="auto" w:sz="4" w:space="0"/>
              <w:right w:val="single" w:color="auto" w:sz="4" w:space="0"/>
            </w:tcBorders>
            <w:vAlign w:val="center"/>
          </w:tcPr>
          <w:p w14:paraId="5D78863B">
            <w:pPr>
              <w:jc w:val="center"/>
              <w:rPr>
                <w:rFonts w:ascii="宋体" w:hAnsi="宋体"/>
                <w:b/>
                <w:color w:val="auto"/>
                <w:szCs w:val="21"/>
              </w:rPr>
            </w:pPr>
            <w:r>
              <w:rPr>
                <w:rFonts w:hint="eastAsia" w:ascii="宋体" w:hAnsi="宋体"/>
                <w:b/>
                <w:color w:val="auto"/>
                <w:szCs w:val="21"/>
              </w:rPr>
              <w:t>评审标准</w:t>
            </w:r>
          </w:p>
        </w:tc>
        <w:tc>
          <w:tcPr>
            <w:tcW w:w="2044" w:type="dxa"/>
            <w:tcBorders>
              <w:top w:val="single" w:color="auto" w:sz="4" w:space="0"/>
              <w:left w:val="single" w:color="auto" w:sz="4" w:space="0"/>
              <w:bottom w:val="single" w:color="auto" w:sz="4" w:space="0"/>
              <w:right w:val="single" w:color="auto" w:sz="4" w:space="0"/>
            </w:tcBorders>
            <w:vAlign w:val="center"/>
          </w:tcPr>
          <w:p w14:paraId="73C27EBD">
            <w:pPr>
              <w:jc w:val="center"/>
              <w:rPr>
                <w:rFonts w:ascii="宋体" w:hAnsi="宋体"/>
                <w:b/>
                <w:color w:val="auto"/>
                <w:szCs w:val="21"/>
              </w:rPr>
            </w:pPr>
            <w:r>
              <w:rPr>
                <w:rFonts w:hint="eastAsia" w:ascii="宋体" w:hAnsi="宋体"/>
                <w:b/>
                <w:color w:val="auto"/>
                <w:szCs w:val="21"/>
              </w:rPr>
              <w:t>说明</w:t>
            </w:r>
          </w:p>
        </w:tc>
      </w:tr>
      <w:tr w14:paraId="29D5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1887C311">
            <w:pPr>
              <w:jc w:val="center"/>
              <w:rPr>
                <w:rFonts w:ascii="宋体" w:hAnsi="宋体"/>
                <w:color w:val="auto"/>
                <w:szCs w:val="21"/>
              </w:rPr>
            </w:pPr>
            <w:r>
              <w:rPr>
                <w:rFonts w:ascii="宋体" w:hAnsi="宋体"/>
                <w:color w:val="auto"/>
                <w:szCs w:val="21"/>
              </w:rPr>
              <w:t>1</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2B531CDF">
            <w:pPr>
              <w:tabs>
                <w:tab w:val="center" w:pos="4153"/>
                <w:tab w:val="right" w:pos="8306"/>
              </w:tabs>
              <w:snapToGrid w:val="0"/>
              <w:jc w:val="left"/>
              <w:rPr>
                <w:rFonts w:ascii="宋体" w:hAnsi="宋体"/>
                <w:color w:val="auto"/>
                <w:szCs w:val="21"/>
              </w:rPr>
            </w:pPr>
            <w:r>
              <w:rPr>
                <w:rFonts w:hint="eastAsia" w:ascii="宋体" w:hAnsi="宋体"/>
                <w:color w:val="auto"/>
                <w:szCs w:val="21"/>
              </w:rPr>
              <w:t>商务部分（46分）</w:t>
            </w:r>
          </w:p>
        </w:tc>
        <w:tc>
          <w:tcPr>
            <w:tcW w:w="1009" w:type="dxa"/>
            <w:tcBorders>
              <w:top w:val="single" w:color="auto" w:sz="4" w:space="0"/>
              <w:left w:val="single" w:color="auto" w:sz="4" w:space="0"/>
              <w:bottom w:val="single" w:color="auto" w:sz="4" w:space="0"/>
              <w:right w:val="single" w:color="auto" w:sz="4" w:space="0"/>
            </w:tcBorders>
            <w:vAlign w:val="center"/>
          </w:tcPr>
          <w:p w14:paraId="2E876B9B">
            <w:pPr>
              <w:rPr>
                <w:rFonts w:ascii="宋体" w:hAnsi="宋体"/>
                <w:color w:val="auto"/>
                <w:szCs w:val="21"/>
              </w:rPr>
            </w:pPr>
            <w:r>
              <w:rPr>
                <w:rFonts w:hint="eastAsia" w:ascii="宋体" w:hAnsi="宋体"/>
                <w:color w:val="auto"/>
                <w:szCs w:val="21"/>
              </w:rPr>
              <w:t>信誉业绩（10分）</w:t>
            </w:r>
          </w:p>
        </w:tc>
        <w:tc>
          <w:tcPr>
            <w:tcW w:w="692" w:type="dxa"/>
            <w:tcBorders>
              <w:top w:val="single" w:color="auto" w:sz="4" w:space="0"/>
              <w:left w:val="single" w:color="auto" w:sz="4" w:space="0"/>
              <w:bottom w:val="single" w:color="auto" w:sz="4" w:space="0"/>
              <w:right w:val="single" w:color="auto" w:sz="4" w:space="0"/>
            </w:tcBorders>
            <w:vAlign w:val="center"/>
          </w:tcPr>
          <w:p w14:paraId="1C37F5EC">
            <w:pPr>
              <w:jc w:val="center"/>
              <w:rPr>
                <w:rFonts w:ascii="宋体" w:hAnsi="宋体"/>
                <w:color w:val="auto"/>
                <w:szCs w:val="21"/>
              </w:rPr>
            </w:pPr>
            <w:r>
              <w:rPr>
                <w:rFonts w:hint="eastAsia"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29E225B1">
            <w:pPr>
              <w:jc w:val="left"/>
              <w:rPr>
                <w:rFonts w:ascii="宋体" w:hAnsi="宋体"/>
                <w:color w:val="auto"/>
                <w:szCs w:val="21"/>
              </w:rPr>
            </w:pPr>
            <w:r>
              <w:rPr>
                <w:rFonts w:hint="eastAsia" w:ascii="宋体" w:hAnsi="宋体"/>
                <w:color w:val="auto"/>
                <w:szCs w:val="21"/>
              </w:rPr>
              <w:t>供应商每提供</w:t>
            </w:r>
            <w:r>
              <w:rPr>
                <w:rFonts w:ascii="宋体" w:hAnsi="宋体"/>
                <w:color w:val="auto"/>
                <w:szCs w:val="21"/>
              </w:rPr>
              <w:t>1</w:t>
            </w:r>
            <w:r>
              <w:rPr>
                <w:rFonts w:hint="eastAsia" w:ascii="宋体" w:hAnsi="宋体"/>
                <w:color w:val="auto"/>
                <w:szCs w:val="21"/>
              </w:rPr>
              <w:t>个有效业绩得2分，满分10分。有效业绩定义：指规划编制、课题研究等类型项目业绩。</w:t>
            </w:r>
          </w:p>
        </w:tc>
        <w:tc>
          <w:tcPr>
            <w:tcW w:w="2044" w:type="dxa"/>
            <w:tcBorders>
              <w:top w:val="single" w:color="auto" w:sz="4" w:space="0"/>
              <w:left w:val="single" w:color="auto" w:sz="4" w:space="0"/>
              <w:bottom w:val="single" w:color="auto" w:sz="4" w:space="0"/>
              <w:right w:val="single" w:color="auto" w:sz="4" w:space="0"/>
            </w:tcBorders>
            <w:vAlign w:val="center"/>
          </w:tcPr>
          <w:p w14:paraId="63CCD1AA">
            <w:pPr>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）必须提供证明材料。</w:t>
            </w:r>
          </w:p>
          <w:p w14:paraId="439442D8">
            <w:pPr>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）以中标或成交通知书或合同复印件为准。</w:t>
            </w:r>
          </w:p>
        </w:tc>
      </w:tr>
      <w:tr w14:paraId="7087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7453A2B8">
            <w:pPr>
              <w:widowControl/>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47966CAC">
            <w:pPr>
              <w:widowControl/>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70D3D7D3">
            <w:pPr>
              <w:rPr>
                <w:rFonts w:ascii="宋体" w:hAnsi="宋体"/>
                <w:color w:val="auto"/>
                <w:szCs w:val="21"/>
              </w:rPr>
            </w:pPr>
            <w:r>
              <w:rPr>
                <w:rFonts w:hint="eastAsia" w:ascii="宋体" w:hAnsi="宋体"/>
                <w:color w:val="auto"/>
                <w:szCs w:val="21"/>
              </w:rPr>
              <w:t>服务团队人员（</w:t>
            </w:r>
            <w:r>
              <w:rPr>
                <w:rFonts w:ascii="宋体" w:hAnsi="宋体"/>
                <w:color w:val="auto"/>
                <w:szCs w:val="21"/>
              </w:rPr>
              <w:t>20</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0A0BB596">
            <w:pPr>
              <w:jc w:val="center"/>
              <w:rPr>
                <w:rFonts w:ascii="宋体" w:hAnsi="宋体"/>
                <w:color w:val="auto"/>
                <w:szCs w:val="21"/>
              </w:rPr>
            </w:pPr>
            <w:r>
              <w:rPr>
                <w:rFonts w:hint="eastAsia"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7E41FFC0">
            <w:pPr>
              <w:spacing w:line="300" w:lineRule="exact"/>
              <w:jc w:val="left"/>
              <w:rPr>
                <w:rFonts w:ascii="宋体" w:hAnsi="宋体"/>
                <w:color w:val="auto"/>
                <w:szCs w:val="21"/>
              </w:rPr>
            </w:pPr>
            <w:r>
              <w:rPr>
                <w:rFonts w:hint="eastAsia" w:ascii="宋体" w:hAnsi="宋体"/>
                <w:color w:val="auto"/>
                <w:szCs w:val="21"/>
              </w:rPr>
              <w:t>一档（</w:t>
            </w:r>
            <w:r>
              <w:rPr>
                <w:rFonts w:ascii="宋体" w:hAnsi="宋体"/>
                <w:color w:val="auto"/>
                <w:szCs w:val="21"/>
              </w:rPr>
              <w:t>5</w:t>
            </w:r>
            <w:r>
              <w:rPr>
                <w:rFonts w:hint="eastAsia" w:ascii="宋体" w:hAnsi="宋体"/>
                <w:color w:val="auto"/>
                <w:szCs w:val="21"/>
              </w:rPr>
              <w:t>分）：本项目拟投入课题团队人员仅满足采购文件人员要求，拟投入团队人员</w:t>
            </w:r>
            <w:r>
              <w:rPr>
                <w:rFonts w:ascii="宋体" w:hAnsi="宋体"/>
                <w:color w:val="auto"/>
                <w:szCs w:val="21"/>
              </w:rPr>
              <w:t>3</w:t>
            </w:r>
            <w:r>
              <w:rPr>
                <w:rFonts w:hint="eastAsia" w:ascii="宋体" w:hAnsi="宋体"/>
                <w:color w:val="auto"/>
                <w:szCs w:val="21"/>
              </w:rPr>
              <w:t>人的，配置基本合理，至少</w:t>
            </w:r>
            <w:r>
              <w:rPr>
                <w:rFonts w:ascii="宋体" w:hAnsi="宋体"/>
                <w:color w:val="auto"/>
                <w:szCs w:val="21"/>
              </w:rPr>
              <w:t>1</w:t>
            </w:r>
            <w:r>
              <w:rPr>
                <w:rFonts w:hint="eastAsia" w:ascii="宋体" w:hAnsi="宋体"/>
                <w:color w:val="auto"/>
                <w:szCs w:val="21"/>
              </w:rPr>
              <w:t>人具有高级及以上职称。</w:t>
            </w:r>
          </w:p>
          <w:p w14:paraId="44FD54CC">
            <w:pPr>
              <w:spacing w:line="300" w:lineRule="exact"/>
              <w:jc w:val="left"/>
              <w:rPr>
                <w:rFonts w:ascii="宋体" w:hAnsi="宋体"/>
                <w:color w:val="auto"/>
                <w:szCs w:val="21"/>
              </w:rPr>
            </w:pPr>
            <w:r>
              <w:rPr>
                <w:rFonts w:hint="eastAsia" w:ascii="宋体" w:hAnsi="宋体"/>
                <w:color w:val="auto"/>
                <w:szCs w:val="21"/>
              </w:rPr>
              <w:t>二档（</w:t>
            </w:r>
            <w:r>
              <w:rPr>
                <w:rFonts w:ascii="宋体" w:hAnsi="宋体"/>
                <w:color w:val="auto"/>
                <w:szCs w:val="21"/>
              </w:rPr>
              <w:t>10</w:t>
            </w:r>
            <w:r>
              <w:rPr>
                <w:rFonts w:hint="eastAsia" w:ascii="宋体" w:hAnsi="宋体"/>
                <w:color w:val="auto"/>
                <w:szCs w:val="21"/>
              </w:rPr>
              <w:t>分）：本项目拟投入课题团队人员在满足采购文件人员要求下，能投入</w:t>
            </w:r>
            <w:r>
              <w:rPr>
                <w:rFonts w:ascii="宋体" w:hAnsi="宋体"/>
                <w:color w:val="auto"/>
                <w:szCs w:val="21"/>
              </w:rPr>
              <w:t>4</w:t>
            </w:r>
            <w:r>
              <w:rPr>
                <w:rFonts w:hint="eastAsia" w:ascii="宋体" w:hAnsi="宋体"/>
                <w:color w:val="auto"/>
                <w:szCs w:val="21"/>
              </w:rPr>
              <w:t>人及以上的，配置合理，团队人员中拥有工业领域或经济学、管理学领域的本科及以上相关学位，至少2人具有高级及以上职称。</w:t>
            </w:r>
          </w:p>
          <w:p w14:paraId="45AAED40">
            <w:pPr>
              <w:rPr>
                <w:rFonts w:ascii="宋体" w:hAnsi="宋体"/>
                <w:color w:val="auto"/>
                <w:szCs w:val="21"/>
              </w:rPr>
            </w:pPr>
            <w:r>
              <w:rPr>
                <w:rFonts w:hint="eastAsia" w:ascii="宋体" w:hAnsi="宋体"/>
                <w:color w:val="auto"/>
                <w:szCs w:val="21"/>
              </w:rPr>
              <w:t>三档（</w:t>
            </w:r>
            <w:r>
              <w:rPr>
                <w:rFonts w:ascii="宋体" w:hAnsi="宋体"/>
                <w:color w:val="auto"/>
                <w:szCs w:val="21"/>
              </w:rPr>
              <w:t>15</w:t>
            </w:r>
            <w:r>
              <w:rPr>
                <w:rFonts w:hint="eastAsia" w:ascii="宋体" w:hAnsi="宋体"/>
                <w:color w:val="auto"/>
                <w:szCs w:val="21"/>
              </w:rPr>
              <w:t>分）：</w:t>
            </w:r>
            <w:r>
              <w:rPr>
                <w:rFonts w:ascii="宋体" w:hAnsi="宋体"/>
                <w:color w:val="auto"/>
                <w:szCs w:val="21"/>
              </w:rPr>
              <w:t>本项目拟投入团队人员7人</w:t>
            </w:r>
            <w:r>
              <w:rPr>
                <w:rFonts w:hint="eastAsia" w:ascii="宋体" w:hAnsi="宋体"/>
                <w:color w:val="auto"/>
                <w:szCs w:val="21"/>
              </w:rPr>
              <w:t>及以上</w:t>
            </w:r>
            <w:r>
              <w:rPr>
                <w:rFonts w:ascii="宋体" w:hAnsi="宋体"/>
                <w:color w:val="auto"/>
                <w:szCs w:val="21"/>
              </w:rPr>
              <w:t>，配置充足合理，且团队人员中拥有工业领域或经济学领域硕士及以上相关学位，至少3人具有高级及以上职称。</w:t>
            </w:r>
          </w:p>
          <w:p w14:paraId="495C939B">
            <w:pPr>
              <w:rPr>
                <w:rFonts w:ascii="宋体" w:hAnsi="宋体"/>
                <w:color w:val="auto"/>
                <w:szCs w:val="21"/>
              </w:rPr>
            </w:pPr>
            <w:r>
              <w:rPr>
                <w:rFonts w:ascii="宋体" w:hAnsi="宋体"/>
                <w:color w:val="auto"/>
                <w:szCs w:val="21"/>
              </w:rPr>
              <w:t>四档（20分）本项目拟投入团队人员10人及以上，配置充足、合理，且团队人员中拥有工业领域或经济学、管理学等相关领域的硕士以上学位；</w:t>
            </w:r>
            <w:r>
              <w:rPr>
                <w:rFonts w:hint="eastAsia" w:ascii="宋体" w:hAnsi="宋体"/>
                <w:color w:val="auto"/>
                <w:szCs w:val="21"/>
              </w:rPr>
              <w:t>至少3人具有高级及以上职称，其中项目负责人为正高级职称</w:t>
            </w:r>
            <w:r>
              <w:rPr>
                <w:rFonts w:ascii="宋体" w:hAnsi="宋体"/>
                <w:color w:val="auto"/>
                <w:szCs w:val="21"/>
              </w:rPr>
              <w:t>。</w:t>
            </w:r>
          </w:p>
        </w:tc>
        <w:tc>
          <w:tcPr>
            <w:tcW w:w="2044" w:type="dxa"/>
            <w:tcBorders>
              <w:top w:val="single" w:color="auto" w:sz="4" w:space="0"/>
              <w:left w:val="single" w:color="auto" w:sz="4" w:space="0"/>
              <w:bottom w:val="single" w:color="auto" w:sz="4" w:space="0"/>
              <w:right w:val="single" w:color="auto" w:sz="4" w:space="0"/>
            </w:tcBorders>
            <w:vAlign w:val="center"/>
          </w:tcPr>
          <w:p w14:paraId="7F977599">
            <w:pPr>
              <w:rPr>
                <w:rFonts w:ascii="宋体" w:hAnsi="宋体"/>
                <w:color w:val="auto"/>
                <w:szCs w:val="21"/>
              </w:rPr>
            </w:pPr>
            <w:r>
              <w:rPr>
                <w:rFonts w:hint="eastAsia" w:ascii="宋体" w:hAnsi="宋体"/>
                <w:color w:val="auto"/>
                <w:szCs w:val="21"/>
              </w:rPr>
              <w:t>必须提供相关证明材料。</w:t>
            </w:r>
          </w:p>
        </w:tc>
      </w:tr>
      <w:tr w14:paraId="00AB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18AEAFCE">
            <w:pPr>
              <w:widowControl/>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009B246B">
            <w:pPr>
              <w:widowControl/>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5AD0C149">
            <w:pPr>
              <w:rPr>
                <w:rFonts w:ascii="宋体" w:hAnsi="宋体"/>
                <w:color w:val="auto"/>
                <w:szCs w:val="21"/>
              </w:rPr>
            </w:pPr>
            <w:r>
              <w:rPr>
                <w:rFonts w:hint="eastAsia" w:ascii="宋体" w:hAnsi="宋体"/>
                <w:color w:val="auto"/>
                <w:szCs w:val="21"/>
              </w:rPr>
              <w:t>质量保证措施（</w:t>
            </w:r>
            <w:r>
              <w:rPr>
                <w:rFonts w:ascii="宋体" w:hAnsi="宋体"/>
                <w:color w:val="auto"/>
                <w:szCs w:val="21"/>
              </w:rPr>
              <w:t>16</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1593F201">
            <w:pPr>
              <w:jc w:val="center"/>
              <w:rPr>
                <w:rFonts w:ascii="宋体" w:hAnsi="宋体"/>
                <w:color w:val="auto"/>
                <w:szCs w:val="21"/>
              </w:rPr>
            </w:pPr>
            <w:r>
              <w:rPr>
                <w:rFonts w:hint="eastAsia"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67B7BF31">
            <w:pPr>
              <w:rPr>
                <w:rFonts w:ascii="宋体" w:hAnsi="宋体"/>
                <w:color w:val="auto"/>
                <w:szCs w:val="21"/>
              </w:rPr>
            </w:pPr>
            <w:r>
              <w:rPr>
                <w:rFonts w:hint="eastAsia" w:ascii="宋体" w:hAnsi="宋体"/>
                <w:color w:val="auto"/>
                <w:szCs w:val="21"/>
              </w:rPr>
              <w:t>一档（</w:t>
            </w:r>
            <w:r>
              <w:rPr>
                <w:rFonts w:ascii="宋体" w:hAnsi="宋体"/>
                <w:color w:val="auto"/>
                <w:szCs w:val="21"/>
              </w:rPr>
              <w:t>4</w:t>
            </w:r>
            <w:r>
              <w:rPr>
                <w:rFonts w:hint="eastAsia" w:ascii="宋体" w:hAnsi="宋体"/>
                <w:color w:val="auto"/>
                <w:szCs w:val="21"/>
              </w:rPr>
              <w:t>分）：供应商为采购人提供有合理的承诺，</w:t>
            </w:r>
          </w:p>
          <w:p w14:paraId="0F2EA8CC">
            <w:pPr>
              <w:rPr>
                <w:rFonts w:ascii="宋体" w:hAnsi="宋体"/>
                <w:color w:val="auto"/>
                <w:szCs w:val="21"/>
              </w:rPr>
            </w:pPr>
            <w:r>
              <w:rPr>
                <w:rFonts w:hint="eastAsia" w:ascii="宋体" w:hAnsi="宋体"/>
                <w:color w:val="auto"/>
                <w:szCs w:val="21"/>
              </w:rPr>
              <w:t>并包含有项目保障措施，但方案简单，缺乏、针对性；</w:t>
            </w:r>
          </w:p>
          <w:p w14:paraId="0C0E6677">
            <w:pPr>
              <w:rPr>
                <w:rFonts w:ascii="宋体" w:hAnsi="宋体"/>
                <w:color w:val="auto"/>
                <w:szCs w:val="21"/>
              </w:rPr>
            </w:pPr>
            <w:r>
              <w:rPr>
                <w:rFonts w:hint="eastAsia" w:ascii="宋体" w:hAnsi="宋体"/>
                <w:color w:val="auto"/>
                <w:szCs w:val="21"/>
              </w:rPr>
              <w:t>二档（</w:t>
            </w:r>
            <w:r>
              <w:rPr>
                <w:rFonts w:ascii="宋体" w:hAnsi="宋体"/>
                <w:color w:val="auto"/>
                <w:szCs w:val="21"/>
              </w:rPr>
              <w:t>10</w:t>
            </w:r>
            <w:r>
              <w:rPr>
                <w:rFonts w:hint="eastAsia" w:ascii="宋体" w:hAnsi="宋体"/>
                <w:color w:val="auto"/>
                <w:szCs w:val="21"/>
              </w:rPr>
              <w:t>分）：供应商为采购人提供有服务质量及成果完成时间承诺，并包含有项目保障措施、保密承诺及廉洁承诺等，且描述了项目保障措施的方法以及实现方式，方案合理可行，具有针对性；</w:t>
            </w:r>
          </w:p>
          <w:p w14:paraId="1F7D9A3B">
            <w:pPr>
              <w:rPr>
                <w:rFonts w:ascii="宋体" w:hAnsi="宋体"/>
                <w:color w:val="auto"/>
                <w:szCs w:val="21"/>
              </w:rPr>
            </w:pPr>
            <w:r>
              <w:rPr>
                <w:rFonts w:hint="eastAsia" w:ascii="宋体" w:hAnsi="宋体"/>
                <w:color w:val="auto"/>
                <w:szCs w:val="21"/>
              </w:rPr>
              <w:t>三档（</w:t>
            </w:r>
            <w:r>
              <w:rPr>
                <w:rFonts w:ascii="宋体" w:hAnsi="宋体"/>
                <w:color w:val="auto"/>
                <w:szCs w:val="21"/>
              </w:rPr>
              <w:t>16</w:t>
            </w:r>
            <w:r>
              <w:rPr>
                <w:rFonts w:hint="eastAsia" w:ascii="宋体" w:hAnsi="宋体"/>
                <w:color w:val="auto"/>
                <w:szCs w:val="21"/>
              </w:rPr>
              <w:t>分）：供应商为采购人提供优于采购需求的服务质量及成果完成时间承诺，并包含有合理可行并且具有针对性的项目保障措施、保密承诺及廉洁承诺等，且描述了应急保障方案的方法以及实现方式</w:t>
            </w:r>
            <w:r>
              <w:rPr>
                <w:rFonts w:ascii="宋体" w:hAnsi="宋体"/>
                <w:color w:val="auto"/>
                <w:szCs w:val="21"/>
              </w:rPr>
              <w:t xml:space="preserve"> </w:t>
            </w:r>
            <w:r>
              <w:rPr>
                <w:rFonts w:hint="eastAsia" w:ascii="宋体" w:hAnsi="宋体"/>
                <w:color w:val="auto"/>
                <w:szCs w:val="21"/>
              </w:rPr>
              <w:t>，服务质量承诺方案的联系人等，服务承诺和保障措施考虑周全完整，有额外优惠服务措施和内容。</w:t>
            </w:r>
          </w:p>
        </w:tc>
        <w:tc>
          <w:tcPr>
            <w:tcW w:w="2044" w:type="dxa"/>
            <w:tcBorders>
              <w:top w:val="single" w:color="auto" w:sz="4" w:space="0"/>
              <w:left w:val="single" w:color="auto" w:sz="4" w:space="0"/>
              <w:bottom w:val="single" w:color="auto" w:sz="4" w:space="0"/>
              <w:right w:val="single" w:color="auto" w:sz="4" w:space="0"/>
            </w:tcBorders>
            <w:vAlign w:val="center"/>
          </w:tcPr>
          <w:p w14:paraId="30928959">
            <w:pPr>
              <w:rPr>
                <w:rFonts w:ascii="宋体" w:hAnsi="宋体"/>
                <w:color w:val="auto"/>
                <w:szCs w:val="21"/>
              </w:rPr>
            </w:pPr>
            <w:r>
              <w:rPr>
                <w:rFonts w:hint="eastAsia" w:ascii="宋体" w:hAnsi="宋体"/>
                <w:color w:val="auto"/>
                <w:szCs w:val="21"/>
              </w:rPr>
              <w:t>未提供不得分。</w:t>
            </w:r>
          </w:p>
        </w:tc>
      </w:tr>
      <w:tr w14:paraId="4F31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5F904EAA">
            <w:pPr>
              <w:jc w:val="center"/>
              <w:rPr>
                <w:rFonts w:ascii="宋体" w:hAnsi="宋体"/>
                <w:color w:val="auto"/>
                <w:szCs w:val="21"/>
              </w:rPr>
            </w:pPr>
            <w:r>
              <w:rPr>
                <w:rFonts w:ascii="宋体" w:hAnsi="宋体"/>
                <w:color w:val="auto"/>
                <w:szCs w:val="21"/>
              </w:rPr>
              <w:t>2</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3E26B5D0">
            <w:pPr>
              <w:jc w:val="center"/>
              <w:rPr>
                <w:rFonts w:ascii="宋体" w:hAnsi="宋体"/>
                <w:color w:val="auto"/>
                <w:szCs w:val="21"/>
              </w:rPr>
            </w:pPr>
            <w:r>
              <w:rPr>
                <w:rFonts w:hint="eastAsia" w:ascii="宋体" w:hAnsi="宋体"/>
                <w:color w:val="auto"/>
                <w:szCs w:val="21"/>
              </w:rPr>
              <w:t>技术部分（</w:t>
            </w:r>
            <w:r>
              <w:rPr>
                <w:rFonts w:ascii="宋体" w:hAnsi="宋体"/>
                <w:color w:val="auto"/>
                <w:szCs w:val="21"/>
              </w:rPr>
              <w:t>4</w:t>
            </w:r>
            <w:r>
              <w:rPr>
                <w:rFonts w:hint="eastAsia" w:ascii="宋体" w:hAnsi="宋体"/>
                <w:color w:val="auto"/>
                <w:szCs w:val="21"/>
              </w:rPr>
              <w:t>4分）</w:t>
            </w:r>
          </w:p>
        </w:tc>
        <w:tc>
          <w:tcPr>
            <w:tcW w:w="1009" w:type="dxa"/>
            <w:tcBorders>
              <w:top w:val="single" w:color="auto" w:sz="4" w:space="0"/>
              <w:left w:val="single" w:color="auto" w:sz="4" w:space="0"/>
              <w:bottom w:val="single" w:color="auto" w:sz="4" w:space="0"/>
              <w:right w:val="single" w:color="auto" w:sz="4" w:space="0"/>
            </w:tcBorders>
            <w:vAlign w:val="center"/>
          </w:tcPr>
          <w:p w14:paraId="6E19BAA3">
            <w:pPr>
              <w:widowControl/>
              <w:jc w:val="left"/>
              <w:rPr>
                <w:rFonts w:ascii="宋体" w:hAnsi="宋体"/>
                <w:color w:val="auto"/>
                <w:szCs w:val="21"/>
              </w:rPr>
            </w:pPr>
            <w:r>
              <w:rPr>
                <w:rFonts w:hint="eastAsia" w:ascii="宋体" w:hAnsi="宋体"/>
                <w:color w:val="auto"/>
                <w:szCs w:val="21"/>
              </w:rPr>
              <w:t>工作方案（</w:t>
            </w:r>
            <w:r>
              <w:rPr>
                <w:rFonts w:ascii="宋体" w:hAnsi="宋体"/>
                <w:color w:val="auto"/>
                <w:szCs w:val="21"/>
              </w:rPr>
              <w:t>30</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6C19E364">
            <w:pPr>
              <w:jc w:val="center"/>
              <w:rPr>
                <w:rFonts w:ascii="宋体" w:hAnsi="宋体"/>
                <w:color w:val="auto"/>
                <w:szCs w:val="21"/>
              </w:rPr>
            </w:pPr>
            <w:r>
              <w:rPr>
                <w:rFonts w:hint="eastAsia"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38356DFD">
            <w:pPr>
              <w:rPr>
                <w:rFonts w:ascii="宋体" w:hAnsi="宋体"/>
                <w:color w:val="auto"/>
                <w:szCs w:val="21"/>
              </w:rPr>
            </w:pPr>
            <w:r>
              <w:rPr>
                <w:rFonts w:hint="eastAsia" w:ascii="宋体" w:hAnsi="宋体"/>
                <w:color w:val="auto"/>
                <w:szCs w:val="21"/>
              </w:rPr>
              <w:t>一档（</w:t>
            </w:r>
            <w:r>
              <w:rPr>
                <w:rFonts w:ascii="宋体" w:hAnsi="宋体"/>
                <w:color w:val="auto"/>
                <w:szCs w:val="21"/>
              </w:rPr>
              <w:t>8</w:t>
            </w:r>
            <w:r>
              <w:rPr>
                <w:rFonts w:hint="eastAsia" w:ascii="宋体" w:hAnsi="宋体"/>
                <w:color w:val="auto"/>
                <w:szCs w:val="21"/>
              </w:rPr>
              <w:t>分）：目标工作方案简单，对项目的总体需求的理解程度、对项目范围把握不准确，项目重点难点分析不完整。</w:t>
            </w:r>
          </w:p>
          <w:p w14:paraId="74C943B8">
            <w:pPr>
              <w:rPr>
                <w:rFonts w:ascii="宋体" w:hAnsi="宋体"/>
                <w:color w:val="auto"/>
                <w:szCs w:val="21"/>
              </w:rPr>
            </w:pPr>
            <w:r>
              <w:rPr>
                <w:rFonts w:hint="eastAsia" w:ascii="宋体" w:hAnsi="宋体"/>
                <w:color w:val="auto"/>
                <w:szCs w:val="21"/>
              </w:rPr>
              <w:t>二档（</w:t>
            </w:r>
            <w:r>
              <w:rPr>
                <w:rFonts w:ascii="宋体" w:hAnsi="宋体"/>
                <w:color w:val="auto"/>
                <w:szCs w:val="21"/>
              </w:rPr>
              <w:t>16</w:t>
            </w:r>
            <w:r>
              <w:rPr>
                <w:rFonts w:hint="eastAsia" w:ascii="宋体" w:hAnsi="宋体"/>
                <w:color w:val="auto"/>
                <w:szCs w:val="21"/>
              </w:rPr>
              <w:t>分）：目标工作方案合理完整，具有针对性，对项目的总体需求的理解程度、对项目范围把握准确度低，项目重点难点分析简单，应对措施不够具体。</w:t>
            </w:r>
          </w:p>
          <w:p w14:paraId="6837EE9D">
            <w:pPr>
              <w:rPr>
                <w:rFonts w:ascii="宋体" w:hAnsi="宋体"/>
                <w:color w:val="auto"/>
                <w:szCs w:val="21"/>
              </w:rPr>
            </w:pPr>
            <w:r>
              <w:rPr>
                <w:rFonts w:hint="eastAsia" w:ascii="宋体" w:hAnsi="宋体"/>
                <w:color w:val="auto"/>
                <w:szCs w:val="21"/>
              </w:rPr>
              <w:t>三档（</w:t>
            </w:r>
            <w:r>
              <w:rPr>
                <w:rFonts w:ascii="宋体" w:hAnsi="宋体"/>
                <w:color w:val="auto"/>
                <w:szCs w:val="21"/>
              </w:rPr>
              <w:t>24</w:t>
            </w:r>
            <w:r>
              <w:rPr>
                <w:rFonts w:hint="eastAsia" w:ascii="宋体" w:hAnsi="宋体"/>
                <w:color w:val="auto"/>
                <w:szCs w:val="21"/>
              </w:rPr>
              <w:t>分）：目标工作方案合理完整，具有针对性和一定的先进性，对项目的总体需求的理解程度、对项目范围把握准确度良好，项目重点难点分析完善，应对措施具体可行，并附有相关的合理化建议，建立完善的组织机构、规范的内部操作规程，技术方案综合评价良好。</w:t>
            </w:r>
          </w:p>
          <w:p w14:paraId="44C9F824">
            <w:pPr>
              <w:rPr>
                <w:rFonts w:ascii="宋体" w:hAnsi="宋体"/>
                <w:color w:val="auto"/>
                <w:szCs w:val="21"/>
              </w:rPr>
            </w:pPr>
            <w:r>
              <w:rPr>
                <w:rFonts w:hint="eastAsia" w:ascii="宋体" w:hAnsi="宋体"/>
                <w:color w:val="auto"/>
                <w:szCs w:val="21"/>
              </w:rPr>
              <w:t>四档（</w:t>
            </w:r>
            <w:r>
              <w:rPr>
                <w:rFonts w:ascii="宋体" w:hAnsi="宋体"/>
                <w:color w:val="auto"/>
                <w:szCs w:val="21"/>
              </w:rPr>
              <w:t>30</w:t>
            </w:r>
            <w:r>
              <w:rPr>
                <w:rFonts w:hint="eastAsia" w:ascii="宋体" w:hAnsi="宋体"/>
                <w:color w:val="auto"/>
                <w:szCs w:val="21"/>
              </w:rPr>
              <w:t>分）：目标工作方案合理完整，具有针对性和一定的先进性，对项目的总体需求的理解程度、对项目范围把握准确度高并具有切合的额外建设建议和措施，项目重点难点分析翔实且有针对性，应对措施具体可行，相关的合理化建议有可操作性和先进性，建立完善的组织机构、规范的内部操作规程，综合评价优秀。</w:t>
            </w:r>
          </w:p>
        </w:tc>
        <w:tc>
          <w:tcPr>
            <w:tcW w:w="2044" w:type="dxa"/>
            <w:tcBorders>
              <w:top w:val="single" w:color="auto" w:sz="4" w:space="0"/>
              <w:left w:val="single" w:color="auto" w:sz="4" w:space="0"/>
              <w:bottom w:val="single" w:color="auto" w:sz="4" w:space="0"/>
              <w:right w:val="single" w:color="auto" w:sz="4" w:space="0"/>
            </w:tcBorders>
            <w:vAlign w:val="center"/>
          </w:tcPr>
          <w:p w14:paraId="134167A1">
            <w:pPr>
              <w:rPr>
                <w:rFonts w:ascii="宋体" w:hAnsi="宋体"/>
                <w:color w:val="auto"/>
                <w:szCs w:val="21"/>
              </w:rPr>
            </w:pPr>
            <w:r>
              <w:rPr>
                <w:rFonts w:hint="eastAsia" w:ascii="宋体" w:hAnsi="宋体"/>
                <w:color w:val="auto"/>
                <w:szCs w:val="21"/>
              </w:rPr>
              <w:t>未提供不得分。</w:t>
            </w:r>
          </w:p>
        </w:tc>
      </w:tr>
      <w:tr w14:paraId="0258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30F88801">
            <w:pPr>
              <w:widowControl/>
              <w:jc w:val="left"/>
              <w:rPr>
                <w:rFonts w:ascii="宋体" w:hAnsi="宋体"/>
                <w:color w:val="auto"/>
                <w:szCs w:val="21"/>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49866368">
            <w:pPr>
              <w:widowControl/>
              <w:jc w:val="left"/>
              <w:rPr>
                <w:rFonts w:ascii="宋体" w:hAnsi="宋体"/>
                <w:color w:val="auto"/>
                <w:szCs w:val="21"/>
              </w:rPr>
            </w:pPr>
          </w:p>
        </w:tc>
        <w:tc>
          <w:tcPr>
            <w:tcW w:w="1009" w:type="dxa"/>
            <w:tcBorders>
              <w:top w:val="single" w:color="auto" w:sz="4" w:space="0"/>
              <w:left w:val="single" w:color="auto" w:sz="4" w:space="0"/>
              <w:bottom w:val="single" w:color="auto" w:sz="4" w:space="0"/>
              <w:right w:val="single" w:color="auto" w:sz="4" w:space="0"/>
            </w:tcBorders>
            <w:vAlign w:val="center"/>
          </w:tcPr>
          <w:p w14:paraId="43A06CD7">
            <w:pPr>
              <w:widowControl/>
              <w:jc w:val="left"/>
              <w:rPr>
                <w:rFonts w:ascii="宋体" w:hAnsi="宋体"/>
                <w:color w:val="auto"/>
                <w:szCs w:val="21"/>
              </w:rPr>
            </w:pPr>
            <w:r>
              <w:rPr>
                <w:rFonts w:hint="eastAsia" w:ascii="宋体" w:hAnsi="宋体"/>
                <w:color w:val="auto"/>
                <w:szCs w:val="21"/>
              </w:rPr>
              <w:t>实施计划（14分）</w:t>
            </w:r>
          </w:p>
        </w:tc>
        <w:tc>
          <w:tcPr>
            <w:tcW w:w="692" w:type="dxa"/>
            <w:tcBorders>
              <w:top w:val="single" w:color="auto" w:sz="4" w:space="0"/>
              <w:left w:val="single" w:color="auto" w:sz="4" w:space="0"/>
              <w:bottom w:val="single" w:color="auto" w:sz="4" w:space="0"/>
              <w:right w:val="single" w:color="auto" w:sz="4" w:space="0"/>
            </w:tcBorders>
            <w:vAlign w:val="center"/>
          </w:tcPr>
          <w:p w14:paraId="7C7C48B2">
            <w:pPr>
              <w:jc w:val="center"/>
              <w:rPr>
                <w:rFonts w:ascii="宋体" w:hAnsi="宋体"/>
                <w:color w:val="auto"/>
                <w:szCs w:val="21"/>
              </w:rPr>
            </w:pPr>
            <w:r>
              <w:rPr>
                <w:rFonts w:hint="eastAsia" w:ascii="宋体" w:hAnsi="宋体"/>
                <w:color w:val="auto"/>
                <w:szCs w:val="21"/>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46FDD7A3">
            <w:pPr>
              <w:rPr>
                <w:rFonts w:ascii="宋体" w:hAnsi="宋体"/>
                <w:color w:val="auto"/>
                <w:szCs w:val="21"/>
              </w:rPr>
            </w:pPr>
            <w:r>
              <w:rPr>
                <w:rFonts w:hint="eastAsia" w:ascii="宋体" w:hAnsi="宋体"/>
                <w:color w:val="auto"/>
                <w:szCs w:val="21"/>
              </w:rPr>
              <w:t>一档（5分）：计划安排内容简单；</w:t>
            </w:r>
          </w:p>
          <w:p w14:paraId="1346758A">
            <w:pPr>
              <w:rPr>
                <w:rFonts w:ascii="宋体" w:hAnsi="宋体"/>
                <w:color w:val="auto"/>
                <w:szCs w:val="21"/>
              </w:rPr>
            </w:pPr>
            <w:r>
              <w:rPr>
                <w:rFonts w:hint="eastAsia" w:ascii="宋体" w:hAnsi="宋体"/>
                <w:color w:val="auto"/>
                <w:szCs w:val="21"/>
              </w:rPr>
              <w:t>二档（8分）：有工作步骤、对本项目调研计划基本合理，时间安排基本满足采购文件要求；</w:t>
            </w:r>
          </w:p>
          <w:p w14:paraId="1117E323">
            <w:pPr>
              <w:rPr>
                <w:rFonts w:ascii="宋体" w:hAnsi="宋体"/>
                <w:color w:val="auto"/>
                <w:szCs w:val="21"/>
              </w:rPr>
            </w:pPr>
            <w:r>
              <w:rPr>
                <w:rFonts w:hint="eastAsia" w:ascii="宋体" w:hAnsi="宋体"/>
                <w:color w:val="auto"/>
                <w:szCs w:val="21"/>
              </w:rPr>
              <w:t>三档（11分）：有工作步骤、对本项目调研计划合理，时间满足采购文件要求，有参加课题前期调研、中期汇报的安排内容；</w:t>
            </w:r>
          </w:p>
          <w:p w14:paraId="5C716B70">
            <w:pPr>
              <w:rPr>
                <w:rFonts w:ascii="宋体" w:hAnsi="宋体"/>
                <w:color w:val="auto"/>
                <w:szCs w:val="21"/>
              </w:rPr>
            </w:pPr>
            <w:r>
              <w:rPr>
                <w:rFonts w:hint="eastAsia" w:ascii="宋体" w:hAnsi="宋体"/>
                <w:color w:val="auto"/>
                <w:szCs w:val="21"/>
              </w:rPr>
              <w:t>四档（14分）：有工作步骤、对本项目调研计划科学合理，时间安排紧凑且优于采购文件要求，推进步骤清晰明了，参加课题前期调研、中期汇报的安排科学合理，保证课题质量措施有利于采购人完成项目。</w:t>
            </w:r>
          </w:p>
        </w:tc>
        <w:tc>
          <w:tcPr>
            <w:tcW w:w="2044" w:type="dxa"/>
            <w:tcBorders>
              <w:top w:val="single" w:color="auto" w:sz="4" w:space="0"/>
              <w:left w:val="single" w:color="auto" w:sz="4" w:space="0"/>
              <w:bottom w:val="single" w:color="auto" w:sz="4" w:space="0"/>
              <w:right w:val="single" w:color="auto" w:sz="4" w:space="0"/>
            </w:tcBorders>
            <w:vAlign w:val="center"/>
          </w:tcPr>
          <w:p w14:paraId="06338A99">
            <w:pPr>
              <w:rPr>
                <w:rFonts w:ascii="宋体" w:hAnsi="宋体"/>
                <w:color w:val="auto"/>
                <w:szCs w:val="21"/>
              </w:rPr>
            </w:pPr>
            <w:r>
              <w:rPr>
                <w:rFonts w:hint="eastAsia" w:ascii="宋体" w:hAnsi="宋体"/>
                <w:color w:val="auto"/>
                <w:szCs w:val="21"/>
              </w:rPr>
              <w:t>未提供不得分。</w:t>
            </w:r>
          </w:p>
        </w:tc>
      </w:tr>
      <w:tr w14:paraId="2175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20E6F7A4">
            <w:pPr>
              <w:jc w:val="center"/>
              <w:rPr>
                <w:rFonts w:ascii="宋体" w:hAnsi="宋体"/>
                <w:color w:val="auto"/>
                <w:szCs w:val="21"/>
              </w:rPr>
            </w:pPr>
            <w:r>
              <w:rPr>
                <w:rFonts w:ascii="宋体" w:hAnsi="宋体"/>
                <w:color w:val="auto"/>
                <w:szCs w:val="21"/>
              </w:rPr>
              <w:t>3</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57B723C6">
            <w:pPr>
              <w:jc w:val="center"/>
              <w:rPr>
                <w:rFonts w:ascii="宋体" w:hAnsi="宋体"/>
                <w:color w:val="auto"/>
                <w:szCs w:val="21"/>
              </w:rPr>
            </w:pPr>
            <w:r>
              <w:rPr>
                <w:rFonts w:hint="eastAsia" w:ascii="宋体" w:hAnsi="宋体"/>
                <w:color w:val="auto"/>
                <w:szCs w:val="21"/>
              </w:rPr>
              <w:t>响应报价分</w:t>
            </w:r>
          </w:p>
          <w:p w14:paraId="27E44191">
            <w:pPr>
              <w:jc w:val="center"/>
              <w:rPr>
                <w:rFonts w:ascii="宋体" w:hAnsi="宋体"/>
                <w:color w:val="auto"/>
                <w:szCs w:val="21"/>
              </w:rPr>
            </w:pPr>
            <w:r>
              <w:rPr>
                <w:rFonts w:hint="eastAsia" w:ascii="宋体" w:hAnsi="宋体"/>
                <w:color w:val="auto"/>
                <w:szCs w:val="21"/>
              </w:rPr>
              <w:t>（</w:t>
            </w:r>
            <w:r>
              <w:rPr>
                <w:rFonts w:ascii="宋体" w:hAnsi="宋体"/>
                <w:color w:val="auto"/>
                <w:szCs w:val="21"/>
              </w:rPr>
              <w:t>10</w:t>
            </w:r>
            <w:r>
              <w:rPr>
                <w:rFonts w:hint="eastAsia" w:ascii="宋体" w:hAnsi="宋体"/>
                <w:color w:val="auto"/>
                <w:szCs w:val="21"/>
              </w:rPr>
              <w:t>分）</w:t>
            </w:r>
          </w:p>
        </w:tc>
        <w:tc>
          <w:tcPr>
            <w:tcW w:w="692" w:type="dxa"/>
            <w:tcBorders>
              <w:top w:val="single" w:color="auto" w:sz="4" w:space="0"/>
              <w:left w:val="single" w:color="auto" w:sz="4" w:space="0"/>
              <w:bottom w:val="single" w:color="auto" w:sz="4" w:space="0"/>
              <w:right w:val="single" w:color="auto" w:sz="4" w:space="0"/>
            </w:tcBorders>
            <w:vAlign w:val="center"/>
          </w:tcPr>
          <w:p w14:paraId="7AB41AF5">
            <w:pPr>
              <w:jc w:val="center"/>
              <w:rPr>
                <w:rFonts w:ascii="宋体" w:hAnsi="宋体"/>
                <w:color w:val="auto"/>
                <w:szCs w:val="21"/>
              </w:rPr>
            </w:pPr>
            <w:r>
              <w:rPr>
                <w:rFonts w:hint="eastAsia" w:ascii="宋体" w:hAnsi="宋体"/>
                <w:color w:val="auto"/>
                <w:szCs w:val="21"/>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6A7B2D8D">
            <w:pPr>
              <w:jc w:val="center"/>
              <w:rPr>
                <w:rFonts w:ascii="宋体" w:hAnsi="宋体"/>
                <w:color w:val="auto"/>
                <w:szCs w:val="21"/>
              </w:rPr>
            </w:pPr>
            <w:r>
              <w:rPr>
                <w:rFonts w:hint="eastAsia" w:ascii="宋体" w:hAnsi="宋体"/>
                <w:color w:val="auto"/>
                <w:szCs w:val="21"/>
              </w:rPr>
              <w:t>以满足采购文件要求且响应价格最低的响应报价为评审基准价，其价格分为满分。其他供应商的价格分统一按照下列公式计算：响应报价得分</w:t>
            </w:r>
            <w:r>
              <w:rPr>
                <w:rFonts w:ascii="宋体" w:hAnsi="宋体"/>
                <w:color w:val="auto"/>
                <w:szCs w:val="21"/>
              </w:rPr>
              <w:t>=</w:t>
            </w:r>
            <w:r>
              <w:rPr>
                <w:rFonts w:hint="eastAsia" w:ascii="宋体" w:hAnsi="宋体"/>
                <w:color w:val="auto"/>
                <w:szCs w:val="21"/>
              </w:rPr>
              <w:t>（评审基准价</w:t>
            </w:r>
            <w:r>
              <w:rPr>
                <w:rFonts w:ascii="宋体" w:hAnsi="宋体"/>
                <w:color w:val="auto"/>
                <w:szCs w:val="21"/>
              </w:rPr>
              <w:t>/</w:t>
            </w:r>
            <w:r>
              <w:rPr>
                <w:rFonts w:hint="eastAsia" w:ascii="宋体" w:hAnsi="宋体"/>
                <w:color w:val="auto"/>
                <w:szCs w:val="21"/>
              </w:rPr>
              <w:t>响应报价）</w:t>
            </w:r>
            <w:r>
              <w:rPr>
                <w:rFonts w:ascii="宋体" w:hAnsi="宋体"/>
                <w:color w:val="auto"/>
                <w:szCs w:val="21"/>
              </w:rPr>
              <w:t>×</w:t>
            </w:r>
            <w:r>
              <w:rPr>
                <w:rFonts w:hint="eastAsia" w:ascii="宋体" w:hAnsi="宋体"/>
                <w:color w:val="auto"/>
                <w:szCs w:val="21"/>
              </w:rPr>
              <w:t>响应报价分满分分值。</w:t>
            </w:r>
          </w:p>
        </w:tc>
        <w:tc>
          <w:tcPr>
            <w:tcW w:w="2044" w:type="dxa"/>
            <w:tcBorders>
              <w:top w:val="single" w:color="auto" w:sz="4" w:space="0"/>
              <w:left w:val="single" w:color="auto" w:sz="4" w:space="0"/>
              <w:bottom w:val="single" w:color="auto" w:sz="4" w:space="0"/>
              <w:right w:val="single" w:color="auto" w:sz="4" w:space="0"/>
            </w:tcBorders>
            <w:vAlign w:val="center"/>
          </w:tcPr>
          <w:p w14:paraId="128F6081">
            <w:pPr>
              <w:rPr>
                <w:rFonts w:ascii="宋体" w:hAnsi="宋体"/>
                <w:color w:val="auto"/>
                <w:szCs w:val="21"/>
              </w:rPr>
            </w:pPr>
            <w:r>
              <w:rPr>
                <w:rFonts w:hint="eastAsia" w:ascii="宋体" w:hAnsi="宋体"/>
                <w:color w:val="auto"/>
                <w:szCs w:val="21"/>
              </w:rPr>
              <w:t>如有价格扣除时，响应报价分均按供应商实际响应报价进行价格扣除后的价格进行计算，最终成交金额＝响应报价。价格扣除计算方法见后。</w:t>
            </w:r>
          </w:p>
        </w:tc>
      </w:tr>
      <w:tr w14:paraId="72F7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43060749">
            <w:pPr>
              <w:jc w:val="center"/>
              <w:rPr>
                <w:rFonts w:ascii="宋体" w:hAnsi="宋体"/>
                <w:color w:val="auto"/>
                <w:szCs w:val="21"/>
              </w:rPr>
            </w:pPr>
            <w:r>
              <w:rPr>
                <w:rFonts w:ascii="宋体" w:hAnsi="宋体"/>
                <w:color w:val="auto"/>
                <w:szCs w:val="21"/>
              </w:rPr>
              <w:t>4</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59526192">
            <w:pPr>
              <w:jc w:val="center"/>
              <w:rPr>
                <w:rFonts w:ascii="宋体" w:hAnsi="宋体"/>
                <w:color w:val="auto"/>
                <w:szCs w:val="21"/>
              </w:rPr>
            </w:pPr>
            <w:r>
              <w:rPr>
                <w:rFonts w:hint="eastAsia" w:ascii="宋体" w:hAnsi="宋体"/>
                <w:color w:val="auto"/>
                <w:szCs w:val="21"/>
              </w:rPr>
              <w:t>综合得分</w:t>
            </w:r>
          </w:p>
        </w:tc>
        <w:tc>
          <w:tcPr>
            <w:tcW w:w="7739" w:type="dxa"/>
            <w:gridSpan w:val="3"/>
            <w:tcBorders>
              <w:top w:val="single" w:color="auto" w:sz="4" w:space="0"/>
              <w:left w:val="single" w:color="auto" w:sz="4" w:space="0"/>
              <w:bottom w:val="single" w:color="auto" w:sz="4" w:space="0"/>
              <w:right w:val="single" w:color="auto" w:sz="4" w:space="0"/>
            </w:tcBorders>
            <w:vAlign w:val="center"/>
          </w:tcPr>
          <w:p w14:paraId="48760703">
            <w:pPr>
              <w:rPr>
                <w:rFonts w:ascii="宋体" w:hAnsi="宋体"/>
                <w:color w:val="auto"/>
                <w:szCs w:val="21"/>
              </w:rPr>
            </w:pPr>
            <w:r>
              <w:rPr>
                <w:rFonts w:ascii="宋体" w:hAnsi="宋体"/>
                <w:color w:val="auto"/>
                <w:szCs w:val="21"/>
              </w:rPr>
              <w:t>=1+2+3</w:t>
            </w:r>
            <w:r>
              <w:rPr>
                <w:rFonts w:hint="eastAsia" w:ascii="宋体" w:hAnsi="宋体"/>
                <w:color w:val="auto"/>
                <w:szCs w:val="21"/>
              </w:rPr>
              <w:t>（各项评分分值计算保留小数点后两位，小数点后第三位</w:t>
            </w:r>
            <w:r>
              <w:rPr>
                <w:rFonts w:ascii="宋体" w:hAnsi="宋体"/>
                <w:color w:val="auto"/>
                <w:szCs w:val="21"/>
              </w:rPr>
              <w:t>“</w:t>
            </w:r>
            <w:r>
              <w:rPr>
                <w:rFonts w:hint="eastAsia" w:ascii="宋体" w:hAnsi="宋体"/>
                <w:color w:val="auto"/>
                <w:szCs w:val="21"/>
              </w:rPr>
              <w:t>四舍五入</w:t>
            </w:r>
            <w:r>
              <w:rPr>
                <w:rFonts w:ascii="宋体" w:hAnsi="宋体"/>
                <w:color w:val="auto"/>
                <w:szCs w:val="21"/>
              </w:rPr>
              <w:t>”</w:t>
            </w:r>
            <w:r>
              <w:rPr>
                <w:rFonts w:hint="eastAsia" w:ascii="宋体" w:hAnsi="宋体"/>
                <w:color w:val="auto"/>
                <w:szCs w:val="21"/>
              </w:rPr>
              <w:t>）</w:t>
            </w:r>
          </w:p>
        </w:tc>
      </w:tr>
    </w:tbl>
    <w:p w14:paraId="0204B28F">
      <w:pPr>
        <w:spacing w:before="120" w:line="320" w:lineRule="atLeast"/>
        <w:ind w:firstLine="316" w:firstLineChars="150"/>
        <w:rPr>
          <w:rFonts w:ascii="宋体" w:hAnsi="宋体"/>
          <w:b/>
          <w:bCs/>
          <w:color w:val="auto"/>
          <w:kern w:val="0"/>
          <w:szCs w:val="21"/>
        </w:rPr>
      </w:pPr>
      <w:r>
        <w:rPr>
          <w:rFonts w:ascii="宋体" w:hAnsi="宋体"/>
          <w:b/>
          <w:bCs/>
          <w:color w:val="auto"/>
          <w:kern w:val="0"/>
          <w:szCs w:val="21"/>
        </w:rPr>
        <w:t>政策性扣除计算方法</w:t>
      </w:r>
      <w:r>
        <w:rPr>
          <w:rFonts w:hint="eastAsia" w:ascii="宋体" w:hAnsi="宋体"/>
          <w:b/>
          <w:bCs/>
          <w:color w:val="auto"/>
          <w:kern w:val="0"/>
          <w:szCs w:val="21"/>
        </w:rPr>
        <w:t>：</w:t>
      </w:r>
    </w:p>
    <w:p w14:paraId="67057A8B">
      <w:pPr>
        <w:spacing w:before="120" w:line="320" w:lineRule="atLeast"/>
        <w:ind w:firstLine="315" w:firstLineChars="150"/>
        <w:rPr>
          <w:rFonts w:ascii="宋体" w:hAnsi="宋体"/>
          <w:color w:val="auto"/>
          <w:szCs w:val="21"/>
        </w:rPr>
      </w:pPr>
      <w:r>
        <w:rPr>
          <w:rFonts w:hint="eastAsia" w:ascii="宋体" w:hAnsi="宋体"/>
          <w:color w:val="auto"/>
          <w:szCs w:val="21"/>
        </w:rPr>
        <w:t>小微企业的价格扣除计算:供应商响应</w:t>
      </w:r>
      <w:r>
        <w:rPr>
          <w:rFonts w:ascii="宋体" w:hAnsi="宋体"/>
          <w:color w:val="auto"/>
          <w:szCs w:val="21"/>
        </w:rPr>
        <w:t>报价将按相应比例进行扣除，用扣除后的价格参与评审（计算价格分）</w:t>
      </w:r>
      <w:r>
        <w:rPr>
          <w:rFonts w:hint="eastAsia" w:ascii="宋体" w:hAnsi="宋体"/>
          <w:color w:val="auto"/>
          <w:szCs w:val="21"/>
        </w:rPr>
        <w:t>，价格扣除比例分别如下：</w:t>
      </w:r>
      <w:r>
        <w:rPr>
          <w:rFonts w:ascii="宋体" w:hAnsi="宋体"/>
          <w:color w:val="auto"/>
          <w:szCs w:val="21"/>
        </w:rPr>
        <w:t xml:space="preserve"> </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22A6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5EB1B06">
            <w:pPr>
              <w:spacing w:before="120" w:line="320" w:lineRule="atLeast"/>
              <w:jc w:val="center"/>
              <w:rPr>
                <w:rFonts w:ascii="宋体" w:hAnsi="宋体"/>
                <w:color w:val="auto"/>
                <w:szCs w:val="21"/>
              </w:rPr>
            </w:pPr>
            <w:r>
              <w:rPr>
                <w:rFonts w:hint="eastAsia" w:ascii="宋体" w:hAnsi="宋体"/>
                <w:color w:val="auto"/>
                <w:szCs w:val="21"/>
              </w:rPr>
              <w:t>独立投标</w:t>
            </w:r>
          </w:p>
        </w:tc>
        <w:tc>
          <w:tcPr>
            <w:tcW w:w="4962" w:type="dxa"/>
          </w:tcPr>
          <w:p w14:paraId="44EBABE1">
            <w:pPr>
              <w:spacing w:before="120" w:line="320" w:lineRule="atLeast"/>
              <w:rPr>
                <w:rFonts w:ascii="宋体" w:hAnsi="宋体"/>
                <w:color w:val="auto"/>
                <w:szCs w:val="21"/>
              </w:rPr>
            </w:pPr>
            <w:r>
              <w:rPr>
                <w:rFonts w:hint="eastAsia" w:ascii="宋体" w:hAnsi="宋体"/>
                <w:color w:val="auto"/>
                <w:szCs w:val="21"/>
              </w:rPr>
              <w:t>供应商均为所列企业之一（小型企业、微型企业、残疾人福利企业、监狱企业）</w:t>
            </w:r>
          </w:p>
        </w:tc>
        <w:tc>
          <w:tcPr>
            <w:tcW w:w="2551" w:type="dxa"/>
          </w:tcPr>
          <w:p w14:paraId="76E61CFB">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47A4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084F1CBB">
            <w:pPr>
              <w:spacing w:before="120" w:line="320" w:lineRule="atLeast"/>
              <w:jc w:val="center"/>
              <w:rPr>
                <w:rFonts w:ascii="宋体" w:hAnsi="宋体"/>
                <w:color w:val="auto"/>
                <w:szCs w:val="21"/>
              </w:rPr>
            </w:pPr>
            <w:r>
              <w:rPr>
                <w:rFonts w:hint="eastAsia" w:ascii="宋体" w:hAnsi="宋体"/>
                <w:color w:val="auto"/>
                <w:szCs w:val="21"/>
              </w:rPr>
              <w:t>联合体或</w:t>
            </w:r>
          </w:p>
          <w:p w14:paraId="5FBB3795">
            <w:pPr>
              <w:spacing w:before="120" w:line="320" w:lineRule="atLeast"/>
              <w:jc w:val="center"/>
              <w:rPr>
                <w:rFonts w:ascii="宋体" w:hAnsi="宋体"/>
                <w:color w:val="auto"/>
                <w:szCs w:val="21"/>
              </w:rPr>
            </w:pPr>
            <w:r>
              <w:rPr>
                <w:rFonts w:hint="eastAsia" w:ascii="宋体" w:hAnsi="宋体"/>
                <w:color w:val="auto"/>
                <w:szCs w:val="21"/>
              </w:rPr>
              <w:t>分包</w:t>
            </w:r>
          </w:p>
        </w:tc>
        <w:tc>
          <w:tcPr>
            <w:tcW w:w="4962" w:type="dxa"/>
          </w:tcPr>
          <w:p w14:paraId="23EB0943">
            <w:pPr>
              <w:spacing w:before="120" w:line="320" w:lineRule="atLeast"/>
              <w:rPr>
                <w:rFonts w:ascii="宋体" w:hAnsi="宋体"/>
                <w:color w:val="auto"/>
                <w:szCs w:val="21"/>
              </w:rPr>
            </w:pPr>
            <w:r>
              <w:rPr>
                <w:rFonts w:hint="eastAsia" w:ascii="宋体" w:hAnsi="宋体"/>
                <w:color w:val="auto"/>
                <w:szCs w:val="21"/>
              </w:rPr>
              <w:t>小微企业承接的金额比例为1</w:t>
            </w:r>
            <w:r>
              <w:rPr>
                <w:rFonts w:ascii="宋体" w:hAnsi="宋体"/>
                <w:color w:val="auto"/>
                <w:szCs w:val="21"/>
              </w:rPr>
              <w:t>00</w:t>
            </w:r>
            <w:r>
              <w:rPr>
                <w:rFonts w:hint="eastAsia" w:ascii="宋体" w:hAnsi="宋体"/>
                <w:color w:val="auto"/>
                <w:szCs w:val="21"/>
              </w:rPr>
              <w:t>%</w:t>
            </w:r>
          </w:p>
        </w:tc>
        <w:tc>
          <w:tcPr>
            <w:tcW w:w="2551" w:type="dxa"/>
          </w:tcPr>
          <w:p w14:paraId="2ED5D4DD">
            <w:pPr>
              <w:spacing w:before="120" w:line="320" w:lineRule="atLeast"/>
              <w:rPr>
                <w:rFonts w:ascii="宋体" w:hAnsi="宋体"/>
                <w:color w:val="auto"/>
                <w:szCs w:val="21"/>
              </w:rPr>
            </w:pPr>
            <w:r>
              <w:rPr>
                <w:rFonts w:hint="eastAsia" w:ascii="宋体" w:hAnsi="宋体"/>
                <w:color w:val="auto"/>
                <w:szCs w:val="21"/>
              </w:rPr>
              <w:t>价格扣除响应报价的10%</w:t>
            </w:r>
          </w:p>
        </w:tc>
      </w:tr>
      <w:tr w14:paraId="580D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7F986094">
            <w:pPr>
              <w:spacing w:before="120" w:line="320" w:lineRule="atLeast"/>
              <w:rPr>
                <w:rFonts w:ascii="宋体" w:hAnsi="宋体"/>
                <w:color w:val="auto"/>
                <w:szCs w:val="21"/>
              </w:rPr>
            </w:pPr>
          </w:p>
        </w:tc>
        <w:tc>
          <w:tcPr>
            <w:tcW w:w="4962" w:type="dxa"/>
          </w:tcPr>
          <w:p w14:paraId="772CCEFB">
            <w:pPr>
              <w:spacing w:before="120" w:line="320" w:lineRule="atLeast"/>
              <w:rPr>
                <w:rFonts w:ascii="宋体" w:hAnsi="宋体"/>
                <w:color w:val="auto"/>
                <w:szCs w:val="21"/>
              </w:rPr>
            </w:pPr>
            <w:r>
              <w:rPr>
                <w:rFonts w:hint="eastAsia" w:ascii="宋体" w:hAnsi="宋体"/>
                <w:color w:val="auto"/>
                <w:szCs w:val="21"/>
              </w:rPr>
              <w:t>小微企业承接的金额比例达到合同总金额3</w:t>
            </w:r>
            <w:r>
              <w:rPr>
                <w:rFonts w:ascii="宋体" w:hAnsi="宋体"/>
                <w:color w:val="auto"/>
                <w:szCs w:val="21"/>
              </w:rPr>
              <w:t>0%</w:t>
            </w:r>
            <w:r>
              <w:rPr>
                <w:rFonts w:hint="eastAsia" w:ascii="宋体" w:hAnsi="宋体"/>
                <w:color w:val="auto"/>
                <w:szCs w:val="21"/>
              </w:rPr>
              <w:t>以上</w:t>
            </w:r>
          </w:p>
        </w:tc>
        <w:tc>
          <w:tcPr>
            <w:tcW w:w="2551" w:type="dxa"/>
          </w:tcPr>
          <w:p w14:paraId="34F81B18">
            <w:pPr>
              <w:spacing w:before="120" w:line="320" w:lineRule="atLeast"/>
              <w:rPr>
                <w:rFonts w:ascii="宋体" w:hAnsi="宋体"/>
                <w:color w:val="auto"/>
                <w:szCs w:val="21"/>
              </w:rPr>
            </w:pPr>
            <w:r>
              <w:rPr>
                <w:rFonts w:hint="eastAsia" w:ascii="宋体" w:hAnsi="宋体"/>
                <w:color w:val="auto"/>
                <w:szCs w:val="21"/>
              </w:rPr>
              <w:t>价格扣除响应报价的</w:t>
            </w:r>
            <w:r>
              <w:rPr>
                <w:rFonts w:ascii="宋体" w:hAnsi="宋体"/>
                <w:color w:val="auto"/>
                <w:szCs w:val="21"/>
              </w:rPr>
              <w:t>4</w:t>
            </w:r>
            <w:r>
              <w:rPr>
                <w:rFonts w:hint="eastAsia" w:ascii="宋体" w:hAnsi="宋体"/>
                <w:color w:val="auto"/>
                <w:szCs w:val="21"/>
              </w:rPr>
              <w:t>%</w:t>
            </w:r>
          </w:p>
        </w:tc>
      </w:tr>
      <w:tr w14:paraId="466D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253A0D73">
            <w:pPr>
              <w:spacing w:before="120" w:line="320" w:lineRule="atLeast"/>
              <w:rPr>
                <w:rFonts w:ascii="宋体" w:hAnsi="宋体"/>
                <w:color w:val="auto"/>
                <w:szCs w:val="21"/>
              </w:rPr>
            </w:pPr>
            <w:r>
              <w:rPr>
                <w:rFonts w:hint="eastAsia" w:ascii="宋体" w:hAnsi="宋体"/>
                <w:color w:val="auto"/>
                <w:szCs w:val="21"/>
              </w:rPr>
              <w:t>注：未提供《中小企业声明函》、《分包意向协议书》或《联合体协议书》或不符合条件的，不享受价格扣除优惠。</w:t>
            </w:r>
          </w:p>
        </w:tc>
      </w:tr>
    </w:tbl>
    <w:p w14:paraId="112B0E58">
      <w:pPr>
        <w:pStyle w:val="26"/>
        <w:snapToGrid w:val="0"/>
        <w:spacing w:before="120" w:after="120" w:line="320" w:lineRule="exact"/>
        <w:jc w:val="center"/>
        <w:outlineLvl w:val="0"/>
        <w:rPr>
          <w:rFonts w:hAnsi="宋体"/>
          <w:color w:val="auto"/>
        </w:rPr>
        <w:sectPr>
          <w:pgSz w:w="11906" w:h="16838"/>
          <w:pgMar w:top="1418" w:right="1418" w:bottom="1246" w:left="1418" w:header="851" w:footer="992" w:gutter="0"/>
          <w:cols w:space="720" w:num="1"/>
          <w:docGrid w:linePitch="312" w:charSpace="0"/>
        </w:sectPr>
      </w:pPr>
    </w:p>
    <w:p w14:paraId="042F1AF7">
      <w:pPr>
        <w:ind w:firstLine="420" w:firstLineChars="200"/>
        <w:outlineLvl w:val="2"/>
        <w:rPr>
          <w:rFonts w:ascii="宋体" w:hAnsi="宋体"/>
          <w:color w:val="auto"/>
          <w:highlight w:val="none"/>
        </w:rPr>
      </w:pPr>
      <w:r>
        <w:rPr>
          <w:rFonts w:hint="eastAsia" w:ascii="宋体" w:hAnsi="宋体"/>
          <w:color w:val="auto"/>
          <w:highlight w:val="none"/>
        </w:rPr>
        <w:t>6分标</w:t>
      </w:r>
    </w:p>
    <w:tbl>
      <w:tblPr>
        <w:tblStyle w:val="51"/>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666"/>
        <w:gridCol w:w="1009"/>
        <w:gridCol w:w="692"/>
        <w:gridCol w:w="5003"/>
        <w:gridCol w:w="2044"/>
      </w:tblGrid>
      <w:tr w14:paraId="3B30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3494FBCC">
            <w:pPr>
              <w:jc w:val="center"/>
              <w:rPr>
                <w:rFonts w:ascii="宋体" w:hAnsi="宋体"/>
                <w:b/>
                <w:color w:val="auto"/>
                <w:szCs w:val="21"/>
                <w:highlight w:val="none"/>
              </w:rPr>
            </w:pPr>
            <w:r>
              <w:rPr>
                <w:rFonts w:hint="eastAsia" w:ascii="宋体" w:hAnsi="宋体"/>
                <w:b/>
                <w:color w:val="auto"/>
                <w:szCs w:val="21"/>
                <w:highlight w:val="none"/>
              </w:rPr>
              <w:t>序号</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5020BD61">
            <w:pPr>
              <w:jc w:val="center"/>
              <w:rPr>
                <w:rFonts w:ascii="宋体" w:hAnsi="宋体"/>
                <w:b/>
                <w:color w:val="auto"/>
                <w:szCs w:val="21"/>
                <w:highlight w:val="none"/>
              </w:rPr>
            </w:pPr>
            <w:r>
              <w:rPr>
                <w:rFonts w:hint="eastAsia" w:ascii="宋体" w:hAnsi="宋体"/>
                <w:b/>
                <w:color w:val="auto"/>
                <w:szCs w:val="21"/>
                <w:highlight w:val="none"/>
              </w:rPr>
              <w:t>评审因素及分值</w:t>
            </w:r>
          </w:p>
        </w:tc>
        <w:tc>
          <w:tcPr>
            <w:tcW w:w="692" w:type="dxa"/>
            <w:tcBorders>
              <w:top w:val="single" w:color="auto" w:sz="4" w:space="0"/>
              <w:left w:val="single" w:color="auto" w:sz="4" w:space="0"/>
              <w:bottom w:val="single" w:color="auto" w:sz="4" w:space="0"/>
              <w:right w:val="single" w:color="auto" w:sz="4" w:space="0"/>
            </w:tcBorders>
            <w:vAlign w:val="center"/>
          </w:tcPr>
          <w:p w14:paraId="250CB8BC">
            <w:pPr>
              <w:jc w:val="center"/>
              <w:rPr>
                <w:rFonts w:ascii="宋体" w:hAnsi="宋体"/>
                <w:b/>
                <w:color w:val="auto"/>
                <w:szCs w:val="21"/>
                <w:highlight w:val="none"/>
              </w:rPr>
            </w:pPr>
            <w:r>
              <w:rPr>
                <w:rFonts w:hint="eastAsia" w:ascii="宋体" w:hAnsi="宋体"/>
                <w:b/>
                <w:color w:val="auto"/>
                <w:szCs w:val="21"/>
                <w:highlight w:val="none"/>
              </w:rPr>
              <w:t>分值</w:t>
            </w:r>
          </w:p>
          <w:p w14:paraId="222B727B">
            <w:pPr>
              <w:jc w:val="center"/>
              <w:rPr>
                <w:rFonts w:ascii="宋体" w:hAnsi="宋体"/>
                <w:b/>
                <w:color w:val="auto"/>
                <w:szCs w:val="21"/>
                <w:highlight w:val="none"/>
              </w:rPr>
            </w:pPr>
            <w:r>
              <w:rPr>
                <w:rFonts w:hint="eastAsia" w:ascii="宋体" w:hAnsi="宋体"/>
                <w:b/>
                <w:color w:val="auto"/>
                <w:szCs w:val="21"/>
                <w:highlight w:val="none"/>
              </w:rPr>
              <w:t>属性</w:t>
            </w:r>
          </w:p>
        </w:tc>
        <w:tc>
          <w:tcPr>
            <w:tcW w:w="5003" w:type="dxa"/>
            <w:tcBorders>
              <w:top w:val="single" w:color="auto" w:sz="4" w:space="0"/>
              <w:left w:val="single" w:color="auto" w:sz="4" w:space="0"/>
              <w:bottom w:val="single" w:color="auto" w:sz="4" w:space="0"/>
              <w:right w:val="single" w:color="auto" w:sz="4" w:space="0"/>
            </w:tcBorders>
            <w:vAlign w:val="center"/>
          </w:tcPr>
          <w:p w14:paraId="46956DB1">
            <w:pPr>
              <w:jc w:val="center"/>
              <w:rPr>
                <w:rFonts w:ascii="宋体" w:hAnsi="宋体"/>
                <w:b/>
                <w:color w:val="auto"/>
                <w:szCs w:val="21"/>
                <w:highlight w:val="none"/>
              </w:rPr>
            </w:pPr>
            <w:r>
              <w:rPr>
                <w:rFonts w:hint="eastAsia" w:ascii="宋体" w:hAnsi="宋体"/>
                <w:b/>
                <w:color w:val="auto"/>
                <w:szCs w:val="21"/>
                <w:highlight w:val="none"/>
              </w:rPr>
              <w:t>评审标准</w:t>
            </w:r>
          </w:p>
        </w:tc>
        <w:tc>
          <w:tcPr>
            <w:tcW w:w="2044" w:type="dxa"/>
            <w:tcBorders>
              <w:top w:val="single" w:color="auto" w:sz="4" w:space="0"/>
              <w:left w:val="single" w:color="auto" w:sz="4" w:space="0"/>
              <w:bottom w:val="single" w:color="auto" w:sz="4" w:space="0"/>
              <w:right w:val="single" w:color="auto" w:sz="4" w:space="0"/>
            </w:tcBorders>
            <w:vAlign w:val="center"/>
          </w:tcPr>
          <w:p w14:paraId="0616F2BE">
            <w:pPr>
              <w:jc w:val="center"/>
              <w:rPr>
                <w:rFonts w:ascii="宋体" w:hAnsi="宋体"/>
                <w:b/>
                <w:color w:val="auto"/>
                <w:szCs w:val="21"/>
                <w:highlight w:val="none"/>
              </w:rPr>
            </w:pPr>
            <w:r>
              <w:rPr>
                <w:rFonts w:hint="eastAsia" w:ascii="宋体" w:hAnsi="宋体"/>
                <w:b/>
                <w:color w:val="auto"/>
                <w:szCs w:val="21"/>
                <w:highlight w:val="none"/>
              </w:rPr>
              <w:t>说明</w:t>
            </w:r>
          </w:p>
        </w:tc>
      </w:tr>
      <w:tr w14:paraId="416C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38939748">
            <w:pPr>
              <w:jc w:val="center"/>
              <w:rPr>
                <w:rFonts w:ascii="宋体" w:hAnsi="宋体"/>
                <w:color w:val="auto"/>
                <w:szCs w:val="21"/>
                <w:highlight w:val="none"/>
              </w:rPr>
            </w:pPr>
            <w:r>
              <w:rPr>
                <w:rFonts w:ascii="宋体" w:hAnsi="宋体"/>
                <w:color w:val="auto"/>
                <w:szCs w:val="21"/>
                <w:highlight w:val="none"/>
              </w:rPr>
              <w:t>1</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4DA52674">
            <w:pPr>
              <w:tabs>
                <w:tab w:val="center" w:pos="4153"/>
                <w:tab w:val="right" w:pos="8306"/>
              </w:tabs>
              <w:snapToGrid w:val="0"/>
              <w:jc w:val="left"/>
              <w:rPr>
                <w:rFonts w:ascii="宋体" w:hAnsi="宋体"/>
                <w:color w:val="auto"/>
                <w:szCs w:val="21"/>
                <w:highlight w:val="none"/>
              </w:rPr>
            </w:pPr>
            <w:r>
              <w:rPr>
                <w:rFonts w:hint="eastAsia" w:ascii="宋体" w:hAnsi="宋体"/>
                <w:color w:val="auto"/>
                <w:szCs w:val="21"/>
                <w:highlight w:val="none"/>
              </w:rPr>
              <w:t>商务部分（40分）</w:t>
            </w:r>
          </w:p>
        </w:tc>
        <w:tc>
          <w:tcPr>
            <w:tcW w:w="1009" w:type="dxa"/>
            <w:tcBorders>
              <w:top w:val="single" w:color="auto" w:sz="4" w:space="0"/>
              <w:left w:val="single" w:color="auto" w:sz="4" w:space="0"/>
              <w:right w:val="single" w:color="auto" w:sz="4" w:space="0"/>
            </w:tcBorders>
            <w:vAlign w:val="center"/>
          </w:tcPr>
          <w:p w14:paraId="727B4EEC">
            <w:pPr>
              <w:rPr>
                <w:rFonts w:ascii="宋体" w:hAnsi="宋体"/>
                <w:color w:val="auto"/>
                <w:szCs w:val="21"/>
                <w:highlight w:val="none"/>
              </w:rPr>
            </w:pPr>
            <w:r>
              <w:rPr>
                <w:rFonts w:hint="eastAsia" w:ascii="宋体" w:hAnsi="宋体"/>
                <w:color w:val="auto"/>
                <w:szCs w:val="21"/>
                <w:highlight w:val="none"/>
              </w:rPr>
              <w:t>信誉业绩（14分）</w:t>
            </w:r>
          </w:p>
        </w:tc>
        <w:tc>
          <w:tcPr>
            <w:tcW w:w="692" w:type="dxa"/>
            <w:tcBorders>
              <w:top w:val="single" w:color="auto" w:sz="4" w:space="0"/>
              <w:left w:val="single" w:color="auto" w:sz="4" w:space="0"/>
              <w:right w:val="single" w:color="auto" w:sz="4" w:space="0"/>
            </w:tcBorders>
            <w:vAlign w:val="center"/>
          </w:tcPr>
          <w:p w14:paraId="40025866">
            <w:pPr>
              <w:jc w:val="center"/>
              <w:rPr>
                <w:rFonts w:ascii="宋体" w:hAnsi="宋体"/>
                <w:color w:val="auto"/>
                <w:szCs w:val="21"/>
                <w:highlight w:val="none"/>
              </w:rPr>
            </w:pPr>
            <w:r>
              <w:rPr>
                <w:rFonts w:hint="eastAsia" w:ascii="宋体" w:hAnsi="宋体"/>
                <w:color w:val="auto"/>
                <w:szCs w:val="21"/>
                <w:highlight w:val="none"/>
              </w:rPr>
              <w:t>客观分</w:t>
            </w:r>
          </w:p>
        </w:tc>
        <w:tc>
          <w:tcPr>
            <w:tcW w:w="5003" w:type="dxa"/>
            <w:tcBorders>
              <w:top w:val="single" w:color="auto" w:sz="4" w:space="0"/>
              <w:left w:val="single" w:color="auto" w:sz="4" w:space="0"/>
              <w:right w:val="single" w:color="auto" w:sz="4" w:space="0"/>
            </w:tcBorders>
            <w:vAlign w:val="center"/>
          </w:tcPr>
          <w:p w14:paraId="24C55A13">
            <w:pPr>
              <w:rPr>
                <w:rFonts w:ascii="宋体" w:hAnsi="宋体"/>
                <w:color w:val="auto"/>
                <w:szCs w:val="21"/>
                <w:highlight w:val="none"/>
              </w:rPr>
            </w:pPr>
            <w:r>
              <w:rPr>
                <w:rFonts w:hint="eastAsia" w:ascii="宋体" w:hAnsi="宋体"/>
                <w:color w:val="auto"/>
                <w:szCs w:val="21"/>
                <w:highlight w:val="none"/>
              </w:rPr>
              <w:t>供应商每提供1个有效业绩得2分，满分</w:t>
            </w:r>
            <w:r>
              <w:rPr>
                <w:rFonts w:ascii="宋体" w:hAnsi="宋体"/>
                <w:color w:val="auto"/>
                <w:szCs w:val="21"/>
                <w:highlight w:val="none"/>
              </w:rPr>
              <w:t>14</w:t>
            </w:r>
            <w:r>
              <w:rPr>
                <w:rFonts w:hint="eastAsia" w:ascii="宋体" w:hAnsi="宋体"/>
                <w:color w:val="auto"/>
                <w:szCs w:val="21"/>
                <w:highlight w:val="none"/>
              </w:rPr>
              <w:t>分。有效业绩定义：指规划编制、课题研究等类型项目业绩。</w:t>
            </w:r>
          </w:p>
        </w:tc>
        <w:tc>
          <w:tcPr>
            <w:tcW w:w="2044" w:type="dxa"/>
            <w:tcBorders>
              <w:top w:val="single" w:color="auto" w:sz="4" w:space="0"/>
              <w:left w:val="single" w:color="auto" w:sz="4" w:space="0"/>
              <w:bottom w:val="single" w:color="auto" w:sz="4" w:space="0"/>
              <w:right w:val="single" w:color="auto" w:sz="4" w:space="0"/>
            </w:tcBorders>
            <w:vAlign w:val="center"/>
          </w:tcPr>
          <w:p w14:paraId="7EBB7F2C">
            <w:pPr>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）必须提供证明材料。</w:t>
            </w:r>
          </w:p>
          <w:p w14:paraId="0E7B812F">
            <w:pPr>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）以中标或成交通知书或合同复印件为准。</w:t>
            </w:r>
          </w:p>
        </w:tc>
      </w:tr>
      <w:tr w14:paraId="6059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231E24C7">
            <w:pPr>
              <w:widowControl/>
              <w:jc w:val="left"/>
              <w:rPr>
                <w:rFonts w:ascii="宋体" w:hAnsi="宋体"/>
                <w:color w:val="auto"/>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179BE460">
            <w:pPr>
              <w:widowControl/>
              <w:jc w:val="left"/>
              <w:rPr>
                <w:rFonts w:ascii="宋体" w:hAnsi="宋体"/>
                <w:color w:val="auto"/>
                <w:szCs w:val="21"/>
                <w:highlight w:val="none"/>
              </w:rPr>
            </w:pPr>
          </w:p>
        </w:tc>
        <w:tc>
          <w:tcPr>
            <w:tcW w:w="1009" w:type="dxa"/>
            <w:tcBorders>
              <w:top w:val="single" w:color="auto" w:sz="4" w:space="0"/>
              <w:left w:val="single" w:color="auto" w:sz="4" w:space="0"/>
              <w:bottom w:val="single" w:color="auto" w:sz="4" w:space="0"/>
              <w:right w:val="single" w:color="auto" w:sz="4" w:space="0"/>
            </w:tcBorders>
            <w:vAlign w:val="center"/>
          </w:tcPr>
          <w:p w14:paraId="7B6DB047">
            <w:pPr>
              <w:rPr>
                <w:rFonts w:ascii="宋体" w:hAnsi="宋体"/>
                <w:color w:val="auto"/>
                <w:szCs w:val="21"/>
                <w:highlight w:val="none"/>
              </w:rPr>
            </w:pPr>
            <w:r>
              <w:rPr>
                <w:rFonts w:hint="eastAsia" w:ascii="宋体" w:hAnsi="宋体"/>
                <w:color w:val="auto"/>
                <w:szCs w:val="21"/>
                <w:highlight w:val="none"/>
              </w:rPr>
              <w:t>服务团队人员（</w:t>
            </w:r>
            <w:r>
              <w:rPr>
                <w:rFonts w:ascii="宋体" w:hAnsi="宋体"/>
                <w:color w:val="auto"/>
                <w:szCs w:val="21"/>
                <w:highlight w:val="none"/>
              </w:rPr>
              <w:t>20</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7F2AEF1B">
            <w:pPr>
              <w:jc w:val="center"/>
              <w:rPr>
                <w:rFonts w:ascii="宋体" w:hAnsi="宋体"/>
                <w:color w:val="auto"/>
                <w:szCs w:val="21"/>
                <w:highlight w:val="none"/>
              </w:rPr>
            </w:pPr>
            <w:r>
              <w:rPr>
                <w:rFonts w:hint="eastAsia" w:ascii="宋体" w:hAnsi="宋体"/>
                <w:color w:val="auto"/>
                <w:szCs w:val="21"/>
                <w:highlight w:val="none"/>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6858FFD9">
            <w:pPr>
              <w:spacing w:line="300" w:lineRule="exact"/>
              <w:jc w:val="left"/>
              <w:rPr>
                <w:rFonts w:ascii="宋体" w:hAnsi="宋体"/>
                <w:color w:val="auto"/>
                <w:szCs w:val="21"/>
                <w:highlight w:val="none"/>
              </w:rPr>
            </w:pPr>
            <w:r>
              <w:rPr>
                <w:rFonts w:hint="eastAsia" w:ascii="宋体" w:hAnsi="宋体"/>
                <w:color w:val="auto"/>
                <w:szCs w:val="21"/>
                <w:highlight w:val="none"/>
              </w:rPr>
              <w:t>一档（5分）：本项目拟投入课题团队人员（项目负责人除外）仅满足采购文件人员要求，拟投入团队人员3人及以上的，至少1人具有副高级及以上职称。</w:t>
            </w:r>
          </w:p>
          <w:p w14:paraId="4DC23004">
            <w:pPr>
              <w:spacing w:line="300" w:lineRule="exact"/>
              <w:jc w:val="left"/>
              <w:rPr>
                <w:rFonts w:ascii="宋体" w:hAnsi="宋体"/>
                <w:color w:val="auto"/>
                <w:szCs w:val="21"/>
                <w:highlight w:val="none"/>
              </w:rPr>
            </w:pPr>
            <w:r>
              <w:rPr>
                <w:rFonts w:hint="eastAsia" w:ascii="宋体" w:hAnsi="宋体"/>
                <w:color w:val="auto"/>
                <w:szCs w:val="21"/>
                <w:highlight w:val="none"/>
              </w:rPr>
              <w:t>二档（10分）：本项目拟投入课题团队人员（项目负责人除外）在满足采购文件人员要求下，能投入4人及以上的，至少2人具有副高级及以上职称。</w:t>
            </w:r>
          </w:p>
          <w:p w14:paraId="59112BFC">
            <w:pPr>
              <w:rPr>
                <w:rFonts w:ascii="宋体" w:hAnsi="宋体"/>
                <w:color w:val="auto"/>
                <w:szCs w:val="21"/>
                <w:highlight w:val="none"/>
              </w:rPr>
            </w:pPr>
            <w:r>
              <w:rPr>
                <w:rFonts w:hint="eastAsia" w:ascii="宋体" w:hAnsi="宋体"/>
                <w:color w:val="auto"/>
                <w:szCs w:val="21"/>
                <w:highlight w:val="none"/>
              </w:rPr>
              <w:t>三档（15分）：本项目拟投入团队人员（项目负责人除外）7人及以上的，至少3人具有副高级及以上职称。</w:t>
            </w:r>
          </w:p>
          <w:p w14:paraId="1EDF83EA">
            <w:pPr>
              <w:rPr>
                <w:rFonts w:ascii="宋体" w:hAnsi="宋体"/>
                <w:color w:val="auto"/>
                <w:szCs w:val="21"/>
                <w:highlight w:val="none"/>
              </w:rPr>
            </w:pPr>
            <w:r>
              <w:rPr>
                <w:rFonts w:hint="eastAsia" w:ascii="宋体" w:hAnsi="宋体"/>
                <w:color w:val="auto"/>
                <w:szCs w:val="21"/>
                <w:highlight w:val="none"/>
              </w:rPr>
              <w:t>四档（20分）：本项目拟投入团队人员10人及以上，配置充足、合理；至少3人具有副高级及以上职称；其中，项目负责人为副高级职称及以上。</w:t>
            </w:r>
          </w:p>
        </w:tc>
        <w:tc>
          <w:tcPr>
            <w:tcW w:w="2044" w:type="dxa"/>
            <w:tcBorders>
              <w:top w:val="single" w:color="auto" w:sz="4" w:space="0"/>
              <w:left w:val="single" w:color="auto" w:sz="4" w:space="0"/>
              <w:bottom w:val="single" w:color="auto" w:sz="4" w:space="0"/>
              <w:right w:val="single" w:color="auto" w:sz="4" w:space="0"/>
            </w:tcBorders>
            <w:vAlign w:val="center"/>
          </w:tcPr>
          <w:p w14:paraId="6E7BE928">
            <w:pPr>
              <w:rPr>
                <w:rFonts w:ascii="宋体" w:hAnsi="宋体"/>
                <w:color w:val="auto"/>
                <w:szCs w:val="21"/>
                <w:highlight w:val="none"/>
              </w:rPr>
            </w:pPr>
            <w:r>
              <w:rPr>
                <w:rFonts w:hint="eastAsia" w:ascii="宋体" w:hAnsi="宋体"/>
                <w:color w:val="auto"/>
                <w:szCs w:val="21"/>
                <w:highlight w:val="none"/>
              </w:rPr>
              <w:t>必须提供相关证明材料。未提供或不满足一档要求的不得分。</w:t>
            </w:r>
          </w:p>
        </w:tc>
      </w:tr>
      <w:tr w14:paraId="32F2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7B5A3ABC">
            <w:pPr>
              <w:widowControl/>
              <w:jc w:val="left"/>
              <w:rPr>
                <w:rFonts w:ascii="宋体" w:hAnsi="宋体"/>
                <w:color w:val="auto"/>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292D0E11">
            <w:pPr>
              <w:widowControl/>
              <w:jc w:val="left"/>
              <w:rPr>
                <w:rFonts w:ascii="宋体" w:hAnsi="宋体"/>
                <w:color w:val="auto"/>
                <w:szCs w:val="21"/>
                <w:highlight w:val="none"/>
              </w:rPr>
            </w:pPr>
          </w:p>
        </w:tc>
        <w:tc>
          <w:tcPr>
            <w:tcW w:w="1009" w:type="dxa"/>
            <w:tcBorders>
              <w:top w:val="single" w:color="auto" w:sz="4" w:space="0"/>
              <w:left w:val="single" w:color="auto" w:sz="4" w:space="0"/>
              <w:bottom w:val="single" w:color="auto" w:sz="4" w:space="0"/>
              <w:right w:val="single" w:color="auto" w:sz="4" w:space="0"/>
            </w:tcBorders>
            <w:vAlign w:val="center"/>
          </w:tcPr>
          <w:p w14:paraId="053830D3">
            <w:pPr>
              <w:rPr>
                <w:rFonts w:ascii="宋体" w:hAnsi="宋体"/>
                <w:color w:val="auto"/>
                <w:szCs w:val="21"/>
                <w:highlight w:val="none"/>
              </w:rPr>
            </w:pPr>
            <w:r>
              <w:rPr>
                <w:rFonts w:hint="eastAsia" w:ascii="宋体" w:hAnsi="宋体"/>
                <w:color w:val="auto"/>
                <w:szCs w:val="21"/>
                <w:highlight w:val="none"/>
              </w:rPr>
              <w:t>质量保证措施（6分）</w:t>
            </w:r>
          </w:p>
        </w:tc>
        <w:tc>
          <w:tcPr>
            <w:tcW w:w="692" w:type="dxa"/>
            <w:tcBorders>
              <w:top w:val="single" w:color="auto" w:sz="4" w:space="0"/>
              <w:left w:val="single" w:color="auto" w:sz="4" w:space="0"/>
              <w:bottom w:val="single" w:color="auto" w:sz="4" w:space="0"/>
              <w:right w:val="single" w:color="auto" w:sz="4" w:space="0"/>
            </w:tcBorders>
            <w:vAlign w:val="center"/>
          </w:tcPr>
          <w:p w14:paraId="6D059A07">
            <w:pPr>
              <w:jc w:val="center"/>
              <w:rPr>
                <w:rFonts w:ascii="宋体" w:hAnsi="宋体"/>
                <w:color w:val="auto"/>
                <w:szCs w:val="21"/>
                <w:highlight w:val="none"/>
              </w:rPr>
            </w:pPr>
            <w:r>
              <w:rPr>
                <w:rFonts w:hint="eastAsia" w:ascii="宋体" w:hAnsi="宋体"/>
                <w:color w:val="auto"/>
                <w:szCs w:val="21"/>
                <w:highlight w:val="none"/>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37597FE3">
            <w:pPr>
              <w:rPr>
                <w:rFonts w:ascii="宋体" w:hAnsi="宋体"/>
                <w:color w:val="auto"/>
                <w:szCs w:val="21"/>
                <w:highlight w:val="none"/>
              </w:rPr>
            </w:pPr>
            <w:r>
              <w:rPr>
                <w:rFonts w:hint="eastAsia" w:ascii="宋体" w:hAnsi="宋体"/>
                <w:color w:val="auto"/>
                <w:szCs w:val="21"/>
                <w:highlight w:val="none"/>
              </w:rPr>
              <w:t>一档（2分）：供应商为采购人提供有合理的承诺，</w:t>
            </w:r>
          </w:p>
          <w:p w14:paraId="6F3B57F3">
            <w:pPr>
              <w:rPr>
                <w:rFonts w:ascii="宋体" w:hAnsi="宋体"/>
                <w:color w:val="auto"/>
                <w:szCs w:val="21"/>
                <w:highlight w:val="none"/>
              </w:rPr>
            </w:pPr>
            <w:r>
              <w:rPr>
                <w:rFonts w:hint="eastAsia" w:ascii="宋体" w:hAnsi="宋体"/>
                <w:color w:val="auto"/>
                <w:szCs w:val="21"/>
                <w:highlight w:val="none"/>
              </w:rPr>
              <w:t>并包含有项目保障措施，但方案简单，缺乏、针对性；</w:t>
            </w:r>
          </w:p>
          <w:p w14:paraId="7F1E21C9">
            <w:pPr>
              <w:rPr>
                <w:rFonts w:ascii="宋体" w:hAnsi="宋体"/>
                <w:color w:val="auto"/>
                <w:szCs w:val="21"/>
                <w:highlight w:val="none"/>
              </w:rPr>
            </w:pPr>
            <w:r>
              <w:rPr>
                <w:rFonts w:hint="eastAsia" w:ascii="宋体" w:hAnsi="宋体"/>
                <w:color w:val="auto"/>
                <w:szCs w:val="21"/>
                <w:highlight w:val="none"/>
              </w:rPr>
              <w:t>二档（4分）：供应商为采购人提供有服务质量及成果完成时间承诺，并包含有项目保障措施、保密承诺及廉洁承诺等，且描述了项目保障措施的方法以及实现方式，方案合理可行，具有针对性；</w:t>
            </w:r>
          </w:p>
          <w:p w14:paraId="5B4F2FC4">
            <w:pPr>
              <w:rPr>
                <w:rFonts w:ascii="宋体" w:hAnsi="宋体"/>
                <w:color w:val="auto"/>
                <w:szCs w:val="21"/>
                <w:highlight w:val="none"/>
              </w:rPr>
            </w:pPr>
            <w:r>
              <w:rPr>
                <w:rFonts w:hint="eastAsia" w:ascii="宋体" w:hAnsi="宋体"/>
                <w:color w:val="auto"/>
                <w:szCs w:val="21"/>
                <w:highlight w:val="none"/>
              </w:rPr>
              <w:t>三档（6分）：供应商为采购人提供优于采购需求的服务质量及成果完成时间承诺，并包含有合理可行并且具有针对性的项目保障措施、保密承诺及廉洁承诺等，且描述了应急保障方案的方法以及实现方式</w:t>
            </w:r>
            <w:r>
              <w:rPr>
                <w:rFonts w:ascii="宋体" w:hAnsi="宋体"/>
                <w:color w:val="auto"/>
                <w:szCs w:val="21"/>
                <w:highlight w:val="none"/>
              </w:rPr>
              <w:t xml:space="preserve"> </w:t>
            </w:r>
            <w:r>
              <w:rPr>
                <w:rFonts w:hint="eastAsia" w:ascii="宋体" w:hAnsi="宋体"/>
                <w:color w:val="auto"/>
                <w:szCs w:val="21"/>
                <w:highlight w:val="none"/>
              </w:rPr>
              <w:t>，服务质量承诺方案的联系人等，服务承诺和保障措施考虑周全完整，有额外优惠服务措施和内容。</w:t>
            </w:r>
          </w:p>
        </w:tc>
        <w:tc>
          <w:tcPr>
            <w:tcW w:w="2044" w:type="dxa"/>
            <w:tcBorders>
              <w:top w:val="single" w:color="auto" w:sz="4" w:space="0"/>
              <w:left w:val="single" w:color="auto" w:sz="4" w:space="0"/>
              <w:bottom w:val="single" w:color="auto" w:sz="4" w:space="0"/>
              <w:right w:val="single" w:color="auto" w:sz="4" w:space="0"/>
            </w:tcBorders>
            <w:vAlign w:val="center"/>
          </w:tcPr>
          <w:p w14:paraId="05B1E82C">
            <w:pPr>
              <w:rPr>
                <w:rFonts w:ascii="宋体" w:hAnsi="宋体"/>
                <w:color w:val="auto"/>
                <w:szCs w:val="21"/>
                <w:highlight w:val="none"/>
              </w:rPr>
            </w:pPr>
            <w:r>
              <w:rPr>
                <w:rFonts w:hint="eastAsia" w:ascii="宋体" w:hAnsi="宋体"/>
                <w:color w:val="auto"/>
                <w:szCs w:val="21"/>
                <w:highlight w:val="none"/>
              </w:rPr>
              <w:t>未提供或不满足一档要求的不得分。</w:t>
            </w:r>
          </w:p>
        </w:tc>
      </w:tr>
      <w:tr w14:paraId="0C62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restart"/>
            <w:tcBorders>
              <w:top w:val="single" w:color="auto" w:sz="4" w:space="0"/>
              <w:left w:val="single" w:color="auto" w:sz="4" w:space="0"/>
              <w:bottom w:val="single" w:color="auto" w:sz="4" w:space="0"/>
              <w:right w:val="single" w:color="auto" w:sz="4" w:space="0"/>
            </w:tcBorders>
            <w:vAlign w:val="center"/>
          </w:tcPr>
          <w:p w14:paraId="72D6D002">
            <w:pPr>
              <w:jc w:val="center"/>
              <w:rPr>
                <w:rFonts w:ascii="宋体" w:hAnsi="宋体"/>
                <w:color w:val="auto"/>
                <w:szCs w:val="21"/>
                <w:highlight w:val="none"/>
              </w:rPr>
            </w:pPr>
            <w:r>
              <w:rPr>
                <w:rFonts w:ascii="宋体" w:hAnsi="宋体"/>
                <w:color w:val="auto"/>
                <w:szCs w:val="21"/>
                <w:highlight w:val="none"/>
              </w:rPr>
              <w:t>2</w:t>
            </w:r>
          </w:p>
        </w:tc>
        <w:tc>
          <w:tcPr>
            <w:tcW w:w="666" w:type="dxa"/>
            <w:vMerge w:val="restart"/>
            <w:tcBorders>
              <w:top w:val="single" w:color="auto" w:sz="4" w:space="0"/>
              <w:left w:val="single" w:color="auto" w:sz="4" w:space="0"/>
              <w:bottom w:val="single" w:color="auto" w:sz="4" w:space="0"/>
              <w:right w:val="single" w:color="auto" w:sz="4" w:space="0"/>
            </w:tcBorders>
            <w:vAlign w:val="center"/>
          </w:tcPr>
          <w:p w14:paraId="56CBEE30">
            <w:pPr>
              <w:jc w:val="center"/>
              <w:rPr>
                <w:rFonts w:ascii="宋体" w:hAnsi="宋体"/>
                <w:color w:val="auto"/>
                <w:szCs w:val="21"/>
                <w:highlight w:val="none"/>
              </w:rPr>
            </w:pPr>
            <w:r>
              <w:rPr>
                <w:rFonts w:hint="eastAsia" w:ascii="宋体" w:hAnsi="宋体"/>
                <w:color w:val="auto"/>
                <w:szCs w:val="21"/>
                <w:highlight w:val="none"/>
              </w:rPr>
              <w:t>技术部分（50分）</w:t>
            </w:r>
          </w:p>
        </w:tc>
        <w:tc>
          <w:tcPr>
            <w:tcW w:w="1009" w:type="dxa"/>
            <w:tcBorders>
              <w:top w:val="single" w:color="auto" w:sz="4" w:space="0"/>
              <w:left w:val="single" w:color="auto" w:sz="4" w:space="0"/>
              <w:bottom w:val="single" w:color="auto" w:sz="4" w:space="0"/>
              <w:right w:val="single" w:color="auto" w:sz="4" w:space="0"/>
            </w:tcBorders>
            <w:vAlign w:val="center"/>
          </w:tcPr>
          <w:p w14:paraId="5347DFD1">
            <w:pPr>
              <w:widowControl/>
              <w:jc w:val="left"/>
              <w:rPr>
                <w:rFonts w:ascii="宋体" w:hAnsi="宋体"/>
                <w:color w:val="auto"/>
                <w:szCs w:val="21"/>
                <w:highlight w:val="none"/>
              </w:rPr>
            </w:pPr>
            <w:r>
              <w:rPr>
                <w:rFonts w:hint="eastAsia" w:ascii="宋体" w:hAnsi="宋体"/>
                <w:color w:val="auto"/>
                <w:szCs w:val="21"/>
                <w:highlight w:val="none"/>
              </w:rPr>
              <w:t>工作方案（</w:t>
            </w:r>
            <w:r>
              <w:rPr>
                <w:rFonts w:ascii="宋体" w:hAnsi="宋体"/>
                <w:color w:val="auto"/>
                <w:szCs w:val="21"/>
                <w:highlight w:val="none"/>
              </w:rPr>
              <w:t>30</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42538640">
            <w:pPr>
              <w:jc w:val="center"/>
              <w:rPr>
                <w:rFonts w:ascii="宋体" w:hAnsi="宋体"/>
                <w:color w:val="auto"/>
                <w:szCs w:val="21"/>
                <w:highlight w:val="none"/>
              </w:rPr>
            </w:pPr>
            <w:r>
              <w:rPr>
                <w:rFonts w:hint="eastAsia" w:ascii="宋体" w:hAnsi="宋体"/>
                <w:color w:val="auto"/>
                <w:szCs w:val="21"/>
                <w:highlight w:val="none"/>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23BEEB27">
            <w:pPr>
              <w:rPr>
                <w:rFonts w:ascii="宋体" w:hAnsi="宋体"/>
                <w:color w:val="auto"/>
                <w:szCs w:val="21"/>
                <w:highlight w:val="none"/>
              </w:rPr>
            </w:pPr>
            <w:r>
              <w:rPr>
                <w:rFonts w:hint="eastAsia" w:ascii="宋体" w:hAnsi="宋体"/>
                <w:color w:val="auto"/>
                <w:szCs w:val="21"/>
                <w:highlight w:val="none"/>
              </w:rPr>
              <w:t>一档（</w:t>
            </w:r>
            <w:r>
              <w:rPr>
                <w:rFonts w:ascii="宋体" w:hAnsi="宋体"/>
                <w:color w:val="auto"/>
                <w:szCs w:val="21"/>
                <w:highlight w:val="none"/>
              </w:rPr>
              <w:t>8</w:t>
            </w:r>
            <w:r>
              <w:rPr>
                <w:rFonts w:hint="eastAsia" w:ascii="宋体" w:hAnsi="宋体"/>
                <w:color w:val="auto"/>
                <w:szCs w:val="21"/>
                <w:highlight w:val="none"/>
              </w:rPr>
              <w:t>分）：目标工作方案简单，对项目的总体需求的理解程度、对项目范围把握不准确，项目重点难点分析不完整。</w:t>
            </w:r>
          </w:p>
          <w:p w14:paraId="2F66837E">
            <w:pPr>
              <w:rPr>
                <w:rFonts w:ascii="宋体" w:hAnsi="宋体"/>
                <w:color w:val="auto"/>
                <w:szCs w:val="21"/>
                <w:highlight w:val="none"/>
              </w:rPr>
            </w:pPr>
            <w:r>
              <w:rPr>
                <w:rFonts w:hint="eastAsia" w:ascii="宋体" w:hAnsi="宋体"/>
                <w:color w:val="auto"/>
                <w:szCs w:val="21"/>
                <w:highlight w:val="none"/>
              </w:rPr>
              <w:t>二档（</w:t>
            </w:r>
            <w:r>
              <w:rPr>
                <w:rFonts w:ascii="宋体" w:hAnsi="宋体"/>
                <w:color w:val="auto"/>
                <w:szCs w:val="21"/>
                <w:highlight w:val="none"/>
              </w:rPr>
              <w:t>16</w:t>
            </w:r>
            <w:r>
              <w:rPr>
                <w:rFonts w:hint="eastAsia" w:ascii="宋体" w:hAnsi="宋体"/>
                <w:color w:val="auto"/>
                <w:szCs w:val="21"/>
                <w:highlight w:val="none"/>
              </w:rPr>
              <w:t>分）：目标工作方案合理完整，具有针对性，对项目的总体需求的理解程度、对项目范围把握准确度低，项目重点难点分析简单，应对措施不够具体。</w:t>
            </w:r>
          </w:p>
          <w:p w14:paraId="4E51015C">
            <w:pPr>
              <w:rPr>
                <w:rFonts w:ascii="宋体" w:hAnsi="宋体"/>
                <w:color w:val="auto"/>
                <w:szCs w:val="21"/>
                <w:highlight w:val="none"/>
              </w:rPr>
            </w:pPr>
            <w:r>
              <w:rPr>
                <w:rFonts w:hint="eastAsia" w:ascii="宋体" w:hAnsi="宋体"/>
                <w:color w:val="auto"/>
                <w:szCs w:val="21"/>
                <w:highlight w:val="none"/>
              </w:rPr>
              <w:t>三档（</w:t>
            </w:r>
            <w:r>
              <w:rPr>
                <w:rFonts w:ascii="宋体" w:hAnsi="宋体"/>
                <w:color w:val="auto"/>
                <w:szCs w:val="21"/>
                <w:highlight w:val="none"/>
              </w:rPr>
              <w:t>24</w:t>
            </w:r>
            <w:r>
              <w:rPr>
                <w:rFonts w:hint="eastAsia" w:ascii="宋体" w:hAnsi="宋体"/>
                <w:color w:val="auto"/>
                <w:szCs w:val="21"/>
                <w:highlight w:val="none"/>
              </w:rPr>
              <w:t>分）：目标工作方案合理完整，具有针对性和一定的先进性，对项目的总体需求的理解程度、对项目范围把握准确度好，项目重点难点分析完善，应对措施具体可行，并附有相关的合理化建议，建立完善的组织机构、规范的内部操作规程。</w:t>
            </w:r>
          </w:p>
          <w:p w14:paraId="525AF684">
            <w:pPr>
              <w:rPr>
                <w:rFonts w:ascii="宋体" w:hAnsi="宋体"/>
                <w:color w:val="auto"/>
                <w:szCs w:val="21"/>
                <w:highlight w:val="none"/>
              </w:rPr>
            </w:pPr>
            <w:r>
              <w:rPr>
                <w:rFonts w:hint="eastAsia" w:ascii="宋体" w:hAnsi="宋体"/>
                <w:color w:val="auto"/>
                <w:szCs w:val="21"/>
                <w:highlight w:val="none"/>
              </w:rPr>
              <w:t>四档（</w:t>
            </w:r>
            <w:r>
              <w:rPr>
                <w:rFonts w:ascii="宋体" w:hAnsi="宋体"/>
                <w:color w:val="auto"/>
                <w:szCs w:val="21"/>
                <w:highlight w:val="none"/>
              </w:rPr>
              <w:t>30</w:t>
            </w:r>
            <w:r>
              <w:rPr>
                <w:rFonts w:hint="eastAsia" w:ascii="宋体" w:hAnsi="宋体"/>
                <w:color w:val="auto"/>
                <w:szCs w:val="21"/>
                <w:highlight w:val="none"/>
              </w:rPr>
              <w:t>分）：目标工作方案合理完整，具有针对性和一定的先进性，对项目的总体需求的理解程度、对项目范围把握准确度高并具有切合的额外建设建议和措施，项目重点难点分析翔实且有针对性，应对措施具体可行，相关的合理化建议有可操作性和先进性，建立完善的组织机构、规范的内部操作规程。</w:t>
            </w:r>
          </w:p>
        </w:tc>
        <w:tc>
          <w:tcPr>
            <w:tcW w:w="2044" w:type="dxa"/>
            <w:tcBorders>
              <w:top w:val="single" w:color="auto" w:sz="4" w:space="0"/>
              <w:left w:val="single" w:color="auto" w:sz="4" w:space="0"/>
              <w:bottom w:val="single" w:color="auto" w:sz="4" w:space="0"/>
              <w:right w:val="single" w:color="auto" w:sz="4" w:space="0"/>
            </w:tcBorders>
            <w:vAlign w:val="center"/>
          </w:tcPr>
          <w:p w14:paraId="3704B047">
            <w:pPr>
              <w:rPr>
                <w:rFonts w:ascii="宋体" w:hAnsi="宋体"/>
                <w:color w:val="auto"/>
                <w:szCs w:val="21"/>
                <w:highlight w:val="none"/>
              </w:rPr>
            </w:pPr>
            <w:r>
              <w:rPr>
                <w:rFonts w:hint="eastAsia" w:ascii="宋体" w:hAnsi="宋体"/>
                <w:color w:val="auto"/>
                <w:szCs w:val="21"/>
                <w:highlight w:val="none"/>
              </w:rPr>
              <w:t>未提供或不满足一档要求的不得分。</w:t>
            </w:r>
          </w:p>
        </w:tc>
      </w:tr>
      <w:tr w14:paraId="34C1F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14:paraId="78F144E1">
            <w:pPr>
              <w:widowControl/>
              <w:jc w:val="left"/>
              <w:rPr>
                <w:rFonts w:ascii="宋体" w:hAnsi="宋体"/>
                <w:color w:val="auto"/>
                <w:szCs w:val="21"/>
                <w:highlight w:val="none"/>
              </w:rPr>
            </w:pPr>
          </w:p>
        </w:tc>
        <w:tc>
          <w:tcPr>
            <w:tcW w:w="666" w:type="dxa"/>
            <w:vMerge w:val="continue"/>
            <w:tcBorders>
              <w:top w:val="single" w:color="auto" w:sz="4" w:space="0"/>
              <w:left w:val="single" w:color="auto" w:sz="4" w:space="0"/>
              <w:bottom w:val="single" w:color="auto" w:sz="4" w:space="0"/>
              <w:right w:val="single" w:color="auto" w:sz="4" w:space="0"/>
            </w:tcBorders>
            <w:vAlign w:val="center"/>
          </w:tcPr>
          <w:p w14:paraId="68EC4CFB">
            <w:pPr>
              <w:widowControl/>
              <w:jc w:val="left"/>
              <w:rPr>
                <w:rFonts w:ascii="宋体" w:hAnsi="宋体"/>
                <w:color w:val="auto"/>
                <w:szCs w:val="21"/>
                <w:highlight w:val="none"/>
              </w:rPr>
            </w:pPr>
          </w:p>
        </w:tc>
        <w:tc>
          <w:tcPr>
            <w:tcW w:w="1009" w:type="dxa"/>
            <w:tcBorders>
              <w:top w:val="single" w:color="auto" w:sz="4" w:space="0"/>
              <w:left w:val="single" w:color="auto" w:sz="4" w:space="0"/>
              <w:bottom w:val="single" w:color="auto" w:sz="4" w:space="0"/>
              <w:right w:val="single" w:color="auto" w:sz="4" w:space="0"/>
            </w:tcBorders>
            <w:vAlign w:val="center"/>
          </w:tcPr>
          <w:p w14:paraId="0E4909C0">
            <w:pPr>
              <w:widowControl/>
              <w:jc w:val="left"/>
              <w:rPr>
                <w:rFonts w:ascii="宋体" w:hAnsi="宋体"/>
                <w:color w:val="auto"/>
                <w:szCs w:val="21"/>
                <w:highlight w:val="none"/>
              </w:rPr>
            </w:pPr>
            <w:r>
              <w:rPr>
                <w:rFonts w:hint="eastAsia" w:ascii="宋体" w:hAnsi="宋体"/>
                <w:color w:val="auto"/>
                <w:szCs w:val="21"/>
                <w:highlight w:val="none"/>
              </w:rPr>
              <w:t>实施计划（20分）</w:t>
            </w:r>
          </w:p>
        </w:tc>
        <w:tc>
          <w:tcPr>
            <w:tcW w:w="692" w:type="dxa"/>
            <w:tcBorders>
              <w:top w:val="single" w:color="auto" w:sz="4" w:space="0"/>
              <w:left w:val="single" w:color="auto" w:sz="4" w:space="0"/>
              <w:bottom w:val="single" w:color="auto" w:sz="4" w:space="0"/>
              <w:right w:val="single" w:color="auto" w:sz="4" w:space="0"/>
            </w:tcBorders>
            <w:vAlign w:val="center"/>
          </w:tcPr>
          <w:p w14:paraId="63040803">
            <w:pPr>
              <w:jc w:val="center"/>
              <w:rPr>
                <w:rFonts w:ascii="宋体" w:hAnsi="宋体"/>
                <w:color w:val="auto"/>
                <w:szCs w:val="21"/>
                <w:highlight w:val="none"/>
              </w:rPr>
            </w:pPr>
            <w:r>
              <w:rPr>
                <w:rFonts w:hint="eastAsia" w:ascii="宋体" w:hAnsi="宋体"/>
                <w:color w:val="auto"/>
                <w:szCs w:val="21"/>
                <w:highlight w:val="none"/>
              </w:rPr>
              <w:t>主观分</w:t>
            </w:r>
          </w:p>
        </w:tc>
        <w:tc>
          <w:tcPr>
            <w:tcW w:w="5003" w:type="dxa"/>
            <w:tcBorders>
              <w:top w:val="single" w:color="auto" w:sz="4" w:space="0"/>
              <w:left w:val="single" w:color="auto" w:sz="4" w:space="0"/>
              <w:bottom w:val="single" w:color="auto" w:sz="4" w:space="0"/>
              <w:right w:val="single" w:color="auto" w:sz="4" w:space="0"/>
            </w:tcBorders>
            <w:vAlign w:val="center"/>
          </w:tcPr>
          <w:p w14:paraId="7AAFAB6D">
            <w:pPr>
              <w:rPr>
                <w:rFonts w:ascii="宋体" w:hAnsi="宋体"/>
                <w:color w:val="auto"/>
                <w:szCs w:val="21"/>
                <w:highlight w:val="none"/>
              </w:rPr>
            </w:pPr>
            <w:r>
              <w:rPr>
                <w:rFonts w:hint="eastAsia" w:ascii="宋体" w:hAnsi="宋体"/>
                <w:color w:val="auto"/>
                <w:szCs w:val="21"/>
                <w:highlight w:val="none"/>
              </w:rPr>
              <w:t>一档（5分）：计划安排内容简单；</w:t>
            </w:r>
          </w:p>
          <w:p w14:paraId="0A9F4400">
            <w:pPr>
              <w:rPr>
                <w:rFonts w:ascii="宋体" w:hAnsi="宋体"/>
                <w:color w:val="auto"/>
                <w:szCs w:val="21"/>
                <w:highlight w:val="none"/>
              </w:rPr>
            </w:pPr>
            <w:r>
              <w:rPr>
                <w:rFonts w:hint="eastAsia" w:ascii="宋体" w:hAnsi="宋体"/>
                <w:color w:val="auto"/>
                <w:szCs w:val="21"/>
                <w:highlight w:val="none"/>
              </w:rPr>
              <w:t>二档（10分）：有工作步骤、对本项目调研计划基本合理，时间安排基本满足采购文件要求；</w:t>
            </w:r>
          </w:p>
          <w:p w14:paraId="4958EE61">
            <w:pPr>
              <w:rPr>
                <w:rFonts w:ascii="宋体" w:hAnsi="宋体"/>
                <w:color w:val="auto"/>
                <w:szCs w:val="21"/>
                <w:highlight w:val="none"/>
              </w:rPr>
            </w:pPr>
            <w:r>
              <w:rPr>
                <w:rFonts w:hint="eastAsia" w:ascii="宋体" w:hAnsi="宋体"/>
                <w:color w:val="auto"/>
                <w:szCs w:val="21"/>
                <w:highlight w:val="none"/>
              </w:rPr>
              <w:t>三档（15分）：有工作步骤、对本项目调研计划合理，时间满足采购文件要求，有参加课题前期调研、中期汇报的安排内容；</w:t>
            </w:r>
          </w:p>
          <w:p w14:paraId="2B79B0E9">
            <w:pPr>
              <w:rPr>
                <w:rFonts w:ascii="宋体" w:hAnsi="宋体"/>
                <w:color w:val="auto"/>
                <w:szCs w:val="21"/>
                <w:highlight w:val="none"/>
              </w:rPr>
            </w:pPr>
            <w:r>
              <w:rPr>
                <w:rFonts w:hint="eastAsia" w:ascii="宋体" w:hAnsi="宋体"/>
                <w:color w:val="auto"/>
                <w:szCs w:val="21"/>
                <w:highlight w:val="none"/>
              </w:rPr>
              <w:t>四档（20分）：有工作步骤、对本项目调研计划科学合理，时间安排紧凑且优于采购文件要求，推进步骤清晰明了，参加课题前期调研、中期汇报的安排科学合理，保证课题质量措施有利于采购人完成项目。</w:t>
            </w:r>
          </w:p>
        </w:tc>
        <w:tc>
          <w:tcPr>
            <w:tcW w:w="2044" w:type="dxa"/>
            <w:tcBorders>
              <w:top w:val="single" w:color="auto" w:sz="4" w:space="0"/>
              <w:left w:val="single" w:color="auto" w:sz="4" w:space="0"/>
              <w:bottom w:val="single" w:color="auto" w:sz="4" w:space="0"/>
              <w:right w:val="single" w:color="auto" w:sz="4" w:space="0"/>
            </w:tcBorders>
            <w:vAlign w:val="center"/>
          </w:tcPr>
          <w:p w14:paraId="20E10920">
            <w:pPr>
              <w:rPr>
                <w:rFonts w:ascii="宋体" w:hAnsi="宋体"/>
                <w:color w:val="auto"/>
                <w:szCs w:val="21"/>
                <w:highlight w:val="none"/>
              </w:rPr>
            </w:pPr>
            <w:r>
              <w:rPr>
                <w:rFonts w:hint="eastAsia" w:ascii="宋体" w:hAnsi="宋体"/>
                <w:color w:val="auto"/>
                <w:szCs w:val="21"/>
                <w:highlight w:val="none"/>
              </w:rPr>
              <w:t>未提供或不满足一档要求的不得分。</w:t>
            </w:r>
          </w:p>
        </w:tc>
      </w:tr>
      <w:tr w14:paraId="3658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0DADC5B1">
            <w:pPr>
              <w:jc w:val="center"/>
              <w:rPr>
                <w:rFonts w:ascii="宋体" w:hAnsi="宋体"/>
                <w:color w:val="auto"/>
                <w:szCs w:val="21"/>
                <w:highlight w:val="none"/>
              </w:rPr>
            </w:pPr>
            <w:r>
              <w:rPr>
                <w:rFonts w:ascii="宋体" w:hAnsi="宋体"/>
                <w:color w:val="auto"/>
                <w:szCs w:val="21"/>
                <w:highlight w:val="none"/>
              </w:rPr>
              <w:t>3</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6AE07647">
            <w:pPr>
              <w:jc w:val="center"/>
              <w:rPr>
                <w:rFonts w:ascii="宋体" w:hAnsi="宋体"/>
                <w:color w:val="auto"/>
                <w:szCs w:val="21"/>
                <w:highlight w:val="none"/>
              </w:rPr>
            </w:pPr>
            <w:r>
              <w:rPr>
                <w:rFonts w:hint="eastAsia" w:ascii="宋体" w:hAnsi="宋体"/>
                <w:color w:val="auto"/>
                <w:szCs w:val="21"/>
                <w:highlight w:val="none"/>
              </w:rPr>
              <w:t>响应报价分</w:t>
            </w:r>
          </w:p>
          <w:p w14:paraId="4D6443A2">
            <w:pPr>
              <w:jc w:val="center"/>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10</w:t>
            </w:r>
            <w:r>
              <w:rPr>
                <w:rFonts w:hint="eastAsia" w:ascii="宋体" w:hAnsi="宋体"/>
                <w:color w:val="auto"/>
                <w:szCs w:val="21"/>
                <w:highlight w:val="none"/>
              </w:rPr>
              <w:t>分）</w:t>
            </w:r>
          </w:p>
        </w:tc>
        <w:tc>
          <w:tcPr>
            <w:tcW w:w="692" w:type="dxa"/>
            <w:tcBorders>
              <w:top w:val="single" w:color="auto" w:sz="4" w:space="0"/>
              <w:left w:val="single" w:color="auto" w:sz="4" w:space="0"/>
              <w:bottom w:val="single" w:color="auto" w:sz="4" w:space="0"/>
              <w:right w:val="single" w:color="auto" w:sz="4" w:space="0"/>
            </w:tcBorders>
            <w:vAlign w:val="center"/>
          </w:tcPr>
          <w:p w14:paraId="50D69365">
            <w:pPr>
              <w:jc w:val="center"/>
              <w:rPr>
                <w:rFonts w:ascii="宋体" w:hAnsi="宋体"/>
                <w:color w:val="auto"/>
                <w:szCs w:val="21"/>
                <w:highlight w:val="none"/>
              </w:rPr>
            </w:pPr>
            <w:r>
              <w:rPr>
                <w:rFonts w:hint="eastAsia" w:ascii="宋体" w:hAnsi="宋体"/>
                <w:color w:val="auto"/>
                <w:szCs w:val="21"/>
                <w:highlight w:val="none"/>
              </w:rPr>
              <w:t>客观分</w:t>
            </w:r>
          </w:p>
        </w:tc>
        <w:tc>
          <w:tcPr>
            <w:tcW w:w="5003" w:type="dxa"/>
            <w:tcBorders>
              <w:top w:val="single" w:color="auto" w:sz="4" w:space="0"/>
              <w:left w:val="single" w:color="auto" w:sz="4" w:space="0"/>
              <w:bottom w:val="single" w:color="auto" w:sz="4" w:space="0"/>
              <w:right w:val="single" w:color="auto" w:sz="4" w:space="0"/>
            </w:tcBorders>
            <w:vAlign w:val="center"/>
          </w:tcPr>
          <w:p w14:paraId="1DCB7E18">
            <w:pPr>
              <w:jc w:val="center"/>
              <w:rPr>
                <w:rFonts w:ascii="宋体" w:hAnsi="宋体"/>
                <w:color w:val="auto"/>
                <w:szCs w:val="21"/>
                <w:highlight w:val="none"/>
              </w:rPr>
            </w:pPr>
            <w:r>
              <w:rPr>
                <w:rFonts w:hint="eastAsia" w:ascii="宋体" w:hAnsi="宋体"/>
                <w:color w:val="auto"/>
                <w:szCs w:val="21"/>
                <w:highlight w:val="none"/>
              </w:rPr>
              <w:t>以满足采购文件要求且响应价格最低的响应报价为评审基准价，其价格分为满分。其他供应商的价格分统一按照下列公式计算：响应报价得分</w:t>
            </w:r>
            <w:r>
              <w:rPr>
                <w:rFonts w:ascii="宋体" w:hAnsi="宋体"/>
                <w:color w:val="auto"/>
                <w:szCs w:val="21"/>
                <w:highlight w:val="none"/>
              </w:rPr>
              <w:t>=</w:t>
            </w:r>
            <w:r>
              <w:rPr>
                <w:rFonts w:hint="eastAsia" w:ascii="宋体" w:hAnsi="宋体"/>
                <w:color w:val="auto"/>
                <w:szCs w:val="21"/>
                <w:highlight w:val="none"/>
              </w:rPr>
              <w:t>（评审基准价</w:t>
            </w:r>
            <w:r>
              <w:rPr>
                <w:rFonts w:ascii="宋体" w:hAnsi="宋体"/>
                <w:color w:val="auto"/>
                <w:szCs w:val="21"/>
                <w:highlight w:val="none"/>
              </w:rPr>
              <w:t>/</w:t>
            </w:r>
            <w:r>
              <w:rPr>
                <w:rFonts w:hint="eastAsia" w:ascii="宋体" w:hAnsi="宋体"/>
                <w:color w:val="auto"/>
                <w:szCs w:val="21"/>
                <w:highlight w:val="none"/>
              </w:rPr>
              <w:t>响应报价）</w:t>
            </w:r>
            <w:r>
              <w:rPr>
                <w:rFonts w:ascii="宋体" w:hAnsi="宋体"/>
                <w:color w:val="auto"/>
                <w:szCs w:val="21"/>
                <w:highlight w:val="none"/>
              </w:rPr>
              <w:t>×</w:t>
            </w:r>
            <w:r>
              <w:rPr>
                <w:rFonts w:hint="eastAsia" w:ascii="宋体" w:hAnsi="宋体"/>
                <w:color w:val="auto"/>
                <w:szCs w:val="21"/>
                <w:highlight w:val="none"/>
              </w:rPr>
              <w:t>响应报价分满分分值。</w:t>
            </w:r>
          </w:p>
        </w:tc>
        <w:tc>
          <w:tcPr>
            <w:tcW w:w="2044" w:type="dxa"/>
            <w:tcBorders>
              <w:top w:val="single" w:color="auto" w:sz="4" w:space="0"/>
              <w:left w:val="single" w:color="auto" w:sz="4" w:space="0"/>
              <w:bottom w:val="single" w:color="auto" w:sz="4" w:space="0"/>
              <w:right w:val="single" w:color="auto" w:sz="4" w:space="0"/>
            </w:tcBorders>
            <w:vAlign w:val="center"/>
          </w:tcPr>
          <w:p w14:paraId="1F0807C5">
            <w:pPr>
              <w:rPr>
                <w:rFonts w:ascii="宋体" w:hAnsi="宋体"/>
                <w:color w:val="auto"/>
                <w:szCs w:val="21"/>
                <w:highlight w:val="none"/>
              </w:rPr>
            </w:pPr>
            <w:r>
              <w:rPr>
                <w:rFonts w:hint="eastAsia"/>
                <w:color w:val="auto"/>
                <w:szCs w:val="21"/>
                <w:highlight w:val="none"/>
              </w:rPr>
              <w:t>响应报价计算时均为供应商的实际响应报价进行政策性扣除后的价格，最终成交金额＝响应报价。政策性扣除计算方法见后。</w:t>
            </w:r>
          </w:p>
        </w:tc>
      </w:tr>
      <w:tr w14:paraId="26F6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Borders>
              <w:top w:val="single" w:color="auto" w:sz="4" w:space="0"/>
              <w:left w:val="single" w:color="auto" w:sz="4" w:space="0"/>
              <w:bottom w:val="single" w:color="auto" w:sz="4" w:space="0"/>
              <w:right w:val="single" w:color="auto" w:sz="4" w:space="0"/>
            </w:tcBorders>
            <w:vAlign w:val="center"/>
          </w:tcPr>
          <w:p w14:paraId="6CA6A699">
            <w:pPr>
              <w:jc w:val="center"/>
              <w:rPr>
                <w:rFonts w:ascii="宋体" w:hAnsi="宋体"/>
                <w:color w:val="auto"/>
                <w:szCs w:val="21"/>
                <w:highlight w:val="none"/>
              </w:rPr>
            </w:pPr>
            <w:r>
              <w:rPr>
                <w:rFonts w:ascii="宋体" w:hAnsi="宋体"/>
                <w:color w:val="auto"/>
                <w:szCs w:val="21"/>
                <w:highlight w:val="none"/>
              </w:rPr>
              <w:t>4</w:t>
            </w:r>
          </w:p>
        </w:tc>
        <w:tc>
          <w:tcPr>
            <w:tcW w:w="1675" w:type="dxa"/>
            <w:gridSpan w:val="2"/>
            <w:tcBorders>
              <w:top w:val="single" w:color="auto" w:sz="4" w:space="0"/>
              <w:left w:val="single" w:color="auto" w:sz="4" w:space="0"/>
              <w:bottom w:val="single" w:color="auto" w:sz="4" w:space="0"/>
              <w:right w:val="single" w:color="auto" w:sz="4" w:space="0"/>
            </w:tcBorders>
            <w:vAlign w:val="center"/>
          </w:tcPr>
          <w:p w14:paraId="7376722B">
            <w:pPr>
              <w:jc w:val="center"/>
              <w:rPr>
                <w:rFonts w:ascii="宋体" w:hAnsi="宋体"/>
                <w:color w:val="auto"/>
                <w:szCs w:val="21"/>
                <w:highlight w:val="none"/>
              </w:rPr>
            </w:pPr>
            <w:r>
              <w:rPr>
                <w:rFonts w:hint="eastAsia" w:ascii="宋体" w:hAnsi="宋体"/>
                <w:color w:val="auto"/>
                <w:szCs w:val="21"/>
                <w:highlight w:val="none"/>
              </w:rPr>
              <w:t>综合得分</w:t>
            </w:r>
          </w:p>
        </w:tc>
        <w:tc>
          <w:tcPr>
            <w:tcW w:w="7739" w:type="dxa"/>
            <w:gridSpan w:val="3"/>
            <w:tcBorders>
              <w:top w:val="single" w:color="auto" w:sz="4" w:space="0"/>
              <w:left w:val="single" w:color="auto" w:sz="4" w:space="0"/>
              <w:bottom w:val="single" w:color="auto" w:sz="4" w:space="0"/>
              <w:right w:val="single" w:color="auto" w:sz="4" w:space="0"/>
            </w:tcBorders>
            <w:vAlign w:val="center"/>
          </w:tcPr>
          <w:p w14:paraId="2C626A2F">
            <w:pPr>
              <w:rPr>
                <w:rFonts w:ascii="宋体" w:hAnsi="宋体"/>
                <w:color w:val="auto"/>
                <w:szCs w:val="21"/>
                <w:highlight w:val="none"/>
              </w:rPr>
            </w:pPr>
            <w:r>
              <w:rPr>
                <w:rFonts w:ascii="宋体" w:hAnsi="宋体"/>
                <w:color w:val="auto"/>
                <w:szCs w:val="21"/>
                <w:highlight w:val="none"/>
              </w:rPr>
              <w:t>=1+2+3</w:t>
            </w:r>
            <w:r>
              <w:rPr>
                <w:rFonts w:hint="eastAsia" w:ascii="宋体" w:hAnsi="宋体"/>
                <w:color w:val="auto"/>
                <w:szCs w:val="21"/>
                <w:highlight w:val="none"/>
              </w:rPr>
              <w:t>（各项评分分值计算保留小数点后两位，小数点后第三位</w:t>
            </w:r>
            <w:r>
              <w:rPr>
                <w:rFonts w:ascii="宋体" w:hAnsi="宋体"/>
                <w:color w:val="auto"/>
                <w:szCs w:val="21"/>
                <w:highlight w:val="none"/>
              </w:rPr>
              <w:t>“</w:t>
            </w:r>
            <w:r>
              <w:rPr>
                <w:rFonts w:hint="eastAsia" w:ascii="宋体" w:hAnsi="宋体"/>
                <w:color w:val="auto"/>
                <w:szCs w:val="21"/>
                <w:highlight w:val="none"/>
              </w:rPr>
              <w:t>四舍五入</w:t>
            </w:r>
            <w:r>
              <w:rPr>
                <w:rFonts w:ascii="宋体" w:hAnsi="宋体"/>
                <w:color w:val="auto"/>
                <w:szCs w:val="21"/>
                <w:highlight w:val="none"/>
              </w:rPr>
              <w:t>”</w:t>
            </w:r>
            <w:r>
              <w:rPr>
                <w:rFonts w:hint="eastAsia" w:ascii="宋体" w:hAnsi="宋体"/>
                <w:color w:val="auto"/>
                <w:szCs w:val="21"/>
                <w:highlight w:val="none"/>
              </w:rPr>
              <w:t>）</w:t>
            </w:r>
          </w:p>
        </w:tc>
      </w:tr>
    </w:tbl>
    <w:p w14:paraId="7787A160">
      <w:pPr>
        <w:spacing w:before="120" w:line="320" w:lineRule="atLeast"/>
        <w:ind w:firstLine="316" w:firstLineChars="150"/>
        <w:rPr>
          <w:rFonts w:ascii="宋体" w:hAnsi="宋体"/>
          <w:b/>
          <w:bCs/>
          <w:color w:val="auto"/>
          <w:kern w:val="0"/>
          <w:szCs w:val="21"/>
          <w:highlight w:val="none"/>
        </w:rPr>
      </w:pPr>
      <w:r>
        <w:rPr>
          <w:rFonts w:ascii="宋体" w:hAnsi="宋体"/>
          <w:b/>
          <w:bCs/>
          <w:color w:val="auto"/>
          <w:kern w:val="0"/>
          <w:szCs w:val="21"/>
          <w:highlight w:val="none"/>
        </w:rPr>
        <w:t>政策性扣除计算方法</w:t>
      </w:r>
      <w:r>
        <w:rPr>
          <w:rFonts w:hint="eastAsia" w:ascii="宋体" w:hAnsi="宋体"/>
          <w:b/>
          <w:bCs/>
          <w:color w:val="auto"/>
          <w:kern w:val="0"/>
          <w:szCs w:val="21"/>
          <w:highlight w:val="none"/>
        </w:rPr>
        <w:t>：</w:t>
      </w:r>
    </w:p>
    <w:p w14:paraId="645CFF68">
      <w:pPr>
        <w:spacing w:before="120" w:line="320" w:lineRule="atLeast"/>
        <w:ind w:firstLine="315" w:firstLineChars="150"/>
        <w:rPr>
          <w:rFonts w:ascii="宋体" w:hAnsi="宋体"/>
          <w:color w:val="auto"/>
          <w:szCs w:val="21"/>
          <w:highlight w:val="none"/>
        </w:rPr>
      </w:pPr>
      <w:r>
        <w:rPr>
          <w:rFonts w:hint="eastAsia" w:ascii="宋体" w:hAnsi="宋体"/>
          <w:color w:val="auto"/>
          <w:szCs w:val="21"/>
          <w:highlight w:val="none"/>
        </w:rPr>
        <w:t>小微企业的价格扣除计算:供应商响应</w:t>
      </w:r>
      <w:r>
        <w:rPr>
          <w:rFonts w:ascii="宋体" w:hAnsi="宋体"/>
          <w:color w:val="auto"/>
          <w:szCs w:val="21"/>
          <w:highlight w:val="none"/>
        </w:rPr>
        <w:t>报价将按相应比例进行扣除，用扣除后的价格参与评审（计算价格分）</w:t>
      </w:r>
      <w:r>
        <w:rPr>
          <w:rFonts w:hint="eastAsia" w:ascii="宋体" w:hAnsi="宋体"/>
          <w:color w:val="auto"/>
          <w:szCs w:val="21"/>
          <w:highlight w:val="none"/>
        </w:rPr>
        <w:t>，价格扣除比例分别如下：</w:t>
      </w:r>
      <w:r>
        <w:rPr>
          <w:rFonts w:ascii="宋体" w:hAnsi="宋体"/>
          <w:color w:val="auto"/>
          <w:szCs w:val="21"/>
          <w:highlight w:val="none"/>
        </w:rPr>
        <w:t xml:space="preserve"> </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704A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19BA646C">
            <w:pPr>
              <w:spacing w:before="120" w:line="320" w:lineRule="atLeast"/>
              <w:jc w:val="center"/>
              <w:rPr>
                <w:rFonts w:ascii="宋体" w:hAnsi="宋体"/>
                <w:color w:val="auto"/>
                <w:szCs w:val="21"/>
                <w:highlight w:val="none"/>
              </w:rPr>
            </w:pPr>
            <w:r>
              <w:rPr>
                <w:rFonts w:hint="eastAsia" w:ascii="宋体" w:hAnsi="宋体"/>
                <w:color w:val="auto"/>
                <w:szCs w:val="21"/>
                <w:highlight w:val="none"/>
              </w:rPr>
              <w:t>独立投标</w:t>
            </w:r>
          </w:p>
        </w:tc>
        <w:tc>
          <w:tcPr>
            <w:tcW w:w="4962" w:type="dxa"/>
          </w:tcPr>
          <w:p w14:paraId="04C602BC">
            <w:pPr>
              <w:spacing w:before="120" w:line="320" w:lineRule="atLeast"/>
              <w:rPr>
                <w:rFonts w:ascii="宋体" w:hAnsi="宋体"/>
                <w:color w:val="auto"/>
                <w:szCs w:val="21"/>
                <w:highlight w:val="none"/>
              </w:rPr>
            </w:pPr>
            <w:r>
              <w:rPr>
                <w:rFonts w:hint="eastAsia" w:ascii="宋体" w:hAnsi="宋体"/>
                <w:color w:val="auto"/>
                <w:szCs w:val="21"/>
                <w:highlight w:val="none"/>
              </w:rPr>
              <w:t>供应商均为所列企业之一（小型企业、微型企业、残疾人福利企业、监狱企业）</w:t>
            </w:r>
          </w:p>
        </w:tc>
        <w:tc>
          <w:tcPr>
            <w:tcW w:w="2551" w:type="dxa"/>
          </w:tcPr>
          <w:p w14:paraId="5FF39435">
            <w:pPr>
              <w:spacing w:before="120" w:line="320" w:lineRule="atLeast"/>
              <w:rPr>
                <w:rFonts w:ascii="宋体" w:hAnsi="宋体"/>
                <w:color w:val="auto"/>
                <w:szCs w:val="21"/>
                <w:highlight w:val="none"/>
              </w:rPr>
            </w:pPr>
            <w:r>
              <w:rPr>
                <w:rFonts w:hint="eastAsia" w:ascii="宋体" w:hAnsi="宋体"/>
                <w:color w:val="auto"/>
                <w:szCs w:val="21"/>
                <w:highlight w:val="none"/>
              </w:rPr>
              <w:t>价格扣除响应报价的10%</w:t>
            </w:r>
          </w:p>
        </w:tc>
      </w:tr>
      <w:tr w14:paraId="2413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23770B60">
            <w:pPr>
              <w:spacing w:before="120" w:line="320" w:lineRule="atLeast"/>
              <w:jc w:val="center"/>
              <w:rPr>
                <w:rFonts w:ascii="宋体" w:hAnsi="宋体"/>
                <w:color w:val="auto"/>
                <w:szCs w:val="21"/>
                <w:highlight w:val="none"/>
              </w:rPr>
            </w:pPr>
            <w:r>
              <w:rPr>
                <w:rFonts w:hint="eastAsia" w:ascii="宋体" w:hAnsi="宋体"/>
                <w:color w:val="auto"/>
                <w:szCs w:val="21"/>
                <w:highlight w:val="none"/>
              </w:rPr>
              <w:t>联合体或</w:t>
            </w:r>
          </w:p>
          <w:p w14:paraId="6EEC60AB">
            <w:pPr>
              <w:spacing w:before="120" w:line="320" w:lineRule="atLeast"/>
              <w:jc w:val="center"/>
              <w:rPr>
                <w:rFonts w:ascii="宋体" w:hAnsi="宋体"/>
                <w:color w:val="auto"/>
                <w:szCs w:val="21"/>
                <w:highlight w:val="none"/>
              </w:rPr>
            </w:pPr>
            <w:r>
              <w:rPr>
                <w:rFonts w:hint="eastAsia" w:ascii="宋体" w:hAnsi="宋体"/>
                <w:color w:val="auto"/>
                <w:szCs w:val="21"/>
                <w:highlight w:val="none"/>
              </w:rPr>
              <w:t>分包</w:t>
            </w:r>
          </w:p>
        </w:tc>
        <w:tc>
          <w:tcPr>
            <w:tcW w:w="4962" w:type="dxa"/>
          </w:tcPr>
          <w:p w14:paraId="34942F4E">
            <w:pPr>
              <w:spacing w:before="120" w:line="320" w:lineRule="atLeast"/>
              <w:rPr>
                <w:rFonts w:ascii="宋体" w:hAnsi="宋体"/>
                <w:color w:val="auto"/>
                <w:szCs w:val="21"/>
                <w:highlight w:val="none"/>
              </w:rPr>
            </w:pPr>
            <w:r>
              <w:rPr>
                <w:rFonts w:hint="eastAsia" w:ascii="宋体" w:hAnsi="宋体"/>
                <w:color w:val="auto"/>
                <w:szCs w:val="21"/>
                <w:highlight w:val="none"/>
              </w:rPr>
              <w:t>小微企业承接的金额比例为1</w:t>
            </w:r>
            <w:r>
              <w:rPr>
                <w:rFonts w:ascii="宋体" w:hAnsi="宋体"/>
                <w:color w:val="auto"/>
                <w:szCs w:val="21"/>
                <w:highlight w:val="none"/>
              </w:rPr>
              <w:t>00</w:t>
            </w:r>
            <w:r>
              <w:rPr>
                <w:rFonts w:hint="eastAsia" w:ascii="宋体" w:hAnsi="宋体"/>
                <w:color w:val="auto"/>
                <w:szCs w:val="21"/>
                <w:highlight w:val="none"/>
              </w:rPr>
              <w:t>%</w:t>
            </w:r>
          </w:p>
        </w:tc>
        <w:tc>
          <w:tcPr>
            <w:tcW w:w="2551" w:type="dxa"/>
          </w:tcPr>
          <w:p w14:paraId="0AFEF543">
            <w:pPr>
              <w:spacing w:before="120" w:line="320" w:lineRule="atLeast"/>
              <w:rPr>
                <w:rFonts w:ascii="宋体" w:hAnsi="宋体"/>
                <w:color w:val="auto"/>
                <w:szCs w:val="21"/>
                <w:highlight w:val="none"/>
              </w:rPr>
            </w:pPr>
            <w:r>
              <w:rPr>
                <w:rFonts w:hint="eastAsia" w:ascii="宋体" w:hAnsi="宋体"/>
                <w:color w:val="auto"/>
                <w:szCs w:val="21"/>
                <w:highlight w:val="none"/>
              </w:rPr>
              <w:t>价格扣除响应报价的10%</w:t>
            </w:r>
          </w:p>
        </w:tc>
      </w:tr>
      <w:tr w14:paraId="73B0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04FC61EF">
            <w:pPr>
              <w:spacing w:before="120" w:line="320" w:lineRule="atLeast"/>
              <w:rPr>
                <w:rFonts w:ascii="宋体" w:hAnsi="宋体"/>
                <w:color w:val="auto"/>
                <w:szCs w:val="21"/>
                <w:highlight w:val="none"/>
              </w:rPr>
            </w:pPr>
          </w:p>
        </w:tc>
        <w:tc>
          <w:tcPr>
            <w:tcW w:w="4962" w:type="dxa"/>
          </w:tcPr>
          <w:p w14:paraId="46972E8C">
            <w:pPr>
              <w:spacing w:before="120" w:line="320" w:lineRule="atLeast"/>
              <w:rPr>
                <w:rFonts w:ascii="宋体" w:hAnsi="宋体"/>
                <w:color w:val="auto"/>
                <w:szCs w:val="21"/>
                <w:highlight w:val="none"/>
              </w:rPr>
            </w:pPr>
            <w:r>
              <w:rPr>
                <w:rFonts w:hint="eastAsia" w:ascii="宋体" w:hAnsi="宋体"/>
                <w:color w:val="auto"/>
                <w:szCs w:val="21"/>
                <w:highlight w:val="none"/>
              </w:rPr>
              <w:t>小微企业承接的金额比例达到合同总金额3</w:t>
            </w:r>
            <w:r>
              <w:rPr>
                <w:rFonts w:ascii="宋体" w:hAnsi="宋体"/>
                <w:color w:val="auto"/>
                <w:szCs w:val="21"/>
                <w:highlight w:val="none"/>
              </w:rPr>
              <w:t>0%</w:t>
            </w:r>
            <w:r>
              <w:rPr>
                <w:rFonts w:hint="eastAsia" w:ascii="宋体" w:hAnsi="宋体"/>
                <w:color w:val="auto"/>
                <w:szCs w:val="21"/>
                <w:highlight w:val="none"/>
              </w:rPr>
              <w:t>以上</w:t>
            </w:r>
          </w:p>
        </w:tc>
        <w:tc>
          <w:tcPr>
            <w:tcW w:w="2551" w:type="dxa"/>
          </w:tcPr>
          <w:p w14:paraId="09044DE8">
            <w:pPr>
              <w:spacing w:before="120" w:line="320" w:lineRule="atLeast"/>
              <w:rPr>
                <w:rFonts w:ascii="宋体" w:hAnsi="宋体"/>
                <w:color w:val="auto"/>
                <w:szCs w:val="21"/>
                <w:highlight w:val="none"/>
              </w:rPr>
            </w:pPr>
            <w:r>
              <w:rPr>
                <w:rFonts w:hint="eastAsia" w:ascii="宋体" w:hAnsi="宋体"/>
                <w:color w:val="auto"/>
                <w:szCs w:val="21"/>
                <w:highlight w:val="none"/>
              </w:rPr>
              <w:t>价格扣除响应报价的</w:t>
            </w:r>
            <w:r>
              <w:rPr>
                <w:rFonts w:ascii="宋体" w:hAnsi="宋体"/>
                <w:color w:val="auto"/>
                <w:szCs w:val="21"/>
                <w:highlight w:val="none"/>
              </w:rPr>
              <w:t>4</w:t>
            </w:r>
            <w:r>
              <w:rPr>
                <w:rFonts w:hint="eastAsia" w:ascii="宋体" w:hAnsi="宋体"/>
                <w:color w:val="auto"/>
                <w:szCs w:val="21"/>
                <w:highlight w:val="none"/>
              </w:rPr>
              <w:t>%</w:t>
            </w:r>
          </w:p>
        </w:tc>
      </w:tr>
      <w:tr w14:paraId="0997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1BD6F9EC">
            <w:pPr>
              <w:spacing w:before="120" w:line="320" w:lineRule="atLeast"/>
              <w:rPr>
                <w:rFonts w:ascii="宋体" w:hAnsi="宋体"/>
                <w:color w:val="auto"/>
                <w:szCs w:val="21"/>
                <w:highlight w:val="none"/>
              </w:rPr>
            </w:pPr>
            <w:r>
              <w:rPr>
                <w:rFonts w:hint="eastAsia" w:ascii="宋体" w:hAnsi="宋体"/>
                <w:color w:val="auto"/>
                <w:szCs w:val="21"/>
                <w:highlight w:val="none"/>
              </w:rPr>
              <w:t>注：未提供《中小企业声明函》、《分包意向协议书》或《联合体协议书》或不符合条件的，不享受价格扣除优惠。</w:t>
            </w:r>
          </w:p>
        </w:tc>
      </w:tr>
    </w:tbl>
    <w:p w14:paraId="34431E89">
      <w:pPr>
        <w:pStyle w:val="26"/>
        <w:snapToGrid w:val="0"/>
        <w:spacing w:before="120" w:after="120" w:line="320" w:lineRule="exact"/>
        <w:jc w:val="center"/>
        <w:outlineLvl w:val="0"/>
        <w:rPr>
          <w:rFonts w:hAnsi="宋体"/>
          <w:color w:val="auto"/>
        </w:rPr>
        <w:sectPr>
          <w:pgSz w:w="11906" w:h="16838"/>
          <w:pgMar w:top="1418" w:right="1418" w:bottom="1246" w:left="1418" w:header="851" w:footer="992" w:gutter="0"/>
          <w:cols w:space="720" w:num="1"/>
          <w:docGrid w:linePitch="312" w:charSpace="0"/>
        </w:sectPr>
      </w:pPr>
    </w:p>
    <w:p w14:paraId="2C42A7C2">
      <w:pPr>
        <w:pStyle w:val="26"/>
        <w:snapToGrid w:val="0"/>
        <w:spacing w:before="120" w:after="120" w:line="320" w:lineRule="exact"/>
        <w:jc w:val="center"/>
        <w:outlineLvl w:val="0"/>
        <w:rPr>
          <w:rFonts w:hAnsi="宋体" w:cs="Times New Roman"/>
          <w:color w:val="auto"/>
          <w:sz w:val="32"/>
          <w:szCs w:val="32"/>
        </w:rPr>
      </w:pPr>
      <w:bookmarkStart w:id="78" w:name="_Toc229435054"/>
      <w:r>
        <w:rPr>
          <w:rFonts w:hAnsi="宋体" w:cs="Times New Roman"/>
          <w:color w:val="auto"/>
          <w:sz w:val="32"/>
          <w:szCs w:val="32"/>
        </w:rPr>
        <w:t>第五章  合同主要条款格式</w:t>
      </w:r>
      <w:bookmarkEnd w:id="78"/>
    </w:p>
    <w:p w14:paraId="536C0EF9">
      <w:pPr>
        <w:pStyle w:val="26"/>
        <w:snapToGrid w:val="0"/>
        <w:jc w:val="center"/>
        <w:rPr>
          <w:rFonts w:hAnsi="宋体" w:cs="Times New Roman"/>
          <w:b/>
          <w:color w:val="auto"/>
          <w:sz w:val="24"/>
          <w:szCs w:val="24"/>
        </w:rPr>
      </w:pPr>
    </w:p>
    <w:p w14:paraId="55DF12F3">
      <w:pPr>
        <w:spacing w:before="120" w:line="320" w:lineRule="atLeast"/>
        <w:ind w:firstLine="422" w:firstLineChars="200"/>
        <w:jc w:val="center"/>
        <w:outlineLvl w:val="1"/>
        <w:rPr>
          <w:rFonts w:ascii="宋体" w:hAnsi="宋体"/>
          <w:b/>
          <w:bCs/>
          <w:color w:val="auto"/>
          <w:kern w:val="0"/>
          <w:szCs w:val="21"/>
        </w:rPr>
      </w:pPr>
      <w:r>
        <w:rPr>
          <w:rFonts w:ascii="宋体" w:hAnsi="宋体"/>
          <w:b/>
          <w:bCs/>
          <w:color w:val="auto"/>
          <w:kern w:val="0"/>
          <w:szCs w:val="21"/>
        </w:rPr>
        <w:t>广西壮族自治区政府采购合同</w:t>
      </w:r>
    </w:p>
    <w:tbl>
      <w:tblPr>
        <w:tblStyle w:val="51"/>
        <w:tblW w:w="0" w:type="auto"/>
        <w:tblInd w:w="0" w:type="dxa"/>
        <w:tblLayout w:type="autofit"/>
        <w:tblCellMar>
          <w:top w:w="0" w:type="dxa"/>
          <w:left w:w="108" w:type="dxa"/>
          <w:bottom w:w="0" w:type="dxa"/>
          <w:right w:w="108" w:type="dxa"/>
        </w:tblCellMar>
      </w:tblPr>
      <w:tblGrid>
        <w:gridCol w:w="2325"/>
        <w:gridCol w:w="2317"/>
        <w:gridCol w:w="2325"/>
        <w:gridCol w:w="2319"/>
      </w:tblGrid>
      <w:tr w14:paraId="581C5DCC">
        <w:tblPrEx>
          <w:tblCellMar>
            <w:top w:w="0" w:type="dxa"/>
            <w:left w:w="108" w:type="dxa"/>
            <w:bottom w:w="0" w:type="dxa"/>
            <w:right w:w="108" w:type="dxa"/>
          </w:tblCellMar>
        </w:tblPrEx>
        <w:tc>
          <w:tcPr>
            <w:tcW w:w="2336" w:type="dxa"/>
          </w:tcPr>
          <w:p w14:paraId="0FBAF028">
            <w:pPr>
              <w:snapToGrid w:val="0"/>
              <w:spacing w:line="360" w:lineRule="exact"/>
              <w:ind w:right="480"/>
              <w:jc w:val="left"/>
              <w:rPr>
                <w:rFonts w:ascii="宋体" w:hAnsi="宋体"/>
                <w:bCs/>
                <w:color w:val="auto"/>
                <w:szCs w:val="21"/>
              </w:rPr>
            </w:pPr>
            <w:r>
              <w:rPr>
                <w:rFonts w:hint="eastAsia" w:ascii="宋体" w:hAnsi="宋体"/>
                <w:bCs/>
                <w:color w:val="auto"/>
                <w:szCs w:val="21"/>
              </w:rPr>
              <w:t>合同编号：</w:t>
            </w:r>
          </w:p>
        </w:tc>
        <w:tc>
          <w:tcPr>
            <w:tcW w:w="2336" w:type="dxa"/>
          </w:tcPr>
          <w:p w14:paraId="7F6218EF">
            <w:pPr>
              <w:snapToGrid w:val="0"/>
              <w:spacing w:line="360" w:lineRule="exact"/>
              <w:ind w:right="480"/>
              <w:jc w:val="left"/>
              <w:rPr>
                <w:rFonts w:ascii="宋体" w:hAnsi="宋体"/>
                <w:bCs/>
                <w:color w:val="auto"/>
                <w:szCs w:val="21"/>
              </w:rPr>
            </w:pPr>
          </w:p>
        </w:tc>
        <w:tc>
          <w:tcPr>
            <w:tcW w:w="2336" w:type="dxa"/>
          </w:tcPr>
          <w:p w14:paraId="38F586F6">
            <w:pPr>
              <w:snapToGrid w:val="0"/>
              <w:spacing w:line="360" w:lineRule="exact"/>
              <w:ind w:right="480"/>
              <w:jc w:val="left"/>
              <w:rPr>
                <w:rFonts w:ascii="宋体" w:hAnsi="宋体"/>
                <w:bCs/>
                <w:color w:val="auto"/>
                <w:szCs w:val="21"/>
              </w:rPr>
            </w:pPr>
            <w:r>
              <w:rPr>
                <w:rFonts w:hint="eastAsia" w:ascii="宋体" w:hAnsi="宋体"/>
                <w:bCs/>
                <w:color w:val="auto"/>
                <w:szCs w:val="21"/>
              </w:rPr>
              <w:t>采购计划号：</w:t>
            </w:r>
          </w:p>
        </w:tc>
        <w:tc>
          <w:tcPr>
            <w:tcW w:w="2337" w:type="dxa"/>
          </w:tcPr>
          <w:p w14:paraId="1804D7D2">
            <w:pPr>
              <w:snapToGrid w:val="0"/>
              <w:spacing w:line="360" w:lineRule="exact"/>
              <w:ind w:right="480"/>
              <w:jc w:val="left"/>
              <w:rPr>
                <w:rFonts w:ascii="宋体" w:hAnsi="宋体"/>
                <w:bCs/>
                <w:color w:val="auto"/>
                <w:szCs w:val="21"/>
              </w:rPr>
            </w:pPr>
          </w:p>
        </w:tc>
      </w:tr>
      <w:tr w14:paraId="2B8EC49A">
        <w:tblPrEx>
          <w:tblCellMar>
            <w:top w:w="0" w:type="dxa"/>
            <w:left w:w="108" w:type="dxa"/>
            <w:bottom w:w="0" w:type="dxa"/>
            <w:right w:w="108" w:type="dxa"/>
          </w:tblCellMar>
        </w:tblPrEx>
        <w:tc>
          <w:tcPr>
            <w:tcW w:w="2336" w:type="dxa"/>
          </w:tcPr>
          <w:p w14:paraId="773B1334">
            <w:pPr>
              <w:snapToGrid w:val="0"/>
              <w:spacing w:line="360" w:lineRule="exact"/>
              <w:ind w:right="480"/>
              <w:jc w:val="left"/>
              <w:rPr>
                <w:rFonts w:ascii="宋体" w:hAnsi="宋体"/>
                <w:bCs/>
                <w:color w:val="auto"/>
                <w:szCs w:val="21"/>
              </w:rPr>
            </w:pPr>
            <w:r>
              <w:rPr>
                <w:rFonts w:hint="eastAsia" w:ascii="宋体" w:hAnsi="宋体"/>
                <w:bCs/>
                <w:color w:val="auto"/>
                <w:szCs w:val="21"/>
              </w:rPr>
              <w:t>项目名称：</w:t>
            </w:r>
          </w:p>
        </w:tc>
        <w:tc>
          <w:tcPr>
            <w:tcW w:w="2336" w:type="dxa"/>
          </w:tcPr>
          <w:p w14:paraId="0B0EA2DA">
            <w:pPr>
              <w:snapToGrid w:val="0"/>
              <w:spacing w:line="360" w:lineRule="exact"/>
              <w:ind w:right="480"/>
              <w:jc w:val="left"/>
              <w:rPr>
                <w:rFonts w:ascii="宋体" w:hAnsi="宋体"/>
                <w:bCs/>
                <w:color w:val="auto"/>
                <w:szCs w:val="21"/>
              </w:rPr>
            </w:pPr>
          </w:p>
        </w:tc>
        <w:tc>
          <w:tcPr>
            <w:tcW w:w="2336" w:type="dxa"/>
          </w:tcPr>
          <w:p w14:paraId="500DCE01">
            <w:pPr>
              <w:snapToGrid w:val="0"/>
              <w:spacing w:line="360" w:lineRule="exact"/>
              <w:ind w:right="480"/>
              <w:jc w:val="left"/>
              <w:rPr>
                <w:rFonts w:ascii="宋体" w:hAnsi="宋体"/>
                <w:bCs/>
                <w:color w:val="auto"/>
                <w:szCs w:val="21"/>
              </w:rPr>
            </w:pPr>
            <w:r>
              <w:rPr>
                <w:rFonts w:hint="eastAsia" w:ascii="宋体" w:hAnsi="宋体"/>
                <w:bCs/>
                <w:color w:val="auto"/>
                <w:szCs w:val="21"/>
              </w:rPr>
              <w:t>项目编号：</w:t>
            </w:r>
          </w:p>
        </w:tc>
        <w:tc>
          <w:tcPr>
            <w:tcW w:w="2337" w:type="dxa"/>
          </w:tcPr>
          <w:p w14:paraId="73404D63">
            <w:pPr>
              <w:snapToGrid w:val="0"/>
              <w:spacing w:line="360" w:lineRule="exact"/>
              <w:ind w:right="480"/>
              <w:jc w:val="left"/>
              <w:rPr>
                <w:rFonts w:ascii="宋体" w:hAnsi="宋体"/>
                <w:bCs/>
                <w:color w:val="auto"/>
                <w:szCs w:val="21"/>
              </w:rPr>
            </w:pPr>
          </w:p>
        </w:tc>
      </w:tr>
      <w:tr w14:paraId="678B3E8A">
        <w:tblPrEx>
          <w:tblCellMar>
            <w:top w:w="0" w:type="dxa"/>
            <w:left w:w="108" w:type="dxa"/>
            <w:bottom w:w="0" w:type="dxa"/>
            <w:right w:w="108" w:type="dxa"/>
          </w:tblCellMar>
        </w:tblPrEx>
        <w:tc>
          <w:tcPr>
            <w:tcW w:w="2336" w:type="dxa"/>
          </w:tcPr>
          <w:p w14:paraId="7F00DFB7">
            <w:pPr>
              <w:snapToGrid w:val="0"/>
              <w:spacing w:line="360" w:lineRule="exact"/>
              <w:jc w:val="left"/>
              <w:rPr>
                <w:rFonts w:ascii="宋体" w:hAnsi="宋体"/>
                <w:bCs/>
                <w:color w:val="auto"/>
                <w:szCs w:val="21"/>
              </w:rPr>
            </w:pPr>
            <w:r>
              <w:rPr>
                <w:rFonts w:hint="eastAsia" w:ascii="宋体" w:hAnsi="宋体"/>
                <w:bCs/>
                <w:color w:val="auto"/>
                <w:szCs w:val="21"/>
              </w:rPr>
              <w:t>采购人（甲方）：</w:t>
            </w:r>
          </w:p>
        </w:tc>
        <w:tc>
          <w:tcPr>
            <w:tcW w:w="2336" w:type="dxa"/>
          </w:tcPr>
          <w:p w14:paraId="6689B9D1">
            <w:pPr>
              <w:snapToGrid w:val="0"/>
              <w:spacing w:line="360" w:lineRule="exact"/>
              <w:ind w:right="480"/>
              <w:jc w:val="left"/>
              <w:rPr>
                <w:rFonts w:ascii="宋体" w:hAnsi="宋体"/>
                <w:bCs/>
                <w:color w:val="auto"/>
                <w:szCs w:val="21"/>
              </w:rPr>
            </w:pPr>
          </w:p>
        </w:tc>
        <w:tc>
          <w:tcPr>
            <w:tcW w:w="2336" w:type="dxa"/>
          </w:tcPr>
          <w:p w14:paraId="69E9A4D3">
            <w:pPr>
              <w:snapToGrid w:val="0"/>
              <w:spacing w:line="360" w:lineRule="exact"/>
              <w:jc w:val="left"/>
              <w:rPr>
                <w:rFonts w:ascii="宋体" w:hAnsi="宋体"/>
                <w:bCs/>
                <w:color w:val="auto"/>
                <w:szCs w:val="21"/>
              </w:rPr>
            </w:pPr>
            <w:r>
              <w:rPr>
                <w:rFonts w:hint="eastAsia" w:ascii="宋体" w:hAnsi="宋体"/>
                <w:bCs/>
                <w:color w:val="auto"/>
                <w:szCs w:val="21"/>
              </w:rPr>
              <w:t>供应商（乙方）：</w:t>
            </w:r>
          </w:p>
        </w:tc>
        <w:tc>
          <w:tcPr>
            <w:tcW w:w="2337" w:type="dxa"/>
          </w:tcPr>
          <w:p w14:paraId="14373C48">
            <w:pPr>
              <w:snapToGrid w:val="0"/>
              <w:spacing w:line="360" w:lineRule="exact"/>
              <w:ind w:right="480"/>
              <w:jc w:val="left"/>
              <w:rPr>
                <w:rFonts w:ascii="宋体" w:hAnsi="宋体"/>
                <w:bCs/>
                <w:color w:val="auto"/>
                <w:szCs w:val="21"/>
              </w:rPr>
            </w:pPr>
          </w:p>
        </w:tc>
      </w:tr>
      <w:tr w14:paraId="2BBB2B5C">
        <w:tblPrEx>
          <w:tblCellMar>
            <w:top w:w="0" w:type="dxa"/>
            <w:left w:w="108" w:type="dxa"/>
            <w:bottom w:w="0" w:type="dxa"/>
            <w:right w:w="108" w:type="dxa"/>
          </w:tblCellMar>
        </w:tblPrEx>
        <w:tc>
          <w:tcPr>
            <w:tcW w:w="2336" w:type="dxa"/>
          </w:tcPr>
          <w:p w14:paraId="4FF840F9">
            <w:pPr>
              <w:snapToGrid w:val="0"/>
              <w:spacing w:line="360" w:lineRule="exact"/>
              <w:ind w:right="480"/>
              <w:jc w:val="left"/>
              <w:rPr>
                <w:rFonts w:ascii="宋体" w:hAnsi="宋体"/>
                <w:bCs/>
                <w:color w:val="auto"/>
                <w:szCs w:val="21"/>
              </w:rPr>
            </w:pPr>
            <w:r>
              <w:rPr>
                <w:rFonts w:hint="eastAsia" w:ascii="宋体" w:hAnsi="宋体"/>
                <w:bCs/>
                <w:color w:val="auto"/>
                <w:szCs w:val="21"/>
              </w:rPr>
              <w:t>签订地点：</w:t>
            </w:r>
          </w:p>
        </w:tc>
        <w:tc>
          <w:tcPr>
            <w:tcW w:w="2336" w:type="dxa"/>
          </w:tcPr>
          <w:p w14:paraId="349695F0">
            <w:pPr>
              <w:snapToGrid w:val="0"/>
              <w:spacing w:line="360" w:lineRule="exact"/>
              <w:ind w:right="480"/>
              <w:jc w:val="left"/>
              <w:rPr>
                <w:rFonts w:ascii="宋体" w:hAnsi="宋体"/>
                <w:bCs/>
                <w:color w:val="auto"/>
                <w:szCs w:val="21"/>
              </w:rPr>
            </w:pPr>
          </w:p>
        </w:tc>
        <w:tc>
          <w:tcPr>
            <w:tcW w:w="2336" w:type="dxa"/>
          </w:tcPr>
          <w:p w14:paraId="7EE265AA">
            <w:pPr>
              <w:snapToGrid w:val="0"/>
              <w:spacing w:line="360" w:lineRule="exact"/>
              <w:ind w:right="480"/>
              <w:jc w:val="left"/>
              <w:rPr>
                <w:rFonts w:ascii="宋体" w:hAnsi="宋体"/>
                <w:bCs/>
                <w:color w:val="auto"/>
                <w:szCs w:val="21"/>
              </w:rPr>
            </w:pPr>
            <w:r>
              <w:rPr>
                <w:rFonts w:hint="eastAsia" w:ascii="宋体" w:hAnsi="宋体"/>
                <w:bCs/>
                <w:color w:val="auto"/>
                <w:szCs w:val="21"/>
              </w:rPr>
              <w:t>签订时间：</w:t>
            </w:r>
          </w:p>
        </w:tc>
        <w:tc>
          <w:tcPr>
            <w:tcW w:w="2337" w:type="dxa"/>
          </w:tcPr>
          <w:p w14:paraId="57E3E3E5">
            <w:pPr>
              <w:snapToGrid w:val="0"/>
              <w:spacing w:line="360" w:lineRule="exact"/>
              <w:ind w:right="480"/>
              <w:jc w:val="left"/>
              <w:rPr>
                <w:rFonts w:ascii="宋体" w:hAnsi="宋体"/>
                <w:bCs/>
                <w:color w:val="auto"/>
                <w:szCs w:val="21"/>
              </w:rPr>
            </w:pPr>
          </w:p>
        </w:tc>
      </w:tr>
    </w:tbl>
    <w:p w14:paraId="2CCF2460">
      <w:pPr>
        <w:snapToGrid w:val="0"/>
        <w:spacing w:line="360" w:lineRule="exact"/>
        <w:ind w:right="480" w:firstLine="5985" w:firstLineChars="2850"/>
        <w:rPr>
          <w:rFonts w:ascii="宋体" w:hAnsi="宋体"/>
          <w:bCs/>
          <w:color w:val="auto"/>
          <w:szCs w:val="21"/>
        </w:rPr>
      </w:pPr>
    </w:p>
    <w:p w14:paraId="3673532A">
      <w:pPr>
        <w:spacing w:line="300" w:lineRule="exact"/>
        <w:ind w:firstLine="420" w:firstLineChars="200"/>
        <w:rPr>
          <w:rFonts w:ascii="宋体" w:hAnsi="宋体"/>
          <w:color w:val="auto"/>
          <w:szCs w:val="21"/>
        </w:rPr>
      </w:pPr>
      <w:r>
        <w:rPr>
          <w:rFonts w:ascii="宋体" w:hAnsi="宋体"/>
          <w:color w:val="auto"/>
          <w:szCs w:val="21"/>
        </w:rPr>
        <w:t>根据《中华人民共和国政府采购法》、《中华人民共和国政府采购法实施条例》等法律、法规规定，按照采购文件规定、乙方响应文件及其承诺和中标通知书，甲乙双方签订本合同。</w:t>
      </w:r>
    </w:p>
    <w:p w14:paraId="014A3240">
      <w:pPr>
        <w:snapToGrid w:val="0"/>
        <w:spacing w:line="360" w:lineRule="exact"/>
        <w:ind w:firstLine="422" w:firstLineChars="200"/>
        <w:rPr>
          <w:rFonts w:ascii="宋体" w:hAnsi="宋体"/>
          <w:b/>
          <w:color w:val="auto"/>
          <w:szCs w:val="21"/>
        </w:rPr>
      </w:pPr>
      <w:r>
        <w:rPr>
          <w:rFonts w:ascii="宋体" w:hAnsi="宋体"/>
          <w:b/>
          <w:color w:val="auto"/>
          <w:szCs w:val="21"/>
        </w:rPr>
        <w:t>第一条　项目概况及服务范围</w:t>
      </w:r>
    </w:p>
    <w:p w14:paraId="16767960">
      <w:pPr>
        <w:snapToGrid w:val="0"/>
        <w:spacing w:line="360" w:lineRule="exact"/>
        <w:ind w:firstLine="420" w:firstLineChars="200"/>
        <w:rPr>
          <w:rFonts w:ascii="宋体" w:hAnsi="宋体"/>
          <w:color w:val="auto"/>
          <w:szCs w:val="21"/>
        </w:rPr>
      </w:pPr>
      <w:r>
        <w:rPr>
          <w:rFonts w:ascii="宋体" w:hAnsi="宋体"/>
          <w:color w:val="auto"/>
          <w:szCs w:val="21"/>
        </w:rPr>
        <w:t>1.项目名称：</w:t>
      </w:r>
      <w:r>
        <w:rPr>
          <w:rFonts w:ascii="宋体" w:hAnsi="宋体"/>
          <w:color w:val="auto"/>
          <w:szCs w:val="21"/>
          <w:u w:val="single"/>
        </w:rPr>
        <w:t xml:space="preserve">                                                          ；</w:t>
      </w:r>
    </w:p>
    <w:p w14:paraId="5A1B0D39">
      <w:pPr>
        <w:snapToGrid w:val="0"/>
        <w:spacing w:line="360" w:lineRule="exact"/>
        <w:ind w:firstLine="420" w:firstLineChars="200"/>
        <w:rPr>
          <w:rFonts w:ascii="宋体" w:hAnsi="宋体"/>
          <w:color w:val="auto"/>
          <w:szCs w:val="21"/>
        </w:rPr>
      </w:pPr>
      <w:r>
        <w:rPr>
          <w:rFonts w:ascii="宋体" w:hAnsi="宋体"/>
          <w:color w:val="auto"/>
          <w:szCs w:val="21"/>
        </w:rPr>
        <w:t>2.服务内容及范围：</w:t>
      </w:r>
      <w:r>
        <w:rPr>
          <w:rFonts w:ascii="宋体" w:hAnsi="宋体"/>
          <w:color w:val="auto"/>
          <w:szCs w:val="21"/>
          <w:u w:val="single"/>
        </w:rPr>
        <w:t xml:space="preserve">                                                    ；</w:t>
      </w:r>
      <w:r>
        <w:rPr>
          <w:rFonts w:ascii="宋体" w:hAnsi="宋体"/>
          <w:color w:val="auto"/>
          <w:szCs w:val="21"/>
        </w:rPr>
        <w:t xml:space="preserve">  </w:t>
      </w:r>
    </w:p>
    <w:p w14:paraId="5AD735A2">
      <w:pPr>
        <w:snapToGrid w:val="0"/>
        <w:spacing w:line="360" w:lineRule="exact"/>
        <w:ind w:firstLine="420" w:firstLineChars="200"/>
        <w:rPr>
          <w:rFonts w:ascii="宋体" w:hAnsi="宋体"/>
          <w:color w:val="auto"/>
          <w:szCs w:val="21"/>
        </w:rPr>
      </w:pPr>
      <w:r>
        <w:rPr>
          <w:rFonts w:ascii="宋体" w:hAnsi="宋体"/>
          <w:color w:val="auto"/>
          <w:szCs w:val="21"/>
        </w:rPr>
        <w:t>3.服务期：</w:t>
      </w:r>
      <w:r>
        <w:rPr>
          <w:rFonts w:ascii="宋体" w:hAnsi="宋体"/>
          <w:color w:val="auto"/>
          <w:szCs w:val="21"/>
          <w:u w:val="single"/>
        </w:rPr>
        <w:t xml:space="preserve">                                                            </w:t>
      </w:r>
      <w:r>
        <w:rPr>
          <w:rFonts w:ascii="宋体" w:hAnsi="宋体"/>
          <w:color w:val="auto"/>
          <w:szCs w:val="21"/>
        </w:rPr>
        <w:t>；</w:t>
      </w:r>
    </w:p>
    <w:p w14:paraId="0D317BFE">
      <w:pPr>
        <w:snapToGrid w:val="0"/>
        <w:spacing w:line="360" w:lineRule="exact"/>
        <w:ind w:firstLine="420" w:firstLineChars="200"/>
        <w:rPr>
          <w:rFonts w:ascii="宋体" w:hAnsi="宋体"/>
          <w:color w:val="auto"/>
          <w:szCs w:val="21"/>
        </w:rPr>
      </w:pPr>
      <w:r>
        <w:rPr>
          <w:rFonts w:ascii="宋体" w:hAnsi="宋体"/>
          <w:color w:val="auto"/>
          <w:szCs w:val="21"/>
        </w:rPr>
        <w:t>4.交付时间及地点：</w:t>
      </w:r>
      <w:r>
        <w:rPr>
          <w:rFonts w:ascii="宋体" w:hAnsi="宋体"/>
          <w:color w:val="auto"/>
          <w:szCs w:val="21"/>
          <w:u w:val="single"/>
        </w:rPr>
        <w:t xml:space="preserve">                                                    </w:t>
      </w:r>
      <w:r>
        <w:rPr>
          <w:rFonts w:ascii="宋体" w:hAnsi="宋体"/>
          <w:color w:val="auto"/>
          <w:szCs w:val="21"/>
        </w:rPr>
        <w:t xml:space="preserve">； </w:t>
      </w:r>
    </w:p>
    <w:p w14:paraId="3E6E8794">
      <w:pPr>
        <w:snapToGrid w:val="0"/>
        <w:spacing w:line="360" w:lineRule="exact"/>
        <w:ind w:firstLine="420" w:firstLineChars="200"/>
        <w:rPr>
          <w:rFonts w:ascii="宋体" w:hAnsi="宋体"/>
          <w:color w:val="auto"/>
        </w:rPr>
      </w:pPr>
      <w:r>
        <w:rPr>
          <w:rFonts w:ascii="宋体" w:hAnsi="宋体"/>
          <w:color w:val="auto"/>
          <w:szCs w:val="21"/>
        </w:rPr>
        <w:t>5.</w:t>
      </w:r>
      <w:r>
        <w:rPr>
          <w:rFonts w:ascii="宋体" w:hAnsi="宋体"/>
          <w:color w:val="auto"/>
        </w:rPr>
        <w:t>合同价格形式：</w:t>
      </w:r>
      <w:r>
        <w:rPr>
          <w:rFonts w:ascii="宋体" w:hAnsi="宋体"/>
          <w:color w:val="auto"/>
        </w:rPr>
        <w:sym w:font="Wingdings 2" w:char="F052"/>
      </w:r>
      <w:r>
        <w:rPr>
          <w:rFonts w:ascii="宋体" w:hAnsi="宋体"/>
          <w:color w:val="auto"/>
        </w:rPr>
        <w:t>固定总价  □固定单价  □成本补偿 □绩效激励 □其他</w:t>
      </w:r>
    </w:p>
    <w:p w14:paraId="31541D78">
      <w:pPr>
        <w:snapToGrid w:val="0"/>
        <w:spacing w:line="360" w:lineRule="exact"/>
        <w:ind w:firstLine="422" w:firstLineChars="200"/>
        <w:rPr>
          <w:rFonts w:ascii="宋体" w:hAnsi="宋体"/>
          <w:b/>
          <w:color w:val="auto"/>
          <w:szCs w:val="21"/>
        </w:rPr>
      </w:pPr>
      <w:r>
        <w:rPr>
          <w:rFonts w:ascii="宋体" w:hAnsi="宋体"/>
          <w:b/>
          <w:color w:val="auto"/>
          <w:szCs w:val="21"/>
        </w:rPr>
        <w:t>第二条　服务交付成果（产品）清单</w:t>
      </w:r>
    </w:p>
    <w:tbl>
      <w:tblPr>
        <w:tblStyle w:val="5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583"/>
        <w:gridCol w:w="816"/>
        <w:gridCol w:w="1311"/>
        <w:gridCol w:w="1311"/>
        <w:gridCol w:w="1748"/>
        <w:gridCol w:w="1748"/>
      </w:tblGrid>
      <w:tr w14:paraId="2265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02" w:type="dxa"/>
            <w:tcBorders>
              <w:top w:val="single" w:color="auto" w:sz="4" w:space="0"/>
              <w:left w:val="single" w:color="auto" w:sz="4" w:space="0"/>
              <w:bottom w:val="single" w:color="auto" w:sz="4" w:space="0"/>
              <w:right w:val="single" w:color="auto" w:sz="4" w:space="0"/>
            </w:tcBorders>
            <w:vAlign w:val="center"/>
          </w:tcPr>
          <w:p w14:paraId="02FB633B">
            <w:pPr>
              <w:snapToGrid w:val="0"/>
              <w:spacing w:line="360" w:lineRule="exact"/>
              <w:jc w:val="center"/>
              <w:rPr>
                <w:rFonts w:ascii="宋体" w:hAnsi="宋体"/>
                <w:color w:val="auto"/>
                <w:szCs w:val="21"/>
              </w:rPr>
            </w:pPr>
            <w:r>
              <w:rPr>
                <w:rFonts w:ascii="宋体" w:hAnsi="宋体"/>
                <w:color w:val="auto"/>
                <w:szCs w:val="21"/>
              </w:rPr>
              <w:t>序号</w:t>
            </w:r>
          </w:p>
        </w:tc>
        <w:tc>
          <w:tcPr>
            <w:tcW w:w="1583" w:type="dxa"/>
            <w:tcBorders>
              <w:top w:val="single" w:color="auto" w:sz="4" w:space="0"/>
              <w:left w:val="single" w:color="auto" w:sz="4" w:space="0"/>
              <w:bottom w:val="single" w:color="auto" w:sz="4" w:space="0"/>
              <w:right w:val="single" w:color="auto" w:sz="4" w:space="0"/>
            </w:tcBorders>
            <w:vAlign w:val="center"/>
          </w:tcPr>
          <w:p w14:paraId="011A91B9">
            <w:pPr>
              <w:snapToGrid w:val="0"/>
              <w:spacing w:line="360" w:lineRule="exact"/>
              <w:jc w:val="center"/>
              <w:rPr>
                <w:rFonts w:ascii="宋体" w:hAnsi="宋体"/>
                <w:color w:val="auto"/>
                <w:szCs w:val="21"/>
              </w:rPr>
            </w:pPr>
            <w:r>
              <w:rPr>
                <w:rFonts w:ascii="宋体" w:hAnsi="宋体"/>
                <w:color w:val="auto"/>
                <w:szCs w:val="21"/>
              </w:rPr>
              <w:t>服务交付成果名称</w:t>
            </w:r>
          </w:p>
        </w:tc>
        <w:tc>
          <w:tcPr>
            <w:tcW w:w="816" w:type="dxa"/>
            <w:tcBorders>
              <w:top w:val="single" w:color="auto" w:sz="4" w:space="0"/>
              <w:left w:val="single" w:color="auto" w:sz="4" w:space="0"/>
              <w:bottom w:val="single" w:color="auto" w:sz="4" w:space="0"/>
              <w:right w:val="single" w:color="auto" w:sz="4" w:space="0"/>
            </w:tcBorders>
            <w:vAlign w:val="center"/>
          </w:tcPr>
          <w:p w14:paraId="73551E07">
            <w:pPr>
              <w:snapToGrid w:val="0"/>
              <w:spacing w:line="360" w:lineRule="exact"/>
              <w:jc w:val="center"/>
              <w:rPr>
                <w:rFonts w:ascii="宋体" w:hAnsi="宋体"/>
                <w:color w:val="auto"/>
                <w:szCs w:val="21"/>
              </w:rPr>
            </w:pPr>
            <w:r>
              <w:rPr>
                <w:rFonts w:ascii="宋体" w:hAnsi="宋体"/>
                <w:color w:val="auto"/>
                <w:szCs w:val="21"/>
              </w:rPr>
              <w:t>数 量</w:t>
            </w:r>
          </w:p>
        </w:tc>
        <w:tc>
          <w:tcPr>
            <w:tcW w:w="1311" w:type="dxa"/>
            <w:tcBorders>
              <w:top w:val="single" w:color="auto" w:sz="4" w:space="0"/>
              <w:left w:val="single" w:color="auto" w:sz="4" w:space="0"/>
              <w:bottom w:val="single" w:color="auto" w:sz="4" w:space="0"/>
              <w:right w:val="single" w:color="auto" w:sz="4" w:space="0"/>
            </w:tcBorders>
            <w:vAlign w:val="center"/>
          </w:tcPr>
          <w:p w14:paraId="236DEFBF">
            <w:pPr>
              <w:snapToGrid w:val="0"/>
              <w:spacing w:line="360" w:lineRule="exact"/>
              <w:jc w:val="center"/>
              <w:rPr>
                <w:rFonts w:ascii="宋体" w:hAnsi="宋体"/>
                <w:color w:val="auto"/>
                <w:szCs w:val="21"/>
              </w:rPr>
            </w:pPr>
            <w:r>
              <w:rPr>
                <w:rFonts w:ascii="宋体" w:hAnsi="宋体"/>
                <w:color w:val="auto"/>
                <w:szCs w:val="21"/>
              </w:rPr>
              <w:t>单位</w:t>
            </w:r>
          </w:p>
        </w:tc>
        <w:tc>
          <w:tcPr>
            <w:tcW w:w="1311" w:type="dxa"/>
            <w:tcBorders>
              <w:top w:val="single" w:color="auto" w:sz="4" w:space="0"/>
              <w:left w:val="single" w:color="auto" w:sz="4" w:space="0"/>
              <w:bottom w:val="single" w:color="auto" w:sz="4" w:space="0"/>
              <w:right w:val="single" w:color="auto" w:sz="4" w:space="0"/>
            </w:tcBorders>
            <w:vAlign w:val="center"/>
          </w:tcPr>
          <w:p w14:paraId="4B9326C3">
            <w:pPr>
              <w:snapToGrid w:val="0"/>
              <w:spacing w:line="360" w:lineRule="exact"/>
              <w:jc w:val="center"/>
              <w:rPr>
                <w:rFonts w:ascii="宋体" w:hAnsi="宋体"/>
                <w:color w:val="auto"/>
                <w:szCs w:val="21"/>
              </w:rPr>
            </w:pPr>
            <w:r>
              <w:rPr>
                <w:rFonts w:ascii="宋体" w:hAnsi="宋体"/>
                <w:color w:val="auto"/>
                <w:szCs w:val="21"/>
              </w:rPr>
              <w:t>单  价</w:t>
            </w:r>
          </w:p>
          <w:p w14:paraId="6742DF67">
            <w:pPr>
              <w:snapToGrid w:val="0"/>
              <w:spacing w:line="360" w:lineRule="exact"/>
              <w:jc w:val="center"/>
              <w:rPr>
                <w:rFonts w:ascii="宋体" w:hAnsi="宋体"/>
                <w:color w:val="auto"/>
                <w:szCs w:val="21"/>
              </w:rPr>
            </w:pPr>
            <w:r>
              <w:rPr>
                <w:rFonts w:ascii="宋体" w:hAnsi="宋体"/>
                <w:color w:val="auto"/>
                <w:szCs w:val="21"/>
              </w:rPr>
              <w:t>（元）</w:t>
            </w:r>
          </w:p>
        </w:tc>
        <w:tc>
          <w:tcPr>
            <w:tcW w:w="1748" w:type="dxa"/>
            <w:tcBorders>
              <w:top w:val="single" w:color="auto" w:sz="4" w:space="0"/>
              <w:left w:val="single" w:color="auto" w:sz="4" w:space="0"/>
              <w:bottom w:val="single" w:color="auto" w:sz="4" w:space="0"/>
              <w:right w:val="single" w:color="auto" w:sz="4" w:space="0"/>
            </w:tcBorders>
            <w:vAlign w:val="center"/>
          </w:tcPr>
          <w:p w14:paraId="0B816716">
            <w:pPr>
              <w:snapToGrid w:val="0"/>
              <w:spacing w:line="360" w:lineRule="exact"/>
              <w:jc w:val="center"/>
              <w:rPr>
                <w:rFonts w:ascii="宋体" w:hAnsi="宋体"/>
                <w:color w:val="auto"/>
                <w:szCs w:val="21"/>
              </w:rPr>
            </w:pPr>
            <w:r>
              <w:rPr>
                <w:rFonts w:ascii="宋体" w:hAnsi="宋体"/>
                <w:color w:val="auto"/>
                <w:szCs w:val="21"/>
              </w:rPr>
              <w:t>总  价</w:t>
            </w:r>
          </w:p>
          <w:p w14:paraId="7E5C6359">
            <w:pPr>
              <w:snapToGrid w:val="0"/>
              <w:spacing w:line="360" w:lineRule="exact"/>
              <w:jc w:val="center"/>
              <w:rPr>
                <w:rFonts w:ascii="宋体" w:hAnsi="宋体"/>
                <w:color w:val="auto"/>
                <w:szCs w:val="21"/>
              </w:rPr>
            </w:pPr>
            <w:r>
              <w:rPr>
                <w:rFonts w:ascii="宋体" w:hAnsi="宋体"/>
                <w:color w:val="auto"/>
                <w:szCs w:val="21"/>
              </w:rPr>
              <w:t>（元）</w:t>
            </w:r>
          </w:p>
        </w:tc>
        <w:tc>
          <w:tcPr>
            <w:tcW w:w="1748" w:type="dxa"/>
            <w:tcBorders>
              <w:top w:val="single" w:color="auto" w:sz="4" w:space="0"/>
              <w:left w:val="single" w:color="auto" w:sz="4" w:space="0"/>
              <w:bottom w:val="single" w:color="auto" w:sz="4" w:space="0"/>
              <w:right w:val="single" w:color="auto" w:sz="4" w:space="0"/>
            </w:tcBorders>
          </w:tcPr>
          <w:p w14:paraId="395C3B8D">
            <w:pPr>
              <w:snapToGrid w:val="0"/>
              <w:spacing w:line="360" w:lineRule="exact"/>
              <w:jc w:val="center"/>
              <w:rPr>
                <w:rFonts w:ascii="宋体" w:hAnsi="宋体"/>
                <w:color w:val="auto"/>
                <w:szCs w:val="21"/>
              </w:rPr>
            </w:pPr>
            <w:r>
              <w:rPr>
                <w:rFonts w:ascii="宋体" w:hAnsi="宋体"/>
                <w:color w:val="auto"/>
                <w:szCs w:val="21"/>
              </w:rPr>
              <w:t>备注</w:t>
            </w:r>
          </w:p>
        </w:tc>
      </w:tr>
      <w:tr w14:paraId="7529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tcBorders>
              <w:top w:val="single" w:color="auto" w:sz="4" w:space="0"/>
              <w:left w:val="single" w:color="auto" w:sz="4" w:space="0"/>
              <w:bottom w:val="single" w:color="auto" w:sz="4" w:space="0"/>
              <w:right w:val="single" w:color="auto" w:sz="4" w:space="0"/>
            </w:tcBorders>
            <w:vAlign w:val="center"/>
          </w:tcPr>
          <w:p w14:paraId="28C22C8E">
            <w:pPr>
              <w:snapToGrid w:val="0"/>
              <w:spacing w:line="360" w:lineRule="exact"/>
              <w:jc w:val="center"/>
              <w:rPr>
                <w:rFonts w:ascii="宋体" w:hAnsi="宋体"/>
                <w:color w:val="auto"/>
                <w:szCs w:val="21"/>
              </w:rPr>
            </w:pPr>
            <w:r>
              <w:rPr>
                <w:rFonts w:ascii="宋体" w:hAnsi="宋体"/>
                <w:color w:val="auto"/>
                <w:szCs w:val="21"/>
              </w:rPr>
              <w:t>1</w:t>
            </w:r>
          </w:p>
        </w:tc>
        <w:tc>
          <w:tcPr>
            <w:tcW w:w="1583" w:type="dxa"/>
            <w:tcBorders>
              <w:top w:val="single" w:color="auto" w:sz="4" w:space="0"/>
              <w:left w:val="single" w:color="auto" w:sz="4" w:space="0"/>
              <w:bottom w:val="single" w:color="auto" w:sz="4" w:space="0"/>
              <w:right w:val="single" w:color="auto" w:sz="4" w:space="0"/>
            </w:tcBorders>
            <w:vAlign w:val="center"/>
          </w:tcPr>
          <w:p w14:paraId="3C340081">
            <w:pPr>
              <w:snapToGrid w:val="0"/>
              <w:spacing w:line="360" w:lineRule="exact"/>
              <w:jc w:val="center"/>
              <w:rPr>
                <w:rFonts w:ascii="宋体" w:hAnsi="宋体"/>
                <w:color w:val="auto"/>
                <w:szCs w:val="21"/>
              </w:rPr>
            </w:pPr>
          </w:p>
        </w:tc>
        <w:tc>
          <w:tcPr>
            <w:tcW w:w="816" w:type="dxa"/>
            <w:tcBorders>
              <w:top w:val="single" w:color="auto" w:sz="4" w:space="0"/>
              <w:left w:val="single" w:color="auto" w:sz="4" w:space="0"/>
              <w:bottom w:val="single" w:color="auto" w:sz="4" w:space="0"/>
              <w:right w:val="single" w:color="auto" w:sz="4" w:space="0"/>
            </w:tcBorders>
          </w:tcPr>
          <w:p w14:paraId="32042231">
            <w:pPr>
              <w:snapToGrid w:val="0"/>
              <w:spacing w:line="360" w:lineRule="exact"/>
              <w:jc w:val="center"/>
              <w:rPr>
                <w:rFonts w:ascii="宋体" w:hAnsi="宋体"/>
                <w:color w:val="auto"/>
                <w:szCs w:val="21"/>
              </w:rPr>
            </w:pPr>
          </w:p>
        </w:tc>
        <w:tc>
          <w:tcPr>
            <w:tcW w:w="1311" w:type="dxa"/>
            <w:tcBorders>
              <w:top w:val="single" w:color="auto" w:sz="4" w:space="0"/>
              <w:left w:val="single" w:color="auto" w:sz="4" w:space="0"/>
              <w:bottom w:val="single" w:color="auto" w:sz="4" w:space="0"/>
              <w:right w:val="single" w:color="auto" w:sz="4" w:space="0"/>
            </w:tcBorders>
          </w:tcPr>
          <w:p w14:paraId="63A076A8">
            <w:pPr>
              <w:snapToGrid w:val="0"/>
              <w:spacing w:line="360" w:lineRule="exact"/>
              <w:jc w:val="center"/>
              <w:rPr>
                <w:rFonts w:ascii="宋体" w:hAnsi="宋体"/>
                <w:color w:val="auto"/>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1DF50877">
            <w:pPr>
              <w:snapToGrid w:val="0"/>
              <w:spacing w:line="360" w:lineRule="exact"/>
              <w:jc w:val="center"/>
              <w:rPr>
                <w:rFonts w:ascii="宋体" w:hAnsi="宋体"/>
                <w:color w:val="auto"/>
                <w:szCs w:val="21"/>
              </w:rPr>
            </w:pPr>
          </w:p>
        </w:tc>
        <w:tc>
          <w:tcPr>
            <w:tcW w:w="1748" w:type="dxa"/>
            <w:tcBorders>
              <w:top w:val="single" w:color="auto" w:sz="4" w:space="0"/>
              <w:left w:val="single" w:color="auto" w:sz="4" w:space="0"/>
              <w:bottom w:val="single" w:color="auto" w:sz="4" w:space="0"/>
              <w:right w:val="single" w:color="auto" w:sz="4" w:space="0"/>
            </w:tcBorders>
            <w:vAlign w:val="center"/>
          </w:tcPr>
          <w:p w14:paraId="5C527341">
            <w:pPr>
              <w:snapToGrid w:val="0"/>
              <w:spacing w:line="360" w:lineRule="exact"/>
              <w:jc w:val="center"/>
              <w:rPr>
                <w:rFonts w:ascii="宋体" w:hAnsi="宋体"/>
                <w:color w:val="auto"/>
                <w:szCs w:val="21"/>
              </w:rPr>
            </w:pPr>
          </w:p>
        </w:tc>
        <w:tc>
          <w:tcPr>
            <w:tcW w:w="1748" w:type="dxa"/>
            <w:vMerge w:val="restart"/>
            <w:tcBorders>
              <w:top w:val="single" w:color="auto" w:sz="4" w:space="0"/>
              <w:left w:val="single" w:color="auto" w:sz="4" w:space="0"/>
              <w:bottom w:val="single" w:color="auto" w:sz="4" w:space="0"/>
              <w:right w:val="single" w:color="auto" w:sz="4" w:space="0"/>
            </w:tcBorders>
          </w:tcPr>
          <w:p w14:paraId="621C5D07">
            <w:pPr>
              <w:snapToGrid w:val="0"/>
              <w:spacing w:line="360" w:lineRule="exact"/>
              <w:jc w:val="left"/>
              <w:rPr>
                <w:rFonts w:ascii="宋体" w:hAnsi="宋体"/>
                <w:color w:val="auto"/>
                <w:szCs w:val="21"/>
              </w:rPr>
            </w:pPr>
          </w:p>
        </w:tc>
      </w:tr>
      <w:tr w14:paraId="0224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tcBorders>
              <w:top w:val="single" w:color="auto" w:sz="4" w:space="0"/>
              <w:left w:val="single" w:color="auto" w:sz="4" w:space="0"/>
              <w:bottom w:val="single" w:color="auto" w:sz="4" w:space="0"/>
              <w:right w:val="single" w:color="auto" w:sz="4" w:space="0"/>
            </w:tcBorders>
            <w:vAlign w:val="center"/>
          </w:tcPr>
          <w:p w14:paraId="5D287E07">
            <w:pPr>
              <w:snapToGrid w:val="0"/>
              <w:spacing w:line="360" w:lineRule="exact"/>
              <w:jc w:val="center"/>
              <w:rPr>
                <w:rFonts w:ascii="宋体" w:hAnsi="宋体"/>
                <w:color w:val="auto"/>
                <w:szCs w:val="21"/>
              </w:rPr>
            </w:pPr>
            <w:r>
              <w:rPr>
                <w:rFonts w:ascii="宋体" w:hAnsi="宋体"/>
                <w:color w:val="auto"/>
                <w:szCs w:val="21"/>
              </w:rPr>
              <w:t>2</w:t>
            </w:r>
          </w:p>
        </w:tc>
        <w:tc>
          <w:tcPr>
            <w:tcW w:w="1583" w:type="dxa"/>
            <w:tcBorders>
              <w:top w:val="single" w:color="auto" w:sz="4" w:space="0"/>
              <w:left w:val="single" w:color="auto" w:sz="4" w:space="0"/>
              <w:bottom w:val="single" w:color="auto" w:sz="4" w:space="0"/>
              <w:right w:val="single" w:color="auto" w:sz="4" w:space="0"/>
            </w:tcBorders>
            <w:vAlign w:val="center"/>
          </w:tcPr>
          <w:p w14:paraId="7577C029">
            <w:pPr>
              <w:snapToGrid w:val="0"/>
              <w:spacing w:line="360" w:lineRule="exact"/>
              <w:jc w:val="center"/>
              <w:rPr>
                <w:rFonts w:ascii="宋体" w:hAnsi="宋体"/>
                <w:color w:val="auto"/>
                <w:szCs w:val="21"/>
              </w:rPr>
            </w:pPr>
          </w:p>
        </w:tc>
        <w:tc>
          <w:tcPr>
            <w:tcW w:w="816" w:type="dxa"/>
            <w:tcBorders>
              <w:top w:val="single" w:color="auto" w:sz="4" w:space="0"/>
              <w:left w:val="single" w:color="auto" w:sz="4" w:space="0"/>
              <w:bottom w:val="single" w:color="auto" w:sz="4" w:space="0"/>
              <w:right w:val="single" w:color="auto" w:sz="4" w:space="0"/>
            </w:tcBorders>
          </w:tcPr>
          <w:p w14:paraId="0E13DB22">
            <w:pPr>
              <w:snapToGrid w:val="0"/>
              <w:spacing w:line="360" w:lineRule="exact"/>
              <w:jc w:val="center"/>
              <w:rPr>
                <w:rFonts w:ascii="宋体" w:hAnsi="宋体"/>
                <w:color w:val="auto"/>
                <w:szCs w:val="21"/>
              </w:rPr>
            </w:pPr>
          </w:p>
        </w:tc>
        <w:tc>
          <w:tcPr>
            <w:tcW w:w="1311" w:type="dxa"/>
            <w:tcBorders>
              <w:top w:val="single" w:color="auto" w:sz="4" w:space="0"/>
              <w:left w:val="single" w:color="auto" w:sz="4" w:space="0"/>
              <w:bottom w:val="single" w:color="auto" w:sz="4" w:space="0"/>
              <w:right w:val="single" w:color="auto" w:sz="4" w:space="0"/>
            </w:tcBorders>
          </w:tcPr>
          <w:p w14:paraId="2ACA731B">
            <w:pPr>
              <w:snapToGrid w:val="0"/>
              <w:spacing w:line="360" w:lineRule="exact"/>
              <w:jc w:val="center"/>
              <w:rPr>
                <w:rFonts w:ascii="宋体" w:hAnsi="宋体"/>
                <w:color w:val="auto"/>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33AE9EC9">
            <w:pPr>
              <w:snapToGrid w:val="0"/>
              <w:spacing w:line="360" w:lineRule="exact"/>
              <w:jc w:val="center"/>
              <w:rPr>
                <w:rFonts w:ascii="宋体" w:hAnsi="宋体"/>
                <w:color w:val="auto"/>
                <w:szCs w:val="21"/>
              </w:rPr>
            </w:pPr>
          </w:p>
        </w:tc>
        <w:tc>
          <w:tcPr>
            <w:tcW w:w="1748" w:type="dxa"/>
            <w:tcBorders>
              <w:top w:val="single" w:color="auto" w:sz="4" w:space="0"/>
              <w:left w:val="single" w:color="auto" w:sz="4" w:space="0"/>
              <w:bottom w:val="single" w:color="auto" w:sz="4" w:space="0"/>
              <w:right w:val="single" w:color="auto" w:sz="4" w:space="0"/>
            </w:tcBorders>
            <w:vAlign w:val="center"/>
          </w:tcPr>
          <w:p w14:paraId="4D0E65E7">
            <w:pPr>
              <w:snapToGrid w:val="0"/>
              <w:spacing w:line="360" w:lineRule="exact"/>
              <w:jc w:val="center"/>
              <w:rPr>
                <w:rFonts w:ascii="宋体" w:hAnsi="宋体"/>
                <w:color w:val="auto"/>
                <w:szCs w:val="21"/>
              </w:rPr>
            </w:pPr>
          </w:p>
        </w:tc>
        <w:tc>
          <w:tcPr>
            <w:tcW w:w="1748" w:type="dxa"/>
            <w:vMerge w:val="continue"/>
            <w:tcBorders>
              <w:top w:val="single" w:color="auto" w:sz="4" w:space="0"/>
              <w:left w:val="single" w:color="auto" w:sz="4" w:space="0"/>
              <w:bottom w:val="single" w:color="auto" w:sz="4" w:space="0"/>
              <w:right w:val="single" w:color="auto" w:sz="4" w:space="0"/>
            </w:tcBorders>
            <w:vAlign w:val="center"/>
          </w:tcPr>
          <w:p w14:paraId="3C682370">
            <w:pPr>
              <w:widowControl/>
              <w:jc w:val="left"/>
              <w:rPr>
                <w:rFonts w:ascii="宋体" w:hAnsi="宋体"/>
                <w:color w:val="auto"/>
                <w:szCs w:val="21"/>
              </w:rPr>
            </w:pPr>
          </w:p>
        </w:tc>
      </w:tr>
      <w:tr w14:paraId="69AF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tcBorders>
              <w:top w:val="single" w:color="auto" w:sz="4" w:space="0"/>
              <w:left w:val="single" w:color="auto" w:sz="4" w:space="0"/>
              <w:bottom w:val="single" w:color="auto" w:sz="4" w:space="0"/>
              <w:right w:val="single" w:color="auto" w:sz="4" w:space="0"/>
            </w:tcBorders>
            <w:vAlign w:val="center"/>
          </w:tcPr>
          <w:p w14:paraId="46EA68F5">
            <w:pPr>
              <w:snapToGrid w:val="0"/>
              <w:spacing w:line="360" w:lineRule="exact"/>
              <w:jc w:val="center"/>
              <w:rPr>
                <w:rFonts w:ascii="宋体" w:hAnsi="宋体"/>
                <w:color w:val="auto"/>
                <w:szCs w:val="21"/>
              </w:rPr>
            </w:pPr>
            <w:r>
              <w:rPr>
                <w:rFonts w:ascii="宋体" w:hAnsi="宋体"/>
                <w:color w:val="auto"/>
                <w:szCs w:val="21"/>
              </w:rPr>
              <w:t>3</w:t>
            </w:r>
          </w:p>
        </w:tc>
        <w:tc>
          <w:tcPr>
            <w:tcW w:w="1583" w:type="dxa"/>
            <w:tcBorders>
              <w:top w:val="single" w:color="auto" w:sz="4" w:space="0"/>
              <w:left w:val="single" w:color="auto" w:sz="4" w:space="0"/>
              <w:bottom w:val="single" w:color="auto" w:sz="4" w:space="0"/>
              <w:right w:val="single" w:color="auto" w:sz="4" w:space="0"/>
            </w:tcBorders>
            <w:vAlign w:val="center"/>
          </w:tcPr>
          <w:p w14:paraId="29C958FF">
            <w:pPr>
              <w:snapToGrid w:val="0"/>
              <w:spacing w:line="360" w:lineRule="exact"/>
              <w:jc w:val="center"/>
              <w:rPr>
                <w:rFonts w:ascii="宋体" w:hAnsi="宋体"/>
                <w:color w:val="auto"/>
                <w:szCs w:val="21"/>
              </w:rPr>
            </w:pPr>
          </w:p>
        </w:tc>
        <w:tc>
          <w:tcPr>
            <w:tcW w:w="816" w:type="dxa"/>
            <w:tcBorders>
              <w:top w:val="single" w:color="auto" w:sz="4" w:space="0"/>
              <w:left w:val="single" w:color="auto" w:sz="4" w:space="0"/>
              <w:bottom w:val="single" w:color="auto" w:sz="4" w:space="0"/>
              <w:right w:val="single" w:color="auto" w:sz="4" w:space="0"/>
            </w:tcBorders>
          </w:tcPr>
          <w:p w14:paraId="2C67FEE3">
            <w:pPr>
              <w:snapToGrid w:val="0"/>
              <w:spacing w:line="360" w:lineRule="exact"/>
              <w:jc w:val="center"/>
              <w:rPr>
                <w:rFonts w:ascii="宋体" w:hAnsi="宋体"/>
                <w:color w:val="auto"/>
                <w:szCs w:val="21"/>
              </w:rPr>
            </w:pPr>
          </w:p>
        </w:tc>
        <w:tc>
          <w:tcPr>
            <w:tcW w:w="1311" w:type="dxa"/>
            <w:tcBorders>
              <w:top w:val="single" w:color="auto" w:sz="4" w:space="0"/>
              <w:left w:val="single" w:color="auto" w:sz="4" w:space="0"/>
              <w:bottom w:val="single" w:color="auto" w:sz="4" w:space="0"/>
              <w:right w:val="single" w:color="auto" w:sz="4" w:space="0"/>
            </w:tcBorders>
          </w:tcPr>
          <w:p w14:paraId="2CAA128C">
            <w:pPr>
              <w:snapToGrid w:val="0"/>
              <w:spacing w:line="360" w:lineRule="exact"/>
              <w:jc w:val="center"/>
              <w:rPr>
                <w:rFonts w:ascii="宋体" w:hAnsi="宋体"/>
                <w:color w:val="auto"/>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139654A9">
            <w:pPr>
              <w:snapToGrid w:val="0"/>
              <w:spacing w:line="360" w:lineRule="exact"/>
              <w:jc w:val="center"/>
              <w:rPr>
                <w:rFonts w:ascii="宋体" w:hAnsi="宋体"/>
                <w:color w:val="auto"/>
                <w:szCs w:val="21"/>
              </w:rPr>
            </w:pPr>
          </w:p>
        </w:tc>
        <w:tc>
          <w:tcPr>
            <w:tcW w:w="1748" w:type="dxa"/>
            <w:tcBorders>
              <w:top w:val="single" w:color="auto" w:sz="4" w:space="0"/>
              <w:left w:val="single" w:color="auto" w:sz="4" w:space="0"/>
              <w:bottom w:val="single" w:color="auto" w:sz="4" w:space="0"/>
              <w:right w:val="single" w:color="auto" w:sz="4" w:space="0"/>
            </w:tcBorders>
            <w:vAlign w:val="center"/>
          </w:tcPr>
          <w:p w14:paraId="093A9C08">
            <w:pPr>
              <w:snapToGrid w:val="0"/>
              <w:spacing w:line="360" w:lineRule="exact"/>
              <w:jc w:val="center"/>
              <w:rPr>
                <w:rFonts w:ascii="宋体" w:hAnsi="宋体"/>
                <w:color w:val="auto"/>
                <w:szCs w:val="21"/>
              </w:rPr>
            </w:pPr>
          </w:p>
        </w:tc>
        <w:tc>
          <w:tcPr>
            <w:tcW w:w="1748" w:type="dxa"/>
            <w:vMerge w:val="continue"/>
            <w:tcBorders>
              <w:top w:val="single" w:color="auto" w:sz="4" w:space="0"/>
              <w:left w:val="single" w:color="auto" w:sz="4" w:space="0"/>
              <w:bottom w:val="single" w:color="auto" w:sz="4" w:space="0"/>
              <w:right w:val="single" w:color="auto" w:sz="4" w:space="0"/>
            </w:tcBorders>
            <w:vAlign w:val="center"/>
          </w:tcPr>
          <w:p w14:paraId="2880A112">
            <w:pPr>
              <w:widowControl/>
              <w:jc w:val="left"/>
              <w:rPr>
                <w:rFonts w:ascii="宋体" w:hAnsi="宋体"/>
                <w:color w:val="auto"/>
                <w:szCs w:val="21"/>
              </w:rPr>
            </w:pPr>
          </w:p>
        </w:tc>
      </w:tr>
      <w:tr w14:paraId="2C96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02" w:type="dxa"/>
            <w:tcBorders>
              <w:top w:val="single" w:color="auto" w:sz="4" w:space="0"/>
              <w:left w:val="single" w:color="auto" w:sz="4" w:space="0"/>
              <w:bottom w:val="single" w:color="auto" w:sz="4" w:space="0"/>
              <w:right w:val="single" w:color="auto" w:sz="4" w:space="0"/>
            </w:tcBorders>
            <w:vAlign w:val="center"/>
          </w:tcPr>
          <w:p w14:paraId="1DE0E864">
            <w:pPr>
              <w:snapToGrid w:val="0"/>
              <w:spacing w:line="360" w:lineRule="exact"/>
              <w:jc w:val="center"/>
              <w:rPr>
                <w:rFonts w:ascii="宋体" w:hAnsi="宋体"/>
                <w:color w:val="auto"/>
                <w:szCs w:val="21"/>
              </w:rPr>
            </w:pPr>
          </w:p>
        </w:tc>
        <w:tc>
          <w:tcPr>
            <w:tcW w:w="8517" w:type="dxa"/>
            <w:gridSpan w:val="6"/>
            <w:tcBorders>
              <w:top w:val="single" w:color="auto" w:sz="4" w:space="0"/>
              <w:left w:val="single" w:color="auto" w:sz="4" w:space="0"/>
              <w:bottom w:val="single" w:color="auto" w:sz="4" w:space="0"/>
              <w:right w:val="single" w:color="auto" w:sz="4" w:space="0"/>
            </w:tcBorders>
            <w:vAlign w:val="center"/>
          </w:tcPr>
          <w:p w14:paraId="58400F41">
            <w:pPr>
              <w:snapToGrid w:val="0"/>
              <w:spacing w:line="360" w:lineRule="exact"/>
              <w:jc w:val="left"/>
              <w:rPr>
                <w:rFonts w:ascii="宋体" w:hAnsi="宋体"/>
                <w:color w:val="auto"/>
                <w:szCs w:val="21"/>
              </w:rPr>
            </w:pPr>
            <w:r>
              <w:rPr>
                <w:rFonts w:ascii="宋体" w:hAnsi="宋体"/>
                <w:color w:val="auto"/>
                <w:szCs w:val="21"/>
              </w:rPr>
              <w:t>人民币合计金额（大写）                          （小写）</w:t>
            </w:r>
          </w:p>
        </w:tc>
      </w:tr>
    </w:tbl>
    <w:p w14:paraId="16CAAB65">
      <w:pPr>
        <w:snapToGrid w:val="0"/>
        <w:spacing w:line="360" w:lineRule="exact"/>
        <w:ind w:firstLine="422" w:firstLineChars="200"/>
        <w:rPr>
          <w:rFonts w:ascii="宋体" w:hAnsi="宋体"/>
          <w:b/>
          <w:color w:val="auto"/>
          <w:szCs w:val="21"/>
        </w:rPr>
      </w:pPr>
      <w:r>
        <w:rPr>
          <w:rFonts w:ascii="宋体" w:hAnsi="宋体"/>
          <w:b/>
          <w:color w:val="auto"/>
          <w:szCs w:val="21"/>
        </w:rPr>
        <w:t>第三条  甲方权利和义务</w:t>
      </w:r>
    </w:p>
    <w:p w14:paraId="781E1216">
      <w:pPr>
        <w:snapToGrid w:val="0"/>
        <w:spacing w:line="360" w:lineRule="exact"/>
        <w:ind w:firstLine="420" w:firstLineChars="200"/>
        <w:rPr>
          <w:rFonts w:ascii="宋体" w:hAnsi="宋体"/>
          <w:color w:val="auto"/>
          <w:szCs w:val="21"/>
        </w:rPr>
      </w:pPr>
      <w:r>
        <w:rPr>
          <w:rFonts w:ascii="宋体" w:hAnsi="宋体"/>
          <w:color w:val="auto"/>
          <w:szCs w:val="21"/>
        </w:rPr>
        <w:t>1. 甲方有权要求乙方按时、按质、按量、按计划与合同协议约定完成本项目，并有权对乙方工作情况进行监督。</w:t>
      </w:r>
    </w:p>
    <w:p w14:paraId="34A8D260">
      <w:pPr>
        <w:snapToGrid w:val="0"/>
        <w:spacing w:line="360" w:lineRule="exact"/>
        <w:ind w:firstLine="420" w:firstLineChars="200"/>
        <w:rPr>
          <w:rFonts w:ascii="宋体" w:hAnsi="宋体"/>
          <w:color w:val="auto"/>
          <w:szCs w:val="21"/>
        </w:rPr>
      </w:pPr>
      <w:r>
        <w:rPr>
          <w:rFonts w:ascii="宋体" w:hAnsi="宋体"/>
          <w:color w:val="auto"/>
          <w:szCs w:val="21"/>
        </w:rPr>
        <w:t>2. 根据项目进度，甲方有权及时对乙方提交的方案提出修改意见，并要求乙方按修改意见完成服务工作。</w:t>
      </w:r>
    </w:p>
    <w:p w14:paraId="4B9B746E">
      <w:pPr>
        <w:snapToGrid w:val="0"/>
        <w:spacing w:line="360" w:lineRule="exact"/>
        <w:ind w:firstLine="420" w:firstLineChars="200"/>
        <w:rPr>
          <w:rFonts w:ascii="宋体" w:hAnsi="宋体"/>
          <w:color w:val="auto"/>
          <w:szCs w:val="21"/>
        </w:rPr>
      </w:pPr>
      <w:r>
        <w:rPr>
          <w:rFonts w:ascii="宋体" w:hAnsi="宋体"/>
          <w:color w:val="auto"/>
          <w:szCs w:val="21"/>
        </w:rPr>
        <w:t>3. 乙方配备的项目投入人员应得到甲方的认可；对派遣到甲方的服务人员进行管理、考核、检查与奖惩。</w:t>
      </w:r>
    </w:p>
    <w:p w14:paraId="25CE8BB6">
      <w:pPr>
        <w:snapToGrid w:val="0"/>
        <w:spacing w:line="360" w:lineRule="exact"/>
        <w:ind w:firstLine="420" w:firstLineChars="200"/>
        <w:rPr>
          <w:rFonts w:ascii="宋体" w:hAnsi="宋体"/>
          <w:color w:val="auto"/>
          <w:szCs w:val="21"/>
        </w:rPr>
      </w:pPr>
      <w:r>
        <w:rPr>
          <w:rFonts w:ascii="宋体" w:hAnsi="宋体"/>
          <w:color w:val="auto"/>
          <w:szCs w:val="21"/>
        </w:rPr>
        <w:t>4.甲方有权要求乙方更换不合格的工作人员。</w:t>
      </w:r>
    </w:p>
    <w:p w14:paraId="7FD2803B">
      <w:pPr>
        <w:snapToGrid w:val="0"/>
        <w:spacing w:line="360" w:lineRule="exact"/>
        <w:ind w:firstLine="420" w:firstLineChars="200"/>
        <w:rPr>
          <w:rFonts w:ascii="宋体" w:hAnsi="宋体"/>
          <w:color w:val="auto"/>
          <w:szCs w:val="21"/>
        </w:rPr>
      </w:pPr>
      <w:r>
        <w:rPr>
          <w:rFonts w:ascii="宋体" w:hAnsi="宋体"/>
          <w:color w:val="auto"/>
          <w:szCs w:val="21"/>
        </w:rPr>
        <w:t>5. 按合同要求及时向乙方支付服务费用。</w:t>
      </w:r>
    </w:p>
    <w:p w14:paraId="498E63B3">
      <w:pPr>
        <w:snapToGrid w:val="0"/>
        <w:spacing w:line="360" w:lineRule="exact"/>
        <w:ind w:firstLine="420" w:firstLineChars="200"/>
        <w:rPr>
          <w:rFonts w:ascii="宋体" w:hAnsi="宋体"/>
          <w:color w:val="auto"/>
          <w:szCs w:val="21"/>
        </w:rPr>
      </w:pPr>
      <w:bookmarkStart w:id="79" w:name="_Hlk77611324"/>
      <w:r>
        <w:rPr>
          <w:rFonts w:ascii="宋体" w:hAnsi="宋体"/>
          <w:color w:val="auto"/>
          <w:szCs w:val="21"/>
        </w:rPr>
        <w:t>6.</w:t>
      </w:r>
      <w:r>
        <w:rPr>
          <w:rFonts w:ascii="宋体" w:hAnsi="宋体"/>
          <w:color w:val="auto"/>
        </w:rPr>
        <w:t xml:space="preserve"> </w:t>
      </w:r>
      <w:r>
        <w:rPr>
          <w:rFonts w:ascii="宋体" w:hAnsi="宋体"/>
          <w:color w:val="auto"/>
          <w:szCs w:val="21"/>
        </w:rPr>
        <w:t>如采购项目涉及采购标的的知识产权归属的，产权归属为：</w:t>
      </w:r>
      <w:r>
        <w:rPr>
          <w:rFonts w:ascii="宋体" w:hAnsi="宋体"/>
          <w:color w:val="auto"/>
          <w:szCs w:val="21"/>
          <w:u w:val="single"/>
        </w:rPr>
        <w:t xml:space="preserve">    甲方    </w:t>
      </w:r>
      <w:r>
        <w:rPr>
          <w:rFonts w:ascii="宋体" w:hAnsi="宋体"/>
          <w:color w:val="auto"/>
          <w:szCs w:val="21"/>
        </w:rPr>
        <w:t xml:space="preserve">    </w:t>
      </w:r>
    </w:p>
    <w:p w14:paraId="7693A510">
      <w:pPr>
        <w:snapToGrid w:val="0"/>
        <w:spacing w:line="360" w:lineRule="exact"/>
        <w:ind w:firstLine="420" w:firstLineChars="200"/>
        <w:rPr>
          <w:rFonts w:ascii="宋体" w:hAnsi="宋体"/>
          <w:color w:val="auto"/>
          <w:szCs w:val="21"/>
          <w:u w:val="single"/>
        </w:rPr>
      </w:pPr>
      <w:r>
        <w:rPr>
          <w:rFonts w:ascii="宋体" w:hAnsi="宋体"/>
          <w:color w:val="auto"/>
          <w:szCs w:val="21"/>
        </w:rPr>
        <w:t>处理方式：</w:t>
      </w:r>
      <w:r>
        <w:rPr>
          <w:rFonts w:ascii="宋体" w:hAnsi="宋体"/>
          <w:color w:val="auto"/>
          <w:szCs w:val="21"/>
          <w:u w:val="single"/>
        </w:rPr>
        <w:t>采购人在中华人民共和国境内使用供应商提供的产品及服务时免受第三方提出的侵犯其专利权或其它知识产权的起诉。如果第三方提出侵权指控，乙方应承担由此而引起的一切法律责任和费用。</w:t>
      </w:r>
      <w:bookmarkEnd w:id="79"/>
    </w:p>
    <w:p w14:paraId="19304B41">
      <w:pPr>
        <w:snapToGrid w:val="0"/>
        <w:spacing w:line="360" w:lineRule="exact"/>
        <w:ind w:firstLine="422" w:firstLineChars="200"/>
        <w:rPr>
          <w:rFonts w:ascii="宋体" w:hAnsi="宋体"/>
          <w:b/>
          <w:color w:val="auto"/>
          <w:szCs w:val="21"/>
        </w:rPr>
      </w:pPr>
      <w:r>
        <w:rPr>
          <w:rFonts w:ascii="宋体" w:hAnsi="宋体"/>
          <w:b/>
          <w:color w:val="auto"/>
          <w:szCs w:val="21"/>
        </w:rPr>
        <w:t>第四条  乙方权利和义务</w:t>
      </w:r>
    </w:p>
    <w:p w14:paraId="6CC3BA94">
      <w:pPr>
        <w:snapToGrid w:val="0"/>
        <w:spacing w:line="360" w:lineRule="exact"/>
        <w:ind w:firstLine="420" w:firstLineChars="200"/>
        <w:rPr>
          <w:rFonts w:ascii="宋体" w:hAnsi="宋体"/>
          <w:color w:val="auto"/>
          <w:szCs w:val="21"/>
        </w:rPr>
      </w:pPr>
      <w:r>
        <w:rPr>
          <w:rFonts w:ascii="宋体" w:hAnsi="宋体"/>
          <w:color w:val="auto"/>
          <w:szCs w:val="21"/>
        </w:rPr>
        <w:t>1. 严格履行合同文件（含采购文件、响应文件等）约定和承诺的服务内容和质量标准，保证甲方项目的相关工作质量和进度。</w:t>
      </w:r>
    </w:p>
    <w:p w14:paraId="2BD9A1EC">
      <w:pPr>
        <w:snapToGrid w:val="0"/>
        <w:spacing w:line="360" w:lineRule="exact"/>
        <w:ind w:firstLine="420" w:firstLineChars="200"/>
        <w:rPr>
          <w:rFonts w:ascii="宋体" w:hAnsi="宋体"/>
          <w:color w:val="auto"/>
          <w:szCs w:val="21"/>
        </w:rPr>
      </w:pPr>
      <w:r>
        <w:rPr>
          <w:rFonts w:ascii="宋体" w:hAnsi="宋体"/>
          <w:color w:val="auto"/>
          <w:szCs w:val="21"/>
        </w:rPr>
        <w:t>2. 必须严格实施乙方响应文件中承诺的人力资源配置。在必须补充或更换人员时，必须补充或更换优于或等同于响应文件所承诺资质的服务人员，并需取得甲方书面同意。</w:t>
      </w:r>
    </w:p>
    <w:p w14:paraId="5725B2C6">
      <w:pPr>
        <w:snapToGrid w:val="0"/>
        <w:spacing w:line="360" w:lineRule="exact"/>
        <w:ind w:firstLine="420" w:firstLineChars="200"/>
        <w:rPr>
          <w:rFonts w:ascii="宋体" w:hAnsi="宋体"/>
          <w:color w:val="auto"/>
          <w:szCs w:val="21"/>
        </w:rPr>
      </w:pPr>
      <w:r>
        <w:rPr>
          <w:rFonts w:ascii="宋体" w:hAnsi="宋体"/>
          <w:color w:val="auto"/>
          <w:szCs w:val="21"/>
        </w:rPr>
        <w:t>3. 乙方项目负责人及服务团队成员须与响应文件保持一致。合同存续期内，未经甲方书面要求或同意，项目负责人不应调整。项目负责人及服务团队成员必须保证在岗工作时间和重要活动在岗，如有变化，须取得甲方同意。</w:t>
      </w:r>
    </w:p>
    <w:p w14:paraId="5C48402D">
      <w:pPr>
        <w:snapToGrid w:val="0"/>
        <w:spacing w:line="360" w:lineRule="exact"/>
        <w:ind w:firstLine="420" w:firstLineChars="200"/>
        <w:rPr>
          <w:rFonts w:ascii="宋体" w:hAnsi="宋体"/>
          <w:color w:val="auto"/>
          <w:szCs w:val="21"/>
        </w:rPr>
      </w:pPr>
      <w:r>
        <w:rPr>
          <w:rFonts w:ascii="宋体" w:hAnsi="宋体"/>
          <w:color w:val="auto"/>
          <w:szCs w:val="21"/>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5AD2EDEA">
      <w:pPr>
        <w:snapToGrid w:val="0"/>
        <w:spacing w:line="360" w:lineRule="exact"/>
        <w:ind w:firstLine="420" w:firstLineChars="200"/>
        <w:rPr>
          <w:rFonts w:ascii="宋体" w:hAnsi="宋体"/>
          <w:color w:val="auto"/>
          <w:szCs w:val="21"/>
        </w:rPr>
      </w:pPr>
      <w:r>
        <w:rPr>
          <w:rFonts w:ascii="宋体" w:hAnsi="宋体"/>
          <w:color w:val="auto"/>
          <w:szCs w:val="21"/>
        </w:rPr>
        <w:t>5. 乙方服务人员应履行保密义务。如乙方因违反本条约定给甲方造成损失的，乙方应当承担相应的法律责任，并赔偿由此给甲方造成的一切损失。</w:t>
      </w:r>
    </w:p>
    <w:p w14:paraId="68FE159A">
      <w:pPr>
        <w:snapToGrid w:val="0"/>
        <w:spacing w:line="360" w:lineRule="exact"/>
        <w:ind w:firstLine="422" w:firstLineChars="200"/>
        <w:rPr>
          <w:rFonts w:ascii="宋体" w:hAnsi="宋体"/>
          <w:color w:val="auto"/>
          <w:szCs w:val="21"/>
        </w:rPr>
      </w:pPr>
      <w:r>
        <w:rPr>
          <w:rFonts w:ascii="宋体" w:hAnsi="宋体"/>
          <w:b/>
          <w:color w:val="auto"/>
          <w:szCs w:val="21"/>
        </w:rPr>
        <w:t>第五条  交付和验收</w:t>
      </w:r>
    </w:p>
    <w:p w14:paraId="768FAEDA">
      <w:pPr>
        <w:snapToGrid w:val="0"/>
        <w:spacing w:line="360" w:lineRule="exact"/>
        <w:ind w:firstLine="420" w:firstLineChars="200"/>
        <w:rPr>
          <w:rFonts w:ascii="宋体" w:hAnsi="宋体"/>
          <w:color w:val="auto"/>
          <w:szCs w:val="21"/>
        </w:rPr>
      </w:pPr>
      <w:r>
        <w:rPr>
          <w:rFonts w:ascii="宋体" w:hAnsi="宋体"/>
          <w:color w:val="auto"/>
          <w:szCs w:val="21"/>
        </w:rPr>
        <w:t>1.交付使用时间：按乙方响应文件中所承诺的时间；地点：甲方指定地点。</w:t>
      </w:r>
    </w:p>
    <w:p w14:paraId="0133CF58">
      <w:pPr>
        <w:snapToGrid w:val="0"/>
        <w:spacing w:line="360" w:lineRule="exact"/>
        <w:ind w:firstLine="420" w:firstLineChars="200"/>
        <w:rPr>
          <w:rFonts w:ascii="宋体" w:hAnsi="宋体"/>
          <w:color w:val="auto"/>
          <w:szCs w:val="21"/>
        </w:rPr>
      </w:pPr>
      <w:r>
        <w:rPr>
          <w:rFonts w:ascii="宋体" w:hAnsi="宋体"/>
          <w:color w:val="auto"/>
          <w:szCs w:val="21"/>
        </w:rPr>
        <w:t>2.乙方提供不符合采购文件和本合同规定的服务要求的，甲方有权拒绝接受。</w:t>
      </w:r>
    </w:p>
    <w:p w14:paraId="3BA6170B">
      <w:pPr>
        <w:snapToGrid w:val="0"/>
        <w:spacing w:line="360" w:lineRule="exact"/>
        <w:ind w:firstLine="420" w:firstLineChars="200"/>
        <w:rPr>
          <w:rFonts w:ascii="宋体" w:hAnsi="宋体"/>
          <w:color w:val="auto"/>
          <w:szCs w:val="21"/>
        </w:rPr>
      </w:pPr>
      <w:r>
        <w:rPr>
          <w:rFonts w:ascii="宋体" w:hAnsi="宋体"/>
          <w:color w:val="auto"/>
          <w:szCs w:val="21"/>
        </w:rPr>
        <w:t>3.甲方应当在服务成果提交完后</w:t>
      </w:r>
      <w:r>
        <w:rPr>
          <w:rFonts w:ascii="宋体" w:hAnsi="宋体"/>
          <w:color w:val="auto"/>
          <w:szCs w:val="21"/>
          <w:u w:val="single"/>
        </w:rPr>
        <w:t xml:space="preserve">        </w:t>
      </w:r>
      <w:r>
        <w:rPr>
          <w:rFonts w:ascii="宋体" w:hAnsi="宋体"/>
          <w:color w:val="auto"/>
          <w:szCs w:val="21"/>
        </w:rPr>
        <w:t>日内进行验收，逾期不验收的，乙方可视同验收合格。验收合格后由甲乙双方签署验收单并加盖采购单位公章，甲乙双方各执一份。</w:t>
      </w:r>
    </w:p>
    <w:p w14:paraId="6DCEE40D">
      <w:pPr>
        <w:snapToGrid w:val="0"/>
        <w:spacing w:line="360" w:lineRule="exact"/>
        <w:ind w:firstLine="420" w:firstLineChars="200"/>
        <w:rPr>
          <w:rFonts w:ascii="宋体" w:hAnsi="宋体"/>
          <w:color w:val="auto"/>
          <w:szCs w:val="21"/>
        </w:rPr>
      </w:pPr>
      <w:r>
        <w:rPr>
          <w:rFonts w:ascii="宋体" w:hAnsi="宋体"/>
          <w:color w:val="auto"/>
          <w:szCs w:val="21"/>
        </w:rPr>
        <w:t>4.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350FB0F9">
      <w:pPr>
        <w:snapToGrid w:val="0"/>
        <w:spacing w:line="360" w:lineRule="exact"/>
        <w:ind w:firstLine="420" w:firstLineChars="200"/>
        <w:rPr>
          <w:rFonts w:ascii="宋体" w:hAnsi="宋体"/>
          <w:color w:val="auto"/>
          <w:szCs w:val="21"/>
        </w:rPr>
      </w:pPr>
      <w:r>
        <w:rPr>
          <w:rFonts w:ascii="宋体" w:hAnsi="宋体"/>
          <w:color w:val="auto"/>
          <w:szCs w:val="21"/>
        </w:rPr>
        <w:t>5.甲方对验收有异议的，在验收后</w:t>
      </w:r>
      <w:r>
        <w:rPr>
          <w:rFonts w:ascii="宋体" w:hAnsi="宋体"/>
          <w:color w:val="auto"/>
          <w:szCs w:val="21"/>
          <w:u w:val="single"/>
        </w:rPr>
        <w:t xml:space="preserve">        </w:t>
      </w:r>
      <w:r>
        <w:rPr>
          <w:rFonts w:ascii="宋体" w:hAnsi="宋体"/>
          <w:color w:val="auto"/>
          <w:szCs w:val="21"/>
        </w:rPr>
        <w:t>日内以书面形式向乙方提出，乙方应自收到甲方书面异议后</w:t>
      </w:r>
      <w:r>
        <w:rPr>
          <w:rFonts w:ascii="宋体" w:hAnsi="宋体"/>
          <w:color w:val="auto"/>
          <w:szCs w:val="21"/>
          <w:u w:val="single"/>
        </w:rPr>
        <w:t xml:space="preserve">        </w:t>
      </w:r>
      <w:r>
        <w:rPr>
          <w:rFonts w:ascii="宋体" w:hAnsi="宋体"/>
          <w:color w:val="auto"/>
          <w:szCs w:val="21"/>
        </w:rPr>
        <w:t>日内及时予以解决。</w:t>
      </w:r>
    </w:p>
    <w:p w14:paraId="360509D0">
      <w:pPr>
        <w:snapToGrid w:val="0"/>
        <w:spacing w:line="360" w:lineRule="exact"/>
        <w:ind w:firstLine="420" w:firstLineChars="200"/>
        <w:rPr>
          <w:rFonts w:ascii="宋体" w:hAnsi="宋体"/>
          <w:color w:val="auto"/>
          <w:szCs w:val="21"/>
        </w:rPr>
      </w:pPr>
      <w:r>
        <w:rPr>
          <w:rFonts w:ascii="宋体" w:hAnsi="宋体"/>
          <w:color w:val="auto"/>
          <w:szCs w:val="21"/>
        </w:rPr>
        <w:t>6. 其他未尽事宜应严格按照《关于印发广西壮族自治区政府采购项目履约验收管理办法的通知》[桂财采〔2015〕22号]以及《财政部关于进一步加强政府采购需求和履约验收管理的指导意见》[财库〔2016〕205号]规定执行。</w:t>
      </w:r>
    </w:p>
    <w:p w14:paraId="7A5643BB">
      <w:pPr>
        <w:snapToGrid w:val="0"/>
        <w:spacing w:before="120" w:after="120" w:line="300" w:lineRule="exact"/>
        <w:ind w:firstLine="420" w:firstLineChars="200"/>
        <w:jc w:val="left"/>
        <w:rPr>
          <w:rFonts w:ascii="宋体" w:hAnsi="宋体"/>
          <w:color w:val="auto"/>
          <w:szCs w:val="21"/>
        </w:rPr>
      </w:pPr>
      <w:bookmarkStart w:id="80" w:name="_Hlk77611338"/>
      <w:r>
        <w:rPr>
          <w:rFonts w:ascii="宋体" w:hAnsi="宋体"/>
          <w:color w:val="auto"/>
          <w:szCs w:val="21"/>
        </w:rPr>
        <w:t>7.履约验收方案详见附件。</w:t>
      </w:r>
      <w:bookmarkEnd w:id="80"/>
    </w:p>
    <w:p w14:paraId="5A714E99">
      <w:pPr>
        <w:snapToGrid w:val="0"/>
        <w:spacing w:line="360" w:lineRule="exact"/>
        <w:ind w:firstLine="422" w:firstLineChars="200"/>
        <w:rPr>
          <w:rFonts w:ascii="宋体" w:hAnsi="宋体"/>
          <w:b/>
          <w:color w:val="auto"/>
          <w:szCs w:val="21"/>
        </w:rPr>
      </w:pPr>
      <w:r>
        <w:rPr>
          <w:rFonts w:ascii="宋体" w:hAnsi="宋体"/>
          <w:b/>
          <w:color w:val="auto"/>
          <w:szCs w:val="21"/>
        </w:rPr>
        <w:t>第六条  服务</w:t>
      </w:r>
    </w:p>
    <w:p w14:paraId="47E1328D">
      <w:pPr>
        <w:snapToGrid w:val="0"/>
        <w:spacing w:line="360" w:lineRule="exact"/>
        <w:ind w:firstLine="420" w:firstLineChars="200"/>
        <w:rPr>
          <w:rFonts w:ascii="宋体" w:hAnsi="宋体"/>
          <w:color w:val="auto"/>
          <w:szCs w:val="21"/>
        </w:rPr>
      </w:pPr>
      <w:r>
        <w:rPr>
          <w:rFonts w:ascii="宋体" w:hAnsi="宋体"/>
          <w:color w:val="auto"/>
          <w:szCs w:val="21"/>
        </w:rPr>
        <w:t>甲方应提供必要服务条件（如场地、电源、水源等）。</w:t>
      </w:r>
    </w:p>
    <w:p w14:paraId="255D2570">
      <w:pPr>
        <w:snapToGrid w:val="0"/>
        <w:spacing w:line="360" w:lineRule="exact"/>
        <w:ind w:firstLine="422" w:firstLineChars="200"/>
        <w:rPr>
          <w:rFonts w:ascii="宋体" w:hAnsi="宋体"/>
          <w:color w:val="auto"/>
          <w:szCs w:val="21"/>
        </w:rPr>
      </w:pPr>
      <w:r>
        <w:rPr>
          <w:rFonts w:ascii="宋体" w:hAnsi="宋体"/>
          <w:b/>
          <w:color w:val="auto"/>
          <w:szCs w:val="21"/>
        </w:rPr>
        <w:t>第七条　付款方式</w:t>
      </w:r>
    </w:p>
    <w:p w14:paraId="017207D8">
      <w:pPr>
        <w:snapToGrid w:val="0"/>
        <w:spacing w:line="360" w:lineRule="exact"/>
        <w:ind w:firstLine="420" w:firstLineChars="200"/>
        <w:rPr>
          <w:rFonts w:ascii="宋体" w:hAnsi="宋体"/>
          <w:color w:val="auto"/>
          <w:szCs w:val="21"/>
        </w:rPr>
      </w:pPr>
      <w:r>
        <w:rPr>
          <w:rFonts w:ascii="宋体" w:hAnsi="宋体"/>
          <w:color w:val="auto"/>
          <w:szCs w:val="21"/>
        </w:rPr>
        <w:t>1.资金性质：</w:t>
      </w:r>
      <w:r>
        <w:rPr>
          <w:rFonts w:ascii="宋体" w:hAnsi="宋体"/>
          <w:color w:val="auto"/>
          <w:szCs w:val="21"/>
          <w:u w:val="single"/>
        </w:rPr>
        <w:t>财政性资金</w:t>
      </w:r>
      <w:r>
        <w:rPr>
          <w:rFonts w:ascii="宋体" w:hAnsi="宋体"/>
          <w:color w:val="auto"/>
          <w:szCs w:val="21"/>
        </w:rPr>
        <w:t>。</w:t>
      </w:r>
    </w:p>
    <w:p w14:paraId="0EA387E5">
      <w:pPr>
        <w:snapToGrid w:val="0"/>
        <w:spacing w:line="360" w:lineRule="exact"/>
        <w:ind w:firstLine="420" w:firstLineChars="200"/>
        <w:rPr>
          <w:rFonts w:ascii="宋体" w:hAnsi="宋体"/>
          <w:color w:val="auto"/>
          <w:szCs w:val="21"/>
        </w:rPr>
      </w:pPr>
      <w:r>
        <w:rPr>
          <w:rFonts w:ascii="宋体" w:hAnsi="宋体"/>
          <w:color w:val="auto"/>
          <w:szCs w:val="21"/>
        </w:rPr>
        <w:t>2.付款方式：</w:t>
      </w:r>
    </w:p>
    <w:p w14:paraId="32A105EE">
      <w:pPr>
        <w:snapToGrid w:val="0"/>
        <w:spacing w:line="360" w:lineRule="exact"/>
        <w:ind w:firstLine="315" w:firstLineChars="150"/>
        <w:rPr>
          <w:rFonts w:ascii="宋体" w:hAnsi="宋体"/>
          <w:color w:val="auto"/>
          <w:szCs w:val="21"/>
        </w:rPr>
      </w:pPr>
      <w:r>
        <w:rPr>
          <w:rFonts w:ascii="宋体" w:hAnsi="宋体"/>
          <w:color w:val="auto"/>
          <w:szCs w:val="21"/>
        </w:rPr>
        <w:t>甲方与乙方签订合同后，甲方应在合同生效以及具备实施条件后10日内向乙方支付合同金额50%的预付款；乙方按采购合同服务完成后，甲方对项目进行验收并签署项目验收书，项目验收合格后，乙方向甲方提出支付余款申请，甲方在收到申请后10日支付。</w:t>
      </w:r>
    </w:p>
    <w:p w14:paraId="666D411B">
      <w:pPr>
        <w:snapToGrid w:val="0"/>
        <w:spacing w:line="360" w:lineRule="exact"/>
        <w:ind w:firstLine="316" w:firstLineChars="150"/>
        <w:rPr>
          <w:rFonts w:ascii="宋体" w:hAnsi="宋体"/>
          <w:b/>
          <w:color w:val="auto"/>
          <w:szCs w:val="21"/>
        </w:rPr>
      </w:pPr>
      <w:r>
        <w:rPr>
          <w:rFonts w:ascii="宋体" w:hAnsi="宋体"/>
          <w:b/>
          <w:color w:val="auto"/>
          <w:szCs w:val="21"/>
        </w:rPr>
        <w:t xml:space="preserve">第八条 履约保证金 </w:t>
      </w:r>
    </w:p>
    <w:p w14:paraId="08678F80">
      <w:pPr>
        <w:spacing w:line="300" w:lineRule="exact"/>
        <w:ind w:firstLine="420" w:firstLineChars="200"/>
        <w:jc w:val="left"/>
        <w:rPr>
          <w:rFonts w:ascii="宋体" w:hAnsi="宋体"/>
          <w:color w:val="auto"/>
          <w:szCs w:val="21"/>
          <w:u w:val="single"/>
        </w:rPr>
      </w:pPr>
      <w:bookmarkStart w:id="81" w:name="_Hlk19106598"/>
      <w:r>
        <w:rPr>
          <w:rFonts w:ascii="宋体" w:hAnsi="宋体"/>
          <w:color w:val="auto"/>
          <w:szCs w:val="21"/>
        </w:rPr>
        <w:t>1.履约保证金金额：</w:t>
      </w:r>
      <w:r>
        <w:rPr>
          <w:rFonts w:ascii="宋体" w:hAnsi="宋体"/>
          <w:color w:val="auto"/>
          <w:szCs w:val="21"/>
          <w:u w:val="single"/>
        </w:rPr>
        <w:t xml:space="preserve"> 无 。</w:t>
      </w:r>
    </w:p>
    <w:bookmarkEnd w:id="81"/>
    <w:p w14:paraId="07F8E5D7">
      <w:pPr>
        <w:snapToGrid w:val="0"/>
        <w:spacing w:line="360" w:lineRule="exact"/>
        <w:ind w:firstLine="422" w:firstLineChars="200"/>
        <w:rPr>
          <w:rFonts w:ascii="宋体" w:hAnsi="宋体"/>
          <w:b/>
          <w:color w:val="auto"/>
          <w:szCs w:val="21"/>
        </w:rPr>
      </w:pPr>
      <w:r>
        <w:rPr>
          <w:rFonts w:ascii="宋体" w:hAnsi="宋体"/>
          <w:b/>
          <w:color w:val="auto"/>
          <w:szCs w:val="21"/>
        </w:rPr>
        <w:t>第九条 税费</w:t>
      </w:r>
    </w:p>
    <w:p w14:paraId="72960F64">
      <w:pPr>
        <w:snapToGrid w:val="0"/>
        <w:spacing w:line="360" w:lineRule="exact"/>
        <w:ind w:firstLine="420" w:firstLineChars="200"/>
        <w:rPr>
          <w:rFonts w:ascii="宋体" w:hAnsi="宋体"/>
          <w:color w:val="auto"/>
          <w:szCs w:val="21"/>
        </w:rPr>
      </w:pPr>
      <w:r>
        <w:rPr>
          <w:rFonts w:ascii="宋体" w:hAnsi="宋体"/>
          <w:color w:val="auto"/>
          <w:szCs w:val="21"/>
        </w:rPr>
        <w:t>本合同执行中相关的一切税费均由乙方负担。</w:t>
      </w:r>
    </w:p>
    <w:p w14:paraId="01D96891">
      <w:pPr>
        <w:snapToGrid w:val="0"/>
        <w:spacing w:line="360" w:lineRule="exact"/>
        <w:ind w:firstLine="422" w:firstLineChars="200"/>
        <w:rPr>
          <w:rFonts w:ascii="宋体" w:hAnsi="宋体"/>
          <w:b/>
          <w:color w:val="auto"/>
          <w:szCs w:val="21"/>
        </w:rPr>
      </w:pPr>
      <w:r>
        <w:rPr>
          <w:rFonts w:ascii="宋体" w:hAnsi="宋体"/>
          <w:b/>
          <w:color w:val="auto"/>
          <w:szCs w:val="21"/>
        </w:rPr>
        <w:t>第十条　违约责任</w:t>
      </w:r>
    </w:p>
    <w:p w14:paraId="0C8D3242">
      <w:pPr>
        <w:snapToGrid w:val="0"/>
        <w:spacing w:line="360" w:lineRule="exact"/>
        <w:ind w:firstLine="420" w:firstLineChars="200"/>
        <w:rPr>
          <w:rFonts w:ascii="宋体" w:hAnsi="宋体"/>
          <w:color w:val="auto"/>
          <w:szCs w:val="21"/>
        </w:rPr>
      </w:pPr>
      <w:r>
        <w:rPr>
          <w:rFonts w:ascii="宋体" w:hAnsi="宋体"/>
          <w:color w:val="auto"/>
          <w:szCs w:val="21"/>
        </w:rPr>
        <w:t>1. 若因乙方原因而未能履行合同或未达到合同约定的要求，甲方有权书面督促乙方履行合同，乙方应在收到甲方书面通知之日起七日内给予书面答复并进行整改；如乙方在上述时间未答复，或无故拖延履行合同超过</w:t>
      </w:r>
      <w:r>
        <w:rPr>
          <w:rFonts w:ascii="宋体" w:hAnsi="宋体"/>
          <w:color w:val="auto"/>
          <w:szCs w:val="21"/>
          <w:u w:val="single"/>
        </w:rPr>
        <w:t>30</w:t>
      </w:r>
      <w:r>
        <w:rPr>
          <w:rFonts w:ascii="宋体" w:hAnsi="宋体"/>
          <w:color w:val="auto"/>
          <w:szCs w:val="21"/>
        </w:rPr>
        <w:t>日，或经</w:t>
      </w:r>
      <w:r>
        <w:rPr>
          <w:rFonts w:ascii="宋体" w:hAnsi="宋体"/>
          <w:color w:val="auto"/>
          <w:szCs w:val="21"/>
          <w:u w:val="single"/>
        </w:rPr>
        <w:t>2</w:t>
      </w:r>
      <w:r>
        <w:rPr>
          <w:rFonts w:ascii="宋体" w:hAnsi="宋体"/>
          <w:color w:val="auto"/>
          <w:szCs w:val="21"/>
        </w:rPr>
        <w:t>次整改后仍未达到甲方要求，甲方有权书面通知乙方解除服务合同，且无需支付合同解除后的合同后续费用。同时，乙方必须退还甲方已付出的所有服务费用，并赔偿由此给甲方造成的全部损失。</w:t>
      </w:r>
    </w:p>
    <w:p w14:paraId="1FCDCE92">
      <w:pPr>
        <w:snapToGrid w:val="0"/>
        <w:spacing w:line="360" w:lineRule="exact"/>
        <w:ind w:firstLine="420" w:firstLineChars="200"/>
        <w:rPr>
          <w:rFonts w:ascii="宋体" w:hAnsi="宋体"/>
          <w:color w:val="auto"/>
          <w:szCs w:val="21"/>
        </w:rPr>
      </w:pPr>
      <w:r>
        <w:rPr>
          <w:rFonts w:ascii="宋体" w:hAnsi="宋体"/>
          <w:color w:val="auto"/>
          <w:szCs w:val="21"/>
        </w:rPr>
        <w:t>2. 乙方未得到甲方同意，擅自更换项目负责人及服务团队成员时，甲方有权书面通知乙方解除服务合同，且无需支付合同解除后的合同后续费用。同时，乙方必须退还甲方已付出的所有服务费用，并赔偿由此给甲方造成的全部损失。</w:t>
      </w:r>
    </w:p>
    <w:p w14:paraId="357A712D">
      <w:pPr>
        <w:snapToGrid w:val="0"/>
        <w:spacing w:line="360" w:lineRule="exact"/>
        <w:ind w:firstLine="420" w:firstLineChars="200"/>
        <w:rPr>
          <w:rFonts w:ascii="宋体" w:hAnsi="宋体"/>
          <w:color w:val="auto"/>
          <w:szCs w:val="21"/>
        </w:rPr>
      </w:pPr>
      <w:r>
        <w:rPr>
          <w:rFonts w:ascii="宋体" w:hAnsi="宋体"/>
          <w:color w:val="auto"/>
          <w:szCs w:val="21"/>
        </w:rPr>
        <w:t>3.乙方或乙方人员违反保密义务时，甲方有权书面通知乙方解除咨询合同，且无需支付合同解除后的合同后续费用。同时，乙方必须退还甲方已付出的所有咨询费用，并赔偿由此给甲方造成的全部损失。</w:t>
      </w:r>
    </w:p>
    <w:p w14:paraId="35549424">
      <w:pPr>
        <w:snapToGrid w:val="0"/>
        <w:spacing w:line="360" w:lineRule="exact"/>
        <w:ind w:firstLine="420" w:firstLineChars="200"/>
        <w:jc w:val="left"/>
        <w:rPr>
          <w:rFonts w:ascii="宋体" w:hAnsi="宋体"/>
          <w:color w:val="auto"/>
          <w:szCs w:val="21"/>
        </w:rPr>
      </w:pPr>
      <w:r>
        <w:rPr>
          <w:rFonts w:ascii="宋体" w:hAnsi="宋体"/>
          <w:color w:val="auto"/>
          <w:szCs w:val="21"/>
        </w:rPr>
        <w:t>4.乙方提供的交付成果或服务如侵犯了第三方合法权益而引发的任何纠纷或诉讼，均由乙方负责交涉并承担全部责任。</w:t>
      </w:r>
    </w:p>
    <w:p w14:paraId="08C4017F">
      <w:pPr>
        <w:snapToGrid w:val="0"/>
        <w:spacing w:line="360" w:lineRule="exact"/>
        <w:ind w:firstLine="420" w:firstLineChars="200"/>
        <w:rPr>
          <w:rFonts w:ascii="宋体" w:hAnsi="宋体"/>
          <w:color w:val="auto"/>
          <w:szCs w:val="21"/>
        </w:rPr>
      </w:pPr>
      <w:r>
        <w:rPr>
          <w:rFonts w:ascii="宋体" w:hAnsi="宋体"/>
          <w:color w:val="auto"/>
          <w:szCs w:val="21"/>
        </w:rPr>
        <w:t>5.甲方无故延期接收服务交付成果、乙方逾期交付的，每天向对方偿付违约交付成果或服务费用金额的3‰违约金，但违约金累计不得超过违约交付成果或服务费用金额的</w:t>
      </w:r>
      <w:r>
        <w:rPr>
          <w:rFonts w:ascii="宋体" w:hAnsi="宋体"/>
          <w:color w:val="auto"/>
          <w:szCs w:val="21"/>
          <w:u w:val="single"/>
        </w:rPr>
        <w:t>5%</w:t>
      </w:r>
      <w:r>
        <w:rPr>
          <w:rFonts w:ascii="宋体" w:hAnsi="宋体"/>
          <w:color w:val="auto"/>
          <w:szCs w:val="21"/>
        </w:rPr>
        <w:t>，超过</w:t>
      </w:r>
      <w:r>
        <w:rPr>
          <w:rFonts w:ascii="宋体" w:hAnsi="宋体"/>
          <w:color w:val="auto"/>
          <w:szCs w:val="21"/>
          <w:u w:val="single"/>
        </w:rPr>
        <w:t xml:space="preserve"> 30 </w:t>
      </w:r>
      <w:r>
        <w:rPr>
          <w:rFonts w:ascii="宋体" w:hAnsi="宋体"/>
          <w:color w:val="auto"/>
          <w:szCs w:val="21"/>
        </w:rPr>
        <w:t>天对方有权解除合同，违约方承担因此给对方造成经济损失；甲方延期付交付成果或服务费用金额的，每天向乙方偿付延期交付成果或服务费用金额的</w:t>
      </w:r>
      <w:r>
        <w:rPr>
          <w:rFonts w:ascii="宋体" w:hAnsi="宋体"/>
          <w:color w:val="auto"/>
          <w:szCs w:val="21"/>
          <w:u w:val="single"/>
        </w:rPr>
        <w:t xml:space="preserve">3‰ </w:t>
      </w:r>
      <w:r>
        <w:rPr>
          <w:rFonts w:ascii="宋体" w:hAnsi="宋体"/>
          <w:color w:val="auto"/>
          <w:szCs w:val="21"/>
        </w:rPr>
        <w:t>作为滞纳金，但滞纳金累计不得超过延期交付成果或服务费用金额的</w:t>
      </w:r>
      <w:r>
        <w:rPr>
          <w:rFonts w:ascii="宋体" w:hAnsi="宋体"/>
          <w:color w:val="auto"/>
          <w:szCs w:val="21"/>
          <w:u w:val="single"/>
        </w:rPr>
        <w:t>5%</w:t>
      </w:r>
      <w:r>
        <w:rPr>
          <w:rFonts w:ascii="宋体" w:hAnsi="宋体"/>
          <w:color w:val="auto"/>
          <w:szCs w:val="21"/>
        </w:rPr>
        <w:t>。</w:t>
      </w:r>
    </w:p>
    <w:p w14:paraId="627A2580">
      <w:pPr>
        <w:snapToGrid w:val="0"/>
        <w:spacing w:line="360" w:lineRule="exact"/>
        <w:ind w:firstLine="420" w:firstLineChars="200"/>
        <w:rPr>
          <w:rFonts w:ascii="宋体" w:hAnsi="宋体"/>
          <w:color w:val="auto"/>
          <w:szCs w:val="21"/>
        </w:rPr>
      </w:pPr>
      <w:r>
        <w:rPr>
          <w:rFonts w:ascii="宋体" w:hAnsi="宋体"/>
          <w:color w:val="auto"/>
          <w:szCs w:val="21"/>
        </w:rPr>
        <w:t>6.乙方提供的服务成果在服务期内，因质量原因造成的问题，由乙方负责，费用由乙方另行支付。</w:t>
      </w:r>
    </w:p>
    <w:p w14:paraId="02FD7A78">
      <w:pPr>
        <w:snapToGrid w:val="0"/>
        <w:spacing w:line="360" w:lineRule="exact"/>
        <w:ind w:firstLine="420" w:firstLineChars="200"/>
        <w:rPr>
          <w:rFonts w:ascii="宋体" w:hAnsi="宋体"/>
          <w:color w:val="auto"/>
          <w:szCs w:val="21"/>
        </w:rPr>
      </w:pPr>
      <w:r>
        <w:rPr>
          <w:rFonts w:ascii="宋体" w:hAnsi="宋体"/>
          <w:color w:val="auto"/>
          <w:szCs w:val="21"/>
        </w:rPr>
        <w:t>7.其它违约行为按违约服务成果费用金额5%收取违约金并赔偿经济损失。</w:t>
      </w:r>
    </w:p>
    <w:p w14:paraId="514FEE56">
      <w:pPr>
        <w:snapToGrid w:val="0"/>
        <w:spacing w:line="300" w:lineRule="exact"/>
        <w:ind w:firstLine="422" w:firstLineChars="200"/>
        <w:rPr>
          <w:rFonts w:ascii="宋体" w:hAnsi="宋体"/>
          <w:b/>
          <w:color w:val="auto"/>
        </w:rPr>
      </w:pPr>
      <w:r>
        <w:rPr>
          <w:rFonts w:ascii="宋体" w:hAnsi="宋体"/>
          <w:b/>
          <w:color w:val="auto"/>
        </w:rPr>
        <w:t>第十一条 不可抗力事件处理</w:t>
      </w:r>
    </w:p>
    <w:p w14:paraId="0277418C">
      <w:pPr>
        <w:snapToGrid w:val="0"/>
        <w:spacing w:line="360" w:lineRule="exact"/>
        <w:ind w:firstLine="420" w:firstLineChars="200"/>
        <w:rPr>
          <w:rFonts w:ascii="宋体" w:hAnsi="宋体"/>
          <w:color w:val="auto"/>
          <w:szCs w:val="21"/>
        </w:rPr>
      </w:pPr>
      <w:r>
        <w:rPr>
          <w:rFonts w:ascii="宋体" w:hAnsi="宋体"/>
          <w:color w:val="auto"/>
          <w:szCs w:val="21"/>
        </w:rPr>
        <w:t>1. 在合同有效期内，任何一方因不可抗力事件导致不能履行合同，则合同履行期可延长，其延长期与不可抗力影响期相同。</w:t>
      </w:r>
    </w:p>
    <w:p w14:paraId="341A5C58">
      <w:pPr>
        <w:snapToGrid w:val="0"/>
        <w:spacing w:line="360" w:lineRule="exact"/>
        <w:ind w:firstLine="420" w:firstLineChars="200"/>
        <w:rPr>
          <w:rFonts w:ascii="宋体" w:hAnsi="宋体"/>
          <w:color w:val="auto"/>
          <w:szCs w:val="21"/>
        </w:rPr>
      </w:pPr>
      <w:r>
        <w:rPr>
          <w:rFonts w:ascii="宋体" w:hAnsi="宋体"/>
          <w:color w:val="auto"/>
          <w:szCs w:val="21"/>
        </w:rPr>
        <w:t>2. 不可抗力事件发生后，应立即通知对方，并寄送有关权威机构出具的证明。</w:t>
      </w:r>
    </w:p>
    <w:p w14:paraId="7255768F">
      <w:pPr>
        <w:snapToGrid w:val="0"/>
        <w:spacing w:line="360" w:lineRule="exact"/>
        <w:ind w:firstLine="420" w:firstLineChars="200"/>
        <w:rPr>
          <w:rFonts w:ascii="宋体" w:hAnsi="宋体"/>
          <w:color w:val="auto"/>
          <w:szCs w:val="21"/>
        </w:rPr>
      </w:pPr>
      <w:r>
        <w:rPr>
          <w:rFonts w:ascii="宋体" w:hAnsi="宋体"/>
          <w:color w:val="auto"/>
          <w:szCs w:val="21"/>
        </w:rPr>
        <w:t>3. 不可抗力事件延续一百二十天以上，双方应通过友好协商，确定是否继续履行合同。</w:t>
      </w:r>
    </w:p>
    <w:p w14:paraId="53B22D94">
      <w:pPr>
        <w:snapToGrid w:val="0"/>
        <w:spacing w:line="360" w:lineRule="exact"/>
        <w:ind w:firstLine="422" w:firstLineChars="200"/>
        <w:rPr>
          <w:rFonts w:ascii="宋体" w:hAnsi="宋体"/>
          <w:color w:val="auto"/>
          <w:szCs w:val="21"/>
        </w:rPr>
      </w:pPr>
      <w:r>
        <w:rPr>
          <w:rFonts w:ascii="宋体" w:hAnsi="宋体"/>
          <w:b/>
          <w:color w:val="auto"/>
          <w:szCs w:val="21"/>
        </w:rPr>
        <w:t>第十二条  合同争议解决</w:t>
      </w:r>
    </w:p>
    <w:p w14:paraId="758B7AAD">
      <w:pPr>
        <w:snapToGrid w:val="0"/>
        <w:spacing w:line="360" w:lineRule="exact"/>
        <w:ind w:firstLine="420" w:firstLineChars="200"/>
        <w:rPr>
          <w:rFonts w:ascii="宋体" w:hAnsi="宋体"/>
          <w:color w:val="auto"/>
          <w:szCs w:val="21"/>
        </w:rPr>
      </w:pPr>
      <w:r>
        <w:rPr>
          <w:rFonts w:ascii="宋体" w:hAnsi="宋体"/>
          <w:color w:val="auto"/>
          <w:szCs w:val="21"/>
        </w:rPr>
        <w:t>1 因交付成果或服务质量问题发生争议的，应邀请国家认定的质量检测机构按照国家标准对交付成果或服务质量进行验收。交付成果或服务符合国家标准的，鉴定费由甲方承担；交付成果或服务不符合国家标准的，鉴定费由乙方承担。</w:t>
      </w:r>
    </w:p>
    <w:p w14:paraId="02EE3EFB">
      <w:pPr>
        <w:snapToGrid w:val="0"/>
        <w:spacing w:line="360" w:lineRule="exact"/>
        <w:ind w:firstLine="420" w:firstLineChars="200"/>
        <w:rPr>
          <w:rFonts w:ascii="宋体" w:hAnsi="宋体"/>
          <w:color w:val="auto"/>
          <w:szCs w:val="21"/>
        </w:rPr>
      </w:pPr>
      <w:r>
        <w:rPr>
          <w:rFonts w:ascii="宋体" w:hAnsi="宋体"/>
          <w:color w:val="auto"/>
          <w:szCs w:val="21"/>
        </w:rPr>
        <w:t>2 因履行本合同引起的或与本合同有关的争议，甲乙双方应首先通过友好协商解决，如果协商不能解决，可向甲方所在地人民法院提起诉讼。</w:t>
      </w:r>
    </w:p>
    <w:p w14:paraId="08F2C7AD">
      <w:pPr>
        <w:snapToGrid w:val="0"/>
        <w:spacing w:line="360" w:lineRule="exact"/>
        <w:ind w:firstLine="420" w:firstLineChars="200"/>
        <w:rPr>
          <w:rFonts w:ascii="宋体" w:hAnsi="宋体"/>
          <w:color w:val="auto"/>
          <w:szCs w:val="21"/>
        </w:rPr>
      </w:pPr>
      <w:r>
        <w:rPr>
          <w:rFonts w:ascii="宋体" w:hAnsi="宋体"/>
          <w:color w:val="auto"/>
          <w:szCs w:val="21"/>
        </w:rPr>
        <w:t>3 诉讼期间，本合同继续履行。</w:t>
      </w:r>
    </w:p>
    <w:p w14:paraId="64E2FCEF">
      <w:pPr>
        <w:snapToGrid w:val="0"/>
        <w:spacing w:before="120" w:after="120" w:line="360" w:lineRule="exact"/>
        <w:ind w:firstLine="422" w:firstLineChars="200"/>
        <w:rPr>
          <w:rFonts w:ascii="宋体" w:hAnsi="宋体"/>
          <w:b/>
          <w:color w:val="auto"/>
          <w:szCs w:val="21"/>
        </w:rPr>
      </w:pPr>
      <w:r>
        <w:rPr>
          <w:rFonts w:ascii="宋体" w:hAnsi="宋体"/>
          <w:b/>
          <w:color w:val="auto"/>
          <w:szCs w:val="21"/>
        </w:rPr>
        <w:t>第十三条 合同生效及其它</w:t>
      </w:r>
    </w:p>
    <w:p w14:paraId="730E396C">
      <w:pPr>
        <w:snapToGrid w:val="0"/>
        <w:spacing w:line="300" w:lineRule="exact"/>
        <w:ind w:firstLine="420" w:firstLineChars="200"/>
        <w:rPr>
          <w:rFonts w:ascii="宋体" w:hAnsi="宋体"/>
          <w:color w:val="auto"/>
          <w:szCs w:val="21"/>
        </w:rPr>
      </w:pPr>
      <w:bookmarkStart w:id="82" w:name="_Hlk19199032"/>
      <w:r>
        <w:rPr>
          <w:rFonts w:ascii="宋体" w:hAnsi="宋体"/>
          <w:color w:val="auto"/>
          <w:szCs w:val="21"/>
        </w:rPr>
        <w:t>1．本合同履行期限为：</w:t>
      </w:r>
      <w:r>
        <w:rPr>
          <w:rFonts w:ascii="宋体" w:hAnsi="宋体"/>
          <w:color w:val="auto"/>
          <w:szCs w:val="21"/>
          <w:u w:val="single"/>
        </w:rPr>
        <w:t xml:space="preserve">         </w:t>
      </w:r>
      <w:r>
        <w:rPr>
          <w:rFonts w:ascii="宋体" w:hAnsi="宋体"/>
          <w:color w:val="auto"/>
          <w:szCs w:val="21"/>
        </w:rPr>
        <w:t>；合同履行地点为：</w:t>
      </w:r>
      <w:r>
        <w:rPr>
          <w:rFonts w:ascii="宋体" w:hAnsi="宋体"/>
          <w:color w:val="auto"/>
          <w:szCs w:val="21"/>
          <w:u w:val="single"/>
        </w:rPr>
        <w:t xml:space="preserve">                    </w:t>
      </w:r>
      <w:r>
        <w:rPr>
          <w:rFonts w:ascii="宋体" w:hAnsi="宋体"/>
          <w:color w:val="auto"/>
          <w:szCs w:val="21"/>
        </w:rPr>
        <w:t>；合同履行的方式：</w:t>
      </w:r>
      <w:r>
        <w:rPr>
          <w:rFonts w:ascii="宋体" w:hAnsi="宋体"/>
          <w:color w:val="auto"/>
          <w:szCs w:val="21"/>
          <w:u w:val="single"/>
        </w:rPr>
        <w:t xml:space="preserve"> 按照本合同约定  </w:t>
      </w:r>
      <w:r>
        <w:rPr>
          <w:rFonts w:ascii="宋体" w:hAnsi="宋体"/>
          <w:color w:val="auto"/>
          <w:szCs w:val="21"/>
        </w:rPr>
        <w:t>。</w:t>
      </w:r>
    </w:p>
    <w:bookmarkEnd w:id="82"/>
    <w:p w14:paraId="03BDE8A3">
      <w:pPr>
        <w:snapToGrid w:val="0"/>
        <w:spacing w:line="360" w:lineRule="exact"/>
        <w:ind w:firstLine="420" w:firstLineChars="200"/>
        <w:rPr>
          <w:rFonts w:ascii="宋体" w:hAnsi="宋体"/>
          <w:color w:val="auto"/>
          <w:szCs w:val="21"/>
        </w:rPr>
      </w:pPr>
      <w:r>
        <w:rPr>
          <w:rFonts w:ascii="宋体" w:hAnsi="宋体"/>
          <w:color w:val="auto"/>
          <w:szCs w:val="21"/>
        </w:rPr>
        <w:t>2．合同经双方法定代表人或授权代表签字并加盖单位公章后生效。</w:t>
      </w:r>
    </w:p>
    <w:p w14:paraId="27926732">
      <w:pPr>
        <w:snapToGrid w:val="0"/>
        <w:spacing w:line="360" w:lineRule="exact"/>
        <w:ind w:firstLine="420" w:firstLineChars="200"/>
        <w:rPr>
          <w:rFonts w:ascii="宋体" w:hAnsi="宋体"/>
          <w:color w:val="auto"/>
          <w:szCs w:val="21"/>
        </w:rPr>
      </w:pPr>
      <w:r>
        <w:rPr>
          <w:rFonts w:ascii="宋体" w:hAnsi="宋体"/>
          <w:color w:val="auto"/>
          <w:szCs w:val="21"/>
        </w:rPr>
        <w:t>3．合同执行中涉及采购资金和采购内容修改或补充的，须经财政部门审批，并签书面补充协议报财政部门备案，方可作为主合同不可分割的一部分。</w:t>
      </w:r>
    </w:p>
    <w:p w14:paraId="368DA28F">
      <w:pPr>
        <w:snapToGrid w:val="0"/>
        <w:spacing w:line="360" w:lineRule="exact"/>
        <w:ind w:firstLine="420" w:firstLineChars="200"/>
        <w:rPr>
          <w:rFonts w:ascii="宋体" w:hAnsi="宋体"/>
          <w:strike/>
          <w:color w:val="auto"/>
          <w:szCs w:val="21"/>
        </w:rPr>
      </w:pPr>
      <w:r>
        <w:rPr>
          <w:rFonts w:ascii="宋体" w:hAnsi="宋体"/>
          <w:color w:val="auto"/>
          <w:szCs w:val="21"/>
        </w:rPr>
        <w:t>4．本合同未尽事宜，双方协商后签订补充协议。</w:t>
      </w:r>
    </w:p>
    <w:p w14:paraId="72A22708">
      <w:pPr>
        <w:snapToGrid w:val="0"/>
        <w:spacing w:line="360" w:lineRule="exact"/>
        <w:ind w:firstLine="422" w:firstLineChars="200"/>
        <w:rPr>
          <w:rFonts w:ascii="宋体" w:hAnsi="宋体"/>
          <w:b/>
          <w:color w:val="auto"/>
          <w:szCs w:val="21"/>
        </w:rPr>
      </w:pPr>
      <w:r>
        <w:rPr>
          <w:rFonts w:ascii="宋体" w:hAnsi="宋体"/>
          <w:b/>
          <w:color w:val="auto"/>
          <w:szCs w:val="21"/>
        </w:rPr>
        <w:t>第十四条　合同的变更、终止与转让</w:t>
      </w:r>
    </w:p>
    <w:p w14:paraId="51C04B00">
      <w:pPr>
        <w:snapToGrid w:val="0"/>
        <w:spacing w:line="360" w:lineRule="exact"/>
        <w:ind w:firstLine="420" w:firstLineChars="200"/>
        <w:rPr>
          <w:rFonts w:ascii="宋体" w:hAnsi="宋体"/>
          <w:color w:val="auto"/>
          <w:szCs w:val="21"/>
        </w:rPr>
      </w:pPr>
      <w:r>
        <w:rPr>
          <w:rFonts w:ascii="宋体" w:hAnsi="宋体"/>
          <w:color w:val="auto"/>
          <w:szCs w:val="21"/>
        </w:rPr>
        <w:t>1.除《中华人民共和国政府采购法》第五十条规定的情形外，本合同一经签订，甲乙双方不得擅自变更、中止或终止。</w:t>
      </w:r>
    </w:p>
    <w:p w14:paraId="590A2AD2">
      <w:pPr>
        <w:snapToGrid w:val="0"/>
        <w:spacing w:line="360" w:lineRule="exact"/>
        <w:ind w:firstLine="420" w:firstLineChars="200"/>
        <w:rPr>
          <w:rFonts w:ascii="宋体" w:hAnsi="宋体"/>
          <w:color w:val="auto"/>
          <w:szCs w:val="21"/>
        </w:rPr>
      </w:pPr>
      <w:r>
        <w:rPr>
          <w:rFonts w:ascii="宋体" w:hAnsi="宋体"/>
          <w:color w:val="auto"/>
          <w:szCs w:val="21"/>
        </w:rPr>
        <w:t>2.未经甲方书面同意，乙方不得擅自转让（无进口资格的乙方委托进口货物除外）其应履行的合同义务。</w:t>
      </w:r>
    </w:p>
    <w:p w14:paraId="7619A2BC">
      <w:pPr>
        <w:snapToGrid w:val="0"/>
        <w:spacing w:line="360" w:lineRule="exact"/>
        <w:ind w:firstLine="422" w:firstLineChars="200"/>
        <w:rPr>
          <w:rFonts w:ascii="宋体" w:hAnsi="宋体"/>
          <w:b/>
          <w:color w:val="auto"/>
          <w:szCs w:val="21"/>
        </w:rPr>
      </w:pPr>
      <w:r>
        <w:rPr>
          <w:rFonts w:ascii="宋体" w:hAnsi="宋体"/>
          <w:b/>
          <w:color w:val="auto"/>
          <w:szCs w:val="21"/>
        </w:rPr>
        <w:t>第十五条　合同文件的组成</w:t>
      </w:r>
    </w:p>
    <w:p w14:paraId="50850E71">
      <w:pPr>
        <w:snapToGrid w:val="0"/>
        <w:spacing w:line="360" w:lineRule="exact"/>
        <w:ind w:firstLine="420" w:firstLineChars="200"/>
        <w:rPr>
          <w:rFonts w:ascii="宋体" w:hAnsi="宋体"/>
          <w:color w:val="auto"/>
          <w:szCs w:val="21"/>
        </w:rPr>
      </w:pPr>
      <w:r>
        <w:rPr>
          <w:rFonts w:ascii="宋体" w:hAnsi="宋体"/>
          <w:color w:val="auto"/>
          <w:szCs w:val="21"/>
        </w:rPr>
        <w:t>1.</w:t>
      </w:r>
      <w:r>
        <w:rPr>
          <w:rFonts w:ascii="宋体" w:hAnsi="宋体"/>
          <w:color w:val="auto"/>
          <w:kern w:val="0"/>
        </w:rPr>
        <w:t>政府采购合同；</w:t>
      </w:r>
    </w:p>
    <w:p w14:paraId="1B87E08A">
      <w:pPr>
        <w:snapToGrid w:val="0"/>
        <w:spacing w:line="3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成交</w:t>
      </w:r>
      <w:r>
        <w:rPr>
          <w:rFonts w:ascii="宋体" w:hAnsi="宋体"/>
          <w:color w:val="auto"/>
          <w:szCs w:val="21"/>
        </w:rPr>
        <w:t>通知书（如有）；</w:t>
      </w:r>
    </w:p>
    <w:p w14:paraId="46BDDFA8">
      <w:pPr>
        <w:snapToGrid w:val="0"/>
        <w:spacing w:line="360" w:lineRule="exact"/>
        <w:ind w:firstLine="420" w:firstLineChars="200"/>
        <w:rPr>
          <w:rFonts w:ascii="宋体" w:hAnsi="宋体"/>
          <w:color w:val="auto"/>
          <w:szCs w:val="21"/>
        </w:rPr>
      </w:pPr>
      <w:r>
        <w:rPr>
          <w:rFonts w:ascii="宋体" w:hAnsi="宋体"/>
          <w:color w:val="auto"/>
          <w:szCs w:val="21"/>
        </w:rPr>
        <w:t>3.乙方的</w:t>
      </w:r>
      <w:r>
        <w:rPr>
          <w:rFonts w:hint="eastAsia" w:ascii="宋体" w:hAnsi="宋体"/>
          <w:color w:val="auto"/>
          <w:szCs w:val="21"/>
        </w:rPr>
        <w:t>响应</w:t>
      </w:r>
      <w:r>
        <w:rPr>
          <w:rFonts w:ascii="宋体" w:hAnsi="宋体"/>
          <w:color w:val="auto"/>
          <w:szCs w:val="21"/>
        </w:rPr>
        <w:t>文件；</w:t>
      </w:r>
    </w:p>
    <w:p w14:paraId="7D39FB7B">
      <w:pPr>
        <w:snapToGrid w:val="0"/>
        <w:spacing w:line="360" w:lineRule="exact"/>
        <w:ind w:firstLine="420" w:firstLineChars="200"/>
        <w:rPr>
          <w:rFonts w:ascii="宋体" w:hAnsi="宋体"/>
          <w:color w:val="auto"/>
          <w:szCs w:val="21"/>
        </w:rPr>
      </w:pPr>
      <w:r>
        <w:rPr>
          <w:rFonts w:ascii="宋体" w:hAnsi="宋体"/>
          <w:color w:val="auto"/>
          <w:szCs w:val="21"/>
        </w:rPr>
        <w:t>4.采购文件；</w:t>
      </w:r>
    </w:p>
    <w:p w14:paraId="34719A84">
      <w:pPr>
        <w:snapToGrid w:val="0"/>
        <w:spacing w:line="300" w:lineRule="exact"/>
        <w:ind w:firstLine="420" w:firstLineChars="200"/>
        <w:rPr>
          <w:rFonts w:ascii="宋体" w:hAnsi="宋体"/>
          <w:color w:val="auto"/>
          <w:szCs w:val="21"/>
          <w:u w:val="single"/>
        </w:rPr>
      </w:pPr>
      <w:r>
        <w:rPr>
          <w:rFonts w:ascii="宋体" w:hAnsi="宋体"/>
          <w:color w:val="auto"/>
        </w:rPr>
        <w:t>5.其他合同文件。</w:t>
      </w:r>
    </w:p>
    <w:p w14:paraId="0541851C">
      <w:pPr>
        <w:snapToGrid w:val="0"/>
        <w:spacing w:line="360" w:lineRule="exact"/>
        <w:ind w:firstLine="422" w:firstLineChars="200"/>
        <w:rPr>
          <w:rFonts w:ascii="宋体" w:hAnsi="宋体"/>
          <w:color w:val="auto"/>
          <w:szCs w:val="21"/>
        </w:rPr>
      </w:pPr>
      <w:r>
        <w:rPr>
          <w:rFonts w:ascii="宋体" w:hAnsi="宋体"/>
          <w:b/>
          <w:color w:val="auto"/>
          <w:szCs w:val="21"/>
        </w:rPr>
        <w:t>第十六条　</w:t>
      </w:r>
      <w:r>
        <w:rPr>
          <w:rFonts w:ascii="宋体" w:hAnsi="宋体"/>
          <w:color w:val="auto"/>
          <w:szCs w:val="21"/>
        </w:rPr>
        <w:t>本合同一式五份，具有同等法律效力。甲、乙双方各执两份，</w:t>
      </w:r>
      <w:r>
        <w:rPr>
          <w:rFonts w:ascii="宋体" w:hAnsi="宋体"/>
          <w:color w:val="auto"/>
          <w:spacing w:val="4"/>
          <w:szCs w:val="21"/>
        </w:rPr>
        <w:t>采购代理机构</w:t>
      </w:r>
      <w:r>
        <w:rPr>
          <w:rFonts w:ascii="宋体" w:hAnsi="宋体"/>
          <w:color w:val="auto"/>
          <w:szCs w:val="21"/>
        </w:rPr>
        <w:t>各一份。</w:t>
      </w:r>
    </w:p>
    <w:p w14:paraId="3D9C3DC4">
      <w:pPr>
        <w:snapToGrid w:val="0"/>
        <w:spacing w:line="360" w:lineRule="exact"/>
        <w:ind w:firstLine="420" w:firstLineChars="200"/>
        <w:rPr>
          <w:rFonts w:ascii="宋体" w:hAnsi="宋体"/>
          <w:color w:val="auto"/>
          <w:szCs w:val="21"/>
        </w:rPr>
      </w:pPr>
      <w:r>
        <w:rPr>
          <w:rFonts w:ascii="宋体" w:hAnsi="宋体"/>
          <w:color w:val="auto"/>
          <w:szCs w:val="21"/>
        </w:rPr>
        <w:t>本合同经甲乙双方法定代表人或被授权代表签字并加盖单位公章后生效。</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47E6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4437" w:type="dxa"/>
            <w:vAlign w:val="center"/>
          </w:tcPr>
          <w:p w14:paraId="2DFA63B1">
            <w:pPr>
              <w:snapToGrid w:val="0"/>
              <w:spacing w:line="360" w:lineRule="exact"/>
              <w:rPr>
                <w:rFonts w:ascii="宋体" w:hAnsi="宋体"/>
                <w:color w:val="auto"/>
                <w:szCs w:val="21"/>
              </w:rPr>
            </w:pPr>
            <w:r>
              <w:rPr>
                <w:rFonts w:ascii="宋体" w:hAnsi="宋体"/>
                <w:color w:val="auto"/>
                <w:szCs w:val="21"/>
              </w:rPr>
              <w:t xml:space="preserve">甲方（章）           </w:t>
            </w:r>
          </w:p>
          <w:p w14:paraId="79CF4ED2">
            <w:pPr>
              <w:snapToGrid w:val="0"/>
              <w:spacing w:line="360" w:lineRule="exact"/>
              <w:ind w:firstLine="945" w:firstLineChars="450"/>
              <w:jc w:val="right"/>
              <w:rPr>
                <w:rFonts w:ascii="宋体" w:hAnsi="宋体"/>
                <w:color w:val="auto"/>
                <w:szCs w:val="21"/>
              </w:rPr>
            </w:pPr>
          </w:p>
        </w:tc>
        <w:tc>
          <w:tcPr>
            <w:tcW w:w="4688" w:type="dxa"/>
            <w:vAlign w:val="center"/>
          </w:tcPr>
          <w:p w14:paraId="210FC01B">
            <w:pPr>
              <w:snapToGrid w:val="0"/>
              <w:spacing w:line="360" w:lineRule="exact"/>
              <w:rPr>
                <w:rFonts w:ascii="宋体" w:hAnsi="宋体"/>
                <w:color w:val="auto"/>
                <w:szCs w:val="21"/>
              </w:rPr>
            </w:pPr>
            <w:r>
              <w:rPr>
                <w:rFonts w:ascii="宋体" w:hAnsi="宋体"/>
                <w:color w:val="auto"/>
                <w:szCs w:val="21"/>
              </w:rPr>
              <w:t xml:space="preserve">乙方（章）              </w:t>
            </w:r>
          </w:p>
          <w:p w14:paraId="7449A259">
            <w:pPr>
              <w:snapToGrid w:val="0"/>
              <w:spacing w:line="360" w:lineRule="exact"/>
              <w:jc w:val="right"/>
              <w:rPr>
                <w:rFonts w:ascii="宋体" w:hAnsi="宋体"/>
                <w:color w:val="auto"/>
                <w:szCs w:val="21"/>
              </w:rPr>
            </w:pPr>
          </w:p>
        </w:tc>
      </w:tr>
      <w:tr w14:paraId="02C2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vAlign w:val="center"/>
          </w:tcPr>
          <w:p w14:paraId="63B2F72B">
            <w:pPr>
              <w:snapToGrid w:val="0"/>
              <w:spacing w:line="360" w:lineRule="exact"/>
              <w:rPr>
                <w:rFonts w:ascii="宋体" w:hAnsi="宋体"/>
                <w:color w:val="auto"/>
                <w:szCs w:val="21"/>
              </w:rPr>
            </w:pPr>
            <w:r>
              <w:rPr>
                <w:rFonts w:ascii="宋体" w:hAnsi="宋体"/>
                <w:color w:val="auto"/>
                <w:szCs w:val="21"/>
              </w:rPr>
              <w:t>单位地址：</w:t>
            </w:r>
          </w:p>
        </w:tc>
        <w:tc>
          <w:tcPr>
            <w:tcW w:w="4688" w:type="dxa"/>
            <w:vAlign w:val="center"/>
          </w:tcPr>
          <w:p w14:paraId="63C11EA9">
            <w:pPr>
              <w:snapToGrid w:val="0"/>
              <w:spacing w:line="360" w:lineRule="exact"/>
              <w:rPr>
                <w:rFonts w:ascii="宋体" w:hAnsi="宋体"/>
                <w:color w:val="auto"/>
                <w:szCs w:val="21"/>
              </w:rPr>
            </w:pPr>
            <w:r>
              <w:rPr>
                <w:rFonts w:ascii="宋体" w:hAnsi="宋体"/>
                <w:color w:val="auto"/>
                <w:szCs w:val="21"/>
              </w:rPr>
              <w:t>单位地址：</w:t>
            </w:r>
          </w:p>
        </w:tc>
      </w:tr>
      <w:tr w14:paraId="3133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vAlign w:val="center"/>
          </w:tcPr>
          <w:p w14:paraId="6D095834">
            <w:pPr>
              <w:snapToGrid w:val="0"/>
              <w:spacing w:line="360" w:lineRule="exact"/>
              <w:rPr>
                <w:rFonts w:ascii="宋体" w:hAnsi="宋体"/>
                <w:color w:val="auto"/>
                <w:szCs w:val="21"/>
              </w:rPr>
            </w:pPr>
            <w:r>
              <w:rPr>
                <w:rFonts w:ascii="宋体" w:hAnsi="宋体"/>
                <w:color w:val="auto"/>
                <w:szCs w:val="21"/>
              </w:rPr>
              <w:t>法定代表人：</w:t>
            </w:r>
          </w:p>
        </w:tc>
        <w:tc>
          <w:tcPr>
            <w:tcW w:w="4688" w:type="dxa"/>
            <w:vAlign w:val="center"/>
          </w:tcPr>
          <w:p w14:paraId="1A89BD67">
            <w:pPr>
              <w:snapToGrid w:val="0"/>
              <w:spacing w:line="360" w:lineRule="exact"/>
              <w:rPr>
                <w:rFonts w:ascii="宋体" w:hAnsi="宋体"/>
                <w:color w:val="auto"/>
                <w:szCs w:val="21"/>
              </w:rPr>
            </w:pPr>
            <w:r>
              <w:rPr>
                <w:rFonts w:ascii="宋体" w:hAnsi="宋体"/>
                <w:color w:val="auto"/>
                <w:szCs w:val="21"/>
              </w:rPr>
              <w:t>法定代表人：</w:t>
            </w:r>
          </w:p>
        </w:tc>
      </w:tr>
      <w:tr w14:paraId="640F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vAlign w:val="center"/>
          </w:tcPr>
          <w:p w14:paraId="2E7A7B53">
            <w:pPr>
              <w:snapToGrid w:val="0"/>
              <w:spacing w:line="360" w:lineRule="exact"/>
              <w:rPr>
                <w:rFonts w:ascii="宋体" w:hAnsi="宋体"/>
                <w:color w:val="auto"/>
                <w:szCs w:val="21"/>
              </w:rPr>
            </w:pPr>
            <w:r>
              <w:rPr>
                <w:rFonts w:ascii="宋体" w:hAnsi="宋体"/>
                <w:color w:val="auto"/>
                <w:szCs w:val="21"/>
              </w:rPr>
              <w:t>委托代理人：</w:t>
            </w:r>
          </w:p>
        </w:tc>
        <w:tc>
          <w:tcPr>
            <w:tcW w:w="4688" w:type="dxa"/>
            <w:vAlign w:val="center"/>
          </w:tcPr>
          <w:p w14:paraId="2BD9F818">
            <w:pPr>
              <w:snapToGrid w:val="0"/>
              <w:spacing w:line="360" w:lineRule="exact"/>
              <w:rPr>
                <w:rFonts w:ascii="宋体" w:hAnsi="宋体"/>
                <w:color w:val="auto"/>
                <w:szCs w:val="21"/>
              </w:rPr>
            </w:pPr>
            <w:r>
              <w:rPr>
                <w:rFonts w:ascii="宋体" w:hAnsi="宋体"/>
                <w:color w:val="auto"/>
                <w:szCs w:val="21"/>
              </w:rPr>
              <w:t>委托代理人</w:t>
            </w:r>
          </w:p>
        </w:tc>
      </w:tr>
      <w:tr w14:paraId="3FAC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vAlign w:val="center"/>
          </w:tcPr>
          <w:p w14:paraId="41019B9E">
            <w:pPr>
              <w:snapToGrid w:val="0"/>
              <w:spacing w:line="360" w:lineRule="exact"/>
              <w:rPr>
                <w:rFonts w:ascii="宋体" w:hAnsi="宋体"/>
                <w:color w:val="auto"/>
                <w:szCs w:val="21"/>
              </w:rPr>
            </w:pPr>
            <w:r>
              <w:rPr>
                <w:rFonts w:ascii="宋体" w:hAnsi="宋体"/>
                <w:color w:val="auto"/>
                <w:szCs w:val="21"/>
              </w:rPr>
              <w:t>电话：</w:t>
            </w:r>
          </w:p>
        </w:tc>
        <w:tc>
          <w:tcPr>
            <w:tcW w:w="4688" w:type="dxa"/>
            <w:vAlign w:val="center"/>
          </w:tcPr>
          <w:p w14:paraId="75BBC620">
            <w:pPr>
              <w:snapToGrid w:val="0"/>
              <w:spacing w:line="360" w:lineRule="exact"/>
              <w:rPr>
                <w:rFonts w:ascii="宋体" w:hAnsi="宋体"/>
                <w:color w:val="auto"/>
                <w:szCs w:val="21"/>
              </w:rPr>
            </w:pPr>
            <w:r>
              <w:rPr>
                <w:rFonts w:ascii="宋体" w:hAnsi="宋体"/>
                <w:color w:val="auto"/>
                <w:szCs w:val="21"/>
              </w:rPr>
              <w:t>电话：</w:t>
            </w:r>
          </w:p>
        </w:tc>
      </w:tr>
      <w:tr w14:paraId="4D32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vAlign w:val="center"/>
          </w:tcPr>
          <w:p w14:paraId="5EDADD59">
            <w:pPr>
              <w:snapToGrid w:val="0"/>
              <w:spacing w:line="360" w:lineRule="exact"/>
              <w:rPr>
                <w:rFonts w:ascii="宋体" w:hAnsi="宋体"/>
                <w:color w:val="auto"/>
                <w:szCs w:val="21"/>
              </w:rPr>
            </w:pPr>
            <w:r>
              <w:rPr>
                <w:rFonts w:ascii="宋体" w:hAnsi="宋体"/>
                <w:color w:val="auto"/>
                <w:szCs w:val="21"/>
              </w:rPr>
              <w:t>开户银行：</w:t>
            </w:r>
          </w:p>
        </w:tc>
        <w:tc>
          <w:tcPr>
            <w:tcW w:w="4688" w:type="dxa"/>
            <w:vAlign w:val="center"/>
          </w:tcPr>
          <w:p w14:paraId="0D6A9712">
            <w:pPr>
              <w:snapToGrid w:val="0"/>
              <w:spacing w:line="360" w:lineRule="exact"/>
              <w:rPr>
                <w:rFonts w:ascii="宋体" w:hAnsi="宋体"/>
                <w:color w:val="auto"/>
                <w:szCs w:val="21"/>
              </w:rPr>
            </w:pPr>
            <w:r>
              <w:rPr>
                <w:rFonts w:ascii="宋体" w:hAnsi="宋体"/>
                <w:color w:val="auto"/>
                <w:szCs w:val="21"/>
              </w:rPr>
              <w:t>开户银行：</w:t>
            </w:r>
          </w:p>
        </w:tc>
      </w:tr>
      <w:tr w14:paraId="1B31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vAlign w:val="center"/>
          </w:tcPr>
          <w:p w14:paraId="1D7636CC">
            <w:pPr>
              <w:snapToGrid w:val="0"/>
              <w:spacing w:line="360" w:lineRule="exact"/>
              <w:rPr>
                <w:rFonts w:ascii="宋体" w:hAnsi="宋体"/>
                <w:color w:val="auto"/>
                <w:szCs w:val="21"/>
              </w:rPr>
            </w:pPr>
            <w:r>
              <w:rPr>
                <w:rFonts w:ascii="宋体" w:hAnsi="宋体"/>
                <w:color w:val="auto"/>
                <w:szCs w:val="21"/>
              </w:rPr>
              <w:t>账号：</w:t>
            </w:r>
          </w:p>
        </w:tc>
        <w:tc>
          <w:tcPr>
            <w:tcW w:w="4688" w:type="dxa"/>
            <w:vAlign w:val="center"/>
          </w:tcPr>
          <w:p w14:paraId="5B20FA5D">
            <w:pPr>
              <w:snapToGrid w:val="0"/>
              <w:spacing w:line="360" w:lineRule="exact"/>
              <w:rPr>
                <w:rFonts w:ascii="宋体" w:hAnsi="宋体"/>
                <w:color w:val="auto"/>
                <w:szCs w:val="21"/>
              </w:rPr>
            </w:pPr>
            <w:r>
              <w:rPr>
                <w:rFonts w:ascii="宋体" w:hAnsi="宋体"/>
                <w:color w:val="auto"/>
                <w:szCs w:val="21"/>
              </w:rPr>
              <w:t>账号：</w:t>
            </w:r>
          </w:p>
        </w:tc>
      </w:tr>
    </w:tbl>
    <w:p w14:paraId="5934BA68">
      <w:pPr>
        <w:snapToGrid w:val="0"/>
        <w:spacing w:line="360" w:lineRule="exact"/>
        <w:ind w:firstLine="420" w:firstLineChars="200"/>
        <w:rPr>
          <w:rFonts w:ascii="宋体" w:hAnsi="宋体"/>
          <w:color w:val="auto"/>
          <w:szCs w:val="21"/>
        </w:rPr>
      </w:pPr>
    </w:p>
    <w:p w14:paraId="5B65D593">
      <w:pPr>
        <w:spacing w:before="120" w:line="320" w:lineRule="atLeast"/>
        <w:jc w:val="left"/>
        <w:outlineLvl w:val="1"/>
        <w:rPr>
          <w:rFonts w:ascii="宋体" w:hAnsi="宋体"/>
          <w:b/>
          <w:bCs/>
          <w:color w:val="auto"/>
          <w:kern w:val="0"/>
          <w:szCs w:val="21"/>
        </w:rPr>
      </w:pPr>
      <w:r>
        <w:rPr>
          <w:rFonts w:ascii="宋体" w:hAnsi="宋体"/>
          <w:color w:val="auto"/>
          <w:szCs w:val="21"/>
        </w:rPr>
        <w:br w:type="page"/>
      </w:r>
    </w:p>
    <w:p w14:paraId="42EEA435">
      <w:pPr>
        <w:snapToGrid w:val="0"/>
        <w:spacing w:line="360" w:lineRule="exact"/>
        <w:jc w:val="center"/>
        <w:rPr>
          <w:rFonts w:ascii="宋体" w:hAnsi="宋体"/>
          <w:b/>
          <w:bCs/>
          <w:color w:val="auto"/>
          <w:szCs w:val="21"/>
        </w:rPr>
      </w:pPr>
    </w:p>
    <w:p w14:paraId="1DDA4C5F">
      <w:pPr>
        <w:snapToGrid w:val="0"/>
        <w:spacing w:line="360" w:lineRule="exact"/>
        <w:jc w:val="center"/>
        <w:rPr>
          <w:rFonts w:ascii="宋体" w:hAnsi="宋体"/>
          <w:b/>
          <w:bCs/>
          <w:color w:val="auto"/>
          <w:szCs w:val="21"/>
        </w:rPr>
      </w:pPr>
      <w:r>
        <w:rPr>
          <w:rFonts w:ascii="宋体" w:hAnsi="宋体"/>
          <w:b/>
          <w:bCs/>
          <w:color w:val="auto"/>
          <w:szCs w:val="21"/>
        </w:rPr>
        <w:t>履约</w:t>
      </w:r>
      <w:r>
        <w:rPr>
          <w:rFonts w:hint="eastAsia" w:ascii="宋体" w:hAnsi="宋体"/>
          <w:b/>
          <w:bCs/>
          <w:color w:val="auto"/>
          <w:szCs w:val="21"/>
        </w:rPr>
        <w:t>验收方案</w:t>
      </w:r>
    </w:p>
    <w:p w14:paraId="675E556F">
      <w:pPr>
        <w:widowControl/>
        <w:jc w:val="left"/>
        <w:rPr>
          <w:rFonts w:ascii="宋体" w:hAnsi="宋体"/>
          <w:color w:val="auto"/>
          <w:szCs w:val="21"/>
        </w:rPr>
      </w:pPr>
    </w:p>
    <w:p w14:paraId="71A6754E">
      <w:pPr>
        <w:pStyle w:val="173"/>
        <w:ind w:firstLineChars="0"/>
        <w:rPr>
          <w:rFonts w:ascii="宋体" w:hAnsi="宋体" w:eastAsia="宋体"/>
          <w:color w:val="auto"/>
          <w:kern w:val="2"/>
          <w:sz w:val="21"/>
          <w:szCs w:val="21"/>
        </w:rPr>
      </w:pPr>
    </w:p>
    <w:p w14:paraId="2A3EE2E8">
      <w:pPr>
        <w:spacing w:before="120" w:line="320" w:lineRule="exact"/>
        <w:jc w:val="left"/>
        <w:rPr>
          <w:rFonts w:ascii="宋体" w:hAnsi="宋体" w:cs="宋体"/>
          <w:b/>
          <w:bCs/>
          <w:color w:val="auto"/>
          <w:szCs w:val="21"/>
        </w:rPr>
      </w:pPr>
      <w:r>
        <w:rPr>
          <w:rFonts w:hint="eastAsia" w:ascii="宋体" w:hAnsi="宋体" w:cs="宋体"/>
          <w:b/>
          <w:bCs/>
          <w:color w:val="auto"/>
          <w:szCs w:val="21"/>
        </w:rPr>
        <w:t>1.履约验收工作参加人员</w:t>
      </w:r>
    </w:p>
    <w:p w14:paraId="305F83F7">
      <w:pPr>
        <w:spacing w:before="120" w:line="320" w:lineRule="exact"/>
        <w:jc w:val="left"/>
        <w:rPr>
          <w:rFonts w:ascii="宋体" w:hAnsi="宋体" w:cs="宋体"/>
          <w:color w:val="auto"/>
          <w:szCs w:val="21"/>
        </w:rPr>
      </w:pPr>
      <w:r>
        <w:rPr>
          <w:rFonts w:hint="eastAsia" w:ascii="宋体" w:hAnsi="宋体" w:cs="宋体"/>
          <w:b/>
          <w:bCs/>
          <w:color w:val="auto"/>
          <w:szCs w:val="21"/>
        </w:rPr>
        <w:t>1.1履约验收主体单位</w:t>
      </w:r>
    </w:p>
    <w:p w14:paraId="3C94283D">
      <w:pPr>
        <w:spacing w:before="120" w:line="320" w:lineRule="exact"/>
        <w:ind w:firstLine="420" w:firstLineChars="200"/>
        <w:jc w:val="left"/>
        <w:rPr>
          <w:rFonts w:ascii="宋体" w:hAnsi="宋体" w:cs="宋体"/>
          <w:color w:val="auto"/>
          <w:szCs w:val="21"/>
          <w:u w:val="single"/>
        </w:rPr>
      </w:pPr>
      <w:r>
        <w:rPr>
          <w:rStyle w:val="58"/>
          <w:rFonts w:hint="eastAsia" w:ascii="宋体" w:hAnsi="宋体"/>
          <w:color w:val="auto"/>
          <w:u w:val="single"/>
        </w:rPr>
        <w:t>采购人</w:t>
      </w:r>
      <w:r>
        <w:rPr>
          <w:rStyle w:val="58"/>
          <w:rFonts w:hint="eastAsia" w:ascii="宋体" w:hAnsi="宋体"/>
          <w:color w:val="auto"/>
        </w:rPr>
        <w:t>（如委托第三方机构签订，应注明收费方式）</w:t>
      </w:r>
    </w:p>
    <w:p w14:paraId="08E691E4">
      <w:pPr>
        <w:spacing w:before="120" w:line="320" w:lineRule="exact"/>
        <w:jc w:val="left"/>
        <w:rPr>
          <w:rFonts w:ascii="宋体" w:hAnsi="宋体" w:cs="宋体"/>
          <w:color w:val="auto"/>
          <w:szCs w:val="21"/>
        </w:rPr>
      </w:pPr>
      <w:r>
        <w:rPr>
          <w:rFonts w:hint="eastAsia" w:ascii="宋体" w:hAnsi="宋体" w:cs="宋体"/>
          <w:b/>
          <w:bCs/>
          <w:color w:val="auto"/>
          <w:szCs w:val="21"/>
        </w:rPr>
        <w:t>1.2履约验收参加人员</w:t>
      </w:r>
    </w:p>
    <w:p w14:paraId="678982C0">
      <w:pPr>
        <w:spacing w:before="120" w:line="320" w:lineRule="exact"/>
        <w:ind w:firstLine="420" w:firstLineChars="200"/>
        <w:jc w:val="left"/>
        <w:rPr>
          <w:rFonts w:ascii="宋体" w:hAnsi="宋体" w:cs="宋体"/>
          <w:color w:val="auto"/>
          <w:szCs w:val="21"/>
          <w:u w:val="single"/>
        </w:rPr>
      </w:pPr>
      <w:r>
        <w:rPr>
          <w:rFonts w:hint="eastAsia" w:ascii="宋体" w:hAnsi="宋体"/>
          <w:color w:val="auto"/>
        </w:rPr>
        <w:t>采购人代表、委托机构代表、成交供应商代表及采购人邀请的其他人员</w:t>
      </w:r>
    </w:p>
    <w:p w14:paraId="1D21EF61">
      <w:pPr>
        <w:spacing w:before="120" w:line="320" w:lineRule="exact"/>
        <w:jc w:val="left"/>
        <w:rPr>
          <w:rFonts w:ascii="宋体" w:hAnsi="宋体" w:cs="宋体"/>
          <w:b/>
          <w:bCs/>
          <w:color w:val="auto"/>
          <w:szCs w:val="21"/>
        </w:rPr>
      </w:pPr>
      <w:r>
        <w:rPr>
          <w:rFonts w:hint="eastAsia" w:ascii="宋体" w:hAnsi="宋体" w:cs="宋体"/>
          <w:b/>
          <w:bCs/>
          <w:color w:val="auto"/>
          <w:szCs w:val="21"/>
        </w:rPr>
        <w:t>2.履约验收时间</w:t>
      </w:r>
    </w:p>
    <w:p w14:paraId="1C692560">
      <w:pPr>
        <w:spacing w:before="120" w:line="320" w:lineRule="exact"/>
        <w:jc w:val="left"/>
        <w:rPr>
          <w:rFonts w:ascii="宋体" w:hAnsi="宋体" w:cs="宋体"/>
          <w:color w:val="auto"/>
          <w:szCs w:val="21"/>
        </w:rPr>
      </w:pPr>
      <w:r>
        <w:rPr>
          <w:rFonts w:hint="eastAsia" w:ascii="宋体" w:hAnsi="宋体" w:cs="宋体"/>
          <w:color w:val="auto"/>
          <w:szCs w:val="21"/>
        </w:rPr>
        <w:t>20XX年XX月XX日</w:t>
      </w:r>
    </w:p>
    <w:p w14:paraId="0A912053">
      <w:pPr>
        <w:spacing w:before="120" w:line="320" w:lineRule="exact"/>
        <w:jc w:val="left"/>
        <w:rPr>
          <w:rFonts w:ascii="宋体" w:hAnsi="宋体" w:cs="宋体"/>
          <w:b/>
          <w:bCs/>
          <w:color w:val="auto"/>
          <w:szCs w:val="21"/>
        </w:rPr>
      </w:pPr>
      <w:r>
        <w:rPr>
          <w:rFonts w:hint="eastAsia" w:ascii="宋体" w:hAnsi="宋体" w:cs="宋体"/>
          <w:b/>
          <w:bCs/>
          <w:color w:val="auto"/>
          <w:szCs w:val="21"/>
        </w:rPr>
        <w:t>3.履约验收地点</w:t>
      </w:r>
    </w:p>
    <w:p w14:paraId="7D7008FB">
      <w:pPr>
        <w:spacing w:before="120" w:line="320" w:lineRule="exact"/>
        <w:jc w:val="left"/>
        <w:rPr>
          <w:rFonts w:ascii="宋体" w:hAnsi="宋体" w:cs="宋体"/>
          <w:color w:val="auto"/>
          <w:szCs w:val="21"/>
        </w:rPr>
      </w:pPr>
      <w:r>
        <w:rPr>
          <w:rFonts w:hint="eastAsia" w:ascii="宋体" w:hAnsi="宋体" w:cs="宋体"/>
          <w:color w:val="auto"/>
          <w:szCs w:val="21"/>
        </w:rPr>
        <w:t>XX市XX区XX路XX号</w:t>
      </w:r>
    </w:p>
    <w:p w14:paraId="7C2AA6D9">
      <w:pPr>
        <w:spacing w:before="120" w:line="320" w:lineRule="exact"/>
        <w:jc w:val="left"/>
        <w:rPr>
          <w:rFonts w:ascii="宋体" w:hAnsi="宋体" w:cs="宋体"/>
          <w:b/>
          <w:bCs/>
          <w:color w:val="auto"/>
          <w:szCs w:val="21"/>
        </w:rPr>
      </w:pPr>
      <w:r>
        <w:rPr>
          <w:rFonts w:hint="eastAsia" w:ascii="宋体" w:hAnsi="宋体" w:cs="宋体"/>
          <w:b/>
          <w:bCs/>
          <w:color w:val="auto"/>
          <w:szCs w:val="21"/>
        </w:rPr>
        <w:t>4.履约验收方式</w:t>
      </w:r>
    </w:p>
    <w:p w14:paraId="35393308">
      <w:pPr>
        <w:spacing w:before="120" w:line="320" w:lineRule="exact"/>
        <w:jc w:val="left"/>
        <w:rPr>
          <w:rFonts w:ascii="宋体" w:hAnsi="宋体" w:cs="宋体"/>
          <w:b/>
          <w:bCs/>
          <w:color w:val="auto"/>
          <w:szCs w:val="21"/>
          <w:u w:val="single"/>
        </w:rPr>
      </w:pPr>
      <w:r>
        <w:rPr>
          <w:rFonts w:hint="eastAsia" w:ascii="宋体" w:hAnsi="宋体" w:cs="宋体"/>
          <w:color w:val="auto"/>
          <w:szCs w:val="21"/>
          <w:u w:val="single"/>
        </w:rPr>
        <w:t>采购人自行验收</w:t>
      </w:r>
    </w:p>
    <w:p w14:paraId="75F5616A">
      <w:pPr>
        <w:spacing w:before="120" w:line="320" w:lineRule="exact"/>
        <w:jc w:val="left"/>
        <w:rPr>
          <w:rFonts w:ascii="宋体" w:hAnsi="宋体" w:cs="宋体"/>
          <w:b/>
          <w:bCs/>
          <w:color w:val="auto"/>
          <w:szCs w:val="21"/>
        </w:rPr>
      </w:pPr>
      <w:r>
        <w:rPr>
          <w:rFonts w:hint="eastAsia" w:ascii="宋体" w:hAnsi="宋体" w:cs="宋体"/>
          <w:b/>
          <w:bCs/>
          <w:color w:val="auto"/>
          <w:szCs w:val="21"/>
        </w:rPr>
        <w:t>5.履约验收程序</w:t>
      </w:r>
    </w:p>
    <w:p w14:paraId="688A2897">
      <w:pPr>
        <w:spacing w:before="120" w:line="320" w:lineRule="exact"/>
        <w:jc w:val="left"/>
        <w:rPr>
          <w:rFonts w:ascii="宋体" w:hAnsi="宋体" w:cs="宋体"/>
          <w:b/>
          <w:bCs/>
          <w:color w:val="auto"/>
          <w:szCs w:val="21"/>
        </w:rPr>
      </w:pPr>
      <w:r>
        <w:rPr>
          <w:rFonts w:hint="eastAsia" w:ascii="宋体" w:hAnsi="宋体" w:cs="宋体"/>
          <w:b/>
          <w:bCs/>
          <w:color w:val="auto"/>
          <w:szCs w:val="21"/>
        </w:rPr>
        <w:t>5.1成立验收小组</w:t>
      </w:r>
    </w:p>
    <w:p w14:paraId="250F050F">
      <w:pPr>
        <w:spacing w:before="120" w:line="320" w:lineRule="exact"/>
        <w:jc w:val="left"/>
        <w:rPr>
          <w:rFonts w:ascii="宋体" w:hAnsi="宋体" w:cs="宋体"/>
          <w:b/>
          <w:bCs/>
          <w:color w:val="auto"/>
          <w:szCs w:val="21"/>
        </w:rPr>
      </w:pPr>
      <w:r>
        <w:rPr>
          <w:rFonts w:hint="eastAsia" w:ascii="宋体" w:hAnsi="宋体" w:cs="宋体"/>
          <w:b/>
          <w:bCs/>
          <w:color w:val="auto"/>
          <w:szCs w:val="21"/>
        </w:rPr>
        <w:t>5</w:t>
      </w:r>
      <w:r>
        <w:rPr>
          <w:rFonts w:ascii="宋体" w:hAnsi="宋体" w:cs="宋体"/>
          <w:b/>
          <w:bCs/>
          <w:color w:val="auto"/>
          <w:szCs w:val="21"/>
        </w:rPr>
        <w:t>.2</w:t>
      </w:r>
      <w:r>
        <w:rPr>
          <w:rFonts w:hint="eastAsia" w:ascii="宋体" w:hAnsi="宋体" w:cs="宋体"/>
          <w:b/>
          <w:bCs/>
          <w:color w:val="auto"/>
          <w:szCs w:val="21"/>
        </w:rPr>
        <w:t>量化验收标准</w:t>
      </w:r>
    </w:p>
    <w:p w14:paraId="36D5BC0F">
      <w:pPr>
        <w:spacing w:before="120" w:line="320" w:lineRule="exact"/>
        <w:jc w:val="left"/>
        <w:rPr>
          <w:rFonts w:ascii="宋体" w:hAnsi="宋体" w:cs="宋体"/>
          <w:b/>
          <w:bCs/>
          <w:color w:val="auto"/>
          <w:szCs w:val="21"/>
        </w:rPr>
      </w:pPr>
      <w:r>
        <w:rPr>
          <w:rFonts w:hint="eastAsia" w:ascii="宋体" w:hAnsi="宋体" w:cs="宋体"/>
          <w:b/>
          <w:bCs/>
          <w:color w:val="auto"/>
          <w:szCs w:val="21"/>
        </w:rPr>
        <w:t>5.</w:t>
      </w:r>
      <w:r>
        <w:rPr>
          <w:rFonts w:ascii="宋体" w:hAnsi="宋体" w:cs="宋体"/>
          <w:b/>
          <w:bCs/>
          <w:color w:val="auto"/>
          <w:szCs w:val="21"/>
        </w:rPr>
        <w:t>3</w:t>
      </w:r>
      <w:r>
        <w:rPr>
          <w:rFonts w:hint="eastAsia" w:ascii="宋体" w:hAnsi="宋体" w:cs="宋体"/>
          <w:b/>
          <w:bCs/>
          <w:color w:val="auto"/>
          <w:szCs w:val="21"/>
        </w:rPr>
        <w:t>组织验收</w:t>
      </w:r>
    </w:p>
    <w:p w14:paraId="64481478">
      <w:pPr>
        <w:spacing w:before="120" w:line="320" w:lineRule="exact"/>
        <w:jc w:val="left"/>
        <w:rPr>
          <w:rFonts w:ascii="宋体" w:hAnsi="宋体" w:cs="宋体"/>
          <w:b/>
          <w:bCs/>
          <w:color w:val="auto"/>
          <w:szCs w:val="21"/>
        </w:rPr>
      </w:pPr>
      <w:r>
        <w:rPr>
          <w:rFonts w:hint="eastAsia" w:ascii="宋体" w:hAnsi="宋体" w:cs="宋体"/>
          <w:b/>
          <w:bCs/>
          <w:color w:val="auto"/>
          <w:szCs w:val="21"/>
        </w:rPr>
        <w:t>5.</w:t>
      </w:r>
      <w:r>
        <w:rPr>
          <w:rFonts w:ascii="宋体" w:hAnsi="宋体" w:cs="宋体"/>
          <w:b/>
          <w:bCs/>
          <w:color w:val="auto"/>
          <w:szCs w:val="21"/>
        </w:rPr>
        <w:t>4</w:t>
      </w:r>
      <w:r>
        <w:rPr>
          <w:rFonts w:hint="eastAsia" w:ascii="宋体" w:hAnsi="宋体" w:cs="宋体"/>
          <w:b/>
          <w:bCs/>
          <w:color w:val="auto"/>
          <w:szCs w:val="21"/>
        </w:rPr>
        <w:t>出具验收报告</w:t>
      </w:r>
    </w:p>
    <w:p w14:paraId="5A0CCCF3">
      <w:pPr>
        <w:spacing w:before="120" w:line="320" w:lineRule="exact"/>
        <w:jc w:val="left"/>
        <w:rPr>
          <w:rFonts w:ascii="宋体" w:hAnsi="宋体" w:cs="宋体"/>
          <w:b/>
          <w:bCs/>
          <w:color w:val="auto"/>
          <w:szCs w:val="21"/>
        </w:rPr>
      </w:pPr>
      <w:r>
        <w:rPr>
          <w:rFonts w:hint="eastAsia" w:ascii="宋体" w:hAnsi="宋体" w:cs="宋体"/>
          <w:b/>
          <w:bCs/>
          <w:color w:val="auto"/>
          <w:szCs w:val="21"/>
        </w:rPr>
        <w:t>5.</w:t>
      </w:r>
      <w:r>
        <w:rPr>
          <w:rFonts w:ascii="宋体" w:hAnsi="宋体" w:cs="宋体"/>
          <w:b/>
          <w:bCs/>
          <w:color w:val="auto"/>
          <w:szCs w:val="21"/>
        </w:rPr>
        <w:t>5</w:t>
      </w:r>
      <w:r>
        <w:rPr>
          <w:rFonts w:hint="eastAsia" w:ascii="宋体" w:hAnsi="宋体" w:cs="宋体"/>
          <w:b/>
          <w:bCs/>
          <w:color w:val="auto"/>
          <w:szCs w:val="21"/>
        </w:rPr>
        <w:t>验收结果公告</w:t>
      </w:r>
    </w:p>
    <w:p w14:paraId="0F40B126">
      <w:pPr>
        <w:spacing w:before="120" w:line="320" w:lineRule="exact"/>
        <w:jc w:val="left"/>
        <w:rPr>
          <w:rFonts w:ascii="宋体" w:hAnsi="宋体" w:cs="宋体"/>
          <w:b/>
          <w:bCs/>
          <w:color w:val="auto"/>
          <w:szCs w:val="21"/>
        </w:rPr>
      </w:pPr>
      <w:r>
        <w:rPr>
          <w:rFonts w:hint="eastAsia" w:ascii="宋体" w:hAnsi="宋体" w:cs="宋体"/>
          <w:b/>
          <w:bCs/>
          <w:color w:val="auto"/>
          <w:szCs w:val="21"/>
        </w:rPr>
        <w:t>5.</w:t>
      </w:r>
      <w:r>
        <w:rPr>
          <w:rFonts w:ascii="宋体" w:hAnsi="宋体" w:cs="宋体"/>
          <w:b/>
          <w:bCs/>
          <w:color w:val="auto"/>
          <w:szCs w:val="21"/>
        </w:rPr>
        <w:t>6</w:t>
      </w:r>
      <w:r>
        <w:rPr>
          <w:rFonts w:hint="eastAsia" w:ascii="宋体" w:hAnsi="宋体" w:cs="宋体"/>
          <w:b/>
          <w:bCs/>
          <w:color w:val="auto"/>
          <w:szCs w:val="21"/>
        </w:rPr>
        <w:t>验收资料归档</w:t>
      </w:r>
    </w:p>
    <w:p w14:paraId="10ADEA1F">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采购合同项目完成验收后，采购人整理好验收原始记录、验收书等资料后妥善保管，不得变造、隐匿或者销毁，验收资料保存期为采购结束之日起至少保存15年。</w:t>
      </w:r>
    </w:p>
    <w:p w14:paraId="116785BE">
      <w:pPr>
        <w:spacing w:before="120" w:line="320" w:lineRule="exact"/>
        <w:jc w:val="left"/>
        <w:rPr>
          <w:rFonts w:ascii="宋体" w:hAnsi="宋体" w:cs="宋体"/>
          <w:b/>
          <w:bCs/>
          <w:iCs/>
          <w:color w:val="auto"/>
          <w:szCs w:val="21"/>
        </w:rPr>
      </w:pPr>
      <w:r>
        <w:rPr>
          <w:rFonts w:hint="eastAsia" w:ascii="宋体" w:hAnsi="宋体" w:cs="宋体"/>
          <w:b/>
          <w:bCs/>
          <w:color w:val="auto"/>
          <w:szCs w:val="21"/>
        </w:rPr>
        <w:t>6.履约验收内容</w:t>
      </w:r>
    </w:p>
    <w:p w14:paraId="29D3B771">
      <w:pPr>
        <w:spacing w:before="120" w:line="320" w:lineRule="exact"/>
        <w:jc w:val="left"/>
        <w:rPr>
          <w:rFonts w:ascii="宋体" w:hAnsi="宋体" w:cs="宋体"/>
          <w:iCs/>
          <w:color w:val="auto"/>
          <w:szCs w:val="21"/>
        </w:rPr>
      </w:pPr>
      <w:r>
        <w:rPr>
          <w:rFonts w:hint="eastAsia" w:ascii="宋体" w:hAnsi="宋体" w:cs="宋体"/>
          <w:b/>
          <w:bCs/>
          <w:color w:val="auto"/>
          <w:szCs w:val="21"/>
        </w:rPr>
        <w:t>6.1商务验收内容</w:t>
      </w:r>
    </w:p>
    <w:p w14:paraId="03195BD7">
      <w:pPr>
        <w:spacing w:before="120" w:line="320" w:lineRule="exact"/>
        <w:ind w:firstLine="420" w:firstLineChars="200"/>
        <w:jc w:val="left"/>
        <w:rPr>
          <w:rFonts w:ascii="宋体" w:hAnsi="宋体" w:cs="宋体"/>
          <w:color w:val="auto"/>
          <w:szCs w:val="21"/>
          <w:u w:val="single"/>
        </w:rPr>
      </w:pPr>
      <w:r>
        <w:rPr>
          <w:rFonts w:hint="eastAsia" w:ascii="宋体" w:hAnsi="宋体" w:cs="宋体"/>
          <w:color w:val="auto"/>
          <w:szCs w:val="21"/>
        </w:rPr>
        <w:t>对采购标的交付的情况、财务和服务要求，包括交付（实施）的时间（期限）和地点（范围），付款条件（进度和方式），包装和运输，售后服务，保险等进行验收。</w:t>
      </w:r>
    </w:p>
    <w:p w14:paraId="5401F765">
      <w:pPr>
        <w:spacing w:before="120" w:line="320" w:lineRule="exact"/>
        <w:jc w:val="left"/>
        <w:rPr>
          <w:rFonts w:ascii="宋体" w:hAnsi="宋体" w:cs="宋体"/>
          <w:iCs/>
          <w:color w:val="auto"/>
          <w:szCs w:val="21"/>
        </w:rPr>
      </w:pPr>
      <w:r>
        <w:rPr>
          <w:rFonts w:hint="eastAsia" w:ascii="宋体" w:hAnsi="宋体" w:cs="宋体"/>
          <w:b/>
          <w:bCs/>
          <w:color w:val="auto"/>
          <w:szCs w:val="21"/>
        </w:rPr>
        <w:t>6.2技术验收内容</w:t>
      </w:r>
    </w:p>
    <w:p w14:paraId="53FE594E">
      <w:pPr>
        <w:spacing w:before="120" w:line="320" w:lineRule="exact"/>
        <w:ind w:firstLine="420" w:firstLineChars="200"/>
        <w:jc w:val="left"/>
        <w:rPr>
          <w:rFonts w:ascii="宋体" w:hAnsi="宋体" w:cs="宋体"/>
          <w:color w:val="auto"/>
          <w:szCs w:val="21"/>
          <w:u w:val="single"/>
        </w:rPr>
      </w:pPr>
      <w:r>
        <w:rPr>
          <w:rFonts w:hint="eastAsia" w:ascii="宋体" w:hAnsi="宋体" w:cs="宋体"/>
          <w:color w:val="auto"/>
          <w:szCs w:val="21"/>
        </w:rPr>
        <w:t>对采购标的的功能和质量要求，包括性能、材料、结构、外观、安全，或者服务内容和标准等进行验收。</w:t>
      </w:r>
    </w:p>
    <w:p w14:paraId="19F4C11D">
      <w:pPr>
        <w:spacing w:before="120" w:line="320" w:lineRule="exact"/>
        <w:jc w:val="left"/>
        <w:rPr>
          <w:rFonts w:ascii="宋体" w:hAnsi="宋体" w:cs="宋体"/>
          <w:b/>
          <w:bCs/>
          <w:color w:val="auto"/>
          <w:szCs w:val="21"/>
        </w:rPr>
      </w:pPr>
      <w:r>
        <w:rPr>
          <w:rFonts w:hint="eastAsia" w:ascii="宋体" w:hAnsi="宋体" w:cs="宋体"/>
          <w:b/>
          <w:bCs/>
          <w:color w:val="auto"/>
          <w:szCs w:val="21"/>
        </w:rPr>
        <w:t>7.履约验收标准</w:t>
      </w:r>
    </w:p>
    <w:p w14:paraId="5112537E">
      <w:pPr>
        <w:pStyle w:val="173"/>
        <w:spacing w:before="120" w:line="320" w:lineRule="exact"/>
        <w:ind w:firstLine="420"/>
        <w:rPr>
          <w:rFonts w:ascii="宋体" w:hAnsi="宋体" w:eastAsia="宋体" w:cs="宋体"/>
          <w:color w:val="auto"/>
          <w:sz w:val="21"/>
          <w:szCs w:val="21"/>
        </w:rPr>
      </w:pPr>
      <w:r>
        <w:rPr>
          <w:rFonts w:hint="eastAsia" w:ascii="宋体" w:hAnsi="宋体" w:eastAsia="宋体" w:cs="宋体"/>
          <w:color w:val="auto"/>
          <w:sz w:val="21"/>
          <w:szCs w:val="21"/>
        </w:rPr>
        <w:t>验收标准：</w:t>
      </w:r>
    </w:p>
    <w:p w14:paraId="61A269CE">
      <w:pPr>
        <w:pStyle w:val="173"/>
        <w:spacing w:before="120" w:line="320" w:lineRule="exact"/>
        <w:ind w:firstLine="420"/>
        <w:rPr>
          <w:rFonts w:ascii="宋体" w:hAnsi="宋体" w:eastAsia="宋体" w:cs="宋体"/>
          <w:color w:val="auto"/>
          <w:kern w:val="2"/>
          <w:sz w:val="21"/>
          <w:szCs w:val="21"/>
        </w:rPr>
      </w:pPr>
      <w:r>
        <w:rPr>
          <w:rFonts w:hint="eastAsia" w:ascii="宋体" w:hAnsi="宋体" w:eastAsia="宋体" w:cs="宋体"/>
          <w:color w:val="auto"/>
          <w:kern w:val="2"/>
          <w:sz w:val="21"/>
          <w:szCs w:val="21"/>
        </w:rPr>
        <w:t>（1）中标（成交）供应商应提供完备的技术或服务资料、装箱单和合格证等，并派遣专业人员进行现场安装调试。验收合格条件如下：</w:t>
      </w:r>
    </w:p>
    <w:p w14:paraId="3AE14DC8">
      <w:pPr>
        <w:spacing w:before="120" w:line="320" w:lineRule="exact"/>
        <w:rPr>
          <w:rFonts w:ascii="宋体" w:hAnsi="宋体" w:cs="宋体"/>
          <w:color w:val="auto"/>
          <w:szCs w:val="21"/>
        </w:rPr>
      </w:pPr>
      <w:r>
        <w:rPr>
          <w:rFonts w:hint="eastAsia" w:ascii="宋体" w:hAnsi="宋体" w:cs="宋体"/>
          <w:color w:val="auto"/>
          <w:szCs w:val="21"/>
        </w:rPr>
        <w:t>服务技术参数与响应文件中响应表或证明材料一致，性能或指标达到规定的标准。否则，以实际服务技术参数与响应文件响应表参数或证明材料比较，按如下情况处理：</w:t>
      </w:r>
    </w:p>
    <w:p w14:paraId="5A744AAE">
      <w:pPr>
        <w:spacing w:before="120" w:line="320" w:lineRule="exact"/>
        <w:rPr>
          <w:rFonts w:ascii="宋体" w:hAnsi="宋体" w:cs="宋体"/>
          <w:color w:val="auto"/>
          <w:szCs w:val="21"/>
        </w:rPr>
      </w:pPr>
      <w:r>
        <w:rPr>
          <w:rFonts w:hint="eastAsia" w:ascii="宋体" w:hAnsi="宋体" w:cs="宋体"/>
          <w:color w:val="auto"/>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152E2C20">
      <w:pPr>
        <w:spacing w:before="120" w:line="320" w:lineRule="exact"/>
        <w:rPr>
          <w:rFonts w:ascii="宋体" w:hAnsi="宋体" w:cs="宋体"/>
          <w:color w:val="auto"/>
          <w:szCs w:val="21"/>
        </w:rPr>
      </w:pPr>
      <w:r>
        <w:rPr>
          <w:rFonts w:hint="eastAsia" w:ascii="宋体" w:hAnsi="宋体" w:cs="宋体"/>
          <w:color w:val="auto"/>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3FD37FC6">
      <w:pPr>
        <w:spacing w:before="120" w:line="320" w:lineRule="exact"/>
        <w:rPr>
          <w:rFonts w:ascii="宋体" w:hAnsi="宋体" w:cs="宋体"/>
          <w:color w:val="auto"/>
          <w:szCs w:val="21"/>
        </w:rPr>
      </w:pPr>
      <w:r>
        <w:rPr>
          <w:rFonts w:hint="eastAsia" w:ascii="宋体" w:hAnsi="宋体" w:cs="宋体"/>
          <w:color w:val="auto"/>
          <w:szCs w:val="21"/>
        </w:rPr>
        <w:t xml:space="preserve">③供应商响应文件响应表或证明材料中不满足的技术参数，在验收时实际满足技术参数的要求，以满足技术参数的要求验收。 </w:t>
      </w:r>
    </w:p>
    <w:p w14:paraId="20FC6C83">
      <w:pPr>
        <w:spacing w:before="120" w:line="320" w:lineRule="exact"/>
        <w:rPr>
          <w:rFonts w:ascii="宋体" w:hAnsi="宋体" w:cs="宋体"/>
          <w:color w:val="auto"/>
          <w:szCs w:val="21"/>
        </w:rPr>
      </w:pPr>
      <w:r>
        <w:rPr>
          <w:rFonts w:hint="eastAsia" w:ascii="宋体" w:hAnsi="宋体" w:cs="宋体"/>
          <w:color w:val="auto"/>
          <w:szCs w:val="21"/>
        </w:rPr>
        <w:t>④供应商响应文件响应表或证明材料中满足的技术参数，在验收时实际优于技术参数的要求，以满足技术参数的要求验收。</w:t>
      </w:r>
    </w:p>
    <w:p w14:paraId="2B3B771C">
      <w:pPr>
        <w:spacing w:before="120" w:line="320" w:lineRule="exact"/>
        <w:rPr>
          <w:rFonts w:ascii="宋体" w:hAnsi="宋体" w:cs="宋体"/>
          <w:color w:val="auto"/>
          <w:szCs w:val="21"/>
        </w:rPr>
      </w:pPr>
      <w:r>
        <w:rPr>
          <w:rFonts w:hint="eastAsia" w:ascii="宋体" w:hAnsi="宋体" w:cs="宋体"/>
          <w:color w:val="auto"/>
          <w:szCs w:val="21"/>
        </w:rPr>
        <w:t>⑤供应商响应文件响应表或证明材料中优于的技术参数，在验收时实际也优于技术参数的要求，但没有达到响应表或证明材料中优于的程度，由采购人与供应商协商按是否满足要求验收。</w:t>
      </w:r>
    </w:p>
    <w:p w14:paraId="141BE602">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（1）在测试或试运行期间所出现的问题得到解决，并运行或工作正常。</w:t>
      </w:r>
    </w:p>
    <w:p w14:paraId="1937BED4">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（2）在规定时间内完成交付及验收，并经采购人确认。</w:t>
      </w:r>
    </w:p>
    <w:p w14:paraId="573C609C">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（3）服务在安装调试并试运行符合要求后，才作为最终验收。</w:t>
      </w:r>
    </w:p>
    <w:p w14:paraId="62AB5748">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（4）成交供应商提供的服务未达到采购文件规定要求，且对采购人造成损失的，由成交供应商承担一切责任，并赔偿所造成的损失。</w:t>
      </w:r>
    </w:p>
    <w:p w14:paraId="3C30C0CD">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（5）政府采购合同约定的其他要求及响应文件响应的其他标准。</w:t>
      </w:r>
    </w:p>
    <w:p w14:paraId="1CF85B32">
      <w:pPr>
        <w:spacing w:before="120" w:line="320" w:lineRule="exact"/>
        <w:ind w:firstLine="422" w:firstLineChars="200"/>
        <w:jc w:val="left"/>
        <w:rPr>
          <w:rFonts w:ascii="宋体" w:hAnsi="宋体" w:cs="宋体"/>
          <w:b/>
          <w:bCs/>
          <w:color w:val="auto"/>
          <w:szCs w:val="21"/>
        </w:rPr>
      </w:pPr>
      <w:r>
        <w:rPr>
          <w:rFonts w:hint="eastAsia" w:ascii="宋体" w:hAnsi="宋体" w:cs="宋体"/>
          <w:b/>
          <w:bCs/>
          <w:color w:val="auto"/>
          <w:szCs w:val="21"/>
        </w:rPr>
        <w:t>8.履约验收其他事项</w:t>
      </w:r>
    </w:p>
    <w:p w14:paraId="1ACA3745">
      <w:pPr>
        <w:spacing w:before="120" w:line="320" w:lineRule="exact"/>
        <w:ind w:firstLine="420" w:firstLineChars="200"/>
        <w:jc w:val="left"/>
        <w:rPr>
          <w:rFonts w:ascii="宋体" w:hAnsi="宋体" w:cs="宋体"/>
          <w:color w:val="auto"/>
          <w:szCs w:val="21"/>
        </w:rPr>
      </w:pPr>
      <w:r>
        <w:rPr>
          <w:rFonts w:hint="eastAsia" w:ascii="宋体" w:hAnsi="宋体" w:cs="宋体"/>
          <w:color w:val="auto"/>
          <w:szCs w:val="21"/>
        </w:rPr>
        <w:t>无</w:t>
      </w:r>
    </w:p>
    <w:p w14:paraId="318E8AF8">
      <w:pPr>
        <w:spacing w:before="120" w:line="320" w:lineRule="exact"/>
        <w:rPr>
          <w:rFonts w:ascii="宋体" w:hAnsi="宋体"/>
          <w:color w:val="auto"/>
          <w:szCs w:val="21"/>
          <w:u w:val="single"/>
        </w:rPr>
      </w:pPr>
      <w:r>
        <w:rPr>
          <w:rFonts w:hint="eastAsia" w:ascii="宋体" w:hAnsi="宋体"/>
          <w:color w:val="auto"/>
          <w:szCs w:val="21"/>
          <w:u w:val="single"/>
        </w:rPr>
        <w:br w:type="page"/>
      </w:r>
    </w:p>
    <w:p w14:paraId="01EAF746">
      <w:pPr>
        <w:snapToGrid w:val="0"/>
        <w:spacing w:line="360" w:lineRule="exact"/>
        <w:jc w:val="center"/>
        <w:rPr>
          <w:rFonts w:ascii="宋体" w:hAnsi="宋体"/>
          <w:b/>
          <w:bCs/>
          <w:color w:val="auto"/>
          <w:szCs w:val="21"/>
        </w:rPr>
      </w:pPr>
      <w:r>
        <w:rPr>
          <w:rFonts w:ascii="宋体" w:hAnsi="宋体"/>
          <w:b/>
          <w:bCs/>
          <w:color w:val="auto"/>
          <w:szCs w:val="21"/>
        </w:rPr>
        <w:t>广西壮族自治区政府采购项目合同验收书</w:t>
      </w:r>
    </w:p>
    <w:p w14:paraId="224FF585">
      <w:pPr>
        <w:widowControl/>
        <w:snapToGrid w:val="0"/>
        <w:spacing w:before="100" w:beforeAutospacing="1" w:after="100" w:afterAutospacing="1" w:line="320" w:lineRule="exact"/>
        <w:ind w:left="-359" w:leftChars="-171" w:firstLine="420" w:firstLineChars="200"/>
        <w:jc w:val="left"/>
        <w:rPr>
          <w:rFonts w:ascii="宋体" w:hAnsi="宋体"/>
          <w:color w:val="auto"/>
          <w:kern w:val="0"/>
          <w:szCs w:val="21"/>
        </w:rPr>
      </w:pPr>
      <w:r>
        <w:rPr>
          <w:rFonts w:ascii="宋体" w:hAnsi="宋体"/>
          <w:color w:val="auto"/>
          <w:kern w:val="0"/>
          <w:szCs w:val="21"/>
        </w:rPr>
        <w:t>根据政府采购项目（</w:t>
      </w:r>
      <w:r>
        <w:rPr>
          <w:rFonts w:ascii="宋体" w:hAnsi="宋体"/>
          <w:color w:val="auto"/>
          <w:kern w:val="0"/>
          <w:szCs w:val="21"/>
          <w:u w:val="single"/>
        </w:rPr>
        <w:t>采购合同编号：</w:t>
      </w:r>
      <w:r>
        <w:rPr>
          <w:rFonts w:ascii="宋体" w:hAnsi="宋体" w:cs="Arial"/>
          <w:color w:val="auto"/>
          <w:szCs w:val="21"/>
          <w:u w:val="single"/>
        </w:rPr>
        <w:t>GXZC20XX-XX-XXXXX-JDZB</w:t>
      </w:r>
      <w:r>
        <w:rPr>
          <w:rFonts w:ascii="宋体" w:hAnsi="宋体"/>
          <w:color w:val="auto"/>
          <w:kern w:val="0"/>
          <w:szCs w:val="21"/>
        </w:rPr>
        <w:t>）的约定，我单位对（</w:t>
      </w:r>
      <w:r>
        <w:rPr>
          <w:rFonts w:hint="eastAsia" w:ascii="宋体" w:hAnsi="宋体" w:cs="Arial"/>
          <w:color w:val="auto"/>
          <w:szCs w:val="21"/>
          <w:u w:val="single"/>
        </w:rPr>
        <w:t>XXXX采购项目</w:t>
      </w:r>
      <w:r>
        <w:rPr>
          <w:rFonts w:ascii="宋体" w:hAnsi="宋体"/>
          <w:color w:val="auto"/>
          <w:kern w:val="0"/>
          <w:szCs w:val="21"/>
        </w:rPr>
        <w:t>）政府采购项目中标（或成交）供应商</w:t>
      </w:r>
      <w:r>
        <w:rPr>
          <w:rFonts w:hint="eastAsia" w:ascii="宋体" w:hAnsi="宋体"/>
          <w:color w:val="auto"/>
          <w:kern w:val="0"/>
          <w:szCs w:val="21"/>
          <w:u w:val="single"/>
        </w:rPr>
        <w:t>XX公司（填写供应商名称）</w:t>
      </w:r>
      <w:r>
        <w:rPr>
          <w:rFonts w:ascii="宋体" w:hAnsi="宋体"/>
          <w:color w:val="auto"/>
          <w:kern w:val="0"/>
          <w:szCs w:val="21"/>
        </w:rPr>
        <w:t>提供的</w:t>
      </w:r>
      <w:r>
        <w:rPr>
          <w:rFonts w:hint="eastAsia" w:ascii="宋体" w:hAnsi="宋体"/>
          <w:color w:val="auto"/>
          <w:kern w:val="0"/>
          <w:szCs w:val="21"/>
        </w:rPr>
        <w:t>服务（或工程、货物）</w:t>
      </w:r>
      <w:r>
        <w:rPr>
          <w:rFonts w:ascii="宋体" w:hAnsi="宋体"/>
          <w:color w:val="auto"/>
          <w:kern w:val="0"/>
          <w:szCs w:val="21"/>
        </w:rPr>
        <w:t>进行了验收，验收情况如下：</w:t>
      </w:r>
    </w:p>
    <w:tbl>
      <w:tblPr>
        <w:tblStyle w:val="51"/>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746269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253D474F">
            <w:pPr>
              <w:widowControl/>
              <w:snapToGrid w:val="0"/>
              <w:spacing w:before="100" w:beforeAutospacing="1" w:after="100" w:afterAutospacing="1" w:line="320" w:lineRule="exact"/>
              <w:ind w:left="-3" w:firstLine="4" w:firstLineChars="2"/>
              <w:jc w:val="center"/>
              <w:rPr>
                <w:rFonts w:ascii="宋体" w:hAnsi="宋体"/>
                <w:color w:val="auto"/>
                <w:kern w:val="0"/>
                <w:szCs w:val="21"/>
              </w:rPr>
            </w:pPr>
            <w:r>
              <w:rPr>
                <w:rFonts w:ascii="宋体" w:hAnsi="宋体"/>
                <w:color w:val="auto"/>
                <w:kern w:val="0"/>
                <w:szCs w:val="21"/>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43592DA0">
            <w:pPr>
              <w:widowControl/>
              <w:snapToGrid w:val="0"/>
              <w:spacing w:before="100" w:beforeAutospacing="1" w:after="100" w:afterAutospacing="1" w:line="320" w:lineRule="exact"/>
              <w:ind w:left="-3" w:firstLine="420" w:firstLineChars="200"/>
              <w:jc w:val="center"/>
              <w:rPr>
                <w:rFonts w:ascii="宋体" w:hAnsi="宋体"/>
                <w:color w:val="auto"/>
                <w:kern w:val="0"/>
                <w:szCs w:val="21"/>
              </w:rPr>
            </w:pPr>
            <w:r>
              <w:rPr>
                <w:rFonts w:hint="eastAsia" w:ascii="宋体" w:hAnsi="宋体" w:cs="Arial"/>
                <w:color w:val="auto"/>
                <w:szCs w:val="21"/>
              </w:rPr>
              <w:t>□</w:t>
            </w:r>
            <w:r>
              <w:rPr>
                <w:rFonts w:ascii="宋体" w:hAnsi="宋体"/>
                <w:color w:val="auto"/>
                <w:kern w:val="0"/>
                <w:szCs w:val="21"/>
              </w:rPr>
              <w:t>自行验收        </w:t>
            </w:r>
            <w:r>
              <w:rPr>
                <w:rFonts w:ascii="宋体" w:hAnsi="宋体" w:cs="Arial"/>
                <w:color w:val="auto"/>
                <w:szCs w:val="21"/>
              </w:rPr>
              <w:sym w:font="Wingdings 2" w:char="00A3"/>
            </w:r>
            <w:r>
              <w:rPr>
                <w:rFonts w:ascii="宋体" w:hAnsi="宋体"/>
                <w:color w:val="auto"/>
                <w:kern w:val="0"/>
                <w:szCs w:val="21"/>
              </w:rPr>
              <w:t>委托验收</w:t>
            </w:r>
          </w:p>
        </w:tc>
      </w:tr>
      <w:tr w14:paraId="1DC85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48BB20B">
            <w:pPr>
              <w:widowControl/>
              <w:snapToGrid w:val="0"/>
              <w:spacing w:before="100" w:beforeAutospacing="1" w:after="100" w:afterAutospacing="1" w:line="320" w:lineRule="exact"/>
              <w:ind w:firstLine="2" w:firstLineChars="1"/>
              <w:jc w:val="center"/>
              <w:rPr>
                <w:rFonts w:ascii="宋体" w:hAnsi="宋体"/>
                <w:color w:val="auto"/>
                <w:kern w:val="0"/>
                <w:szCs w:val="21"/>
              </w:rPr>
            </w:pPr>
            <w:r>
              <w:rPr>
                <w:rFonts w:ascii="宋体" w:hAnsi="宋体"/>
                <w:color w:val="auto"/>
                <w:kern w:val="0"/>
                <w:szCs w:val="21"/>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41C1E571">
            <w:pPr>
              <w:widowControl/>
              <w:snapToGrid w:val="0"/>
              <w:spacing w:before="100" w:beforeAutospacing="1" w:after="100" w:afterAutospacing="1" w:line="320" w:lineRule="exact"/>
              <w:ind w:left="-3" w:firstLine="2" w:firstLineChars="1"/>
              <w:jc w:val="center"/>
              <w:rPr>
                <w:rFonts w:ascii="宋体" w:hAnsi="宋体"/>
                <w:color w:val="auto"/>
                <w:kern w:val="0"/>
                <w:szCs w:val="21"/>
              </w:rPr>
            </w:pPr>
            <w:r>
              <w:rPr>
                <w:rFonts w:ascii="宋体" w:hAnsi="宋体"/>
                <w:color w:val="auto"/>
                <w:kern w:val="0"/>
                <w:szCs w:val="21"/>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2628E6AD">
            <w:pPr>
              <w:widowControl/>
              <w:snapToGrid w:val="0"/>
              <w:spacing w:before="100" w:beforeAutospacing="1" w:after="100" w:afterAutospacing="1" w:line="320" w:lineRule="exact"/>
              <w:ind w:left="-3" w:firstLine="2" w:firstLineChars="1"/>
              <w:jc w:val="center"/>
              <w:rPr>
                <w:rFonts w:ascii="宋体" w:hAnsi="宋体"/>
                <w:color w:val="auto"/>
                <w:kern w:val="0"/>
                <w:szCs w:val="21"/>
              </w:rPr>
            </w:pPr>
            <w:r>
              <w:rPr>
                <w:rFonts w:ascii="宋体" w:hAnsi="宋体"/>
                <w:color w:val="auto"/>
                <w:kern w:val="0"/>
                <w:szCs w:val="21"/>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4D10F406">
            <w:pPr>
              <w:widowControl/>
              <w:snapToGrid w:val="0"/>
              <w:spacing w:before="100" w:beforeAutospacing="1" w:after="100" w:afterAutospacing="1" w:line="320" w:lineRule="exact"/>
              <w:jc w:val="center"/>
              <w:rPr>
                <w:rFonts w:ascii="宋体" w:hAnsi="宋体"/>
                <w:color w:val="auto"/>
                <w:kern w:val="0"/>
                <w:szCs w:val="21"/>
              </w:rPr>
            </w:pPr>
            <w:r>
              <w:rPr>
                <w:rFonts w:ascii="宋体" w:hAnsi="宋体"/>
                <w:color w:val="auto"/>
                <w:kern w:val="0"/>
                <w:szCs w:val="21"/>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6791D783">
            <w:pPr>
              <w:widowControl/>
              <w:snapToGrid w:val="0"/>
              <w:spacing w:before="100" w:beforeAutospacing="1" w:after="100" w:afterAutospacing="1" w:line="320" w:lineRule="exact"/>
              <w:ind w:left="-3" w:firstLine="2" w:firstLineChars="1"/>
              <w:jc w:val="center"/>
              <w:rPr>
                <w:rFonts w:ascii="宋体" w:hAnsi="宋体"/>
                <w:color w:val="auto"/>
                <w:kern w:val="0"/>
                <w:szCs w:val="21"/>
              </w:rPr>
            </w:pPr>
            <w:r>
              <w:rPr>
                <w:rFonts w:ascii="宋体" w:hAnsi="宋体"/>
                <w:color w:val="auto"/>
                <w:kern w:val="0"/>
                <w:szCs w:val="21"/>
              </w:rPr>
              <w:t>金  额</w:t>
            </w:r>
          </w:p>
        </w:tc>
      </w:tr>
      <w:tr w14:paraId="3904E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34AD22B5">
            <w:pPr>
              <w:widowControl/>
              <w:snapToGrid w:val="0"/>
              <w:spacing w:before="100" w:beforeAutospacing="1" w:after="100" w:afterAutospacing="1" w:line="320" w:lineRule="exact"/>
              <w:ind w:left="-3" w:firstLine="4" w:firstLineChars="2"/>
              <w:jc w:val="center"/>
              <w:rPr>
                <w:rFonts w:ascii="宋体" w:hAnsi="宋体"/>
                <w:color w:val="auto"/>
                <w:kern w:val="0"/>
                <w:szCs w:val="21"/>
              </w:rPr>
            </w:pPr>
            <w:r>
              <w:rPr>
                <w:rFonts w:hint="eastAsia" w:ascii="宋体" w:hAnsi="宋体"/>
                <w:color w:val="auto"/>
                <w:kern w:val="0"/>
                <w:szCs w:val="21"/>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2DFC659F">
            <w:pPr>
              <w:widowControl/>
              <w:snapToGrid w:val="0"/>
              <w:spacing w:before="100" w:beforeAutospacing="1" w:after="100" w:afterAutospacing="1" w:line="320" w:lineRule="exact"/>
              <w:ind w:left="-3" w:firstLine="420" w:firstLineChars="200"/>
              <w:jc w:val="left"/>
              <w:rPr>
                <w:rFonts w:ascii="宋体" w:hAnsi="宋体"/>
                <w:color w:val="auto"/>
                <w:kern w:val="0"/>
                <w:szCs w:val="21"/>
              </w:rPr>
            </w:pP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06CB72F3">
            <w:pPr>
              <w:pStyle w:val="175"/>
              <w:spacing w:before="120" w:after="120"/>
              <w:ind w:firstLine="0" w:firstLineChars="0"/>
              <w:rPr>
                <w:rFonts w:ascii="宋体" w:hAnsi="宋体" w:eastAsia="宋体"/>
                <w:color w:val="auto"/>
                <w:szCs w:val="21"/>
              </w:rPr>
            </w:pPr>
          </w:p>
        </w:tc>
        <w:tc>
          <w:tcPr>
            <w:tcW w:w="850" w:type="dxa"/>
            <w:tcBorders>
              <w:top w:val="single" w:color="auto" w:sz="8" w:space="0"/>
              <w:left w:val="single" w:color="auto" w:sz="8" w:space="0"/>
              <w:bottom w:val="single" w:color="auto" w:sz="8" w:space="0"/>
              <w:right w:val="single" w:color="auto" w:sz="8" w:space="0"/>
            </w:tcBorders>
            <w:vAlign w:val="center"/>
          </w:tcPr>
          <w:p w14:paraId="5BEF5B79">
            <w:pPr>
              <w:widowControl/>
              <w:snapToGrid w:val="0"/>
              <w:spacing w:before="100" w:beforeAutospacing="1" w:after="100" w:afterAutospacing="1" w:line="320" w:lineRule="exact"/>
              <w:jc w:val="center"/>
              <w:rPr>
                <w:rFonts w:ascii="宋体" w:hAnsi="宋体"/>
                <w:color w:val="auto"/>
                <w:kern w:val="0"/>
                <w:szCs w:val="21"/>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232EA1F9">
            <w:pPr>
              <w:pStyle w:val="175"/>
              <w:spacing w:before="120" w:after="120"/>
              <w:ind w:firstLine="0" w:firstLineChars="0"/>
              <w:jc w:val="center"/>
              <w:rPr>
                <w:rFonts w:ascii="宋体" w:hAnsi="宋体" w:eastAsia="宋体"/>
                <w:color w:val="auto"/>
                <w:szCs w:val="21"/>
              </w:rPr>
            </w:pPr>
            <w:r>
              <w:rPr>
                <w:rFonts w:ascii="宋体" w:hAnsi="宋体" w:eastAsia="宋体"/>
                <w:color w:val="auto"/>
                <w:szCs w:val="21"/>
              </w:rPr>
              <w:t>¥0.00元</w:t>
            </w:r>
          </w:p>
        </w:tc>
      </w:tr>
      <w:tr w14:paraId="25FC6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1D8BAC04">
            <w:pPr>
              <w:pStyle w:val="175"/>
              <w:spacing w:before="120" w:after="120"/>
              <w:ind w:firstLine="0" w:firstLineChars="0"/>
              <w:jc w:val="center"/>
              <w:rPr>
                <w:rFonts w:ascii="宋体" w:hAnsi="宋体" w:eastAsia="宋体"/>
                <w:color w:val="auto"/>
                <w:szCs w:val="21"/>
              </w:rPr>
            </w:pPr>
            <w:r>
              <w:rPr>
                <w:rFonts w:hint="eastAsia" w:ascii="宋体" w:hAnsi="宋体" w:eastAsia="宋体"/>
                <w:color w:val="auto"/>
                <w:szCs w:val="21"/>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4B682377">
            <w:pPr>
              <w:widowControl/>
              <w:snapToGrid w:val="0"/>
              <w:spacing w:before="100" w:beforeAutospacing="1" w:after="100" w:afterAutospacing="1" w:line="320" w:lineRule="exact"/>
              <w:jc w:val="center"/>
              <w:rPr>
                <w:rFonts w:ascii="宋体" w:hAnsi="宋体"/>
                <w:color w:val="auto"/>
                <w:kern w:val="0"/>
                <w:szCs w:val="21"/>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0B13315F">
            <w:pPr>
              <w:pStyle w:val="175"/>
              <w:spacing w:before="120" w:after="120"/>
              <w:ind w:firstLine="0" w:firstLineChars="0"/>
              <w:jc w:val="center"/>
              <w:rPr>
                <w:rFonts w:ascii="宋体" w:hAnsi="宋体" w:eastAsia="宋体"/>
                <w:color w:val="auto"/>
                <w:szCs w:val="21"/>
              </w:rPr>
            </w:pPr>
            <w:r>
              <w:rPr>
                <w:rFonts w:ascii="宋体" w:hAnsi="宋体" w:eastAsia="宋体"/>
                <w:color w:val="auto"/>
                <w:szCs w:val="21"/>
              </w:rPr>
              <w:t>¥0.00元</w:t>
            </w:r>
          </w:p>
        </w:tc>
      </w:tr>
      <w:tr w14:paraId="39F02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7782BE55">
            <w:pPr>
              <w:widowControl/>
              <w:snapToGrid w:val="0"/>
              <w:spacing w:before="100" w:beforeAutospacing="1" w:after="100" w:afterAutospacing="1" w:line="320" w:lineRule="exact"/>
              <w:ind w:firstLine="2" w:firstLineChars="1"/>
              <w:jc w:val="left"/>
              <w:rPr>
                <w:rFonts w:ascii="宋体" w:hAnsi="宋体"/>
                <w:color w:val="auto"/>
                <w:kern w:val="0"/>
                <w:szCs w:val="21"/>
              </w:rPr>
            </w:pPr>
            <w:r>
              <w:rPr>
                <w:rFonts w:ascii="宋体" w:hAnsi="宋体"/>
                <w:color w:val="auto"/>
                <w:kern w:val="0"/>
                <w:szCs w:val="21"/>
              </w:rPr>
              <w:t>合计大写金额：</w:t>
            </w:r>
            <w:r>
              <w:rPr>
                <w:rFonts w:hint="eastAsia" w:ascii="宋体" w:hAnsi="宋体"/>
                <w:color w:val="auto"/>
                <w:kern w:val="0"/>
                <w:szCs w:val="21"/>
              </w:rPr>
              <w:t>人民币元整</w:t>
            </w:r>
          </w:p>
        </w:tc>
      </w:tr>
      <w:tr w14:paraId="17B43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26CCEC36">
            <w:pPr>
              <w:widowControl/>
              <w:snapToGrid w:val="0"/>
              <w:spacing w:before="100" w:beforeAutospacing="1" w:after="100" w:afterAutospacing="1" w:line="320" w:lineRule="exact"/>
              <w:ind w:firstLine="2" w:firstLineChars="1"/>
              <w:jc w:val="left"/>
              <w:rPr>
                <w:rFonts w:ascii="宋体" w:hAnsi="宋体" w:cs="宋体"/>
                <w:color w:val="auto"/>
                <w:kern w:val="0"/>
                <w:szCs w:val="21"/>
              </w:rPr>
            </w:pPr>
            <w:r>
              <w:rPr>
                <w:rFonts w:hint="eastAsia" w:ascii="宋体" w:hAnsi="宋体" w:cs="宋体"/>
                <w:color w:val="auto"/>
                <w:kern w:val="0"/>
                <w:szCs w:val="21"/>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1BE275D3">
            <w:pPr>
              <w:snapToGrid w:val="0"/>
              <w:spacing w:before="100" w:beforeAutospacing="1" w:after="100" w:afterAutospacing="1" w:line="32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7A300E4A">
            <w:pPr>
              <w:snapToGrid w:val="0"/>
              <w:spacing w:before="100" w:beforeAutospacing="1" w:after="100" w:afterAutospacing="1" w:line="320" w:lineRule="exact"/>
              <w:ind w:firstLine="39" w:firstLineChars="19"/>
              <w:jc w:val="center"/>
              <w:rPr>
                <w:rFonts w:ascii="宋体" w:hAnsi="宋体" w:cs="宋体"/>
                <w:color w:val="auto"/>
                <w:kern w:val="0"/>
                <w:szCs w:val="21"/>
              </w:rPr>
            </w:pPr>
            <w:r>
              <w:rPr>
                <w:rFonts w:hint="eastAsia" w:ascii="宋体" w:hAnsi="宋体" w:cs="宋体"/>
                <w:color w:val="auto"/>
                <w:kern w:val="0"/>
                <w:szCs w:val="21"/>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0946AAE7">
            <w:pPr>
              <w:snapToGrid w:val="0"/>
              <w:spacing w:before="100" w:beforeAutospacing="1" w:after="100" w:afterAutospacing="1" w:line="32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20  年  月  日</w:t>
            </w:r>
          </w:p>
        </w:tc>
      </w:tr>
      <w:tr w14:paraId="305F82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A5F7E02">
            <w:pPr>
              <w:widowControl/>
              <w:snapToGrid w:val="0"/>
              <w:spacing w:before="100" w:beforeAutospacing="1" w:after="100" w:afterAutospacing="1" w:line="320" w:lineRule="exact"/>
              <w:jc w:val="left"/>
              <w:rPr>
                <w:rFonts w:ascii="宋体" w:hAnsi="宋体" w:cs="宋体"/>
                <w:color w:val="auto"/>
                <w:kern w:val="0"/>
                <w:szCs w:val="21"/>
              </w:rPr>
            </w:pPr>
            <w:r>
              <w:rPr>
                <w:rFonts w:hint="eastAsia" w:ascii="宋体" w:hAnsi="宋体" w:cs="宋体"/>
                <w:color w:val="auto"/>
                <w:kern w:val="0"/>
                <w:szCs w:val="21"/>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669BD0">
            <w:pPr>
              <w:pStyle w:val="175"/>
              <w:spacing w:before="120" w:after="120"/>
              <w:ind w:firstLine="0" w:firstLineChars="0"/>
              <w:rPr>
                <w:rFonts w:ascii="宋体" w:hAnsi="宋体" w:eastAsia="宋体" w:cs="宋体"/>
                <w:color w:val="auto"/>
                <w:szCs w:val="21"/>
              </w:rPr>
            </w:pPr>
            <w:r>
              <w:rPr>
                <w:rFonts w:hint="eastAsia" w:ascii="宋体" w:hAnsi="宋体" w:eastAsia="宋体" w:cs="宋体"/>
                <w:color w:val="auto"/>
                <w:szCs w:val="21"/>
              </w:rPr>
              <w:t>中标人所提供服务的内容满足采购合同约定的要求、标准。</w:t>
            </w:r>
          </w:p>
        </w:tc>
      </w:tr>
      <w:tr w14:paraId="61D1D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E075A73">
            <w:pPr>
              <w:widowControl/>
              <w:spacing w:before="100" w:beforeAutospacing="1" w:after="100" w:afterAutospacing="1" w:line="320" w:lineRule="exact"/>
              <w:jc w:val="left"/>
              <w:rPr>
                <w:rFonts w:ascii="宋体" w:hAnsi="宋体" w:cs="宋体"/>
                <w:color w:val="auto"/>
                <w:kern w:val="0"/>
                <w:szCs w:val="21"/>
              </w:rPr>
            </w:pPr>
            <w:r>
              <w:rPr>
                <w:rFonts w:hint="eastAsia" w:ascii="宋体" w:hAnsi="宋体" w:cs="宋体"/>
                <w:color w:val="auto"/>
                <w:kern w:val="0"/>
                <w:szCs w:val="21"/>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45B53F27">
            <w:pPr>
              <w:widowControl/>
              <w:spacing w:before="100" w:beforeAutospacing="1" w:after="100" w:afterAutospacing="1" w:line="320" w:lineRule="exact"/>
              <w:jc w:val="left"/>
              <w:rPr>
                <w:rFonts w:ascii="宋体" w:hAnsi="宋体" w:cs="宋体"/>
                <w:color w:val="auto"/>
                <w:kern w:val="0"/>
                <w:szCs w:val="21"/>
              </w:rPr>
            </w:pPr>
            <w:r>
              <w:rPr>
                <w:rFonts w:hint="eastAsia" w:ascii="宋体" w:hAnsi="宋体" w:cs="宋体"/>
                <w:color w:val="auto"/>
                <w:kern w:val="0"/>
                <w:szCs w:val="21"/>
              </w:rPr>
              <w:t>验收结论性意见：同意（不同意）通过项目验收</w:t>
            </w:r>
          </w:p>
        </w:tc>
      </w:tr>
      <w:tr w14:paraId="15BCC1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24655339">
            <w:pPr>
              <w:widowControl/>
              <w:spacing w:line="320" w:lineRule="exact"/>
              <w:jc w:val="left"/>
              <w:rPr>
                <w:rFonts w:ascii="宋体" w:hAnsi="宋体" w:cs="宋体"/>
                <w:color w:val="auto"/>
                <w:kern w:val="0"/>
                <w:szCs w:val="21"/>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6E64BE72">
            <w:pPr>
              <w:pStyle w:val="175"/>
              <w:spacing w:before="120" w:after="120"/>
              <w:ind w:firstLine="0" w:firstLineChars="0"/>
              <w:rPr>
                <w:rFonts w:ascii="宋体" w:hAnsi="宋体" w:eastAsia="宋体" w:cs="宋体"/>
                <w:color w:val="auto"/>
                <w:szCs w:val="21"/>
              </w:rPr>
            </w:pPr>
            <w:r>
              <w:rPr>
                <w:rFonts w:hint="eastAsia" w:ascii="宋体" w:hAnsi="宋体" w:eastAsia="宋体" w:cs="宋体"/>
                <w:color w:val="auto"/>
                <w:szCs w:val="21"/>
              </w:rPr>
              <w:t>有异议的意见和说明理由：</w:t>
            </w:r>
          </w:p>
          <w:p w14:paraId="7C6C982A">
            <w:pPr>
              <w:pStyle w:val="175"/>
              <w:spacing w:before="120" w:after="120"/>
              <w:ind w:firstLine="5880" w:firstLineChars="2800"/>
              <w:rPr>
                <w:rFonts w:ascii="宋体" w:hAnsi="宋体" w:eastAsia="宋体" w:cs="宋体"/>
                <w:color w:val="auto"/>
                <w:szCs w:val="21"/>
              </w:rPr>
            </w:pPr>
            <w:r>
              <w:rPr>
                <w:rFonts w:hint="eastAsia" w:ascii="宋体" w:hAnsi="宋体" w:eastAsia="宋体" w:cs="宋体"/>
                <w:color w:val="auto"/>
                <w:szCs w:val="21"/>
              </w:rPr>
              <w:t>签字：</w:t>
            </w:r>
          </w:p>
        </w:tc>
      </w:tr>
      <w:tr w14:paraId="387774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39535F">
            <w:pPr>
              <w:widowControl/>
              <w:spacing w:before="100" w:beforeAutospacing="1" w:after="100" w:afterAutospacing="1" w:line="320" w:lineRule="exact"/>
              <w:jc w:val="left"/>
              <w:rPr>
                <w:rFonts w:ascii="宋体" w:hAnsi="宋体"/>
                <w:color w:val="auto"/>
                <w:kern w:val="0"/>
                <w:szCs w:val="21"/>
              </w:rPr>
            </w:pPr>
            <w:r>
              <w:rPr>
                <w:rFonts w:ascii="宋体" w:hAnsi="宋体"/>
                <w:color w:val="auto"/>
                <w:kern w:val="0"/>
                <w:szCs w:val="21"/>
              </w:rPr>
              <w:t>验收小组成员签字：</w:t>
            </w:r>
          </w:p>
          <w:p w14:paraId="1B714836">
            <w:pPr>
              <w:widowControl/>
              <w:spacing w:before="100" w:beforeAutospacing="1" w:after="100" w:afterAutospacing="1" w:line="320" w:lineRule="exact"/>
              <w:jc w:val="left"/>
              <w:rPr>
                <w:rFonts w:ascii="宋体" w:hAnsi="宋体"/>
                <w:color w:val="auto"/>
                <w:kern w:val="0"/>
                <w:szCs w:val="21"/>
              </w:rPr>
            </w:pPr>
          </w:p>
        </w:tc>
      </w:tr>
      <w:tr w14:paraId="5643D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91063CA">
            <w:pPr>
              <w:widowControl/>
              <w:spacing w:before="100" w:beforeAutospacing="1" w:after="100" w:afterAutospacing="1" w:line="320" w:lineRule="exact"/>
              <w:jc w:val="left"/>
              <w:rPr>
                <w:rFonts w:ascii="宋体" w:hAnsi="宋体"/>
                <w:color w:val="auto"/>
                <w:kern w:val="0"/>
                <w:szCs w:val="21"/>
              </w:rPr>
            </w:pPr>
            <w:r>
              <w:rPr>
                <w:rFonts w:ascii="宋体" w:hAnsi="宋体"/>
                <w:color w:val="auto"/>
                <w:kern w:val="0"/>
                <w:szCs w:val="21"/>
              </w:rPr>
              <w:t>监督人员或其他相关人员签字：</w:t>
            </w:r>
          </w:p>
          <w:p w14:paraId="5CA33FC2">
            <w:pPr>
              <w:widowControl/>
              <w:spacing w:before="100" w:beforeAutospacing="1" w:after="100" w:afterAutospacing="1" w:line="320" w:lineRule="exact"/>
              <w:ind w:firstLine="65" w:firstLineChars="31"/>
              <w:jc w:val="left"/>
              <w:rPr>
                <w:rFonts w:ascii="宋体" w:hAnsi="宋体"/>
                <w:color w:val="auto"/>
                <w:kern w:val="0"/>
                <w:szCs w:val="21"/>
              </w:rPr>
            </w:pPr>
            <w:r>
              <w:rPr>
                <w:rFonts w:ascii="宋体" w:hAnsi="宋体"/>
                <w:color w:val="auto"/>
                <w:kern w:val="0"/>
                <w:szCs w:val="21"/>
              </w:rPr>
              <w:t>或受邀机构的意见（盖章）：</w:t>
            </w:r>
          </w:p>
        </w:tc>
      </w:tr>
      <w:tr w14:paraId="460E68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4F7B62C9">
            <w:pPr>
              <w:widowControl/>
              <w:spacing w:before="100" w:beforeAutospacing="1" w:after="100" w:afterAutospacing="1" w:line="320" w:lineRule="exact"/>
              <w:ind w:firstLine="65" w:firstLineChars="31"/>
              <w:jc w:val="left"/>
              <w:rPr>
                <w:rFonts w:ascii="宋体" w:hAnsi="宋体"/>
                <w:color w:val="auto"/>
                <w:kern w:val="0"/>
                <w:szCs w:val="21"/>
              </w:rPr>
            </w:pPr>
            <w:r>
              <w:rPr>
                <w:rFonts w:ascii="宋体" w:hAnsi="宋体"/>
                <w:color w:val="auto"/>
                <w:kern w:val="0"/>
                <w:szCs w:val="21"/>
              </w:rPr>
              <w:t>中标或者成交供应商负责人签字或盖章：</w:t>
            </w:r>
          </w:p>
          <w:p w14:paraId="5EBE200F">
            <w:pPr>
              <w:widowControl/>
              <w:spacing w:before="100" w:beforeAutospacing="1" w:after="100" w:afterAutospacing="1" w:line="320" w:lineRule="exact"/>
              <w:jc w:val="left"/>
              <w:rPr>
                <w:rFonts w:ascii="宋体" w:hAnsi="宋体"/>
                <w:color w:val="auto"/>
                <w:kern w:val="0"/>
                <w:szCs w:val="21"/>
              </w:rPr>
            </w:pPr>
            <w:r>
              <w:rPr>
                <w:rFonts w:ascii="宋体" w:hAnsi="宋体"/>
                <w:color w:val="auto"/>
                <w:kern w:val="0"/>
                <w:szCs w:val="21"/>
              </w:rPr>
              <w:t>联系电话：     </w:t>
            </w:r>
            <w:r>
              <w:rPr>
                <w:rFonts w:hint="eastAsia" w:ascii="宋体" w:hAnsi="宋体"/>
                <w:color w:val="auto"/>
                <w:kern w:val="0"/>
                <w:szCs w:val="21"/>
              </w:rPr>
              <w:t xml:space="preserve">   </w:t>
            </w:r>
            <w:r>
              <w:rPr>
                <w:rFonts w:ascii="宋体" w:hAnsi="宋体"/>
                <w:color w:val="auto"/>
                <w:kern w:val="0"/>
                <w:szCs w:val="21"/>
              </w:rPr>
              <w:t>  年</w:t>
            </w:r>
            <w:r>
              <w:rPr>
                <w:rFonts w:hint="eastAsia" w:ascii="宋体" w:hAnsi="宋体"/>
                <w:color w:val="auto"/>
                <w:kern w:val="0"/>
                <w:szCs w:val="21"/>
              </w:rPr>
              <w:t xml:space="preserve">  </w:t>
            </w:r>
            <w:r>
              <w:rPr>
                <w:rFonts w:ascii="宋体" w:hAnsi="宋体"/>
                <w:color w:val="auto"/>
                <w:kern w:val="0"/>
                <w:szCs w:val="21"/>
              </w:rPr>
              <w:t> 月 </w:t>
            </w:r>
            <w:r>
              <w:rPr>
                <w:rFonts w:hint="eastAsia" w:ascii="宋体" w:hAnsi="宋体"/>
                <w:color w:val="auto"/>
                <w:kern w:val="0"/>
                <w:szCs w:val="21"/>
              </w:rPr>
              <w:t xml:space="preserve">  </w:t>
            </w:r>
            <w:r>
              <w:rPr>
                <w:rFonts w:ascii="宋体" w:hAnsi="宋体"/>
                <w:color w:val="auto"/>
                <w:kern w:val="0"/>
                <w:szCs w:val="21"/>
              </w:rPr>
              <w:t>日</w:t>
            </w:r>
          </w:p>
          <w:p w14:paraId="09FDF759">
            <w:pPr>
              <w:widowControl/>
              <w:spacing w:before="100" w:beforeAutospacing="1" w:after="100" w:afterAutospacing="1" w:line="320" w:lineRule="exact"/>
              <w:jc w:val="left"/>
              <w:rPr>
                <w:rFonts w:ascii="宋体" w:hAnsi="宋体"/>
                <w:color w:val="auto"/>
                <w:kern w:val="0"/>
                <w:szCs w:val="21"/>
              </w:rPr>
            </w:pPr>
          </w:p>
          <w:p w14:paraId="77C9705D">
            <w:pPr>
              <w:widowControl/>
              <w:spacing w:before="100" w:beforeAutospacing="1" w:after="100" w:afterAutospacing="1" w:line="320" w:lineRule="exact"/>
              <w:ind w:firstLine="65" w:firstLineChars="31"/>
              <w:jc w:val="left"/>
              <w:rPr>
                <w:rFonts w:ascii="宋体" w:hAnsi="宋体"/>
                <w:color w:val="auto"/>
                <w:kern w:val="0"/>
                <w:szCs w:val="21"/>
              </w:rPr>
            </w:pPr>
            <w:r>
              <w:rPr>
                <w:rFonts w:hint="eastAsia" w:ascii="宋体" w:hAnsi="宋体"/>
                <w:color w:val="auto"/>
                <w:kern w:val="0"/>
                <w:szCs w:val="21"/>
              </w:rPr>
              <w:t>采购人</w:t>
            </w:r>
            <w:r>
              <w:rPr>
                <w:rFonts w:ascii="宋体" w:hAnsi="宋体"/>
                <w:color w:val="auto"/>
                <w:kern w:val="0"/>
                <w:szCs w:val="21"/>
              </w:rPr>
              <w:t>签字或盖章：</w:t>
            </w:r>
          </w:p>
          <w:p w14:paraId="55C7B377">
            <w:pPr>
              <w:widowControl/>
              <w:spacing w:before="100" w:beforeAutospacing="1" w:after="100" w:afterAutospacing="1" w:line="320" w:lineRule="exact"/>
              <w:jc w:val="left"/>
              <w:rPr>
                <w:rFonts w:ascii="宋体" w:hAnsi="宋体"/>
                <w:color w:val="auto"/>
                <w:kern w:val="0"/>
                <w:szCs w:val="21"/>
              </w:rPr>
            </w:pPr>
            <w:r>
              <w:rPr>
                <w:rFonts w:ascii="宋体" w:hAnsi="宋体"/>
                <w:color w:val="auto"/>
                <w:kern w:val="0"/>
                <w:szCs w:val="21"/>
              </w:rPr>
              <w:t xml:space="preserve">联系电话：      </w:t>
            </w:r>
            <w:r>
              <w:rPr>
                <w:rFonts w:hint="eastAsia" w:ascii="宋体" w:hAnsi="宋体"/>
                <w:color w:val="auto"/>
                <w:kern w:val="0"/>
                <w:szCs w:val="21"/>
              </w:rPr>
              <w:t xml:space="preserve"> </w:t>
            </w:r>
            <w:r>
              <w:rPr>
                <w:rFonts w:ascii="宋体" w:hAnsi="宋体"/>
                <w:color w:val="auto"/>
                <w:kern w:val="0"/>
                <w:szCs w:val="21"/>
              </w:rPr>
              <w:t>  年</w:t>
            </w:r>
            <w:r>
              <w:rPr>
                <w:rFonts w:hint="eastAsia" w:ascii="宋体" w:hAnsi="宋体"/>
                <w:color w:val="auto"/>
                <w:kern w:val="0"/>
                <w:szCs w:val="21"/>
              </w:rPr>
              <w:t xml:space="preserve">  </w:t>
            </w:r>
            <w:r>
              <w:rPr>
                <w:rFonts w:ascii="宋体" w:hAnsi="宋体"/>
                <w:color w:val="auto"/>
                <w:kern w:val="0"/>
                <w:szCs w:val="21"/>
              </w:rPr>
              <w:t> 月 </w:t>
            </w:r>
            <w:r>
              <w:rPr>
                <w:rFonts w:hint="eastAsia" w:ascii="宋体" w:hAnsi="宋体"/>
                <w:color w:val="auto"/>
                <w:kern w:val="0"/>
                <w:szCs w:val="21"/>
              </w:rPr>
              <w:t xml:space="preserve">  </w:t>
            </w:r>
            <w:r>
              <w:rPr>
                <w:rFonts w:ascii="宋体" w:hAnsi="宋体"/>
                <w:color w:val="auto"/>
                <w:kern w:val="0"/>
                <w:szCs w:val="21"/>
              </w:rPr>
              <w:t>日</w:t>
            </w:r>
          </w:p>
        </w:tc>
        <w:tc>
          <w:tcPr>
            <w:tcW w:w="4860" w:type="dxa"/>
            <w:gridSpan w:val="4"/>
            <w:tcBorders>
              <w:top w:val="single" w:color="auto" w:sz="8" w:space="0"/>
              <w:left w:val="nil"/>
              <w:bottom w:val="single" w:color="auto" w:sz="8" w:space="0"/>
              <w:right w:val="single" w:color="auto" w:sz="8" w:space="0"/>
            </w:tcBorders>
            <w:vAlign w:val="center"/>
          </w:tcPr>
          <w:p w14:paraId="39C82EAD">
            <w:pPr>
              <w:widowControl/>
              <w:spacing w:before="100" w:beforeAutospacing="1" w:after="100" w:afterAutospacing="1" w:line="320" w:lineRule="exact"/>
              <w:jc w:val="left"/>
              <w:rPr>
                <w:rFonts w:ascii="宋体" w:hAnsi="宋体"/>
                <w:color w:val="auto"/>
                <w:kern w:val="0"/>
                <w:szCs w:val="21"/>
              </w:rPr>
            </w:pPr>
            <w:r>
              <w:rPr>
                <w:rFonts w:ascii="宋体" w:hAnsi="宋体"/>
                <w:color w:val="auto"/>
                <w:kern w:val="0"/>
                <w:szCs w:val="21"/>
              </w:rPr>
              <w:t> 受托机构的意见（盖章）：</w:t>
            </w:r>
          </w:p>
          <w:p w14:paraId="48DCB8E5">
            <w:pPr>
              <w:widowControl/>
              <w:spacing w:before="100" w:beforeAutospacing="1" w:after="100" w:afterAutospacing="1" w:line="320" w:lineRule="exact"/>
              <w:jc w:val="left"/>
              <w:rPr>
                <w:rFonts w:ascii="宋体" w:hAnsi="宋体"/>
                <w:color w:val="auto"/>
                <w:kern w:val="0"/>
                <w:szCs w:val="21"/>
              </w:rPr>
            </w:pPr>
            <w:r>
              <w:rPr>
                <w:rFonts w:ascii="宋体" w:hAnsi="宋体"/>
                <w:color w:val="auto"/>
                <w:kern w:val="0"/>
                <w:szCs w:val="21"/>
              </w:rPr>
              <w:t xml:space="preserve">联系电话：                 </w:t>
            </w:r>
            <w:r>
              <w:rPr>
                <w:rFonts w:hint="eastAsia" w:ascii="宋体" w:hAnsi="宋体"/>
                <w:color w:val="auto"/>
                <w:kern w:val="0"/>
                <w:szCs w:val="21"/>
              </w:rPr>
              <w:t xml:space="preserve">    </w:t>
            </w:r>
            <w:r>
              <w:rPr>
                <w:rFonts w:ascii="宋体" w:hAnsi="宋体"/>
                <w:color w:val="auto"/>
                <w:kern w:val="0"/>
                <w:szCs w:val="21"/>
              </w:rPr>
              <w:t>年   月   日</w:t>
            </w:r>
          </w:p>
          <w:p w14:paraId="55247E70">
            <w:pPr>
              <w:widowControl/>
              <w:spacing w:before="100" w:beforeAutospacing="1" w:after="100" w:afterAutospacing="1" w:line="320" w:lineRule="exact"/>
              <w:jc w:val="left"/>
              <w:rPr>
                <w:rFonts w:ascii="宋体" w:hAnsi="宋体"/>
                <w:color w:val="auto"/>
                <w:kern w:val="0"/>
                <w:szCs w:val="21"/>
              </w:rPr>
            </w:pPr>
          </w:p>
          <w:p w14:paraId="00132CBD">
            <w:pPr>
              <w:widowControl/>
              <w:spacing w:before="100" w:beforeAutospacing="1" w:after="100" w:afterAutospacing="1" w:line="320" w:lineRule="exact"/>
              <w:jc w:val="left"/>
              <w:rPr>
                <w:rFonts w:ascii="宋体" w:hAnsi="宋体"/>
                <w:color w:val="auto"/>
                <w:kern w:val="0"/>
                <w:szCs w:val="21"/>
              </w:rPr>
            </w:pPr>
          </w:p>
          <w:p w14:paraId="20D6B578">
            <w:pPr>
              <w:widowControl/>
              <w:spacing w:before="100" w:beforeAutospacing="1" w:after="100" w:afterAutospacing="1" w:line="320" w:lineRule="exact"/>
              <w:jc w:val="left"/>
              <w:rPr>
                <w:rFonts w:ascii="宋体" w:hAnsi="宋体"/>
                <w:color w:val="auto"/>
                <w:kern w:val="0"/>
                <w:szCs w:val="21"/>
              </w:rPr>
            </w:pPr>
          </w:p>
        </w:tc>
      </w:tr>
    </w:tbl>
    <w:p w14:paraId="6E30D7A1">
      <w:pPr>
        <w:widowControl/>
        <w:jc w:val="left"/>
        <w:rPr>
          <w:rFonts w:ascii="宋体" w:hAnsi="宋体"/>
          <w:bCs/>
          <w:color w:val="auto"/>
          <w:sz w:val="24"/>
        </w:rPr>
      </w:pPr>
      <w:r>
        <w:rPr>
          <w:rFonts w:ascii="宋体" w:hAnsi="宋体"/>
          <w:color w:val="auto"/>
          <w:spacing w:val="-10"/>
          <w:kern w:val="0"/>
          <w:szCs w:val="21"/>
        </w:rPr>
        <w:t>备注：本报告单一式4份（采购单位1份、供应商1份、采购监督部门备案1份、采购代理机构1份）</w:t>
      </w:r>
    </w:p>
    <w:p w14:paraId="7799E2FD">
      <w:pPr>
        <w:spacing w:before="120" w:line="320" w:lineRule="atLeast"/>
        <w:rPr>
          <w:rFonts w:ascii="宋体" w:hAnsi="宋体"/>
          <w:color w:val="auto"/>
          <w:szCs w:val="21"/>
        </w:rPr>
        <w:sectPr>
          <w:pgSz w:w="11906" w:h="16838"/>
          <w:pgMar w:top="1418" w:right="1418" w:bottom="1246" w:left="1418" w:header="851" w:footer="992" w:gutter="0"/>
          <w:cols w:space="720" w:num="1"/>
          <w:docGrid w:linePitch="312" w:charSpace="0"/>
        </w:sectPr>
      </w:pPr>
    </w:p>
    <w:bookmarkEnd w:id="0"/>
    <w:bookmarkEnd w:id="1"/>
    <w:bookmarkEnd w:id="73"/>
    <w:bookmarkEnd w:id="74"/>
    <w:p w14:paraId="34C64976">
      <w:pPr>
        <w:widowControl/>
        <w:jc w:val="center"/>
        <w:outlineLvl w:val="0"/>
        <w:rPr>
          <w:rFonts w:ascii="宋体" w:hAnsi="宋体"/>
          <w:color w:val="auto"/>
          <w:sz w:val="32"/>
          <w:szCs w:val="32"/>
        </w:rPr>
      </w:pPr>
      <w:bookmarkStart w:id="83" w:name="_Toc229435055"/>
      <w:r>
        <w:rPr>
          <w:rFonts w:ascii="宋体" w:hAnsi="宋体"/>
          <w:color w:val="auto"/>
          <w:sz w:val="32"/>
          <w:szCs w:val="32"/>
        </w:rPr>
        <w:t>第六章  响应文件格式</w:t>
      </w:r>
      <w:bookmarkEnd w:id="83"/>
    </w:p>
    <w:p w14:paraId="46E55F27">
      <w:pPr>
        <w:rPr>
          <w:rFonts w:ascii="宋体" w:hAnsi="宋体"/>
          <w:color w:val="auto"/>
          <w:sz w:val="28"/>
          <w:szCs w:val="28"/>
        </w:rPr>
      </w:pPr>
      <w:bookmarkStart w:id="84" w:name="_Toc254970556"/>
      <w:bookmarkStart w:id="85" w:name="_Toc254970697"/>
    </w:p>
    <w:bookmarkEnd w:id="84"/>
    <w:bookmarkEnd w:id="85"/>
    <w:p w14:paraId="79E89105">
      <w:pPr>
        <w:rPr>
          <w:rFonts w:ascii="宋体" w:hAnsi="宋体"/>
          <w:color w:val="auto"/>
          <w:sz w:val="28"/>
          <w:szCs w:val="28"/>
        </w:rPr>
      </w:pPr>
    </w:p>
    <w:p w14:paraId="0925D8ED">
      <w:pPr>
        <w:spacing w:line="500" w:lineRule="exact"/>
        <w:ind w:firstLine="560" w:firstLineChars="200"/>
        <w:rPr>
          <w:rFonts w:ascii="宋体" w:hAnsi="宋体"/>
          <w:color w:val="auto"/>
          <w:sz w:val="24"/>
        </w:rPr>
      </w:pPr>
      <w:bookmarkStart w:id="86" w:name="_Hlk19199063"/>
      <w:r>
        <w:rPr>
          <w:rFonts w:hint="eastAsia" w:ascii="宋体" w:hAnsi="宋体"/>
          <w:color w:val="auto"/>
          <w:sz w:val="28"/>
          <w:szCs w:val="28"/>
        </w:rPr>
        <w:t>注：有签字、盖章要求的应按要求</w:t>
      </w:r>
      <w:bookmarkEnd w:id="86"/>
      <w:r>
        <w:rPr>
          <w:rFonts w:hint="eastAsia" w:ascii="宋体" w:hAnsi="宋体"/>
          <w:color w:val="auto"/>
          <w:sz w:val="28"/>
          <w:szCs w:val="28"/>
        </w:rPr>
        <w:t>签字（签章）、盖章（签章）。</w:t>
      </w:r>
      <w:r>
        <w:rPr>
          <w:rFonts w:ascii="宋体" w:hAnsi="宋体"/>
          <w:bCs/>
          <w:color w:val="auto"/>
          <w:sz w:val="24"/>
        </w:rPr>
        <w:t xml:space="preserve"> </w:t>
      </w:r>
    </w:p>
    <w:p w14:paraId="3EBCA420">
      <w:pPr>
        <w:snapToGrid w:val="0"/>
        <w:spacing w:before="120" w:beforeLines="50" w:after="50" w:line="440" w:lineRule="exact"/>
        <w:jc w:val="left"/>
        <w:outlineLvl w:val="1"/>
        <w:rPr>
          <w:rFonts w:ascii="宋体" w:hAnsi="宋体"/>
          <w:b/>
          <w:color w:val="auto"/>
          <w:sz w:val="24"/>
        </w:rPr>
      </w:pPr>
      <w:r>
        <w:rPr>
          <w:rFonts w:ascii="宋体" w:hAnsi="宋体"/>
          <w:color w:val="auto"/>
          <w:sz w:val="24"/>
        </w:rPr>
        <w:br w:type="page"/>
      </w:r>
      <w:r>
        <w:rPr>
          <w:rFonts w:hint="eastAsia" w:ascii="宋体" w:hAnsi="宋体"/>
          <w:color w:val="auto"/>
          <w:sz w:val="24"/>
        </w:rPr>
        <w:t>1.</w:t>
      </w:r>
      <w:r>
        <w:rPr>
          <w:rFonts w:ascii="宋体" w:hAnsi="宋体"/>
          <w:color w:val="auto"/>
          <w:sz w:val="24"/>
        </w:rPr>
        <w:t>响应文件封面</w:t>
      </w:r>
      <w:r>
        <w:rPr>
          <w:rFonts w:hint="eastAsia" w:ascii="宋体" w:hAnsi="宋体"/>
          <w:color w:val="auto"/>
          <w:sz w:val="24"/>
        </w:rPr>
        <w:t>参考</w:t>
      </w:r>
      <w:r>
        <w:rPr>
          <w:rFonts w:ascii="宋体" w:hAnsi="宋体"/>
          <w:color w:val="auto"/>
          <w:sz w:val="24"/>
        </w:rPr>
        <w:t>格式</w:t>
      </w:r>
      <w:bookmarkStart w:id="87" w:name="_Hlk92966991"/>
      <w:r>
        <w:rPr>
          <w:rFonts w:hint="eastAsia" w:ascii="宋体" w:hAnsi="宋体"/>
          <w:color w:val="auto"/>
          <w:sz w:val="24"/>
        </w:rPr>
        <w:t>（资格证明文件）</w:t>
      </w:r>
      <w:bookmarkEnd w:id="87"/>
      <w:r>
        <w:rPr>
          <w:rFonts w:ascii="宋体" w:hAnsi="宋体"/>
          <w:color w:val="auto"/>
          <w:sz w:val="24"/>
        </w:rPr>
        <w:t>：</w:t>
      </w:r>
      <w:r>
        <w:rPr>
          <w:rFonts w:ascii="宋体" w:hAnsi="宋体"/>
          <w:b/>
          <w:bCs/>
          <w:color w:val="auto"/>
          <w:sz w:val="24"/>
        </w:rPr>
        <w:t xml:space="preserve"> </w:t>
      </w:r>
    </w:p>
    <w:p w14:paraId="0EDFE727">
      <w:pPr>
        <w:snapToGrid w:val="0"/>
        <w:spacing w:before="120" w:beforeLines="50" w:after="50" w:line="360" w:lineRule="exact"/>
        <w:rPr>
          <w:rFonts w:ascii="宋体" w:hAnsi="宋体"/>
          <w:color w:val="auto"/>
          <w:sz w:val="24"/>
        </w:rPr>
      </w:pPr>
    </w:p>
    <w:p w14:paraId="4A94A0F7">
      <w:pPr>
        <w:snapToGrid w:val="0"/>
        <w:spacing w:before="120" w:beforeLines="50" w:after="50" w:line="360" w:lineRule="exact"/>
        <w:jc w:val="right"/>
        <w:rPr>
          <w:rFonts w:ascii="宋体" w:hAnsi="宋体"/>
          <w:bCs/>
          <w:color w:val="auto"/>
          <w:sz w:val="24"/>
        </w:rPr>
      </w:pPr>
    </w:p>
    <w:p w14:paraId="2A25ACBE">
      <w:pPr>
        <w:snapToGrid w:val="0"/>
        <w:spacing w:before="120" w:beforeLines="50" w:after="50" w:line="360" w:lineRule="exact"/>
        <w:jc w:val="center"/>
        <w:rPr>
          <w:rFonts w:ascii="宋体" w:hAnsi="宋体"/>
          <w:bCs/>
          <w:color w:val="auto"/>
          <w:sz w:val="24"/>
        </w:rPr>
      </w:pPr>
      <w:r>
        <w:rPr>
          <w:rFonts w:hint="eastAsia" w:ascii="宋体" w:hAnsi="宋体"/>
          <w:b/>
          <w:color w:val="auto"/>
          <w:sz w:val="44"/>
        </w:rPr>
        <w:t>电子响应文件</w:t>
      </w:r>
    </w:p>
    <w:p w14:paraId="6777A031">
      <w:pPr>
        <w:snapToGrid w:val="0"/>
        <w:spacing w:before="120" w:beforeLines="50" w:after="50" w:line="360" w:lineRule="exact"/>
        <w:jc w:val="center"/>
        <w:rPr>
          <w:rFonts w:ascii="宋体" w:hAnsi="宋体"/>
          <w:b/>
          <w:bCs/>
          <w:color w:val="auto"/>
          <w:sz w:val="44"/>
          <w:szCs w:val="44"/>
        </w:rPr>
      </w:pPr>
    </w:p>
    <w:p w14:paraId="176FAEAC">
      <w:pPr>
        <w:snapToGrid w:val="0"/>
        <w:spacing w:before="120" w:beforeLines="50" w:after="50" w:line="360" w:lineRule="exact"/>
        <w:jc w:val="center"/>
        <w:rPr>
          <w:rFonts w:ascii="宋体" w:hAnsi="宋体"/>
          <w:b/>
          <w:bCs/>
          <w:color w:val="auto"/>
          <w:sz w:val="44"/>
          <w:szCs w:val="44"/>
        </w:rPr>
      </w:pPr>
    </w:p>
    <w:p w14:paraId="460F4782">
      <w:pPr>
        <w:snapToGrid w:val="0"/>
        <w:spacing w:before="120" w:beforeLines="50" w:after="50" w:line="360" w:lineRule="exact"/>
        <w:jc w:val="center"/>
        <w:rPr>
          <w:rFonts w:ascii="宋体" w:hAnsi="宋体"/>
          <w:b/>
          <w:bCs/>
          <w:color w:val="auto"/>
          <w:sz w:val="44"/>
          <w:szCs w:val="44"/>
        </w:rPr>
      </w:pPr>
      <w:bookmarkStart w:id="88" w:name="_Hlk92967018"/>
      <w:r>
        <w:rPr>
          <w:rFonts w:ascii="宋体" w:hAnsi="宋体"/>
          <w:b/>
          <w:bCs/>
          <w:color w:val="auto"/>
          <w:sz w:val="44"/>
          <w:szCs w:val="44"/>
        </w:rPr>
        <w:t>资格</w:t>
      </w:r>
      <w:r>
        <w:rPr>
          <w:rFonts w:hint="eastAsia" w:ascii="宋体" w:hAnsi="宋体"/>
          <w:b/>
          <w:bCs/>
          <w:color w:val="auto"/>
          <w:sz w:val="44"/>
          <w:szCs w:val="44"/>
        </w:rPr>
        <w:t>证明文件</w:t>
      </w:r>
    </w:p>
    <w:bookmarkEnd w:id="88"/>
    <w:p w14:paraId="24D238E1">
      <w:pPr>
        <w:snapToGrid w:val="0"/>
        <w:spacing w:before="120" w:beforeLines="50" w:after="50" w:line="360" w:lineRule="exact"/>
        <w:jc w:val="center"/>
        <w:rPr>
          <w:rFonts w:ascii="宋体" w:hAnsi="宋体"/>
          <w:b/>
          <w:bCs/>
          <w:color w:val="auto"/>
          <w:sz w:val="44"/>
          <w:szCs w:val="44"/>
        </w:rPr>
      </w:pPr>
    </w:p>
    <w:p w14:paraId="1CEB80B7">
      <w:pPr>
        <w:snapToGrid w:val="0"/>
        <w:spacing w:before="120" w:beforeLines="50" w:after="50" w:line="360" w:lineRule="exact"/>
        <w:rPr>
          <w:rFonts w:ascii="宋体" w:hAnsi="宋体"/>
          <w:bCs/>
          <w:color w:val="auto"/>
          <w:sz w:val="24"/>
        </w:rPr>
      </w:pPr>
    </w:p>
    <w:p w14:paraId="6D489593">
      <w:pPr>
        <w:snapToGrid w:val="0"/>
        <w:spacing w:before="120" w:beforeLines="50" w:after="50" w:line="360" w:lineRule="exact"/>
        <w:ind w:firstLine="720" w:firstLineChars="300"/>
        <w:rPr>
          <w:rFonts w:ascii="宋体" w:hAnsi="宋体"/>
          <w:bCs/>
          <w:color w:val="auto"/>
          <w:sz w:val="24"/>
        </w:rPr>
      </w:pPr>
      <w:r>
        <w:rPr>
          <w:rFonts w:ascii="宋体" w:hAnsi="宋体"/>
          <w:bCs/>
          <w:color w:val="auto"/>
          <w:sz w:val="24"/>
        </w:rPr>
        <w:t xml:space="preserve">项目名称： </w:t>
      </w:r>
    </w:p>
    <w:p w14:paraId="5DC48398">
      <w:pPr>
        <w:snapToGrid w:val="0"/>
        <w:spacing w:before="120" w:beforeLines="50" w:after="50" w:line="360" w:lineRule="exact"/>
        <w:ind w:firstLine="720" w:firstLineChars="300"/>
        <w:rPr>
          <w:rFonts w:ascii="宋体" w:hAnsi="宋体"/>
          <w:bCs/>
          <w:color w:val="auto"/>
          <w:sz w:val="24"/>
        </w:rPr>
      </w:pPr>
      <w:r>
        <w:rPr>
          <w:rFonts w:ascii="宋体" w:hAnsi="宋体"/>
          <w:bCs/>
          <w:color w:val="auto"/>
          <w:sz w:val="24"/>
        </w:rPr>
        <w:t>项目编号：</w:t>
      </w:r>
    </w:p>
    <w:p w14:paraId="72A14725">
      <w:pPr>
        <w:snapToGrid w:val="0"/>
        <w:spacing w:before="120" w:beforeLines="50" w:after="50" w:line="440" w:lineRule="exact"/>
        <w:ind w:firstLine="720" w:firstLineChars="300"/>
        <w:rPr>
          <w:rFonts w:ascii="宋体" w:hAnsi="宋体"/>
          <w:bCs/>
          <w:color w:val="auto"/>
          <w:sz w:val="24"/>
        </w:rPr>
      </w:pPr>
      <w:r>
        <w:rPr>
          <w:rFonts w:ascii="宋体" w:hAnsi="宋体"/>
          <w:bCs/>
          <w:color w:val="auto"/>
          <w:sz w:val="24"/>
        </w:rPr>
        <w:t>分标号：（若无</w:t>
      </w:r>
      <w:r>
        <w:rPr>
          <w:rFonts w:hint="eastAsia" w:ascii="宋体" w:hAnsi="宋体"/>
          <w:bCs/>
          <w:color w:val="auto"/>
          <w:sz w:val="24"/>
        </w:rPr>
        <w:t>留空或写</w:t>
      </w:r>
      <w:r>
        <w:rPr>
          <w:rFonts w:ascii="宋体" w:hAnsi="宋体"/>
          <w:bCs/>
          <w:color w:val="auto"/>
          <w:sz w:val="24"/>
        </w:rPr>
        <w:t>“/”）</w:t>
      </w:r>
    </w:p>
    <w:p w14:paraId="67457D1D">
      <w:pPr>
        <w:snapToGrid w:val="0"/>
        <w:spacing w:before="120" w:beforeLines="50" w:after="50" w:line="360" w:lineRule="exact"/>
        <w:ind w:firstLine="720" w:firstLineChars="300"/>
        <w:rPr>
          <w:rFonts w:ascii="宋体" w:hAnsi="宋体"/>
          <w:bCs/>
          <w:color w:val="auto"/>
          <w:sz w:val="24"/>
        </w:rPr>
      </w:pPr>
      <w:r>
        <w:rPr>
          <w:rFonts w:ascii="宋体" w:hAnsi="宋体"/>
          <w:bCs/>
          <w:color w:val="auto"/>
          <w:sz w:val="24"/>
        </w:rPr>
        <w:t>供应商名称：</w:t>
      </w:r>
    </w:p>
    <w:p w14:paraId="6558F844">
      <w:pPr>
        <w:snapToGrid w:val="0"/>
        <w:spacing w:before="120" w:beforeLines="50" w:after="50" w:line="360" w:lineRule="exact"/>
        <w:ind w:firstLine="720" w:firstLineChars="300"/>
        <w:rPr>
          <w:rFonts w:ascii="宋体" w:hAnsi="宋体"/>
          <w:bCs/>
          <w:color w:val="auto"/>
          <w:sz w:val="24"/>
        </w:rPr>
      </w:pPr>
      <w:r>
        <w:rPr>
          <w:rFonts w:ascii="宋体" w:hAnsi="宋体"/>
          <w:bCs/>
          <w:color w:val="auto"/>
          <w:sz w:val="24"/>
        </w:rPr>
        <w:t>供应商地址：</w:t>
      </w:r>
    </w:p>
    <w:p w14:paraId="49F49A75">
      <w:pPr>
        <w:pStyle w:val="8"/>
        <w:snapToGrid w:val="0"/>
        <w:spacing w:before="50" w:after="50" w:line="360" w:lineRule="exact"/>
        <w:ind w:firstLine="960" w:firstLineChars="400"/>
        <w:rPr>
          <w:rFonts w:ascii="宋体" w:hAnsi="宋体"/>
          <w:bCs/>
          <w:color w:val="auto"/>
          <w:sz w:val="24"/>
          <w:szCs w:val="24"/>
        </w:rPr>
      </w:pPr>
    </w:p>
    <w:p w14:paraId="4CF2C040">
      <w:pPr>
        <w:snapToGrid w:val="0"/>
        <w:spacing w:before="120" w:beforeLines="50" w:after="50" w:line="360" w:lineRule="exact"/>
        <w:jc w:val="center"/>
        <w:rPr>
          <w:rFonts w:ascii="宋体" w:hAnsi="宋体"/>
          <w:color w:val="auto"/>
          <w:sz w:val="24"/>
        </w:rPr>
      </w:pPr>
      <w:r>
        <w:rPr>
          <w:rFonts w:ascii="宋体" w:hAnsi="宋体"/>
          <w:color w:val="auto"/>
          <w:sz w:val="24"/>
        </w:rPr>
        <w:t xml:space="preserve">                        年  月  日</w:t>
      </w:r>
    </w:p>
    <w:p w14:paraId="24A78B87">
      <w:pPr>
        <w:snapToGrid w:val="0"/>
        <w:spacing w:before="50" w:after="50" w:line="440" w:lineRule="exact"/>
        <w:rPr>
          <w:rFonts w:ascii="宋体" w:hAnsi="宋体"/>
          <w:b/>
          <w:color w:val="auto"/>
          <w:sz w:val="24"/>
        </w:rPr>
      </w:pPr>
      <w:r>
        <w:rPr>
          <w:rFonts w:ascii="宋体" w:hAnsi="宋体"/>
          <w:b/>
          <w:color w:val="auto"/>
          <w:sz w:val="24"/>
        </w:rPr>
        <w:t xml:space="preserve"> </w:t>
      </w:r>
    </w:p>
    <w:p w14:paraId="653D0442">
      <w:pPr>
        <w:snapToGrid w:val="0"/>
        <w:spacing w:before="120" w:beforeLines="50" w:after="50" w:line="360" w:lineRule="exact"/>
        <w:jc w:val="center"/>
        <w:rPr>
          <w:rFonts w:ascii="宋体" w:hAnsi="宋体"/>
          <w:color w:val="auto"/>
          <w:sz w:val="24"/>
        </w:rPr>
      </w:pPr>
    </w:p>
    <w:p w14:paraId="4DCE5B62">
      <w:pPr>
        <w:snapToGrid w:val="0"/>
        <w:spacing w:before="120" w:beforeLines="50" w:after="50" w:line="440" w:lineRule="exact"/>
        <w:jc w:val="center"/>
        <w:rPr>
          <w:rFonts w:ascii="宋体" w:hAnsi="宋体"/>
          <w:b/>
          <w:bCs/>
          <w:color w:val="auto"/>
          <w:sz w:val="24"/>
        </w:rPr>
      </w:pPr>
      <w:bookmarkStart w:id="89" w:name="_Toc254970557"/>
      <w:bookmarkStart w:id="90" w:name="_Toc254970698"/>
      <w:r>
        <w:rPr>
          <w:rFonts w:ascii="宋体" w:hAnsi="宋体"/>
          <w:color w:val="auto"/>
          <w:sz w:val="24"/>
        </w:rPr>
        <w:br w:type="page"/>
      </w:r>
      <w:bookmarkEnd w:id="89"/>
      <w:bookmarkEnd w:id="90"/>
    </w:p>
    <w:p w14:paraId="0CEFC040">
      <w:pPr>
        <w:snapToGrid w:val="0"/>
        <w:spacing w:before="120" w:beforeLines="50" w:after="50" w:line="440" w:lineRule="exact"/>
        <w:jc w:val="center"/>
        <w:rPr>
          <w:rFonts w:ascii="宋体" w:hAnsi="宋体"/>
          <w:color w:val="auto"/>
          <w:sz w:val="24"/>
        </w:rPr>
      </w:pPr>
    </w:p>
    <w:p w14:paraId="4DC01EC5">
      <w:pPr>
        <w:snapToGrid w:val="0"/>
        <w:spacing w:before="50" w:after="50" w:line="440" w:lineRule="exact"/>
        <w:ind w:firstLine="138" w:firstLineChars="49"/>
        <w:jc w:val="center"/>
        <w:rPr>
          <w:rFonts w:ascii="宋体" w:hAnsi="宋体"/>
          <w:b/>
          <w:color w:val="auto"/>
          <w:sz w:val="28"/>
          <w:szCs w:val="28"/>
        </w:rPr>
      </w:pPr>
      <w:r>
        <w:rPr>
          <w:rFonts w:ascii="宋体" w:hAnsi="宋体"/>
          <w:b/>
          <w:color w:val="auto"/>
          <w:sz w:val="28"/>
          <w:szCs w:val="28"/>
        </w:rPr>
        <w:t>目录</w:t>
      </w:r>
    </w:p>
    <w:p w14:paraId="289F7BB4">
      <w:pPr>
        <w:jc w:val="center"/>
        <w:rPr>
          <w:rFonts w:ascii="宋体" w:hAnsi="宋体"/>
          <w:b/>
          <w:color w:val="auto"/>
          <w:sz w:val="24"/>
        </w:rPr>
      </w:pPr>
      <w:r>
        <w:rPr>
          <w:rFonts w:ascii="宋体" w:hAnsi="宋体"/>
          <w:b/>
          <w:color w:val="auto"/>
          <w:sz w:val="24"/>
        </w:rPr>
        <w:t>（需有页码）</w:t>
      </w:r>
    </w:p>
    <w:p w14:paraId="55CA6776">
      <w:pPr>
        <w:jc w:val="center"/>
        <w:rPr>
          <w:rFonts w:ascii="宋体" w:hAnsi="宋体"/>
          <w:bCs/>
          <w:vanish/>
          <w:color w:val="auto"/>
          <w:sz w:val="24"/>
        </w:rPr>
      </w:pPr>
      <w:r>
        <w:rPr>
          <w:rFonts w:ascii="宋体" w:hAnsi="宋体"/>
          <w:color w:val="auto"/>
        </w:rPr>
        <w:br w:type="page"/>
      </w:r>
      <w:r>
        <w:rPr>
          <w:rFonts w:ascii="宋体" w:hAnsi="宋体"/>
          <w:bCs/>
          <w:color w:val="auto"/>
          <w:sz w:val="24"/>
        </w:rPr>
        <w:t>第一部分 资格</w:t>
      </w:r>
      <w:r>
        <w:rPr>
          <w:rFonts w:hint="eastAsia" w:ascii="宋体" w:hAnsi="宋体"/>
          <w:bCs/>
          <w:color w:val="auto"/>
          <w:sz w:val="24"/>
        </w:rPr>
        <w:t>证明</w:t>
      </w:r>
      <w:r>
        <w:rPr>
          <w:rFonts w:ascii="宋体" w:hAnsi="宋体"/>
          <w:bCs/>
          <w:color w:val="auto"/>
          <w:sz w:val="24"/>
        </w:rPr>
        <w:t>文件</w:t>
      </w:r>
    </w:p>
    <w:p w14:paraId="5F01FC77">
      <w:pPr>
        <w:snapToGrid w:val="0"/>
        <w:spacing w:before="50" w:after="120" w:afterLines="50" w:line="400" w:lineRule="exact"/>
        <w:jc w:val="left"/>
        <w:rPr>
          <w:rFonts w:ascii="宋体" w:hAnsi="宋体"/>
          <w:b/>
          <w:color w:val="auto"/>
          <w:szCs w:val="21"/>
        </w:rPr>
      </w:pPr>
      <w:bookmarkStart w:id="91" w:name="_Hlk19199154"/>
    </w:p>
    <w:p w14:paraId="769BF4FA">
      <w:pPr>
        <w:snapToGrid w:val="0"/>
        <w:spacing w:before="50" w:after="120" w:afterLines="50" w:line="400" w:lineRule="exact"/>
        <w:jc w:val="left"/>
        <w:rPr>
          <w:rFonts w:ascii="宋体" w:hAnsi="宋体"/>
          <w:b/>
          <w:color w:val="auto"/>
          <w:szCs w:val="21"/>
        </w:rPr>
      </w:pPr>
      <w:r>
        <w:rPr>
          <w:rFonts w:ascii="宋体" w:hAnsi="宋体"/>
          <w:b/>
          <w:color w:val="auto"/>
          <w:szCs w:val="21"/>
        </w:rPr>
        <w:t>1．响应声明书格式：</w:t>
      </w:r>
      <w:bookmarkEnd w:id="91"/>
    </w:p>
    <w:p w14:paraId="7AF8AEC9">
      <w:pPr>
        <w:snapToGrid w:val="0"/>
        <w:spacing w:before="120" w:beforeLines="50" w:after="50" w:line="360" w:lineRule="exact"/>
        <w:jc w:val="center"/>
        <w:rPr>
          <w:rFonts w:ascii="宋体" w:hAnsi="宋体"/>
          <w:b/>
          <w:color w:val="auto"/>
          <w:szCs w:val="21"/>
        </w:rPr>
      </w:pPr>
      <w:r>
        <w:rPr>
          <w:rFonts w:ascii="宋体" w:hAnsi="宋体"/>
          <w:b/>
          <w:color w:val="auto"/>
          <w:szCs w:val="21"/>
        </w:rPr>
        <w:t>响应声明书</w:t>
      </w:r>
    </w:p>
    <w:p w14:paraId="4A6F5087">
      <w:pPr>
        <w:snapToGrid w:val="0"/>
        <w:spacing w:before="120" w:beforeLines="50" w:after="50" w:line="360" w:lineRule="exact"/>
        <w:jc w:val="center"/>
        <w:rPr>
          <w:rFonts w:ascii="宋体" w:hAnsi="宋体"/>
          <w:color w:val="auto"/>
          <w:szCs w:val="21"/>
        </w:rPr>
      </w:pPr>
    </w:p>
    <w:p w14:paraId="55803A4B">
      <w:pPr>
        <w:snapToGrid w:val="0"/>
        <w:spacing w:before="120" w:beforeLines="50" w:after="50" w:line="360" w:lineRule="exact"/>
        <w:rPr>
          <w:rFonts w:ascii="宋体" w:hAnsi="宋体"/>
          <w:color w:val="auto"/>
          <w:szCs w:val="21"/>
        </w:rPr>
      </w:pPr>
      <w:bookmarkStart w:id="92" w:name="_Hlk19199166"/>
      <w:r>
        <w:rPr>
          <w:rFonts w:ascii="宋体" w:hAnsi="宋体"/>
          <w:color w:val="auto"/>
          <w:szCs w:val="21"/>
        </w:rPr>
        <w:t>致：</w:t>
      </w:r>
      <w:r>
        <w:rPr>
          <w:rFonts w:ascii="宋体" w:hAnsi="宋体"/>
          <w:i/>
          <w:iCs/>
          <w:color w:val="auto"/>
          <w:szCs w:val="21"/>
          <w:u w:val="single"/>
        </w:rPr>
        <w:t>（采购</w:t>
      </w:r>
      <w:r>
        <w:rPr>
          <w:rFonts w:hint="eastAsia" w:ascii="宋体" w:hAnsi="宋体"/>
          <w:i/>
          <w:iCs/>
          <w:color w:val="auto"/>
          <w:szCs w:val="21"/>
          <w:u w:val="single"/>
        </w:rPr>
        <w:t>人</w:t>
      </w:r>
      <w:r>
        <w:rPr>
          <w:rFonts w:ascii="宋体" w:hAnsi="宋体"/>
          <w:i/>
          <w:iCs/>
          <w:color w:val="auto"/>
          <w:szCs w:val="21"/>
          <w:u w:val="single"/>
        </w:rPr>
        <w:t>名称）</w:t>
      </w:r>
      <w:r>
        <w:rPr>
          <w:rFonts w:ascii="宋体" w:hAnsi="宋体"/>
          <w:color w:val="auto"/>
          <w:szCs w:val="21"/>
        </w:rPr>
        <w:t>：</w:t>
      </w:r>
    </w:p>
    <w:p w14:paraId="12C9778D">
      <w:pPr>
        <w:snapToGrid w:val="0"/>
        <w:spacing w:before="120" w:beforeLines="50" w:after="50" w:line="360" w:lineRule="exact"/>
        <w:ind w:firstLine="630" w:firstLineChars="300"/>
        <w:rPr>
          <w:rFonts w:ascii="宋体" w:hAnsi="宋体"/>
          <w:color w:val="auto"/>
          <w:szCs w:val="21"/>
        </w:rPr>
      </w:pPr>
      <w:r>
        <w:rPr>
          <w:rFonts w:ascii="宋体" w:hAnsi="宋体"/>
          <w:i/>
          <w:iCs/>
          <w:color w:val="auto"/>
          <w:szCs w:val="21"/>
          <w:u w:val="single"/>
        </w:rPr>
        <w:t>（供应商名称）</w:t>
      </w:r>
      <w:r>
        <w:rPr>
          <w:rFonts w:ascii="宋体" w:hAnsi="宋体"/>
          <w:color w:val="auto"/>
          <w:szCs w:val="21"/>
        </w:rPr>
        <w:t>系中华人民共和国合法企业，</w:t>
      </w:r>
      <w:r>
        <w:rPr>
          <w:rFonts w:hint="eastAsia" w:ascii="宋体" w:hAnsi="宋体"/>
          <w:color w:val="auto"/>
          <w:szCs w:val="21"/>
          <w:u w:val="single"/>
        </w:rPr>
        <w:t xml:space="preserve"> </w:t>
      </w:r>
      <w:r>
        <w:rPr>
          <w:rFonts w:ascii="宋体" w:hAnsi="宋体"/>
          <w:i/>
          <w:iCs/>
          <w:color w:val="auto"/>
          <w:szCs w:val="21"/>
          <w:u w:val="single"/>
        </w:rPr>
        <w:t xml:space="preserve"> </w:t>
      </w:r>
      <w:r>
        <w:rPr>
          <w:rFonts w:hint="eastAsia" w:ascii="宋体" w:hAnsi="宋体"/>
          <w:i/>
          <w:iCs/>
          <w:color w:val="auto"/>
          <w:szCs w:val="21"/>
          <w:u w:val="single"/>
        </w:rPr>
        <w:t>（</w:t>
      </w:r>
      <w:r>
        <w:rPr>
          <w:rFonts w:ascii="宋体" w:hAnsi="宋体"/>
          <w:i/>
          <w:iCs/>
          <w:color w:val="auto"/>
          <w:szCs w:val="21"/>
          <w:u w:val="single"/>
        </w:rPr>
        <w:t>经营地址</w:t>
      </w:r>
      <w:r>
        <w:rPr>
          <w:rFonts w:hint="eastAsia" w:ascii="宋体" w:hAnsi="宋体"/>
          <w:i/>
          <w:iCs/>
          <w:color w:val="auto"/>
          <w:szCs w:val="21"/>
          <w:u w:val="single"/>
        </w:rPr>
        <w:t xml:space="preserve">） </w:t>
      </w:r>
      <w:r>
        <w:rPr>
          <w:rFonts w:ascii="宋体" w:hAnsi="宋体"/>
          <w:i/>
          <w:iCs/>
          <w:color w:val="auto"/>
          <w:szCs w:val="21"/>
          <w:u w:val="single"/>
        </w:rPr>
        <w:t xml:space="preserve"> </w:t>
      </w:r>
      <w:r>
        <w:rPr>
          <w:rFonts w:ascii="宋体" w:hAnsi="宋体"/>
          <w:color w:val="auto"/>
          <w:szCs w:val="21"/>
          <w:u w:val="single"/>
        </w:rPr>
        <w:t xml:space="preserve">  </w:t>
      </w:r>
      <w:r>
        <w:rPr>
          <w:rFonts w:ascii="宋体" w:hAnsi="宋体"/>
          <w:color w:val="auto"/>
          <w:szCs w:val="21"/>
        </w:rPr>
        <w:t>。</w:t>
      </w:r>
    </w:p>
    <w:p w14:paraId="5DCA7D98">
      <w:pPr>
        <w:snapToGrid w:val="0"/>
        <w:spacing w:before="120" w:beforeLines="50" w:after="50" w:line="360" w:lineRule="exact"/>
        <w:ind w:firstLine="645"/>
        <w:rPr>
          <w:rFonts w:ascii="宋体" w:hAnsi="宋体"/>
          <w:color w:val="auto"/>
          <w:szCs w:val="21"/>
        </w:rPr>
      </w:pPr>
      <w:r>
        <w:rPr>
          <w:rFonts w:ascii="宋体" w:hAnsi="宋体"/>
          <w:color w:val="auto"/>
          <w:szCs w:val="21"/>
        </w:rPr>
        <w:t>我</w:t>
      </w:r>
      <w:r>
        <w:rPr>
          <w:rFonts w:ascii="宋体" w:hAnsi="宋体"/>
          <w:i/>
          <w:iCs/>
          <w:color w:val="auto"/>
          <w:szCs w:val="21"/>
          <w:u w:val="single"/>
        </w:rPr>
        <w:t>（姓名）</w:t>
      </w:r>
      <w:r>
        <w:rPr>
          <w:rFonts w:hint="eastAsia" w:ascii="宋体" w:hAnsi="宋体"/>
          <w:i/>
          <w:iCs/>
          <w:color w:val="auto"/>
          <w:szCs w:val="21"/>
          <w:u w:val="single"/>
        </w:rPr>
        <w:t xml:space="preserve"> </w:t>
      </w:r>
      <w:r>
        <w:rPr>
          <w:rFonts w:ascii="宋体" w:hAnsi="宋体"/>
          <w:color w:val="auto"/>
          <w:szCs w:val="21"/>
        </w:rPr>
        <w:t>系</w:t>
      </w:r>
      <w:r>
        <w:rPr>
          <w:rFonts w:ascii="宋体" w:hAnsi="宋体"/>
          <w:i/>
          <w:iCs/>
          <w:color w:val="auto"/>
          <w:szCs w:val="21"/>
          <w:u w:val="single"/>
        </w:rPr>
        <w:t>（供应商名称）</w:t>
      </w:r>
      <w:r>
        <w:rPr>
          <w:rFonts w:ascii="宋体" w:hAnsi="宋体"/>
          <w:color w:val="auto"/>
          <w:szCs w:val="21"/>
        </w:rPr>
        <w:t>的法定代表人，我方愿意参加贵方组织的</w:t>
      </w:r>
      <w:r>
        <w:rPr>
          <w:rFonts w:hint="eastAsia" w:ascii="宋体" w:hAnsi="宋体"/>
          <w:i/>
          <w:iCs/>
          <w:color w:val="auto"/>
          <w:szCs w:val="21"/>
          <w:u w:val="single"/>
        </w:rPr>
        <w:t>（项目名称）</w:t>
      </w:r>
      <w:r>
        <w:rPr>
          <w:rFonts w:ascii="宋体" w:hAnsi="宋体"/>
          <w:color w:val="auto"/>
          <w:szCs w:val="21"/>
        </w:rPr>
        <w:t>项目的磋商，为便于贵方公正、择优地确定成交供应商及其响应产品和服务，我方就本次磋商有关事项郑重声明如下：</w:t>
      </w:r>
    </w:p>
    <w:p w14:paraId="0099A26A">
      <w:pPr>
        <w:snapToGrid w:val="0"/>
        <w:spacing w:before="120" w:beforeLines="50" w:line="360" w:lineRule="exact"/>
        <w:ind w:firstLine="420" w:firstLineChars="200"/>
        <w:rPr>
          <w:rFonts w:ascii="宋体" w:hAnsi="宋体"/>
          <w:color w:val="auto"/>
          <w:szCs w:val="21"/>
        </w:rPr>
      </w:pPr>
      <w:r>
        <w:rPr>
          <w:rFonts w:ascii="宋体" w:hAnsi="宋体"/>
          <w:color w:val="auto"/>
          <w:szCs w:val="21"/>
        </w:rPr>
        <w:t>（1）我方向贵方提交的所有响应文件、资料都是准确的和真实的。</w:t>
      </w:r>
    </w:p>
    <w:p w14:paraId="2FD085C1">
      <w:pPr>
        <w:snapToGrid w:val="0"/>
        <w:spacing w:before="120" w:beforeLines="50" w:line="360" w:lineRule="exact"/>
        <w:ind w:firstLine="420" w:firstLineChars="200"/>
        <w:rPr>
          <w:rFonts w:ascii="宋体" w:hAnsi="宋体"/>
          <w:color w:val="auto"/>
          <w:szCs w:val="21"/>
        </w:rPr>
      </w:pPr>
      <w:r>
        <w:rPr>
          <w:rFonts w:ascii="宋体" w:hAnsi="宋体"/>
          <w:color w:val="auto"/>
          <w:szCs w:val="21"/>
        </w:rPr>
        <w:t>（2）我方不是采购人的附属机构；也不是为本项目提供整体设计、规范编制或者项目管理、监理、检测等服务的供应商或其附属机构。</w:t>
      </w:r>
    </w:p>
    <w:p w14:paraId="17E83254">
      <w:pPr>
        <w:snapToGrid w:val="0"/>
        <w:spacing w:before="120" w:beforeLines="50" w:line="360" w:lineRule="exact"/>
        <w:ind w:firstLine="420" w:firstLineChars="200"/>
        <w:rPr>
          <w:rFonts w:ascii="宋体" w:hAnsi="宋体"/>
          <w:color w:val="auto"/>
          <w:szCs w:val="21"/>
        </w:rPr>
      </w:pPr>
      <w:r>
        <w:rPr>
          <w:rFonts w:ascii="宋体" w:hAnsi="宋体"/>
          <w:color w:val="auto"/>
          <w:szCs w:val="21"/>
        </w:rPr>
        <w:t>（3） 我方承诺在参加本政府采购项目活动前，没有被纳入政府部门或银行认定的失信名单，我方具有良好的商业信誉。</w:t>
      </w:r>
    </w:p>
    <w:p w14:paraId="6620B56B">
      <w:pPr>
        <w:snapToGrid w:val="0"/>
        <w:spacing w:before="120" w:beforeLines="50" w:line="360" w:lineRule="exact"/>
        <w:ind w:firstLine="420" w:firstLineChars="200"/>
        <w:rPr>
          <w:rFonts w:ascii="宋体" w:hAnsi="宋体"/>
          <w:color w:val="auto"/>
          <w:szCs w:val="21"/>
        </w:rPr>
      </w:pPr>
      <w:r>
        <w:rPr>
          <w:rFonts w:ascii="宋体" w:hAnsi="宋体"/>
          <w:color w:val="auto"/>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2A5B3A3E">
      <w:pPr>
        <w:snapToGrid w:val="0"/>
        <w:spacing w:before="120" w:beforeLines="50" w:line="360" w:lineRule="exact"/>
        <w:ind w:firstLine="420" w:firstLineChars="200"/>
        <w:rPr>
          <w:rFonts w:ascii="宋体" w:hAnsi="宋体"/>
          <w:color w:val="auto"/>
          <w:szCs w:val="21"/>
          <w:lang w:val="zh-CN"/>
        </w:rPr>
      </w:pPr>
      <w:r>
        <w:rPr>
          <w:rFonts w:ascii="宋体" w:hAnsi="宋体"/>
          <w:color w:val="auto"/>
          <w:szCs w:val="21"/>
        </w:rPr>
        <w:t>（5）</w:t>
      </w:r>
      <w:r>
        <w:rPr>
          <w:rFonts w:ascii="宋体" w:hAnsi="宋体"/>
          <w:color w:val="auto"/>
          <w:szCs w:val="21"/>
          <w:lang w:val="zh-CN"/>
        </w:rPr>
        <w:t>我方</w:t>
      </w:r>
      <w:r>
        <w:rPr>
          <w:rFonts w:ascii="宋体" w:hAnsi="宋体"/>
          <w:color w:val="auto"/>
          <w:szCs w:val="21"/>
        </w:rPr>
        <w:t>承诺</w:t>
      </w:r>
      <w:r>
        <w:rPr>
          <w:rFonts w:ascii="宋体" w:hAnsi="宋体"/>
          <w:color w:val="auto"/>
          <w:szCs w:val="21"/>
          <w:lang w:val="zh-CN"/>
        </w:rPr>
        <w:t>具有履行本项目合同所必需的设备和专业技术能力。</w:t>
      </w:r>
    </w:p>
    <w:p w14:paraId="109C8DEA">
      <w:pPr>
        <w:snapToGrid w:val="0"/>
        <w:spacing w:before="120" w:beforeLines="50" w:line="360" w:lineRule="exact"/>
        <w:ind w:firstLine="420" w:firstLineChars="200"/>
        <w:rPr>
          <w:rFonts w:ascii="宋体" w:hAnsi="宋体"/>
          <w:color w:val="auto"/>
          <w:szCs w:val="21"/>
        </w:rPr>
      </w:pPr>
      <w:r>
        <w:rPr>
          <w:rFonts w:hint="eastAsia" w:ascii="宋体" w:hAnsi="宋体"/>
          <w:color w:val="auto"/>
          <w:szCs w:val="21"/>
        </w:rPr>
        <w:t>（6）我方承诺</w:t>
      </w:r>
      <w:r>
        <w:rPr>
          <w:rFonts w:ascii="宋体" w:hAnsi="宋体"/>
          <w:color w:val="auto"/>
          <w:szCs w:val="21"/>
        </w:rPr>
        <w:t>未被列入失信被执行人、重大税收违法失信主体、政府采购严重违法失信行为记录名单</w:t>
      </w:r>
      <w:r>
        <w:rPr>
          <w:rFonts w:hint="eastAsia" w:ascii="宋体" w:hAnsi="宋体"/>
          <w:color w:val="auto"/>
          <w:szCs w:val="21"/>
        </w:rPr>
        <w:t>，如我方提供的声明不实，则接受本次响应作为响应无效的处理，</w:t>
      </w:r>
      <w:r>
        <w:rPr>
          <w:rFonts w:ascii="宋体" w:hAnsi="宋体"/>
          <w:color w:val="auto"/>
          <w:szCs w:val="21"/>
        </w:rPr>
        <w:t>并根据财库〔2016〕125号《财政部关于在政府采购活动中查询及使用信用记录有关问题的通知》规定接受失信联合惩戒。</w:t>
      </w:r>
    </w:p>
    <w:p w14:paraId="0329BA5F">
      <w:pPr>
        <w:snapToGrid w:val="0"/>
        <w:spacing w:before="120" w:beforeLines="50" w:line="360" w:lineRule="exact"/>
        <w:ind w:firstLine="420" w:firstLineChars="200"/>
        <w:rPr>
          <w:rFonts w:ascii="宋体" w:hAnsi="宋体"/>
          <w:color w:val="auto"/>
          <w:szCs w:val="21"/>
        </w:rPr>
      </w:pPr>
      <w:r>
        <w:rPr>
          <w:rFonts w:hint="eastAsia" w:ascii="宋体" w:hAnsi="宋体"/>
          <w:color w:val="auto"/>
          <w:szCs w:val="21"/>
        </w:rPr>
        <w:t>（7）我方承诺成交后按</w:t>
      </w:r>
      <w:r>
        <w:rPr>
          <w:rFonts w:ascii="宋体" w:hAnsi="宋体"/>
          <w:color w:val="auto"/>
          <w:szCs w:val="21"/>
        </w:rPr>
        <w:t>规定缴纳代理服务费</w:t>
      </w:r>
      <w:r>
        <w:rPr>
          <w:rFonts w:hint="eastAsia" w:ascii="宋体" w:hAnsi="宋体"/>
          <w:color w:val="auto"/>
          <w:szCs w:val="21"/>
        </w:rPr>
        <w:t>。如未按时缴纳，</w:t>
      </w:r>
      <w:r>
        <w:rPr>
          <w:rFonts w:ascii="宋体" w:hAnsi="宋体"/>
          <w:color w:val="auto"/>
          <w:szCs w:val="21"/>
        </w:rPr>
        <w:t>贵方可</w:t>
      </w:r>
      <w:r>
        <w:rPr>
          <w:rFonts w:hint="eastAsia" w:ascii="宋体" w:hAnsi="宋体"/>
          <w:color w:val="auto"/>
          <w:szCs w:val="21"/>
        </w:rPr>
        <w:t>不退还</w:t>
      </w:r>
      <w:r>
        <w:rPr>
          <w:rFonts w:ascii="宋体" w:hAnsi="宋体"/>
          <w:color w:val="auto"/>
          <w:szCs w:val="21"/>
        </w:rPr>
        <w:t>我</w:t>
      </w:r>
      <w:r>
        <w:rPr>
          <w:rFonts w:hint="eastAsia" w:ascii="宋体" w:hAnsi="宋体"/>
          <w:color w:val="auto"/>
          <w:szCs w:val="21"/>
        </w:rPr>
        <w:t>方</w:t>
      </w:r>
      <w:r>
        <w:rPr>
          <w:rFonts w:ascii="宋体" w:hAnsi="宋体"/>
          <w:color w:val="auto"/>
          <w:szCs w:val="21"/>
        </w:rPr>
        <w:t>提交的</w:t>
      </w:r>
      <w:r>
        <w:rPr>
          <w:rFonts w:hint="eastAsia" w:ascii="宋体" w:hAnsi="宋体"/>
          <w:color w:val="auto"/>
          <w:szCs w:val="21"/>
        </w:rPr>
        <w:t>磋商</w:t>
      </w:r>
      <w:r>
        <w:rPr>
          <w:rFonts w:ascii="宋体" w:hAnsi="宋体"/>
          <w:color w:val="auto"/>
          <w:szCs w:val="21"/>
        </w:rPr>
        <w:t>保证金</w:t>
      </w:r>
      <w:r>
        <w:rPr>
          <w:rFonts w:hint="eastAsia" w:ascii="宋体" w:hAnsi="宋体"/>
          <w:color w:val="auto"/>
          <w:szCs w:val="21"/>
        </w:rPr>
        <w:t>，并从中</w:t>
      </w:r>
      <w:r>
        <w:rPr>
          <w:rFonts w:ascii="宋体" w:hAnsi="宋体"/>
          <w:color w:val="auto"/>
          <w:szCs w:val="21"/>
        </w:rPr>
        <w:t>扣除</w:t>
      </w:r>
      <w:r>
        <w:rPr>
          <w:rFonts w:hint="eastAsia" w:ascii="宋体" w:hAnsi="宋体"/>
          <w:color w:val="auto"/>
          <w:szCs w:val="21"/>
        </w:rPr>
        <w:t>代理服务费。</w:t>
      </w:r>
    </w:p>
    <w:p w14:paraId="3519EF65">
      <w:pPr>
        <w:snapToGrid w:val="0"/>
        <w:spacing w:before="120" w:beforeLines="50" w:line="360" w:lineRule="exact"/>
        <w:ind w:firstLine="420" w:firstLineChars="200"/>
        <w:rPr>
          <w:rFonts w:ascii="宋体" w:hAnsi="宋体"/>
          <w:color w:val="auto"/>
          <w:szCs w:val="21"/>
        </w:rPr>
      </w:pPr>
      <w:r>
        <w:rPr>
          <w:rFonts w:ascii="宋体" w:hAnsi="宋体"/>
          <w:color w:val="auto"/>
          <w:szCs w:val="21"/>
        </w:rPr>
        <w:t>我方对以上声明负全部法律责任。如有虚假或隐瞒，我方愿意承担一切后果，并不再寻求任何旨在减轻或免除法律责任的辩解。</w:t>
      </w:r>
    </w:p>
    <w:bookmarkEnd w:id="92"/>
    <w:p w14:paraId="371C8134">
      <w:pPr>
        <w:snapToGrid w:val="0"/>
        <w:spacing w:before="120" w:beforeLines="50" w:line="360" w:lineRule="exact"/>
        <w:ind w:firstLine="420" w:firstLineChars="200"/>
        <w:rPr>
          <w:rFonts w:ascii="宋体" w:hAnsi="宋体"/>
          <w:color w:val="auto"/>
          <w:szCs w:val="21"/>
        </w:rPr>
      </w:pPr>
    </w:p>
    <w:p w14:paraId="379EBBD7">
      <w:pPr>
        <w:snapToGrid w:val="0"/>
        <w:spacing w:before="120" w:beforeLines="50" w:after="50" w:line="360" w:lineRule="exact"/>
        <w:ind w:firstLine="3570" w:firstLineChars="1700"/>
        <w:rPr>
          <w:rFonts w:ascii="宋体" w:hAnsi="宋体"/>
          <w:color w:val="auto"/>
          <w:szCs w:val="21"/>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zCs w:val="21"/>
          <w:u w:val="single"/>
        </w:rPr>
        <w:t xml:space="preserve">                </w:t>
      </w:r>
    </w:p>
    <w:p w14:paraId="517EB697">
      <w:pPr>
        <w:snapToGrid w:val="0"/>
        <w:spacing w:before="120" w:beforeLines="50" w:after="50" w:line="360" w:lineRule="exact"/>
        <w:ind w:firstLine="210" w:firstLineChars="100"/>
        <w:rPr>
          <w:rFonts w:ascii="宋体" w:hAnsi="宋体"/>
          <w:color w:val="auto"/>
          <w:szCs w:val="21"/>
        </w:rPr>
      </w:pPr>
      <w:r>
        <w:rPr>
          <w:rFonts w:ascii="宋体" w:hAnsi="宋体"/>
          <w:color w:val="auto"/>
          <w:szCs w:val="21"/>
        </w:rPr>
        <w:t xml:space="preserve">                                          年    月    日</w:t>
      </w:r>
    </w:p>
    <w:p w14:paraId="1DDF2F4B">
      <w:pPr>
        <w:snapToGrid w:val="0"/>
        <w:spacing w:before="120" w:beforeLines="50" w:after="50" w:line="360" w:lineRule="exact"/>
        <w:rPr>
          <w:rFonts w:ascii="宋体" w:hAnsi="宋体"/>
          <w:color w:val="auto"/>
          <w:szCs w:val="21"/>
        </w:rPr>
      </w:pPr>
      <w:r>
        <w:rPr>
          <w:rFonts w:ascii="宋体" w:hAnsi="宋体"/>
          <w:color w:val="auto"/>
          <w:szCs w:val="21"/>
        </w:rPr>
        <w:br w:type="page"/>
      </w:r>
      <w:r>
        <w:rPr>
          <w:rFonts w:hint="eastAsia" w:ascii="宋体" w:hAnsi="宋体"/>
          <w:color w:val="auto"/>
          <w:szCs w:val="21"/>
        </w:rPr>
        <w:t>2</w:t>
      </w:r>
      <w:r>
        <w:rPr>
          <w:rFonts w:ascii="宋体" w:hAnsi="宋体"/>
          <w:color w:val="auto"/>
          <w:szCs w:val="21"/>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ascii="宋体" w:hAnsi="宋体"/>
          <w:color w:val="auto"/>
          <w:szCs w:val="21"/>
        </w:rPr>
        <w:t>电子签章</w:t>
      </w:r>
      <w:r>
        <w:rPr>
          <w:rFonts w:ascii="宋体" w:hAnsi="宋体"/>
          <w:color w:val="auto"/>
          <w:szCs w:val="21"/>
        </w:rPr>
        <w:t>）</w:t>
      </w:r>
      <w:r>
        <w:rPr>
          <w:rFonts w:hint="eastAsia" w:ascii="宋体" w:hAnsi="宋体"/>
          <w:color w:val="auto"/>
          <w:szCs w:val="21"/>
        </w:rPr>
        <w:t>。</w:t>
      </w:r>
    </w:p>
    <w:p w14:paraId="43A299FE">
      <w:pPr>
        <w:snapToGrid w:val="0"/>
        <w:spacing w:before="120" w:beforeLines="50" w:after="50" w:line="440" w:lineRule="exact"/>
        <w:rPr>
          <w:rFonts w:ascii="宋体" w:hAnsi="宋体"/>
          <w:color w:val="auto"/>
          <w:szCs w:val="21"/>
        </w:rPr>
      </w:pPr>
    </w:p>
    <w:p w14:paraId="0C60821E">
      <w:pPr>
        <w:snapToGrid w:val="0"/>
        <w:spacing w:before="120" w:beforeLines="50" w:after="50" w:line="440" w:lineRule="exact"/>
        <w:rPr>
          <w:rFonts w:ascii="宋体" w:hAnsi="宋体"/>
          <w:color w:val="auto"/>
          <w:szCs w:val="21"/>
        </w:rPr>
      </w:pPr>
      <w:r>
        <w:rPr>
          <w:rFonts w:hint="eastAsia" w:ascii="宋体" w:hAnsi="宋体"/>
          <w:color w:val="auto"/>
          <w:szCs w:val="21"/>
        </w:rPr>
        <w:t>3</w:t>
      </w:r>
      <w:r>
        <w:rPr>
          <w:rFonts w:ascii="宋体" w:hAnsi="宋体"/>
          <w:color w:val="auto"/>
          <w:szCs w:val="21"/>
        </w:rPr>
        <w:t>．财务状况报告（表）复印件或银行出具的资信证明复印件。</w:t>
      </w:r>
      <w:r>
        <w:rPr>
          <w:rFonts w:ascii="宋体" w:hAnsi="宋体"/>
          <w:color w:val="auto"/>
        </w:rPr>
        <w:t>对于从取得营业执照时间起到截标时间为止不足1年的供应商，只需提交</w:t>
      </w:r>
      <w:r>
        <w:rPr>
          <w:rFonts w:ascii="宋体" w:hAnsi="宋体"/>
          <w:color w:val="auto"/>
          <w:szCs w:val="21"/>
        </w:rPr>
        <w:t>截标时间前一个月的财务状况报告（表）复印件。（按“评审方法及标准” “资格审查表”规定提供）。（加盖供应商</w:t>
      </w:r>
      <w:r>
        <w:rPr>
          <w:rFonts w:hint="eastAsia" w:ascii="宋体" w:hAnsi="宋体"/>
          <w:color w:val="auto"/>
          <w:szCs w:val="21"/>
        </w:rPr>
        <w:t>电子签章</w:t>
      </w:r>
      <w:r>
        <w:rPr>
          <w:rFonts w:ascii="宋体" w:hAnsi="宋体"/>
          <w:color w:val="auto"/>
          <w:szCs w:val="21"/>
        </w:rPr>
        <w:t>）</w:t>
      </w:r>
      <w:r>
        <w:rPr>
          <w:rFonts w:hint="eastAsia" w:ascii="宋体" w:hAnsi="宋体"/>
          <w:color w:val="auto"/>
          <w:szCs w:val="21"/>
        </w:rPr>
        <w:t>。</w:t>
      </w:r>
    </w:p>
    <w:p w14:paraId="0828D334">
      <w:pPr>
        <w:snapToGrid w:val="0"/>
        <w:spacing w:before="50" w:after="120" w:afterLines="50" w:line="440" w:lineRule="exact"/>
        <w:jc w:val="left"/>
        <w:rPr>
          <w:rFonts w:ascii="宋体" w:hAnsi="宋体"/>
          <w:color w:val="auto"/>
          <w:szCs w:val="21"/>
        </w:rPr>
      </w:pPr>
    </w:p>
    <w:p w14:paraId="6C7317D1">
      <w:pPr>
        <w:snapToGrid w:val="0"/>
        <w:spacing w:before="50" w:after="120" w:afterLines="50" w:line="440" w:lineRule="exact"/>
        <w:jc w:val="left"/>
        <w:rPr>
          <w:rFonts w:ascii="宋体" w:hAnsi="宋体"/>
          <w:b/>
          <w:color w:val="auto"/>
          <w:szCs w:val="21"/>
        </w:rPr>
      </w:pPr>
      <w:r>
        <w:rPr>
          <w:rFonts w:hint="eastAsia" w:ascii="宋体" w:hAnsi="宋体"/>
          <w:color w:val="auto"/>
          <w:szCs w:val="21"/>
        </w:rPr>
        <w:t>4</w:t>
      </w:r>
      <w:r>
        <w:rPr>
          <w:rFonts w:ascii="宋体" w:hAnsi="宋体"/>
          <w:color w:val="auto"/>
          <w:szCs w:val="21"/>
        </w:rPr>
        <w:t>．</w:t>
      </w:r>
      <w:r>
        <w:rPr>
          <w:rFonts w:ascii="宋体" w:hAnsi="宋体"/>
          <w:color w:val="auto"/>
        </w:rPr>
        <w:t>依法缴纳税费证明和社会保险缴纳证明材料</w:t>
      </w:r>
      <w:r>
        <w:rPr>
          <w:rFonts w:hint="eastAsia" w:ascii="宋体" w:hAnsi="宋体"/>
          <w:color w:val="auto"/>
        </w:rPr>
        <w:t>。</w:t>
      </w:r>
      <w:r>
        <w:rPr>
          <w:rFonts w:ascii="宋体" w:hAnsi="宋体"/>
          <w:color w:val="auto"/>
        </w:rPr>
        <w:t>供应商成立不足</w:t>
      </w:r>
      <w:r>
        <w:rPr>
          <w:rFonts w:hint="eastAsia" w:ascii="宋体" w:hAnsi="宋体"/>
          <w:color w:val="auto"/>
        </w:rPr>
        <w:t>1个月的，无须提供</w:t>
      </w:r>
      <w:r>
        <w:rPr>
          <w:rFonts w:ascii="宋体" w:hAnsi="宋体"/>
          <w:color w:val="auto"/>
        </w:rPr>
        <w:t>缴纳税费证明及社保缴费证明</w:t>
      </w:r>
      <w:r>
        <w:rPr>
          <w:rFonts w:hint="eastAsia" w:ascii="宋体" w:hAnsi="宋体"/>
          <w:color w:val="auto"/>
        </w:rPr>
        <w:t>。</w:t>
      </w:r>
      <w:r>
        <w:rPr>
          <w:rFonts w:ascii="宋体" w:hAnsi="宋体"/>
          <w:color w:val="auto"/>
        </w:rPr>
        <w:t>依法免税或不需要缴纳社会保障资金的供应商，须提供相应文件证明其依法免税或不需要缴纳社会保障资金。</w:t>
      </w:r>
      <w:r>
        <w:rPr>
          <w:rFonts w:ascii="宋体" w:hAnsi="宋体"/>
          <w:color w:val="auto"/>
          <w:szCs w:val="21"/>
        </w:rPr>
        <w:t>（按“评审方法及标准” “资格性检查表”规定提供）（加盖供应商</w:t>
      </w:r>
      <w:r>
        <w:rPr>
          <w:rFonts w:hint="eastAsia" w:ascii="宋体" w:hAnsi="宋体"/>
          <w:color w:val="auto"/>
          <w:szCs w:val="21"/>
        </w:rPr>
        <w:t>电子签章</w:t>
      </w:r>
      <w:r>
        <w:rPr>
          <w:rFonts w:ascii="宋体" w:hAnsi="宋体"/>
          <w:color w:val="auto"/>
          <w:szCs w:val="21"/>
        </w:rPr>
        <w:t>）</w:t>
      </w:r>
      <w:r>
        <w:rPr>
          <w:rFonts w:hint="eastAsia" w:ascii="宋体" w:hAnsi="宋体"/>
          <w:color w:val="auto"/>
          <w:szCs w:val="21"/>
        </w:rPr>
        <w:t>。</w:t>
      </w:r>
    </w:p>
    <w:p w14:paraId="05F16F82">
      <w:pPr>
        <w:snapToGrid w:val="0"/>
        <w:spacing w:before="50" w:after="120" w:afterLines="50" w:line="440" w:lineRule="exact"/>
        <w:jc w:val="left"/>
        <w:rPr>
          <w:rFonts w:ascii="宋体" w:hAnsi="宋体"/>
          <w:color w:val="auto"/>
        </w:rPr>
      </w:pPr>
    </w:p>
    <w:p w14:paraId="3E4C3CC8">
      <w:pPr>
        <w:snapToGrid w:val="0"/>
        <w:spacing w:before="50" w:after="120" w:afterLines="50" w:line="440" w:lineRule="exact"/>
        <w:jc w:val="left"/>
        <w:rPr>
          <w:rFonts w:ascii="宋体" w:hAnsi="宋体"/>
          <w:b/>
          <w:color w:val="auto"/>
          <w:szCs w:val="21"/>
        </w:rPr>
      </w:pPr>
      <w:r>
        <w:rPr>
          <w:rFonts w:hint="eastAsia" w:ascii="宋体" w:hAnsi="宋体"/>
          <w:color w:val="auto"/>
          <w:szCs w:val="21"/>
        </w:rPr>
        <w:t>5</w:t>
      </w:r>
      <w:r>
        <w:rPr>
          <w:rFonts w:ascii="宋体" w:hAnsi="宋体"/>
          <w:color w:val="auto"/>
          <w:szCs w:val="21"/>
        </w:rPr>
        <w:t>．具备法律、行政法规规定的其他要求的证明材料</w:t>
      </w:r>
      <w:r>
        <w:rPr>
          <w:rFonts w:ascii="宋体" w:hAnsi="宋体"/>
          <w:color w:val="auto"/>
        </w:rPr>
        <w:t>（</w:t>
      </w:r>
      <w:r>
        <w:rPr>
          <w:rFonts w:ascii="宋体" w:hAnsi="宋体"/>
          <w:color w:val="auto"/>
          <w:szCs w:val="21"/>
        </w:rPr>
        <w:t>按“评审方法及标准” “资格性检查表”规定提供</w:t>
      </w:r>
      <w:r>
        <w:rPr>
          <w:rFonts w:ascii="宋体" w:hAnsi="宋体"/>
          <w:color w:val="auto"/>
        </w:rPr>
        <w:t>）。</w:t>
      </w:r>
      <w:r>
        <w:rPr>
          <w:rFonts w:hint="eastAsia" w:ascii="宋体" w:hAnsi="宋体"/>
          <w:b/>
          <w:color w:val="auto"/>
          <w:szCs w:val="21"/>
        </w:rPr>
        <w:t>（如采购文件有要求时提供）</w:t>
      </w:r>
    </w:p>
    <w:p w14:paraId="029029CC">
      <w:pPr>
        <w:snapToGrid w:val="0"/>
        <w:spacing w:before="50" w:after="120" w:afterLines="50" w:line="440" w:lineRule="exact"/>
        <w:jc w:val="left"/>
        <w:rPr>
          <w:rFonts w:ascii="宋体" w:hAnsi="宋体"/>
          <w:color w:val="auto"/>
          <w:szCs w:val="21"/>
        </w:rPr>
      </w:pPr>
    </w:p>
    <w:p w14:paraId="1D215960">
      <w:pPr>
        <w:snapToGrid w:val="0"/>
        <w:spacing w:before="50" w:after="120" w:afterLines="50" w:line="440" w:lineRule="exact"/>
        <w:jc w:val="left"/>
        <w:rPr>
          <w:rFonts w:ascii="宋体" w:hAnsi="宋体"/>
          <w:color w:val="auto"/>
        </w:rPr>
      </w:pPr>
      <w:r>
        <w:rPr>
          <w:rFonts w:hint="eastAsia" w:ascii="宋体" w:hAnsi="宋体"/>
          <w:color w:val="auto"/>
          <w:szCs w:val="21"/>
        </w:rPr>
        <w:t>6</w:t>
      </w:r>
      <w:r>
        <w:rPr>
          <w:rFonts w:ascii="宋体" w:hAnsi="宋体"/>
          <w:color w:val="auto"/>
          <w:szCs w:val="21"/>
        </w:rPr>
        <w:t>．</w:t>
      </w:r>
      <w:r>
        <w:rPr>
          <w:rFonts w:ascii="宋体" w:hAnsi="宋体"/>
          <w:color w:val="auto"/>
        </w:rPr>
        <w:t>满足供应商特定资格条件的其他证明材料</w:t>
      </w:r>
      <w:r>
        <w:rPr>
          <w:rFonts w:ascii="宋体" w:hAnsi="宋体"/>
          <w:color w:val="auto"/>
          <w:szCs w:val="21"/>
        </w:rPr>
        <w:t>加盖供应商</w:t>
      </w:r>
      <w:r>
        <w:rPr>
          <w:rFonts w:hint="eastAsia" w:ascii="宋体" w:hAnsi="宋体"/>
          <w:color w:val="auto"/>
          <w:szCs w:val="21"/>
        </w:rPr>
        <w:t>电子签章</w:t>
      </w:r>
      <w:r>
        <w:rPr>
          <w:rFonts w:ascii="宋体" w:hAnsi="宋体"/>
          <w:color w:val="auto"/>
        </w:rPr>
        <w:t>（</w:t>
      </w:r>
      <w:r>
        <w:rPr>
          <w:rFonts w:ascii="宋体" w:hAnsi="宋体"/>
          <w:color w:val="auto"/>
          <w:szCs w:val="21"/>
        </w:rPr>
        <w:t>按“评审方法及标准” “资格性检查表”“</w:t>
      </w:r>
      <w:r>
        <w:rPr>
          <w:rFonts w:ascii="宋体" w:hAnsi="宋体"/>
          <w:color w:val="auto"/>
          <w:szCs w:val="21"/>
          <w:lang w:val="zh-CN"/>
        </w:rPr>
        <w:t xml:space="preserve"> 供应商应符合的</w:t>
      </w:r>
      <w:r>
        <w:rPr>
          <w:rFonts w:ascii="宋体" w:hAnsi="宋体"/>
          <w:color w:val="auto"/>
          <w:szCs w:val="21"/>
        </w:rPr>
        <w:t>特定资格条件”规定提供</w:t>
      </w:r>
      <w:r>
        <w:rPr>
          <w:rFonts w:ascii="宋体" w:hAnsi="宋体"/>
          <w:color w:val="auto"/>
        </w:rPr>
        <w:t>）。</w:t>
      </w:r>
      <w:r>
        <w:rPr>
          <w:rFonts w:hint="eastAsia" w:ascii="宋体" w:hAnsi="宋体"/>
          <w:b/>
          <w:color w:val="auto"/>
          <w:szCs w:val="21"/>
        </w:rPr>
        <w:t>（如采购文件有要求时提供）</w:t>
      </w:r>
    </w:p>
    <w:p w14:paraId="3B2C96FD">
      <w:pPr>
        <w:snapToGrid w:val="0"/>
        <w:spacing w:before="50" w:after="120" w:afterLines="50" w:line="360" w:lineRule="auto"/>
        <w:jc w:val="left"/>
        <w:rPr>
          <w:rFonts w:ascii="宋体" w:hAnsi="宋体"/>
          <w:color w:val="auto"/>
          <w:szCs w:val="21"/>
        </w:rPr>
      </w:pPr>
      <w:r>
        <w:rPr>
          <w:rFonts w:ascii="宋体" w:hAnsi="宋体"/>
          <w:b/>
          <w:color w:val="auto"/>
          <w:szCs w:val="21"/>
        </w:rPr>
        <w:br w:type="page"/>
      </w:r>
      <w:r>
        <w:rPr>
          <w:rFonts w:hint="eastAsia" w:ascii="宋体" w:hAnsi="宋体"/>
          <w:color w:val="auto"/>
          <w:szCs w:val="21"/>
        </w:rPr>
        <w:t>6</w:t>
      </w:r>
      <w:r>
        <w:rPr>
          <w:rFonts w:ascii="宋体" w:hAnsi="宋体"/>
          <w:color w:val="auto"/>
          <w:szCs w:val="21"/>
        </w:rPr>
        <w:t>.1</w:t>
      </w:r>
      <w:r>
        <w:rPr>
          <w:rFonts w:hint="eastAsia" w:ascii="宋体" w:hAnsi="宋体"/>
          <w:color w:val="auto"/>
          <w:szCs w:val="21"/>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6112190">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D76621">
            <w:pPr>
              <w:spacing w:line="360" w:lineRule="auto"/>
              <w:jc w:val="center"/>
              <w:rPr>
                <w:rFonts w:ascii="宋体" w:hAnsi="宋体"/>
                <w:color w:val="auto"/>
                <w:szCs w:val="21"/>
              </w:rPr>
            </w:pPr>
            <w:r>
              <w:rPr>
                <w:rFonts w:hint="eastAsia" w:ascii="宋体" w:hAnsi="宋体"/>
                <w:color w:val="auto"/>
                <w:szCs w:val="21"/>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295073">
            <w:pPr>
              <w:spacing w:line="360" w:lineRule="auto"/>
              <w:jc w:val="center"/>
              <w:rPr>
                <w:rFonts w:ascii="宋体" w:hAnsi="宋体"/>
                <w:color w:val="auto"/>
                <w:szCs w:val="21"/>
              </w:rPr>
            </w:pPr>
            <w:r>
              <w:rPr>
                <w:rFonts w:hint="eastAsia" w:ascii="宋体" w:hAnsi="宋体"/>
                <w:color w:val="auto"/>
                <w:szCs w:val="21"/>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1DCD417">
            <w:pPr>
              <w:spacing w:line="360" w:lineRule="auto"/>
              <w:jc w:val="center"/>
              <w:rPr>
                <w:rFonts w:ascii="宋体" w:hAnsi="宋体"/>
                <w:color w:val="auto"/>
                <w:szCs w:val="21"/>
              </w:rPr>
            </w:pPr>
            <w:r>
              <w:rPr>
                <w:rFonts w:hint="eastAsia" w:ascii="宋体" w:hAnsi="宋体"/>
                <w:color w:val="auto"/>
                <w:szCs w:val="21"/>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A4F080">
            <w:pPr>
              <w:spacing w:line="360" w:lineRule="auto"/>
              <w:jc w:val="center"/>
              <w:rPr>
                <w:rFonts w:ascii="宋体" w:hAnsi="宋体"/>
                <w:color w:val="auto"/>
                <w:szCs w:val="21"/>
              </w:rPr>
            </w:pPr>
            <w:r>
              <w:rPr>
                <w:rFonts w:hint="eastAsia" w:ascii="宋体" w:hAnsi="宋体"/>
                <w:color w:val="auto"/>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7B946B">
            <w:pPr>
              <w:spacing w:line="360" w:lineRule="auto"/>
              <w:jc w:val="center"/>
              <w:rPr>
                <w:rFonts w:ascii="宋体" w:hAnsi="宋体"/>
                <w:color w:val="auto"/>
                <w:szCs w:val="21"/>
              </w:rPr>
            </w:pPr>
            <w:r>
              <w:rPr>
                <w:rFonts w:hint="eastAsia" w:ascii="宋体" w:hAnsi="宋体"/>
                <w:color w:val="auto"/>
                <w:szCs w:val="21"/>
              </w:rPr>
              <w:t>备注</w:t>
            </w:r>
          </w:p>
        </w:tc>
      </w:tr>
      <w:tr w14:paraId="7A7050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EBBC3A4">
            <w:pPr>
              <w:spacing w:line="360" w:lineRule="auto"/>
              <w:jc w:val="center"/>
              <w:rPr>
                <w:rFonts w:ascii="宋体" w:hAnsi="宋体"/>
                <w:color w:val="auto"/>
                <w:szCs w:val="21"/>
              </w:rPr>
            </w:pPr>
            <w:r>
              <w:rPr>
                <w:rFonts w:hint="eastAsia" w:ascii="宋体" w:hAnsi="宋体"/>
                <w:color w:val="auto"/>
                <w:szCs w:val="21"/>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F2A1959">
            <w:pPr>
              <w:spacing w:line="360" w:lineRule="auto"/>
              <w:jc w:val="center"/>
              <w:rPr>
                <w:rFonts w:ascii="宋体" w:hAnsi="宋体"/>
                <w:color w:val="auto"/>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210F941">
            <w:pPr>
              <w:spacing w:line="360" w:lineRule="auto"/>
              <w:jc w:val="center"/>
              <w:rPr>
                <w:rFonts w:ascii="宋体" w:hAnsi="宋体"/>
                <w:color w:val="auto"/>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099BB19">
            <w:pPr>
              <w:spacing w:line="360" w:lineRule="auto"/>
              <w:jc w:val="center"/>
              <w:rPr>
                <w:rFonts w:ascii="宋体" w:hAnsi="宋体"/>
                <w:color w:val="auto"/>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1746A07">
            <w:pPr>
              <w:spacing w:line="360" w:lineRule="auto"/>
              <w:jc w:val="center"/>
              <w:rPr>
                <w:rFonts w:ascii="宋体" w:hAnsi="宋体"/>
                <w:color w:val="auto"/>
                <w:szCs w:val="21"/>
              </w:rPr>
            </w:pPr>
          </w:p>
        </w:tc>
      </w:tr>
      <w:tr w14:paraId="6F127A7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DFABACB">
            <w:pPr>
              <w:spacing w:line="360" w:lineRule="auto"/>
              <w:jc w:val="center"/>
              <w:rPr>
                <w:rFonts w:ascii="宋体" w:hAnsi="宋体"/>
                <w:color w:val="auto"/>
                <w:szCs w:val="21"/>
              </w:rPr>
            </w:pPr>
            <w:r>
              <w:rPr>
                <w:rFonts w:hint="eastAsia" w:ascii="宋体" w:hAnsi="宋体"/>
                <w:color w:val="auto"/>
                <w:szCs w:val="21"/>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652DBEA">
            <w:pPr>
              <w:spacing w:line="360" w:lineRule="auto"/>
              <w:jc w:val="center"/>
              <w:rPr>
                <w:rFonts w:ascii="宋体" w:hAnsi="宋体"/>
                <w:color w:val="auto"/>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701CF3">
            <w:pPr>
              <w:spacing w:line="360" w:lineRule="auto"/>
              <w:jc w:val="center"/>
              <w:rPr>
                <w:rFonts w:ascii="宋体" w:hAnsi="宋体"/>
                <w:color w:val="auto"/>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C1D967B">
            <w:pPr>
              <w:spacing w:line="360" w:lineRule="auto"/>
              <w:jc w:val="center"/>
              <w:rPr>
                <w:rFonts w:ascii="宋体" w:hAnsi="宋体"/>
                <w:color w:val="auto"/>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15C8322">
            <w:pPr>
              <w:spacing w:line="360" w:lineRule="auto"/>
              <w:jc w:val="center"/>
              <w:rPr>
                <w:rFonts w:ascii="宋体" w:hAnsi="宋体"/>
                <w:color w:val="auto"/>
                <w:szCs w:val="21"/>
              </w:rPr>
            </w:pPr>
          </w:p>
        </w:tc>
      </w:tr>
      <w:tr w14:paraId="61FE159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1BDD127">
            <w:pPr>
              <w:spacing w:line="360" w:lineRule="auto"/>
              <w:jc w:val="center"/>
              <w:rPr>
                <w:rFonts w:ascii="宋体" w:hAnsi="宋体"/>
                <w:color w:val="auto"/>
                <w:szCs w:val="21"/>
              </w:rPr>
            </w:pPr>
            <w:r>
              <w:rPr>
                <w:rFonts w:hint="eastAsia" w:ascii="宋体" w:hAnsi="宋体"/>
                <w:color w:val="auto"/>
                <w:szCs w:val="21"/>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15BB0F">
            <w:pPr>
              <w:spacing w:line="360" w:lineRule="auto"/>
              <w:jc w:val="center"/>
              <w:rPr>
                <w:rFonts w:ascii="宋体" w:hAnsi="宋体"/>
                <w:color w:val="auto"/>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51A248">
            <w:pPr>
              <w:spacing w:line="360" w:lineRule="auto"/>
              <w:jc w:val="center"/>
              <w:rPr>
                <w:rFonts w:ascii="宋体" w:hAnsi="宋体"/>
                <w:color w:val="auto"/>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638BE46">
            <w:pPr>
              <w:spacing w:line="360" w:lineRule="auto"/>
              <w:jc w:val="center"/>
              <w:rPr>
                <w:rFonts w:ascii="宋体" w:hAnsi="宋体"/>
                <w:color w:val="auto"/>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7CAB6A">
            <w:pPr>
              <w:spacing w:line="360" w:lineRule="auto"/>
              <w:jc w:val="center"/>
              <w:rPr>
                <w:rFonts w:ascii="宋体" w:hAnsi="宋体"/>
                <w:color w:val="auto"/>
                <w:szCs w:val="21"/>
              </w:rPr>
            </w:pPr>
          </w:p>
        </w:tc>
      </w:tr>
      <w:tr w14:paraId="51E0F24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B33DA6">
            <w:pPr>
              <w:spacing w:line="360" w:lineRule="auto"/>
              <w:jc w:val="center"/>
              <w:rPr>
                <w:rFonts w:ascii="宋体" w:hAnsi="宋体"/>
                <w:color w:val="auto"/>
                <w:szCs w:val="21"/>
              </w:rPr>
            </w:pPr>
            <w:r>
              <w:rPr>
                <w:rFonts w:hint="eastAsia" w:ascii="宋体" w:hAnsi="宋体"/>
                <w:color w:val="auto"/>
                <w:szCs w:val="21"/>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71E1814">
            <w:pPr>
              <w:spacing w:line="360" w:lineRule="auto"/>
              <w:jc w:val="center"/>
              <w:rPr>
                <w:rFonts w:ascii="宋体" w:hAnsi="宋体"/>
                <w:color w:val="auto"/>
                <w:szCs w:val="21"/>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F11D744">
            <w:pPr>
              <w:spacing w:line="360" w:lineRule="auto"/>
              <w:jc w:val="center"/>
              <w:rPr>
                <w:rFonts w:ascii="宋体" w:hAnsi="宋体"/>
                <w:color w:val="auto"/>
                <w:szCs w:val="21"/>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12ABC28">
            <w:pPr>
              <w:spacing w:line="360" w:lineRule="auto"/>
              <w:jc w:val="center"/>
              <w:rPr>
                <w:rFonts w:ascii="宋体" w:hAnsi="宋体"/>
                <w:color w:val="auto"/>
                <w:szCs w:val="21"/>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647008">
            <w:pPr>
              <w:spacing w:line="360" w:lineRule="auto"/>
              <w:jc w:val="center"/>
              <w:rPr>
                <w:rFonts w:ascii="宋体" w:hAnsi="宋体"/>
                <w:color w:val="auto"/>
                <w:szCs w:val="21"/>
              </w:rPr>
            </w:pPr>
          </w:p>
        </w:tc>
      </w:tr>
    </w:tbl>
    <w:p w14:paraId="544B746E">
      <w:pPr>
        <w:snapToGrid w:val="0"/>
        <w:spacing w:line="360" w:lineRule="auto"/>
        <w:jc w:val="left"/>
        <w:rPr>
          <w:rFonts w:ascii="宋体" w:hAnsi="宋体"/>
          <w:color w:val="auto"/>
          <w:szCs w:val="21"/>
        </w:rPr>
      </w:pPr>
      <w:r>
        <w:rPr>
          <w:rFonts w:hint="eastAsia" w:ascii="宋体" w:hAnsi="宋体"/>
          <w:color w:val="auto"/>
          <w:szCs w:val="21"/>
        </w:rPr>
        <w:t>注：</w:t>
      </w:r>
    </w:p>
    <w:p w14:paraId="38127F8C">
      <w:pPr>
        <w:snapToGrid w:val="0"/>
        <w:spacing w:line="360" w:lineRule="auto"/>
        <w:jc w:val="left"/>
        <w:rPr>
          <w:rFonts w:ascii="宋体" w:hAnsi="宋体"/>
          <w:color w:val="auto"/>
          <w:szCs w:val="21"/>
        </w:rPr>
      </w:pPr>
      <w:r>
        <w:rPr>
          <w:rFonts w:hint="eastAsia" w:ascii="宋体" w:hAnsi="宋体"/>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71F5F3">
      <w:pPr>
        <w:snapToGrid w:val="0"/>
        <w:spacing w:line="360" w:lineRule="auto"/>
        <w:jc w:val="left"/>
        <w:rPr>
          <w:rFonts w:ascii="宋体" w:hAnsi="宋体"/>
          <w:color w:val="auto"/>
          <w:szCs w:val="21"/>
        </w:rPr>
      </w:pPr>
      <w:r>
        <w:rPr>
          <w:rFonts w:hint="eastAsia" w:ascii="宋体" w:hAnsi="宋体"/>
          <w:color w:val="auto"/>
          <w:szCs w:val="21"/>
        </w:rPr>
        <w:t>2.本表所指的控股关系仅限于直接控股关系，不包括间接的控股关系。公司实际控制人与公司之间的关系不属于本表所指的直接控股关系。</w:t>
      </w:r>
    </w:p>
    <w:p w14:paraId="2EC332E6">
      <w:pPr>
        <w:snapToGrid w:val="0"/>
        <w:spacing w:line="360" w:lineRule="auto"/>
        <w:jc w:val="left"/>
        <w:rPr>
          <w:rFonts w:ascii="宋体" w:hAnsi="宋体"/>
          <w:color w:val="auto"/>
          <w:szCs w:val="21"/>
        </w:rPr>
      </w:pPr>
      <w:r>
        <w:rPr>
          <w:rFonts w:hint="eastAsia" w:ascii="宋体" w:hAnsi="宋体"/>
          <w:color w:val="auto"/>
          <w:szCs w:val="21"/>
        </w:rPr>
        <w:t>3.供应商不存在直接控股股东的，则填“无”。</w:t>
      </w:r>
    </w:p>
    <w:p w14:paraId="2C706AB0">
      <w:pPr>
        <w:snapToGrid w:val="0"/>
        <w:spacing w:line="360" w:lineRule="auto"/>
        <w:jc w:val="left"/>
        <w:rPr>
          <w:rFonts w:ascii="宋体" w:hAnsi="宋体"/>
          <w:color w:val="auto"/>
          <w:szCs w:val="21"/>
        </w:rPr>
      </w:pPr>
    </w:p>
    <w:p w14:paraId="4278C968">
      <w:pPr>
        <w:snapToGrid w:val="0"/>
        <w:spacing w:line="360" w:lineRule="auto"/>
        <w:jc w:val="left"/>
        <w:rPr>
          <w:rFonts w:ascii="宋体" w:hAnsi="宋体"/>
          <w:color w:val="auto"/>
          <w:szCs w:val="21"/>
        </w:rPr>
      </w:pPr>
    </w:p>
    <w:p w14:paraId="42AAF9B7">
      <w:pPr>
        <w:snapToGrid w:val="0"/>
        <w:spacing w:line="360" w:lineRule="auto"/>
        <w:jc w:val="left"/>
        <w:rPr>
          <w:rFonts w:ascii="宋体" w:hAnsi="宋体"/>
          <w:color w:val="auto"/>
          <w:szCs w:val="21"/>
        </w:rPr>
      </w:pPr>
    </w:p>
    <w:p w14:paraId="159DE791">
      <w:pPr>
        <w:snapToGrid w:val="0"/>
        <w:spacing w:line="360" w:lineRule="auto"/>
        <w:jc w:val="left"/>
        <w:rPr>
          <w:rFonts w:ascii="宋体" w:hAnsi="宋体"/>
          <w:color w:val="auto"/>
          <w:szCs w:val="21"/>
        </w:rPr>
      </w:pPr>
    </w:p>
    <w:p w14:paraId="17E1729B">
      <w:pPr>
        <w:snapToGrid w:val="0"/>
        <w:spacing w:line="360" w:lineRule="auto"/>
        <w:jc w:val="left"/>
        <w:rPr>
          <w:rFonts w:ascii="宋体" w:hAnsi="宋体"/>
          <w:color w:val="auto"/>
          <w:szCs w:val="21"/>
        </w:rPr>
      </w:pPr>
    </w:p>
    <w:p w14:paraId="11E0BC45">
      <w:pPr>
        <w:snapToGrid w:val="0"/>
        <w:spacing w:line="360" w:lineRule="auto"/>
        <w:ind w:firstLine="4410" w:firstLineChars="2100"/>
        <w:rPr>
          <w:rFonts w:ascii="宋体" w:hAnsi="宋体"/>
          <w:color w:val="auto"/>
          <w:szCs w:val="21"/>
        </w:rPr>
      </w:pPr>
      <w:r>
        <w:rPr>
          <w:rFonts w:hint="eastAsia" w:ascii="宋体" w:hAnsi="宋体"/>
          <w:color w:val="auto"/>
          <w:szCs w:val="21"/>
        </w:rPr>
        <w:t>供应商名称(电子签章)：</w:t>
      </w:r>
    </w:p>
    <w:p w14:paraId="31152FC3">
      <w:pPr>
        <w:snapToGrid w:val="0"/>
        <w:spacing w:line="360" w:lineRule="auto"/>
        <w:ind w:firstLine="4515" w:firstLineChars="2150"/>
        <w:rPr>
          <w:rFonts w:ascii="宋体" w:hAnsi="宋体"/>
          <w:color w:val="auto"/>
          <w:szCs w:val="21"/>
        </w:rPr>
      </w:pPr>
      <w:r>
        <w:rPr>
          <w:rFonts w:hint="eastAsia" w:ascii="宋体" w:hAnsi="宋体"/>
          <w:color w:val="auto"/>
          <w:szCs w:val="21"/>
        </w:rPr>
        <w:t>日期：  年  月   日</w:t>
      </w:r>
    </w:p>
    <w:p w14:paraId="0D407781">
      <w:pPr>
        <w:snapToGrid w:val="0"/>
        <w:jc w:val="left"/>
        <w:rPr>
          <w:rFonts w:ascii="宋体" w:hAnsi="宋体"/>
          <w:color w:val="auto"/>
          <w:szCs w:val="21"/>
        </w:rPr>
      </w:pPr>
      <w:r>
        <w:rPr>
          <w:rFonts w:ascii="宋体" w:hAnsi="宋体"/>
          <w:b/>
          <w:color w:val="auto"/>
          <w:sz w:val="28"/>
          <w:szCs w:val="28"/>
        </w:rPr>
        <w:br w:type="page"/>
      </w:r>
      <w:r>
        <w:rPr>
          <w:rFonts w:hint="eastAsia" w:ascii="宋体" w:hAnsi="宋体"/>
          <w:color w:val="auto"/>
          <w:szCs w:val="21"/>
        </w:rPr>
        <w:t>6</w:t>
      </w:r>
      <w:r>
        <w:rPr>
          <w:rFonts w:ascii="宋体" w:hAnsi="宋体"/>
          <w:color w:val="auto"/>
          <w:szCs w:val="21"/>
        </w:rPr>
        <w:t>.2</w:t>
      </w:r>
      <w:r>
        <w:rPr>
          <w:rFonts w:hint="eastAsia" w:ascii="宋体" w:hAnsi="宋体"/>
          <w:color w:val="auto"/>
          <w:szCs w:val="21"/>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C3CDB0B">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F693A6">
            <w:pPr>
              <w:spacing w:line="360" w:lineRule="auto"/>
              <w:jc w:val="center"/>
              <w:rPr>
                <w:rFonts w:ascii="宋体" w:hAnsi="宋体"/>
                <w:color w:val="auto"/>
                <w:szCs w:val="21"/>
              </w:rPr>
            </w:pPr>
            <w:r>
              <w:rPr>
                <w:rFonts w:hint="eastAsia" w:ascii="宋体" w:hAnsi="宋体"/>
                <w:color w:val="auto"/>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3BF2C2">
            <w:pPr>
              <w:spacing w:line="360" w:lineRule="auto"/>
              <w:jc w:val="center"/>
              <w:rPr>
                <w:rFonts w:ascii="宋体" w:hAnsi="宋体"/>
                <w:color w:val="auto"/>
                <w:szCs w:val="21"/>
              </w:rPr>
            </w:pPr>
            <w:r>
              <w:rPr>
                <w:rFonts w:hint="eastAsia" w:ascii="宋体" w:hAnsi="宋体"/>
                <w:color w:val="auto"/>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BA59A0">
            <w:pPr>
              <w:spacing w:line="360" w:lineRule="auto"/>
              <w:jc w:val="center"/>
              <w:rPr>
                <w:rFonts w:ascii="宋体" w:hAnsi="宋体"/>
                <w:color w:val="auto"/>
                <w:szCs w:val="21"/>
              </w:rPr>
            </w:pPr>
            <w:r>
              <w:rPr>
                <w:rFonts w:hint="eastAsia" w:ascii="宋体" w:hAnsi="宋体"/>
                <w:color w:val="auto"/>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B316E7">
            <w:pPr>
              <w:spacing w:line="360" w:lineRule="auto"/>
              <w:jc w:val="center"/>
              <w:rPr>
                <w:rFonts w:ascii="宋体" w:hAnsi="宋体"/>
                <w:color w:val="auto"/>
                <w:szCs w:val="21"/>
              </w:rPr>
            </w:pPr>
            <w:r>
              <w:rPr>
                <w:rFonts w:hint="eastAsia" w:ascii="宋体" w:hAnsi="宋体"/>
                <w:color w:val="auto"/>
                <w:szCs w:val="21"/>
              </w:rPr>
              <w:t>备注</w:t>
            </w:r>
          </w:p>
        </w:tc>
      </w:tr>
      <w:tr w14:paraId="64FD3DF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875A53">
            <w:pPr>
              <w:spacing w:line="360" w:lineRule="auto"/>
              <w:jc w:val="center"/>
              <w:rPr>
                <w:rFonts w:ascii="宋体" w:hAnsi="宋体"/>
                <w:color w:val="auto"/>
                <w:szCs w:val="21"/>
              </w:rPr>
            </w:pPr>
            <w:r>
              <w:rPr>
                <w:rFonts w:hint="eastAsia" w:ascii="宋体" w:hAnsi="宋体"/>
                <w:color w:val="auto"/>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12C5DC">
            <w:pPr>
              <w:spacing w:line="360" w:lineRule="auto"/>
              <w:jc w:val="center"/>
              <w:rPr>
                <w:rFonts w:ascii="宋体" w:hAnsi="宋体"/>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A80CC2">
            <w:pPr>
              <w:spacing w:line="360" w:lineRule="auto"/>
              <w:jc w:val="center"/>
              <w:rPr>
                <w:rFonts w:ascii="宋体" w:hAnsi="宋体"/>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6EAB42">
            <w:pPr>
              <w:spacing w:line="360" w:lineRule="auto"/>
              <w:jc w:val="center"/>
              <w:rPr>
                <w:rFonts w:ascii="宋体" w:hAnsi="宋体"/>
                <w:color w:val="auto"/>
                <w:szCs w:val="21"/>
              </w:rPr>
            </w:pPr>
          </w:p>
        </w:tc>
      </w:tr>
      <w:tr w14:paraId="5FCE1AC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1D3528">
            <w:pPr>
              <w:spacing w:line="360" w:lineRule="auto"/>
              <w:jc w:val="center"/>
              <w:rPr>
                <w:rFonts w:ascii="宋体" w:hAnsi="宋体"/>
                <w:color w:val="auto"/>
                <w:szCs w:val="21"/>
              </w:rPr>
            </w:pPr>
            <w:r>
              <w:rPr>
                <w:rFonts w:hint="eastAsia" w:ascii="宋体" w:hAnsi="宋体"/>
                <w:color w:val="auto"/>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D1338F">
            <w:pPr>
              <w:spacing w:line="360" w:lineRule="auto"/>
              <w:jc w:val="center"/>
              <w:rPr>
                <w:rFonts w:ascii="宋体" w:hAnsi="宋体"/>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5EAF17">
            <w:pPr>
              <w:spacing w:line="360" w:lineRule="auto"/>
              <w:jc w:val="center"/>
              <w:rPr>
                <w:rFonts w:ascii="宋体" w:hAnsi="宋体"/>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2F9F52">
            <w:pPr>
              <w:spacing w:line="360" w:lineRule="auto"/>
              <w:jc w:val="center"/>
              <w:rPr>
                <w:rFonts w:ascii="宋体" w:hAnsi="宋体"/>
                <w:color w:val="auto"/>
                <w:szCs w:val="21"/>
              </w:rPr>
            </w:pPr>
          </w:p>
        </w:tc>
      </w:tr>
      <w:tr w14:paraId="1275D79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DCC5F7">
            <w:pPr>
              <w:spacing w:line="360" w:lineRule="auto"/>
              <w:jc w:val="center"/>
              <w:rPr>
                <w:rFonts w:ascii="宋体" w:hAnsi="宋体"/>
                <w:color w:val="auto"/>
                <w:szCs w:val="21"/>
              </w:rPr>
            </w:pPr>
            <w:r>
              <w:rPr>
                <w:rFonts w:hint="eastAsia" w:ascii="宋体" w:hAnsi="宋体"/>
                <w:color w:val="auto"/>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34476D1">
            <w:pPr>
              <w:spacing w:line="360" w:lineRule="auto"/>
              <w:jc w:val="center"/>
              <w:rPr>
                <w:rFonts w:ascii="宋体" w:hAnsi="宋体"/>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58A20C">
            <w:pPr>
              <w:spacing w:line="360" w:lineRule="auto"/>
              <w:jc w:val="center"/>
              <w:rPr>
                <w:rFonts w:ascii="宋体" w:hAnsi="宋体"/>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B5AD74">
            <w:pPr>
              <w:spacing w:line="360" w:lineRule="auto"/>
              <w:jc w:val="center"/>
              <w:rPr>
                <w:rFonts w:ascii="宋体" w:hAnsi="宋体"/>
                <w:color w:val="auto"/>
                <w:szCs w:val="21"/>
              </w:rPr>
            </w:pPr>
          </w:p>
        </w:tc>
      </w:tr>
      <w:tr w14:paraId="68889FB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6D5AC1B">
            <w:pPr>
              <w:spacing w:line="360" w:lineRule="auto"/>
              <w:jc w:val="center"/>
              <w:rPr>
                <w:rFonts w:ascii="宋体" w:hAnsi="宋体"/>
                <w:color w:val="auto"/>
                <w:szCs w:val="21"/>
              </w:rPr>
            </w:pPr>
            <w:r>
              <w:rPr>
                <w:rFonts w:hint="eastAsia" w:ascii="宋体" w:hAnsi="宋体"/>
                <w:color w:val="auto"/>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419B3C">
            <w:pPr>
              <w:spacing w:line="360" w:lineRule="auto"/>
              <w:jc w:val="center"/>
              <w:rPr>
                <w:rFonts w:ascii="宋体" w:hAnsi="宋体"/>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6E11C9">
            <w:pPr>
              <w:spacing w:line="360" w:lineRule="auto"/>
              <w:jc w:val="center"/>
              <w:rPr>
                <w:rFonts w:ascii="宋体" w:hAnsi="宋体"/>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C76004">
            <w:pPr>
              <w:spacing w:line="360" w:lineRule="auto"/>
              <w:jc w:val="center"/>
              <w:rPr>
                <w:rFonts w:ascii="宋体" w:hAnsi="宋体"/>
                <w:color w:val="auto"/>
                <w:szCs w:val="21"/>
              </w:rPr>
            </w:pPr>
          </w:p>
        </w:tc>
      </w:tr>
    </w:tbl>
    <w:p w14:paraId="54EAD6DE">
      <w:pPr>
        <w:snapToGrid w:val="0"/>
        <w:spacing w:line="360" w:lineRule="auto"/>
        <w:jc w:val="left"/>
        <w:rPr>
          <w:rFonts w:ascii="宋体" w:hAnsi="宋体"/>
          <w:color w:val="auto"/>
          <w:szCs w:val="21"/>
        </w:rPr>
      </w:pPr>
      <w:r>
        <w:rPr>
          <w:rFonts w:hint="eastAsia" w:ascii="宋体" w:hAnsi="宋体"/>
          <w:color w:val="auto"/>
          <w:szCs w:val="21"/>
        </w:rPr>
        <w:t>注：</w:t>
      </w:r>
    </w:p>
    <w:p w14:paraId="7B5ABF54">
      <w:pPr>
        <w:snapToGrid w:val="0"/>
        <w:spacing w:line="360" w:lineRule="auto"/>
        <w:ind w:firstLine="420" w:firstLineChars="200"/>
        <w:jc w:val="left"/>
        <w:rPr>
          <w:rFonts w:ascii="宋体" w:hAnsi="宋体"/>
          <w:color w:val="auto"/>
          <w:szCs w:val="21"/>
        </w:rPr>
      </w:pPr>
      <w:r>
        <w:rPr>
          <w:rFonts w:hint="eastAsia" w:ascii="宋体" w:hAnsi="宋体"/>
          <w:color w:val="auto"/>
          <w:szCs w:val="21"/>
        </w:rPr>
        <w:t>1.管理关系：是指不具有出资持股关系的其他单位之间存在的管理与被管理关系，如一些上下级关系的事业单位和团体组织。</w:t>
      </w:r>
    </w:p>
    <w:p w14:paraId="214FC40C">
      <w:pPr>
        <w:snapToGrid w:val="0"/>
        <w:spacing w:line="360" w:lineRule="auto"/>
        <w:ind w:firstLine="420" w:firstLineChars="200"/>
        <w:jc w:val="left"/>
        <w:rPr>
          <w:rFonts w:ascii="宋体" w:hAnsi="宋体"/>
          <w:color w:val="auto"/>
          <w:szCs w:val="21"/>
        </w:rPr>
      </w:pPr>
      <w:r>
        <w:rPr>
          <w:rFonts w:hint="eastAsia" w:ascii="宋体" w:hAnsi="宋体"/>
          <w:color w:val="auto"/>
          <w:szCs w:val="21"/>
        </w:rPr>
        <w:t>2.本表所指的管理关系仅限于直接管理关系，不包括间接的管理关系。</w:t>
      </w:r>
    </w:p>
    <w:p w14:paraId="1E12B9C6">
      <w:pPr>
        <w:snapToGrid w:val="0"/>
        <w:spacing w:line="360" w:lineRule="auto"/>
        <w:ind w:firstLine="420" w:firstLineChars="200"/>
        <w:jc w:val="left"/>
        <w:rPr>
          <w:rFonts w:ascii="宋体" w:hAnsi="宋体"/>
          <w:color w:val="auto"/>
          <w:szCs w:val="21"/>
        </w:rPr>
      </w:pPr>
      <w:r>
        <w:rPr>
          <w:rFonts w:hint="eastAsia" w:ascii="宋体" w:hAnsi="宋体"/>
          <w:color w:val="auto"/>
          <w:szCs w:val="21"/>
        </w:rPr>
        <w:t>3.供应商不存在直接管理关系的，则填“无”。</w:t>
      </w:r>
    </w:p>
    <w:p w14:paraId="295C4F78">
      <w:pPr>
        <w:snapToGrid w:val="0"/>
        <w:spacing w:line="360" w:lineRule="auto"/>
        <w:jc w:val="left"/>
        <w:rPr>
          <w:rFonts w:ascii="宋体" w:hAnsi="宋体"/>
          <w:color w:val="auto"/>
          <w:szCs w:val="21"/>
        </w:rPr>
      </w:pPr>
    </w:p>
    <w:p w14:paraId="3C065D3B">
      <w:pPr>
        <w:snapToGrid w:val="0"/>
        <w:spacing w:line="360" w:lineRule="auto"/>
        <w:jc w:val="left"/>
        <w:rPr>
          <w:rFonts w:ascii="宋体" w:hAnsi="宋体"/>
          <w:color w:val="auto"/>
          <w:szCs w:val="21"/>
        </w:rPr>
      </w:pPr>
    </w:p>
    <w:p w14:paraId="435FB228">
      <w:pPr>
        <w:snapToGrid w:val="0"/>
        <w:spacing w:line="360" w:lineRule="auto"/>
        <w:jc w:val="left"/>
        <w:rPr>
          <w:rFonts w:ascii="宋体" w:hAnsi="宋体"/>
          <w:color w:val="auto"/>
          <w:szCs w:val="21"/>
        </w:rPr>
      </w:pPr>
    </w:p>
    <w:p w14:paraId="5B0536FB">
      <w:pPr>
        <w:snapToGrid w:val="0"/>
        <w:spacing w:line="360" w:lineRule="auto"/>
        <w:jc w:val="left"/>
        <w:rPr>
          <w:rFonts w:ascii="宋体" w:hAnsi="宋体"/>
          <w:color w:val="auto"/>
          <w:szCs w:val="21"/>
        </w:rPr>
      </w:pPr>
    </w:p>
    <w:p w14:paraId="059A3D90">
      <w:pPr>
        <w:snapToGrid w:val="0"/>
        <w:spacing w:line="360" w:lineRule="auto"/>
        <w:jc w:val="left"/>
        <w:rPr>
          <w:rFonts w:ascii="宋体" w:hAnsi="宋体"/>
          <w:color w:val="auto"/>
          <w:szCs w:val="21"/>
        </w:rPr>
      </w:pPr>
    </w:p>
    <w:p w14:paraId="2E04DC69">
      <w:pPr>
        <w:snapToGrid w:val="0"/>
        <w:spacing w:line="360" w:lineRule="auto"/>
        <w:jc w:val="left"/>
        <w:rPr>
          <w:rFonts w:ascii="宋体" w:hAnsi="宋体"/>
          <w:color w:val="auto"/>
          <w:szCs w:val="21"/>
        </w:rPr>
      </w:pPr>
    </w:p>
    <w:p w14:paraId="575B9F1A">
      <w:pPr>
        <w:snapToGrid w:val="0"/>
        <w:spacing w:line="360" w:lineRule="auto"/>
        <w:jc w:val="left"/>
        <w:rPr>
          <w:rFonts w:ascii="宋体" w:hAnsi="宋体"/>
          <w:color w:val="auto"/>
          <w:szCs w:val="21"/>
        </w:rPr>
      </w:pPr>
    </w:p>
    <w:p w14:paraId="35D6B035">
      <w:pPr>
        <w:snapToGrid w:val="0"/>
        <w:spacing w:line="360" w:lineRule="auto"/>
        <w:jc w:val="left"/>
        <w:rPr>
          <w:rFonts w:ascii="宋体" w:hAnsi="宋体"/>
          <w:color w:val="auto"/>
          <w:szCs w:val="21"/>
        </w:rPr>
      </w:pPr>
    </w:p>
    <w:p w14:paraId="16154A45">
      <w:pPr>
        <w:snapToGrid w:val="0"/>
        <w:spacing w:line="360" w:lineRule="auto"/>
        <w:ind w:firstLine="4410" w:firstLineChars="2100"/>
        <w:rPr>
          <w:rFonts w:ascii="宋体" w:hAnsi="宋体"/>
          <w:color w:val="auto"/>
          <w:szCs w:val="21"/>
        </w:rPr>
      </w:pPr>
      <w:r>
        <w:rPr>
          <w:rFonts w:hint="eastAsia" w:ascii="宋体" w:hAnsi="宋体"/>
          <w:color w:val="auto"/>
          <w:szCs w:val="21"/>
        </w:rPr>
        <w:t>供应商名称(电子签章)：</w:t>
      </w:r>
    </w:p>
    <w:p w14:paraId="10C6908D">
      <w:pPr>
        <w:snapToGrid w:val="0"/>
        <w:spacing w:line="360" w:lineRule="auto"/>
        <w:ind w:firstLine="4515" w:firstLineChars="2150"/>
        <w:rPr>
          <w:rFonts w:ascii="宋体" w:hAnsi="宋体"/>
          <w:color w:val="auto"/>
          <w:szCs w:val="21"/>
        </w:rPr>
      </w:pPr>
      <w:r>
        <w:rPr>
          <w:rFonts w:hint="eastAsia" w:ascii="宋体" w:hAnsi="宋体"/>
          <w:color w:val="auto"/>
          <w:szCs w:val="21"/>
        </w:rPr>
        <w:t>日期：  年  月   日</w:t>
      </w:r>
    </w:p>
    <w:p w14:paraId="61F6B6D9">
      <w:pPr>
        <w:pStyle w:val="26"/>
        <w:tabs>
          <w:tab w:val="left" w:pos="2127"/>
        </w:tabs>
        <w:spacing w:line="340" w:lineRule="exact"/>
        <w:rPr>
          <w:rFonts w:hAnsi="宋体" w:cs="Times New Roman"/>
          <w:color w:val="auto"/>
        </w:rPr>
      </w:pPr>
    </w:p>
    <w:p w14:paraId="60ED23EA">
      <w:pPr>
        <w:snapToGrid w:val="0"/>
        <w:spacing w:before="50" w:after="120" w:afterLines="50" w:line="440" w:lineRule="exact"/>
        <w:jc w:val="left"/>
        <w:rPr>
          <w:rFonts w:ascii="宋体" w:hAnsi="宋体"/>
          <w:b/>
          <w:color w:val="auto"/>
          <w:szCs w:val="21"/>
        </w:rPr>
      </w:pPr>
      <w:r>
        <w:rPr>
          <w:rFonts w:ascii="宋体" w:hAnsi="宋体"/>
          <w:color w:val="auto"/>
        </w:rPr>
        <w:br w:type="page"/>
      </w:r>
      <w:r>
        <w:rPr>
          <w:rFonts w:hint="eastAsia" w:ascii="宋体" w:hAnsi="宋体"/>
          <w:color w:val="auto"/>
          <w:szCs w:val="21"/>
        </w:rPr>
        <w:t>7</w:t>
      </w:r>
      <w:r>
        <w:rPr>
          <w:rFonts w:ascii="宋体" w:hAnsi="宋体"/>
          <w:color w:val="auto"/>
          <w:szCs w:val="21"/>
        </w:rPr>
        <w:t>．</w:t>
      </w:r>
      <w:r>
        <w:rPr>
          <w:rFonts w:hint="eastAsia" w:ascii="宋体" w:hAnsi="宋体"/>
          <w:color w:val="auto"/>
          <w:szCs w:val="21"/>
        </w:rPr>
        <w:t>磋商</w:t>
      </w:r>
      <w:r>
        <w:rPr>
          <w:rFonts w:ascii="宋体" w:hAnsi="宋体"/>
          <w:color w:val="auto"/>
          <w:szCs w:val="21"/>
        </w:rPr>
        <w:t>保证金缴纳证明</w:t>
      </w:r>
      <w:r>
        <w:rPr>
          <w:rFonts w:hint="eastAsia" w:ascii="宋体" w:hAnsi="宋体"/>
          <w:color w:val="auto"/>
          <w:szCs w:val="21"/>
        </w:rPr>
        <w:t>。</w:t>
      </w:r>
      <w:r>
        <w:rPr>
          <w:rFonts w:hint="eastAsia" w:ascii="宋体" w:hAnsi="宋体"/>
          <w:b/>
          <w:color w:val="auto"/>
          <w:szCs w:val="21"/>
        </w:rPr>
        <w:t>（如采购文件有要求时提供）</w:t>
      </w:r>
    </w:p>
    <w:p w14:paraId="1E21764D">
      <w:pPr>
        <w:snapToGrid w:val="0"/>
        <w:spacing w:before="50" w:after="120" w:afterLines="50" w:line="440" w:lineRule="exact"/>
        <w:jc w:val="left"/>
        <w:rPr>
          <w:rFonts w:ascii="宋体" w:hAnsi="宋体"/>
          <w:color w:val="auto"/>
        </w:rPr>
      </w:pPr>
      <w:r>
        <w:rPr>
          <w:rFonts w:hint="eastAsia" w:ascii="宋体" w:hAnsi="宋体"/>
          <w:color w:val="auto"/>
        </w:rPr>
        <w:t>（1）以转账、电汇形式缴纳的，提供转账、电汇凭证扫描件或复印件（网银可提供截图）</w:t>
      </w:r>
      <w:r>
        <w:rPr>
          <w:rFonts w:ascii="宋体" w:hAnsi="宋体"/>
          <w:color w:val="auto"/>
        </w:rPr>
        <w:t>加盖</w:t>
      </w:r>
      <w:r>
        <w:rPr>
          <w:rFonts w:ascii="宋体" w:hAnsi="宋体"/>
          <w:color w:val="auto"/>
          <w:szCs w:val="21"/>
        </w:rPr>
        <w:t>供应商</w:t>
      </w:r>
      <w:r>
        <w:rPr>
          <w:rFonts w:hint="eastAsia" w:ascii="宋体" w:hAnsi="宋体"/>
          <w:color w:val="auto"/>
          <w:szCs w:val="21"/>
        </w:rPr>
        <w:t>电子签章</w:t>
      </w:r>
      <w:r>
        <w:rPr>
          <w:rFonts w:hint="eastAsia" w:ascii="宋体" w:hAnsi="宋体"/>
          <w:color w:val="auto"/>
        </w:rPr>
        <w:t>；</w:t>
      </w:r>
    </w:p>
    <w:p w14:paraId="108AB64A">
      <w:pPr>
        <w:snapToGrid w:val="0"/>
        <w:spacing w:before="50" w:after="120" w:afterLines="50" w:line="440" w:lineRule="exact"/>
        <w:jc w:val="left"/>
        <w:rPr>
          <w:rFonts w:ascii="宋体" w:hAnsi="宋体"/>
          <w:color w:val="auto"/>
        </w:rPr>
      </w:pPr>
      <w:r>
        <w:rPr>
          <w:rFonts w:hint="eastAsia" w:ascii="宋体" w:hAnsi="宋体"/>
          <w:color w:val="auto"/>
        </w:rPr>
        <w:t>（2）以支票、汇票、本票或金融机构、担保机构出具的保函等非现金形式缴纳的，提供原件扫描件或复印件并加盖供应商电子签章。响应保函参考如下格式开具：</w:t>
      </w:r>
    </w:p>
    <w:p w14:paraId="3FC63D0F">
      <w:pPr>
        <w:spacing w:line="360" w:lineRule="auto"/>
        <w:jc w:val="center"/>
        <w:rPr>
          <w:rFonts w:ascii="宋体" w:hAnsi="宋体"/>
          <w:b/>
          <w:bCs/>
          <w:color w:val="auto"/>
          <w:sz w:val="28"/>
          <w:szCs w:val="36"/>
        </w:rPr>
      </w:pPr>
    </w:p>
    <w:p w14:paraId="0F6493B0">
      <w:pPr>
        <w:spacing w:line="360" w:lineRule="auto"/>
        <w:jc w:val="center"/>
        <w:rPr>
          <w:rFonts w:ascii="宋体" w:hAnsi="宋体"/>
          <w:b/>
          <w:bCs/>
          <w:color w:val="auto"/>
          <w:sz w:val="28"/>
          <w:szCs w:val="36"/>
        </w:rPr>
      </w:pPr>
      <w:r>
        <w:rPr>
          <w:rFonts w:hint="eastAsia" w:ascii="宋体" w:hAnsi="宋体"/>
          <w:b/>
          <w:bCs/>
          <w:color w:val="auto"/>
          <w:sz w:val="28"/>
          <w:szCs w:val="36"/>
        </w:rPr>
        <w:t>响应保函格式</w:t>
      </w:r>
    </w:p>
    <w:p w14:paraId="28EDE7F6">
      <w:pPr>
        <w:snapToGrid w:val="0"/>
        <w:spacing w:before="50" w:after="120" w:afterLines="50"/>
        <w:jc w:val="left"/>
        <w:rPr>
          <w:rFonts w:ascii="宋体" w:hAnsi="宋体"/>
          <w:color w:val="auto"/>
        </w:rPr>
      </w:pPr>
      <w:r>
        <w:rPr>
          <w:rFonts w:hint="eastAsia" w:ascii="宋体" w:hAnsi="宋体"/>
          <w:color w:val="auto"/>
        </w:rPr>
        <w:t xml:space="preserve">编号：           </w:t>
      </w:r>
    </w:p>
    <w:p w14:paraId="5CE3AD6A">
      <w:pPr>
        <w:snapToGrid w:val="0"/>
        <w:spacing w:before="50" w:after="120" w:afterLines="50"/>
        <w:jc w:val="left"/>
        <w:rPr>
          <w:rFonts w:ascii="宋体" w:hAnsi="宋体"/>
          <w:color w:val="auto"/>
        </w:rPr>
      </w:pPr>
      <w:r>
        <w:rPr>
          <w:rFonts w:hint="eastAsia" w:ascii="宋体" w:hAnsi="宋体"/>
          <w:color w:val="auto"/>
        </w:rPr>
        <w:t>申请人：</w:t>
      </w:r>
    </w:p>
    <w:p w14:paraId="66BE81E4">
      <w:pPr>
        <w:snapToGrid w:val="0"/>
        <w:spacing w:before="50" w:after="120" w:afterLines="50"/>
        <w:jc w:val="left"/>
        <w:rPr>
          <w:rFonts w:ascii="宋体" w:hAnsi="宋体"/>
          <w:color w:val="auto"/>
        </w:rPr>
      </w:pPr>
      <w:r>
        <w:rPr>
          <w:rFonts w:hint="eastAsia" w:ascii="宋体" w:hAnsi="宋体"/>
          <w:color w:val="auto"/>
        </w:rPr>
        <w:t>地址：</w:t>
      </w:r>
    </w:p>
    <w:p w14:paraId="3E1E9E19">
      <w:pPr>
        <w:snapToGrid w:val="0"/>
        <w:spacing w:before="50" w:after="120" w:afterLines="50"/>
        <w:jc w:val="left"/>
        <w:rPr>
          <w:rFonts w:ascii="宋体" w:hAnsi="宋体"/>
          <w:color w:val="auto"/>
        </w:rPr>
      </w:pPr>
      <w:r>
        <w:rPr>
          <w:rFonts w:hint="eastAsia" w:ascii="宋体" w:hAnsi="宋体"/>
          <w:color w:val="auto"/>
        </w:rPr>
        <w:t xml:space="preserve">受益人：广西机电设备招标有限公司 </w:t>
      </w:r>
    </w:p>
    <w:p w14:paraId="37D045A3">
      <w:pPr>
        <w:snapToGrid w:val="0"/>
        <w:spacing w:before="50" w:after="120" w:afterLines="50"/>
        <w:jc w:val="left"/>
        <w:rPr>
          <w:rFonts w:ascii="宋体" w:hAnsi="宋体"/>
          <w:color w:val="auto"/>
        </w:rPr>
      </w:pPr>
      <w:r>
        <w:rPr>
          <w:rFonts w:hint="eastAsia" w:ascii="宋体" w:hAnsi="宋体"/>
          <w:color w:val="auto"/>
        </w:rPr>
        <w:t>地址：</w:t>
      </w:r>
    </w:p>
    <w:p w14:paraId="605CE087">
      <w:pPr>
        <w:snapToGrid w:val="0"/>
        <w:spacing w:before="50" w:after="120" w:afterLines="50"/>
        <w:jc w:val="left"/>
        <w:rPr>
          <w:rFonts w:ascii="宋体" w:hAnsi="宋体"/>
          <w:color w:val="auto"/>
        </w:rPr>
      </w:pPr>
      <w:r>
        <w:rPr>
          <w:rFonts w:hint="eastAsia" w:ascii="宋体" w:hAnsi="宋体"/>
          <w:color w:val="auto"/>
        </w:rPr>
        <w:t>开立人：</w:t>
      </w:r>
    </w:p>
    <w:p w14:paraId="2A5B31E1">
      <w:pPr>
        <w:snapToGrid w:val="0"/>
        <w:spacing w:before="50" w:after="120" w:afterLines="50"/>
        <w:jc w:val="left"/>
        <w:rPr>
          <w:rFonts w:ascii="宋体" w:hAnsi="宋体"/>
          <w:color w:val="auto"/>
        </w:rPr>
      </w:pPr>
      <w:r>
        <w:rPr>
          <w:rFonts w:hint="eastAsia" w:ascii="宋体" w:hAnsi="宋体"/>
          <w:color w:val="auto"/>
        </w:rPr>
        <w:t>地址：</w:t>
      </w:r>
    </w:p>
    <w:p w14:paraId="2B13248F">
      <w:pPr>
        <w:snapToGrid w:val="0"/>
        <w:spacing w:before="50" w:after="120" w:afterLines="50" w:line="440" w:lineRule="exact"/>
        <w:jc w:val="left"/>
        <w:rPr>
          <w:rFonts w:ascii="宋体" w:hAnsi="宋体"/>
          <w:color w:val="auto"/>
        </w:rPr>
      </w:pPr>
    </w:p>
    <w:p w14:paraId="60AE2A58">
      <w:pPr>
        <w:snapToGrid w:val="0"/>
        <w:spacing w:before="50" w:after="120" w:afterLines="50" w:line="276" w:lineRule="auto"/>
        <w:jc w:val="left"/>
        <w:rPr>
          <w:rFonts w:ascii="宋体" w:hAnsi="宋体"/>
          <w:color w:val="auto"/>
        </w:rPr>
      </w:pPr>
      <w:r>
        <w:rPr>
          <w:rFonts w:hint="eastAsia" w:ascii="宋体" w:hAnsi="宋体"/>
          <w:color w:val="auto"/>
        </w:rPr>
        <w:t>致：广西机电设备招标有限公司</w:t>
      </w:r>
    </w:p>
    <w:p w14:paraId="10B18540">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我方（即“开立人”）已获得通知，本保函申请人（即“供应商”）已响应贵方于</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 xml:space="preserve"> 日就 </w:t>
      </w:r>
      <w:r>
        <w:rPr>
          <w:rFonts w:hint="eastAsia" w:ascii="宋体" w:hAnsi="宋体"/>
          <w:color w:val="auto"/>
          <w:u w:val="single"/>
        </w:rPr>
        <w:t xml:space="preserve">                                          </w:t>
      </w:r>
      <w:r>
        <w:rPr>
          <w:rFonts w:hint="eastAsia" w:ascii="宋体" w:hAnsi="宋体"/>
          <w:color w:val="auto"/>
        </w:rPr>
        <w:t>（以下简称“本项目”）发出的采购文件，并已向采购代理机构（即“受益人”）提交了响应文件。</w:t>
      </w:r>
    </w:p>
    <w:p w14:paraId="36B70C69">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一、我方理解根据招标条件，供应商必须提交一份投标保函（以下简称“本保函”），以担保供应商诚信履行其在采购活动中承担的义务。鉴此，应申请人要求，我方在此同意向贵方出具此投标保函，本保函担保金额为人民币（大写）</w:t>
      </w:r>
      <w:r>
        <w:rPr>
          <w:rFonts w:hint="eastAsia" w:ascii="宋体" w:hAnsi="宋体"/>
          <w:color w:val="auto"/>
          <w:u w:val="single"/>
        </w:rPr>
        <w:t xml:space="preserve">                            </w:t>
      </w:r>
      <w:r>
        <w:rPr>
          <w:rFonts w:hint="eastAsia" w:ascii="宋体" w:hAnsi="宋体"/>
          <w:color w:val="auto"/>
        </w:rPr>
        <w:t>元（¥</w:t>
      </w:r>
      <w:r>
        <w:rPr>
          <w:rFonts w:hint="eastAsia" w:ascii="宋体" w:hAnsi="宋体"/>
          <w:color w:val="auto"/>
          <w:u w:val="single"/>
        </w:rPr>
        <w:t xml:space="preserve">                         </w:t>
      </w:r>
      <w:r>
        <w:rPr>
          <w:rFonts w:hint="eastAsia" w:ascii="宋体" w:hAnsi="宋体"/>
          <w:color w:val="auto"/>
        </w:rPr>
        <w:t>）。</w:t>
      </w:r>
    </w:p>
    <w:p w14:paraId="74262612">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二、我方在供应商发生以下情形时承担保证担保责任： </w:t>
      </w:r>
    </w:p>
    <w:p w14:paraId="1485684F">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（1）供应商在开标后和投标有效期满之前撤销响应文件的； </w:t>
      </w:r>
    </w:p>
    <w:p w14:paraId="7BAE5653">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（2）供应商在收到中标通知书后，不能或拒绝按采购文件规定的时间内与采购人签订合同； </w:t>
      </w:r>
    </w:p>
    <w:p w14:paraId="0E48292E">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（3）供应商在与采购人签订合同后，未在规定的时间内提交符合采购文件要求的履约担保；</w:t>
      </w:r>
    </w:p>
    <w:p w14:paraId="012F3B6F">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（4）供应商在中标通知书发出之日起5个工作日内，未缴纳本项目代理服务费的；</w:t>
      </w:r>
    </w:p>
    <w:p w14:paraId="489AAA8B">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（5）供应商违反采购文件规定的其他情形。</w:t>
      </w:r>
    </w:p>
    <w:p w14:paraId="40FD57F5">
      <w:pPr>
        <w:snapToGrid w:val="0"/>
        <w:spacing w:before="50" w:after="120" w:afterLines="50" w:line="276" w:lineRule="auto"/>
        <w:ind w:firstLine="210" w:firstLineChars="100"/>
        <w:jc w:val="left"/>
        <w:rPr>
          <w:rFonts w:ascii="宋体" w:hAnsi="宋体"/>
          <w:color w:val="auto"/>
        </w:rPr>
      </w:pPr>
      <w:r>
        <w:rPr>
          <w:rFonts w:hint="eastAsia" w:ascii="宋体" w:hAnsi="宋体"/>
          <w:color w:val="auto"/>
        </w:rPr>
        <w:t xml:space="preserve">    三、本保函为不可撤销、不可转让的见索即付独立保函。本保函有效期自开立之日起至投标有效期届满之日后的</w:t>
      </w:r>
      <w:r>
        <w:rPr>
          <w:rFonts w:hint="eastAsia" w:ascii="宋体" w:hAnsi="宋体"/>
          <w:color w:val="auto"/>
          <w:u w:val="single"/>
        </w:rPr>
        <w:t xml:space="preserve">  28  </w:t>
      </w:r>
      <w:r>
        <w:rPr>
          <w:rFonts w:hint="eastAsia" w:ascii="宋体" w:hAnsi="宋体"/>
          <w:color w:val="auto"/>
        </w:rPr>
        <w:t>日。投标有效期延长的，本保函有效期相应顺延。</w:t>
      </w:r>
    </w:p>
    <w:p w14:paraId="7E0A59EE">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四、我方承诺，在收到受益人发来的书面付款通知后的</w:t>
      </w:r>
      <w:r>
        <w:rPr>
          <w:rFonts w:hint="eastAsia" w:ascii="宋体" w:hAnsi="宋体"/>
          <w:color w:val="auto"/>
          <w:u w:val="single"/>
        </w:rPr>
        <w:t xml:space="preserve">   5    </w:t>
      </w:r>
      <w:r>
        <w:rPr>
          <w:rFonts w:hint="eastAsia" w:ascii="宋体" w:hAnsi="宋体"/>
          <w:color w:val="auto"/>
        </w:rPr>
        <w:t>日内无条件支付，前述书面付款通知即为付款要求之单据，且应满足以下要求：</w:t>
      </w:r>
    </w:p>
    <w:p w14:paraId="3205C1B8">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（1）付款通知到达的日期在本保函的有效期内；</w:t>
      </w:r>
    </w:p>
    <w:p w14:paraId="11330D04">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（2）载明要求支付的金额；</w:t>
      </w:r>
    </w:p>
    <w:p w14:paraId="7DE2411F">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（3）载明申请人违反采购文件规定的义务内容和具体条款；</w:t>
      </w:r>
    </w:p>
    <w:p w14:paraId="05016B9C">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（4）声明不存在采购文件规定或我国法律规定免除申请人或我方支付责任的情形；</w:t>
      </w:r>
    </w:p>
    <w:p w14:paraId="6E045066">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（5）书面付款通知应在本保函有效期内到达的地址是：</w:t>
      </w:r>
      <w:r>
        <w:rPr>
          <w:rFonts w:hint="eastAsia" w:ascii="宋体" w:hAnsi="宋体"/>
          <w:color w:val="auto"/>
          <w:u w:val="single"/>
        </w:rPr>
        <w:t xml:space="preserve">                                     </w:t>
      </w:r>
      <w:r>
        <w:rPr>
          <w:rFonts w:hint="eastAsia" w:ascii="宋体" w:hAnsi="宋体"/>
          <w:color w:val="auto"/>
        </w:rPr>
        <w:t>。</w:t>
      </w:r>
    </w:p>
    <w:p w14:paraId="2CB61FF9">
      <w:pPr>
        <w:snapToGrid w:val="0"/>
        <w:spacing w:before="50" w:after="120" w:afterLines="50" w:line="276" w:lineRule="auto"/>
        <w:jc w:val="left"/>
        <w:rPr>
          <w:rFonts w:ascii="宋体" w:hAnsi="宋体"/>
          <w:color w:val="auto"/>
        </w:rPr>
      </w:pPr>
      <w:r>
        <w:rPr>
          <w:rFonts w:hint="eastAsia" w:ascii="宋体" w:hAnsi="宋体"/>
          <w:color w:val="auto"/>
        </w:rPr>
        <w:t xml:space="preserve">        受益人发出的书面付款通知应由其为鉴明受益人法定代表人（负责人）或授权代理人签字并加盖公章。</w:t>
      </w:r>
    </w:p>
    <w:p w14:paraId="51438D64">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五、本保函项下的权利不得转让，不得设定担保。贵方未经我方书面同意转让本保函或其项下任何权利，对我方不发生法律效力。 </w:t>
      </w:r>
    </w:p>
    <w:p w14:paraId="29819475">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六、本保函项下的基础交易不成立、不生效、无效、被撤销、被解除，不影响本保函的独立有效。 </w:t>
      </w:r>
    </w:p>
    <w:p w14:paraId="7844584B">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10639719">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八、本保函适用的法律为中华人民共和国法律，争议裁判管辖地为中华人民共和国。 </w:t>
      </w:r>
    </w:p>
    <w:p w14:paraId="6875A2D5">
      <w:pPr>
        <w:snapToGrid w:val="0"/>
        <w:spacing w:before="50" w:after="120" w:afterLines="50" w:line="276" w:lineRule="auto"/>
        <w:ind w:firstLine="420" w:firstLineChars="200"/>
        <w:jc w:val="left"/>
        <w:rPr>
          <w:rFonts w:ascii="宋体" w:hAnsi="宋体"/>
          <w:color w:val="auto"/>
        </w:rPr>
      </w:pPr>
      <w:r>
        <w:rPr>
          <w:rFonts w:hint="eastAsia" w:ascii="宋体" w:hAnsi="宋体"/>
          <w:color w:val="auto"/>
        </w:rPr>
        <w:t xml:space="preserve">九、本保函自我方法定代表人或授权代表签字并加盖公章之日起生效。 </w:t>
      </w:r>
    </w:p>
    <w:p w14:paraId="62DCD4F2">
      <w:pPr>
        <w:snapToGrid w:val="0"/>
        <w:spacing w:before="50" w:after="120" w:afterLines="50" w:line="276" w:lineRule="auto"/>
        <w:jc w:val="left"/>
        <w:rPr>
          <w:rFonts w:ascii="宋体" w:hAnsi="宋体"/>
          <w:color w:val="auto"/>
        </w:rPr>
      </w:pPr>
    </w:p>
    <w:p w14:paraId="6881C664">
      <w:pPr>
        <w:snapToGrid w:val="0"/>
        <w:spacing w:before="50" w:after="120" w:afterLines="50" w:line="276" w:lineRule="auto"/>
        <w:jc w:val="left"/>
        <w:rPr>
          <w:rFonts w:ascii="宋体" w:hAnsi="宋体"/>
          <w:color w:val="auto"/>
        </w:rPr>
      </w:pPr>
      <w:r>
        <w:rPr>
          <w:rFonts w:hint="eastAsia" w:ascii="宋体" w:hAnsi="宋体"/>
          <w:color w:val="auto"/>
        </w:rPr>
        <w:t xml:space="preserve">开 立 人：                                                  （公章） </w:t>
      </w:r>
    </w:p>
    <w:p w14:paraId="698DE246">
      <w:pPr>
        <w:snapToGrid w:val="0"/>
        <w:spacing w:before="50" w:after="120" w:afterLines="50" w:line="276" w:lineRule="auto"/>
        <w:jc w:val="left"/>
        <w:rPr>
          <w:rFonts w:ascii="宋体" w:hAnsi="宋体"/>
          <w:color w:val="auto"/>
        </w:rPr>
      </w:pPr>
      <w:r>
        <w:rPr>
          <w:rFonts w:hint="eastAsia" w:ascii="宋体" w:hAnsi="宋体"/>
          <w:color w:val="auto"/>
        </w:rPr>
        <w:t xml:space="preserve">法定代表人（或授权代表） ：               （签字） </w:t>
      </w:r>
    </w:p>
    <w:p w14:paraId="6D7196DB">
      <w:pPr>
        <w:snapToGrid w:val="0"/>
        <w:spacing w:before="50" w:after="120" w:afterLines="50" w:line="276" w:lineRule="auto"/>
        <w:jc w:val="left"/>
        <w:rPr>
          <w:rFonts w:ascii="宋体" w:hAnsi="宋体"/>
          <w:color w:val="auto"/>
        </w:rPr>
      </w:pPr>
      <w:r>
        <w:rPr>
          <w:rFonts w:hint="eastAsia" w:ascii="宋体" w:hAnsi="宋体"/>
          <w:color w:val="auto"/>
        </w:rPr>
        <w:t xml:space="preserve">地    址：                                       </w:t>
      </w:r>
    </w:p>
    <w:p w14:paraId="262C0644">
      <w:pPr>
        <w:snapToGrid w:val="0"/>
        <w:spacing w:before="50" w:after="120" w:afterLines="50" w:line="276" w:lineRule="auto"/>
        <w:jc w:val="left"/>
        <w:rPr>
          <w:rFonts w:ascii="宋体" w:hAnsi="宋体"/>
          <w:color w:val="auto"/>
        </w:rPr>
      </w:pPr>
      <w:r>
        <w:rPr>
          <w:rFonts w:hint="eastAsia" w:ascii="宋体" w:hAnsi="宋体"/>
          <w:color w:val="auto"/>
        </w:rPr>
        <w:t xml:space="preserve">邮政编码：                 </w:t>
      </w:r>
    </w:p>
    <w:p w14:paraId="75B09D28">
      <w:pPr>
        <w:snapToGrid w:val="0"/>
        <w:spacing w:before="50" w:after="120" w:afterLines="50" w:line="276" w:lineRule="auto"/>
        <w:jc w:val="left"/>
        <w:rPr>
          <w:rFonts w:ascii="宋体" w:hAnsi="宋体"/>
          <w:color w:val="auto"/>
        </w:rPr>
      </w:pPr>
      <w:r>
        <w:rPr>
          <w:rFonts w:hint="eastAsia" w:ascii="宋体" w:hAnsi="宋体"/>
          <w:color w:val="auto"/>
        </w:rPr>
        <w:t xml:space="preserve">电    话：                 </w:t>
      </w:r>
    </w:p>
    <w:p w14:paraId="2442E011">
      <w:pPr>
        <w:snapToGrid w:val="0"/>
        <w:spacing w:before="50" w:after="120" w:afterLines="50" w:line="276" w:lineRule="auto"/>
        <w:jc w:val="left"/>
        <w:rPr>
          <w:rFonts w:ascii="宋体" w:hAnsi="宋体"/>
          <w:color w:val="auto"/>
        </w:rPr>
      </w:pPr>
      <w:r>
        <w:rPr>
          <w:rFonts w:hint="eastAsia" w:ascii="宋体" w:hAnsi="宋体"/>
          <w:color w:val="auto"/>
        </w:rPr>
        <w:t xml:space="preserve">传    真：                 </w:t>
      </w:r>
    </w:p>
    <w:p w14:paraId="6953D17C">
      <w:pPr>
        <w:snapToGrid w:val="0"/>
        <w:spacing w:before="50" w:after="120" w:afterLines="50" w:line="276" w:lineRule="auto"/>
        <w:jc w:val="left"/>
        <w:rPr>
          <w:rFonts w:ascii="宋体" w:hAnsi="宋体"/>
          <w:color w:val="auto"/>
        </w:rPr>
      </w:pPr>
      <w:r>
        <w:rPr>
          <w:rFonts w:hint="eastAsia" w:ascii="宋体" w:hAnsi="宋体"/>
          <w:color w:val="auto"/>
        </w:rPr>
        <w:t>开立时间：      年       月        日</w:t>
      </w:r>
    </w:p>
    <w:p w14:paraId="7AC5215E">
      <w:pPr>
        <w:snapToGrid w:val="0"/>
        <w:spacing w:before="50" w:after="120" w:afterLines="50" w:line="440" w:lineRule="exact"/>
        <w:jc w:val="left"/>
        <w:rPr>
          <w:rFonts w:ascii="宋体" w:hAnsi="宋体"/>
          <w:color w:val="auto"/>
        </w:rPr>
      </w:pPr>
      <w:r>
        <w:rPr>
          <w:rFonts w:ascii="宋体" w:hAnsi="宋体"/>
          <w:color w:val="auto"/>
        </w:rPr>
        <w:br w:type="page"/>
      </w:r>
      <w:r>
        <w:rPr>
          <w:rFonts w:hint="eastAsia" w:ascii="宋体" w:hAnsi="宋体"/>
          <w:color w:val="auto"/>
          <w:szCs w:val="21"/>
        </w:rPr>
        <w:t>8</w:t>
      </w:r>
      <w:r>
        <w:rPr>
          <w:rFonts w:ascii="宋体" w:hAnsi="宋体"/>
          <w:color w:val="auto"/>
          <w:szCs w:val="21"/>
        </w:rPr>
        <w:t>．供应商认为应当要提交的资格证明材料。</w:t>
      </w:r>
    </w:p>
    <w:p w14:paraId="1AB2D03A">
      <w:pPr>
        <w:spacing w:line="276" w:lineRule="auto"/>
        <w:rPr>
          <w:rFonts w:ascii="宋体" w:hAnsi="宋体"/>
          <w:color w:val="auto"/>
          <w:szCs w:val="21"/>
        </w:rPr>
      </w:pPr>
    </w:p>
    <w:p w14:paraId="2A94B072">
      <w:pPr>
        <w:pStyle w:val="8"/>
        <w:overflowPunct w:val="0"/>
        <w:ind w:firstLine="0"/>
        <w:rPr>
          <w:rFonts w:ascii="宋体" w:hAnsi="宋体"/>
          <w:color w:val="auto"/>
        </w:rPr>
      </w:pPr>
    </w:p>
    <w:p w14:paraId="6D74389F">
      <w:pPr>
        <w:snapToGrid w:val="0"/>
        <w:spacing w:before="50" w:after="120" w:afterLines="50" w:line="400" w:lineRule="exact"/>
        <w:jc w:val="left"/>
        <w:rPr>
          <w:rFonts w:ascii="宋体" w:hAnsi="宋体"/>
          <w:bCs/>
          <w:color w:val="auto"/>
          <w:sz w:val="24"/>
        </w:rPr>
      </w:pPr>
    </w:p>
    <w:p w14:paraId="1C97B57A">
      <w:pPr>
        <w:snapToGrid w:val="0"/>
        <w:spacing w:before="120" w:beforeLines="50" w:after="50" w:line="440" w:lineRule="exact"/>
        <w:jc w:val="left"/>
        <w:outlineLvl w:val="1"/>
        <w:rPr>
          <w:rFonts w:ascii="宋体" w:hAnsi="宋体"/>
          <w:b/>
          <w:color w:val="auto"/>
          <w:sz w:val="24"/>
        </w:rPr>
      </w:pPr>
      <w:r>
        <w:rPr>
          <w:rFonts w:ascii="宋体" w:hAnsi="宋体"/>
          <w:color w:val="auto"/>
        </w:rPr>
        <w:br w:type="page"/>
      </w:r>
      <w:r>
        <w:rPr>
          <w:rFonts w:hint="eastAsia" w:ascii="宋体" w:hAnsi="宋体"/>
          <w:color w:val="auto"/>
          <w:sz w:val="24"/>
        </w:rPr>
        <w:t>2</w:t>
      </w:r>
      <w:r>
        <w:rPr>
          <w:rFonts w:ascii="宋体" w:hAnsi="宋体"/>
          <w:color w:val="auto"/>
          <w:sz w:val="24"/>
        </w:rPr>
        <w:t>.</w:t>
      </w:r>
      <w:r>
        <w:rPr>
          <w:rFonts w:hint="eastAsia" w:ascii="宋体" w:hAnsi="宋体"/>
          <w:color w:val="auto"/>
          <w:sz w:val="24"/>
        </w:rPr>
        <w:t xml:space="preserve">响应文件封面参考格式（商务技术文件）： </w:t>
      </w:r>
    </w:p>
    <w:p w14:paraId="72A63176">
      <w:pPr>
        <w:snapToGrid w:val="0"/>
        <w:spacing w:before="120" w:beforeLines="50" w:after="50" w:line="360" w:lineRule="exact"/>
        <w:rPr>
          <w:rFonts w:ascii="宋体" w:hAnsi="宋体"/>
          <w:color w:val="auto"/>
          <w:sz w:val="24"/>
        </w:rPr>
      </w:pPr>
    </w:p>
    <w:p w14:paraId="5E4DF0E6">
      <w:pPr>
        <w:snapToGrid w:val="0"/>
        <w:spacing w:before="120" w:beforeLines="50" w:after="50" w:line="360" w:lineRule="exact"/>
        <w:jc w:val="right"/>
        <w:rPr>
          <w:rFonts w:ascii="宋体" w:hAnsi="宋体"/>
          <w:color w:val="auto"/>
          <w:sz w:val="24"/>
        </w:rPr>
      </w:pPr>
    </w:p>
    <w:p w14:paraId="5ACA8B7E">
      <w:pPr>
        <w:snapToGrid w:val="0"/>
        <w:spacing w:before="120" w:beforeLines="50" w:after="50" w:line="360" w:lineRule="exact"/>
        <w:jc w:val="center"/>
        <w:rPr>
          <w:rFonts w:ascii="宋体" w:hAnsi="宋体"/>
          <w:color w:val="auto"/>
          <w:sz w:val="24"/>
        </w:rPr>
      </w:pPr>
      <w:r>
        <w:rPr>
          <w:rFonts w:hint="eastAsia" w:ascii="宋体" w:hAnsi="宋体"/>
          <w:b/>
          <w:color w:val="auto"/>
          <w:sz w:val="44"/>
        </w:rPr>
        <w:t>电子响应文件</w:t>
      </w:r>
    </w:p>
    <w:p w14:paraId="0DCAAF93">
      <w:pPr>
        <w:snapToGrid w:val="0"/>
        <w:spacing w:before="120" w:beforeLines="50" w:after="50" w:line="360" w:lineRule="exact"/>
        <w:jc w:val="center"/>
        <w:rPr>
          <w:rFonts w:ascii="宋体" w:hAnsi="宋体"/>
          <w:b/>
          <w:color w:val="auto"/>
          <w:sz w:val="44"/>
        </w:rPr>
      </w:pPr>
    </w:p>
    <w:p w14:paraId="753FD8F6">
      <w:pPr>
        <w:snapToGrid w:val="0"/>
        <w:spacing w:before="120" w:beforeLines="50" w:after="50" w:line="360" w:lineRule="exact"/>
        <w:jc w:val="center"/>
        <w:rPr>
          <w:rFonts w:ascii="宋体" w:hAnsi="宋体"/>
          <w:b/>
          <w:color w:val="auto"/>
          <w:sz w:val="44"/>
        </w:rPr>
      </w:pPr>
    </w:p>
    <w:p w14:paraId="1F1E743F">
      <w:pPr>
        <w:snapToGrid w:val="0"/>
        <w:spacing w:before="120" w:beforeLines="50" w:after="50" w:line="360" w:lineRule="exact"/>
        <w:jc w:val="center"/>
        <w:rPr>
          <w:rFonts w:ascii="宋体" w:hAnsi="宋体"/>
          <w:b/>
          <w:color w:val="auto"/>
          <w:sz w:val="44"/>
        </w:rPr>
      </w:pPr>
      <w:r>
        <w:rPr>
          <w:rFonts w:hint="eastAsia" w:ascii="宋体" w:hAnsi="宋体"/>
          <w:b/>
          <w:color w:val="auto"/>
          <w:sz w:val="44"/>
        </w:rPr>
        <w:t>商务技术文件</w:t>
      </w:r>
    </w:p>
    <w:p w14:paraId="6FDCAB13">
      <w:pPr>
        <w:snapToGrid w:val="0"/>
        <w:spacing w:before="120" w:beforeLines="50" w:after="50" w:line="360" w:lineRule="exact"/>
        <w:jc w:val="center"/>
        <w:rPr>
          <w:rFonts w:ascii="宋体" w:hAnsi="宋体"/>
          <w:b/>
          <w:color w:val="auto"/>
          <w:sz w:val="44"/>
        </w:rPr>
      </w:pPr>
    </w:p>
    <w:p w14:paraId="2B7DEB4C">
      <w:pPr>
        <w:snapToGrid w:val="0"/>
        <w:spacing w:before="120" w:beforeLines="50" w:after="50" w:line="360" w:lineRule="exact"/>
        <w:rPr>
          <w:rFonts w:ascii="宋体" w:hAnsi="宋体"/>
          <w:color w:val="auto"/>
          <w:sz w:val="24"/>
        </w:rPr>
      </w:pPr>
    </w:p>
    <w:p w14:paraId="07375F2F">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 xml:space="preserve">项目名称： </w:t>
      </w:r>
    </w:p>
    <w:p w14:paraId="356FE39E">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项目编号：</w:t>
      </w:r>
    </w:p>
    <w:p w14:paraId="324CF7D9">
      <w:pPr>
        <w:snapToGrid w:val="0"/>
        <w:spacing w:before="120" w:beforeLines="50" w:after="50" w:line="440" w:lineRule="exact"/>
        <w:ind w:firstLine="720" w:firstLineChars="300"/>
        <w:rPr>
          <w:rFonts w:ascii="宋体" w:hAnsi="宋体"/>
          <w:color w:val="auto"/>
          <w:sz w:val="24"/>
        </w:rPr>
      </w:pPr>
      <w:r>
        <w:rPr>
          <w:rFonts w:hint="eastAsia" w:ascii="宋体" w:hAnsi="宋体"/>
          <w:color w:val="auto"/>
          <w:sz w:val="24"/>
        </w:rPr>
        <w:t>分标号：（若无留空或写</w:t>
      </w:r>
      <w:r>
        <w:rPr>
          <w:rFonts w:ascii="宋体" w:hAnsi="宋体"/>
          <w:color w:val="auto"/>
          <w:sz w:val="24"/>
        </w:rPr>
        <w:t>“/”</w:t>
      </w:r>
      <w:r>
        <w:rPr>
          <w:rFonts w:hint="eastAsia" w:ascii="宋体" w:hAnsi="宋体"/>
          <w:color w:val="auto"/>
          <w:sz w:val="24"/>
        </w:rPr>
        <w:t>）</w:t>
      </w:r>
    </w:p>
    <w:p w14:paraId="535CE0FB">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供应商名称：</w:t>
      </w:r>
    </w:p>
    <w:p w14:paraId="1C99423D">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供应商地址：</w:t>
      </w:r>
    </w:p>
    <w:p w14:paraId="0DCA0AD0">
      <w:pPr>
        <w:pStyle w:val="8"/>
        <w:snapToGrid w:val="0"/>
        <w:spacing w:before="50" w:after="50" w:line="360" w:lineRule="exact"/>
        <w:ind w:firstLine="960" w:firstLineChars="400"/>
        <w:rPr>
          <w:rFonts w:ascii="宋体" w:hAnsi="宋体"/>
          <w:color w:val="auto"/>
          <w:sz w:val="24"/>
          <w:szCs w:val="24"/>
        </w:rPr>
      </w:pPr>
    </w:p>
    <w:p w14:paraId="1ECC2634">
      <w:pPr>
        <w:snapToGrid w:val="0"/>
        <w:spacing w:before="120" w:beforeLines="50" w:after="50" w:line="360" w:lineRule="exact"/>
        <w:jc w:val="center"/>
        <w:rPr>
          <w:rFonts w:ascii="宋体" w:hAnsi="宋体"/>
          <w:color w:val="auto"/>
          <w:sz w:val="24"/>
        </w:rPr>
      </w:pPr>
      <w:r>
        <w:rPr>
          <w:rFonts w:ascii="宋体" w:hAnsi="宋体"/>
          <w:color w:val="auto"/>
          <w:sz w:val="24"/>
        </w:rPr>
        <w:t xml:space="preserve">                        </w:t>
      </w:r>
      <w:r>
        <w:rPr>
          <w:rFonts w:hint="eastAsia" w:ascii="宋体" w:hAnsi="宋体"/>
          <w:color w:val="auto"/>
          <w:sz w:val="24"/>
        </w:rPr>
        <w:t>年  月  日</w:t>
      </w:r>
    </w:p>
    <w:p w14:paraId="5CF9F7FC">
      <w:pPr>
        <w:snapToGrid w:val="0"/>
        <w:spacing w:before="120" w:beforeLines="50" w:after="50" w:line="440" w:lineRule="exact"/>
        <w:jc w:val="center"/>
        <w:outlineLvl w:val="1"/>
        <w:rPr>
          <w:rFonts w:ascii="宋体" w:hAnsi="宋体"/>
          <w:bCs/>
          <w:color w:val="auto"/>
          <w:sz w:val="24"/>
        </w:rPr>
        <w:sectPr>
          <w:headerReference r:id="rId17" w:type="default"/>
          <w:footerReference r:id="rId18" w:type="default"/>
          <w:pgSz w:w="11906" w:h="16838"/>
          <w:pgMar w:top="1418" w:right="1274" w:bottom="1418" w:left="1418" w:header="851" w:footer="992" w:gutter="0"/>
          <w:cols w:space="720" w:num="1"/>
          <w:docGrid w:linePitch="312" w:charSpace="0"/>
        </w:sectPr>
      </w:pPr>
    </w:p>
    <w:p w14:paraId="7D5D4A8F">
      <w:pPr>
        <w:snapToGrid w:val="0"/>
        <w:spacing w:before="120" w:beforeLines="50" w:after="50" w:line="440" w:lineRule="exact"/>
        <w:jc w:val="center"/>
        <w:rPr>
          <w:rFonts w:ascii="宋体" w:hAnsi="宋体"/>
          <w:b/>
          <w:bCs/>
          <w:color w:val="auto"/>
          <w:sz w:val="24"/>
        </w:rPr>
      </w:pPr>
    </w:p>
    <w:p w14:paraId="217D74BA">
      <w:pPr>
        <w:snapToGrid w:val="0"/>
        <w:spacing w:before="120" w:beforeLines="50" w:after="50" w:line="440" w:lineRule="exact"/>
        <w:jc w:val="center"/>
        <w:rPr>
          <w:rFonts w:ascii="宋体" w:hAnsi="宋体"/>
          <w:color w:val="auto"/>
          <w:sz w:val="24"/>
        </w:rPr>
      </w:pPr>
    </w:p>
    <w:p w14:paraId="3F7F300E">
      <w:pPr>
        <w:snapToGrid w:val="0"/>
        <w:spacing w:before="50" w:after="50" w:line="440" w:lineRule="exact"/>
        <w:ind w:firstLine="138" w:firstLineChars="49"/>
        <w:jc w:val="center"/>
        <w:rPr>
          <w:rFonts w:ascii="宋体" w:hAnsi="宋体"/>
          <w:b/>
          <w:color w:val="auto"/>
          <w:sz w:val="28"/>
          <w:szCs w:val="28"/>
        </w:rPr>
      </w:pPr>
      <w:r>
        <w:rPr>
          <w:rFonts w:ascii="宋体" w:hAnsi="宋体"/>
          <w:b/>
          <w:color w:val="auto"/>
          <w:sz w:val="28"/>
          <w:szCs w:val="28"/>
        </w:rPr>
        <w:t>目录</w:t>
      </w:r>
    </w:p>
    <w:p w14:paraId="1D8E922C">
      <w:pPr>
        <w:jc w:val="center"/>
        <w:rPr>
          <w:rFonts w:ascii="宋体" w:hAnsi="宋体"/>
          <w:b/>
          <w:color w:val="auto"/>
          <w:sz w:val="24"/>
        </w:rPr>
      </w:pPr>
      <w:r>
        <w:rPr>
          <w:rFonts w:ascii="宋体" w:hAnsi="宋体"/>
          <w:b/>
          <w:color w:val="auto"/>
          <w:sz w:val="24"/>
        </w:rPr>
        <w:t>（需有页码）</w:t>
      </w:r>
    </w:p>
    <w:p w14:paraId="05D6177F">
      <w:pPr>
        <w:snapToGrid w:val="0"/>
        <w:spacing w:before="120" w:beforeLines="50" w:after="50" w:line="440" w:lineRule="exact"/>
        <w:jc w:val="center"/>
        <w:rPr>
          <w:rFonts w:ascii="宋体" w:hAnsi="宋体"/>
          <w:bCs/>
          <w:color w:val="auto"/>
          <w:sz w:val="24"/>
        </w:rPr>
        <w:sectPr>
          <w:headerReference r:id="rId19" w:type="default"/>
          <w:pgSz w:w="11906" w:h="16838"/>
          <w:pgMar w:top="1304" w:right="1418" w:bottom="1304" w:left="1418" w:header="851" w:footer="992" w:gutter="0"/>
          <w:cols w:space="720" w:num="1"/>
          <w:docGrid w:linePitch="312" w:charSpace="0"/>
        </w:sectPr>
      </w:pPr>
    </w:p>
    <w:p w14:paraId="34BE3FC5">
      <w:pPr>
        <w:snapToGrid w:val="0"/>
        <w:spacing w:before="120" w:beforeLines="50" w:after="50" w:line="440" w:lineRule="exact"/>
        <w:jc w:val="center"/>
        <w:rPr>
          <w:rFonts w:ascii="宋体" w:hAnsi="宋体"/>
          <w:bCs/>
          <w:color w:val="auto"/>
          <w:sz w:val="24"/>
        </w:rPr>
      </w:pPr>
      <w:r>
        <w:rPr>
          <w:rFonts w:ascii="宋体" w:hAnsi="宋体"/>
          <w:bCs/>
          <w:color w:val="auto"/>
          <w:sz w:val="24"/>
        </w:rPr>
        <w:t>第二部分 商务</w:t>
      </w:r>
      <w:r>
        <w:rPr>
          <w:rFonts w:hint="eastAsia" w:ascii="宋体" w:hAnsi="宋体"/>
          <w:bCs/>
          <w:color w:val="auto"/>
          <w:sz w:val="24"/>
        </w:rPr>
        <w:t>技术</w:t>
      </w:r>
      <w:r>
        <w:rPr>
          <w:rFonts w:ascii="宋体" w:hAnsi="宋体"/>
          <w:bCs/>
          <w:color w:val="auto"/>
          <w:sz w:val="24"/>
        </w:rPr>
        <w:t>文件</w:t>
      </w:r>
    </w:p>
    <w:p w14:paraId="74BBB3AA">
      <w:pPr>
        <w:snapToGrid w:val="0"/>
        <w:spacing w:before="120" w:beforeLines="50" w:after="50" w:line="360" w:lineRule="exact"/>
        <w:rPr>
          <w:rFonts w:ascii="宋体" w:hAnsi="宋体"/>
          <w:b/>
          <w:color w:val="auto"/>
          <w:szCs w:val="21"/>
        </w:rPr>
      </w:pPr>
      <w:bookmarkStart w:id="93" w:name="_Hlk19199735"/>
      <w:r>
        <w:rPr>
          <w:rFonts w:hint="eastAsia" w:ascii="宋体" w:hAnsi="宋体"/>
          <w:b/>
          <w:color w:val="auto"/>
          <w:szCs w:val="21"/>
        </w:rPr>
        <w:t>1</w:t>
      </w:r>
      <w:r>
        <w:rPr>
          <w:rFonts w:ascii="宋体" w:hAnsi="宋体"/>
          <w:b/>
          <w:color w:val="auto"/>
          <w:szCs w:val="21"/>
        </w:rPr>
        <w:t>．</w:t>
      </w:r>
      <w:r>
        <w:rPr>
          <w:rFonts w:ascii="宋体" w:hAnsi="宋体"/>
          <w:color w:val="auto"/>
          <w:szCs w:val="21"/>
        </w:rPr>
        <w:t>法定代表人身份证明</w:t>
      </w:r>
      <w:r>
        <w:rPr>
          <w:rFonts w:hint="eastAsia" w:ascii="宋体" w:hAnsi="宋体"/>
          <w:b/>
          <w:color w:val="auto"/>
          <w:szCs w:val="21"/>
        </w:rPr>
        <w:t>（无授权</w:t>
      </w:r>
      <w:r>
        <w:rPr>
          <w:rFonts w:ascii="宋体" w:hAnsi="宋体"/>
          <w:b/>
          <w:color w:val="auto"/>
          <w:szCs w:val="21"/>
        </w:rPr>
        <w:t>代表</w:t>
      </w:r>
      <w:r>
        <w:rPr>
          <w:rFonts w:hint="eastAsia" w:ascii="宋体" w:hAnsi="宋体"/>
          <w:b/>
          <w:color w:val="auto"/>
          <w:szCs w:val="21"/>
        </w:rPr>
        <w:t>时提供）</w:t>
      </w:r>
      <w:r>
        <w:rPr>
          <w:rFonts w:ascii="宋体" w:hAnsi="宋体"/>
          <w:b/>
          <w:color w:val="auto"/>
          <w:szCs w:val="21"/>
        </w:rPr>
        <w:t>：</w:t>
      </w:r>
    </w:p>
    <w:bookmarkEnd w:id="93"/>
    <w:p w14:paraId="0E7961ED">
      <w:pPr>
        <w:jc w:val="center"/>
        <w:rPr>
          <w:rFonts w:ascii="宋体" w:hAnsi="宋体"/>
          <w:color w:val="auto"/>
        </w:rPr>
      </w:pPr>
      <w:bookmarkStart w:id="94" w:name="_Toc462320613"/>
      <w:bookmarkStart w:id="95" w:name="_Toc462223472"/>
      <w:bookmarkStart w:id="96" w:name="_Toc455309222"/>
    </w:p>
    <w:bookmarkEnd w:id="94"/>
    <w:bookmarkEnd w:id="95"/>
    <w:bookmarkEnd w:id="96"/>
    <w:p w14:paraId="57B08A83">
      <w:pPr>
        <w:snapToGrid w:val="0"/>
        <w:spacing w:before="120" w:beforeLines="50" w:after="50" w:line="440" w:lineRule="exact"/>
        <w:jc w:val="center"/>
        <w:rPr>
          <w:rFonts w:ascii="宋体" w:hAnsi="宋体"/>
          <w:b/>
          <w:color w:val="auto"/>
          <w:szCs w:val="21"/>
        </w:rPr>
      </w:pPr>
      <w:r>
        <w:rPr>
          <w:rFonts w:ascii="宋体" w:hAnsi="宋体"/>
          <w:b/>
          <w:color w:val="auto"/>
          <w:szCs w:val="21"/>
        </w:rPr>
        <w:t>法定代表人身份证明</w:t>
      </w:r>
    </w:p>
    <w:p w14:paraId="2E701902">
      <w:pPr>
        <w:spacing w:line="360" w:lineRule="auto"/>
        <w:rPr>
          <w:rFonts w:ascii="宋体" w:hAnsi="宋体"/>
          <w:color w:val="auto"/>
        </w:rPr>
      </w:pPr>
    </w:p>
    <w:p w14:paraId="47D42EDA">
      <w:pPr>
        <w:spacing w:line="360" w:lineRule="auto"/>
        <w:rPr>
          <w:rFonts w:ascii="宋体" w:hAnsi="宋体"/>
          <w:color w:val="auto"/>
        </w:rPr>
      </w:pPr>
    </w:p>
    <w:p w14:paraId="641667F1">
      <w:pPr>
        <w:spacing w:line="540" w:lineRule="exact"/>
        <w:rPr>
          <w:rFonts w:ascii="宋体" w:hAnsi="宋体"/>
          <w:color w:val="auto"/>
          <w:szCs w:val="21"/>
        </w:rPr>
      </w:pPr>
      <w:r>
        <w:rPr>
          <w:rFonts w:ascii="宋体" w:hAnsi="宋体"/>
          <w:color w:val="auto"/>
          <w:szCs w:val="21"/>
        </w:rPr>
        <w:t>供应商名称：</w:t>
      </w:r>
      <w:r>
        <w:rPr>
          <w:rFonts w:ascii="宋体" w:hAnsi="宋体"/>
          <w:color w:val="auto"/>
          <w:szCs w:val="21"/>
          <w:u w:val="single"/>
        </w:rPr>
        <w:t xml:space="preserve">                                         </w:t>
      </w:r>
    </w:p>
    <w:p w14:paraId="164CB009">
      <w:pPr>
        <w:spacing w:line="540" w:lineRule="exact"/>
        <w:rPr>
          <w:rFonts w:ascii="宋体" w:hAnsi="宋体"/>
          <w:color w:val="auto"/>
          <w:szCs w:val="21"/>
        </w:rPr>
      </w:pPr>
      <w:r>
        <w:rPr>
          <w:rFonts w:ascii="宋体" w:hAnsi="宋体"/>
          <w:color w:val="auto"/>
          <w:szCs w:val="21"/>
        </w:rPr>
        <w:t>单位性质：</w:t>
      </w:r>
      <w:r>
        <w:rPr>
          <w:rFonts w:ascii="宋体" w:hAnsi="宋体"/>
          <w:color w:val="auto"/>
          <w:szCs w:val="21"/>
          <w:u w:val="single"/>
        </w:rPr>
        <w:t xml:space="preserve">                                           </w:t>
      </w:r>
    </w:p>
    <w:p w14:paraId="1B1DAC5C">
      <w:pPr>
        <w:spacing w:line="540" w:lineRule="exact"/>
        <w:rPr>
          <w:rFonts w:ascii="宋体" w:hAnsi="宋体"/>
          <w:color w:val="auto"/>
          <w:szCs w:val="21"/>
        </w:rPr>
      </w:pPr>
      <w:r>
        <w:rPr>
          <w:rFonts w:ascii="宋体" w:hAnsi="宋体"/>
          <w:color w:val="auto"/>
          <w:szCs w:val="21"/>
        </w:rPr>
        <w:t>地址：</w:t>
      </w:r>
      <w:r>
        <w:rPr>
          <w:rFonts w:ascii="宋体" w:hAnsi="宋体"/>
          <w:color w:val="auto"/>
          <w:szCs w:val="21"/>
          <w:u w:val="single"/>
        </w:rPr>
        <w:t xml:space="preserve">                                               </w:t>
      </w:r>
    </w:p>
    <w:p w14:paraId="09886799">
      <w:pPr>
        <w:spacing w:line="540" w:lineRule="exact"/>
        <w:rPr>
          <w:rFonts w:ascii="宋体" w:hAnsi="宋体"/>
          <w:color w:val="auto"/>
          <w:szCs w:val="21"/>
          <w:u w:val="single"/>
        </w:rPr>
      </w:pPr>
      <w:r>
        <w:rPr>
          <w:rFonts w:ascii="宋体" w:hAnsi="宋体"/>
          <w:color w:val="auto"/>
          <w:szCs w:val="21"/>
        </w:rPr>
        <w:t>成立时间：</w:t>
      </w:r>
      <w:r>
        <w:rPr>
          <w:rFonts w:ascii="宋体" w:hAnsi="宋体"/>
          <w:color w:val="auto"/>
          <w:szCs w:val="21"/>
          <w:u w:val="single"/>
        </w:rPr>
        <w:t xml:space="preserve">          年        月        日</w:t>
      </w:r>
    </w:p>
    <w:p w14:paraId="67DA41BA">
      <w:pPr>
        <w:spacing w:line="540" w:lineRule="exact"/>
        <w:rPr>
          <w:rFonts w:ascii="宋体" w:hAnsi="宋体"/>
          <w:color w:val="auto"/>
          <w:szCs w:val="21"/>
        </w:rPr>
      </w:pPr>
      <w:r>
        <w:rPr>
          <w:rFonts w:ascii="宋体" w:hAnsi="宋体"/>
          <w:color w:val="auto"/>
          <w:szCs w:val="21"/>
        </w:rPr>
        <w:t>经营期限：</w:t>
      </w:r>
      <w:r>
        <w:rPr>
          <w:rFonts w:ascii="宋体" w:hAnsi="宋体"/>
          <w:color w:val="auto"/>
          <w:szCs w:val="21"/>
          <w:u w:val="single"/>
        </w:rPr>
        <w:t xml:space="preserve">                                           </w:t>
      </w:r>
    </w:p>
    <w:p w14:paraId="4983DEC3">
      <w:pPr>
        <w:spacing w:line="540" w:lineRule="exact"/>
        <w:rPr>
          <w:rFonts w:ascii="宋体" w:hAnsi="宋体"/>
          <w:color w:val="auto"/>
          <w:szCs w:val="21"/>
        </w:rPr>
      </w:pPr>
      <w:r>
        <w:rPr>
          <w:rFonts w:ascii="宋体" w:hAnsi="宋体"/>
          <w:color w:val="auto"/>
          <w:szCs w:val="21"/>
        </w:rPr>
        <w:t>姓名：</w:t>
      </w:r>
      <w:r>
        <w:rPr>
          <w:rFonts w:ascii="宋体" w:hAnsi="宋体"/>
          <w:color w:val="auto"/>
          <w:szCs w:val="21"/>
          <w:u w:val="single"/>
        </w:rPr>
        <w:t xml:space="preserve">                   </w:t>
      </w:r>
      <w:r>
        <w:rPr>
          <w:rFonts w:ascii="宋体" w:hAnsi="宋体"/>
          <w:color w:val="auto"/>
          <w:szCs w:val="21"/>
        </w:rPr>
        <w:t>；性别：</w:t>
      </w:r>
      <w:r>
        <w:rPr>
          <w:rFonts w:ascii="宋体" w:hAnsi="宋体"/>
          <w:color w:val="auto"/>
          <w:szCs w:val="21"/>
          <w:u w:val="single"/>
        </w:rPr>
        <w:t xml:space="preserve">              </w:t>
      </w:r>
      <w:r>
        <w:rPr>
          <w:rFonts w:ascii="宋体" w:hAnsi="宋体"/>
          <w:color w:val="auto"/>
          <w:szCs w:val="21"/>
        </w:rPr>
        <w:t xml:space="preserve">        </w:t>
      </w:r>
    </w:p>
    <w:p w14:paraId="7193C5CB">
      <w:pPr>
        <w:spacing w:line="540" w:lineRule="exact"/>
        <w:rPr>
          <w:rFonts w:ascii="宋体" w:hAnsi="宋体"/>
          <w:color w:val="auto"/>
          <w:szCs w:val="21"/>
        </w:rPr>
      </w:pPr>
      <w:r>
        <w:rPr>
          <w:rFonts w:ascii="宋体" w:hAnsi="宋体"/>
          <w:color w:val="auto"/>
          <w:szCs w:val="21"/>
        </w:rPr>
        <w:t>年龄：</w:t>
      </w:r>
      <w:r>
        <w:rPr>
          <w:rFonts w:ascii="宋体" w:hAnsi="宋体"/>
          <w:color w:val="auto"/>
          <w:szCs w:val="21"/>
          <w:u w:val="single"/>
        </w:rPr>
        <w:t xml:space="preserve">         </w:t>
      </w:r>
      <w:r>
        <w:rPr>
          <w:rFonts w:ascii="宋体" w:hAnsi="宋体"/>
          <w:color w:val="auto"/>
          <w:szCs w:val="21"/>
        </w:rPr>
        <w:t>；职务：</w:t>
      </w:r>
      <w:r>
        <w:rPr>
          <w:rFonts w:ascii="宋体" w:hAnsi="宋体"/>
          <w:color w:val="auto"/>
          <w:szCs w:val="21"/>
          <w:u w:val="single"/>
        </w:rPr>
        <w:t xml:space="preserve">              </w:t>
      </w:r>
      <w:r>
        <w:rPr>
          <w:rFonts w:ascii="宋体" w:hAnsi="宋体"/>
          <w:color w:val="auto"/>
          <w:szCs w:val="21"/>
        </w:rPr>
        <w:t>；身份证：</w:t>
      </w:r>
      <w:r>
        <w:rPr>
          <w:rFonts w:ascii="宋体" w:hAnsi="宋体"/>
          <w:color w:val="auto"/>
          <w:szCs w:val="21"/>
          <w:u w:val="single"/>
        </w:rPr>
        <w:t xml:space="preserve">                                      </w:t>
      </w:r>
    </w:p>
    <w:p w14:paraId="5C06959D">
      <w:pPr>
        <w:spacing w:line="540" w:lineRule="exact"/>
        <w:rPr>
          <w:rFonts w:ascii="宋体" w:hAnsi="宋体"/>
          <w:color w:val="auto"/>
          <w:szCs w:val="21"/>
        </w:rPr>
      </w:pPr>
      <w:r>
        <w:rPr>
          <w:rFonts w:ascii="宋体" w:hAnsi="宋体"/>
          <w:color w:val="auto"/>
          <w:szCs w:val="21"/>
        </w:rPr>
        <w:t>系</w:t>
      </w:r>
      <w:r>
        <w:rPr>
          <w:rFonts w:ascii="宋体" w:hAnsi="宋体"/>
          <w:color w:val="auto"/>
          <w:szCs w:val="21"/>
          <w:u w:val="single"/>
        </w:rPr>
        <w:t xml:space="preserve">                                      （ 供应商名称）</w:t>
      </w:r>
      <w:r>
        <w:rPr>
          <w:rFonts w:ascii="宋体" w:hAnsi="宋体"/>
          <w:color w:val="auto"/>
          <w:szCs w:val="21"/>
        </w:rPr>
        <w:t>的法定代表人。</w:t>
      </w:r>
    </w:p>
    <w:p w14:paraId="078DC376">
      <w:pPr>
        <w:spacing w:line="540" w:lineRule="exact"/>
        <w:rPr>
          <w:rFonts w:ascii="宋体" w:hAnsi="宋体"/>
          <w:color w:val="auto"/>
          <w:szCs w:val="21"/>
        </w:rPr>
      </w:pPr>
    </w:p>
    <w:p w14:paraId="579EBEAE">
      <w:pPr>
        <w:spacing w:line="540" w:lineRule="exact"/>
        <w:ind w:firstLine="420" w:firstLineChars="200"/>
        <w:rPr>
          <w:rFonts w:ascii="宋体" w:hAnsi="宋体"/>
          <w:color w:val="auto"/>
          <w:szCs w:val="21"/>
        </w:rPr>
      </w:pPr>
      <w:r>
        <w:rPr>
          <w:rFonts w:ascii="宋体" w:hAnsi="宋体"/>
          <w:color w:val="auto"/>
          <w:szCs w:val="21"/>
        </w:rPr>
        <w:t>特此证明。</w:t>
      </w:r>
    </w:p>
    <w:p w14:paraId="130FF427">
      <w:pPr>
        <w:spacing w:line="540" w:lineRule="exact"/>
        <w:rPr>
          <w:rFonts w:ascii="宋体" w:hAnsi="宋体"/>
          <w:color w:val="auto"/>
          <w:szCs w:val="21"/>
        </w:rPr>
      </w:pPr>
    </w:p>
    <w:p w14:paraId="3BE7A53C">
      <w:pPr>
        <w:spacing w:line="360" w:lineRule="auto"/>
        <w:ind w:firstLine="4830" w:firstLineChars="2300"/>
        <w:rPr>
          <w:rFonts w:ascii="宋体" w:hAnsi="宋体"/>
          <w:color w:val="auto"/>
          <w:szCs w:val="21"/>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zCs w:val="21"/>
          <w:u w:val="single"/>
        </w:rPr>
        <w:t xml:space="preserve">                </w:t>
      </w:r>
    </w:p>
    <w:p w14:paraId="69CCE733">
      <w:pPr>
        <w:spacing w:line="360" w:lineRule="auto"/>
        <w:rPr>
          <w:rFonts w:ascii="宋体" w:hAnsi="宋体"/>
          <w:color w:val="auto"/>
          <w:szCs w:val="21"/>
        </w:rPr>
      </w:pPr>
      <w:r>
        <w:rPr>
          <w:rFonts w:ascii="宋体" w:hAnsi="宋体"/>
          <w:color w:val="auto"/>
          <w:szCs w:val="21"/>
        </w:rPr>
        <w:t xml:space="preserve">                                                   年       月       日 </w:t>
      </w:r>
    </w:p>
    <w:p w14:paraId="1ECE30EE">
      <w:pPr>
        <w:spacing w:line="540" w:lineRule="exact"/>
        <w:rPr>
          <w:rFonts w:ascii="宋体" w:hAnsi="宋体"/>
          <w:color w:val="auto"/>
          <w:szCs w:val="21"/>
        </w:rPr>
      </w:pPr>
    </w:p>
    <w:p w14:paraId="005422EE">
      <w:pPr>
        <w:spacing w:line="360" w:lineRule="auto"/>
        <w:rPr>
          <w:rFonts w:ascii="宋体" w:hAnsi="宋体"/>
          <w:color w:val="auto"/>
          <w:szCs w:val="21"/>
        </w:rPr>
      </w:pPr>
      <w:bookmarkStart w:id="97" w:name="_Hlk19199756"/>
      <w:r>
        <w:rPr>
          <w:rFonts w:ascii="宋体" w:hAnsi="宋体"/>
          <w:color w:val="auto"/>
          <w:szCs w:val="21"/>
        </w:rPr>
        <w:t>附件：法定代表人身份证复印件</w:t>
      </w:r>
    </w:p>
    <w:p w14:paraId="306C6E88">
      <w:pPr>
        <w:spacing w:line="360" w:lineRule="auto"/>
        <w:rPr>
          <w:rFonts w:ascii="宋体" w:hAnsi="宋体"/>
          <w:color w:val="auto"/>
          <w:szCs w:val="21"/>
        </w:rPr>
      </w:pPr>
    </w:p>
    <w:bookmarkEnd w:id="97"/>
    <w:p w14:paraId="07AF006A">
      <w:pPr>
        <w:snapToGrid w:val="0"/>
        <w:spacing w:before="120" w:beforeLines="50" w:after="50" w:line="360" w:lineRule="exact"/>
        <w:jc w:val="left"/>
        <w:rPr>
          <w:rFonts w:ascii="宋体" w:hAnsi="宋体"/>
          <w:color w:val="auto"/>
        </w:rPr>
      </w:pPr>
      <w:r>
        <w:rPr>
          <w:rFonts w:ascii="宋体" w:hAnsi="宋体"/>
          <w:b/>
          <w:color w:val="auto"/>
          <w:szCs w:val="21"/>
        </w:rPr>
        <w:br w:type="page"/>
      </w:r>
      <w:bookmarkStart w:id="98" w:name="_Hlk19199766"/>
      <w:r>
        <w:rPr>
          <w:rFonts w:hint="eastAsia" w:ascii="宋体" w:hAnsi="宋体"/>
          <w:b/>
          <w:color w:val="auto"/>
          <w:szCs w:val="21"/>
        </w:rPr>
        <w:t>1</w:t>
      </w:r>
      <w:r>
        <w:rPr>
          <w:rFonts w:ascii="宋体" w:hAnsi="宋体"/>
          <w:b/>
          <w:color w:val="auto"/>
          <w:szCs w:val="21"/>
        </w:rPr>
        <w:t>．</w:t>
      </w:r>
      <w:r>
        <w:rPr>
          <w:rFonts w:hint="eastAsia" w:ascii="宋体" w:hAnsi="宋体"/>
          <w:b/>
          <w:color w:val="auto"/>
          <w:szCs w:val="21"/>
        </w:rPr>
        <w:t>授权</w:t>
      </w:r>
      <w:r>
        <w:rPr>
          <w:rFonts w:ascii="宋体" w:hAnsi="宋体"/>
          <w:b/>
          <w:color w:val="auto"/>
          <w:szCs w:val="21"/>
        </w:rPr>
        <w:t>委托书</w:t>
      </w:r>
      <w:r>
        <w:rPr>
          <w:rFonts w:hint="eastAsia" w:ascii="宋体" w:hAnsi="宋体"/>
          <w:b/>
          <w:color w:val="auto"/>
          <w:szCs w:val="21"/>
        </w:rPr>
        <w:t>（有授权</w:t>
      </w:r>
      <w:r>
        <w:rPr>
          <w:rFonts w:ascii="宋体" w:hAnsi="宋体"/>
          <w:b/>
          <w:color w:val="auto"/>
          <w:szCs w:val="21"/>
        </w:rPr>
        <w:t>代表</w:t>
      </w:r>
      <w:r>
        <w:rPr>
          <w:rFonts w:hint="eastAsia" w:ascii="宋体" w:hAnsi="宋体"/>
          <w:b/>
          <w:color w:val="auto"/>
          <w:szCs w:val="21"/>
        </w:rPr>
        <w:t>时提供）</w:t>
      </w:r>
      <w:r>
        <w:rPr>
          <w:rFonts w:ascii="宋体" w:hAnsi="宋体"/>
          <w:b/>
          <w:color w:val="auto"/>
          <w:szCs w:val="21"/>
        </w:rPr>
        <w:t>：</w:t>
      </w:r>
    </w:p>
    <w:bookmarkEnd w:id="98"/>
    <w:p w14:paraId="73819614">
      <w:pPr>
        <w:snapToGrid w:val="0"/>
        <w:spacing w:before="120" w:beforeLines="50" w:after="50" w:line="360" w:lineRule="exact"/>
        <w:jc w:val="center"/>
        <w:rPr>
          <w:rFonts w:ascii="宋体" w:hAnsi="宋体"/>
          <w:b/>
          <w:color w:val="auto"/>
          <w:szCs w:val="21"/>
        </w:rPr>
      </w:pPr>
      <w:r>
        <w:rPr>
          <w:rFonts w:ascii="宋体" w:hAnsi="宋体"/>
          <w:b/>
          <w:color w:val="auto"/>
          <w:szCs w:val="21"/>
        </w:rPr>
        <w:t>法定代表人授权委托书</w:t>
      </w:r>
    </w:p>
    <w:p w14:paraId="6DE60356">
      <w:pPr>
        <w:snapToGrid w:val="0"/>
        <w:spacing w:before="120" w:beforeLines="50" w:after="50" w:line="440" w:lineRule="exact"/>
        <w:rPr>
          <w:rFonts w:ascii="宋体" w:hAnsi="宋体"/>
          <w:b/>
          <w:bCs/>
          <w:color w:val="auto"/>
          <w:szCs w:val="21"/>
        </w:rPr>
      </w:pPr>
      <w:r>
        <w:rPr>
          <w:rFonts w:ascii="宋体" w:hAnsi="宋体"/>
          <w:bCs/>
          <w:color w:val="auto"/>
          <w:szCs w:val="21"/>
        </w:rPr>
        <w:t>致：</w:t>
      </w:r>
      <w:r>
        <w:rPr>
          <w:rFonts w:ascii="宋体" w:hAnsi="宋体"/>
          <w:i/>
          <w:iCs/>
          <w:color w:val="auto"/>
          <w:szCs w:val="21"/>
          <w:u w:val="single"/>
        </w:rPr>
        <w:t>（采购人名称）</w:t>
      </w:r>
    </w:p>
    <w:p w14:paraId="1C3D6517">
      <w:pPr>
        <w:snapToGrid w:val="0"/>
        <w:spacing w:before="120" w:beforeLines="50" w:after="50" w:line="440" w:lineRule="exact"/>
        <w:ind w:firstLine="420" w:firstLineChars="200"/>
        <w:rPr>
          <w:rFonts w:ascii="宋体" w:hAnsi="宋体"/>
          <w:color w:val="auto"/>
          <w:szCs w:val="21"/>
        </w:rPr>
      </w:pPr>
      <w:r>
        <w:rPr>
          <w:rFonts w:ascii="宋体" w:hAnsi="宋体"/>
          <w:color w:val="auto"/>
          <w:szCs w:val="21"/>
        </w:rPr>
        <w:t>我</w:t>
      </w:r>
      <w:r>
        <w:rPr>
          <w:rFonts w:hint="eastAsia" w:ascii="宋体" w:hAnsi="宋体"/>
          <w:color w:val="auto"/>
          <w:szCs w:val="21"/>
        </w:rPr>
        <w:t xml:space="preserve"> </w:t>
      </w:r>
      <w:r>
        <w:rPr>
          <w:rFonts w:ascii="宋体" w:hAnsi="宋体"/>
          <w:i/>
          <w:iCs/>
          <w:color w:val="auto"/>
          <w:szCs w:val="21"/>
          <w:u w:val="single"/>
        </w:rPr>
        <w:t>（姓名）</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系</w:t>
      </w:r>
      <w:r>
        <w:rPr>
          <w:rFonts w:ascii="宋体" w:hAnsi="宋体"/>
          <w:i/>
          <w:iCs/>
          <w:color w:val="auto"/>
          <w:szCs w:val="21"/>
          <w:u w:val="single"/>
        </w:rPr>
        <w:t>（供应商名称）</w:t>
      </w:r>
      <w:r>
        <w:rPr>
          <w:rFonts w:ascii="宋体" w:hAnsi="宋体"/>
          <w:color w:val="auto"/>
          <w:szCs w:val="21"/>
        </w:rPr>
        <w:t>的法定代表人，现授权委托本单位在职职工</w:t>
      </w:r>
      <w:r>
        <w:rPr>
          <w:rFonts w:ascii="宋体" w:hAnsi="宋体"/>
          <w:i/>
          <w:iCs/>
          <w:color w:val="auto"/>
          <w:szCs w:val="21"/>
          <w:u w:val="single"/>
        </w:rPr>
        <w:t>（姓名）</w:t>
      </w:r>
      <w:r>
        <w:rPr>
          <w:rFonts w:ascii="宋体" w:hAnsi="宋体"/>
          <w:color w:val="auto"/>
          <w:szCs w:val="21"/>
        </w:rPr>
        <w:t>以我方的名义参加</w:t>
      </w:r>
      <w:r>
        <w:rPr>
          <w:rFonts w:hint="eastAsia" w:ascii="宋体" w:hAnsi="宋体"/>
          <w:i/>
          <w:iCs/>
          <w:color w:val="auto"/>
          <w:szCs w:val="21"/>
          <w:u w:val="single"/>
        </w:rPr>
        <w:t>（项目名称 ）</w:t>
      </w:r>
      <w:r>
        <w:rPr>
          <w:rFonts w:ascii="宋体" w:hAnsi="宋体"/>
          <w:color w:val="auto"/>
          <w:szCs w:val="21"/>
        </w:rPr>
        <w:t>项目的磋商活动，并代表我方全权办理针对上述项目的磋商、截标、评审、签约等具体事务和签署相关文件。</w:t>
      </w:r>
    </w:p>
    <w:p w14:paraId="5585EEA4">
      <w:pPr>
        <w:snapToGrid w:val="0"/>
        <w:spacing w:before="120" w:beforeLines="50" w:after="50" w:line="440" w:lineRule="exact"/>
        <w:rPr>
          <w:rFonts w:ascii="宋体" w:hAnsi="宋体"/>
          <w:color w:val="auto"/>
          <w:szCs w:val="21"/>
        </w:rPr>
      </w:pPr>
      <w:r>
        <w:rPr>
          <w:rFonts w:ascii="宋体" w:hAnsi="宋体"/>
          <w:color w:val="auto"/>
          <w:szCs w:val="21"/>
        </w:rPr>
        <w:t xml:space="preserve">    我方对被授权人的签名事项负全部责任。</w:t>
      </w:r>
    </w:p>
    <w:p w14:paraId="514CC678">
      <w:pPr>
        <w:snapToGrid w:val="0"/>
        <w:spacing w:before="120" w:beforeLines="50" w:after="50" w:line="440" w:lineRule="exact"/>
        <w:ind w:firstLine="480"/>
        <w:rPr>
          <w:rFonts w:ascii="宋体" w:hAnsi="宋体"/>
          <w:color w:val="auto"/>
          <w:szCs w:val="21"/>
        </w:rPr>
      </w:pPr>
      <w:r>
        <w:rPr>
          <w:rFonts w:ascii="宋体" w:hAnsi="宋体"/>
          <w:color w:val="auto"/>
          <w:szCs w:val="21"/>
        </w:rPr>
        <w:t>在撤销授权的书面通知以前，本授权书一直有效。被授权人在授权书有效期内签署的所有文件不因授权的撤销而失效。</w:t>
      </w:r>
    </w:p>
    <w:p w14:paraId="4DAFB250">
      <w:pPr>
        <w:snapToGrid w:val="0"/>
        <w:spacing w:before="120" w:beforeLines="50" w:after="50" w:line="440" w:lineRule="exact"/>
        <w:ind w:firstLine="480"/>
        <w:rPr>
          <w:rFonts w:ascii="宋体" w:hAnsi="宋体"/>
          <w:color w:val="auto"/>
          <w:szCs w:val="21"/>
        </w:rPr>
      </w:pPr>
      <w:r>
        <w:rPr>
          <w:rFonts w:ascii="宋体" w:hAnsi="宋体"/>
          <w:color w:val="auto"/>
          <w:szCs w:val="21"/>
        </w:rPr>
        <w:t>被授权人无转委托权，特此委托。</w:t>
      </w:r>
    </w:p>
    <w:p w14:paraId="0E6722AA">
      <w:pPr>
        <w:snapToGrid w:val="0"/>
        <w:spacing w:before="120" w:beforeLines="50" w:after="50" w:line="440" w:lineRule="exact"/>
        <w:rPr>
          <w:rFonts w:ascii="宋体" w:hAnsi="宋体"/>
          <w:color w:val="auto"/>
          <w:szCs w:val="21"/>
          <w:u w:val="single"/>
        </w:rPr>
      </w:pPr>
      <w:r>
        <w:rPr>
          <w:rFonts w:ascii="宋体" w:hAnsi="宋体"/>
          <w:color w:val="auto"/>
          <w:szCs w:val="21"/>
        </w:rPr>
        <w:t>被授权人签名或</w:t>
      </w:r>
      <w:r>
        <w:rPr>
          <w:rFonts w:hint="eastAsia" w:ascii="宋体" w:hAnsi="宋体"/>
          <w:color w:val="auto"/>
          <w:szCs w:val="21"/>
        </w:rPr>
        <w:t>签章</w:t>
      </w:r>
      <w:r>
        <w:rPr>
          <w:rFonts w:ascii="宋体" w:hAnsi="宋体"/>
          <w:color w:val="auto"/>
          <w:szCs w:val="21"/>
        </w:rPr>
        <w:t>：</w:t>
      </w:r>
      <w:r>
        <w:rPr>
          <w:rFonts w:ascii="宋体" w:hAnsi="宋体"/>
          <w:color w:val="auto"/>
          <w:szCs w:val="21"/>
          <w:u w:val="single"/>
        </w:rPr>
        <w:t xml:space="preserve">          </w:t>
      </w:r>
      <w:r>
        <w:rPr>
          <w:rFonts w:ascii="宋体" w:hAnsi="宋体"/>
          <w:color w:val="auto"/>
          <w:szCs w:val="21"/>
        </w:rPr>
        <w:t xml:space="preserve">                     法定代表人签名或</w:t>
      </w:r>
      <w:r>
        <w:rPr>
          <w:rFonts w:hint="eastAsia" w:ascii="宋体" w:hAnsi="宋体"/>
          <w:color w:val="auto"/>
          <w:szCs w:val="21"/>
        </w:rPr>
        <w:t>签章</w:t>
      </w:r>
      <w:r>
        <w:rPr>
          <w:rFonts w:ascii="宋体" w:hAnsi="宋体"/>
          <w:color w:val="auto"/>
          <w:szCs w:val="21"/>
        </w:rPr>
        <w:t>：</w:t>
      </w:r>
      <w:r>
        <w:rPr>
          <w:rFonts w:ascii="宋体" w:hAnsi="宋体"/>
          <w:color w:val="auto"/>
          <w:szCs w:val="21"/>
          <w:u w:val="single"/>
        </w:rPr>
        <w:t xml:space="preserve">          </w:t>
      </w:r>
    </w:p>
    <w:p w14:paraId="3657ED9C">
      <w:pPr>
        <w:snapToGrid w:val="0"/>
        <w:spacing w:before="120" w:beforeLines="50" w:after="50" w:line="440" w:lineRule="exact"/>
        <w:rPr>
          <w:rFonts w:ascii="宋体" w:hAnsi="宋体"/>
          <w:color w:val="auto"/>
          <w:szCs w:val="21"/>
        </w:rPr>
      </w:pPr>
      <w:r>
        <w:rPr>
          <w:rFonts w:ascii="宋体" w:hAnsi="宋体"/>
          <w:color w:val="auto"/>
          <w:szCs w:val="21"/>
        </w:rPr>
        <w:t>职务：</w:t>
      </w:r>
      <w:r>
        <w:rPr>
          <w:rFonts w:ascii="宋体" w:hAnsi="宋体"/>
          <w:color w:val="auto"/>
          <w:szCs w:val="21"/>
          <w:u w:val="single"/>
        </w:rPr>
        <w:t xml:space="preserve">           </w:t>
      </w:r>
      <w:r>
        <w:rPr>
          <w:rFonts w:ascii="宋体" w:hAnsi="宋体"/>
          <w:color w:val="auto"/>
          <w:szCs w:val="21"/>
        </w:rPr>
        <w:t xml:space="preserve"> </w:t>
      </w:r>
    </w:p>
    <w:p w14:paraId="0C1BF131">
      <w:pPr>
        <w:snapToGrid w:val="0"/>
        <w:spacing w:before="120" w:beforeLines="50" w:after="50" w:line="440" w:lineRule="exact"/>
        <w:rPr>
          <w:rFonts w:ascii="宋体" w:hAnsi="宋体"/>
          <w:color w:val="auto"/>
          <w:szCs w:val="21"/>
        </w:rPr>
      </w:pPr>
      <w:r>
        <w:rPr>
          <w:rFonts w:ascii="宋体" w:hAnsi="宋体"/>
          <w:color w:val="auto"/>
          <w:szCs w:val="21"/>
        </w:rPr>
        <w:t>被授权人身份证号码：</w:t>
      </w:r>
      <w:r>
        <w:rPr>
          <w:rFonts w:ascii="宋体" w:hAnsi="宋体"/>
          <w:color w:val="auto"/>
          <w:szCs w:val="21"/>
          <w:u w:val="single"/>
        </w:rPr>
        <w:t xml:space="preserve">                   </w:t>
      </w:r>
      <w:r>
        <w:rPr>
          <w:rFonts w:ascii="宋体" w:hAnsi="宋体"/>
          <w:color w:val="auto"/>
          <w:szCs w:val="21"/>
        </w:rPr>
        <w:t xml:space="preserve">                                   职务：</w:t>
      </w:r>
      <w:r>
        <w:rPr>
          <w:rFonts w:ascii="宋体" w:hAnsi="宋体"/>
          <w:color w:val="auto"/>
          <w:szCs w:val="21"/>
          <w:u w:val="single"/>
        </w:rPr>
        <w:t xml:space="preserve">           </w:t>
      </w:r>
    </w:p>
    <w:p w14:paraId="7B1AD0F6">
      <w:pPr>
        <w:snapToGrid w:val="0"/>
        <w:spacing w:before="120" w:beforeLines="50" w:after="50" w:line="440" w:lineRule="exact"/>
        <w:rPr>
          <w:rFonts w:ascii="宋体" w:hAnsi="宋体"/>
          <w:color w:val="auto"/>
          <w:szCs w:val="21"/>
        </w:rPr>
      </w:pPr>
      <w:r>
        <w:rPr>
          <w:rFonts w:hint="eastAsia" w:ascii="宋体" w:hAnsi="宋体"/>
          <w:color w:val="auto"/>
          <w:szCs w:val="21"/>
        </w:rPr>
        <w:t>被授权人手机号码及邮箱</w:t>
      </w:r>
      <w:r>
        <w:rPr>
          <w:rFonts w:ascii="宋体" w:hAnsi="宋体"/>
          <w:color w:val="auto"/>
          <w:szCs w:val="21"/>
        </w:rPr>
        <w:t>：</w:t>
      </w:r>
      <w:r>
        <w:rPr>
          <w:rFonts w:ascii="宋体" w:hAnsi="宋体"/>
          <w:color w:val="auto"/>
          <w:szCs w:val="21"/>
          <w:u w:val="single"/>
        </w:rPr>
        <w:t xml:space="preserve">                   </w:t>
      </w:r>
      <w:r>
        <w:rPr>
          <w:rFonts w:ascii="宋体" w:hAnsi="宋体"/>
          <w:color w:val="auto"/>
          <w:szCs w:val="21"/>
        </w:rPr>
        <w:t xml:space="preserve">            授权人身份证号码：</w:t>
      </w:r>
      <w:r>
        <w:rPr>
          <w:rFonts w:ascii="宋体" w:hAnsi="宋体"/>
          <w:color w:val="auto"/>
          <w:szCs w:val="21"/>
          <w:u w:val="single"/>
        </w:rPr>
        <w:t xml:space="preserve">                 </w:t>
      </w:r>
    </w:p>
    <w:p w14:paraId="5CEC0ED1">
      <w:pPr>
        <w:snapToGrid w:val="0"/>
        <w:spacing w:before="120" w:beforeLines="50" w:after="50" w:line="440" w:lineRule="exact"/>
        <w:rPr>
          <w:rFonts w:ascii="宋体" w:hAnsi="宋体"/>
          <w:color w:val="auto"/>
          <w:szCs w:val="21"/>
        </w:rPr>
      </w:pPr>
      <w:r>
        <w:rPr>
          <w:rFonts w:ascii="宋体" w:hAnsi="宋体"/>
          <w:color w:val="auto"/>
          <w:szCs w:val="21"/>
        </w:rPr>
        <w:t xml:space="preserve">                                </w:t>
      </w:r>
    </w:p>
    <w:p w14:paraId="4C9D4FCB">
      <w:pPr>
        <w:snapToGrid w:val="0"/>
        <w:spacing w:before="120" w:beforeLines="50" w:after="50" w:line="440" w:lineRule="exact"/>
        <w:ind w:firstLine="5670" w:firstLineChars="2700"/>
        <w:rPr>
          <w:rFonts w:ascii="宋体" w:hAnsi="宋体"/>
          <w:color w:val="auto"/>
          <w:szCs w:val="21"/>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zCs w:val="21"/>
          <w:u w:val="single"/>
        </w:rPr>
        <w:t xml:space="preserve">                </w:t>
      </w:r>
    </w:p>
    <w:p w14:paraId="5816C127">
      <w:pPr>
        <w:snapToGrid w:val="0"/>
        <w:spacing w:before="120" w:beforeLines="50" w:after="50" w:line="440" w:lineRule="exact"/>
        <w:jc w:val="center"/>
        <w:rPr>
          <w:rFonts w:ascii="宋体" w:hAnsi="宋体"/>
          <w:color w:val="auto"/>
          <w:szCs w:val="21"/>
        </w:rPr>
      </w:pPr>
      <w:r>
        <w:rPr>
          <w:rFonts w:ascii="宋体" w:hAnsi="宋体"/>
          <w:color w:val="auto"/>
          <w:szCs w:val="21"/>
        </w:rPr>
        <w:t xml:space="preserve">                                        年    月    日</w:t>
      </w:r>
    </w:p>
    <w:p w14:paraId="711D9485">
      <w:pPr>
        <w:spacing w:line="360" w:lineRule="auto"/>
        <w:rPr>
          <w:rFonts w:ascii="宋体" w:hAnsi="宋体"/>
          <w:color w:val="auto"/>
          <w:szCs w:val="21"/>
        </w:rPr>
      </w:pPr>
      <w:r>
        <w:rPr>
          <w:rFonts w:ascii="宋体" w:hAnsi="宋体"/>
          <w:color w:val="auto"/>
          <w:szCs w:val="21"/>
        </w:rPr>
        <w:t>附件：法定代表人身份证复印件及授权代表身份证复印件</w:t>
      </w:r>
    </w:p>
    <w:p w14:paraId="16A16C83">
      <w:pPr>
        <w:jc w:val="center"/>
        <w:rPr>
          <w:rFonts w:ascii="宋体" w:hAnsi="宋体"/>
          <w:bCs/>
          <w:color w:val="auto"/>
          <w:sz w:val="24"/>
        </w:rPr>
      </w:pPr>
      <w:r>
        <w:rPr>
          <w:rFonts w:ascii="宋体" w:hAnsi="宋体"/>
          <w:color w:val="auto"/>
        </w:rPr>
        <w:br w:type="page"/>
      </w:r>
      <w:r>
        <w:rPr>
          <w:rFonts w:ascii="宋体" w:hAnsi="宋体"/>
          <w:color w:val="auto"/>
        </w:rPr>
        <w:t>（本商务文件供应商可自行编写，也可参照下述提纲编写）</w:t>
      </w:r>
    </w:p>
    <w:p w14:paraId="2F808CF2">
      <w:pPr>
        <w:snapToGrid w:val="0"/>
        <w:spacing w:before="50" w:after="120" w:afterLines="50"/>
        <w:jc w:val="left"/>
        <w:rPr>
          <w:rFonts w:ascii="宋体" w:hAnsi="宋体"/>
          <w:color w:val="auto"/>
          <w:szCs w:val="21"/>
        </w:rPr>
      </w:pPr>
    </w:p>
    <w:p w14:paraId="09EE3ADF">
      <w:pPr>
        <w:rPr>
          <w:rFonts w:ascii="宋体" w:hAnsi="宋体"/>
          <w:color w:val="auto"/>
          <w:szCs w:val="21"/>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rPr>
        <w:t>对</w:t>
      </w:r>
      <w:r>
        <w:rPr>
          <w:rFonts w:ascii="宋体" w:hAnsi="宋体"/>
          <w:color w:val="auto"/>
          <w:szCs w:val="21"/>
        </w:rPr>
        <w:t>本项目第</w:t>
      </w:r>
      <w:r>
        <w:rPr>
          <w:rFonts w:hint="eastAsia" w:ascii="宋体" w:hAnsi="宋体"/>
          <w:color w:val="auto"/>
          <w:szCs w:val="21"/>
        </w:rPr>
        <w:t>二</w:t>
      </w:r>
      <w:r>
        <w:rPr>
          <w:rFonts w:ascii="宋体" w:hAnsi="宋体"/>
          <w:color w:val="auto"/>
          <w:szCs w:val="21"/>
        </w:rPr>
        <w:t>章</w:t>
      </w:r>
      <w:r>
        <w:rPr>
          <w:rFonts w:hint="eastAsia" w:ascii="宋体" w:hAnsi="宋体"/>
          <w:color w:val="auto"/>
          <w:szCs w:val="21"/>
        </w:rPr>
        <w:t>《</w:t>
      </w:r>
      <w:r>
        <w:rPr>
          <w:rFonts w:ascii="宋体" w:hAnsi="宋体"/>
          <w:color w:val="auto"/>
          <w:szCs w:val="21"/>
        </w:rPr>
        <w:t>采购需求</w:t>
      </w:r>
      <w:r>
        <w:rPr>
          <w:rFonts w:hint="eastAsia" w:ascii="宋体" w:hAnsi="宋体"/>
          <w:color w:val="auto"/>
          <w:szCs w:val="21"/>
        </w:rPr>
        <w:t>》技术</w:t>
      </w:r>
      <w:r>
        <w:rPr>
          <w:rFonts w:ascii="宋体" w:hAnsi="宋体"/>
          <w:color w:val="auto"/>
          <w:szCs w:val="21"/>
        </w:rPr>
        <w:t>要求的</w:t>
      </w:r>
      <w:r>
        <w:rPr>
          <w:rFonts w:hint="eastAsia" w:ascii="宋体" w:hAnsi="宋体"/>
          <w:color w:val="auto"/>
          <w:szCs w:val="21"/>
        </w:rPr>
        <w:t>响应表</w:t>
      </w:r>
      <w:r>
        <w:rPr>
          <w:rFonts w:ascii="宋体" w:hAnsi="宋体"/>
          <w:color w:val="auto"/>
          <w:szCs w:val="21"/>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2F4F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7D66B89E">
            <w:pPr>
              <w:snapToGrid w:val="0"/>
              <w:spacing w:before="120" w:beforeLines="50"/>
              <w:jc w:val="center"/>
              <w:rPr>
                <w:rFonts w:ascii="宋体" w:hAnsi="宋体"/>
                <w:color w:val="auto"/>
                <w:szCs w:val="21"/>
              </w:rPr>
            </w:pPr>
            <w:r>
              <w:rPr>
                <w:rFonts w:ascii="宋体" w:hAnsi="宋体"/>
                <w:color w:val="auto"/>
                <w:szCs w:val="21"/>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2FF0CEDB">
            <w:pPr>
              <w:snapToGrid w:val="0"/>
              <w:spacing w:before="120" w:beforeLines="50"/>
              <w:jc w:val="center"/>
              <w:rPr>
                <w:rFonts w:ascii="宋体" w:hAnsi="宋体"/>
                <w:color w:val="auto"/>
                <w:szCs w:val="21"/>
              </w:rPr>
            </w:pPr>
            <w:r>
              <w:rPr>
                <w:rFonts w:hint="eastAsia" w:ascii="宋体" w:hAnsi="宋体"/>
                <w:color w:val="auto"/>
                <w:szCs w:val="21"/>
              </w:rPr>
              <w:t>采购文件</w:t>
            </w:r>
            <w:r>
              <w:rPr>
                <w:rFonts w:ascii="宋体" w:hAnsi="宋体"/>
                <w:color w:val="auto"/>
                <w:szCs w:val="21"/>
              </w:rPr>
              <w:t>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07D9B8DD">
            <w:pPr>
              <w:snapToGrid w:val="0"/>
              <w:spacing w:before="120" w:beforeLines="50"/>
              <w:jc w:val="center"/>
              <w:rPr>
                <w:rFonts w:ascii="宋体" w:hAnsi="宋体"/>
                <w:color w:val="auto"/>
                <w:szCs w:val="21"/>
              </w:rPr>
            </w:pPr>
            <w:r>
              <w:rPr>
                <w:rFonts w:hint="eastAsia" w:ascii="宋体" w:hAnsi="宋体"/>
                <w:color w:val="auto"/>
                <w:szCs w:val="21"/>
              </w:rPr>
              <w:t>响应</w:t>
            </w:r>
            <w:r>
              <w:rPr>
                <w:rFonts w:ascii="宋体" w:hAnsi="宋体"/>
                <w:color w:val="auto"/>
                <w:szCs w:val="21"/>
              </w:rPr>
              <w:t>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45564AEF">
            <w:pPr>
              <w:snapToGrid w:val="0"/>
              <w:spacing w:before="120" w:beforeLines="50"/>
              <w:jc w:val="center"/>
              <w:rPr>
                <w:rFonts w:ascii="宋体" w:hAnsi="宋体"/>
                <w:color w:val="auto"/>
                <w:szCs w:val="21"/>
              </w:rPr>
            </w:pPr>
            <w:r>
              <w:rPr>
                <w:rFonts w:ascii="宋体" w:hAnsi="宋体"/>
                <w:color w:val="auto"/>
              </w:rPr>
              <w:t>偏离</w:t>
            </w:r>
            <w:r>
              <w:rPr>
                <w:rFonts w:ascii="宋体" w:hAnsi="宋体"/>
                <w:color w:val="auto"/>
                <w:szCs w:val="21"/>
              </w:rPr>
              <w:t>说明</w:t>
            </w:r>
          </w:p>
        </w:tc>
      </w:tr>
      <w:tr w14:paraId="2BDC2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A93B3C6">
            <w:pPr>
              <w:snapToGrid w:val="0"/>
              <w:spacing w:before="120" w:beforeLines="50"/>
              <w:jc w:val="center"/>
              <w:rPr>
                <w:rFonts w:ascii="宋体" w:hAnsi="宋体"/>
                <w:color w:val="auto"/>
                <w:szCs w:val="21"/>
              </w:rPr>
            </w:pPr>
          </w:p>
        </w:tc>
        <w:tc>
          <w:tcPr>
            <w:tcW w:w="3595" w:type="dxa"/>
            <w:tcBorders>
              <w:top w:val="single" w:color="auto" w:sz="4" w:space="0"/>
              <w:left w:val="single" w:color="auto" w:sz="4" w:space="0"/>
              <w:bottom w:val="single" w:color="auto" w:sz="4" w:space="0"/>
              <w:right w:val="single" w:color="auto" w:sz="4" w:space="0"/>
            </w:tcBorders>
            <w:vAlign w:val="center"/>
          </w:tcPr>
          <w:p w14:paraId="0D495BC1">
            <w:pPr>
              <w:snapToGrid w:val="0"/>
              <w:spacing w:before="120" w:beforeLines="50"/>
              <w:jc w:val="center"/>
              <w:rPr>
                <w:rFonts w:ascii="宋体" w:hAnsi="宋体"/>
                <w:color w:val="auto"/>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2C404054">
            <w:pPr>
              <w:snapToGrid w:val="0"/>
              <w:spacing w:before="120" w:beforeLines="50"/>
              <w:jc w:val="center"/>
              <w:rPr>
                <w:rFonts w:ascii="宋体" w:hAnsi="宋体"/>
                <w:color w:val="auto"/>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0557645D">
            <w:pPr>
              <w:snapToGrid w:val="0"/>
              <w:spacing w:before="120" w:beforeLines="50"/>
              <w:jc w:val="center"/>
              <w:rPr>
                <w:rFonts w:ascii="宋体" w:hAnsi="宋体"/>
                <w:color w:val="auto"/>
                <w:szCs w:val="21"/>
              </w:rPr>
            </w:pPr>
          </w:p>
        </w:tc>
      </w:tr>
      <w:tr w14:paraId="7D0A9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158AD00">
            <w:pPr>
              <w:snapToGrid w:val="0"/>
              <w:spacing w:before="120" w:beforeLines="50"/>
              <w:jc w:val="center"/>
              <w:rPr>
                <w:rFonts w:ascii="宋体" w:hAnsi="宋体"/>
                <w:color w:val="auto"/>
                <w:szCs w:val="21"/>
              </w:rPr>
            </w:pPr>
          </w:p>
        </w:tc>
        <w:tc>
          <w:tcPr>
            <w:tcW w:w="3595" w:type="dxa"/>
            <w:tcBorders>
              <w:top w:val="single" w:color="auto" w:sz="4" w:space="0"/>
              <w:left w:val="single" w:color="auto" w:sz="4" w:space="0"/>
              <w:bottom w:val="single" w:color="auto" w:sz="4" w:space="0"/>
              <w:right w:val="single" w:color="auto" w:sz="4" w:space="0"/>
            </w:tcBorders>
            <w:vAlign w:val="center"/>
          </w:tcPr>
          <w:p w14:paraId="3AA80E32">
            <w:pPr>
              <w:snapToGrid w:val="0"/>
              <w:spacing w:before="120" w:beforeLines="50"/>
              <w:jc w:val="center"/>
              <w:rPr>
                <w:rFonts w:ascii="宋体" w:hAnsi="宋体"/>
                <w:color w:val="auto"/>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6A26537C">
            <w:pPr>
              <w:snapToGrid w:val="0"/>
              <w:spacing w:before="120" w:beforeLines="50"/>
              <w:jc w:val="center"/>
              <w:rPr>
                <w:rFonts w:ascii="宋体" w:hAnsi="宋体"/>
                <w:color w:val="auto"/>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4FD5440D">
            <w:pPr>
              <w:snapToGrid w:val="0"/>
              <w:spacing w:before="120" w:beforeLines="50"/>
              <w:jc w:val="center"/>
              <w:rPr>
                <w:rFonts w:ascii="宋体" w:hAnsi="宋体"/>
                <w:color w:val="auto"/>
                <w:szCs w:val="21"/>
              </w:rPr>
            </w:pPr>
          </w:p>
        </w:tc>
      </w:tr>
      <w:tr w14:paraId="4FE35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C462DFE">
            <w:pPr>
              <w:snapToGrid w:val="0"/>
              <w:spacing w:before="120" w:beforeLines="50"/>
              <w:jc w:val="center"/>
              <w:rPr>
                <w:rFonts w:ascii="宋体" w:hAnsi="宋体"/>
                <w:color w:val="auto"/>
                <w:szCs w:val="21"/>
              </w:rPr>
            </w:pPr>
            <w:r>
              <w:rPr>
                <w:rFonts w:ascii="宋体" w:hAnsi="宋体"/>
                <w:color w:val="auto"/>
                <w:szCs w:val="21"/>
              </w:rPr>
              <w:t>……</w:t>
            </w:r>
          </w:p>
        </w:tc>
        <w:tc>
          <w:tcPr>
            <w:tcW w:w="3595" w:type="dxa"/>
            <w:tcBorders>
              <w:top w:val="single" w:color="auto" w:sz="4" w:space="0"/>
              <w:left w:val="single" w:color="auto" w:sz="4" w:space="0"/>
              <w:bottom w:val="single" w:color="auto" w:sz="4" w:space="0"/>
              <w:right w:val="single" w:color="auto" w:sz="4" w:space="0"/>
            </w:tcBorders>
            <w:vAlign w:val="center"/>
          </w:tcPr>
          <w:p w14:paraId="268BAA3F">
            <w:pPr>
              <w:snapToGrid w:val="0"/>
              <w:spacing w:before="120" w:beforeLines="50"/>
              <w:jc w:val="center"/>
              <w:rPr>
                <w:rFonts w:ascii="宋体" w:hAnsi="宋体"/>
                <w:color w:val="auto"/>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092DDD5A">
            <w:pPr>
              <w:snapToGrid w:val="0"/>
              <w:spacing w:before="120" w:beforeLines="50"/>
              <w:jc w:val="center"/>
              <w:rPr>
                <w:rFonts w:ascii="宋体" w:hAnsi="宋体"/>
                <w:color w:val="auto"/>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29D79858">
            <w:pPr>
              <w:snapToGrid w:val="0"/>
              <w:spacing w:before="120" w:beforeLines="50"/>
              <w:jc w:val="center"/>
              <w:rPr>
                <w:rFonts w:ascii="宋体" w:hAnsi="宋体"/>
                <w:color w:val="auto"/>
                <w:szCs w:val="21"/>
              </w:rPr>
            </w:pPr>
          </w:p>
        </w:tc>
      </w:tr>
      <w:tr w14:paraId="711D7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A8CFBD5">
            <w:pPr>
              <w:snapToGrid w:val="0"/>
              <w:spacing w:before="120" w:beforeLines="50"/>
              <w:jc w:val="center"/>
              <w:rPr>
                <w:rFonts w:ascii="宋体" w:hAnsi="宋体"/>
                <w:color w:val="auto"/>
                <w:szCs w:val="21"/>
              </w:rPr>
            </w:pPr>
            <w:r>
              <w:rPr>
                <w:rFonts w:ascii="宋体" w:hAnsi="宋体"/>
                <w:color w:val="auto"/>
                <w:szCs w:val="21"/>
              </w:rPr>
              <w:t>……</w:t>
            </w:r>
          </w:p>
        </w:tc>
        <w:tc>
          <w:tcPr>
            <w:tcW w:w="3595" w:type="dxa"/>
            <w:tcBorders>
              <w:top w:val="single" w:color="auto" w:sz="4" w:space="0"/>
              <w:left w:val="single" w:color="auto" w:sz="4" w:space="0"/>
              <w:bottom w:val="single" w:color="auto" w:sz="4" w:space="0"/>
              <w:right w:val="single" w:color="auto" w:sz="4" w:space="0"/>
            </w:tcBorders>
            <w:vAlign w:val="center"/>
          </w:tcPr>
          <w:p w14:paraId="18905A88">
            <w:pPr>
              <w:snapToGrid w:val="0"/>
              <w:spacing w:before="120" w:beforeLines="50"/>
              <w:jc w:val="center"/>
              <w:rPr>
                <w:rFonts w:ascii="宋体" w:hAnsi="宋体"/>
                <w:color w:val="auto"/>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68FE8C0C">
            <w:pPr>
              <w:snapToGrid w:val="0"/>
              <w:spacing w:before="120" w:beforeLines="50"/>
              <w:jc w:val="center"/>
              <w:rPr>
                <w:rFonts w:ascii="宋体" w:hAnsi="宋体"/>
                <w:color w:val="auto"/>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6366DB1E">
            <w:pPr>
              <w:snapToGrid w:val="0"/>
              <w:spacing w:before="120" w:beforeLines="50"/>
              <w:jc w:val="center"/>
              <w:rPr>
                <w:rFonts w:ascii="宋体" w:hAnsi="宋体"/>
                <w:color w:val="auto"/>
                <w:szCs w:val="21"/>
              </w:rPr>
            </w:pPr>
          </w:p>
        </w:tc>
      </w:tr>
    </w:tbl>
    <w:p w14:paraId="79D61255">
      <w:pPr>
        <w:rPr>
          <w:rFonts w:ascii="宋体" w:hAnsi="宋体"/>
          <w:color w:val="auto"/>
          <w:szCs w:val="21"/>
        </w:rPr>
      </w:pPr>
    </w:p>
    <w:p w14:paraId="3AABD640">
      <w:pPr>
        <w:pStyle w:val="26"/>
        <w:tabs>
          <w:tab w:val="left" w:pos="2127"/>
        </w:tabs>
        <w:spacing w:line="340" w:lineRule="exact"/>
        <w:jc w:val="left"/>
        <w:rPr>
          <w:rFonts w:hAnsi="宋体" w:cs="Times New Roman"/>
          <w:color w:val="auto"/>
        </w:rPr>
      </w:pPr>
      <w:r>
        <w:rPr>
          <w:rFonts w:hAnsi="宋体"/>
          <w:color w:val="auto"/>
        </w:rPr>
        <w:t>注：（1）</w:t>
      </w:r>
      <w:r>
        <w:rPr>
          <w:rFonts w:hAnsi="宋体" w:cs="Times New Roman"/>
          <w:color w:val="auto"/>
        </w:rPr>
        <w:t>本表应对采购文件</w:t>
      </w:r>
      <w:r>
        <w:rPr>
          <w:rFonts w:hAnsi="宋体"/>
          <w:color w:val="auto"/>
        </w:rPr>
        <w:t>第</w:t>
      </w:r>
      <w:r>
        <w:rPr>
          <w:rFonts w:hint="eastAsia" w:hAnsi="宋体"/>
          <w:color w:val="auto"/>
        </w:rPr>
        <w:t>二</w:t>
      </w:r>
      <w:r>
        <w:rPr>
          <w:rFonts w:hAnsi="宋体"/>
          <w:color w:val="auto"/>
        </w:rPr>
        <w:t>章</w:t>
      </w:r>
      <w:r>
        <w:rPr>
          <w:rFonts w:hint="eastAsia" w:hAnsi="宋体"/>
          <w:color w:val="auto"/>
        </w:rPr>
        <w:t>《采购需求》</w:t>
      </w:r>
      <w:r>
        <w:rPr>
          <w:rFonts w:hAnsi="宋体" w:cs="Times New Roman"/>
          <w:color w:val="auto"/>
        </w:rPr>
        <w:t>中所列</w:t>
      </w:r>
      <w:r>
        <w:rPr>
          <w:rFonts w:hint="eastAsia" w:hAnsi="宋体" w:cs="Times New Roman"/>
          <w:color w:val="auto"/>
        </w:rPr>
        <w:t>技术</w:t>
      </w:r>
      <w:r>
        <w:rPr>
          <w:rFonts w:hAnsi="宋体" w:cs="Times New Roman"/>
          <w:color w:val="auto"/>
        </w:rPr>
        <w:t>要求进行响应，并根据响应情况在“偏离说明”栏填写正偏离或负偏离及原因，完全符合的填写</w:t>
      </w:r>
      <w:r>
        <w:rPr>
          <w:rFonts w:hint="eastAsia" w:hAnsi="宋体" w:cs="Times New Roman"/>
          <w:color w:val="auto"/>
        </w:rPr>
        <w:t>“</w:t>
      </w:r>
      <w:r>
        <w:rPr>
          <w:rFonts w:hAnsi="宋体" w:cs="Times New Roman"/>
          <w:color w:val="auto"/>
        </w:rPr>
        <w:t>无偏离</w:t>
      </w:r>
      <w:r>
        <w:rPr>
          <w:rFonts w:hint="eastAsia" w:hAnsi="宋体" w:cs="Times New Roman"/>
          <w:color w:val="auto"/>
        </w:rPr>
        <w:t>”</w:t>
      </w:r>
      <w:r>
        <w:rPr>
          <w:rFonts w:hAnsi="宋体" w:cs="Times New Roman"/>
          <w:color w:val="auto"/>
        </w:rPr>
        <w:t>。</w:t>
      </w:r>
    </w:p>
    <w:p w14:paraId="465418C5">
      <w:pPr>
        <w:rPr>
          <w:rFonts w:ascii="宋体" w:hAnsi="宋体"/>
          <w:color w:val="auto"/>
        </w:rPr>
      </w:pPr>
      <w:r>
        <w:rPr>
          <w:rFonts w:hint="eastAsia" w:ascii="宋体" w:hAnsi="宋体"/>
          <w:color w:val="auto"/>
        </w:rPr>
        <w:t>（2）</w:t>
      </w:r>
      <w:r>
        <w:rPr>
          <w:rFonts w:ascii="宋体" w:hAnsi="宋体"/>
          <w:color w:val="auto"/>
        </w:rPr>
        <w:t>第</w:t>
      </w:r>
      <w:r>
        <w:rPr>
          <w:rFonts w:hint="eastAsia" w:ascii="宋体" w:hAnsi="宋体"/>
          <w:color w:val="auto"/>
        </w:rPr>
        <w:t>二</w:t>
      </w:r>
      <w:r>
        <w:rPr>
          <w:rFonts w:ascii="宋体" w:hAnsi="宋体"/>
          <w:color w:val="auto"/>
        </w:rPr>
        <w:t>章</w:t>
      </w:r>
      <w:r>
        <w:rPr>
          <w:rFonts w:hint="eastAsia" w:ascii="宋体" w:hAnsi="宋体"/>
          <w:color w:val="auto"/>
        </w:rPr>
        <w:t>《采购需求》中的总体要求无需响应。</w:t>
      </w:r>
    </w:p>
    <w:p w14:paraId="43BA77A4">
      <w:pPr>
        <w:rPr>
          <w:rFonts w:ascii="宋体" w:hAnsi="宋体"/>
          <w:color w:val="auto"/>
        </w:rPr>
      </w:pPr>
      <w:r>
        <w:rPr>
          <w:rFonts w:hint="eastAsia" w:ascii="宋体" w:hAnsi="宋体"/>
          <w:color w:val="auto"/>
        </w:rPr>
        <w:t>（</w:t>
      </w:r>
      <w:r>
        <w:rPr>
          <w:rFonts w:ascii="宋体" w:hAnsi="宋体"/>
          <w:color w:val="auto"/>
        </w:rPr>
        <w:t>3</w:t>
      </w:r>
      <w:r>
        <w:rPr>
          <w:rFonts w:hint="eastAsia" w:ascii="宋体" w:hAnsi="宋体"/>
          <w:color w:val="auto"/>
        </w:rPr>
        <w:t>）偏离认定说明详见评审方法及标准。</w:t>
      </w:r>
    </w:p>
    <w:p w14:paraId="53EB4A7C">
      <w:pPr>
        <w:rPr>
          <w:rFonts w:ascii="宋体" w:hAnsi="宋体"/>
          <w:color w:val="auto"/>
        </w:rPr>
      </w:pPr>
      <w:r>
        <w:rPr>
          <w:rFonts w:ascii="宋体" w:hAnsi="宋体"/>
          <w:color w:val="auto"/>
        </w:rPr>
        <w:t>（4）本表可扩展。</w:t>
      </w:r>
    </w:p>
    <w:p w14:paraId="29831C44">
      <w:pPr>
        <w:rPr>
          <w:rFonts w:ascii="宋体" w:hAnsi="宋体"/>
          <w:color w:val="auto"/>
          <w:szCs w:val="21"/>
        </w:rPr>
      </w:pPr>
    </w:p>
    <w:p w14:paraId="548E0DFB">
      <w:pPr>
        <w:rPr>
          <w:rFonts w:ascii="宋体" w:hAnsi="宋体"/>
          <w:color w:val="auto"/>
          <w:spacing w:val="20"/>
          <w:szCs w:val="21"/>
          <w:u w:val="single"/>
        </w:rPr>
      </w:pPr>
    </w:p>
    <w:p w14:paraId="09F783C8">
      <w:pPr>
        <w:rPr>
          <w:rFonts w:ascii="宋体" w:hAnsi="宋体"/>
          <w:color w:val="auto"/>
          <w:szCs w:val="21"/>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pacing w:val="20"/>
          <w:szCs w:val="21"/>
        </w:rPr>
        <w:t>：</w:t>
      </w:r>
      <w:r>
        <w:rPr>
          <w:rFonts w:ascii="宋体" w:hAnsi="宋体"/>
          <w:color w:val="auto"/>
          <w:spacing w:val="20"/>
          <w:szCs w:val="21"/>
          <w:u w:val="single"/>
        </w:rPr>
        <w:t xml:space="preserve">            </w:t>
      </w:r>
      <w:r>
        <w:rPr>
          <w:rFonts w:ascii="宋体" w:hAnsi="宋体"/>
          <w:color w:val="auto"/>
          <w:spacing w:val="20"/>
          <w:szCs w:val="21"/>
        </w:rPr>
        <w:t xml:space="preserve">              日 期：</w:t>
      </w:r>
      <w:r>
        <w:rPr>
          <w:rFonts w:ascii="宋体" w:hAnsi="宋体"/>
          <w:color w:val="auto"/>
          <w:spacing w:val="20"/>
          <w:szCs w:val="21"/>
          <w:u w:val="single"/>
        </w:rPr>
        <w:t xml:space="preserve">            </w:t>
      </w:r>
    </w:p>
    <w:p w14:paraId="65D7D6BF">
      <w:pPr>
        <w:rPr>
          <w:rFonts w:ascii="宋体" w:hAnsi="宋体"/>
          <w:color w:val="auto"/>
          <w:spacing w:val="20"/>
          <w:szCs w:val="21"/>
          <w:u w:val="single"/>
        </w:rPr>
      </w:pPr>
    </w:p>
    <w:p w14:paraId="6864B926">
      <w:pPr>
        <w:rPr>
          <w:rFonts w:ascii="宋体" w:hAnsi="宋体"/>
          <w:color w:val="auto"/>
          <w:spacing w:val="20"/>
          <w:szCs w:val="21"/>
          <w:u w:val="single"/>
        </w:rPr>
      </w:pPr>
    </w:p>
    <w:p w14:paraId="0BC61BC3">
      <w:pPr>
        <w:rPr>
          <w:rFonts w:ascii="宋体" w:hAnsi="宋体"/>
          <w:color w:val="auto"/>
          <w:szCs w:val="21"/>
        </w:rPr>
      </w:pPr>
    </w:p>
    <w:p w14:paraId="0F1D2032">
      <w:pPr>
        <w:snapToGrid w:val="0"/>
        <w:spacing w:before="50" w:after="120" w:afterLines="50"/>
        <w:jc w:val="left"/>
        <w:rPr>
          <w:rFonts w:ascii="宋体" w:hAnsi="宋体"/>
          <w:color w:val="auto"/>
          <w:szCs w:val="21"/>
        </w:rPr>
      </w:pPr>
    </w:p>
    <w:p w14:paraId="5D1B24E1">
      <w:pPr>
        <w:snapToGrid w:val="0"/>
        <w:spacing w:before="50" w:after="120" w:afterLines="50"/>
        <w:jc w:val="left"/>
        <w:rPr>
          <w:rFonts w:ascii="宋体" w:hAnsi="宋体"/>
          <w:color w:val="auto"/>
          <w:szCs w:val="21"/>
        </w:rPr>
      </w:pPr>
      <w:r>
        <w:rPr>
          <w:rFonts w:ascii="宋体" w:hAnsi="宋体"/>
          <w:color w:val="auto"/>
          <w:szCs w:val="21"/>
        </w:rPr>
        <w:t>2．对本项目总体要求的理解。包括：服务目标、服务质量等的认识）</w:t>
      </w:r>
    </w:p>
    <w:p w14:paraId="5A1B045B">
      <w:pPr>
        <w:snapToGrid w:val="0"/>
        <w:spacing w:before="50" w:after="120" w:afterLines="50"/>
        <w:jc w:val="left"/>
        <w:rPr>
          <w:rFonts w:ascii="宋体" w:hAnsi="宋体"/>
          <w:color w:val="auto"/>
          <w:szCs w:val="21"/>
        </w:rPr>
      </w:pPr>
    </w:p>
    <w:p w14:paraId="47561665">
      <w:pPr>
        <w:snapToGrid w:val="0"/>
        <w:spacing w:before="50" w:after="120" w:afterLines="50"/>
        <w:jc w:val="left"/>
        <w:rPr>
          <w:rFonts w:ascii="宋体" w:hAnsi="宋体"/>
          <w:color w:val="auto"/>
          <w:szCs w:val="21"/>
        </w:rPr>
      </w:pPr>
      <w:r>
        <w:rPr>
          <w:rFonts w:ascii="宋体" w:hAnsi="宋体"/>
          <w:color w:val="auto"/>
          <w:szCs w:val="21"/>
        </w:rPr>
        <w:t>3．服务方案及进度措施（针对本项目的服务要求提供详细的服务方案，含服务响应时间、日常服务工作的内容、增值服务、进度计划等）</w:t>
      </w:r>
    </w:p>
    <w:p w14:paraId="53ECF7BA">
      <w:pPr>
        <w:snapToGrid w:val="0"/>
        <w:spacing w:before="50" w:after="120" w:afterLines="50"/>
        <w:jc w:val="left"/>
        <w:rPr>
          <w:rFonts w:ascii="宋体" w:hAnsi="宋体"/>
          <w:color w:val="auto"/>
          <w:szCs w:val="21"/>
        </w:rPr>
      </w:pPr>
    </w:p>
    <w:p w14:paraId="5FFA92E4">
      <w:pPr>
        <w:snapToGrid w:val="0"/>
        <w:spacing w:before="50" w:after="120" w:afterLines="50"/>
        <w:jc w:val="left"/>
        <w:rPr>
          <w:rFonts w:ascii="宋体" w:hAnsi="宋体"/>
          <w:color w:val="auto"/>
          <w:szCs w:val="21"/>
        </w:rPr>
      </w:pPr>
    </w:p>
    <w:p w14:paraId="75EF72ED">
      <w:pPr>
        <w:snapToGrid w:val="0"/>
        <w:spacing w:before="50" w:after="120" w:afterLines="50"/>
        <w:jc w:val="left"/>
        <w:rPr>
          <w:rFonts w:ascii="宋体" w:hAnsi="宋体"/>
          <w:color w:val="auto"/>
          <w:szCs w:val="21"/>
        </w:rPr>
      </w:pPr>
      <w:r>
        <w:rPr>
          <w:rFonts w:ascii="宋体" w:hAnsi="宋体"/>
          <w:color w:val="auto"/>
          <w:szCs w:val="21"/>
        </w:rPr>
        <w:t>4．项目拟投入服务团队人员结构表（包括但不限于学历、证书情况、职称、年龄等）</w:t>
      </w:r>
    </w:p>
    <w:p w14:paraId="1EF6C8D7">
      <w:pPr>
        <w:snapToGrid w:val="0"/>
        <w:spacing w:before="120" w:beforeLines="50" w:after="50" w:line="400" w:lineRule="exact"/>
        <w:jc w:val="center"/>
        <w:rPr>
          <w:rFonts w:ascii="宋体" w:hAnsi="宋体"/>
          <w:color w:val="auto"/>
          <w:szCs w:val="21"/>
        </w:rPr>
      </w:pPr>
      <w:r>
        <w:rPr>
          <w:rFonts w:ascii="宋体" w:hAnsi="宋体"/>
          <w:color w:val="auto"/>
          <w:szCs w:val="21"/>
        </w:rPr>
        <w:t>项目拟投入服务团队人员（含项目负责人）一览表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4C651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538F21EC">
            <w:pPr>
              <w:snapToGrid w:val="0"/>
              <w:spacing w:before="120" w:beforeLines="50" w:after="50"/>
              <w:jc w:val="center"/>
              <w:rPr>
                <w:rFonts w:ascii="宋体" w:hAnsi="宋体"/>
                <w:color w:val="auto"/>
                <w:szCs w:val="21"/>
              </w:rPr>
            </w:pPr>
            <w:r>
              <w:rPr>
                <w:rFonts w:ascii="宋体" w:hAnsi="宋体"/>
                <w:color w:val="auto"/>
                <w:szCs w:val="21"/>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614E5C88">
            <w:pPr>
              <w:snapToGrid w:val="0"/>
              <w:spacing w:before="120" w:beforeLines="50" w:after="50"/>
              <w:jc w:val="center"/>
              <w:rPr>
                <w:rFonts w:ascii="宋体" w:hAnsi="宋体"/>
                <w:color w:val="auto"/>
                <w:szCs w:val="21"/>
              </w:rPr>
            </w:pPr>
            <w:r>
              <w:rPr>
                <w:rFonts w:ascii="宋体" w:hAnsi="宋体"/>
                <w:color w:val="auto"/>
                <w:szCs w:val="21"/>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424DFFEC">
            <w:pPr>
              <w:snapToGrid w:val="0"/>
              <w:spacing w:before="120" w:beforeLines="50" w:after="50"/>
              <w:jc w:val="center"/>
              <w:rPr>
                <w:rFonts w:ascii="宋体" w:hAnsi="宋体"/>
                <w:color w:val="auto"/>
                <w:szCs w:val="21"/>
              </w:rPr>
            </w:pPr>
            <w:r>
              <w:rPr>
                <w:rFonts w:ascii="宋体" w:hAnsi="宋体"/>
                <w:color w:val="auto"/>
                <w:szCs w:val="21"/>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613712DB">
            <w:pPr>
              <w:snapToGrid w:val="0"/>
              <w:spacing w:before="120" w:beforeLines="50" w:after="50"/>
              <w:jc w:val="center"/>
              <w:rPr>
                <w:rFonts w:ascii="宋体" w:hAnsi="宋体"/>
                <w:color w:val="auto"/>
                <w:szCs w:val="21"/>
              </w:rPr>
            </w:pPr>
            <w:r>
              <w:rPr>
                <w:rFonts w:ascii="宋体" w:hAnsi="宋体"/>
                <w:color w:val="auto"/>
                <w:szCs w:val="21"/>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781EE15A">
            <w:pPr>
              <w:snapToGrid w:val="0"/>
              <w:spacing w:before="120" w:beforeLines="50" w:after="50"/>
              <w:jc w:val="center"/>
              <w:rPr>
                <w:rFonts w:ascii="宋体" w:hAnsi="宋体"/>
                <w:color w:val="auto"/>
                <w:szCs w:val="21"/>
              </w:rPr>
            </w:pPr>
            <w:r>
              <w:rPr>
                <w:rFonts w:ascii="宋体" w:hAnsi="宋体"/>
                <w:color w:val="auto"/>
                <w:szCs w:val="21"/>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2B4D9978">
            <w:pPr>
              <w:snapToGrid w:val="0"/>
              <w:spacing w:before="120" w:beforeLines="50" w:after="50"/>
              <w:jc w:val="center"/>
              <w:rPr>
                <w:rFonts w:ascii="宋体" w:hAnsi="宋体"/>
                <w:bCs/>
                <w:color w:val="auto"/>
                <w:szCs w:val="21"/>
              </w:rPr>
            </w:pPr>
            <w:r>
              <w:rPr>
                <w:rFonts w:ascii="宋体" w:hAnsi="宋体"/>
                <w:bCs/>
                <w:color w:val="auto"/>
                <w:szCs w:val="21"/>
              </w:rPr>
              <w:t>劳动合同编号</w:t>
            </w:r>
          </w:p>
        </w:tc>
      </w:tr>
      <w:tr w14:paraId="1B14F4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8E5105B">
            <w:pPr>
              <w:snapToGrid w:val="0"/>
              <w:spacing w:before="120" w:beforeLines="50" w:after="50"/>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4F34327D">
            <w:pPr>
              <w:snapToGrid w:val="0"/>
              <w:spacing w:before="120" w:beforeLines="50" w:after="50"/>
              <w:rPr>
                <w:rFonts w:ascii="宋体" w:hAnsi="宋体"/>
                <w:color w:val="auto"/>
                <w:szCs w:val="21"/>
              </w:rPr>
            </w:pPr>
          </w:p>
        </w:tc>
        <w:tc>
          <w:tcPr>
            <w:tcW w:w="1440" w:type="dxa"/>
            <w:tcBorders>
              <w:top w:val="single" w:color="auto" w:sz="4" w:space="0"/>
              <w:left w:val="single" w:color="auto" w:sz="4" w:space="0"/>
              <w:bottom w:val="single" w:color="auto" w:sz="4" w:space="0"/>
              <w:right w:val="single" w:color="auto" w:sz="4" w:space="0"/>
            </w:tcBorders>
          </w:tcPr>
          <w:p w14:paraId="1178B251">
            <w:pPr>
              <w:snapToGrid w:val="0"/>
              <w:spacing w:before="120" w:beforeLines="50" w:after="50"/>
              <w:rPr>
                <w:rFonts w:ascii="宋体" w:hAnsi="宋体"/>
                <w:color w:val="auto"/>
                <w:szCs w:val="21"/>
              </w:rPr>
            </w:pPr>
          </w:p>
        </w:tc>
        <w:tc>
          <w:tcPr>
            <w:tcW w:w="1516" w:type="dxa"/>
            <w:tcBorders>
              <w:top w:val="single" w:color="auto" w:sz="4" w:space="0"/>
              <w:left w:val="single" w:color="auto" w:sz="4" w:space="0"/>
              <w:bottom w:val="single" w:color="auto" w:sz="4" w:space="0"/>
              <w:right w:val="single" w:color="auto" w:sz="4" w:space="0"/>
            </w:tcBorders>
          </w:tcPr>
          <w:p w14:paraId="3E652985">
            <w:pPr>
              <w:snapToGrid w:val="0"/>
              <w:spacing w:before="120" w:beforeLines="50" w:after="50"/>
              <w:rPr>
                <w:rFonts w:ascii="宋体" w:hAnsi="宋体"/>
                <w:color w:val="auto"/>
                <w:szCs w:val="21"/>
              </w:rPr>
            </w:pPr>
          </w:p>
        </w:tc>
        <w:tc>
          <w:tcPr>
            <w:tcW w:w="1620" w:type="dxa"/>
            <w:tcBorders>
              <w:top w:val="single" w:color="auto" w:sz="4" w:space="0"/>
              <w:left w:val="single" w:color="auto" w:sz="4" w:space="0"/>
              <w:bottom w:val="single" w:color="auto" w:sz="4" w:space="0"/>
              <w:right w:val="single" w:color="auto" w:sz="4" w:space="0"/>
            </w:tcBorders>
          </w:tcPr>
          <w:p w14:paraId="16E08FED">
            <w:pPr>
              <w:snapToGrid w:val="0"/>
              <w:spacing w:before="120" w:beforeLines="50" w:after="50"/>
              <w:rPr>
                <w:rFonts w:ascii="宋体" w:hAnsi="宋体"/>
                <w:color w:val="auto"/>
                <w:szCs w:val="21"/>
              </w:rPr>
            </w:pPr>
          </w:p>
        </w:tc>
        <w:tc>
          <w:tcPr>
            <w:tcW w:w="1980" w:type="dxa"/>
            <w:tcBorders>
              <w:top w:val="single" w:color="auto" w:sz="4" w:space="0"/>
              <w:left w:val="single" w:color="auto" w:sz="4" w:space="0"/>
              <w:bottom w:val="single" w:color="auto" w:sz="4" w:space="0"/>
              <w:right w:val="single" w:color="auto" w:sz="4" w:space="0"/>
            </w:tcBorders>
          </w:tcPr>
          <w:p w14:paraId="05D0F5DF">
            <w:pPr>
              <w:snapToGrid w:val="0"/>
              <w:spacing w:before="120" w:beforeLines="50" w:after="50"/>
              <w:rPr>
                <w:rFonts w:ascii="宋体" w:hAnsi="宋体"/>
                <w:color w:val="auto"/>
                <w:szCs w:val="21"/>
              </w:rPr>
            </w:pPr>
          </w:p>
        </w:tc>
      </w:tr>
      <w:tr w14:paraId="6A59D8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406FEB88">
            <w:pPr>
              <w:snapToGrid w:val="0"/>
              <w:spacing w:before="120" w:beforeLines="50" w:after="50"/>
              <w:rPr>
                <w:rFonts w:ascii="宋体" w:hAnsi="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2BFAFD7C">
            <w:pPr>
              <w:snapToGrid w:val="0"/>
              <w:spacing w:before="120" w:beforeLines="50" w:after="50"/>
              <w:rPr>
                <w:rFonts w:ascii="宋体" w:hAnsi="宋体"/>
                <w:color w:val="auto"/>
                <w:szCs w:val="21"/>
              </w:rPr>
            </w:pPr>
          </w:p>
        </w:tc>
        <w:tc>
          <w:tcPr>
            <w:tcW w:w="1440" w:type="dxa"/>
            <w:tcBorders>
              <w:top w:val="single" w:color="auto" w:sz="4" w:space="0"/>
              <w:left w:val="single" w:color="auto" w:sz="4" w:space="0"/>
              <w:bottom w:val="single" w:color="auto" w:sz="4" w:space="0"/>
              <w:right w:val="single" w:color="auto" w:sz="4" w:space="0"/>
            </w:tcBorders>
          </w:tcPr>
          <w:p w14:paraId="4F70FCF3">
            <w:pPr>
              <w:snapToGrid w:val="0"/>
              <w:spacing w:before="120" w:beforeLines="50" w:after="50"/>
              <w:rPr>
                <w:rFonts w:ascii="宋体" w:hAnsi="宋体"/>
                <w:color w:val="auto"/>
                <w:szCs w:val="21"/>
              </w:rPr>
            </w:pPr>
          </w:p>
        </w:tc>
        <w:tc>
          <w:tcPr>
            <w:tcW w:w="1516" w:type="dxa"/>
            <w:tcBorders>
              <w:top w:val="single" w:color="auto" w:sz="4" w:space="0"/>
              <w:left w:val="single" w:color="auto" w:sz="4" w:space="0"/>
              <w:bottom w:val="single" w:color="auto" w:sz="4" w:space="0"/>
              <w:right w:val="single" w:color="auto" w:sz="4" w:space="0"/>
            </w:tcBorders>
          </w:tcPr>
          <w:p w14:paraId="2530DE7D">
            <w:pPr>
              <w:snapToGrid w:val="0"/>
              <w:spacing w:before="120" w:beforeLines="50" w:after="50"/>
              <w:rPr>
                <w:rFonts w:ascii="宋体" w:hAnsi="宋体"/>
                <w:color w:val="auto"/>
                <w:szCs w:val="21"/>
              </w:rPr>
            </w:pPr>
          </w:p>
        </w:tc>
        <w:tc>
          <w:tcPr>
            <w:tcW w:w="1620" w:type="dxa"/>
            <w:tcBorders>
              <w:top w:val="single" w:color="auto" w:sz="4" w:space="0"/>
              <w:left w:val="single" w:color="auto" w:sz="4" w:space="0"/>
              <w:bottom w:val="single" w:color="auto" w:sz="4" w:space="0"/>
              <w:right w:val="single" w:color="auto" w:sz="4" w:space="0"/>
            </w:tcBorders>
          </w:tcPr>
          <w:p w14:paraId="729B81B0">
            <w:pPr>
              <w:snapToGrid w:val="0"/>
              <w:spacing w:before="120" w:beforeLines="50" w:after="50"/>
              <w:rPr>
                <w:rFonts w:ascii="宋体" w:hAnsi="宋体"/>
                <w:color w:val="auto"/>
                <w:szCs w:val="21"/>
              </w:rPr>
            </w:pPr>
          </w:p>
        </w:tc>
        <w:tc>
          <w:tcPr>
            <w:tcW w:w="1980" w:type="dxa"/>
            <w:tcBorders>
              <w:top w:val="single" w:color="auto" w:sz="4" w:space="0"/>
              <w:left w:val="single" w:color="auto" w:sz="4" w:space="0"/>
              <w:bottom w:val="single" w:color="auto" w:sz="4" w:space="0"/>
              <w:right w:val="single" w:color="auto" w:sz="4" w:space="0"/>
            </w:tcBorders>
          </w:tcPr>
          <w:p w14:paraId="6971F1FF">
            <w:pPr>
              <w:snapToGrid w:val="0"/>
              <w:spacing w:before="120" w:beforeLines="50" w:after="50"/>
              <w:rPr>
                <w:rFonts w:ascii="宋体" w:hAnsi="宋体"/>
                <w:color w:val="auto"/>
                <w:szCs w:val="21"/>
              </w:rPr>
            </w:pPr>
          </w:p>
        </w:tc>
      </w:tr>
    </w:tbl>
    <w:p w14:paraId="24E55DED">
      <w:pPr>
        <w:snapToGrid w:val="0"/>
        <w:spacing w:before="50" w:after="120" w:afterLines="50" w:line="440" w:lineRule="exact"/>
        <w:jc w:val="left"/>
        <w:rPr>
          <w:rFonts w:ascii="宋体" w:hAnsi="宋体"/>
          <w:color w:val="auto"/>
          <w:szCs w:val="21"/>
        </w:rPr>
      </w:pPr>
      <w:r>
        <w:rPr>
          <w:rFonts w:ascii="宋体" w:hAnsi="宋体"/>
          <w:color w:val="auto"/>
          <w:szCs w:val="21"/>
        </w:rPr>
        <w:t>注：在填写时，如本表格不适合供应商的实际情况，可根据本表格式自行划表填写。</w:t>
      </w:r>
    </w:p>
    <w:p w14:paraId="2A9E73C7">
      <w:pPr>
        <w:snapToGrid w:val="0"/>
        <w:spacing w:before="50" w:after="50" w:line="440" w:lineRule="exact"/>
        <w:rPr>
          <w:rFonts w:ascii="宋体" w:hAnsi="宋体"/>
          <w:color w:val="auto"/>
          <w:szCs w:val="21"/>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pacing w:val="20"/>
          <w:szCs w:val="21"/>
        </w:rPr>
        <w:t>：</w:t>
      </w:r>
      <w:r>
        <w:rPr>
          <w:rFonts w:ascii="宋体" w:hAnsi="宋体"/>
          <w:color w:val="auto"/>
          <w:spacing w:val="20"/>
          <w:szCs w:val="21"/>
          <w:u w:val="single"/>
        </w:rPr>
        <w:t xml:space="preserve">            </w:t>
      </w:r>
      <w:r>
        <w:rPr>
          <w:rFonts w:ascii="宋体" w:hAnsi="宋体"/>
          <w:color w:val="auto"/>
          <w:spacing w:val="20"/>
          <w:szCs w:val="21"/>
        </w:rPr>
        <w:t xml:space="preserve">              日  期：</w:t>
      </w:r>
      <w:r>
        <w:rPr>
          <w:rFonts w:ascii="宋体" w:hAnsi="宋体"/>
          <w:color w:val="auto"/>
          <w:spacing w:val="20"/>
          <w:szCs w:val="21"/>
          <w:u w:val="single"/>
        </w:rPr>
        <w:t xml:space="preserve">          </w:t>
      </w:r>
    </w:p>
    <w:p w14:paraId="73360CAA">
      <w:pPr>
        <w:rPr>
          <w:rFonts w:ascii="宋体" w:hAnsi="宋体"/>
          <w:color w:val="auto"/>
          <w:spacing w:val="20"/>
          <w:szCs w:val="21"/>
          <w:u w:val="single"/>
        </w:rPr>
      </w:pPr>
    </w:p>
    <w:p w14:paraId="0F262742">
      <w:pPr>
        <w:rPr>
          <w:rFonts w:ascii="宋体" w:hAnsi="宋体"/>
          <w:color w:val="auto"/>
          <w:szCs w:val="21"/>
        </w:rPr>
      </w:pPr>
    </w:p>
    <w:p w14:paraId="525CD7CD">
      <w:pPr>
        <w:rPr>
          <w:rFonts w:ascii="宋体" w:hAnsi="宋体"/>
          <w:color w:val="auto"/>
          <w:szCs w:val="21"/>
        </w:rPr>
      </w:pPr>
    </w:p>
    <w:p w14:paraId="5C020BE8">
      <w:pPr>
        <w:snapToGrid w:val="0"/>
        <w:spacing w:before="50" w:after="120" w:afterLines="50"/>
        <w:jc w:val="left"/>
        <w:rPr>
          <w:rFonts w:ascii="宋体" w:hAnsi="宋体"/>
          <w:color w:val="auto"/>
          <w:szCs w:val="21"/>
        </w:rPr>
      </w:pPr>
      <w:r>
        <w:rPr>
          <w:rFonts w:ascii="宋体" w:hAnsi="宋体"/>
          <w:color w:val="auto"/>
          <w:szCs w:val="21"/>
        </w:rPr>
        <w:t>5．企业管理体系认证或资质证明材料。</w:t>
      </w:r>
    </w:p>
    <w:p w14:paraId="531A3EFB">
      <w:pPr>
        <w:snapToGrid w:val="0"/>
        <w:spacing w:before="50" w:after="120" w:afterLines="50"/>
        <w:jc w:val="left"/>
        <w:rPr>
          <w:rFonts w:ascii="宋体" w:hAnsi="宋体"/>
          <w:color w:val="auto"/>
          <w:szCs w:val="21"/>
        </w:rPr>
      </w:pPr>
    </w:p>
    <w:p w14:paraId="4CD91E34">
      <w:pPr>
        <w:snapToGrid w:val="0"/>
        <w:spacing w:before="50" w:after="120" w:afterLines="50"/>
        <w:jc w:val="left"/>
        <w:rPr>
          <w:rFonts w:ascii="宋体" w:hAnsi="宋体"/>
          <w:color w:val="auto"/>
          <w:szCs w:val="21"/>
        </w:rPr>
      </w:pPr>
      <w:r>
        <w:rPr>
          <w:rFonts w:ascii="宋体" w:hAnsi="宋体"/>
          <w:color w:val="auto"/>
          <w:szCs w:val="21"/>
        </w:rPr>
        <w:t>6．技术服务、技术培训、售后服务的内容和措施。</w:t>
      </w:r>
    </w:p>
    <w:p w14:paraId="26CA276A">
      <w:pPr>
        <w:snapToGrid w:val="0"/>
        <w:spacing w:before="50" w:after="120" w:afterLines="50"/>
        <w:jc w:val="left"/>
        <w:rPr>
          <w:rFonts w:ascii="宋体" w:hAnsi="宋体"/>
          <w:color w:val="auto"/>
          <w:szCs w:val="21"/>
        </w:rPr>
      </w:pPr>
    </w:p>
    <w:p w14:paraId="73F5C4D3">
      <w:pPr>
        <w:snapToGrid w:val="0"/>
        <w:spacing w:before="50" w:after="120" w:afterLines="50"/>
        <w:jc w:val="left"/>
        <w:rPr>
          <w:rFonts w:ascii="宋体" w:hAnsi="宋体"/>
          <w:color w:val="auto"/>
          <w:szCs w:val="21"/>
        </w:rPr>
      </w:pPr>
      <w:r>
        <w:rPr>
          <w:rFonts w:ascii="宋体" w:hAnsi="宋体"/>
          <w:color w:val="auto"/>
          <w:szCs w:val="21"/>
        </w:rPr>
        <w:t>7．为本项目提供的其他优惠服务。</w:t>
      </w:r>
    </w:p>
    <w:p w14:paraId="5864ABA4">
      <w:pPr>
        <w:snapToGrid w:val="0"/>
        <w:spacing w:before="50" w:after="120" w:afterLines="50"/>
        <w:jc w:val="left"/>
        <w:rPr>
          <w:rFonts w:ascii="宋体" w:hAnsi="宋体"/>
          <w:color w:val="auto"/>
          <w:szCs w:val="21"/>
        </w:rPr>
      </w:pPr>
    </w:p>
    <w:p w14:paraId="3A46A840">
      <w:pPr>
        <w:snapToGrid w:val="0"/>
        <w:spacing w:before="50" w:after="120" w:afterLines="50"/>
        <w:jc w:val="left"/>
        <w:rPr>
          <w:rFonts w:ascii="宋体" w:hAnsi="宋体"/>
          <w:color w:val="auto"/>
          <w:szCs w:val="21"/>
        </w:rPr>
      </w:pPr>
      <w:r>
        <w:rPr>
          <w:rFonts w:ascii="宋体" w:hAnsi="宋体"/>
          <w:color w:val="auto"/>
          <w:szCs w:val="21"/>
        </w:rPr>
        <w:t>8. 供应商对本项目的合理化建议和改进措施。</w:t>
      </w:r>
    </w:p>
    <w:p w14:paraId="100E80FD">
      <w:pPr>
        <w:snapToGrid w:val="0"/>
        <w:spacing w:before="50" w:after="120" w:afterLines="50"/>
        <w:jc w:val="left"/>
        <w:rPr>
          <w:rFonts w:ascii="宋体" w:hAnsi="宋体"/>
          <w:color w:val="auto"/>
          <w:szCs w:val="21"/>
        </w:rPr>
      </w:pPr>
    </w:p>
    <w:p w14:paraId="08EAB71F">
      <w:pPr>
        <w:rPr>
          <w:rFonts w:ascii="宋体" w:hAnsi="宋体"/>
          <w:color w:val="auto"/>
          <w:szCs w:val="21"/>
        </w:rPr>
      </w:pPr>
      <w:r>
        <w:rPr>
          <w:rFonts w:ascii="宋体" w:hAnsi="宋体"/>
          <w:color w:val="auto"/>
          <w:szCs w:val="21"/>
        </w:rPr>
        <w:t>9．供应商需要说明的其他文件和说明。</w:t>
      </w:r>
    </w:p>
    <w:p w14:paraId="613E01DE">
      <w:pPr>
        <w:snapToGrid w:val="0"/>
        <w:spacing w:before="50" w:after="120" w:afterLines="50" w:line="440" w:lineRule="exact"/>
        <w:rPr>
          <w:rFonts w:ascii="宋体" w:hAnsi="宋体"/>
          <w:color w:val="auto"/>
        </w:rPr>
      </w:pPr>
      <w:r>
        <w:rPr>
          <w:rFonts w:ascii="宋体" w:hAnsi="宋体"/>
          <w:color w:val="auto"/>
        </w:rPr>
        <w:br w:type="page"/>
      </w:r>
      <w:r>
        <w:rPr>
          <w:rFonts w:ascii="宋体" w:hAnsi="宋体"/>
          <w:color w:val="auto"/>
          <w:szCs w:val="21"/>
        </w:rPr>
        <w:t>10．</w:t>
      </w:r>
      <w:r>
        <w:rPr>
          <w:rFonts w:hint="eastAsia" w:ascii="宋体" w:hAnsi="宋体"/>
          <w:color w:val="auto"/>
          <w:szCs w:val="21"/>
        </w:rPr>
        <w:t>对</w:t>
      </w:r>
      <w:r>
        <w:rPr>
          <w:rFonts w:ascii="宋体" w:hAnsi="宋体"/>
          <w:color w:val="auto"/>
          <w:szCs w:val="21"/>
        </w:rPr>
        <w:t>本项目第</w:t>
      </w:r>
      <w:r>
        <w:rPr>
          <w:rFonts w:hint="eastAsia" w:ascii="宋体" w:hAnsi="宋体"/>
          <w:color w:val="auto"/>
          <w:szCs w:val="21"/>
        </w:rPr>
        <w:t>二</w:t>
      </w:r>
      <w:r>
        <w:rPr>
          <w:rFonts w:ascii="宋体" w:hAnsi="宋体"/>
          <w:color w:val="auto"/>
          <w:szCs w:val="21"/>
        </w:rPr>
        <w:t>章</w:t>
      </w:r>
      <w:r>
        <w:rPr>
          <w:rFonts w:hint="eastAsia" w:ascii="宋体" w:hAnsi="宋体"/>
          <w:color w:val="auto"/>
          <w:szCs w:val="21"/>
        </w:rPr>
        <w:t>《</w:t>
      </w:r>
      <w:r>
        <w:rPr>
          <w:rFonts w:ascii="宋体" w:hAnsi="宋体"/>
          <w:color w:val="auto"/>
          <w:szCs w:val="21"/>
        </w:rPr>
        <w:t>采购需求</w:t>
      </w:r>
      <w:r>
        <w:rPr>
          <w:rFonts w:hint="eastAsia" w:ascii="宋体" w:hAnsi="宋体"/>
          <w:color w:val="auto"/>
          <w:szCs w:val="21"/>
        </w:rPr>
        <w:t>》</w:t>
      </w:r>
      <w:r>
        <w:rPr>
          <w:rFonts w:ascii="宋体" w:hAnsi="宋体"/>
          <w:color w:val="auto"/>
          <w:szCs w:val="21"/>
        </w:rPr>
        <w:t>商务要求的</w:t>
      </w:r>
      <w:r>
        <w:rPr>
          <w:rFonts w:hint="eastAsia" w:ascii="宋体" w:hAnsi="宋体"/>
          <w:color w:val="auto"/>
          <w:szCs w:val="21"/>
        </w:rPr>
        <w:t>响应表</w:t>
      </w:r>
      <w:r>
        <w:rPr>
          <w:rFonts w:ascii="宋体" w:hAnsi="宋体"/>
          <w:color w:val="auto"/>
          <w:szCs w:val="21"/>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29F37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360455EF">
            <w:pPr>
              <w:snapToGrid w:val="0"/>
              <w:spacing w:before="120" w:beforeLines="50"/>
              <w:jc w:val="center"/>
              <w:rPr>
                <w:rFonts w:ascii="宋体" w:hAnsi="宋体"/>
                <w:color w:val="auto"/>
                <w:szCs w:val="21"/>
              </w:rPr>
            </w:pPr>
            <w:r>
              <w:rPr>
                <w:rFonts w:ascii="宋体" w:hAnsi="宋体"/>
                <w:color w:val="auto"/>
                <w:szCs w:val="21"/>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695B9B0F">
            <w:pPr>
              <w:snapToGrid w:val="0"/>
              <w:spacing w:before="120" w:beforeLines="50"/>
              <w:jc w:val="center"/>
              <w:rPr>
                <w:rFonts w:ascii="宋体" w:hAnsi="宋体"/>
                <w:color w:val="auto"/>
                <w:szCs w:val="21"/>
              </w:rPr>
            </w:pPr>
            <w:r>
              <w:rPr>
                <w:rFonts w:ascii="宋体" w:hAnsi="宋体"/>
                <w:color w:val="auto"/>
                <w:szCs w:val="21"/>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46D9FC92">
            <w:pPr>
              <w:snapToGrid w:val="0"/>
              <w:spacing w:before="120" w:beforeLines="50"/>
              <w:jc w:val="center"/>
              <w:rPr>
                <w:rFonts w:ascii="宋体" w:hAnsi="宋体"/>
                <w:color w:val="auto"/>
                <w:szCs w:val="21"/>
              </w:rPr>
            </w:pPr>
            <w:r>
              <w:rPr>
                <w:rFonts w:ascii="宋体" w:hAnsi="宋体"/>
                <w:color w:val="auto"/>
                <w:szCs w:val="21"/>
              </w:rPr>
              <w:t>响应文件响应内容（</w:t>
            </w:r>
            <w:r>
              <w:rPr>
                <w:rFonts w:hint="eastAsia" w:ascii="宋体" w:hAnsi="宋体"/>
                <w:color w:val="auto"/>
                <w:szCs w:val="21"/>
              </w:rPr>
              <w:t>可</w:t>
            </w:r>
            <w:r>
              <w:rPr>
                <w:rFonts w:ascii="宋体" w:hAnsi="宋体"/>
                <w:color w:val="auto"/>
                <w:szCs w:val="21"/>
              </w:rPr>
              <w:t>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72AE82C0">
            <w:pPr>
              <w:snapToGrid w:val="0"/>
              <w:spacing w:before="120" w:beforeLines="50"/>
              <w:jc w:val="center"/>
              <w:rPr>
                <w:rFonts w:ascii="宋体" w:hAnsi="宋体"/>
                <w:color w:val="auto"/>
                <w:szCs w:val="21"/>
              </w:rPr>
            </w:pPr>
            <w:r>
              <w:rPr>
                <w:rFonts w:ascii="宋体" w:hAnsi="宋体"/>
                <w:color w:val="auto"/>
              </w:rPr>
              <w:t>偏离</w:t>
            </w:r>
            <w:r>
              <w:rPr>
                <w:rFonts w:ascii="宋体" w:hAnsi="宋体"/>
                <w:color w:val="auto"/>
                <w:szCs w:val="21"/>
              </w:rPr>
              <w:t>说明</w:t>
            </w:r>
          </w:p>
        </w:tc>
      </w:tr>
      <w:tr w14:paraId="72D807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32C0731">
            <w:pPr>
              <w:snapToGrid w:val="0"/>
              <w:spacing w:before="120" w:beforeLines="50"/>
              <w:jc w:val="center"/>
              <w:rPr>
                <w:rFonts w:ascii="宋体" w:hAnsi="宋体"/>
                <w:color w:val="auto"/>
                <w:szCs w:val="21"/>
              </w:rPr>
            </w:pPr>
          </w:p>
        </w:tc>
        <w:tc>
          <w:tcPr>
            <w:tcW w:w="3595" w:type="dxa"/>
            <w:tcBorders>
              <w:top w:val="single" w:color="auto" w:sz="4" w:space="0"/>
              <w:left w:val="single" w:color="auto" w:sz="4" w:space="0"/>
              <w:bottom w:val="single" w:color="auto" w:sz="4" w:space="0"/>
              <w:right w:val="single" w:color="auto" w:sz="4" w:space="0"/>
            </w:tcBorders>
            <w:vAlign w:val="center"/>
          </w:tcPr>
          <w:p w14:paraId="467EB159">
            <w:pPr>
              <w:snapToGrid w:val="0"/>
              <w:spacing w:before="120" w:beforeLines="50"/>
              <w:jc w:val="center"/>
              <w:rPr>
                <w:rFonts w:ascii="宋体" w:hAnsi="宋体"/>
                <w:color w:val="auto"/>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3DA4E0A2">
            <w:pPr>
              <w:snapToGrid w:val="0"/>
              <w:spacing w:before="120" w:beforeLines="50"/>
              <w:jc w:val="center"/>
              <w:rPr>
                <w:rFonts w:ascii="宋体" w:hAnsi="宋体"/>
                <w:color w:val="auto"/>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6B3C8F99">
            <w:pPr>
              <w:snapToGrid w:val="0"/>
              <w:spacing w:before="120" w:beforeLines="50"/>
              <w:jc w:val="center"/>
              <w:rPr>
                <w:rFonts w:ascii="宋体" w:hAnsi="宋体"/>
                <w:color w:val="auto"/>
                <w:szCs w:val="21"/>
              </w:rPr>
            </w:pPr>
          </w:p>
        </w:tc>
      </w:tr>
      <w:tr w14:paraId="5CCE7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B88714C">
            <w:pPr>
              <w:snapToGrid w:val="0"/>
              <w:spacing w:before="120" w:beforeLines="50"/>
              <w:jc w:val="center"/>
              <w:rPr>
                <w:rFonts w:ascii="宋体" w:hAnsi="宋体"/>
                <w:color w:val="auto"/>
                <w:szCs w:val="21"/>
              </w:rPr>
            </w:pPr>
            <w:r>
              <w:rPr>
                <w:rFonts w:ascii="宋体" w:hAnsi="宋体"/>
                <w:color w:val="auto"/>
                <w:szCs w:val="21"/>
              </w:rPr>
              <w:t>……</w:t>
            </w:r>
          </w:p>
        </w:tc>
        <w:tc>
          <w:tcPr>
            <w:tcW w:w="3595" w:type="dxa"/>
            <w:tcBorders>
              <w:top w:val="single" w:color="auto" w:sz="4" w:space="0"/>
              <w:left w:val="single" w:color="auto" w:sz="4" w:space="0"/>
              <w:bottom w:val="single" w:color="auto" w:sz="4" w:space="0"/>
              <w:right w:val="single" w:color="auto" w:sz="4" w:space="0"/>
            </w:tcBorders>
            <w:vAlign w:val="center"/>
          </w:tcPr>
          <w:p w14:paraId="7ED7CBE2">
            <w:pPr>
              <w:snapToGrid w:val="0"/>
              <w:spacing w:before="120" w:beforeLines="50"/>
              <w:jc w:val="center"/>
              <w:rPr>
                <w:rFonts w:ascii="宋体" w:hAnsi="宋体"/>
                <w:color w:val="auto"/>
                <w:szCs w:val="21"/>
              </w:rPr>
            </w:pPr>
          </w:p>
        </w:tc>
        <w:tc>
          <w:tcPr>
            <w:tcW w:w="3405" w:type="dxa"/>
            <w:tcBorders>
              <w:top w:val="single" w:color="auto" w:sz="4" w:space="0"/>
              <w:left w:val="single" w:color="auto" w:sz="4" w:space="0"/>
              <w:bottom w:val="single" w:color="auto" w:sz="4" w:space="0"/>
              <w:right w:val="single" w:color="auto" w:sz="4" w:space="0"/>
            </w:tcBorders>
            <w:vAlign w:val="center"/>
          </w:tcPr>
          <w:p w14:paraId="21FCE52B">
            <w:pPr>
              <w:snapToGrid w:val="0"/>
              <w:spacing w:before="120" w:beforeLines="50"/>
              <w:jc w:val="center"/>
              <w:rPr>
                <w:rFonts w:ascii="宋体" w:hAnsi="宋体"/>
                <w:color w:val="auto"/>
                <w:szCs w:val="21"/>
              </w:rPr>
            </w:pPr>
          </w:p>
        </w:tc>
        <w:tc>
          <w:tcPr>
            <w:tcW w:w="1082" w:type="dxa"/>
            <w:tcBorders>
              <w:top w:val="single" w:color="auto" w:sz="4" w:space="0"/>
              <w:left w:val="single" w:color="auto" w:sz="4" w:space="0"/>
              <w:bottom w:val="single" w:color="auto" w:sz="4" w:space="0"/>
              <w:right w:val="single" w:color="auto" w:sz="4" w:space="0"/>
            </w:tcBorders>
            <w:vAlign w:val="center"/>
          </w:tcPr>
          <w:p w14:paraId="58C60371">
            <w:pPr>
              <w:snapToGrid w:val="0"/>
              <w:spacing w:before="120" w:beforeLines="50"/>
              <w:jc w:val="center"/>
              <w:rPr>
                <w:rFonts w:ascii="宋体" w:hAnsi="宋体"/>
                <w:color w:val="auto"/>
                <w:szCs w:val="21"/>
              </w:rPr>
            </w:pPr>
          </w:p>
        </w:tc>
      </w:tr>
    </w:tbl>
    <w:p w14:paraId="64BC61D0">
      <w:pPr>
        <w:pStyle w:val="26"/>
        <w:tabs>
          <w:tab w:val="left" w:pos="2127"/>
        </w:tabs>
        <w:spacing w:line="340" w:lineRule="exact"/>
        <w:ind w:firstLine="420" w:firstLineChars="200"/>
        <w:jc w:val="left"/>
        <w:rPr>
          <w:rFonts w:hAnsi="宋体" w:cs="Times New Roman"/>
          <w:color w:val="auto"/>
        </w:rPr>
      </w:pPr>
      <w:bookmarkStart w:id="99" w:name="_Hlk48144603"/>
      <w:r>
        <w:rPr>
          <w:rFonts w:hAnsi="宋体" w:cs="Times New Roman"/>
          <w:color w:val="auto"/>
        </w:rPr>
        <w:t>注：</w:t>
      </w:r>
      <w:bookmarkStart w:id="100" w:name="_Hlk19049081"/>
      <w:r>
        <w:rPr>
          <w:rFonts w:hAnsi="宋体" w:cs="Times New Roman"/>
          <w:color w:val="auto"/>
        </w:rPr>
        <w:t>（1）本表应对采购文件</w:t>
      </w:r>
      <w:r>
        <w:rPr>
          <w:rFonts w:hAnsi="宋体"/>
          <w:color w:val="auto"/>
        </w:rPr>
        <w:t>第</w:t>
      </w:r>
      <w:r>
        <w:rPr>
          <w:rFonts w:hint="eastAsia" w:hAnsi="宋体"/>
          <w:color w:val="auto"/>
        </w:rPr>
        <w:t>二</w:t>
      </w:r>
      <w:r>
        <w:rPr>
          <w:rFonts w:hAnsi="宋体"/>
          <w:color w:val="auto"/>
        </w:rPr>
        <w:t>章</w:t>
      </w:r>
      <w:r>
        <w:rPr>
          <w:rFonts w:hint="eastAsia" w:hAnsi="宋体"/>
          <w:color w:val="auto"/>
        </w:rPr>
        <w:t>《采购需求》</w:t>
      </w:r>
      <w:r>
        <w:rPr>
          <w:rFonts w:hAnsi="宋体" w:cs="Times New Roman"/>
          <w:color w:val="auto"/>
        </w:rPr>
        <w:t>中所列商务要求进行响应，并根据响应情况在“偏离说明”栏填写正偏离或负偏离及原因，完全符合的填写</w:t>
      </w:r>
      <w:r>
        <w:rPr>
          <w:rFonts w:hint="eastAsia" w:hAnsi="宋体" w:cs="Times New Roman"/>
          <w:color w:val="auto"/>
        </w:rPr>
        <w:t>“</w:t>
      </w:r>
      <w:r>
        <w:rPr>
          <w:rFonts w:hAnsi="宋体" w:cs="Times New Roman"/>
          <w:color w:val="auto"/>
        </w:rPr>
        <w:t>无偏离</w:t>
      </w:r>
      <w:r>
        <w:rPr>
          <w:rFonts w:hint="eastAsia" w:hAnsi="宋体" w:cs="Times New Roman"/>
          <w:color w:val="auto"/>
        </w:rPr>
        <w:t>”</w:t>
      </w:r>
      <w:r>
        <w:rPr>
          <w:rFonts w:hAnsi="宋体" w:cs="Times New Roman"/>
          <w:color w:val="auto"/>
        </w:rPr>
        <w:t>。</w:t>
      </w:r>
    </w:p>
    <w:p w14:paraId="1ADF5890">
      <w:pPr>
        <w:pStyle w:val="26"/>
        <w:tabs>
          <w:tab w:val="left" w:pos="2127"/>
        </w:tabs>
        <w:spacing w:line="340" w:lineRule="exact"/>
        <w:ind w:firstLine="420" w:firstLineChars="200"/>
        <w:jc w:val="left"/>
        <w:rPr>
          <w:rFonts w:hAnsi="宋体" w:cs="Times New Roman"/>
          <w:color w:val="auto"/>
        </w:rPr>
      </w:pPr>
      <w:r>
        <w:rPr>
          <w:rFonts w:hint="eastAsia" w:hAnsi="宋体" w:cs="Times New Roman"/>
          <w:color w:val="auto"/>
        </w:rPr>
        <w:t>（2）</w:t>
      </w:r>
      <w:r>
        <w:rPr>
          <w:rFonts w:hAnsi="宋体"/>
          <w:color w:val="auto"/>
        </w:rPr>
        <w:t>第</w:t>
      </w:r>
      <w:r>
        <w:rPr>
          <w:rFonts w:hint="eastAsia" w:hAnsi="宋体"/>
          <w:color w:val="auto"/>
        </w:rPr>
        <w:t>二</w:t>
      </w:r>
      <w:r>
        <w:rPr>
          <w:rFonts w:hAnsi="宋体"/>
          <w:color w:val="auto"/>
        </w:rPr>
        <w:t>章</w:t>
      </w:r>
      <w:r>
        <w:rPr>
          <w:rFonts w:hint="eastAsia" w:hAnsi="宋体"/>
          <w:color w:val="auto"/>
        </w:rPr>
        <w:t>《采购需求》</w:t>
      </w:r>
      <w:r>
        <w:rPr>
          <w:rFonts w:hint="eastAsia" w:hAnsi="宋体" w:cs="Times New Roman"/>
          <w:color w:val="auto"/>
        </w:rPr>
        <w:t>中的总体要求无需响应。</w:t>
      </w:r>
    </w:p>
    <w:p w14:paraId="63569CBA">
      <w:pPr>
        <w:ind w:firstLine="420" w:firstLineChars="200"/>
        <w:rPr>
          <w:rFonts w:ascii="宋体" w:hAnsi="宋体"/>
          <w:color w:val="auto"/>
        </w:rPr>
      </w:pPr>
      <w:r>
        <w:rPr>
          <w:rFonts w:hint="eastAsia" w:ascii="宋体" w:hAnsi="宋体"/>
          <w:color w:val="auto"/>
        </w:rPr>
        <w:t>（</w:t>
      </w:r>
      <w:r>
        <w:rPr>
          <w:rFonts w:ascii="宋体" w:hAnsi="宋体"/>
          <w:color w:val="auto"/>
        </w:rPr>
        <w:t>3</w:t>
      </w:r>
      <w:r>
        <w:rPr>
          <w:rFonts w:hint="eastAsia" w:ascii="宋体" w:hAnsi="宋体"/>
          <w:color w:val="auto"/>
        </w:rPr>
        <w:t>）偏离认定说明详见评审方法及标准。</w:t>
      </w:r>
    </w:p>
    <w:bookmarkEnd w:id="100"/>
    <w:p w14:paraId="0CE85AAD">
      <w:pPr>
        <w:pStyle w:val="26"/>
        <w:tabs>
          <w:tab w:val="left" w:pos="2127"/>
        </w:tabs>
        <w:spacing w:line="340" w:lineRule="exact"/>
        <w:ind w:firstLine="420" w:firstLineChars="200"/>
        <w:jc w:val="left"/>
        <w:rPr>
          <w:rFonts w:hAnsi="宋体" w:cs="Times New Roman"/>
          <w:color w:val="auto"/>
        </w:rPr>
      </w:pPr>
      <w:r>
        <w:rPr>
          <w:rFonts w:hAnsi="宋体" w:cs="Times New Roman"/>
          <w:color w:val="auto"/>
        </w:rPr>
        <w:t>（4）本表可扩展。</w:t>
      </w:r>
    </w:p>
    <w:bookmarkEnd w:id="99"/>
    <w:p w14:paraId="754D076C">
      <w:pPr>
        <w:snapToGrid w:val="0"/>
        <w:spacing w:before="50" w:after="120" w:afterLines="50" w:line="440" w:lineRule="exact"/>
        <w:jc w:val="left"/>
        <w:rPr>
          <w:rFonts w:ascii="宋体" w:hAnsi="宋体"/>
          <w:color w:val="auto"/>
          <w:spacing w:val="20"/>
          <w:szCs w:val="21"/>
          <w:u w:val="single"/>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pacing w:val="20"/>
          <w:szCs w:val="21"/>
        </w:rPr>
        <w:t>：</w:t>
      </w:r>
      <w:r>
        <w:rPr>
          <w:rFonts w:ascii="宋体" w:hAnsi="宋体"/>
          <w:color w:val="auto"/>
          <w:spacing w:val="20"/>
          <w:szCs w:val="21"/>
          <w:u w:val="single"/>
        </w:rPr>
        <w:t xml:space="preserve">            </w:t>
      </w:r>
      <w:r>
        <w:rPr>
          <w:rFonts w:ascii="宋体" w:hAnsi="宋体"/>
          <w:color w:val="auto"/>
          <w:spacing w:val="20"/>
          <w:szCs w:val="21"/>
        </w:rPr>
        <w:t xml:space="preserve">             日  期：</w:t>
      </w:r>
      <w:r>
        <w:rPr>
          <w:rFonts w:ascii="宋体" w:hAnsi="宋体"/>
          <w:color w:val="auto"/>
          <w:spacing w:val="20"/>
          <w:szCs w:val="21"/>
          <w:u w:val="single"/>
        </w:rPr>
        <w:t xml:space="preserve">        </w:t>
      </w:r>
    </w:p>
    <w:p w14:paraId="35ADBA36">
      <w:pPr>
        <w:snapToGrid w:val="0"/>
        <w:spacing w:before="50" w:after="120" w:afterLines="50" w:line="440" w:lineRule="exact"/>
        <w:jc w:val="left"/>
        <w:rPr>
          <w:rFonts w:ascii="宋体" w:hAnsi="宋体"/>
          <w:color w:val="auto"/>
          <w:spacing w:val="20"/>
          <w:szCs w:val="21"/>
          <w:u w:val="single"/>
        </w:rPr>
      </w:pPr>
    </w:p>
    <w:p w14:paraId="0F4BD5A9">
      <w:pPr>
        <w:pStyle w:val="26"/>
        <w:tabs>
          <w:tab w:val="left" w:pos="2127"/>
        </w:tabs>
        <w:spacing w:line="340" w:lineRule="exact"/>
        <w:ind w:firstLine="420" w:firstLineChars="200"/>
        <w:jc w:val="left"/>
        <w:rPr>
          <w:rFonts w:hAnsi="宋体" w:cs="Times New Roman"/>
          <w:color w:val="auto"/>
        </w:rPr>
      </w:pPr>
    </w:p>
    <w:p w14:paraId="57597E38">
      <w:pPr>
        <w:snapToGrid w:val="0"/>
        <w:spacing w:before="50" w:after="120" w:afterLines="50" w:line="440" w:lineRule="exact"/>
        <w:jc w:val="left"/>
        <w:rPr>
          <w:rFonts w:ascii="宋体" w:hAnsi="宋体"/>
          <w:color w:val="auto"/>
          <w:szCs w:val="21"/>
        </w:rPr>
      </w:pPr>
      <w:r>
        <w:rPr>
          <w:rFonts w:ascii="宋体" w:hAnsi="宋体"/>
          <w:color w:val="auto"/>
          <w:szCs w:val="21"/>
        </w:rPr>
        <w:t>11．商务方案（供应商自行编写）</w:t>
      </w:r>
    </w:p>
    <w:p w14:paraId="1D8288C4">
      <w:pPr>
        <w:snapToGrid w:val="0"/>
        <w:spacing w:before="50" w:after="120" w:afterLines="50" w:line="440" w:lineRule="exact"/>
        <w:jc w:val="left"/>
        <w:rPr>
          <w:rFonts w:ascii="宋体" w:hAnsi="宋体"/>
          <w:color w:val="auto"/>
          <w:szCs w:val="21"/>
        </w:rPr>
      </w:pPr>
    </w:p>
    <w:p w14:paraId="76DC10BF">
      <w:pPr>
        <w:snapToGrid w:val="0"/>
        <w:spacing w:before="50" w:after="120" w:afterLines="50"/>
        <w:jc w:val="left"/>
        <w:rPr>
          <w:rFonts w:ascii="宋体" w:hAnsi="宋体"/>
          <w:color w:val="auto"/>
          <w:szCs w:val="21"/>
        </w:rPr>
      </w:pPr>
      <w:r>
        <w:rPr>
          <w:rFonts w:ascii="宋体" w:hAnsi="宋体"/>
          <w:color w:val="auto"/>
          <w:szCs w:val="21"/>
        </w:rPr>
        <w:t>12．供应商认为需提供的其他材料（根据采购文件编写）</w:t>
      </w:r>
    </w:p>
    <w:p w14:paraId="6FFA54C2">
      <w:pPr>
        <w:snapToGrid w:val="0"/>
        <w:spacing w:before="50"/>
        <w:jc w:val="left"/>
        <w:rPr>
          <w:rFonts w:ascii="宋体" w:hAnsi="宋体"/>
          <w:color w:val="auto"/>
          <w:szCs w:val="21"/>
        </w:rPr>
        <w:sectPr>
          <w:pgSz w:w="11906" w:h="16838"/>
          <w:pgMar w:top="1304" w:right="1418" w:bottom="1304" w:left="1418" w:header="851" w:footer="992" w:gutter="0"/>
          <w:cols w:space="720" w:num="1"/>
          <w:docGrid w:linePitch="312" w:charSpace="0"/>
        </w:sectPr>
      </w:pPr>
      <w:bookmarkStart w:id="101" w:name="_Hlk33625589"/>
    </w:p>
    <w:bookmarkEnd w:id="101"/>
    <w:p w14:paraId="3230D13F">
      <w:pPr>
        <w:snapToGrid w:val="0"/>
        <w:spacing w:before="50" w:after="120" w:afterLines="50"/>
        <w:jc w:val="left"/>
        <w:rPr>
          <w:rFonts w:ascii="宋体" w:hAnsi="宋体"/>
          <w:b/>
          <w:color w:val="auto"/>
          <w:szCs w:val="21"/>
        </w:rPr>
      </w:pPr>
      <w:r>
        <w:rPr>
          <w:rFonts w:ascii="宋体" w:hAnsi="宋体"/>
          <w:color w:val="auto"/>
          <w:szCs w:val="21"/>
        </w:rPr>
        <w:t>13．近年供应商类似成功案例的业绩证明</w:t>
      </w:r>
    </w:p>
    <w:p w14:paraId="0C23A386">
      <w:pPr>
        <w:snapToGrid w:val="0"/>
        <w:spacing w:before="50" w:after="120" w:afterLines="50"/>
        <w:jc w:val="center"/>
        <w:rPr>
          <w:rFonts w:ascii="宋体" w:hAnsi="宋体"/>
          <w:color w:val="auto"/>
          <w:szCs w:val="21"/>
        </w:rPr>
      </w:pPr>
      <w:r>
        <w:rPr>
          <w:rFonts w:ascii="宋体" w:hAnsi="宋体"/>
          <w:b/>
          <w:color w:val="auto"/>
          <w:szCs w:val="21"/>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06960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tcPr>
          <w:p w14:paraId="7BC51AC2">
            <w:pPr>
              <w:snapToGrid w:val="0"/>
              <w:spacing w:line="240" w:lineRule="exact"/>
              <w:jc w:val="center"/>
              <w:rPr>
                <w:rFonts w:ascii="宋体" w:hAnsi="宋体"/>
                <w:color w:val="auto"/>
                <w:szCs w:val="21"/>
              </w:rPr>
            </w:pPr>
          </w:p>
          <w:p w14:paraId="12E5F2FB">
            <w:pPr>
              <w:snapToGrid w:val="0"/>
              <w:spacing w:line="240" w:lineRule="exact"/>
              <w:jc w:val="center"/>
              <w:rPr>
                <w:rFonts w:ascii="宋体" w:hAnsi="宋体"/>
                <w:color w:val="auto"/>
                <w:szCs w:val="21"/>
              </w:rPr>
            </w:pPr>
          </w:p>
          <w:p w14:paraId="78157A6A">
            <w:pPr>
              <w:snapToGrid w:val="0"/>
              <w:spacing w:line="240" w:lineRule="exact"/>
              <w:jc w:val="center"/>
              <w:rPr>
                <w:rFonts w:ascii="宋体" w:hAnsi="宋体"/>
                <w:color w:val="auto"/>
                <w:szCs w:val="21"/>
              </w:rPr>
            </w:pPr>
            <w:r>
              <w:rPr>
                <w:rFonts w:hint="eastAsia" w:ascii="宋体" w:hAnsi="宋体"/>
                <w:color w:val="auto"/>
                <w:szCs w:val="21"/>
              </w:rPr>
              <w:t>序号</w:t>
            </w:r>
          </w:p>
        </w:tc>
        <w:tc>
          <w:tcPr>
            <w:tcW w:w="3862" w:type="dxa"/>
            <w:tcBorders>
              <w:top w:val="single" w:color="auto" w:sz="4" w:space="0"/>
              <w:left w:val="single" w:color="auto" w:sz="4" w:space="0"/>
              <w:bottom w:val="single" w:color="auto" w:sz="4" w:space="0"/>
              <w:right w:val="single" w:color="auto" w:sz="4" w:space="0"/>
            </w:tcBorders>
            <w:vAlign w:val="center"/>
          </w:tcPr>
          <w:p w14:paraId="3FEA54ED">
            <w:pPr>
              <w:snapToGrid w:val="0"/>
              <w:spacing w:line="240" w:lineRule="exact"/>
              <w:jc w:val="center"/>
              <w:rPr>
                <w:rFonts w:ascii="宋体" w:hAnsi="宋体"/>
                <w:color w:val="auto"/>
                <w:szCs w:val="21"/>
              </w:rPr>
            </w:pPr>
            <w:r>
              <w:rPr>
                <w:rFonts w:ascii="宋体" w:hAnsi="宋体"/>
                <w:color w:val="auto"/>
                <w:szCs w:val="21"/>
              </w:rPr>
              <w:t>采购单位名称</w:t>
            </w:r>
          </w:p>
        </w:tc>
        <w:tc>
          <w:tcPr>
            <w:tcW w:w="3269" w:type="dxa"/>
            <w:tcBorders>
              <w:top w:val="single" w:color="auto" w:sz="4" w:space="0"/>
              <w:left w:val="single" w:color="auto" w:sz="4" w:space="0"/>
              <w:bottom w:val="single" w:color="auto" w:sz="4" w:space="0"/>
              <w:right w:val="single" w:color="auto" w:sz="4" w:space="0"/>
            </w:tcBorders>
            <w:vAlign w:val="center"/>
          </w:tcPr>
          <w:p w14:paraId="4BB11E71">
            <w:pPr>
              <w:snapToGrid w:val="0"/>
              <w:spacing w:line="240" w:lineRule="exact"/>
              <w:jc w:val="center"/>
              <w:rPr>
                <w:rFonts w:ascii="宋体" w:hAnsi="宋体"/>
                <w:color w:val="auto"/>
                <w:szCs w:val="21"/>
              </w:rPr>
            </w:pPr>
            <w:r>
              <w:rPr>
                <w:rFonts w:ascii="宋体" w:hAnsi="宋体"/>
                <w:color w:val="auto"/>
                <w:szCs w:val="21"/>
              </w:rPr>
              <w:t>项目名称或服务内容</w:t>
            </w:r>
          </w:p>
        </w:tc>
        <w:tc>
          <w:tcPr>
            <w:tcW w:w="1031" w:type="dxa"/>
            <w:tcBorders>
              <w:top w:val="single" w:color="auto" w:sz="4" w:space="0"/>
              <w:left w:val="single" w:color="auto" w:sz="4" w:space="0"/>
              <w:bottom w:val="single" w:color="auto" w:sz="4" w:space="0"/>
              <w:right w:val="single" w:color="auto" w:sz="4" w:space="0"/>
            </w:tcBorders>
            <w:vAlign w:val="center"/>
          </w:tcPr>
          <w:p w14:paraId="14715CE8">
            <w:pPr>
              <w:snapToGrid w:val="0"/>
              <w:spacing w:line="240" w:lineRule="exact"/>
              <w:jc w:val="center"/>
              <w:rPr>
                <w:rFonts w:ascii="宋体" w:hAnsi="宋体"/>
                <w:color w:val="auto"/>
                <w:szCs w:val="21"/>
              </w:rPr>
            </w:pPr>
            <w:r>
              <w:rPr>
                <w:rFonts w:ascii="宋体" w:hAnsi="宋体"/>
                <w:color w:val="auto"/>
                <w:szCs w:val="21"/>
              </w:rPr>
              <w:t>服务</w:t>
            </w:r>
          </w:p>
          <w:p w14:paraId="380AE042">
            <w:pPr>
              <w:snapToGrid w:val="0"/>
              <w:spacing w:line="240" w:lineRule="exact"/>
              <w:jc w:val="center"/>
              <w:rPr>
                <w:rFonts w:ascii="宋体" w:hAnsi="宋体"/>
                <w:color w:val="auto"/>
                <w:szCs w:val="21"/>
              </w:rPr>
            </w:pPr>
            <w:r>
              <w:rPr>
                <w:rFonts w:ascii="宋体" w:hAnsi="宋体"/>
                <w:color w:val="auto"/>
                <w:szCs w:val="21"/>
              </w:rPr>
              <w:t>数量或年限</w:t>
            </w:r>
          </w:p>
        </w:tc>
        <w:tc>
          <w:tcPr>
            <w:tcW w:w="1031" w:type="dxa"/>
            <w:tcBorders>
              <w:top w:val="single" w:color="auto" w:sz="4" w:space="0"/>
              <w:left w:val="single" w:color="auto" w:sz="4" w:space="0"/>
              <w:bottom w:val="single" w:color="auto" w:sz="4" w:space="0"/>
              <w:right w:val="single" w:color="auto" w:sz="4" w:space="0"/>
            </w:tcBorders>
            <w:vAlign w:val="center"/>
          </w:tcPr>
          <w:p w14:paraId="3BA679E8">
            <w:pPr>
              <w:snapToGrid w:val="0"/>
              <w:spacing w:line="240" w:lineRule="exact"/>
              <w:jc w:val="center"/>
              <w:rPr>
                <w:rFonts w:ascii="宋体" w:hAnsi="宋体"/>
                <w:color w:val="auto"/>
                <w:szCs w:val="21"/>
              </w:rPr>
            </w:pPr>
            <w:r>
              <w:rPr>
                <w:rFonts w:ascii="宋体" w:hAnsi="宋体"/>
                <w:color w:val="auto"/>
                <w:szCs w:val="21"/>
              </w:rPr>
              <w:t>单价</w:t>
            </w:r>
            <w:r>
              <w:rPr>
                <w:rFonts w:hint="eastAsia" w:ascii="宋体" w:hAnsi="宋体"/>
                <w:color w:val="auto"/>
                <w:szCs w:val="21"/>
              </w:rPr>
              <w:t>（元）</w:t>
            </w:r>
          </w:p>
        </w:tc>
        <w:tc>
          <w:tcPr>
            <w:tcW w:w="1376" w:type="dxa"/>
            <w:tcBorders>
              <w:top w:val="single" w:color="auto" w:sz="4" w:space="0"/>
              <w:left w:val="single" w:color="auto" w:sz="4" w:space="0"/>
              <w:bottom w:val="single" w:color="auto" w:sz="4" w:space="0"/>
              <w:right w:val="single" w:color="auto" w:sz="4" w:space="0"/>
            </w:tcBorders>
            <w:vAlign w:val="center"/>
          </w:tcPr>
          <w:p w14:paraId="6C0B78CA">
            <w:pPr>
              <w:snapToGrid w:val="0"/>
              <w:spacing w:line="240" w:lineRule="exact"/>
              <w:jc w:val="center"/>
              <w:rPr>
                <w:rFonts w:ascii="宋体" w:hAnsi="宋体"/>
                <w:color w:val="auto"/>
                <w:szCs w:val="21"/>
              </w:rPr>
            </w:pPr>
            <w:r>
              <w:rPr>
                <w:rFonts w:ascii="宋体" w:hAnsi="宋体"/>
                <w:color w:val="auto"/>
                <w:szCs w:val="21"/>
              </w:rPr>
              <w:t>合同</w:t>
            </w:r>
            <w:r>
              <w:rPr>
                <w:rFonts w:hint="eastAsia" w:ascii="宋体" w:hAnsi="宋体"/>
                <w:color w:val="auto"/>
                <w:szCs w:val="21"/>
              </w:rPr>
              <w:t>总价</w:t>
            </w:r>
          </w:p>
          <w:p w14:paraId="19FA295E">
            <w:pPr>
              <w:snapToGrid w:val="0"/>
              <w:spacing w:line="240" w:lineRule="exact"/>
              <w:jc w:val="center"/>
              <w:rPr>
                <w:rFonts w:ascii="宋体" w:hAnsi="宋体"/>
                <w:color w:val="auto"/>
                <w:szCs w:val="21"/>
              </w:rPr>
            </w:pPr>
            <w:r>
              <w:rPr>
                <w:rFonts w:ascii="宋体" w:hAnsi="宋体"/>
                <w:color w:val="auto"/>
                <w:szCs w:val="21"/>
              </w:rPr>
              <w:t>（元）</w:t>
            </w:r>
          </w:p>
        </w:tc>
        <w:tc>
          <w:tcPr>
            <w:tcW w:w="2063" w:type="dxa"/>
            <w:tcBorders>
              <w:top w:val="single" w:color="auto" w:sz="4" w:space="0"/>
              <w:left w:val="single" w:color="auto" w:sz="4" w:space="0"/>
              <w:bottom w:val="single" w:color="auto" w:sz="4" w:space="0"/>
              <w:right w:val="single" w:color="auto" w:sz="4" w:space="0"/>
            </w:tcBorders>
            <w:vAlign w:val="center"/>
          </w:tcPr>
          <w:p w14:paraId="54E91861">
            <w:pPr>
              <w:jc w:val="center"/>
              <w:rPr>
                <w:rFonts w:ascii="宋体" w:hAnsi="宋体"/>
                <w:color w:val="auto"/>
                <w:szCs w:val="21"/>
              </w:rPr>
            </w:pPr>
            <w:r>
              <w:rPr>
                <w:rFonts w:ascii="宋体" w:hAnsi="宋体"/>
                <w:color w:val="auto"/>
                <w:szCs w:val="21"/>
              </w:rPr>
              <w:t>采购单位联系人及联系电话</w:t>
            </w:r>
          </w:p>
        </w:tc>
      </w:tr>
      <w:tr w14:paraId="43460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tcPr>
          <w:p w14:paraId="1EAD5BCB">
            <w:pPr>
              <w:snapToGrid w:val="0"/>
              <w:spacing w:line="240" w:lineRule="exact"/>
              <w:jc w:val="left"/>
              <w:rPr>
                <w:rFonts w:ascii="宋体" w:hAnsi="宋体"/>
                <w:color w:val="auto"/>
                <w:szCs w:val="21"/>
              </w:rPr>
            </w:pPr>
          </w:p>
        </w:tc>
        <w:tc>
          <w:tcPr>
            <w:tcW w:w="3862" w:type="dxa"/>
            <w:tcBorders>
              <w:top w:val="single" w:color="auto" w:sz="4" w:space="0"/>
              <w:left w:val="single" w:color="auto" w:sz="4" w:space="0"/>
              <w:bottom w:val="single" w:color="auto" w:sz="4" w:space="0"/>
              <w:right w:val="single" w:color="auto" w:sz="4" w:space="0"/>
            </w:tcBorders>
          </w:tcPr>
          <w:p w14:paraId="5048AD24">
            <w:pPr>
              <w:snapToGrid w:val="0"/>
              <w:spacing w:line="240" w:lineRule="exact"/>
              <w:jc w:val="left"/>
              <w:rPr>
                <w:rFonts w:ascii="宋体" w:hAnsi="宋体"/>
                <w:color w:val="auto"/>
                <w:szCs w:val="21"/>
              </w:rPr>
            </w:pPr>
          </w:p>
        </w:tc>
        <w:tc>
          <w:tcPr>
            <w:tcW w:w="3269" w:type="dxa"/>
            <w:tcBorders>
              <w:top w:val="single" w:color="auto" w:sz="4" w:space="0"/>
              <w:left w:val="single" w:color="auto" w:sz="4" w:space="0"/>
              <w:bottom w:val="single" w:color="auto" w:sz="4" w:space="0"/>
              <w:right w:val="single" w:color="auto" w:sz="4" w:space="0"/>
            </w:tcBorders>
          </w:tcPr>
          <w:p w14:paraId="0CE8F42D">
            <w:pPr>
              <w:snapToGrid w:val="0"/>
              <w:spacing w:line="24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3DA8A00D">
            <w:pPr>
              <w:snapToGrid w:val="0"/>
              <w:spacing w:line="24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51351CB2">
            <w:pPr>
              <w:snapToGrid w:val="0"/>
              <w:spacing w:line="240" w:lineRule="exact"/>
              <w:jc w:val="left"/>
              <w:rPr>
                <w:rFonts w:ascii="宋体" w:hAnsi="宋体"/>
                <w:color w:val="auto"/>
                <w:szCs w:val="21"/>
              </w:rPr>
            </w:pPr>
          </w:p>
        </w:tc>
        <w:tc>
          <w:tcPr>
            <w:tcW w:w="1376" w:type="dxa"/>
            <w:tcBorders>
              <w:top w:val="single" w:color="auto" w:sz="4" w:space="0"/>
              <w:left w:val="single" w:color="auto" w:sz="4" w:space="0"/>
              <w:bottom w:val="single" w:color="auto" w:sz="4" w:space="0"/>
              <w:right w:val="single" w:color="auto" w:sz="4" w:space="0"/>
            </w:tcBorders>
          </w:tcPr>
          <w:p w14:paraId="7C4D34B7">
            <w:pPr>
              <w:snapToGrid w:val="0"/>
              <w:spacing w:line="240" w:lineRule="exact"/>
              <w:jc w:val="left"/>
              <w:rPr>
                <w:rFonts w:ascii="宋体" w:hAnsi="宋体"/>
                <w:color w:val="auto"/>
                <w:szCs w:val="21"/>
              </w:rPr>
            </w:pPr>
          </w:p>
        </w:tc>
        <w:tc>
          <w:tcPr>
            <w:tcW w:w="2063" w:type="dxa"/>
            <w:tcBorders>
              <w:top w:val="single" w:color="auto" w:sz="4" w:space="0"/>
              <w:left w:val="single" w:color="auto" w:sz="4" w:space="0"/>
              <w:bottom w:val="single" w:color="auto" w:sz="4" w:space="0"/>
              <w:right w:val="single" w:color="auto" w:sz="4" w:space="0"/>
            </w:tcBorders>
          </w:tcPr>
          <w:p w14:paraId="3C1988C5">
            <w:pPr>
              <w:snapToGrid w:val="0"/>
              <w:spacing w:line="240" w:lineRule="exact"/>
              <w:jc w:val="left"/>
              <w:rPr>
                <w:rFonts w:ascii="宋体" w:hAnsi="宋体"/>
                <w:color w:val="auto"/>
                <w:szCs w:val="21"/>
              </w:rPr>
            </w:pPr>
          </w:p>
        </w:tc>
      </w:tr>
      <w:tr w14:paraId="31C6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5E32EB48">
            <w:pPr>
              <w:snapToGrid w:val="0"/>
              <w:spacing w:before="50" w:after="120" w:afterLines="50" w:line="400" w:lineRule="exact"/>
              <w:jc w:val="left"/>
              <w:rPr>
                <w:rFonts w:ascii="宋体" w:hAnsi="宋体"/>
                <w:color w:val="auto"/>
                <w:szCs w:val="21"/>
              </w:rPr>
            </w:pPr>
          </w:p>
        </w:tc>
        <w:tc>
          <w:tcPr>
            <w:tcW w:w="3862" w:type="dxa"/>
            <w:tcBorders>
              <w:top w:val="single" w:color="auto" w:sz="4" w:space="0"/>
              <w:left w:val="single" w:color="auto" w:sz="4" w:space="0"/>
              <w:bottom w:val="single" w:color="auto" w:sz="4" w:space="0"/>
              <w:right w:val="single" w:color="auto" w:sz="4" w:space="0"/>
            </w:tcBorders>
          </w:tcPr>
          <w:p w14:paraId="6296F07E">
            <w:pPr>
              <w:snapToGrid w:val="0"/>
              <w:spacing w:before="50" w:after="120" w:afterLines="50" w:line="400" w:lineRule="exact"/>
              <w:jc w:val="left"/>
              <w:rPr>
                <w:rFonts w:ascii="宋体" w:hAnsi="宋体"/>
                <w:color w:val="auto"/>
                <w:szCs w:val="21"/>
              </w:rPr>
            </w:pPr>
          </w:p>
        </w:tc>
        <w:tc>
          <w:tcPr>
            <w:tcW w:w="3269" w:type="dxa"/>
            <w:tcBorders>
              <w:top w:val="single" w:color="auto" w:sz="4" w:space="0"/>
              <w:left w:val="single" w:color="auto" w:sz="4" w:space="0"/>
              <w:bottom w:val="single" w:color="auto" w:sz="4" w:space="0"/>
              <w:right w:val="single" w:color="auto" w:sz="4" w:space="0"/>
            </w:tcBorders>
          </w:tcPr>
          <w:p w14:paraId="3D8EFDF5">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6AA2BF50">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41937D0C">
            <w:pPr>
              <w:snapToGrid w:val="0"/>
              <w:spacing w:before="50" w:after="120" w:afterLines="50" w:line="400" w:lineRule="exact"/>
              <w:jc w:val="left"/>
              <w:rPr>
                <w:rFonts w:ascii="宋体" w:hAnsi="宋体"/>
                <w:color w:val="auto"/>
                <w:szCs w:val="21"/>
              </w:rPr>
            </w:pPr>
          </w:p>
        </w:tc>
        <w:tc>
          <w:tcPr>
            <w:tcW w:w="1376" w:type="dxa"/>
            <w:tcBorders>
              <w:top w:val="single" w:color="auto" w:sz="4" w:space="0"/>
              <w:left w:val="single" w:color="auto" w:sz="4" w:space="0"/>
              <w:bottom w:val="single" w:color="auto" w:sz="4" w:space="0"/>
              <w:right w:val="single" w:color="auto" w:sz="4" w:space="0"/>
            </w:tcBorders>
          </w:tcPr>
          <w:p w14:paraId="7B72D64E">
            <w:pPr>
              <w:snapToGrid w:val="0"/>
              <w:spacing w:before="50" w:after="120" w:afterLines="50" w:line="400" w:lineRule="exact"/>
              <w:jc w:val="left"/>
              <w:rPr>
                <w:rFonts w:ascii="宋体" w:hAnsi="宋体"/>
                <w:color w:val="auto"/>
                <w:szCs w:val="21"/>
              </w:rPr>
            </w:pPr>
          </w:p>
        </w:tc>
        <w:tc>
          <w:tcPr>
            <w:tcW w:w="2063" w:type="dxa"/>
            <w:tcBorders>
              <w:top w:val="single" w:color="auto" w:sz="4" w:space="0"/>
              <w:left w:val="single" w:color="auto" w:sz="4" w:space="0"/>
              <w:bottom w:val="single" w:color="auto" w:sz="4" w:space="0"/>
              <w:right w:val="single" w:color="auto" w:sz="4" w:space="0"/>
            </w:tcBorders>
          </w:tcPr>
          <w:p w14:paraId="25824A05">
            <w:pPr>
              <w:snapToGrid w:val="0"/>
              <w:spacing w:before="50" w:after="120" w:afterLines="50" w:line="400" w:lineRule="exact"/>
              <w:jc w:val="left"/>
              <w:rPr>
                <w:rFonts w:ascii="宋体" w:hAnsi="宋体"/>
                <w:color w:val="auto"/>
                <w:szCs w:val="21"/>
              </w:rPr>
            </w:pPr>
          </w:p>
        </w:tc>
      </w:tr>
      <w:tr w14:paraId="78656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tcPr>
          <w:p w14:paraId="2EF82D91">
            <w:pPr>
              <w:snapToGrid w:val="0"/>
              <w:spacing w:before="50" w:after="120" w:afterLines="50" w:line="400" w:lineRule="exact"/>
              <w:jc w:val="left"/>
              <w:rPr>
                <w:rFonts w:ascii="宋体" w:hAnsi="宋体"/>
                <w:color w:val="auto"/>
                <w:szCs w:val="21"/>
              </w:rPr>
            </w:pPr>
          </w:p>
        </w:tc>
        <w:tc>
          <w:tcPr>
            <w:tcW w:w="3862" w:type="dxa"/>
            <w:tcBorders>
              <w:top w:val="single" w:color="auto" w:sz="4" w:space="0"/>
              <w:left w:val="single" w:color="auto" w:sz="4" w:space="0"/>
              <w:bottom w:val="single" w:color="auto" w:sz="4" w:space="0"/>
              <w:right w:val="single" w:color="auto" w:sz="4" w:space="0"/>
            </w:tcBorders>
          </w:tcPr>
          <w:p w14:paraId="16409055">
            <w:pPr>
              <w:snapToGrid w:val="0"/>
              <w:spacing w:before="50" w:after="120" w:afterLines="50" w:line="400" w:lineRule="exact"/>
              <w:jc w:val="left"/>
              <w:rPr>
                <w:rFonts w:ascii="宋体" w:hAnsi="宋体"/>
                <w:color w:val="auto"/>
                <w:szCs w:val="21"/>
              </w:rPr>
            </w:pPr>
          </w:p>
        </w:tc>
        <w:tc>
          <w:tcPr>
            <w:tcW w:w="3269" w:type="dxa"/>
            <w:tcBorders>
              <w:top w:val="single" w:color="auto" w:sz="4" w:space="0"/>
              <w:left w:val="single" w:color="auto" w:sz="4" w:space="0"/>
              <w:bottom w:val="single" w:color="auto" w:sz="4" w:space="0"/>
              <w:right w:val="single" w:color="auto" w:sz="4" w:space="0"/>
            </w:tcBorders>
          </w:tcPr>
          <w:p w14:paraId="53B034ED">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6ED3A1CD">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42AE692B">
            <w:pPr>
              <w:snapToGrid w:val="0"/>
              <w:spacing w:before="50" w:after="120" w:afterLines="50" w:line="400" w:lineRule="exact"/>
              <w:jc w:val="left"/>
              <w:rPr>
                <w:rFonts w:ascii="宋体" w:hAnsi="宋体"/>
                <w:color w:val="auto"/>
                <w:szCs w:val="21"/>
              </w:rPr>
            </w:pPr>
          </w:p>
        </w:tc>
        <w:tc>
          <w:tcPr>
            <w:tcW w:w="1376" w:type="dxa"/>
            <w:tcBorders>
              <w:top w:val="single" w:color="auto" w:sz="4" w:space="0"/>
              <w:left w:val="single" w:color="auto" w:sz="4" w:space="0"/>
              <w:bottom w:val="single" w:color="auto" w:sz="4" w:space="0"/>
              <w:right w:val="single" w:color="auto" w:sz="4" w:space="0"/>
            </w:tcBorders>
          </w:tcPr>
          <w:p w14:paraId="3F3C1AD7">
            <w:pPr>
              <w:snapToGrid w:val="0"/>
              <w:spacing w:before="50" w:after="120" w:afterLines="50" w:line="400" w:lineRule="exact"/>
              <w:jc w:val="left"/>
              <w:rPr>
                <w:rFonts w:ascii="宋体" w:hAnsi="宋体"/>
                <w:color w:val="auto"/>
                <w:szCs w:val="21"/>
              </w:rPr>
            </w:pPr>
          </w:p>
        </w:tc>
        <w:tc>
          <w:tcPr>
            <w:tcW w:w="2063" w:type="dxa"/>
            <w:tcBorders>
              <w:top w:val="single" w:color="auto" w:sz="4" w:space="0"/>
              <w:left w:val="single" w:color="auto" w:sz="4" w:space="0"/>
              <w:bottom w:val="single" w:color="auto" w:sz="4" w:space="0"/>
              <w:right w:val="single" w:color="auto" w:sz="4" w:space="0"/>
            </w:tcBorders>
          </w:tcPr>
          <w:p w14:paraId="70A0E522">
            <w:pPr>
              <w:snapToGrid w:val="0"/>
              <w:spacing w:before="50" w:after="120" w:afterLines="50" w:line="400" w:lineRule="exact"/>
              <w:jc w:val="left"/>
              <w:rPr>
                <w:rFonts w:ascii="宋体" w:hAnsi="宋体"/>
                <w:color w:val="auto"/>
                <w:szCs w:val="21"/>
              </w:rPr>
            </w:pPr>
          </w:p>
        </w:tc>
      </w:tr>
      <w:tr w14:paraId="771F4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2F440310">
            <w:pPr>
              <w:snapToGrid w:val="0"/>
              <w:spacing w:before="50" w:after="120" w:afterLines="50" w:line="400" w:lineRule="exact"/>
              <w:jc w:val="left"/>
              <w:rPr>
                <w:rFonts w:ascii="宋体" w:hAnsi="宋体"/>
                <w:color w:val="auto"/>
                <w:szCs w:val="21"/>
              </w:rPr>
            </w:pPr>
          </w:p>
        </w:tc>
        <w:tc>
          <w:tcPr>
            <w:tcW w:w="3862" w:type="dxa"/>
            <w:tcBorders>
              <w:top w:val="single" w:color="auto" w:sz="4" w:space="0"/>
              <w:left w:val="single" w:color="auto" w:sz="4" w:space="0"/>
              <w:bottom w:val="single" w:color="auto" w:sz="4" w:space="0"/>
              <w:right w:val="single" w:color="auto" w:sz="4" w:space="0"/>
            </w:tcBorders>
          </w:tcPr>
          <w:p w14:paraId="32D6A762">
            <w:pPr>
              <w:snapToGrid w:val="0"/>
              <w:spacing w:before="50" w:after="120" w:afterLines="50" w:line="400" w:lineRule="exact"/>
              <w:jc w:val="left"/>
              <w:rPr>
                <w:rFonts w:ascii="宋体" w:hAnsi="宋体"/>
                <w:color w:val="auto"/>
                <w:szCs w:val="21"/>
              </w:rPr>
            </w:pPr>
          </w:p>
        </w:tc>
        <w:tc>
          <w:tcPr>
            <w:tcW w:w="3269" w:type="dxa"/>
            <w:tcBorders>
              <w:top w:val="single" w:color="auto" w:sz="4" w:space="0"/>
              <w:left w:val="single" w:color="auto" w:sz="4" w:space="0"/>
              <w:bottom w:val="single" w:color="auto" w:sz="4" w:space="0"/>
              <w:right w:val="single" w:color="auto" w:sz="4" w:space="0"/>
            </w:tcBorders>
          </w:tcPr>
          <w:p w14:paraId="3B0E2C41">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0E76B8EA">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4B569BB8">
            <w:pPr>
              <w:snapToGrid w:val="0"/>
              <w:spacing w:before="50" w:after="120" w:afterLines="50" w:line="400" w:lineRule="exact"/>
              <w:jc w:val="left"/>
              <w:rPr>
                <w:rFonts w:ascii="宋体" w:hAnsi="宋体"/>
                <w:color w:val="auto"/>
                <w:szCs w:val="21"/>
              </w:rPr>
            </w:pPr>
          </w:p>
        </w:tc>
        <w:tc>
          <w:tcPr>
            <w:tcW w:w="1376" w:type="dxa"/>
            <w:tcBorders>
              <w:top w:val="single" w:color="auto" w:sz="4" w:space="0"/>
              <w:left w:val="single" w:color="auto" w:sz="4" w:space="0"/>
              <w:bottom w:val="single" w:color="auto" w:sz="4" w:space="0"/>
              <w:right w:val="single" w:color="auto" w:sz="4" w:space="0"/>
            </w:tcBorders>
          </w:tcPr>
          <w:p w14:paraId="559C25E2">
            <w:pPr>
              <w:snapToGrid w:val="0"/>
              <w:spacing w:before="50" w:after="120" w:afterLines="50" w:line="400" w:lineRule="exact"/>
              <w:jc w:val="left"/>
              <w:rPr>
                <w:rFonts w:ascii="宋体" w:hAnsi="宋体"/>
                <w:color w:val="auto"/>
                <w:szCs w:val="21"/>
              </w:rPr>
            </w:pPr>
          </w:p>
        </w:tc>
        <w:tc>
          <w:tcPr>
            <w:tcW w:w="2063" w:type="dxa"/>
            <w:tcBorders>
              <w:top w:val="single" w:color="auto" w:sz="4" w:space="0"/>
              <w:left w:val="single" w:color="auto" w:sz="4" w:space="0"/>
              <w:bottom w:val="single" w:color="auto" w:sz="4" w:space="0"/>
              <w:right w:val="single" w:color="auto" w:sz="4" w:space="0"/>
            </w:tcBorders>
          </w:tcPr>
          <w:p w14:paraId="30801AB7">
            <w:pPr>
              <w:snapToGrid w:val="0"/>
              <w:spacing w:before="50" w:after="120" w:afterLines="50" w:line="400" w:lineRule="exact"/>
              <w:jc w:val="left"/>
              <w:rPr>
                <w:rFonts w:ascii="宋体" w:hAnsi="宋体"/>
                <w:color w:val="auto"/>
                <w:szCs w:val="21"/>
              </w:rPr>
            </w:pPr>
          </w:p>
        </w:tc>
      </w:tr>
      <w:tr w14:paraId="2CECF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tcPr>
          <w:p w14:paraId="722D881D">
            <w:pPr>
              <w:snapToGrid w:val="0"/>
              <w:spacing w:before="50" w:after="120" w:afterLines="50" w:line="400" w:lineRule="exact"/>
              <w:jc w:val="left"/>
              <w:rPr>
                <w:rFonts w:ascii="宋体" w:hAnsi="宋体"/>
                <w:color w:val="auto"/>
                <w:szCs w:val="21"/>
              </w:rPr>
            </w:pPr>
          </w:p>
        </w:tc>
        <w:tc>
          <w:tcPr>
            <w:tcW w:w="3862" w:type="dxa"/>
            <w:tcBorders>
              <w:top w:val="single" w:color="auto" w:sz="4" w:space="0"/>
              <w:left w:val="single" w:color="auto" w:sz="4" w:space="0"/>
              <w:bottom w:val="single" w:color="auto" w:sz="4" w:space="0"/>
              <w:right w:val="single" w:color="auto" w:sz="4" w:space="0"/>
            </w:tcBorders>
          </w:tcPr>
          <w:p w14:paraId="31672374">
            <w:pPr>
              <w:snapToGrid w:val="0"/>
              <w:spacing w:before="50" w:after="120" w:afterLines="50" w:line="400" w:lineRule="exact"/>
              <w:jc w:val="left"/>
              <w:rPr>
                <w:rFonts w:ascii="宋体" w:hAnsi="宋体"/>
                <w:color w:val="auto"/>
                <w:szCs w:val="21"/>
              </w:rPr>
            </w:pPr>
          </w:p>
        </w:tc>
        <w:tc>
          <w:tcPr>
            <w:tcW w:w="3269" w:type="dxa"/>
            <w:tcBorders>
              <w:top w:val="single" w:color="auto" w:sz="4" w:space="0"/>
              <w:left w:val="single" w:color="auto" w:sz="4" w:space="0"/>
              <w:bottom w:val="single" w:color="auto" w:sz="4" w:space="0"/>
              <w:right w:val="single" w:color="auto" w:sz="4" w:space="0"/>
            </w:tcBorders>
          </w:tcPr>
          <w:p w14:paraId="4F069EE1">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7103EF87">
            <w:pPr>
              <w:snapToGrid w:val="0"/>
              <w:spacing w:before="50" w:after="120" w:afterLines="50" w:line="400" w:lineRule="exact"/>
              <w:jc w:val="left"/>
              <w:rPr>
                <w:rFonts w:ascii="宋体" w:hAnsi="宋体"/>
                <w:color w:val="auto"/>
                <w:szCs w:val="21"/>
              </w:rPr>
            </w:pPr>
          </w:p>
        </w:tc>
        <w:tc>
          <w:tcPr>
            <w:tcW w:w="1031" w:type="dxa"/>
            <w:tcBorders>
              <w:top w:val="single" w:color="auto" w:sz="4" w:space="0"/>
              <w:left w:val="single" w:color="auto" w:sz="4" w:space="0"/>
              <w:bottom w:val="single" w:color="auto" w:sz="4" w:space="0"/>
              <w:right w:val="single" w:color="auto" w:sz="4" w:space="0"/>
            </w:tcBorders>
          </w:tcPr>
          <w:p w14:paraId="6C7EB9D2">
            <w:pPr>
              <w:snapToGrid w:val="0"/>
              <w:spacing w:before="50" w:after="120" w:afterLines="50" w:line="400" w:lineRule="exact"/>
              <w:jc w:val="left"/>
              <w:rPr>
                <w:rFonts w:ascii="宋体" w:hAnsi="宋体"/>
                <w:color w:val="auto"/>
                <w:szCs w:val="21"/>
              </w:rPr>
            </w:pPr>
          </w:p>
        </w:tc>
        <w:tc>
          <w:tcPr>
            <w:tcW w:w="1376" w:type="dxa"/>
            <w:tcBorders>
              <w:top w:val="single" w:color="auto" w:sz="4" w:space="0"/>
              <w:left w:val="single" w:color="auto" w:sz="4" w:space="0"/>
              <w:bottom w:val="single" w:color="auto" w:sz="4" w:space="0"/>
              <w:right w:val="single" w:color="auto" w:sz="4" w:space="0"/>
            </w:tcBorders>
          </w:tcPr>
          <w:p w14:paraId="0D6C778F">
            <w:pPr>
              <w:snapToGrid w:val="0"/>
              <w:spacing w:before="50" w:after="120" w:afterLines="50" w:line="400" w:lineRule="exact"/>
              <w:jc w:val="left"/>
              <w:rPr>
                <w:rFonts w:ascii="宋体" w:hAnsi="宋体"/>
                <w:color w:val="auto"/>
                <w:szCs w:val="21"/>
              </w:rPr>
            </w:pPr>
          </w:p>
        </w:tc>
        <w:tc>
          <w:tcPr>
            <w:tcW w:w="2063" w:type="dxa"/>
            <w:tcBorders>
              <w:top w:val="single" w:color="auto" w:sz="4" w:space="0"/>
              <w:left w:val="single" w:color="auto" w:sz="4" w:space="0"/>
              <w:bottom w:val="single" w:color="auto" w:sz="4" w:space="0"/>
              <w:right w:val="single" w:color="auto" w:sz="4" w:space="0"/>
            </w:tcBorders>
          </w:tcPr>
          <w:p w14:paraId="68D06E80">
            <w:pPr>
              <w:snapToGrid w:val="0"/>
              <w:spacing w:before="50" w:after="120" w:afterLines="50" w:line="400" w:lineRule="exact"/>
              <w:jc w:val="left"/>
              <w:rPr>
                <w:rFonts w:ascii="宋体" w:hAnsi="宋体"/>
                <w:color w:val="auto"/>
                <w:szCs w:val="21"/>
              </w:rPr>
            </w:pPr>
          </w:p>
        </w:tc>
      </w:tr>
    </w:tbl>
    <w:p w14:paraId="37621774">
      <w:pPr>
        <w:pStyle w:val="16"/>
        <w:snapToGrid w:val="0"/>
        <w:rPr>
          <w:rFonts w:ascii="宋体" w:hAnsi="宋体" w:eastAsia="宋体" w:cs="Times New Roman"/>
          <w:color w:val="auto"/>
          <w:sz w:val="21"/>
          <w:szCs w:val="21"/>
        </w:rPr>
      </w:pPr>
      <w:r>
        <w:rPr>
          <w:rFonts w:ascii="宋体" w:hAnsi="宋体" w:eastAsia="宋体" w:cs="Times New Roman"/>
          <w:color w:val="auto"/>
          <w:sz w:val="21"/>
          <w:szCs w:val="21"/>
        </w:rPr>
        <w:t>注：</w:t>
      </w:r>
    </w:p>
    <w:p w14:paraId="43B9D1DF">
      <w:pPr>
        <w:pStyle w:val="16"/>
        <w:snapToGrid w:val="0"/>
        <w:rPr>
          <w:rFonts w:ascii="宋体" w:hAnsi="宋体" w:eastAsia="宋体" w:cs="Times New Roman"/>
          <w:color w:val="auto"/>
          <w:sz w:val="21"/>
          <w:szCs w:val="21"/>
        </w:rPr>
      </w:pPr>
      <w:r>
        <w:rPr>
          <w:rFonts w:ascii="宋体" w:hAnsi="宋体" w:eastAsia="宋体" w:cs="Times New Roman"/>
          <w:color w:val="auto"/>
          <w:szCs w:val="21"/>
        </w:rPr>
        <w:t>（1）</w:t>
      </w:r>
      <w:r>
        <w:rPr>
          <w:rFonts w:ascii="宋体" w:hAnsi="宋体" w:eastAsia="宋体" w:cs="Times New Roman"/>
          <w:color w:val="auto"/>
          <w:sz w:val="21"/>
          <w:szCs w:val="21"/>
        </w:rPr>
        <w:t>未附</w:t>
      </w:r>
      <w:r>
        <w:rPr>
          <w:rFonts w:hint="eastAsia" w:ascii="宋体" w:hAnsi="宋体" w:eastAsia="宋体" w:cs="Times New Roman"/>
          <w:color w:val="auto"/>
          <w:sz w:val="21"/>
          <w:szCs w:val="21"/>
        </w:rPr>
        <w:t>证明材料</w:t>
      </w:r>
      <w:r>
        <w:rPr>
          <w:rFonts w:ascii="宋体" w:hAnsi="宋体" w:eastAsia="宋体" w:cs="Times New Roman"/>
          <w:color w:val="auto"/>
          <w:sz w:val="21"/>
          <w:szCs w:val="21"/>
        </w:rPr>
        <w:t>的业绩无效</w:t>
      </w:r>
      <w:r>
        <w:rPr>
          <w:rFonts w:hint="eastAsia" w:ascii="宋体" w:hAnsi="宋体" w:eastAsia="宋体" w:cs="Times New Roman"/>
          <w:color w:val="auto"/>
          <w:sz w:val="21"/>
          <w:szCs w:val="21"/>
        </w:rPr>
        <w:t>，证明材料</w:t>
      </w:r>
      <w:r>
        <w:rPr>
          <w:rFonts w:ascii="宋体" w:hAnsi="宋体" w:eastAsia="宋体" w:cs="Times New Roman"/>
          <w:color w:val="auto"/>
          <w:sz w:val="21"/>
          <w:szCs w:val="21"/>
        </w:rPr>
        <w:t>见第四章《评审方法及标准》规定</w:t>
      </w:r>
      <w:r>
        <w:rPr>
          <w:rFonts w:hint="eastAsia" w:ascii="宋体" w:hAnsi="宋体" w:eastAsia="宋体" w:cs="Times New Roman"/>
          <w:color w:val="auto"/>
          <w:sz w:val="21"/>
          <w:szCs w:val="21"/>
        </w:rPr>
        <w:t>。</w:t>
      </w:r>
    </w:p>
    <w:p w14:paraId="1EE6FD66">
      <w:pPr>
        <w:pStyle w:val="16"/>
        <w:snapToGrid w:val="0"/>
        <w:rPr>
          <w:rFonts w:ascii="宋体" w:hAnsi="宋体" w:eastAsia="宋体" w:cs="Times New Roman"/>
          <w:color w:val="auto"/>
          <w:sz w:val="21"/>
          <w:szCs w:val="21"/>
        </w:rPr>
      </w:pPr>
      <w:r>
        <w:rPr>
          <w:rFonts w:ascii="宋体" w:hAnsi="宋体" w:eastAsia="宋体" w:cs="Times New Roman"/>
          <w:color w:val="auto"/>
          <w:szCs w:val="21"/>
        </w:rPr>
        <w:t>（2）</w:t>
      </w:r>
      <w:r>
        <w:rPr>
          <w:rFonts w:ascii="宋体" w:hAnsi="宋体" w:eastAsia="宋体" w:cs="Times New Roman"/>
          <w:color w:val="auto"/>
          <w:sz w:val="21"/>
          <w:szCs w:val="21"/>
        </w:rPr>
        <w:t>类似项目的定义见第四章《评审方法及标准》规定。</w:t>
      </w:r>
    </w:p>
    <w:p w14:paraId="7C346506">
      <w:pPr>
        <w:rPr>
          <w:rFonts w:ascii="宋体" w:hAnsi="宋体"/>
          <w:color w:val="auto"/>
        </w:rPr>
      </w:pPr>
      <w:r>
        <w:rPr>
          <w:rFonts w:ascii="宋体" w:hAnsi="宋体"/>
          <w:color w:val="auto"/>
          <w:szCs w:val="21"/>
        </w:rPr>
        <w:t>（3）</w:t>
      </w:r>
      <w:r>
        <w:rPr>
          <w:rFonts w:ascii="宋体" w:hAnsi="宋体"/>
          <w:color w:val="auto"/>
        </w:rPr>
        <w:t>本表可拓展</w:t>
      </w:r>
    </w:p>
    <w:p w14:paraId="389711E6">
      <w:pPr>
        <w:snapToGrid w:val="0"/>
        <w:spacing w:before="50"/>
        <w:jc w:val="left"/>
        <w:rPr>
          <w:rFonts w:ascii="宋体" w:hAnsi="宋体"/>
          <w:color w:val="auto"/>
          <w:szCs w:val="21"/>
        </w:rPr>
      </w:pPr>
    </w:p>
    <w:p w14:paraId="31A8E6DF">
      <w:pPr>
        <w:snapToGrid w:val="0"/>
        <w:spacing w:before="50"/>
        <w:jc w:val="left"/>
        <w:rPr>
          <w:rFonts w:ascii="宋体" w:hAnsi="宋体"/>
          <w:color w:val="auto"/>
          <w:szCs w:val="21"/>
        </w:rPr>
        <w:sectPr>
          <w:headerReference r:id="rId20" w:type="default"/>
          <w:footerReference r:id="rId21" w:type="default"/>
          <w:pgSz w:w="16838" w:h="11906" w:orient="landscape"/>
          <w:pgMar w:top="1274" w:right="1418" w:bottom="1418" w:left="1418" w:header="851" w:footer="992" w:gutter="0"/>
          <w:cols w:space="720" w:num="1"/>
          <w:docGrid w:linePitch="312" w:charSpace="0"/>
        </w:sect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zCs w:val="21"/>
          <w:u w:val="single"/>
        </w:rPr>
        <w:t xml:space="preserve">              </w:t>
      </w:r>
      <w:r>
        <w:rPr>
          <w:rFonts w:ascii="宋体" w:hAnsi="宋体"/>
          <w:color w:val="auto"/>
          <w:szCs w:val="21"/>
        </w:rPr>
        <w:t xml:space="preserve">                                          年    月   </w:t>
      </w:r>
    </w:p>
    <w:p w14:paraId="78970E52">
      <w:pPr>
        <w:snapToGrid w:val="0"/>
        <w:spacing w:before="50" w:after="120" w:afterLines="50"/>
        <w:jc w:val="left"/>
        <w:rPr>
          <w:rFonts w:ascii="宋体" w:hAnsi="宋体"/>
          <w:color w:val="auto"/>
          <w:szCs w:val="21"/>
        </w:rPr>
      </w:pPr>
      <w:bookmarkStart w:id="102" w:name="_Hlk93046716"/>
      <w:bookmarkStart w:id="103" w:name="_Hlk19110561"/>
      <w:r>
        <w:rPr>
          <w:rFonts w:ascii="宋体" w:hAnsi="宋体"/>
          <w:bCs/>
          <w:color w:val="auto"/>
          <w:sz w:val="24"/>
        </w:rPr>
        <w:t>14．</w:t>
      </w:r>
      <w:r>
        <w:rPr>
          <w:rFonts w:hint="eastAsia" w:ascii="宋体" w:hAnsi="宋体"/>
          <w:bCs/>
          <w:color w:val="auto"/>
          <w:sz w:val="24"/>
        </w:rPr>
        <w:t>符合政府采购政策的证明材料。</w:t>
      </w:r>
    </w:p>
    <w:p w14:paraId="4834BF44">
      <w:pPr>
        <w:rPr>
          <w:rFonts w:ascii="宋体" w:hAnsi="宋体"/>
          <w:color w:val="auto"/>
          <w:szCs w:val="21"/>
        </w:rPr>
      </w:pPr>
      <w:r>
        <w:rPr>
          <w:rFonts w:ascii="宋体" w:hAnsi="宋体"/>
          <w:color w:val="auto"/>
          <w:szCs w:val="21"/>
        </w:rPr>
        <w:t>14.1</w:t>
      </w:r>
      <w:r>
        <w:rPr>
          <w:rFonts w:hint="eastAsia" w:ascii="宋体" w:hAnsi="宋体"/>
          <w:bCs/>
          <w:color w:val="auto"/>
          <w:szCs w:val="21"/>
        </w:rPr>
        <w:t>中小企业声明函</w:t>
      </w:r>
      <w:r>
        <w:rPr>
          <w:rFonts w:ascii="宋体" w:hAnsi="宋体"/>
          <w:color w:val="auto"/>
          <w:szCs w:val="21"/>
        </w:rPr>
        <w:t>。</w:t>
      </w:r>
    </w:p>
    <w:p w14:paraId="67EE5C14">
      <w:pPr>
        <w:spacing w:line="360" w:lineRule="auto"/>
        <w:ind w:firstLine="3584" w:firstLineChars="1700"/>
        <w:rPr>
          <w:rFonts w:ascii="宋体" w:hAnsi="宋体"/>
          <w:b/>
          <w:color w:val="auto"/>
          <w:szCs w:val="21"/>
        </w:rPr>
      </w:pPr>
      <w:bookmarkStart w:id="104" w:name="_Hlk60649458"/>
    </w:p>
    <w:bookmarkEnd w:id="104"/>
    <w:p w14:paraId="01D8FD55">
      <w:pPr>
        <w:spacing w:line="360" w:lineRule="auto"/>
        <w:ind w:firstLine="3584" w:firstLineChars="1700"/>
        <w:rPr>
          <w:rFonts w:ascii="宋体" w:hAnsi="宋体"/>
          <w:b/>
          <w:color w:val="auto"/>
          <w:szCs w:val="21"/>
        </w:rPr>
      </w:pPr>
      <w:r>
        <w:rPr>
          <w:rFonts w:hint="eastAsia" w:ascii="宋体" w:hAnsi="宋体"/>
          <w:b/>
          <w:color w:val="auto"/>
          <w:szCs w:val="21"/>
        </w:rPr>
        <w:t>中小企业声明函（服务）</w:t>
      </w:r>
    </w:p>
    <w:p w14:paraId="66D17111">
      <w:pPr>
        <w:spacing w:line="360" w:lineRule="auto"/>
        <w:ind w:firstLine="420"/>
        <w:rPr>
          <w:rFonts w:ascii="宋体" w:hAnsi="宋体"/>
          <w:bCs/>
          <w:color w:val="auto"/>
          <w:szCs w:val="21"/>
        </w:rPr>
      </w:pPr>
      <w:r>
        <w:rPr>
          <w:rFonts w:hint="eastAsia" w:ascii="宋体" w:hAnsi="宋体"/>
          <w:bCs/>
          <w:color w:val="auto"/>
          <w:szCs w:val="21"/>
        </w:rPr>
        <w:t>本公司（联合体）郑重声明，根据《政府采购促进中小企业发展管理办法》（财库﹝2020﹞46 号）的规定，本公司（联合体）参加</w:t>
      </w:r>
      <w:r>
        <w:rPr>
          <w:rFonts w:hint="eastAsia" w:ascii="宋体" w:hAnsi="宋体"/>
          <w:bCs/>
          <w:color w:val="auto"/>
          <w:szCs w:val="21"/>
          <w:u w:val="single"/>
        </w:rPr>
        <w:t>（单位名称）</w:t>
      </w:r>
      <w:r>
        <w:rPr>
          <w:rFonts w:hint="eastAsia" w:ascii="宋体" w:hAnsi="宋体"/>
          <w:bCs/>
          <w:color w:val="auto"/>
          <w:szCs w:val="21"/>
        </w:rPr>
        <w:t>的</w:t>
      </w:r>
      <w:r>
        <w:rPr>
          <w:rFonts w:hint="eastAsia" w:ascii="宋体" w:hAnsi="宋体"/>
          <w:bCs/>
          <w:color w:val="auto"/>
          <w:szCs w:val="21"/>
          <w:u w:val="single"/>
        </w:rPr>
        <w:t>（项目名称）</w:t>
      </w:r>
      <w:r>
        <w:rPr>
          <w:rFonts w:hint="eastAsia" w:ascii="宋体" w:hAnsi="宋体"/>
          <w:bCs/>
          <w:color w:val="auto"/>
          <w:szCs w:val="21"/>
        </w:rPr>
        <w:t>采购活动，服务全部由符合政策要求的中小企业承接。相关企业（含联合体中的中小企业、签订分包意向协议的中小企业） 的具体情况如下：</w:t>
      </w:r>
    </w:p>
    <w:p w14:paraId="5E7E2560">
      <w:pPr>
        <w:spacing w:line="360" w:lineRule="auto"/>
        <w:ind w:firstLine="420"/>
        <w:rPr>
          <w:rFonts w:ascii="宋体" w:hAnsi="宋体"/>
          <w:bCs/>
          <w:color w:val="auto"/>
          <w:szCs w:val="21"/>
        </w:rPr>
      </w:pPr>
      <w:r>
        <w:rPr>
          <w:rFonts w:ascii="宋体" w:hAnsi="宋体"/>
          <w:bCs/>
          <w:color w:val="auto"/>
          <w:szCs w:val="21"/>
        </w:rPr>
        <w:t>1.</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14:paraId="155A3047">
      <w:pPr>
        <w:spacing w:line="360" w:lineRule="auto"/>
        <w:ind w:firstLine="420"/>
        <w:rPr>
          <w:rFonts w:ascii="宋体" w:hAnsi="宋体"/>
          <w:bCs/>
          <w:color w:val="auto"/>
          <w:szCs w:val="21"/>
        </w:rPr>
      </w:pPr>
      <w:r>
        <w:rPr>
          <w:rFonts w:ascii="宋体" w:hAnsi="宋体"/>
          <w:bCs/>
          <w:color w:val="auto"/>
          <w:szCs w:val="21"/>
        </w:rPr>
        <w:t>2.</w:t>
      </w:r>
      <w:r>
        <w:rPr>
          <w:rFonts w:hint="eastAsia" w:ascii="宋体" w:hAnsi="宋体"/>
          <w:bCs/>
          <w:color w:val="auto"/>
          <w:szCs w:val="21"/>
          <w:u w:val="single"/>
        </w:rPr>
        <w:t>（标的名称）</w:t>
      </w:r>
      <w:r>
        <w:rPr>
          <w:rFonts w:hint="eastAsia" w:ascii="宋体" w:hAnsi="宋体"/>
          <w:bCs/>
          <w:color w:val="auto"/>
          <w:szCs w:val="21"/>
        </w:rPr>
        <w:t>，属于</w:t>
      </w:r>
      <w:r>
        <w:rPr>
          <w:rFonts w:hint="eastAsia" w:ascii="宋体" w:hAnsi="宋体"/>
          <w:bCs/>
          <w:color w:val="auto"/>
          <w:szCs w:val="21"/>
          <w:u w:val="single"/>
        </w:rPr>
        <w:t>（采购文件中明确的所属行业）</w:t>
      </w:r>
      <w:r>
        <w:rPr>
          <w:rFonts w:hint="eastAsia" w:ascii="宋体" w:hAnsi="宋体"/>
          <w:bCs/>
          <w:color w:val="auto"/>
          <w:szCs w:val="21"/>
        </w:rPr>
        <w:t>行业；承接企业为</w:t>
      </w:r>
      <w:r>
        <w:rPr>
          <w:rFonts w:hint="eastAsia" w:ascii="宋体" w:hAnsi="宋体"/>
          <w:bCs/>
          <w:color w:val="auto"/>
          <w:szCs w:val="21"/>
          <w:u w:val="single"/>
        </w:rPr>
        <w:t>（企业名称）</w:t>
      </w:r>
      <w:r>
        <w:rPr>
          <w:rFonts w:hint="eastAsia" w:ascii="宋体" w:hAnsi="宋体"/>
          <w:bCs/>
          <w:color w:val="auto"/>
          <w:szCs w:val="21"/>
        </w:rPr>
        <w:t>，从业人员</w:t>
      </w:r>
      <w:r>
        <w:rPr>
          <w:rFonts w:hint="eastAsia" w:ascii="宋体" w:hAnsi="宋体"/>
          <w:bCs/>
          <w:color w:val="auto"/>
          <w:szCs w:val="21"/>
          <w:u w:val="single"/>
        </w:rPr>
        <w:t xml:space="preserve">       </w:t>
      </w:r>
      <w:r>
        <w:rPr>
          <w:rFonts w:hint="eastAsia" w:ascii="宋体" w:hAnsi="宋体"/>
          <w:bCs/>
          <w:color w:val="auto"/>
          <w:szCs w:val="21"/>
        </w:rPr>
        <w:t>人，营业收入为</w:t>
      </w:r>
      <w:r>
        <w:rPr>
          <w:rFonts w:hint="eastAsia" w:ascii="宋体" w:hAnsi="宋体"/>
          <w:bCs/>
          <w:color w:val="auto"/>
          <w:szCs w:val="21"/>
          <w:u w:val="single"/>
        </w:rPr>
        <w:t xml:space="preserve">     </w:t>
      </w:r>
      <w:r>
        <w:rPr>
          <w:rFonts w:hint="eastAsia" w:ascii="宋体" w:hAnsi="宋体"/>
          <w:bCs/>
          <w:color w:val="auto"/>
          <w:szCs w:val="21"/>
        </w:rPr>
        <w:t>万元，资产总额为</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万元，属于</w:t>
      </w:r>
      <w:r>
        <w:rPr>
          <w:rFonts w:hint="eastAsia" w:ascii="宋体" w:hAnsi="宋体"/>
          <w:bCs/>
          <w:color w:val="auto"/>
          <w:szCs w:val="21"/>
          <w:u w:val="single"/>
        </w:rPr>
        <w:t>（中型企业、小型企业、微型企业）</w:t>
      </w:r>
      <w:r>
        <w:rPr>
          <w:rFonts w:hint="eastAsia" w:ascii="宋体" w:hAnsi="宋体"/>
          <w:bCs/>
          <w:color w:val="auto"/>
          <w:szCs w:val="21"/>
        </w:rPr>
        <w:t>；</w:t>
      </w:r>
    </w:p>
    <w:p w14:paraId="32FA5337">
      <w:pPr>
        <w:spacing w:line="360" w:lineRule="auto"/>
        <w:ind w:firstLine="420"/>
        <w:rPr>
          <w:rFonts w:ascii="宋体" w:hAnsi="宋体"/>
          <w:bCs/>
          <w:color w:val="auto"/>
          <w:szCs w:val="21"/>
        </w:rPr>
      </w:pPr>
      <w:r>
        <w:rPr>
          <w:rFonts w:hint="eastAsia" w:ascii="宋体" w:hAnsi="宋体"/>
          <w:bCs/>
          <w:color w:val="auto"/>
          <w:szCs w:val="21"/>
        </w:rPr>
        <w:t>……</w:t>
      </w:r>
    </w:p>
    <w:p w14:paraId="0CD0C1BC">
      <w:pPr>
        <w:spacing w:line="360" w:lineRule="auto"/>
        <w:ind w:firstLine="420"/>
        <w:rPr>
          <w:rFonts w:ascii="宋体" w:hAnsi="宋体"/>
          <w:bCs/>
          <w:color w:val="auto"/>
          <w:szCs w:val="21"/>
        </w:rPr>
      </w:pPr>
      <w:r>
        <w:rPr>
          <w:rFonts w:hint="eastAsia" w:ascii="宋体" w:hAnsi="宋体"/>
          <w:bCs/>
          <w:color w:val="auto"/>
          <w:szCs w:val="21"/>
        </w:rPr>
        <w:t>以上企业，不属于大企业的分支机构，不存在控股股东为大企业的情形，也不存在与大企业的负责人为同一人的情形。</w:t>
      </w:r>
    </w:p>
    <w:p w14:paraId="13416727">
      <w:pPr>
        <w:spacing w:line="360" w:lineRule="auto"/>
        <w:ind w:firstLine="420"/>
        <w:rPr>
          <w:rFonts w:ascii="宋体" w:hAnsi="宋体"/>
          <w:bCs/>
          <w:color w:val="auto"/>
          <w:szCs w:val="21"/>
        </w:rPr>
      </w:pPr>
      <w:r>
        <w:rPr>
          <w:rFonts w:hint="eastAsia" w:ascii="宋体" w:hAnsi="宋体"/>
          <w:bCs/>
          <w:color w:val="auto"/>
          <w:szCs w:val="21"/>
        </w:rPr>
        <w:t>本企业对上述声明内容的真实性负责。如有虚假，将依法承担相应责任。</w:t>
      </w:r>
    </w:p>
    <w:p w14:paraId="08AB4018">
      <w:pPr>
        <w:spacing w:line="360" w:lineRule="auto"/>
        <w:ind w:firstLine="3150" w:firstLineChars="1500"/>
        <w:rPr>
          <w:rFonts w:ascii="宋体" w:hAnsi="宋体"/>
          <w:bCs/>
          <w:color w:val="auto"/>
          <w:szCs w:val="21"/>
        </w:rPr>
      </w:pPr>
      <w:r>
        <w:rPr>
          <w:rFonts w:hint="eastAsia" w:ascii="宋体" w:hAnsi="宋体"/>
          <w:bCs/>
          <w:color w:val="auto"/>
          <w:szCs w:val="21"/>
        </w:rPr>
        <w:t xml:space="preserve">企业名称（电子签章）： </w:t>
      </w:r>
      <w:r>
        <w:rPr>
          <w:rFonts w:ascii="宋体" w:hAnsi="宋体"/>
          <w:bCs/>
          <w:color w:val="auto"/>
          <w:szCs w:val="21"/>
        </w:rPr>
        <w:t xml:space="preserve"> </w:t>
      </w:r>
      <w:r>
        <w:rPr>
          <w:rFonts w:hint="eastAsia" w:ascii="宋体" w:hAnsi="宋体"/>
          <w:bCs/>
          <w:color w:val="auto"/>
          <w:szCs w:val="21"/>
        </w:rPr>
        <w:t>日期：</w:t>
      </w:r>
    </w:p>
    <w:p w14:paraId="59AB1017">
      <w:pPr>
        <w:spacing w:line="360" w:lineRule="auto"/>
        <w:jc w:val="left"/>
        <w:rPr>
          <w:rFonts w:ascii="宋体" w:hAnsi="宋体"/>
          <w:bCs/>
          <w:color w:val="auto"/>
          <w:szCs w:val="21"/>
        </w:rPr>
      </w:pPr>
      <w:r>
        <w:rPr>
          <w:rFonts w:hint="eastAsia" w:ascii="宋体" w:hAnsi="宋体"/>
          <w:bCs/>
          <w:color w:val="auto"/>
          <w:szCs w:val="21"/>
        </w:rPr>
        <w:t>（1）标的名称按照第二章采购需求一览表中的名称填写，</w:t>
      </w:r>
      <w:r>
        <w:rPr>
          <w:rFonts w:ascii="宋体" w:hAnsi="宋体"/>
          <w:color w:val="auto"/>
          <w:szCs w:val="21"/>
        </w:rPr>
        <w:t>所属行业标明“/”的</w:t>
      </w:r>
      <w:r>
        <w:rPr>
          <w:rFonts w:hint="eastAsia" w:ascii="宋体" w:hAnsi="宋体"/>
          <w:bCs/>
          <w:color w:val="auto"/>
          <w:szCs w:val="21"/>
        </w:rPr>
        <w:t>，无需在上表填写。</w:t>
      </w:r>
    </w:p>
    <w:p w14:paraId="008BAC31">
      <w:pPr>
        <w:spacing w:line="360" w:lineRule="auto"/>
        <w:jc w:val="left"/>
        <w:rPr>
          <w:rFonts w:ascii="宋体" w:hAnsi="宋体"/>
          <w:bCs/>
          <w:color w:val="auto"/>
          <w:szCs w:val="21"/>
        </w:rPr>
      </w:pPr>
      <w:r>
        <w:rPr>
          <w:rFonts w:hint="eastAsia" w:ascii="宋体" w:hAnsi="宋体"/>
          <w:bCs/>
          <w:color w:val="auto"/>
          <w:szCs w:val="21"/>
        </w:rPr>
        <w:t>（</w:t>
      </w:r>
      <w:r>
        <w:rPr>
          <w:rFonts w:ascii="宋体" w:hAnsi="宋体"/>
          <w:bCs/>
          <w:color w:val="auto"/>
          <w:szCs w:val="21"/>
        </w:rPr>
        <w:t>2</w:t>
      </w:r>
      <w:r>
        <w:rPr>
          <w:rFonts w:hint="eastAsia" w:ascii="宋体" w:hAnsi="宋体"/>
          <w:bCs/>
          <w:color w:val="auto"/>
          <w:szCs w:val="21"/>
        </w:rPr>
        <w:t>）如供应商为联合体或分包的，声明函中“项目名称”应填写联合体中小微企业承担的具体内容或者小微企业具体分包内容。</w:t>
      </w:r>
    </w:p>
    <w:p w14:paraId="0F85C997">
      <w:pPr>
        <w:spacing w:line="360" w:lineRule="auto"/>
        <w:jc w:val="left"/>
        <w:rPr>
          <w:rFonts w:ascii="宋体" w:hAnsi="宋体"/>
          <w:bCs/>
          <w:color w:val="auto"/>
          <w:szCs w:val="21"/>
        </w:rPr>
      </w:pPr>
      <w:r>
        <w:rPr>
          <w:rFonts w:hint="eastAsia" w:ascii="宋体" w:hAnsi="宋体"/>
          <w:bCs/>
          <w:color w:val="auto"/>
          <w:szCs w:val="21"/>
        </w:rPr>
        <w:t>（</w:t>
      </w:r>
      <w:r>
        <w:rPr>
          <w:rFonts w:ascii="宋体" w:hAnsi="宋体"/>
          <w:bCs/>
          <w:color w:val="auto"/>
          <w:szCs w:val="21"/>
        </w:rPr>
        <w:t>3</w:t>
      </w:r>
      <w:r>
        <w:rPr>
          <w:rFonts w:hint="eastAsia" w:ascii="宋体" w:hAnsi="宋体"/>
          <w:bCs/>
          <w:color w:val="auto"/>
          <w:szCs w:val="21"/>
        </w:rPr>
        <w:t>）从业人员、营业收入、资产总额填报上一年度数据，无上一年度数据的新成立企业参照国务院批准的中小企业划分标准，根据企业自身情况如实判断。</w:t>
      </w:r>
    </w:p>
    <w:p w14:paraId="6A93ACE3">
      <w:pPr>
        <w:spacing w:line="360" w:lineRule="auto"/>
        <w:jc w:val="left"/>
        <w:rPr>
          <w:rFonts w:ascii="宋体" w:hAnsi="宋体"/>
          <w:bCs/>
          <w:color w:val="auto"/>
          <w:szCs w:val="21"/>
        </w:rPr>
      </w:pPr>
      <w:r>
        <w:rPr>
          <w:rFonts w:hint="eastAsia" w:ascii="宋体" w:hAnsi="宋体"/>
          <w:bCs/>
          <w:color w:val="auto"/>
          <w:szCs w:val="21"/>
        </w:rPr>
        <w:t>（</w:t>
      </w:r>
      <w:r>
        <w:rPr>
          <w:rFonts w:ascii="宋体" w:hAnsi="宋体"/>
          <w:bCs/>
          <w:color w:val="auto"/>
          <w:szCs w:val="21"/>
        </w:rPr>
        <w:t>4</w:t>
      </w:r>
      <w:r>
        <w:rPr>
          <w:rFonts w:hint="eastAsia" w:ascii="宋体" w:hAnsi="宋体"/>
          <w:bCs/>
          <w:color w:val="auto"/>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04C1B391">
      <w:pPr>
        <w:spacing w:line="360" w:lineRule="auto"/>
        <w:jc w:val="left"/>
        <w:rPr>
          <w:rFonts w:ascii="宋体" w:hAnsi="宋体"/>
          <w:bCs/>
          <w:color w:val="auto"/>
          <w:szCs w:val="21"/>
        </w:rPr>
      </w:pPr>
      <w:r>
        <w:rPr>
          <w:rFonts w:hint="eastAsia" w:ascii="宋体" w:hAnsi="宋体"/>
          <w:bCs/>
          <w:color w:val="auto"/>
          <w:szCs w:val="21"/>
        </w:rPr>
        <w:t>（5）根据国家统计局《劳动工资统计报表制度》，从业人员数是指本单位工作，并取得工资或其他形式劳动报酬的人员数，是在岗职工、劳务派遣人员及其他从业人员之和。</w:t>
      </w:r>
    </w:p>
    <w:p w14:paraId="6AE66AD7">
      <w:pPr>
        <w:spacing w:line="360" w:lineRule="auto"/>
        <w:jc w:val="left"/>
        <w:rPr>
          <w:rFonts w:ascii="宋体" w:hAnsi="宋体"/>
          <w:bCs/>
          <w:color w:val="auto"/>
          <w:szCs w:val="21"/>
        </w:rPr>
      </w:pPr>
      <w:r>
        <w:rPr>
          <w:rFonts w:hint="eastAsia" w:ascii="宋体" w:hAnsi="宋体"/>
          <w:bCs/>
          <w:color w:val="auto"/>
          <w:szCs w:val="21"/>
        </w:rPr>
        <w:t>（</w:t>
      </w:r>
      <w:r>
        <w:rPr>
          <w:rFonts w:ascii="宋体" w:hAnsi="宋体"/>
          <w:bCs/>
          <w:color w:val="auto"/>
          <w:szCs w:val="21"/>
        </w:rPr>
        <w:t>6</w:t>
      </w:r>
      <w:r>
        <w:rPr>
          <w:rFonts w:hint="eastAsia" w:ascii="宋体" w:hAnsi="宋体"/>
          <w:bCs/>
          <w:color w:val="auto"/>
          <w:szCs w:val="21"/>
        </w:rPr>
        <w:t>）本声明函由供应商填写，供应商应按中小企业划分标准《关于印发中小企业划型标准规定的通知》（工信部联企业〔2011〕300号</w:t>
      </w:r>
      <w:r>
        <w:rPr>
          <w:rFonts w:hint="eastAsia" w:ascii="宋体" w:hAnsi="宋体"/>
          <w:color w:val="auto"/>
          <w:szCs w:val="21"/>
        </w:rPr>
        <w:t>以及《金融业企业划型标准规定》（银发〔2015〕309号）</w:t>
      </w:r>
      <w:r>
        <w:rPr>
          <w:rFonts w:hint="eastAsia" w:ascii="宋体" w:hAnsi="宋体"/>
          <w:bCs/>
          <w:color w:val="auto"/>
          <w:szCs w:val="21"/>
        </w:rPr>
        <w:t>）判断是否为中小企业。</w:t>
      </w:r>
    </w:p>
    <w:p w14:paraId="275E61CB">
      <w:pPr>
        <w:spacing w:line="360" w:lineRule="auto"/>
        <w:jc w:val="left"/>
        <w:rPr>
          <w:rFonts w:ascii="宋体" w:hAnsi="宋体"/>
          <w:bCs/>
          <w:color w:val="auto"/>
          <w:szCs w:val="21"/>
        </w:rPr>
      </w:pPr>
      <w:r>
        <w:rPr>
          <w:rFonts w:hint="eastAsia" w:ascii="宋体" w:hAnsi="宋体"/>
          <w:bCs/>
          <w:color w:val="auto"/>
          <w:szCs w:val="21"/>
        </w:rPr>
        <w:t>（</w:t>
      </w:r>
      <w:r>
        <w:rPr>
          <w:rFonts w:ascii="宋体" w:hAnsi="宋体"/>
          <w:bCs/>
          <w:color w:val="auto"/>
          <w:szCs w:val="21"/>
        </w:rPr>
        <w:t>7</w:t>
      </w:r>
      <w:r>
        <w:rPr>
          <w:rFonts w:hint="eastAsia" w:ascii="宋体" w:hAnsi="宋体"/>
          <w:bCs/>
          <w:color w:val="auto"/>
          <w:szCs w:val="21"/>
        </w:rPr>
        <w:t>）供应商对《中小企业声明函》的真实性负责，如有虚假则需承担不利后果。依法享受中小企业优惠政策的，采购人或采购代理机构在公告成交结果时，同时公告其《中小企业声明函》，接受社会监督。</w:t>
      </w:r>
    </w:p>
    <w:p w14:paraId="3E52A70D">
      <w:pPr>
        <w:spacing w:line="360" w:lineRule="auto"/>
        <w:jc w:val="left"/>
        <w:rPr>
          <w:rFonts w:ascii="宋体" w:hAnsi="宋体"/>
          <w:bCs/>
          <w:color w:val="auto"/>
          <w:szCs w:val="21"/>
        </w:rPr>
      </w:pPr>
      <w:r>
        <w:rPr>
          <w:rFonts w:hint="eastAsia" w:ascii="宋体" w:hAnsi="宋体"/>
          <w:bCs/>
          <w:color w:val="auto"/>
          <w:szCs w:val="21"/>
        </w:rPr>
        <w:t>（</w:t>
      </w:r>
      <w:r>
        <w:rPr>
          <w:rFonts w:ascii="宋体" w:hAnsi="宋体"/>
          <w:bCs/>
          <w:color w:val="auto"/>
          <w:szCs w:val="21"/>
        </w:rPr>
        <w:t>8</w:t>
      </w:r>
      <w:r>
        <w:rPr>
          <w:rFonts w:hint="eastAsia" w:ascii="宋体" w:hAnsi="宋体"/>
          <w:bCs/>
          <w:color w:val="auto"/>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79840D8">
      <w:pPr>
        <w:snapToGrid w:val="0"/>
        <w:spacing w:before="50" w:after="120" w:afterLines="50"/>
        <w:jc w:val="left"/>
        <w:rPr>
          <w:rFonts w:ascii="宋体" w:hAnsi="宋体"/>
          <w:color w:val="auto"/>
          <w:szCs w:val="21"/>
        </w:rPr>
      </w:pPr>
    </w:p>
    <w:p w14:paraId="459D26C0">
      <w:pPr>
        <w:snapToGrid w:val="0"/>
        <w:spacing w:before="50" w:after="120" w:afterLines="50"/>
        <w:jc w:val="left"/>
        <w:rPr>
          <w:rFonts w:ascii="宋体" w:hAnsi="宋体"/>
          <w:color w:val="auto"/>
          <w:szCs w:val="21"/>
        </w:rPr>
      </w:pPr>
      <w:r>
        <w:rPr>
          <w:rFonts w:ascii="宋体" w:hAnsi="宋体"/>
          <w:color w:val="auto"/>
          <w:szCs w:val="21"/>
        </w:rPr>
        <w:t>14.2监狱企业须提供最新一期《XX省监狱企业产品目录》或其他监狱企业证明材料。（非监狱企业无需提供）</w:t>
      </w:r>
    </w:p>
    <w:p w14:paraId="1AAE70B4">
      <w:pPr>
        <w:snapToGrid w:val="0"/>
        <w:spacing w:before="50" w:after="120" w:afterLines="50"/>
        <w:jc w:val="left"/>
        <w:rPr>
          <w:rFonts w:ascii="宋体" w:hAnsi="宋体"/>
          <w:color w:val="auto"/>
          <w:szCs w:val="21"/>
        </w:rPr>
      </w:pPr>
    </w:p>
    <w:p w14:paraId="065810CA">
      <w:pPr>
        <w:snapToGrid w:val="0"/>
        <w:spacing w:before="50" w:after="120" w:afterLines="50"/>
        <w:jc w:val="left"/>
        <w:rPr>
          <w:rFonts w:ascii="宋体" w:hAnsi="宋体"/>
          <w:color w:val="auto"/>
        </w:rPr>
      </w:pPr>
      <w:r>
        <w:rPr>
          <w:rFonts w:ascii="宋体" w:hAnsi="宋体"/>
          <w:color w:val="auto"/>
          <w:szCs w:val="21"/>
        </w:rPr>
        <w:t>14.3</w:t>
      </w:r>
      <w:bookmarkStart w:id="105" w:name="_Hlk19051624"/>
      <w:r>
        <w:rPr>
          <w:rFonts w:ascii="宋体" w:hAnsi="宋体"/>
          <w:color w:val="auto"/>
        </w:rPr>
        <w:t>残疾人福利性单位须提供《残疾人福利性单位声明函》，格式如下。</w:t>
      </w:r>
      <w:r>
        <w:rPr>
          <w:rFonts w:ascii="宋体" w:hAnsi="宋体"/>
          <w:color w:val="auto"/>
          <w:szCs w:val="21"/>
        </w:rPr>
        <w:t>（非残疾人福利性单位无需提供）</w:t>
      </w:r>
    </w:p>
    <w:bookmarkEnd w:id="105"/>
    <w:p w14:paraId="4A1E1109">
      <w:pPr>
        <w:spacing w:line="360" w:lineRule="auto"/>
        <w:jc w:val="center"/>
        <w:rPr>
          <w:rFonts w:ascii="宋体" w:hAnsi="宋体"/>
          <w:b/>
          <w:color w:val="auto"/>
          <w:szCs w:val="21"/>
        </w:rPr>
      </w:pPr>
      <w:bookmarkStart w:id="106" w:name="OLE_LINK14"/>
      <w:bookmarkStart w:id="107" w:name="OLE_LINK13"/>
      <w:r>
        <w:rPr>
          <w:rFonts w:ascii="宋体" w:hAnsi="宋体"/>
          <w:b/>
          <w:color w:val="auto"/>
          <w:szCs w:val="21"/>
        </w:rPr>
        <w:t>残疾人福利性单位声明函</w:t>
      </w:r>
      <w:bookmarkEnd w:id="106"/>
      <w:bookmarkEnd w:id="107"/>
    </w:p>
    <w:p w14:paraId="20377F86">
      <w:pPr>
        <w:spacing w:line="360" w:lineRule="auto"/>
        <w:ind w:firstLine="420"/>
        <w:jc w:val="left"/>
        <w:rPr>
          <w:rFonts w:ascii="宋体" w:hAnsi="宋体"/>
          <w:color w:val="auto"/>
          <w:szCs w:val="21"/>
        </w:rPr>
      </w:pPr>
      <w:r>
        <w:rPr>
          <w:rFonts w:ascii="宋体" w:hAnsi="宋体"/>
          <w:color w:val="auto"/>
          <w:szCs w:val="21"/>
        </w:rPr>
        <w:t>本单位郑重声明，根据《财政部 民政部 中国残疾人联合会关于促进残疾人就业政府采购政策的通知》（财库〔2017〕141号）的规定，本单位为符合条件的残疾人福利性单位，且本单位参加</w:t>
      </w:r>
      <w:r>
        <w:rPr>
          <w:rFonts w:ascii="宋体" w:hAnsi="宋体"/>
          <w:color w:val="auto"/>
          <w:szCs w:val="21"/>
          <w:u w:val="single"/>
        </w:rPr>
        <w:t xml:space="preserve">        </w:t>
      </w:r>
      <w:r>
        <w:rPr>
          <w:rFonts w:ascii="宋体" w:hAnsi="宋体"/>
          <w:color w:val="auto"/>
          <w:szCs w:val="21"/>
        </w:rPr>
        <w:t>单位的</w:t>
      </w:r>
      <w:r>
        <w:rPr>
          <w:rFonts w:ascii="宋体" w:hAnsi="宋体"/>
          <w:color w:val="auto"/>
          <w:szCs w:val="21"/>
          <w:u w:val="single"/>
        </w:rPr>
        <w:t xml:space="preserve">           </w:t>
      </w:r>
      <w:r>
        <w:rPr>
          <w:rFonts w:ascii="宋体" w:hAnsi="宋体"/>
          <w:color w:val="auto"/>
          <w:szCs w:val="21"/>
        </w:rPr>
        <w:t>项目采购活动提供本单位制造的货物（由本单位承担工程/提供服务），或者提供其他残疾人福利性单位制造的货物（不包括使用非残疾人福利性单位注册商标的货物）。</w:t>
      </w:r>
    </w:p>
    <w:p w14:paraId="3300ECA1">
      <w:pPr>
        <w:spacing w:line="360" w:lineRule="auto"/>
        <w:ind w:firstLine="420"/>
        <w:rPr>
          <w:rFonts w:ascii="宋体" w:hAnsi="宋体"/>
          <w:color w:val="auto"/>
          <w:szCs w:val="21"/>
        </w:rPr>
      </w:pPr>
      <w:r>
        <w:rPr>
          <w:rFonts w:ascii="宋体" w:hAnsi="宋体"/>
          <w:color w:val="auto"/>
          <w:szCs w:val="21"/>
        </w:rPr>
        <w:t>本单位对上述声明的真实性负责。如有虚假，将依法承担相应责任。</w:t>
      </w:r>
    </w:p>
    <w:p w14:paraId="659848DB">
      <w:pPr>
        <w:spacing w:line="360" w:lineRule="auto"/>
        <w:ind w:firstLine="420"/>
        <w:rPr>
          <w:rFonts w:ascii="宋体" w:hAnsi="宋体"/>
          <w:color w:val="auto"/>
          <w:spacing w:val="6"/>
          <w:szCs w:val="21"/>
        </w:rPr>
      </w:pPr>
      <w:r>
        <w:rPr>
          <w:rFonts w:ascii="宋体" w:hAnsi="宋体"/>
          <w:color w:val="auto"/>
          <w:spacing w:val="6"/>
          <w:sz w:val="30"/>
          <w:szCs w:val="30"/>
        </w:rPr>
        <w:t xml:space="preserve"> </w:t>
      </w:r>
      <w:r>
        <w:rPr>
          <w:rFonts w:ascii="宋体" w:hAnsi="宋体"/>
          <w:color w:val="auto"/>
          <w:spacing w:val="6"/>
          <w:szCs w:val="21"/>
        </w:rPr>
        <w:t xml:space="preserve"> </w:t>
      </w:r>
      <w:r>
        <w:rPr>
          <w:rFonts w:hint="eastAsia" w:ascii="宋体" w:hAnsi="宋体"/>
          <w:color w:val="auto"/>
          <w:spacing w:val="6"/>
          <w:szCs w:val="21"/>
        </w:rPr>
        <w:t xml:space="preserve">                                            </w:t>
      </w:r>
    </w:p>
    <w:p w14:paraId="224AE4D6">
      <w:pPr>
        <w:spacing w:line="360" w:lineRule="auto"/>
        <w:ind w:firstLine="420"/>
        <w:jc w:val="right"/>
        <w:rPr>
          <w:rFonts w:ascii="宋体" w:hAnsi="宋体"/>
          <w:color w:val="auto"/>
          <w:spacing w:val="6"/>
          <w:szCs w:val="21"/>
        </w:rPr>
      </w:pPr>
      <w:r>
        <w:rPr>
          <w:rFonts w:ascii="宋体" w:hAnsi="宋体"/>
          <w:color w:val="auto"/>
          <w:spacing w:val="6"/>
          <w:szCs w:val="21"/>
        </w:rPr>
        <w:t>单位名称（</w:t>
      </w:r>
      <w:r>
        <w:rPr>
          <w:rFonts w:hint="eastAsia" w:ascii="宋体" w:hAnsi="宋体"/>
          <w:color w:val="auto"/>
          <w:spacing w:val="6"/>
          <w:szCs w:val="21"/>
        </w:rPr>
        <w:t>电子签章</w:t>
      </w:r>
      <w:r>
        <w:rPr>
          <w:rFonts w:ascii="宋体" w:hAnsi="宋体"/>
          <w:color w:val="auto"/>
          <w:spacing w:val="6"/>
          <w:szCs w:val="21"/>
        </w:rPr>
        <w:t xml:space="preserve">）：          </w:t>
      </w:r>
    </w:p>
    <w:p w14:paraId="349DE373">
      <w:pPr>
        <w:spacing w:line="360" w:lineRule="auto"/>
        <w:ind w:firstLine="420"/>
        <w:rPr>
          <w:rFonts w:ascii="宋体" w:hAnsi="宋体"/>
          <w:color w:val="auto"/>
          <w:szCs w:val="21"/>
        </w:rPr>
      </w:pPr>
      <w:r>
        <w:rPr>
          <w:rFonts w:ascii="宋体" w:hAnsi="宋体"/>
          <w:color w:val="auto"/>
          <w:spacing w:val="6"/>
          <w:szCs w:val="21"/>
        </w:rPr>
        <w:t xml:space="preserve"> </w:t>
      </w:r>
      <w:r>
        <w:rPr>
          <w:rFonts w:hint="eastAsia" w:ascii="宋体" w:hAnsi="宋体"/>
          <w:color w:val="auto"/>
          <w:spacing w:val="6"/>
          <w:szCs w:val="21"/>
        </w:rPr>
        <w:t xml:space="preserve">                                                      </w:t>
      </w:r>
      <w:r>
        <w:rPr>
          <w:rFonts w:ascii="宋体" w:hAnsi="宋体"/>
          <w:color w:val="auto"/>
          <w:spacing w:val="6"/>
          <w:szCs w:val="21"/>
        </w:rPr>
        <w:t>日  期：</w:t>
      </w:r>
    </w:p>
    <w:p w14:paraId="47CBC9AE">
      <w:pPr>
        <w:rPr>
          <w:rFonts w:ascii="宋体" w:hAnsi="宋体"/>
          <w:color w:val="auto"/>
        </w:rPr>
      </w:pPr>
    </w:p>
    <w:p w14:paraId="3169D548">
      <w:pPr>
        <w:pStyle w:val="2"/>
        <w:rPr>
          <w:rFonts w:ascii="宋体" w:hAnsi="宋体"/>
          <w:color w:val="auto"/>
        </w:rPr>
        <w:sectPr>
          <w:headerReference r:id="rId22" w:type="default"/>
          <w:pgSz w:w="11906" w:h="16838"/>
          <w:pgMar w:top="1418" w:right="1274" w:bottom="1418" w:left="1418" w:header="851" w:footer="992" w:gutter="0"/>
          <w:cols w:space="720" w:num="1"/>
          <w:docGrid w:linePitch="312" w:charSpace="0"/>
        </w:sectPr>
      </w:pPr>
    </w:p>
    <w:p w14:paraId="0C82FC83">
      <w:pPr>
        <w:snapToGrid w:val="0"/>
        <w:spacing w:before="50" w:after="120" w:afterLines="50"/>
        <w:jc w:val="left"/>
        <w:rPr>
          <w:rFonts w:ascii="宋体" w:hAnsi="宋体"/>
          <w:color w:val="auto"/>
          <w:szCs w:val="21"/>
        </w:rPr>
      </w:pPr>
      <w:r>
        <w:rPr>
          <w:rFonts w:ascii="宋体" w:hAnsi="宋体"/>
          <w:color w:val="auto"/>
          <w:szCs w:val="21"/>
        </w:rPr>
        <w:t>15.</w:t>
      </w:r>
      <w:r>
        <w:rPr>
          <w:rFonts w:hint="eastAsia" w:ascii="宋体" w:hAnsi="宋体"/>
          <w:color w:val="auto"/>
        </w:rPr>
        <w:t xml:space="preserve"> </w:t>
      </w:r>
      <w:r>
        <w:rPr>
          <w:rFonts w:hint="eastAsia" w:ascii="宋体" w:hAnsi="宋体"/>
          <w:color w:val="auto"/>
          <w:szCs w:val="21"/>
        </w:rPr>
        <w:t>无串标行为承诺函</w:t>
      </w:r>
    </w:p>
    <w:p w14:paraId="7A188959">
      <w:pPr>
        <w:snapToGrid w:val="0"/>
        <w:spacing w:before="50" w:after="120" w:afterLines="50"/>
        <w:jc w:val="center"/>
        <w:rPr>
          <w:rFonts w:ascii="宋体" w:hAnsi="宋体"/>
          <w:color w:val="auto"/>
          <w:szCs w:val="21"/>
        </w:rPr>
      </w:pPr>
    </w:p>
    <w:p w14:paraId="3F2FE7AC">
      <w:pPr>
        <w:snapToGrid w:val="0"/>
        <w:spacing w:before="50" w:after="120" w:afterLines="50"/>
        <w:jc w:val="center"/>
        <w:rPr>
          <w:rFonts w:ascii="宋体" w:hAnsi="宋体"/>
          <w:color w:val="auto"/>
          <w:szCs w:val="21"/>
        </w:rPr>
      </w:pPr>
      <w:r>
        <w:rPr>
          <w:rFonts w:hint="eastAsia" w:ascii="宋体" w:hAnsi="宋体"/>
          <w:color w:val="auto"/>
          <w:szCs w:val="21"/>
        </w:rPr>
        <w:t>供应商参加本项目无围标串标行为的承诺函</w:t>
      </w:r>
    </w:p>
    <w:p w14:paraId="3C64B870">
      <w:pPr>
        <w:snapToGrid w:val="0"/>
        <w:spacing w:before="50" w:after="120" w:afterLines="50"/>
        <w:jc w:val="left"/>
        <w:rPr>
          <w:rFonts w:ascii="宋体" w:hAnsi="宋体"/>
          <w:color w:val="auto"/>
          <w:szCs w:val="21"/>
        </w:rPr>
      </w:pPr>
    </w:p>
    <w:p w14:paraId="3E8C5F9B">
      <w:pPr>
        <w:snapToGrid w:val="0"/>
        <w:spacing w:before="50" w:after="120" w:afterLines="50"/>
        <w:jc w:val="left"/>
        <w:rPr>
          <w:rFonts w:ascii="宋体" w:hAnsi="宋体"/>
          <w:color w:val="auto"/>
          <w:szCs w:val="21"/>
        </w:rPr>
      </w:pPr>
      <w:r>
        <w:rPr>
          <w:rFonts w:hint="eastAsia" w:ascii="宋体" w:hAnsi="宋体"/>
          <w:color w:val="auto"/>
          <w:szCs w:val="21"/>
        </w:rPr>
        <w:t>一、我方承诺无下列相互串通投标的情形：</w:t>
      </w:r>
    </w:p>
    <w:p w14:paraId="054CABA1">
      <w:pPr>
        <w:snapToGrid w:val="0"/>
        <w:spacing w:before="50" w:after="120" w:afterLines="50"/>
        <w:jc w:val="left"/>
        <w:rPr>
          <w:rFonts w:ascii="宋体" w:hAnsi="宋体"/>
          <w:color w:val="auto"/>
          <w:szCs w:val="21"/>
        </w:rPr>
      </w:pPr>
      <w:r>
        <w:rPr>
          <w:rFonts w:hint="eastAsia" w:ascii="宋体" w:hAnsi="宋体"/>
          <w:color w:val="auto"/>
          <w:szCs w:val="21"/>
        </w:rPr>
        <w:t>1.不同供应商的响应文件由同一单位或者个人编制；或者不同供应商报名的IP地址一致的；</w:t>
      </w:r>
    </w:p>
    <w:p w14:paraId="398830B8">
      <w:pPr>
        <w:snapToGrid w:val="0"/>
        <w:spacing w:before="50" w:after="120" w:afterLines="50"/>
        <w:jc w:val="left"/>
        <w:rPr>
          <w:rFonts w:ascii="宋体" w:hAnsi="宋体"/>
          <w:color w:val="auto"/>
          <w:szCs w:val="21"/>
        </w:rPr>
      </w:pPr>
      <w:r>
        <w:rPr>
          <w:rFonts w:hint="eastAsia" w:ascii="宋体" w:hAnsi="宋体"/>
          <w:color w:val="auto"/>
          <w:szCs w:val="21"/>
        </w:rPr>
        <w:t>2.不同供应商委托同一单位或者个人办理投标事宜；</w:t>
      </w:r>
    </w:p>
    <w:p w14:paraId="713F8890">
      <w:pPr>
        <w:snapToGrid w:val="0"/>
        <w:spacing w:before="50" w:after="120" w:afterLines="50"/>
        <w:jc w:val="left"/>
        <w:rPr>
          <w:rFonts w:ascii="宋体" w:hAnsi="宋体"/>
          <w:color w:val="auto"/>
          <w:szCs w:val="21"/>
        </w:rPr>
      </w:pPr>
      <w:r>
        <w:rPr>
          <w:rFonts w:hint="eastAsia" w:ascii="宋体" w:hAnsi="宋体"/>
          <w:color w:val="auto"/>
          <w:szCs w:val="21"/>
        </w:rPr>
        <w:t>3.不同的供应商的响应文件载明的项目管理员为同一个人；</w:t>
      </w:r>
    </w:p>
    <w:p w14:paraId="1203F1B0">
      <w:pPr>
        <w:snapToGrid w:val="0"/>
        <w:spacing w:before="50" w:after="120" w:afterLines="50"/>
        <w:jc w:val="left"/>
        <w:rPr>
          <w:rFonts w:ascii="宋体" w:hAnsi="宋体"/>
          <w:color w:val="auto"/>
          <w:szCs w:val="21"/>
        </w:rPr>
      </w:pPr>
      <w:r>
        <w:rPr>
          <w:rFonts w:hint="eastAsia" w:ascii="宋体" w:hAnsi="宋体"/>
          <w:color w:val="auto"/>
          <w:szCs w:val="21"/>
        </w:rPr>
        <w:t>4.不同供应商的响应文件异常一致或者投标报价呈规律性差异；</w:t>
      </w:r>
    </w:p>
    <w:p w14:paraId="573E327D">
      <w:pPr>
        <w:snapToGrid w:val="0"/>
        <w:spacing w:before="50" w:after="120" w:afterLines="50"/>
        <w:jc w:val="left"/>
        <w:rPr>
          <w:rFonts w:ascii="宋体" w:hAnsi="宋体"/>
          <w:color w:val="auto"/>
          <w:szCs w:val="21"/>
        </w:rPr>
      </w:pPr>
      <w:r>
        <w:rPr>
          <w:rFonts w:hint="eastAsia" w:ascii="宋体" w:hAnsi="宋体"/>
          <w:color w:val="auto"/>
          <w:szCs w:val="21"/>
        </w:rPr>
        <w:t>5.不同供应商的响应文件相互混装；</w:t>
      </w:r>
    </w:p>
    <w:p w14:paraId="365D13FE">
      <w:pPr>
        <w:snapToGrid w:val="0"/>
        <w:spacing w:before="50" w:after="120" w:afterLines="50"/>
        <w:jc w:val="left"/>
        <w:rPr>
          <w:rFonts w:ascii="宋体" w:hAnsi="宋体"/>
          <w:color w:val="auto"/>
          <w:szCs w:val="21"/>
        </w:rPr>
      </w:pPr>
      <w:r>
        <w:rPr>
          <w:rFonts w:hint="eastAsia" w:ascii="宋体" w:hAnsi="宋体"/>
          <w:color w:val="auto"/>
          <w:szCs w:val="21"/>
        </w:rPr>
        <w:t>6.不同供应商的磋商保证金从同一单位或者个人账户转出。</w:t>
      </w:r>
    </w:p>
    <w:p w14:paraId="41BE173E">
      <w:pPr>
        <w:snapToGrid w:val="0"/>
        <w:spacing w:before="50" w:after="120" w:afterLines="50"/>
        <w:jc w:val="left"/>
        <w:rPr>
          <w:rFonts w:ascii="宋体" w:hAnsi="宋体"/>
          <w:color w:val="auto"/>
          <w:szCs w:val="21"/>
        </w:rPr>
      </w:pPr>
      <w:r>
        <w:rPr>
          <w:rFonts w:hint="eastAsia" w:ascii="宋体" w:hAnsi="宋体"/>
          <w:color w:val="auto"/>
          <w:szCs w:val="21"/>
        </w:rPr>
        <w:t>二、我方承诺无下列恶意串通的情形：</w:t>
      </w:r>
    </w:p>
    <w:p w14:paraId="5259631E">
      <w:pPr>
        <w:snapToGrid w:val="0"/>
        <w:spacing w:before="50" w:after="120" w:afterLines="50"/>
        <w:jc w:val="left"/>
        <w:rPr>
          <w:rFonts w:ascii="宋体" w:hAnsi="宋体"/>
          <w:color w:val="auto"/>
          <w:szCs w:val="21"/>
        </w:rPr>
      </w:pPr>
      <w:r>
        <w:rPr>
          <w:rFonts w:hint="eastAsia" w:ascii="宋体" w:hAnsi="宋体"/>
          <w:color w:val="auto"/>
          <w:szCs w:val="21"/>
        </w:rPr>
        <w:t>1.供应商直接或者间接从采购人或者采购代理机构处获得其他供应商的相关信息并修改其响应文件或者响应文件；</w:t>
      </w:r>
    </w:p>
    <w:p w14:paraId="5E7775D1">
      <w:pPr>
        <w:snapToGrid w:val="0"/>
        <w:spacing w:before="50" w:after="120" w:afterLines="50"/>
        <w:jc w:val="left"/>
        <w:rPr>
          <w:rFonts w:ascii="宋体" w:hAnsi="宋体"/>
          <w:color w:val="auto"/>
          <w:szCs w:val="21"/>
        </w:rPr>
      </w:pPr>
      <w:r>
        <w:rPr>
          <w:rFonts w:hint="eastAsia" w:ascii="宋体" w:hAnsi="宋体"/>
          <w:color w:val="auto"/>
          <w:szCs w:val="21"/>
        </w:rPr>
        <w:t>2.供应商按照采购人或者采购代理机构的授意撤换、修改响应文件或者响应文件；</w:t>
      </w:r>
    </w:p>
    <w:p w14:paraId="13E5BE3F">
      <w:pPr>
        <w:snapToGrid w:val="0"/>
        <w:spacing w:before="50" w:after="120" w:afterLines="50"/>
        <w:jc w:val="left"/>
        <w:rPr>
          <w:rFonts w:ascii="宋体" w:hAnsi="宋体"/>
          <w:color w:val="auto"/>
          <w:szCs w:val="21"/>
        </w:rPr>
      </w:pPr>
      <w:r>
        <w:rPr>
          <w:rFonts w:hint="eastAsia" w:ascii="宋体" w:hAnsi="宋体"/>
          <w:color w:val="auto"/>
          <w:szCs w:val="21"/>
        </w:rPr>
        <w:t>3.供应商之间协商报价、技术方案等响应文件或者响应文件的实质性内容；</w:t>
      </w:r>
    </w:p>
    <w:p w14:paraId="3BD74668">
      <w:pPr>
        <w:snapToGrid w:val="0"/>
        <w:spacing w:before="50" w:after="120" w:afterLines="50"/>
        <w:jc w:val="left"/>
        <w:rPr>
          <w:rFonts w:ascii="宋体" w:hAnsi="宋体"/>
          <w:color w:val="auto"/>
          <w:szCs w:val="21"/>
        </w:rPr>
      </w:pPr>
      <w:r>
        <w:rPr>
          <w:rFonts w:hint="eastAsia" w:ascii="宋体" w:hAnsi="宋体"/>
          <w:color w:val="auto"/>
          <w:szCs w:val="21"/>
        </w:rPr>
        <w:t>4.属于同一集团、协会、商会等组织成员的供应商按照该组织要求协同参加政府采购活动；</w:t>
      </w:r>
    </w:p>
    <w:p w14:paraId="359ECDE9">
      <w:pPr>
        <w:snapToGrid w:val="0"/>
        <w:spacing w:before="50" w:after="120" w:afterLines="50"/>
        <w:jc w:val="left"/>
        <w:rPr>
          <w:rFonts w:ascii="宋体" w:hAnsi="宋体"/>
          <w:color w:val="auto"/>
          <w:szCs w:val="21"/>
        </w:rPr>
      </w:pPr>
      <w:r>
        <w:rPr>
          <w:rFonts w:hint="eastAsia" w:ascii="宋体" w:hAnsi="宋体"/>
          <w:color w:val="auto"/>
          <w:szCs w:val="21"/>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rFonts w:ascii="宋体" w:hAnsi="宋体"/>
          <w:color w:val="auto"/>
          <w:szCs w:val="21"/>
        </w:rPr>
      </w:pPr>
      <w:r>
        <w:rPr>
          <w:rFonts w:hint="eastAsia" w:ascii="宋体" w:hAnsi="宋体"/>
          <w:color w:val="auto"/>
          <w:szCs w:val="21"/>
        </w:rPr>
        <w:t>6.供应商之间商定部分供应商放弃参加政府采购活动或者放弃中标；</w:t>
      </w:r>
    </w:p>
    <w:p w14:paraId="01DD7B6D">
      <w:pPr>
        <w:snapToGrid w:val="0"/>
        <w:spacing w:before="50" w:after="120" w:afterLines="50"/>
        <w:jc w:val="left"/>
        <w:rPr>
          <w:rFonts w:ascii="宋体" w:hAnsi="宋体"/>
          <w:color w:val="auto"/>
          <w:szCs w:val="21"/>
        </w:rPr>
      </w:pPr>
      <w:r>
        <w:rPr>
          <w:rFonts w:hint="eastAsia" w:ascii="宋体" w:hAnsi="宋体"/>
          <w:color w:val="auto"/>
          <w:szCs w:val="21"/>
        </w:rPr>
        <w:t>7.供应商与采购人或者采购代理机构之间、供应商相互之间，为谋求特定供应商中标或者排斥其他供应商的其他串通行为。</w:t>
      </w:r>
    </w:p>
    <w:p w14:paraId="1E7BFF26">
      <w:pPr>
        <w:snapToGrid w:val="0"/>
        <w:spacing w:before="50" w:after="120" w:afterLines="50"/>
        <w:jc w:val="left"/>
        <w:rPr>
          <w:rFonts w:ascii="宋体" w:hAnsi="宋体"/>
          <w:color w:val="auto"/>
          <w:szCs w:val="21"/>
        </w:rPr>
      </w:pPr>
      <w:r>
        <w:rPr>
          <w:rFonts w:hint="eastAsia" w:ascii="宋体" w:hAnsi="宋体"/>
          <w:color w:val="auto"/>
          <w:szCs w:val="21"/>
        </w:rPr>
        <w:t>以上情形一经核查属实，我方愿意承担一切后果，并不再寻求任何旨在减轻或者免除法律责任的辩解。</w:t>
      </w:r>
    </w:p>
    <w:p w14:paraId="640A43BD">
      <w:pPr>
        <w:snapToGrid w:val="0"/>
        <w:spacing w:before="50" w:after="120" w:afterLines="50"/>
        <w:jc w:val="cente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p>
    <w:p w14:paraId="72B9E09E">
      <w:pPr>
        <w:snapToGrid w:val="0"/>
        <w:spacing w:before="50" w:after="120" w:afterLines="50"/>
        <w:jc w:val="center"/>
        <w:rPr>
          <w:rFonts w:ascii="宋体" w:hAnsi="宋体"/>
          <w:color w:val="auto"/>
          <w:szCs w:val="21"/>
        </w:rPr>
      </w:pPr>
    </w:p>
    <w:p w14:paraId="172FC38B">
      <w:pPr>
        <w:snapToGrid w:val="0"/>
        <w:spacing w:before="50" w:after="120" w:afterLines="50"/>
        <w:jc w:val="center"/>
        <w:rPr>
          <w:rFonts w:ascii="宋体" w:hAnsi="宋体"/>
          <w:color w:val="auto"/>
          <w:szCs w:val="21"/>
        </w:rPr>
      </w:pPr>
    </w:p>
    <w:p w14:paraId="1C02C72D">
      <w:pPr>
        <w:snapToGrid w:val="0"/>
        <w:spacing w:before="50" w:after="120" w:afterLines="50"/>
        <w:jc w:val="center"/>
        <w:rPr>
          <w:rFonts w:ascii="宋体" w:hAnsi="宋体"/>
          <w:color w:val="auto"/>
          <w:szCs w:val="21"/>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hint="eastAsia" w:ascii="宋体" w:hAnsi="宋体"/>
          <w:color w:val="auto"/>
          <w:szCs w:val="21"/>
        </w:rPr>
        <w:t>：</w:t>
      </w:r>
    </w:p>
    <w:p w14:paraId="6E347647">
      <w:pPr>
        <w:snapToGrid w:val="0"/>
        <w:spacing w:before="50" w:after="120" w:afterLines="50"/>
        <w:jc w:val="center"/>
        <w:rPr>
          <w:rFonts w:ascii="宋体" w:hAnsi="宋体"/>
          <w:color w:val="auto"/>
          <w:szCs w:val="21"/>
        </w:rPr>
      </w:pPr>
      <w:r>
        <w:rPr>
          <w:rFonts w:hint="eastAsia" w:ascii="宋体" w:hAnsi="宋体"/>
          <w:color w:val="auto"/>
          <w:szCs w:val="21"/>
        </w:rPr>
        <w:t>日期：  年  月   日</w:t>
      </w:r>
    </w:p>
    <w:p w14:paraId="1D0DB2E8">
      <w:pPr>
        <w:snapToGrid w:val="0"/>
        <w:spacing w:before="50" w:after="120" w:afterLines="50"/>
        <w:jc w:val="left"/>
        <w:rPr>
          <w:rFonts w:ascii="宋体" w:hAnsi="宋体"/>
          <w:color w:val="auto"/>
          <w:szCs w:val="21"/>
        </w:rPr>
        <w:sectPr>
          <w:pgSz w:w="11906" w:h="16838"/>
          <w:pgMar w:top="1418" w:right="1274" w:bottom="1418" w:left="1418" w:header="851" w:footer="992" w:gutter="0"/>
          <w:cols w:space="720" w:num="1"/>
          <w:docGrid w:linePitch="312" w:charSpace="0"/>
        </w:sectPr>
      </w:pPr>
    </w:p>
    <w:bookmarkEnd w:id="102"/>
    <w:p w14:paraId="23266FF2">
      <w:pPr>
        <w:snapToGrid w:val="0"/>
        <w:spacing w:before="50" w:after="120" w:afterLines="50"/>
        <w:jc w:val="left"/>
        <w:rPr>
          <w:rFonts w:ascii="宋体" w:hAnsi="宋体"/>
          <w:color w:val="auto"/>
          <w:szCs w:val="21"/>
        </w:rPr>
      </w:pPr>
      <w:r>
        <w:rPr>
          <w:rFonts w:ascii="宋体" w:hAnsi="宋体"/>
          <w:color w:val="auto"/>
          <w:szCs w:val="21"/>
        </w:rPr>
        <w:t>16．代理服务费承诺书</w:t>
      </w:r>
      <w:bookmarkEnd w:id="103"/>
    </w:p>
    <w:p w14:paraId="15352D67">
      <w:pPr>
        <w:spacing w:line="360" w:lineRule="exact"/>
        <w:rPr>
          <w:rFonts w:ascii="宋体" w:hAnsi="宋体"/>
          <w:color w:val="auto"/>
          <w:szCs w:val="21"/>
        </w:rPr>
      </w:pPr>
      <w:bookmarkStart w:id="108" w:name="_Hlk19110490"/>
      <w:r>
        <w:rPr>
          <w:rFonts w:ascii="宋体" w:hAnsi="宋体"/>
          <w:color w:val="auto"/>
          <w:szCs w:val="21"/>
        </w:rPr>
        <w:t>致：广西机电设备招标有限公司</w:t>
      </w:r>
    </w:p>
    <w:p w14:paraId="1E75347E">
      <w:pPr>
        <w:spacing w:line="360" w:lineRule="exact"/>
        <w:ind w:firstLine="420" w:firstLineChars="200"/>
        <w:rPr>
          <w:rFonts w:ascii="宋体" w:hAnsi="宋体"/>
          <w:color w:val="auto"/>
          <w:szCs w:val="21"/>
        </w:rPr>
      </w:pPr>
      <w:r>
        <w:rPr>
          <w:rFonts w:ascii="宋体" w:hAnsi="宋体"/>
          <w:color w:val="auto"/>
          <w:szCs w:val="21"/>
        </w:rPr>
        <w:t>我单位参加了贵方组织的磋商项目编号为</w:t>
      </w:r>
      <w:r>
        <w:rPr>
          <w:rFonts w:ascii="宋体" w:hAnsi="宋体"/>
          <w:b/>
          <w:color w:val="auto"/>
          <w:szCs w:val="21"/>
        </w:rPr>
        <w:t>（</w:t>
      </w:r>
      <w:r>
        <w:rPr>
          <w:rFonts w:ascii="宋体" w:hAnsi="宋体"/>
          <w:color w:val="auto"/>
          <w:szCs w:val="21"/>
          <w:u w:val="single"/>
        </w:rPr>
        <w:t xml:space="preserve">                    )</w:t>
      </w:r>
      <w:r>
        <w:rPr>
          <w:rFonts w:ascii="宋体" w:hAnsi="宋体"/>
          <w:color w:val="auto"/>
          <w:szCs w:val="21"/>
        </w:rPr>
        <w:t>的响应，并递交了磋商保证金</w:t>
      </w:r>
      <w:r>
        <w:rPr>
          <w:rFonts w:ascii="宋体" w:hAnsi="宋体"/>
          <w:color w:val="auto"/>
          <w:szCs w:val="21"/>
          <w:u w:val="single"/>
        </w:rPr>
        <w:t xml:space="preserve">                  </w:t>
      </w:r>
      <w:r>
        <w:rPr>
          <w:rFonts w:ascii="宋体" w:hAnsi="宋体"/>
          <w:color w:val="auto"/>
          <w:szCs w:val="21"/>
        </w:rPr>
        <w:t>（</w:t>
      </w:r>
      <w:r>
        <w:rPr>
          <w:rFonts w:ascii="宋体" w:hAnsi="宋体"/>
          <w:color w:val="auto"/>
          <w:kern w:val="0"/>
          <w:szCs w:val="21"/>
        </w:rPr>
        <w:t>¥</w:t>
      </w:r>
      <w:r>
        <w:rPr>
          <w:rFonts w:ascii="宋体" w:hAnsi="宋体"/>
          <w:color w:val="auto"/>
          <w:szCs w:val="21"/>
          <w:u w:val="single"/>
        </w:rPr>
        <w:t xml:space="preserve">       </w:t>
      </w:r>
      <w:r>
        <w:rPr>
          <w:rFonts w:ascii="宋体" w:hAnsi="宋体"/>
          <w:color w:val="auto"/>
          <w:szCs w:val="21"/>
        </w:rPr>
        <w:t>），在此我方说明如下：</w:t>
      </w:r>
    </w:p>
    <w:p w14:paraId="5FB25328">
      <w:pPr>
        <w:spacing w:line="360" w:lineRule="exact"/>
        <w:ind w:firstLine="420" w:firstLineChars="200"/>
        <w:rPr>
          <w:rFonts w:ascii="宋体" w:hAnsi="宋体"/>
          <w:color w:val="auto"/>
          <w:szCs w:val="21"/>
        </w:rPr>
      </w:pPr>
      <w:r>
        <w:rPr>
          <w:rFonts w:ascii="宋体" w:hAnsi="宋体"/>
          <w:color w:val="auto"/>
          <w:szCs w:val="21"/>
        </w:rPr>
        <w:t>1．我方承诺，若我单位</w:t>
      </w:r>
      <w:r>
        <w:rPr>
          <w:rFonts w:hint="eastAsia" w:ascii="宋体" w:hAnsi="宋体"/>
          <w:color w:val="auto"/>
          <w:szCs w:val="21"/>
        </w:rPr>
        <w:t>成交</w:t>
      </w:r>
      <w:r>
        <w:rPr>
          <w:rFonts w:ascii="宋体" w:hAnsi="宋体"/>
          <w:color w:val="auto"/>
          <w:szCs w:val="21"/>
        </w:rPr>
        <w:t>，保证在领取</w:t>
      </w:r>
      <w:r>
        <w:rPr>
          <w:rFonts w:hint="eastAsia" w:ascii="宋体" w:hAnsi="宋体"/>
          <w:color w:val="auto"/>
          <w:szCs w:val="21"/>
        </w:rPr>
        <w:t>成交</w:t>
      </w:r>
      <w:r>
        <w:rPr>
          <w:rFonts w:ascii="宋体" w:hAnsi="宋体"/>
          <w:color w:val="auto"/>
          <w:szCs w:val="21"/>
        </w:rPr>
        <w:t>通知书之前，按本项目</w:t>
      </w:r>
      <w:r>
        <w:rPr>
          <w:rFonts w:hint="eastAsia" w:ascii="宋体" w:hAnsi="宋体"/>
          <w:color w:val="auto"/>
          <w:szCs w:val="21"/>
        </w:rPr>
        <w:t>采购文件</w:t>
      </w:r>
      <w:r>
        <w:rPr>
          <w:rFonts w:ascii="宋体" w:hAnsi="宋体"/>
          <w:color w:val="auto"/>
          <w:szCs w:val="21"/>
        </w:rPr>
        <w:t>的规定标准向贵单位支付代理服务费。如我单位未按规定缴纳代理服务费，贵方可</w:t>
      </w:r>
      <w:r>
        <w:rPr>
          <w:rFonts w:hint="eastAsia" w:ascii="宋体" w:hAnsi="宋体"/>
          <w:color w:val="auto"/>
          <w:szCs w:val="21"/>
        </w:rPr>
        <w:t>不退还</w:t>
      </w:r>
      <w:r>
        <w:rPr>
          <w:rFonts w:ascii="宋体" w:hAnsi="宋体"/>
          <w:color w:val="auto"/>
          <w:szCs w:val="21"/>
        </w:rPr>
        <w:t>我单位提交的</w:t>
      </w:r>
      <w:r>
        <w:rPr>
          <w:rFonts w:hint="eastAsia" w:ascii="宋体" w:hAnsi="宋体"/>
          <w:color w:val="auto"/>
          <w:szCs w:val="21"/>
        </w:rPr>
        <w:t>磋商</w:t>
      </w:r>
      <w:r>
        <w:rPr>
          <w:rFonts w:ascii="宋体" w:hAnsi="宋体"/>
          <w:color w:val="auto"/>
          <w:szCs w:val="21"/>
        </w:rPr>
        <w:t>保证金</w:t>
      </w:r>
      <w:r>
        <w:rPr>
          <w:rFonts w:hint="eastAsia" w:ascii="宋体" w:hAnsi="宋体"/>
          <w:color w:val="auto"/>
          <w:szCs w:val="21"/>
        </w:rPr>
        <w:t>，并从中</w:t>
      </w:r>
      <w:r>
        <w:rPr>
          <w:rFonts w:ascii="宋体" w:hAnsi="宋体"/>
          <w:color w:val="auto"/>
          <w:szCs w:val="21"/>
        </w:rPr>
        <w:t>扣除</w:t>
      </w:r>
      <w:r>
        <w:rPr>
          <w:rFonts w:hint="eastAsia" w:ascii="宋体" w:hAnsi="宋体"/>
          <w:color w:val="auto"/>
          <w:szCs w:val="21"/>
        </w:rPr>
        <w:t>代理服务费</w:t>
      </w:r>
      <w:r>
        <w:rPr>
          <w:rFonts w:ascii="宋体" w:hAnsi="宋体"/>
          <w:color w:val="auto"/>
          <w:szCs w:val="21"/>
        </w:rPr>
        <w:t>，余款按下列账户退回。</w:t>
      </w:r>
    </w:p>
    <w:bookmarkEnd w:id="108"/>
    <w:p w14:paraId="77A5155B">
      <w:pPr>
        <w:spacing w:line="360" w:lineRule="exact"/>
        <w:ind w:firstLine="420" w:firstLineChars="200"/>
        <w:rPr>
          <w:rFonts w:ascii="宋体" w:hAnsi="宋体"/>
          <w:color w:val="auto"/>
          <w:szCs w:val="21"/>
        </w:rPr>
      </w:pPr>
      <w:r>
        <w:rPr>
          <w:rFonts w:ascii="宋体" w:hAnsi="宋体"/>
          <w:color w:val="auto"/>
          <w:szCs w:val="21"/>
        </w:rPr>
        <w:t>我公司选择第</w:t>
      </w:r>
      <w:r>
        <w:rPr>
          <w:rFonts w:ascii="宋体" w:hAnsi="宋体"/>
          <w:color w:val="auto"/>
          <w:szCs w:val="21"/>
          <w:u w:val="single"/>
        </w:rPr>
        <w:t xml:space="preserve">     </w:t>
      </w:r>
      <w:r>
        <w:rPr>
          <w:rFonts w:ascii="宋体" w:hAnsi="宋体"/>
          <w:color w:val="auto"/>
          <w:szCs w:val="21"/>
        </w:rPr>
        <w:t>种方式缴纳代理服务费。</w:t>
      </w:r>
    </w:p>
    <w:p w14:paraId="47742C39">
      <w:pPr>
        <w:spacing w:line="360" w:lineRule="exact"/>
        <w:ind w:firstLine="420" w:firstLineChars="200"/>
        <w:rPr>
          <w:rFonts w:ascii="宋体" w:hAnsi="宋体"/>
          <w:color w:val="auto"/>
          <w:szCs w:val="21"/>
        </w:rPr>
      </w:pPr>
      <w:r>
        <w:rPr>
          <w:rFonts w:ascii="宋体" w:hAnsi="宋体"/>
          <w:color w:val="auto"/>
          <w:szCs w:val="21"/>
        </w:rPr>
        <w:t>第一种方式：一次性足额缴纳代理服务费。</w:t>
      </w:r>
    </w:p>
    <w:p w14:paraId="47E3DFD5">
      <w:pPr>
        <w:spacing w:line="360" w:lineRule="exact"/>
        <w:ind w:firstLine="420" w:firstLineChars="200"/>
        <w:rPr>
          <w:rFonts w:ascii="宋体" w:hAnsi="宋体"/>
          <w:color w:val="auto"/>
          <w:szCs w:val="21"/>
        </w:rPr>
      </w:pPr>
      <w:r>
        <w:rPr>
          <w:rFonts w:ascii="宋体" w:hAnsi="宋体"/>
          <w:color w:val="auto"/>
          <w:szCs w:val="21"/>
        </w:rPr>
        <w:t>第二种方式：从</w:t>
      </w:r>
      <w:r>
        <w:rPr>
          <w:rFonts w:hint="eastAsia" w:ascii="宋体" w:hAnsi="宋体"/>
          <w:color w:val="auto"/>
          <w:szCs w:val="21"/>
        </w:rPr>
        <w:t>磋商</w:t>
      </w:r>
      <w:r>
        <w:rPr>
          <w:rFonts w:ascii="宋体" w:hAnsi="宋体"/>
          <w:color w:val="auto"/>
          <w:szCs w:val="21"/>
        </w:rPr>
        <w:t>保证金中抵扣代理服务费，不足部分补交。</w:t>
      </w:r>
    </w:p>
    <w:p w14:paraId="103E27D2">
      <w:pPr>
        <w:spacing w:line="360" w:lineRule="exact"/>
        <w:ind w:firstLine="420" w:firstLineChars="200"/>
        <w:rPr>
          <w:rFonts w:ascii="宋体" w:hAnsi="宋体"/>
          <w:color w:val="auto"/>
          <w:szCs w:val="21"/>
        </w:rPr>
      </w:pPr>
      <w:r>
        <w:rPr>
          <w:rFonts w:ascii="宋体" w:hAnsi="宋体"/>
          <w:color w:val="auto"/>
          <w:szCs w:val="21"/>
        </w:rPr>
        <w:t>2．如我单位磋商保证金无法原路返回，请按下表账户信息无息退还。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658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7A8FC506">
            <w:pPr>
              <w:spacing w:line="360" w:lineRule="exact"/>
              <w:jc w:val="center"/>
              <w:rPr>
                <w:rFonts w:ascii="宋体" w:hAnsi="宋体"/>
                <w:color w:val="auto"/>
                <w:szCs w:val="21"/>
              </w:rPr>
            </w:pPr>
            <w:r>
              <w:rPr>
                <w:rFonts w:ascii="宋体" w:hAnsi="宋体"/>
                <w:color w:val="auto"/>
                <w:szCs w:val="21"/>
              </w:rPr>
              <w:t>收款户名</w:t>
            </w:r>
          </w:p>
        </w:tc>
        <w:tc>
          <w:tcPr>
            <w:tcW w:w="5431" w:type="dxa"/>
            <w:vAlign w:val="center"/>
          </w:tcPr>
          <w:p w14:paraId="38481906">
            <w:pPr>
              <w:spacing w:line="360" w:lineRule="exact"/>
              <w:jc w:val="center"/>
              <w:rPr>
                <w:rFonts w:ascii="宋体" w:hAnsi="宋体"/>
                <w:color w:val="auto"/>
                <w:szCs w:val="21"/>
              </w:rPr>
            </w:pPr>
          </w:p>
        </w:tc>
      </w:tr>
      <w:tr w14:paraId="6F66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FB246E2">
            <w:pPr>
              <w:spacing w:line="360" w:lineRule="exact"/>
              <w:jc w:val="center"/>
              <w:rPr>
                <w:rFonts w:ascii="宋体" w:hAnsi="宋体"/>
                <w:color w:val="auto"/>
                <w:szCs w:val="21"/>
              </w:rPr>
            </w:pPr>
            <w:r>
              <w:rPr>
                <w:rFonts w:ascii="宋体" w:hAnsi="宋体"/>
                <w:color w:val="auto"/>
                <w:szCs w:val="21"/>
              </w:rPr>
              <w:t>账    号</w:t>
            </w:r>
          </w:p>
        </w:tc>
        <w:tc>
          <w:tcPr>
            <w:tcW w:w="5431" w:type="dxa"/>
            <w:vAlign w:val="center"/>
          </w:tcPr>
          <w:p w14:paraId="0A1EF65D">
            <w:pPr>
              <w:spacing w:line="360" w:lineRule="exact"/>
              <w:jc w:val="center"/>
              <w:rPr>
                <w:rFonts w:ascii="宋体" w:hAnsi="宋体"/>
                <w:color w:val="auto"/>
                <w:szCs w:val="21"/>
              </w:rPr>
            </w:pPr>
          </w:p>
        </w:tc>
      </w:tr>
      <w:tr w14:paraId="3F2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28798FBB">
            <w:pPr>
              <w:spacing w:line="360" w:lineRule="exact"/>
              <w:jc w:val="center"/>
              <w:rPr>
                <w:rFonts w:ascii="宋体" w:hAnsi="宋体"/>
                <w:color w:val="auto"/>
                <w:szCs w:val="21"/>
              </w:rPr>
            </w:pPr>
            <w:r>
              <w:rPr>
                <w:rFonts w:ascii="宋体" w:hAnsi="宋体"/>
                <w:color w:val="auto"/>
                <w:szCs w:val="21"/>
              </w:rPr>
              <w:t>开户银行</w:t>
            </w:r>
          </w:p>
        </w:tc>
        <w:tc>
          <w:tcPr>
            <w:tcW w:w="5431" w:type="dxa"/>
            <w:vAlign w:val="center"/>
          </w:tcPr>
          <w:p w14:paraId="3B3754AF">
            <w:pPr>
              <w:spacing w:line="360" w:lineRule="exact"/>
              <w:jc w:val="center"/>
              <w:rPr>
                <w:rFonts w:ascii="宋体" w:hAnsi="宋体"/>
                <w:color w:val="auto"/>
                <w:szCs w:val="21"/>
              </w:rPr>
            </w:pPr>
          </w:p>
        </w:tc>
      </w:tr>
      <w:tr w14:paraId="7017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5BA714F4">
            <w:pPr>
              <w:spacing w:line="360" w:lineRule="exact"/>
              <w:jc w:val="center"/>
              <w:rPr>
                <w:rFonts w:ascii="宋体" w:hAnsi="宋体"/>
                <w:color w:val="auto"/>
                <w:szCs w:val="21"/>
              </w:rPr>
            </w:pPr>
            <w:r>
              <w:rPr>
                <w:rFonts w:ascii="宋体" w:hAnsi="宋体"/>
                <w:color w:val="auto"/>
                <w:szCs w:val="21"/>
              </w:rPr>
              <w:t>银行行号</w:t>
            </w:r>
          </w:p>
        </w:tc>
        <w:tc>
          <w:tcPr>
            <w:tcW w:w="5431" w:type="dxa"/>
            <w:vAlign w:val="center"/>
          </w:tcPr>
          <w:p w14:paraId="3D5E392D">
            <w:pPr>
              <w:spacing w:line="360" w:lineRule="exact"/>
              <w:jc w:val="center"/>
              <w:rPr>
                <w:rFonts w:ascii="宋体" w:hAnsi="宋体"/>
                <w:color w:val="auto"/>
                <w:szCs w:val="21"/>
              </w:rPr>
            </w:pPr>
          </w:p>
        </w:tc>
      </w:tr>
    </w:tbl>
    <w:p w14:paraId="1539389B">
      <w:pPr>
        <w:spacing w:line="360" w:lineRule="exact"/>
        <w:ind w:firstLine="420" w:firstLineChars="200"/>
        <w:rPr>
          <w:rFonts w:ascii="宋体" w:hAnsi="宋体"/>
          <w:color w:val="auto"/>
          <w:szCs w:val="21"/>
        </w:rPr>
      </w:pPr>
      <w:r>
        <w:rPr>
          <w:rFonts w:ascii="宋体" w:hAnsi="宋体"/>
          <w:color w:val="auto"/>
          <w:szCs w:val="21"/>
        </w:rPr>
        <w:t>3．如果我单位未遵守有关采购文件关于磋商保证金的规定，贵方可以没收我单位磋商保证金。</w:t>
      </w:r>
    </w:p>
    <w:p w14:paraId="5E537596">
      <w:pPr>
        <w:spacing w:line="360" w:lineRule="exact"/>
        <w:ind w:firstLine="420" w:firstLineChars="200"/>
        <w:rPr>
          <w:rFonts w:ascii="宋体" w:hAnsi="宋体"/>
          <w:color w:val="auto"/>
          <w:szCs w:val="21"/>
        </w:rPr>
      </w:pPr>
      <w:r>
        <w:rPr>
          <w:rFonts w:ascii="宋体" w:hAnsi="宋体"/>
          <w:color w:val="auto"/>
          <w:szCs w:val="21"/>
        </w:rPr>
        <w:t>4. 我单位选择第</w:t>
      </w:r>
      <w:r>
        <w:rPr>
          <w:rFonts w:ascii="宋体" w:hAnsi="宋体"/>
          <w:color w:val="auto"/>
          <w:szCs w:val="21"/>
          <w:u w:val="single"/>
        </w:rPr>
        <w:t xml:space="preserve">     </w:t>
      </w:r>
      <w:r>
        <w:rPr>
          <w:rFonts w:ascii="宋体" w:hAnsi="宋体"/>
          <w:color w:val="auto"/>
          <w:szCs w:val="21"/>
        </w:rPr>
        <w:t>种方式作为代理服务费开票类型：</w:t>
      </w:r>
    </w:p>
    <w:p w14:paraId="38DFB7B1">
      <w:pPr>
        <w:spacing w:line="360" w:lineRule="exact"/>
        <w:ind w:firstLine="420" w:firstLineChars="200"/>
        <w:rPr>
          <w:rFonts w:ascii="宋体" w:hAnsi="宋体"/>
          <w:color w:val="auto"/>
          <w:szCs w:val="21"/>
        </w:rPr>
      </w:pPr>
      <w:r>
        <w:rPr>
          <w:rFonts w:ascii="宋体" w:hAnsi="宋体"/>
          <w:color w:val="auto"/>
          <w:szCs w:val="21"/>
        </w:rPr>
        <w:t>第一种方式：开具收据。</w:t>
      </w:r>
    </w:p>
    <w:p w14:paraId="7E68E5BD">
      <w:pPr>
        <w:spacing w:line="360" w:lineRule="exact"/>
        <w:ind w:firstLine="420" w:firstLineChars="200"/>
        <w:rPr>
          <w:rFonts w:ascii="宋体" w:hAnsi="宋体"/>
          <w:color w:val="auto"/>
          <w:szCs w:val="21"/>
        </w:rPr>
      </w:pPr>
      <w:r>
        <w:rPr>
          <w:rFonts w:ascii="宋体" w:hAnsi="宋体"/>
          <w:color w:val="auto"/>
          <w:szCs w:val="21"/>
        </w:rPr>
        <w:t>第二种方式：开具增值税普通发票。 1.公司名称</w:t>
      </w:r>
      <w:r>
        <w:rPr>
          <w:rFonts w:ascii="宋体" w:hAnsi="宋体"/>
          <w:color w:val="auto"/>
          <w:szCs w:val="21"/>
          <w:u w:val="single"/>
        </w:rPr>
        <w:t xml:space="preserve">                      </w:t>
      </w:r>
      <w:r>
        <w:rPr>
          <w:rFonts w:ascii="宋体" w:hAnsi="宋体"/>
          <w:color w:val="auto"/>
          <w:szCs w:val="21"/>
        </w:rPr>
        <w:t>；2.纳税人识别号</w:t>
      </w:r>
      <w:r>
        <w:rPr>
          <w:rFonts w:ascii="宋体" w:hAnsi="宋体"/>
          <w:color w:val="auto"/>
          <w:szCs w:val="21"/>
          <w:u w:val="single"/>
        </w:rPr>
        <w:t xml:space="preserve">                     </w:t>
      </w:r>
      <w:r>
        <w:rPr>
          <w:rFonts w:ascii="宋体" w:hAnsi="宋体"/>
          <w:color w:val="auto"/>
          <w:szCs w:val="21"/>
        </w:rPr>
        <w:t>；</w:t>
      </w:r>
    </w:p>
    <w:p w14:paraId="53AFA6C2">
      <w:pPr>
        <w:spacing w:line="360" w:lineRule="exact"/>
        <w:ind w:firstLine="420" w:firstLineChars="200"/>
        <w:rPr>
          <w:rFonts w:ascii="宋体" w:hAnsi="宋体"/>
          <w:color w:val="auto"/>
          <w:szCs w:val="21"/>
        </w:rPr>
      </w:pPr>
      <w:r>
        <w:rPr>
          <w:rFonts w:ascii="宋体" w:hAnsi="宋体"/>
          <w:color w:val="auto"/>
          <w:szCs w:val="21"/>
        </w:rPr>
        <w:t>第三种方式：开具增值税专用发票，开票信息如下：1.公司名称</w:t>
      </w:r>
      <w:r>
        <w:rPr>
          <w:rFonts w:ascii="宋体" w:hAnsi="宋体"/>
          <w:color w:val="auto"/>
          <w:szCs w:val="21"/>
          <w:u w:val="single"/>
        </w:rPr>
        <w:t xml:space="preserve">                      </w:t>
      </w:r>
      <w:r>
        <w:rPr>
          <w:rFonts w:ascii="宋体" w:hAnsi="宋体"/>
          <w:color w:val="auto"/>
          <w:szCs w:val="21"/>
        </w:rPr>
        <w:t>；2.纳税人识别号</w:t>
      </w:r>
      <w:r>
        <w:rPr>
          <w:rFonts w:ascii="宋体" w:hAnsi="宋体"/>
          <w:color w:val="auto"/>
          <w:szCs w:val="21"/>
          <w:u w:val="single"/>
        </w:rPr>
        <w:t xml:space="preserve">                     </w:t>
      </w:r>
      <w:r>
        <w:rPr>
          <w:rFonts w:ascii="宋体" w:hAnsi="宋体"/>
          <w:color w:val="auto"/>
          <w:szCs w:val="21"/>
        </w:rPr>
        <w:t>；3.税局登记地址</w:t>
      </w:r>
      <w:r>
        <w:rPr>
          <w:rFonts w:ascii="宋体" w:hAnsi="宋体"/>
          <w:color w:val="auto"/>
          <w:szCs w:val="21"/>
          <w:u w:val="single"/>
        </w:rPr>
        <w:t xml:space="preserve">                     </w:t>
      </w:r>
      <w:r>
        <w:rPr>
          <w:rFonts w:ascii="宋体" w:hAnsi="宋体"/>
          <w:color w:val="auto"/>
          <w:szCs w:val="21"/>
        </w:rPr>
        <w:t>；4.税局登记电话</w:t>
      </w:r>
      <w:r>
        <w:rPr>
          <w:rFonts w:ascii="宋体" w:hAnsi="宋体"/>
          <w:color w:val="auto"/>
          <w:szCs w:val="21"/>
          <w:u w:val="single"/>
        </w:rPr>
        <w:t xml:space="preserve">             </w:t>
      </w:r>
      <w:r>
        <w:rPr>
          <w:rFonts w:ascii="宋体" w:hAnsi="宋体"/>
          <w:color w:val="auto"/>
          <w:szCs w:val="21"/>
        </w:rPr>
        <w:t>；5.开户银行</w:t>
      </w:r>
      <w:r>
        <w:rPr>
          <w:rFonts w:ascii="宋体" w:hAnsi="宋体"/>
          <w:color w:val="auto"/>
          <w:szCs w:val="21"/>
          <w:u w:val="single"/>
        </w:rPr>
        <w:t xml:space="preserve">                 </w:t>
      </w:r>
      <w:r>
        <w:rPr>
          <w:rFonts w:ascii="宋体" w:hAnsi="宋体"/>
          <w:color w:val="auto"/>
          <w:szCs w:val="21"/>
        </w:rPr>
        <w:t>；6.银行账户</w:t>
      </w:r>
      <w:r>
        <w:rPr>
          <w:rFonts w:ascii="宋体" w:hAnsi="宋体"/>
          <w:color w:val="auto"/>
          <w:szCs w:val="21"/>
          <w:u w:val="single"/>
        </w:rPr>
        <w:t xml:space="preserve">                         </w:t>
      </w:r>
      <w:r>
        <w:rPr>
          <w:rFonts w:ascii="宋体" w:hAnsi="宋体"/>
          <w:color w:val="auto"/>
          <w:szCs w:val="21"/>
        </w:rPr>
        <w:t>。</w:t>
      </w:r>
    </w:p>
    <w:p w14:paraId="0E691965">
      <w:pPr>
        <w:spacing w:before="120" w:beforeLines="50" w:line="360" w:lineRule="auto"/>
        <w:jc w:val="left"/>
        <w:rPr>
          <w:rFonts w:ascii="宋体" w:hAnsi="宋体"/>
          <w:color w:val="auto"/>
          <w:szCs w:val="21"/>
        </w:rPr>
      </w:pPr>
    </w:p>
    <w:p w14:paraId="7229CEFA">
      <w:pPr>
        <w:spacing w:before="120" w:beforeLines="50" w:line="360" w:lineRule="auto"/>
        <w:jc w:val="left"/>
        <w:rPr>
          <w:rFonts w:ascii="宋体" w:hAnsi="宋体"/>
          <w:color w:val="auto"/>
          <w:szCs w:val="21"/>
          <w:u w:val="single"/>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ascii="宋体" w:hAnsi="宋体"/>
          <w:color w:val="auto"/>
          <w:szCs w:val="21"/>
          <w:u w:val="single"/>
        </w:rPr>
        <w:t xml:space="preserve">                              </w:t>
      </w:r>
    </w:p>
    <w:p w14:paraId="72285DA8">
      <w:pPr>
        <w:spacing w:before="120" w:beforeLines="50" w:line="360" w:lineRule="auto"/>
        <w:jc w:val="left"/>
        <w:rPr>
          <w:rFonts w:ascii="宋体" w:hAnsi="宋体"/>
          <w:color w:val="auto"/>
          <w:szCs w:val="21"/>
        </w:rPr>
      </w:pPr>
      <w:r>
        <w:rPr>
          <w:rFonts w:ascii="宋体" w:hAnsi="宋体"/>
          <w:color w:val="auto"/>
          <w:szCs w:val="21"/>
        </w:rPr>
        <w:t>供应商地址：</w:t>
      </w:r>
      <w:r>
        <w:rPr>
          <w:rFonts w:ascii="宋体" w:hAnsi="宋体"/>
          <w:color w:val="auto"/>
          <w:szCs w:val="21"/>
          <w:u w:val="single"/>
        </w:rPr>
        <w:t xml:space="preserve">                                     </w:t>
      </w:r>
    </w:p>
    <w:p w14:paraId="4D3C259B">
      <w:pPr>
        <w:spacing w:before="120" w:beforeLines="50" w:line="360" w:lineRule="auto"/>
        <w:jc w:val="left"/>
        <w:rPr>
          <w:rFonts w:ascii="宋体" w:hAnsi="宋体"/>
          <w:color w:val="auto"/>
          <w:szCs w:val="21"/>
          <w:u w:val="single"/>
        </w:rPr>
      </w:pPr>
    </w:p>
    <w:p w14:paraId="644ACBE1">
      <w:pPr>
        <w:wordWrap w:val="0"/>
        <w:spacing w:before="120" w:beforeLines="50" w:line="360" w:lineRule="auto"/>
        <w:jc w:val="right"/>
        <w:rPr>
          <w:rFonts w:ascii="宋体" w:hAnsi="宋体"/>
          <w:color w:val="auto"/>
          <w:szCs w:val="21"/>
        </w:rPr>
      </w:pPr>
      <w:r>
        <w:rPr>
          <w:rFonts w:ascii="宋体" w:hAnsi="宋体"/>
          <w:color w:val="auto"/>
          <w:szCs w:val="21"/>
        </w:rPr>
        <w:t>日期：</w:t>
      </w:r>
      <w:r>
        <w:rPr>
          <w:rFonts w:ascii="宋体" w:hAnsi="宋体"/>
          <w:color w:val="auto"/>
          <w:szCs w:val="21"/>
          <w:u w:val="single"/>
        </w:rPr>
        <w:t xml:space="preserve">      </w:t>
      </w:r>
      <w:r>
        <w:rPr>
          <w:rFonts w:ascii="宋体" w:hAnsi="宋体"/>
          <w:color w:val="auto"/>
          <w:szCs w:val="21"/>
        </w:rPr>
        <w:t>年</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ascii="宋体" w:hAnsi="宋体"/>
          <w:color w:val="auto"/>
          <w:szCs w:val="21"/>
        </w:rPr>
        <w:t>日</w:t>
      </w:r>
    </w:p>
    <w:p w14:paraId="213BCAF8">
      <w:pPr>
        <w:spacing w:before="120" w:beforeLines="50"/>
        <w:rPr>
          <w:rFonts w:ascii="宋体" w:hAnsi="宋体"/>
          <w:color w:val="auto"/>
          <w:szCs w:val="21"/>
        </w:rPr>
      </w:pPr>
      <w:r>
        <w:rPr>
          <w:rFonts w:ascii="宋体" w:hAnsi="宋体"/>
          <w:color w:val="auto"/>
          <w:szCs w:val="21"/>
        </w:rPr>
        <w:t>说明：</w:t>
      </w:r>
    </w:p>
    <w:p w14:paraId="70478F46">
      <w:pPr>
        <w:spacing w:line="340" w:lineRule="exact"/>
        <w:ind w:firstLine="420" w:firstLineChars="200"/>
        <w:rPr>
          <w:rFonts w:ascii="宋体" w:hAnsi="宋体"/>
          <w:color w:val="auto"/>
          <w:szCs w:val="21"/>
        </w:rPr>
      </w:pPr>
      <w:r>
        <w:rPr>
          <w:rFonts w:ascii="宋体" w:hAnsi="宋体"/>
          <w:color w:val="auto"/>
          <w:szCs w:val="21"/>
        </w:rPr>
        <w:t>（1）为保障资金安全，上述账户不能为私人账户。</w:t>
      </w:r>
    </w:p>
    <w:p w14:paraId="59961100">
      <w:pPr>
        <w:spacing w:line="340" w:lineRule="exact"/>
        <w:ind w:firstLine="420" w:firstLineChars="200"/>
        <w:rPr>
          <w:rFonts w:ascii="宋体" w:hAnsi="宋体"/>
          <w:color w:val="auto"/>
          <w:szCs w:val="21"/>
        </w:rPr>
      </w:pPr>
      <w:r>
        <w:rPr>
          <w:rFonts w:ascii="宋体" w:hAnsi="宋体"/>
          <w:color w:val="auto"/>
          <w:szCs w:val="21"/>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04AE43C">
      <w:pPr>
        <w:spacing w:line="340" w:lineRule="exact"/>
        <w:ind w:firstLine="420" w:firstLineChars="200"/>
        <w:rPr>
          <w:rFonts w:ascii="宋体" w:hAnsi="宋体"/>
          <w:color w:val="auto"/>
          <w:szCs w:val="21"/>
        </w:rPr>
      </w:pPr>
      <w:r>
        <w:rPr>
          <w:rFonts w:ascii="宋体" w:hAnsi="宋体"/>
          <w:color w:val="auto"/>
          <w:szCs w:val="21"/>
        </w:rPr>
        <w:t>（3）如供应商未及时收到退回款项，请与广西机电设备招标有限公司财务部联系。广西机电设备招标有限公司财务部联系方式：联系人：吴茜；电话：0771-2821398；传真：0771-2843545。</w:t>
      </w:r>
    </w:p>
    <w:p w14:paraId="59A0BBA2">
      <w:pPr>
        <w:snapToGrid w:val="0"/>
        <w:spacing w:before="50" w:after="120" w:afterLines="50"/>
        <w:jc w:val="left"/>
        <w:rPr>
          <w:rFonts w:ascii="宋体" w:hAnsi="宋体"/>
          <w:color w:val="auto"/>
          <w:sz w:val="24"/>
        </w:rPr>
      </w:pPr>
      <w:r>
        <w:rPr>
          <w:rFonts w:ascii="宋体" w:hAnsi="宋体"/>
          <w:color w:val="auto"/>
          <w:szCs w:val="21"/>
        </w:rPr>
        <w:br w:type="page"/>
      </w:r>
    </w:p>
    <w:p w14:paraId="4A9100CB">
      <w:pPr>
        <w:snapToGrid w:val="0"/>
        <w:spacing w:before="120" w:beforeLines="50" w:after="50" w:line="440" w:lineRule="exact"/>
        <w:jc w:val="left"/>
        <w:outlineLvl w:val="1"/>
        <w:rPr>
          <w:rFonts w:ascii="宋体" w:hAnsi="宋体"/>
          <w:color w:val="auto"/>
          <w:sz w:val="24"/>
        </w:rPr>
      </w:pPr>
      <w:r>
        <w:rPr>
          <w:rFonts w:ascii="宋体" w:hAnsi="宋体"/>
          <w:color w:val="auto"/>
          <w:sz w:val="24"/>
        </w:rPr>
        <w:t>3</w:t>
      </w:r>
      <w:r>
        <w:rPr>
          <w:rFonts w:hint="eastAsia" w:ascii="宋体" w:hAnsi="宋体"/>
          <w:color w:val="auto"/>
          <w:sz w:val="24"/>
        </w:rPr>
        <w:t xml:space="preserve">.响应文件封面参考格式（报价文件）： </w:t>
      </w:r>
    </w:p>
    <w:p w14:paraId="7831C0E5">
      <w:pPr>
        <w:snapToGrid w:val="0"/>
        <w:spacing w:before="50" w:after="120" w:afterLines="50" w:line="400" w:lineRule="exact"/>
        <w:jc w:val="left"/>
        <w:rPr>
          <w:rFonts w:ascii="宋体" w:hAnsi="宋体"/>
          <w:color w:val="auto"/>
          <w:sz w:val="24"/>
        </w:rPr>
      </w:pPr>
    </w:p>
    <w:p w14:paraId="7F3C00D8">
      <w:pPr>
        <w:snapToGrid w:val="0"/>
        <w:spacing w:before="120" w:beforeLines="50" w:after="50" w:line="360" w:lineRule="exact"/>
        <w:rPr>
          <w:rFonts w:ascii="宋体" w:hAnsi="宋体"/>
          <w:color w:val="auto"/>
          <w:sz w:val="24"/>
        </w:rPr>
      </w:pPr>
    </w:p>
    <w:p w14:paraId="2ABD3BA6">
      <w:pPr>
        <w:snapToGrid w:val="0"/>
        <w:spacing w:before="120" w:beforeLines="50" w:after="50" w:line="360" w:lineRule="exact"/>
        <w:jc w:val="center"/>
        <w:rPr>
          <w:rFonts w:ascii="宋体" w:hAnsi="宋体"/>
          <w:color w:val="auto"/>
          <w:sz w:val="24"/>
        </w:rPr>
      </w:pPr>
    </w:p>
    <w:p w14:paraId="2B1363F4">
      <w:pPr>
        <w:snapToGrid w:val="0"/>
        <w:spacing w:before="120" w:beforeLines="50" w:after="50" w:line="360" w:lineRule="exact"/>
        <w:jc w:val="center"/>
        <w:rPr>
          <w:rFonts w:ascii="宋体" w:hAnsi="宋体"/>
          <w:b/>
          <w:color w:val="auto"/>
          <w:sz w:val="44"/>
          <w:szCs w:val="44"/>
        </w:rPr>
      </w:pPr>
      <w:r>
        <w:rPr>
          <w:rFonts w:hint="eastAsia" w:ascii="宋体" w:hAnsi="宋体"/>
          <w:b/>
          <w:color w:val="auto"/>
          <w:sz w:val="44"/>
          <w:szCs w:val="44"/>
        </w:rPr>
        <w:t>电子响应文件</w:t>
      </w:r>
    </w:p>
    <w:p w14:paraId="71E56E1C">
      <w:pPr>
        <w:snapToGrid w:val="0"/>
        <w:spacing w:before="120" w:beforeLines="50" w:after="50" w:line="360" w:lineRule="exact"/>
        <w:jc w:val="center"/>
        <w:rPr>
          <w:rFonts w:ascii="宋体" w:hAnsi="宋体"/>
          <w:b/>
          <w:color w:val="auto"/>
          <w:sz w:val="44"/>
          <w:szCs w:val="44"/>
        </w:rPr>
      </w:pPr>
    </w:p>
    <w:p w14:paraId="587D1E08">
      <w:pPr>
        <w:snapToGrid w:val="0"/>
        <w:spacing w:before="120" w:beforeLines="50" w:after="50" w:line="360" w:lineRule="exact"/>
        <w:jc w:val="center"/>
        <w:rPr>
          <w:rFonts w:ascii="宋体" w:hAnsi="宋体"/>
          <w:b/>
          <w:color w:val="auto"/>
          <w:sz w:val="44"/>
          <w:szCs w:val="44"/>
        </w:rPr>
      </w:pPr>
    </w:p>
    <w:p w14:paraId="6EEE1A12">
      <w:pPr>
        <w:snapToGrid w:val="0"/>
        <w:spacing w:before="120" w:beforeLines="50" w:after="50" w:line="360" w:lineRule="exact"/>
        <w:jc w:val="center"/>
        <w:rPr>
          <w:rFonts w:ascii="宋体" w:hAnsi="宋体"/>
          <w:b/>
          <w:color w:val="auto"/>
          <w:sz w:val="44"/>
          <w:szCs w:val="44"/>
        </w:rPr>
      </w:pPr>
      <w:r>
        <w:rPr>
          <w:rFonts w:hint="eastAsia" w:ascii="宋体" w:hAnsi="宋体"/>
          <w:b/>
          <w:color w:val="auto"/>
          <w:sz w:val="44"/>
          <w:szCs w:val="44"/>
        </w:rPr>
        <w:t>报价文件</w:t>
      </w:r>
    </w:p>
    <w:p w14:paraId="7E7A03EB">
      <w:pPr>
        <w:snapToGrid w:val="0"/>
        <w:spacing w:before="120" w:beforeLines="50" w:after="50" w:line="360" w:lineRule="exact"/>
        <w:rPr>
          <w:rFonts w:ascii="宋体" w:hAnsi="宋体"/>
          <w:color w:val="auto"/>
          <w:sz w:val="24"/>
        </w:rPr>
      </w:pPr>
    </w:p>
    <w:p w14:paraId="71A99AD1">
      <w:pPr>
        <w:snapToGrid w:val="0"/>
        <w:spacing w:before="120" w:beforeLines="50" w:after="50" w:line="360" w:lineRule="exact"/>
        <w:rPr>
          <w:rFonts w:ascii="宋体" w:hAnsi="宋体"/>
          <w:color w:val="auto"/>
          <w:sz w:val="24"/>
        </w:rPr>
      </w:pPr>
    </w:p>
    <w:p w14:paraId="21029E7A">
      <w:pPr>
        <w:snapToGrid w:val="0"/>
        <w:spacing w:before="120" w:beforeLines="50" w:after="50" w:line="360" w:lineRule="exact"/>
        <w:rPr>
          <w:rFonts w:ascii="宋体" w:hAnsi="宋体"/>
          <w:color w:val="auto"/>
          <w:sz w:val="24"/>
        </w:rPr>
      </w:pPr>
    </w:p>
    <w:p w14:paraId="7F7CA5EA">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 xml:space="preserve">项目名称： </w:t>
      </w:r>
    </w:p>
    <w:p w14:paraId="1AD8B934">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项目编号：</w:t>
      </w:r>
    </w:p>
    <w:p w14:paraId="3E92F076">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分标号：（若无留空或写</w:t>
      </w:r>
      <w:r>
        <w:rPr>
          <w:rFonts w:ascii="宋体" w:hAnsi="宋体"/>
          <w:color w:val="auto"/>
          <w:sz w:val="24"/>
        </w:rPr>
        <w:t>“/”</w:t>
      </w:r>
      <w:r>
        <w:rPr>
          <w:rFonts w:hint="eastAsia" w:ascii="宋体" w:hAnsi="宋体"/>
          <w:color w:val="auto"/>
          <w:sz w:val="24"/>
        </w:rPr>
        <w:t>）</w:t>
      </w:r>
    </w:p>
    <w:p w14:paraId="2F5E74D5">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供应商名称：</w:t>
      </w:r>
    </w:p>
    <w:p w14:paraId="15DC8E5A">
      <w:pPr>
        <w:snapToGrid w:val="0"/>
        <w:spacing w:before="120" w:beforeLines="50" w:after="50" w:line="360" w:lineRule="exact"/>
        <w:ind w:firstLine="720" w:firstLineChars="300"/>
        <w:rPr>
          <w:rFonts w:ascii="宋体" w:hAnsi="宋体"/>
          <w:color w:val="auto"/>
          <w:sz w:val="24"/>
        </w:rPr>
      </w:pPr>
      <w:r>
        <w:rPr>
          <w:rFonts w:hint="eastAsia" w:ascii="宋体" w:hAnsi="宋体"/>
          <w:color w:val="auto"/>
          <w:sz w:val="24"/>
        </w:rPr>
        <w:t>供应商地址：</w:t>
      </w:r>
    </w:p>
    <w:p w14:paraId="4ABAFE95">
      <w:pPr>
        <w:snapToGrid w:val="0"/>
        <w:spacing w:before="120" w:beforeLines="50" w:after="50" w:line="360" w:lineRule="exact"/>
        <w:ind w:firstLine="720" w:firstLineChars="300"/>
        <w:rPr>
          <w:rFonts w:ascii="宋体" w:hAnsi="宋体"/>
          <w:color w:val="auto"/>
          <w:sz w:val="24"/>
        </w:rPr>
      </w:pPr>
    </w:p>
    <w:p w14:paraId="46DB3705">
      <w:pPr>
        <w:snapToGrid w:val="0"/>
        <w:spacing w:before="120" w:beforeLines="50" w:after="50" w:line="360" w:lineRule="exact"/>
        <w:ind w:firstLine="3600" w:firstLineChars="1500"/>
        <w:rPr>
          <w:rFonts w:ascii="宋体" w:hAnsi="宋体"/>
          <w:color w:val="auto"/>
          <w:sz w:val="24"/>
        </w:rPr>
      </w:pPr>
      <w:r>
        <w:rPr>
          <w:rFonts w:hint="eastAsia" w:ascii="宋体" w:hAnsi="宋体"/>
          <w:color w:val="auto"/>
          <w:sz w:val="24"/>
        </w:rPr>
        <w:t xml:space="preserve">                        年  月  日</w:t>
      </w:r>
    </w:p>
    <w:p w14:paraId="0CEBE928">
      <w:pPr>
        <w:snapToGrid w:val="0"/>
        <w:spacing w:before="120" w:beforeLines="50" w:after="50" w:line="360" w:lineRule="exact"/>
        <w:ind w:firstLine="720" w:firstLineChars="300"/>
        <w:rPr>
          <w:rFonts w:ascii="宋体" w:hAnsi="宋体"/>
          <w:color w:val="auto"/>
          <w:sz w:val="24"/>
        </w:rPr>
        <w:sectPr>
          <w:pgSz w:w="11906" w:h="16838"/>
          <w:pgMar w:top="1418" w:right="1274" w:bottom="1418" w:left="1418" w:header="851" w:footer="992" w:gutter="0"/>
          <w:cols w:space="720" w:num="1"/>
          <w:docGrid w:linePitch="312" w:charSpace="0"/>
        </w:sectPr>
      </w:pPr>
    </w:p>
    <w:p w14:paraId="0122F6B7">
      <w:pPr>
        <w:snapToGrid w:val="0"/>
        <w:spacing w:before="120" w:beforeLines="50" w:after="50" w:line="440" w:lineRule="exact"/>
        <w:jc w:val="center"/>
        <w:rPr>
          <w:rFonts w:ascii="宋体" w:hAnsi="宋体"/>
          <w:bCs/>
          <w:color w:val="auto"/>
          <w:sz w:val="24"/>
        </w:rPr>
      </w:pPr>
      <w:r>
        <w:rPr>
          <w:rFonts w:ascii="宋体" w:hAnsi="宋体"/>
          <w:bCs/>
          <w:color w:val="auto"/>
          <w:sz w:val="24"/>
        </w:rPr>
        <w:t>第</w:t>
      </w:r>
      <w:r>
        <w:rPr>
          <w:rFonts w:hint="eastAsia" w:ascii="宋体" w:hAnsi="宋体"/>
          <w:bCs/>
          <w:color w:val="auto"/>
          <w:sz w:val="24"/>
        </w:rPr>
        <w:t>三</w:t>
      </w:r>
      <w:r>
        <w:rPr>
          <w:rFonts w:ascii="宋体" w:hAnsi="宋体"/>
          <w:bCs/>
          <w:color w:val="auto"/>
          <w:sz w:val="24"/>
        </w:rPr>
        <w:t>部分 报价文件</w:t>
      </w:r>
    </w:p>
    <w:p w14:paraId="6D2E23F5">
      <w:pPr>
        <w:jc w:val="center"/>
        <w:rPr>
          <w:rFonts w:ascii="宋体" w:hAnsi="宋体"/>
          <w:b/>
          <w:bCs/>
          <w:color w:val="auto"/>
          <w:szCs w:val="21"/>
        </w:rPr>
      </w:pPr>
    </w:p>
    <w:p w14:paraId="1B85DA53">
      <w:pPr>
        <w:rPr>
          <w:rFonts w:ascii="宋体" w:hAnsi="宋体"/>
          <w:b/>
          <w:color w:val="auto"/>
          <w:szCs w:val="21"/>
        </w:rPr>
      </w:pPr>
      <w:r>
        <w:rPr>
          <w:rFonts w:ascii="宋体" w:hAnsi="宋体"/>
          <w:b/>
          <w:color w:val="auto"/>
          <w:szCs w:val="21"/>
        </w:rPr>
        <w:t>1．响应函格式：</w:t>
      </w:r>
    </w:p>
    <w:p w14:paraId="245C157E">
      <w:pPr>
        <w:rPr>
          <w:rFonts w:ascii="宋体" w:hAnsi="宋体"/>
          <w:b/>
          <w:color w:val="auto"/>
          <w:szCs w:val="21"/>
        </w:rPr>
      </w:pPr>
    </w:p>
    <w:p w14:paraId="7B3ACD4C">
      <w:pPr>
        <w:jc w:val="center"/>
        <w:rPr>
          <w:rFonts w:ascii="宋体" w:hAnsi="宋体"/>
          <w:b/>
          <w:color w:val="auto"/>
          <w:szCs w:val="21"/>
        </w:rPr>
      </w:pPr>
      <w:r>
        <w:rPr>
          <w:rFonts w:ascii="宋体" w:hAnsi="宋体"/>
          <w:b/>
          <w:color w:val="auto"/>
          <w:szCs w:val="21"/>
        </w:rPr>
        <w:t>响 应 函</w:t>
      </w:r>
    </w:p>
    <w:p w14:paraId="27A96BCD">
      <w:pPr>
        <w:rPr>
          <w:rFonts w:ascii="宋体" w:hAnsi="宋体"/>
          <w:b/>
          <w:color w:val="auto"/>
          <w:szCs w:val="21"/>
        </w:rPr>
      </w:pPr>
    </w:p>
    <w:p w14:paraId="738888ED">
      <w:pPr>
        <w:spacing w:line="360" w:lineRule="auto"/>
        <w:rPr>
          <w:rFonts w:ascii="宋体" w:hAnsi="宋体"/>
          <w:color w:val="auto"/>
          <w:szCs w:val="21"/>
        </w:rPr>
      </w:pPr>
      <w:bookmarkStart w:id="109" w:name="_Hlk19110643"/>
      <w:r>
        <w:rPr>
          <w:rFonts w:ascii="宋体" w:hAnsi="宋体"/>
          <w:color w:val="auto"/>
          <w:szCs w:val="21"/>
        </w:rPr>
        <w:t>致：_</w:t>
      </w:r>
      <w:r>
        <w:rPr>
          <w:rFonts w:ascii="宋体" w:hAnsi="宋体"/>
          <w:i/>
          <w:iCs/>
          <w:color w:val="auto"/>
          <w:szCs w:val="21"/>
          <w:u w:val="single"/>
        </w:rPr>
        <w:t>（采购</w:t>
      </w:r>
      <w:r>
        <w:rPr>
          <w:rFonts w:hint="eastAsia" w:ascii="宋体" w:hAnsi="宋体"/>
          <w:i/>
          <w:iCs/>
          <w:color w:val="auto"/>
          <w:szCs w:val="21"/>
          <w:u w:val="single"/>
        </w:rPr>
        <w:t>人</w:t>
      </w:r>
      <w:r>
        <w:rPr>
          <w:rFonts w:ascii="宋体" w:hAnsi="宋体"/>
          <w:i/>
          <w:iCs/>
          <w:color w:val="auto"/>
          <w:szCs w:val="21"/>
          <w:u w:val="single"/>
        </w:rPr>
        <w:t>名称）</w:t>
      </w:r>
      <w:r>
        <w:rPr>
          <w:rFonts w:ascii="宋体" w:hAnsi="宋体"/>
          <w:i/>
          <w:iCs/>
          <w:color w:val="auto"/>
          <w:szCs w:val="21"/>
        </w:rPr>
        <w:t>_</w:t>
      </w:r>
    </w:p>
    <w:p w14:paraId="6FF0A0D1">
      <w:pPr>
        <w:spacing w:line="360" w:lineRule="auto"/>
        <w:ind w:firstLine="420" w:firstLineChars="200"/>
        <w:rPr>
          <w:rFonts w:ascii="宋体" w:hAnsi="宋体"/>
          <w:color w:val="auto"/>
          <w:szCs w:val="21"/>
        </w:rPr>
      </w:pPr>
      <w:r>
        <w:rPr>
          <w:rFonts w:ascii="宋体" w:hAnsi="宋体"/>
          <w:color w:val="auto"/>
          <w:szCs w:val="21"/>
        </w:rPr>
        <w:t>我方已仔细研究了</w:t>
      </w:r>
      <w:r>
        <w:rPr>
          <w:rFonts w:hint="eastAsia" w:ascii="宋体" w:hAnsi="宋体"/>
          <w:i/>
          <w:iCs/>
          <w:color w:val="auto"/>
          <w:szCs w:val="21"/>
          <w:u w:val="single"/>
        </w:rPr>
        <w:t>（项目名称）</w:t>
      </w:r>
      <w:r>
        <w:rPr>
          <w:rFonts w:ascii="宋体" w:hAnsi="宋体"/>
          <w:color w:val="auto"/>
          <w:szCs w:val="21"/>
        </w:rPr>
        <w:t>的</w:t>
      </w:r>
      <w:r>
        <w:rPr>
          <w:rFonts w:hint="eastAsia" w:ascii="宋体" w:hAnsi="宋体"/>
          <w:color w:val="auto"/>
          <w:szCs w:val="21"/>
        </w:rPr>
        <w:t>采购文件</w:t>
      </w:r>
      <w:r>
        <w:rPr>
          <w:rFonts w:ascii="宋体" w:hAnsi="宋体"/>
          <w:color w:val="auto"/>
          <w:szCs w:val="21"/>
        </w:rPr>
        <w:t>的全部内容</w:t>
      </w:r>
      <w:r>
        <w:rPr>
          <w:rFonts w:hint="eastAsia" w:ascii="宋体" w:hAnsi="宋体"/>
          <w:color w:val="auto"/>
          <w:szCs w:val="21"/>
        </w:rPr>
        <w:t>，</w:t>
      </w:r>
      <w:r>
        <w:rPr>
          <w:rFonts w:ascii="宋体" w:hAnsi="宋体"/>
          <w:color w:val="auto"/>
          <w:szCs w:val="21"/>
        </w:rPr>
        <w:t>签字代表</w:t>
      </w:r>
      <w:r>
        <w:rPr>
          <w:rFonts w:hint="eastAsia" w:ascii="宋体" w:hAnsi="宋体"/>
          <w:i/>
          <w:iCs/>
          <w:color w:val="auto"/>
          <w:szCs w:val="21"/>
          <w:u w:val="single"/>
        </w:rPr>
        <w:t>（授权代表姓名）</w:t>
      </w:r>
      <w:r>
        <w:rPr>
          <w:rFonts w:ascii="宋体" w:hAnsi="宋体"/>
          <w:color w:val="auto"/>
          <w:szCs w:val="21"/>
        </w:rPr>
        <w:t>经正式授权并代表供应商</w:t>
      </w:r>
      <w:r>
        <w:rPr>
          <w:rFonts w:ascii="宋体" w:hAnsi="宋体"/>
          <w:color w:val="auto"/>
          <w:szCs w:val="21"/>
          <w:u w:val="single"/>
        </w:rPr>
        <w:t xml:space="preserve"> </w:t>
      </w:r>
      <w:r>
        <w:rPr>
          <w:rFonts w:ascii="宋体" w:hAnsi="宋体"/>
          <w:i/>
          <w:iCs/>
          <w:color w:val="auto"/>
          <w:szCs w:val="21"/>
          <w:u w:val="single"/>
        </w:rPr>
        <w:t>（供应商名称）</w:t>
      </w:r>
      <w:r>
        <w:rPr>
          <w:rFonts w:hint="eastAsia" w:ascii="宋体" w:hAnsi="宋体"/>
          <w:i/>
          <w:iCs/>
          <w:color w:val="auto"/>
          <w:szCs w:val="21"/>
          <w:u w:val="single"/>
        </w:rPr>
        <w:t xml:space="preserve"> </w:t>
      </w:r>
      <w:r>
        <w:rPr>
          <w:rFonts w:ascii="宋体" w:hAnsi="宋体"/>
          <w:color w:val="auto"/>
          <w:szCs w:val="21"/>
        </w:rPr>
        <w:t>提交响应文件。</w:t>
      </w:r>
    </w:p>
    <w:bookmarkEnd w:id="109"/>
    <w:p w14:paraId="28B4D779">
      <w:pPr>
        <w:spacing w:line="360" w:lineRule="auto"/>
        <w:ind w:firstLine="420" w:firstLineChars="200"/>
        <w:rPr>
          <w:rFonts w:ascii="宋体" w:hAnsi="宋体"/>
          <w:color w:val="auto"/>
          <w:szCs w:val="21"/>
        </w:rPr>
      </w:pPr>
      <w:r>
        <w:rPr>
          <w:rFonts w:ascii="宋体" w:hAnsi="宋体"/>
          <w:color w:val="auto"/>
          <w:szCs w:val="21"/>
        </w:rPr>
        <w:t>据此函，签字代表宣布同意如下：</w:t>
      </w:r>
    </w:p>
    <w:p w14:paraId="0C9FFAAC">
      <w:pPr>
        <w:spacing w:line="360" w:lineRule="auto"/>
        <w:rPr>
          <w:rFonts w:ascii="宋体" w:hAnsi="宋体"/>
          <w:color w:val="auto"/>
          <w:szCs w:val="21"/>
        </w:rPr>
      </w:pPr>
      <w:r>
        <w:rPr>
          <w:rFonts w:ascii="宋体" w:hAnsi="宋体"/>
          <w:color w:val="auto"/>
          <w:szCs w:val="21"/>
        </w:rPr>
        <w:t>（1）供应商已详细审查全部“采购文件”，包括修改文件（如有的话）以及全部参考资料和有关附件，已经了解我方对于采购文件、采购过程、采购结果有依法进行询问、质疑、投诉的权利及相关渠道和要求。</w:t>
      </w:r>
    </w:p>
    <w:p w14:paraId="0E77AC8E">
      <w:pPr>
        <w:spacing w:line="360" w:lineRule="auto"/>
        <w:rPr>
          <w:rFonts w:ascii="宋体" w:hAnsi="宋体"/>
          <w:color w:val="auto"/>
          <w:szCs w:val="21"/>
        </w:rPr>
      </w:pPr>
      <w:r>
        <w:rPr>
          <w:rFonts w:ascii="宋体" w:hAnsi="宋体"/>
          <w:color w:val="auto"/>
          <w:szCs w:val="21"/>
        </w:rPr>
        <w:t>（2）供应商在响应之前已经与贵方进行了充分的沟通，完全理解并接受采购文件的各项规定和要求，对采购文件的合理性、合法性不再有异议。</w:t>
      </w:r>
    </w:p>
    <w:p w14:paraId="38C16516">
      <w:pPr>
        <w:spacing w:line="360" w:lineRule="auto"/>
        <w:rPr>
          <w:rFonts w:ascii="宋体" w:hAnsi="宋体"/>
          <w:color w:val="auto"/>
          <w:szCs w:val="21"/>
        </w:rPr>
      </w:pPr>
      <w:r>
        <w:rPr>
          <w:rFonts w:hint="eastAsia" w:ascii="宋体" w:hAnsi="宋体"/>
          <w:color w:val="auto"/>
          <w:szCs w:val="21"/>
        </w:rPr>
        <w:t>（3）我方承诺本响应有效期为第三章供应商须知规定的期限。</w:t>
      </w:r>
    </w:p>
    <w:p w14:paraId="11F94176">
      <w:pPr>
        <w:spacing w:line="360" w:lineRule="auto"/>
        <w:rPr>
          <w:rFonts w:ascii="宋体" w:hAnsi="宋体"/>
          <w:color w:val="auto"/>
          <w:szCs w:val="21"/>
        </w:rPr>
      </w:pPr>
      <w:r>
        <w:rPr>
          <w:rFonts w:ascii="宋体" w:hAnsi="宋体"/>
          <w:color w:val="auto"/>
          <w:szCs w:val="21"/>
        </w:rPr>
        <w:t>（4）如成交，本响应文件至本项目合同履行完毕止均保持有效，本供应商将按“采购文件”及政府采购法律、法规的规定履行合同责任和义务</w:t>
      </w:r>
      <w:r>
        <w:rPr>
          <w:rFonts w:hint="eastAsia" w:ascii="宋体" w:hAnsi="宋体"/>
          <w:color w:val="auto"/>
          <w:szCs w:val="21"/>
        </w:rPr>
        <w:t>，并承诺</w:t>
      </w:r>
      <w:r>
        <w:rPr>
          <w:rFonts w:ascii="宋体" w:hAnsi="宋体"/>
          <w:color w:val="auto"/>
          <w:szCs w:val="21"/>
        </w:rPr>
        <w:t>不分包及转包他人。</w:t>
      </w:r>
    </w:p>
    <w:p w14:paraId="0248F7A7">
      <w:pPr>
        <w:spacing w:line="360" w:lineRule="auto"/>
        <w:rPr>
          <w:rFonts w:ascii="宋体" w:hAnsi="宋体"/>
          <w:color w:val="auto"/>
          <w:szCs w:val="21"/>
        </w:rPr>
      </w:pPr>
      <w:r>
        <w:rPr>
          <w:rFonts w:ascii="宋体" w:hAnsi="宋体"/>
          <w:color w:val="auto"/>
          <w:szCs w:val="21"/>
        </w:rPr>
        <w:t>（5）供应商同意按照贵方要求提供与响应有关的一切数据或资料。</w:t>
      </w:r>
    </w:p>
    <w:p w14:paraId="5226F80E">
      <w:pPr>
        <w:spacing w:line="360" w:lineRule="auto"/>
        <w:rPr>
          <w:rFonts w:ascii="宋体" w:hAnsi="宋体"/>
          <w:color w:val="auto"/>
          <w:szCs w:val="21"/>
        </w:rPr>
      </w:pPr>
      <w:r>
        <w:rPr>
          <w:rFonts w:ascii="宋体" w:hAnsi="宋体"/>
          <w:color w:val="auto"/>
          <w:szCs w:val="21"/>
        </w:rPr>
        <w:t>（</w:t>
      </w:r>
      <w:r>
        <w:rPr>
          <w:rFonts w:hint="eastAsia" w:ascii="宋体" w:hAnsi="宋体"/>
          <w:color w:val="auto"/>
          <w:szCs w:val="21"/>
        </w:rPr>
        <w:t>6</w:t>
      </w:r>
      <w:r>
        <w:rPr>
          <w:rFonts w:ascii="宋体" w:hAnsi="宋体"/>
          <w:color w:val="auto"/>
          <w:szCs w:val="21"/>
        </w:rPr>
        <w:t>）与本项目有关的一切正式往来信函请寄：</w:t>
      </w:r>
    </w:p>
    <w:p w14:paraId="2EAE7166">
      <w:pPr>
        <w:spacing w:line="360" w:lineRule="auto"/>
        <w:rPr>
          <w:rFonts w:ascii="宋体" w:hAnsi="宋体"/>
          <w:color w:val="auto"/>
          <w:szCs w:val="21"/>
        </w:rPr>
      </w:pPr>
      <w:r>
        <w:rPr>
          <w:rFonts w:ascii="宋体" w:hAnsi="宋体"/>
          <w:color w:val="auto"/>
          <w:szCs w:val="21"/>
        </w:rPr>
        <w:t>地址：</w:t>
      </w:r>
      <w:r>
        <w:rPr>
          <w:rFonts w:ascii="宋体" w:hAnsi="宋体"/>
          <w:color w:val="auto"/>
          <w:szCs w:val="21"/>
          <w:u w:val="single"/>
        </w:rPr>
        <w:t xml:space="preserve">                      </w:t>
      </w:r>
      <w:r>
        <w:rPr>
          <w:rFonts w:ascii="宋体" w:hAnsi="宋体"/>
          <w:color w:val="auto"/>
          <w:szCs w:val="21"/>
        </w:rPr>
        <w:t>邮编：</w:t>
      </w:r>
      <w:r>
        <w:rPr>
          <w:rFonts w:ascii="宋体" w:hAnsi="宋体"/>
          <w:color w:val="auto"/>
          <w:szCs w:val="21"/>
          <w:u w:val="single"/>
        </w:rPr>
        <w:t xml:space="preserve">         </w:t>
      </w:r>
      <w:r>
        <w:rPr>
          <w:rFonts w:ascii="宋体" w:hAnsi="宋体"/>
          <w:color w:val="auto"/>
          <w:szCs w:val="21"/>
        </w:rPr>
        <w:t xml:space="preserve">  电话：</w:t>
      </w:r>
      <w:r>
        <w:rPr>
          <w:rFonts w:ascii="宋体" w:hAnsi="宋体"/>
          <w:color w:val="auto"/>
          <w:szCs w:val="21"/>
          <w:u w:val="single"/>
        </w:rPr>
        <w:t xml:space="preserve">            </w:t>
      </w:r>
    </w:p>
    <w:p w14:paraId="3F6DCB21">
      <w:pPr>
        <w:spacing w:line="360" w:lineRule="auto"/>
        <w:rPr>
          <w:rFonts w:ascii="宋体" w:hAnsi="宋体"/>
          <w:color w:val="auto"/>
          <w:szCs w:val="21"/>
        </w:rPr>
      </w:pPr>
      <w:r>
        <w:rPr>
          <w:rFonts w:ascii="宋体" w:hAnsi="宋体"/>
          <w:color w:val="auto"/>
          <w:szCs w:val="21"/>
        </w:rPr>
        <w:t>传真：</w:t>
      </w:r>
      <w:r>
        <w:rPr>
          <w:rFonts w:ascii="宋体" w:hAnsi="宋体"/>
          <w:color w:val="auto"/>
          <w:szCs w:val="21"/>
          <w:u w:val="single"/>
        </w:rPr>
        <w:t xml:space="preserve">           </w:t>
      </w:r>
      <w:r>
        <w:rPr>
          <w:rFonts w:ascii="宋体" w:hAnsi="宋体"/>
          <w:color w:val="auto"/>
          <w:szCs w:val="21"/>
        </w:rPr>
        <w:t xml:space="preserve"> </w:t>
      </w:r>
    </w:p>
    <w:p w14:paraId="052751A4">
      <w:pPr>
        <w:spacing w:line="360" w:lineRule="auto"/>
        <w:rPr>
          <w:rFonts w:ascii="宋体" w:hAnsi="宋体"/>
          <w:color w:val="auto"/>
          <w:szCs w:val="21"/>
        </w:rPr>
      </w:pPr>
      <w:r>
        <w:rPr>
          <w:rFonts w:ascii="宋体" w:hAnsi="宋体"/>
          <w:color w:val="auto"/>
          <w:szCs w:val="21"/>
        </w:rPr>
        <w:t>供应商代表姓名</w:t>
      </w:r>
      <w:r>
        <w:rPr>
          <w:rFonts w:ascii="宋体" w:hAnsi="宋体"/>
          <w:color w:val="auto"/>
          <w:szCs w:val="21"/>
          <w:u w:val="single"/>
        </w:rPr>
        <w:t xml:space="preserve">         </w:t>
      </w:r>
      <w:r>
        <w:rPr>
          <w:rFonts w:ascii="宋体" w:hAnsi="宋体"/>
          <w:color w:val="auto"/>
          <w:szCs w:val="21"/>
        </w:rPr>
        <w:t xml:space="preserve">  职务：</w:t>
      </w:r>
      <w:r>
        <w:rPr>
          <w:rFonts w:ascii="宋体" w:hAnsi="宋体"/>
          <w:color w:val="auto"/>
          <w:szCs w:val="21"/>
          <w:u w:val="single"/>
        </w:rPr>
        <w:t xml:space="preserve">             </w:t>
      </w:r>
      <w:r>
        <w:rPr>
          <w:rFonts w:hint="eastAsia" w:ascii="宋体" w:hAnsi="宋体"/>
          <w:color w:val="auto"/>
          <w:szCs w:val="21"/>
        </w:rPr>
        <w:t>邮箱：</w:t>
      </w:r>
      <w:r>
        <w:rPr>
          <w:rFonts w:hint="eastAsia" w:ascii="宋体" w:hAnsi="宋体"/>
          <w:color w:val="auto"/>
          <w:szCs w:val="21"/>
          <w:u w:val="single"/>
        </w:rPr>
        <w:t xml:space="preserve"> </w:t>
      </w:r>
      <w:r>
        <w:rPr>
          <w:rFonts w:ascii="宋体" w:hAnsi="宋体"/>
          <w:color w:val="auto"/>
          <w:szCs w:val="21"/>
          <w:u w:val="single"/>
        </w:rPr>
        <w:t xml:space="preserve">             </w:t>
      </w:r>
    </w:p>
    <w:p w14:paraId="2A8654A8">
      <w:pPr>
        <w:spacing w:line="360" w:lineRule="auto"/>
        <w:rPr>
          <w:rFonts w:ascii="宋体" w:hAnsi="宋体"/>
          <w:color w:val="auto"/>
          <w:szCs w:val="21"/>
        </w:rPr>
      </w:pPr>
    </w:p>
    <w:p w14:paraId="06A3BE02">
      <w:pPr>
        <w:spacing w:line="360" w:lineRule="auto"/>
        <w:rPr>
          <w:rFonts w:ascii="宋体" w:hAnsi="宋体"/>
          <w:color w:val="auto"/>
          <w:szCs w:val="21"/>
        </w:rPr>
      </w:pPr>
    </w:p>
    <w:p w14:paraId="1638CD8C">
      <w:pPr>
        <w:spacing w:line="360" w:lineRule="auto"/>
        <w:rPr>
          <w:rFonts w:ascii="宋体" w:hAnsi="宋体"/>
          <w:color w:val="auto"/>
          <w:szCs w:val="21"/>
          <w:u w:val="single"/>
        </w:rPr>
      </w:pPr>
      <w:r>
        <w:rPr>
          <w:rFonts w:ascii="宋体" w:hAnsi="宋体"/>
          <w:color w:val="auto"/>
          <w:szCs w:val="21"/>
        </w:rPr>
        <w:t>供应商</w:t>
      </w:r>
      <w:r>
        <w:rPr>
          <w:rFonts w:hint="eastAsia" w:ascii="宋体" w:hAnsi="宋体"/>
          <w:color w:val="auto"/>
          <w:szCs w:val="21"/>
        </w:rPr>
        <w:t>名称(电子签章</w:t>
      </w:r>
      <w:r>
        <w:rPr>
          <w:rFonts w:ascii="宋体" w:hAnsi="宋体"/>
          <w:color w:val="auto"/>
          <w:szCs w:val="21"/>
        </w:rPr>
        <w:t>)</w:t>
      </w:r>
      <w:r>
        <w:rPr>
          <w:rFonts w:hint="eastAsia" w:ascii="宋体" w:hAnsi="宋体"/>
          <w:color w:val="auto"/>
          <w:szCs w:val="21"/>
        </w:rPr>
        <w:t>：</w:t>
      </w:r>
      <w:r>
        <w:rPr>
          <w:rFonts w:ascii="宋体" w:hAnsi="宋体"/>
          <w:color w:val="auto"/>
          <w:szCs w:val="21"/>
          <w:u w:val="single"/>
        </w:rPr>
        <w:t xml:space="preserve">                  </w:t>
      </w:r>
    </w:p>
    <w:p w14:paraId="44CF9F8C">
      <w:pPr>
        <w:spacing w:line="360" w:lineRule="auto"/>
        <w:rPr>
          <w:rFonts w:ascii="宋体" w:hAnsi="宋体"/>
          <w:color w:val="auto"/>
          <w:szCs w:val="21"/>
        </w:rPr>
      </w:pPr>
    </w:p>
    <w:p w14:paraId="6AE8FAEC">
      <w:pPr>
        <w:spacing w:line="360" w:lineRule="auto"/>
        <w:rPr>
          <w:rFonts w:ascii="宋体" w:hAnsi="宋体"/>
          <w:color w:val="auto"/>
          <w:szCs w:val="21"/>
        </w:rPr>
      </w:pPr>
    </w:p>
    <w:p w14:paraId="048AA8F3">
      <w:pPr>
        <w:spacing w:line="360" w:lineRule="auto"/>
        <w:rPr>
          <w:rFonts w:ascii="宋体" w:hAnsi="宋体"/>
          <w:color w:val="auto"/>
          <w:szCs w:val="21"/>
        </w:rPr>
      </w:pPr>
      <w:r>
        <w:rPr>
          <w:rFonts w:ascii="宋体" w:hAnsi="宋体"/>
          <w:color w:val="auto"/>
          <w:szCs w:val="21"/>
        </w:rPr>
        <w:t>日期：</w:t>
      </w:r>
      <w:r>
        <w:rPr>
          <w:rFonts w:ascii="宋体" w:hAnsi="宋体"/>
          <w:color w:val="auto"/>
          <w:szCs w:val="21"/>
          <w:u w:val="single"/>
        </w:rPr>
        <w:t xml:space="preserve">      </w:t>
      </w:r>
      <w:r>
        <w:rPr>
          <w:rFonts w:ascii="宋体" w:hAnsi="宋体"/>
          <w:color w:val="auto"/>
          <w:szCs w:val="21"/>
        </w:rPr>
        <w:t>年</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ascii="宋体" w:hAnsi="宋体"/>
          <w:color w:val="auto"/>
          <w:szCs w:val="21"/>
        </w:rPr>
        <w:t>日</w:t>
      </w:r>
    </w:p>
    <w:p w14:paraId="744E1687">
      <w:pPr>
        <w:rPr>
          <w:rFonts w:ascii="宋体" w:hAnsi="宋体"/>
          <w:b/>
          <w:color w:val="auto"/>
          <w:szCs w:val="21"/>
        </w:rPr>
      </w:pPr>
      <w:r>
        <w:rPr>
          <w:rFonts w:ascii="宋体" w:hAnsi="宋体"/>
          <w:b/>
          <w:color w:val="auto"/>
          <w:szCs w:val="21"/>
        </w:rPr>
        <w:br w:type="page"/>
      </w:r>
      <w:r>
        <w:rPr>
          <w:rFonts w:hint="eastAsia" w:ascii="宋体" w:hAnsi="宋体"/>
          <w:b/>
          <w:color w:val="auto"/>
          <w:szCs w:val="21"/>
        </w:rPr>
        <w:t>2.</w:t>
      </w:r>
      <w:r>
        <w:rPr>
          <w:rFonts w:ascii="宋体" w:hAnsi="宋体"/>
          <w:b/>
          <w:color w:val="auto"/>
          <w:szCs w:val="21"/>
        </w:rPr>
        <w:t>响应报价明细表格式：</w:t>
      </w:r>
    </w:p>
    <w:p w14:paraId="2C2FD706">
      <w:pPr>
        <w:jc w:val="center"/>
        <w:rPr>
          <w:rFonts w:ascii="宋体" w:hAnsi="宋体"/>
          <w:b/>
          <w:color w:val="auto"/>
          <w:szCs w:val="21"/>
        </w:rPr>
      </w:pPr>
      <w:r>
        <w:rPr>
          <w:rFonts w:ascii="宋体" w:hAnsi="宋体"/>
          <w:b/>
          <w:color w:val="auto"/>
          <w:szCs w:val="21"/>
        </w:rPr>
        <w:t>响应报价明细表</w:t>
      </w:r>
    </w:p>
    <w:p w14:paraId="756BCFE1">
      <w:pPr>
        <w:ind w:firstLine="2415" w:firstLineChars="1150"/>
        <w:rPr>
          <w:rFonts w:ascii="宋体" w:hAnsi="宋体"/>
          <w:color w:val="auto"/>
          <w:szCs w:val="21"/>
        </w:rPr>
      </w:pPr>
      <w:r>
        <w:rPr>
          <w:rFonts w:ascii="宋体" w:hAnsi="宋体"/>
          <w:color w:val="auto"/>
          <w:szCs w:val="21"/>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8"/>
        <w:gridCol w:w="1783"/>
        <w:gridCol w:w="1189"/>
        <w:gridCol w:w="1783"/>
        <w:gridCol w:w="1387"/>
        <w:gridCol w:w="1585"/>
      </w:tblGrid>
      <w:tr w14:paraId="34F81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42F54669">
            <w:pPr>
              <w:jc w:val="center"/>
              <w:rPr>
                <w:rFonts w:ascii="宋体" w:hAnsi="宋体"/>
                <w:color w:val="auto"/>
                <w:spacing w:val="20"/>
                <w:szCs w:val="21"/>
              </w:rPr>
            </w:pPr>
            <w:r>
              <w:rPr>
                <w:rFonts w:ascii="宋体" w:hAnsi="宋体"/>
                <w:color w:val="auto"/>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714C6F12">
            <w:pPr>
              <w:jc w:val="center"/>
              <w:rPr>
                <w:rFonts w:ascii="宋体" w:hAnsi="宋体"/>
                <w:color w:val="auto"/>
                <w:szCs w:val="21"/>
              </w:rPr>
            </w:pPr>
            <w:r>
              <w:rPr>
                <w:rFonts w:ascii="宋体" w:hAnsi="宋体"/>
                <w:color w:val="auto"/>
                <w:szCs w:val="21"/>
              </w:rPr>
              <w:t>服务名称</w:t>
            </w:r>
          </w:p>
        </w:tc>
        <w:tc>
          <w:tcPr>
            <w:tcW w:w="1189" w:type="dxa"/>
            <w:tcBorders>
              <w:top w:val="single" w:color="auto" w:sz="4" w:space="0"/>
              <w:left w:val="single" w:color="auto" w:sz="4" w:space="0"/>
              <w:bottom w:val="single" w:color="auto" w:sz="4" w:space="0"/>
              <w:right w:val="single" w:color="auto" w:sz="4" w:space="0"/>
            </w:tcBorders>
            <w:vAlign w:val="center"/>
          </w:tcPr>
          <w:p w14:paraId="3682E81E">
            <w:pPr>
              <w:jc w:val="center"/>
              <w:rPr>
                <w:rFonts w:ascii="宋体" w:hAnsi="宋体"/>
                <w:color w:val="auto"/>
                <w:szCs w:val="21"/>
              </w:rPr>
            </w:pPr>
            <w:r>
              <w:rPr>
                <w:rFonts w:ascii="宋体" w:hAnsi="宋体"/>
                <w:color w:val="auto"/>
                <w:szCs w:val="21"/>
              </w:rPr>
              <w:t>服务商</w:t>
            </w:r>
          </w:p>
        </w:tc>
        <w:tc>
          <w:tcPr>
            <w:tcW w:w="1783" w:type="dxa"/>
            <w:tcBorders>
              <w:top w:val="single" w:color="auto" w:sz="4" w:space="0"/>
              <w:left w:val="single" w:color="auto" w:sz="4" w:space="0"/>
              <w:bottom w:val="single" w:color="auto" w:sz="4" w:space="0"/>
              <w:right w:val="single" w:color="auto" w:sz="4" w:space="0"/>
            </w:tcBorders>
            <w:vAlign w:val="center"/>
          </w:tcPr>
          <w:p w14:paraId="19B72ED0">
            <w:pPr>
              <w:jc w:val="center"/>
              <w:rPr>
                <w:rFonts w:ascii="宋体" w:hAnsi="宋体"/>
                <w:color w:val="auto"/>
                <w:szCs w:val="21"/>
              </w:rPr>
            </w:pPr>
            <w:r>
              <w:rPr>
                <w:rFonts w:ascii="宋体" w:hAnsi="宋体"/>
                <w:color w:val="auto"/>
                <w:szCs w:val="21"/>
              </w:rPr>
              <w:t>单位及数量</w:t>
            </w:r>
          </w:p>
        </w:tc>
        <w:tc>
          <w:tcPr>
            <w:tcW w:w="1387" w:type="dxa"/>
            <w:tcBorders>
              <w:top w:val="single" w:color="auto" w:sz="4" w:space="0"/>
              <w:left w:val="single" w:color="auto" w:sz="4" w:space="0"/>
              <w:bottom w:val="single" w:color="auto" w:sz="4" w:space="0"/>
              <w:right w:val="single" w:color="auto" w:sz="4" w:space="0"/>
            </w:tcBorders>
            <w:vAlign w:val="center"/>
          </w:tcPr>
          <w:p w14:paraId="206C6394">
            <w:pPr>
              <w:jc w:val="center"/>
              <w:rPr>
                <w:rFonts w:ascii="宋体" w:hAnsi="宋体"/>
                <w:color w:val="auto"/>
                <w:szCs w:val="21"/>
              </w:rPr>
            </w:pPr>
            <w:r>
              <w:rPr>
                <w:rFonts w:ascii="宋体" w:hAnsi="宋体"/>
                <w:color w:val="auto"/>
                <w:szCs w:val="21"/>
              </w:rPr>
              <w:t>单价</w:t>
            </w:r>
          </w:p>
        </w:tc>
        <w:tc>
          <w:tcPr>
            <w:tcW w:w="1585" w:type="dxa"/>
            <w:tcBorders>
              <w:top w:val="single" w:color="auto" w:sz="4" w:space="0"/>
              <w:left w:val="single" w:color="auto" w:sz="4" w:space="0"/>
              <w:bottom w:val="single" w:color="auto" w:sz="4" w:space="0"/>
              <w:right w:val="single" w:color="auto" w:sz="4" w:space="0"/>
            </w:tcBorders>
            <w:vAlign w:val="center"/>
          </w:tcPr>
          <w:p w14:paraId="2A16B0F3">
            <w:pPr>
              <w:jc w:val="center"/>
              <w:rPr>
                <w:rFonts w:ascii="宋体" w:hAnsi="宋体"/>
                <w:color w:val="auto"/>
                <w:szCs w:val="21"/>
              </w:rPr>
            </w:pPr>
            <w:r>
              <w:rPr>
                <w:rFonts w:hint="eastAsia" w:ascii="宋体" w:hAnsi="宋体"/>
                <w:color w:val="auto"/>
                <w:szCs w:val="21"/>
              </w:rPr>
              <w:t>合计</w:t>
            </w:r>
          </w:p>
        </w:tc>
      </w:tr>
      <w:tr w14:paraId="7E94C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591A21B6">
            <w:pPr>
              <w:jc w:val="center"/>
              <w:rPr>
                <w:rFonts w:ascii="宋体" w:hAnsi="宋体"/>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010C3405">
            <w:pPr>
              <w:jc w:val="center"/>
              <w:rPr>
                <w:rFonts w:ascii="宋体" w:hAnsi="宋体"/>
                <w:color w:val="auto"/>
                <w:spacing w:val="20"/>
                <w:szCs w:val="21"/>
              </w:rPr>
            </w:pPr>
          </w:p>
        </w:tc>
        <w:tc>
          <w:tcPr>
            <w:tcW w:w="1189" w:type="dxa"/>
            <w:tcBorders>
              <w:top w:val="single" w:color="auto" w:sz="4" w:space="0"/>
              <w:left w:val="single" w:color="auto" w:sz="4" w:space="0"/>
              <w:bottom w:val="single" w:color="auto" w:sz="4" w:space="0"/>
              <w:right w:val="single" w:color="auto" w:sz="4" w:space="0"/>
            </w:tcBorders>
            <w:vAlign w:val="center"/>
          </w:tcPr>
          <w:p w14:paraId="28D9CBFF">
            <w:pPr>
              <w:jc w:val="center"/>
              <w:rPr>
                <w:rFonts w:ascii="宋体" w:hAnsi="宋体"/>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6FDCE693">
            <w:pPr>
              <w:jc w:val="center"/>
              <w:rPr>
                <w:rFonts w:ascii="宋体" w:hAnsi="宋体"/>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vAlign w:val="center"/>
          </w:tcPr>
          <w:p w14:paraId="1084FAC9">
            <w:pPr>
              <w:jc w:val="center"/>
              <w:rPr>
                <w:rFonts w:ascii="宋体" w:hAnsi="宋体"/>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vAlign w:val="center"/>
          </w:tcPr>
          <w:p w14:paraId="243F0242">
            <w:pPr>
              <w:jc w:val="center"/>
              <w:rPr>
                <w:rFonts w:ascii="宋体" w:hAnsi="宋体"/>
                <w:color w:val="auto"/>
                <w:spacing w:val="20"/>
                <w:szCs w:val="21"/>
              </w:rPr>
            </w:pPr>
          </w:p>
        </w:tc>
      </w:tr>
      <w:tr w14:paraId="36D61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0EDE05CA">
            <w:pPr>
              <w:jc w:val="center"/>
              <w:rPr>
                <w:rFonts w:ascii="宋体" w:hAnsi="宋体"/>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60C09B61">
            <w:pPr>
              <w:jc w:val="center"/>
              <w:rPr>
                <w:rFonts w:ascii="宋体" w:hAnsi="宋体"/>
                <w:color w:val="auto"/>
                <w:spacing w:val="20"/>
                <w:szCs w:val="21"/>
              </w:rPr>
            </w:pPr>
          </w:p>
        </w:tc>
        <w:tc>
          <w:tcPr>
            <w:tcW w:w="1189" w:type="dxa"/>
            <w:tcBorders>
              <w:top w:val="single" w:color="auto" w:sz="4" w:space="0"/>
              <w:left w:val="single" w:color="auto" w:sz="4" w:space="0"/>
              <w:bottom w:val="single" w:color="auto" w:sz="4" w:space="0"/>
              <w:right w:val="single" w:color="auto" w:sz="4" w:space="0"/>
            </w:tcBorders>
            <w:vAlign w:val="center"/>
          </w:tcPr>
          <w:p w14:paraId="065D8261">
            <w:pPr>
              <w:jc w:val="center"/>
              <w:rPr>
                <w:rFonts w:ascii="宋体" w:hAnsi="宋体"/>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20300E2E">
            <w:pPr>
              <w:jc w:val="center"/>
              <w:rPr>
                <w:rFonts w:ascii="宋体" w:hAnsi="宋体"/>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vAlign w:val="center"/>
          </w:tcPr>
          <w:p w14:paraId="39BED98D">
            <w:pPr>
              <w:jc w:val="center"/>
              <w:rPr>
                <w:rFonts w:ascii="宋体" w:hAnsi="宋体"/>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vAlign w:val="center"/>
          </w:tcPr>
          <w:p w14:paraId="5C3A9F93">
            <w:pPr>
              <w:jc w:val="center"/>
              <w:rPr>
                <w:rFonts w:ascii="宋体" w:hAnsi="宋体"/>
                <w:color w:val="auto"/>
                <w:spacing w:val="20"/>
                <w:szCs w:val="21"/>
              </w:rPr>
            </w:pPr>
          </w:p>
        </w:tc>
      </w:tr>
      <w:tr w14:paraId="7860B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3" w:hRule="exact"/>
          <w:jc w:val="center"/>
        </w:trPr>
        <w:tc>
          <w:tcPr>
            <w:tcW w:w="898" w:type="dxa"/>
            <w:tcBorders>
              <w:top w:val="single" w:color="auto" w:sz="4" w:space="0"/>
              <w:left w:val="single" w:color="auto" w:sz="4" w:space="0"/>
              <w:bottom w:val="single" w:color="auto" w:sz="4" w:space="0"/>
              <w:right w:val="single" w:color="auto" w:sz="4" w:space="0"/>
            </w:tcBorders>
            <w:vAlign w:val="center"/>
          </w:tcPr>
          <w:p w14:paraId="64DEEE9F">
            <w:pPr>
              <w:jc w:val="center"/>
              <w:rPr>
                <w:rFonts w:ascii="宋体" w:hAnsi="宋体"/>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333BD8B3">
            <w:pPr>
              <w:jc w:val="center"/>
              <w:rPr>
                <w:rFonts w:ascii="宋体" w:hAnsi="宋体"/>
                <w:color w:val="auto"/>
                <w:spacing w:val="20"/>
                <w:szCs w:val="21"/>
              </w:rPr>
            </w:pPr>
            <w:r>
              <w:rPr>
                <w:rFonts w:ascii="宋体" w:hAnsi="宋体"/>
                <w:color w:val="auto"/>
                <w:spacing w:val="20"/>
                <w:szCs w:val="21"/>
              </w:rPr>
              <w:t>……</w:t>
            </w:r>
          </w:p>
        </w:tc>
        <w:tc>
          <w:tcPr>
            <w:tcW w:w="1189" w:type="dxa"/>
            <w:tcBorders>
              <w:top w:val="single" w:color="auto" w:sz="4" w:space="0"/>
              <w:left w:val="single" w:color="auto" w:sz="4" w:space="0"/>
              <w:bottom w:val="single" w:color="auto" w:sz="4" w:space="0"/>
              <w:right w:val="single" w:color="auto" w:sz="4" w:space="0"/>
            </w:tcBorders>
            <w:vAlign w:val="center"/>
          </w:tcPr>
          <w:p w14:paraId="2B936A5E">
            <w:pPr>
              <w:jc w:val="center"/>
              <w:rPr>
                <w:rFonts w:ascii="宋体" w:hAnsi="宋体"/>
                <w:color w:val="auto"/>
                <w:spacing w:val="20"/>
                <w:szCs w:val="21"/>
              </w:rPr>
            </w:pPr>
          </w:p>
        </w:tc>
        <w:tc>
          <w:tcPr>
            <w:tcW w:w="1783" w:type="dxa"/>
            <w:tcBorders>
              <w:top w:val="single" w:color="auto" w:sz="4" w:space="0"/>
              <w:left w:val="single" w:color="auto" w:sz="4" w:space="0"/>
              <w:bottom w:val="single" w:color="auto" w:sz="4" w:space="0"/>
              <w:right w:val="single" w:color="auto" w:sz="4" w:space="0"/>
            </w:tcBorders>
            <w:vAlign w:val="center"/>
          </w:tcPr>
          <w:p w14:paraId="693176DB">
            <w:pPr>
              <w:jc w:val="center"/>
              <w:rPr>
                <w:rFonts w:ascii="宋体" w:hAnsi="宋体"/>
                <w:color w:val="auto"/>
                <w:spacing w:val="20"/>
                <w:szCs w:val="21"/>
              </w:rPr>
            </w:pPr>
          </w:p>
        </w:tc>
        <w:tc>
          <w:tcPr>
            <w:tcW w:w="1387" w:type="dxa"/>
            <w:tcBorders>
              <w:top w:val="single" w:color="auto" w:sz="4" w:space="0"/>
              <w:left w:val="single" w:color="auto" w:sz="4" w:space="0"/>
              <w:bottom w:val="single" w:color="auto" w:sz="4" w:space="0"/>
              <w:right w:val="single" w:color="auto" w:sz="4" w:space="0"/>
            </w:tcBorders>
            <w:vAlign w:val="center"/>
          </w:tcPr>
          <w:p w14:paraId="4FC7CF88">
            <w:pPr>
              <w:jc w:val="center"/>
              <w:rPr>
                <w:rFonts w:ascii="宋体" w:hAnsi="宋体"/>
                <w:color w:val="auto"/>
                <w:spacing w:val="20"/>
                <w:szCs w:val="21"/>
              </w:rPr>
            </w:pPr>
          </w:p>
        </w:tc>
        <w:tc>
          <w:tcPr>
            <w:tcW w:w="1585" w:type="dxa"/>
            <w:tcBorders>
              <w:top w:val="single" w:color="auto" w:sz="4" w:space="0"/>
              <w:left w:val="single" w:color="auto" w:sz="4" w:space="0"/>
              <w:bottom w:val="single" w:color="auto" w:sz="4" w:space="0"/>
              <w:right w:val="single" w:color="auto" w:sz="4" w:space="0"/>
            </w:tcBorders>
            <w:vAlign w:val="center"/>
          </w:tcPr>
          <w:p w14:paraId="2B87275A">
            <w:pPr>
              <w:jc w:val="center"/>
              <w:rPr>
                <w:rFonts w:ascii="宋体" w:hAnsi="宋体"/>
                <w:color w:val="auto"/>
                <w:spacing w:val="20"/>
                <w:szCs w:val="21"/>
              </w:rPr>
            </w:pPr>
          </w:p>
        </w:tc>
      </w:tr>
    </w:tbl>
    <w:p w14:paraId="6BC33B5F">
      <w:pPr>
        <w:rPr>
          <w:rFonts w:ascii="宋体" w:hAnsi="宋体"/>
          <w:color w:val="auto"/>
          <w:spacing w:val="20"/>
          <w:szCs w:val="21"/>
          <w:u w:val="single"/>
        </w:rPr>
      </w:pPr>
    </w:p>
    <w:p w14:paraId="07C31DB1">
      <w:pPr>
        <w:spacing w:line="360" w:lineRule="auto"/>
        <w:rPr>
          <w:rFonts w:ascii="宋体" w:hAnsi="宋体"/>
          <w:color w:val="auto"/>
          <w:spacing w:val="20"/>
          <w:szCs w:val="21"/>
        </w:rPr>
      </w:pPr>
    </w:p>
    <w:p w14:paraId="27632614">
      <w:pPr>
        <w:pStyle w:val="18"/>
        <w:rPr>
          <w:rFonts w:ascii="宋体" w:hAnsi="宋体"/>
          <w:color w:val="auto"/>
        </w:rPr>
      </w:pPr>
      <w:r>
        <w:rPr>
          <w:rFonts w:ascii="宋体" w:hAnsi="宋体"/>
          <w:color w:val="auto"/>
          <w:szCs w:val="21"/>
        </w:rPr>
        <w:t>注：</w:t>
      </w:r>
      <w:r>
        <w:rPr>
          <w:rFonts w:hint="eastAsia" w:ascii="宋体" w:hAnsi="宋体"/>
          <w:color w:val="auto"/>
          <w:szCs w:val="21"/>
        </w:rPr>
        <w:t>本表如</w:t>
      </w:r>
      <w:r>
        <w:rPr>
          <w:rFonts w:hint="eastAsia" w:ascii="宋体" w:hAnsi="宋体"/>
          <w:color w:val="auto"/>
        </w:rPr>
        <w:t>与广西政府采购云平台不一致的，以广西政府采购云平台为准。</w:t>
      </w:r>
    </w:p>
    <w:p w14:paraId="08B42480">
      <w:pPr>
        <w:jc w:val="left"/>
        <w:rPr>
          <w:rFonts w:ascii="宋体" w:hAnsi="宋体"/>
          <w:color w:val="auto"/>
          <w:szCs w:val="21"/>
        </w:rPr>
      </w:pPr>
    </w:p>
    <w:p w14:paraId="15DD91EE">
      <w:pPr>
        <w:spacing w:line="360" w:lineRule="auto"/>
        <w:rPr>
          <w:rFonts w:ascii="宋体" w:hAnsi="宋体"/>
          <w:color w:val="auto"/>
          <w:spacing w:val="20"/>
          <w:szCs w:val="21"/>
        </w:rPr>
      </w:pPr>
    </w:p>
    <w:p w14:paraId="781F2B45">
      <w:pPr>
        <w:spacing w:line="360" w:lineRule="auto"/>
        <w:rPr>
          <w:rFonts w:ascii="宋体" w:hAnsi="宋体"/>
          <w:color w:val="auto"/>
          <w:szCs w:val="21"/>
        </w:rPr>
      </w:pPr>
      <w:r>
        <w:rPr>
          <w:rFonts w:ascii="宋体" w:hAnsi="宋体"/>
          <w:color w:val="auto"/>
          <w:szCs w:val="21"/>
        </w:rPr>
        <w:t>供应商名称（</w:t>
      </w:r>
      <w:r>
        <w:rPr>
          <w:rFonts w:hint="eastAsia" w:ascii="宋体" w:hAnsi="宋体"/>
          <w:color w:val="auto"/>
          <w:szCs w:val="21"/>
        </w:rPr>
        <w:t>电子签章</w:t>
      </w:r>
      <w:r>
        <w:rPr>
          <w:rFonts w:ascii="宋体" w:hAnsi="宋体"/>
          <w:color w:val="auto"/>
          <w:szCs w:val="21"/>
        </w:rPr>
        <w:t>）：</w:t>
      </w:r>
      <w:r>
        <w:rPr>
          <w:rFonts w:ascii="宋体" w:hAnsi="宋体"/>
          <w:color w:val="auto"/>
          <w:szCs w:val="21"/>
          <w:u w:val="single"/>
        </w:rPr>
        <w:t xml:space="preserve">                          </w:t>
      </w:r>
    </w:p>
    <w:p w14:paraId="26729242">
      <w:pPr>
        <w:spacing w:line="360" w:lineRule="auto"/>
        <w:rPr>
          <w:rFonts w:ascii="宋体" w:hAnsi="宋体"/>
          <w:color w:val="auto"/>
          <w:spacing w:val="20"/>
          <w:szCs w:val="21"/>
          <w:u w:val="single"/>
        </w:rPr>
      </w:pPr>
      <w:r>
        <w:rPr>
          <w:rFonts w:ascii="宋体" w:hAnsi="宋体"/>
          <w:color w:val="auto"/>
          <w:szCs w:val="21"/>
        </w:rPr>
        <w:t>日  期</w:t>
      </w:r>
      <w:r>
        <w:rPr>
          <w:rFonts w:hint="eastAsia" w:ascii="宋体" w:hAnsi="宋体"/>
          <w:color w:val="auto"/>
          <w:szCs w:val="21"/>
        </w:rPr>
        <w:t>：</w:t>
      </w:r>
      <w:r>
        <w:rPr>
          <w:rFonts w:ascii="宋体" w:hAnsi="宋体"/>
          <w:color w:val="auto"/>
          <w:szCs w:val="21"/>
          <w:u w:val="single"/>
        </w:rPr>
        <w:t xml:space="preserve">         </w:t>
      </w:r>
      <w:r>
        <w:rPr>
          <w:rFonts w:ascii="宋体" w:hAnsi="宋体"/>
          <w:color w:val="auto"/>
          <w:szCs w:val="21"/>
        </w:rPr>
        <w:t>年</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ascii="宋体" w:hAnsi="宋体"/>
          <w:color w:val="auto"/>
          <w:szCs w:val="21"/>
        </w:rPr>
        <w:t xml:space="preserve">日 </w:t>
      </w:r>
    </w:p>
    <w:p w14:paraId="2B579A75">
      <w:pPr>
        <w:snapToGrid w:val="0"/>
        <w:spacing w:before="50" w:after="120" w:afterLines="50"/>
        <w:jc w:val="left"/>
        <w:outlineLvl w:val="1"/>
        <w:rPr>
          <w:rFonts w:ascii="宋体" w:hAnsi="宋体"/>
          <w:color w:val="auto"/>
          <w:szCs w:val="21"/>
        </w:rPr>
        <w:sectPr>
          <w:headerReference r:id="rId23" w:type="default"/>
          <w:pgSz w:w="11906" w:h="16838"/>
          <w:pgMar w:top="1418" w:right="1133" w:bottom="1246" w:left="1418" w:header="851" w:footer="992" w:gutter="0"/>
          <w:cols w:space="720" w:num="1"/>
          <w:docGrid w:linePitch="312" w:charSpace="0"/>
        </w:sectPr>
      </w:pPr>
    </w:p>
    <w:p w14:paraId="052B5B6E">
      <w:pPr>
        <w:snapToGrid w:val="0"/>
        <w:spacing w:before="50" w:after="120" w:afterLines="50"/>
        <w:jc w:val="left"/>
        <w:rPr>
          <w:rFonts w:ascii="宋体" w:hAnsi="宋体"/>
          <w:color w:val="auto"/>
          <w:szCs w:val="21"/>
        </w:rPr>
      </w:pPr>
      <w:bookmarkStart w:id="110" w:name="_Hlk65852042"/>
      <w:r>
        <w:rPr>
          <w:rFonts w:hint="eastAsia" w:ascii="宋体" w:hAnsi="宋体"/>
          <w:color w:val="auto"/>
          <w:szCs w:val="21"/>
        </w:rPr>
        <w:t>3.</w:t>
      </w:r>
      <w:r>
        <w:rPr>
          <w:rFonts w:ascii="宋体" w:hAnsi="宋体"/>
          <w:color w:val="auto"/>
          <w:szCs w:val="21"/>
        </w:rPr>
        <w:t>过低报价合理性的说明。（如有）</w:t>
      </w:r>
    </w:p>
    <w:p w14:paraId="7A075A8B">
      <w:pPr>
        <w:spacing w:line="360" w:lineRule="auto"/>
        <w:ind w:firstLine="420" w:firstLineChars="200"/>
        <w:rPr>
          <w:rFonts w:ascii="宋体" w:hAnsi="宋体"/>
          <w:color w:val="auto"/>
          <w:szCs w:val="21"/>
        </w:rPr>
      </w:pPr>
      <w:r>
        <w:rPr>
          <w:rFonts w:ascii="宋体" w:hAnsi="宋体"/>
          <w:color w:val="auto"/>
          <w:szCs w:val="21"/>
        </w:rPr>
        <w:t>评审委员会认为的报价</w:t>
      </w:r>
      <w:r>
        <w:rPr>
          <w:rFonts w:hint="eastAsia" w:ascii="宋体" w:hAnsi="宋体"/>
          <w:color w:val="auto"/>
          <w:szCs w:val="21"/>
        </w:rPr>
        <w:t>存在异常低价问题的情形</w:t>
      </w:r>
      <w:r>
        <w:rPr>
          <w:rFonts w:ascii="宋体" w:hAnsi="宋体"/>
          <w:color w:val="auto"/>
          <w:szCs w:val="21"/>
        </w:rPr>
        <w:t>，供应商将被要求以书面方式提供</w:t>
      </w:r>
      <w:r>
        <w:rPr>
          <w:rFonts w:hint="eastAsia" w:ascii="宋体" w:hAnsi="宋体"/>
          <w:color w:val="auto"/>
          <w:szCs w:val="21"/>
        </w:rPr>
        <w:t>项目具体成本测算等与报价合理性相关的书面说明及必要的证明材料</w:t>
      </w:r>
      <w:r>
        <w:rPr>
          <w:rFonts w:ascii="宋体" w:hAnsi="宋体"/>
          <w:color w:val="auto"/>
          <w:szCs w:val="21"/>
        </w:rPr>
        <w:t>。为避免在评审现场因未能及时提供说明而导致被评审委员会作为无效</w:t>
      </w:r>
      <w:r>
        <w:rPr>
          <w:rFonts w:hint="eastAsia" w:ascii="宋体" w:hAnsi="宋体"/>
          <w:color w:val="auto"/>
          <w:szCs w:val="21"/>
        </w:rPr>
        <w:t>响应</w:t>
      </w:r>
      <w:r>
        <w:rPr>
          <w:rFonts w:ascii="宋体" w:hAnsi="宋体"/>
          <w:color w:val="auto"/>
          <w:szCs w:val="21"/>
        </w:rPr>
        <w:t>，供应商</w:t>
      </w:r>
      <w:r>
        <w:rPr>
          <w:rFonts w:hint="eastAsia" w:ascii="宋体" w:hAnsi="宋体"/>
          <w:color w:val="auto"/>
        </w:rPr>
        <w:t>自行决定是否</w:t>
      </w:r>
      <w:r>
        <w:rPr>
          <w:rFonts w:ascii="宋体" w:hAnsi="宋体"/>
          <w:color w:val="auto"/>
          <w:kern w:val="1"/>
          <w:szCs w:val="21"/>
        </w:rPr>
        <w:t>直接在</w:t>
      </w:r>
      <w:r>
        <w:rPr>
          <w:rFonts w:ascii="宋体" w:hAnsi="宋体"/>
          <w:color w:val="auto"/>
          <w:szCs w:val="21"/>
        </w:rPr>
        <w:t>此处</w:t>
      </w:r>
      <w:r>
        <w:rPr>
          <w:rFonts w:hint="eastAsia" w:ascii="宋体" w:hAnsi="宋体"/>
          <w:color w:val="auto"/>
          <w:szCs w:val="21"/>
        </w:rPr>
        <w:t>进行陈述</w:t>
      </w:r>
      <w:r>
        <w:rPr>
          <w:rFonts w:ascii="宋体" w:hAnsi="宋体"/>
          <w:color w:val="auto"/>
          <w:szCs w:val="21"/>
        </w:rPr>
        <w:t>。格式自拟。</w:t>
      </w:r>
      <w:r>
        <w:rPr>
          <w:rFonts w:hint="eastAsia" w:ascii="宋体" w:hAnsi="宋体"/>
          <w:color w:val="auto"/>
          <w:szCs w:val="21"/>
        </w:rPr>
        <w:t>（</w:t>
      </w:r>
      <w:r>
        <w:rPr>
          <w:rFonts w:hint="eastAsia" w:ascii="宋体" w:hAnsi="宋体"/>
          <w:color w:val="auto"/>
          <w:kern w:val="1"/>
          <w:szCs w:val="21"/>
        </w:rPr>
        <w:t>具体要求详见第四章评审方法及标准“过低报价合理性的审查”</w:t>
      </w:r>
      <w:r>
        <w:rPr>
          <w:rFonts w:hint="eastAsia" w:ascii="宋体" w:hAnsi="宋体"/>
          <w:color w:val="auto"/>
          <w:szCs w:val="21"/>
        </w:rPr>
        <w:t>）</w:t>
      </w:r>
    </w:p>
    <w:p w14:paraId="59C44341">
      <w:pPr>
        <w:pStyle w:val="132"/>
        <w:jc w:val="center"/>
        <w:rPr>
          <w:rFonts w:ascii="宋体" w:hAnsi="宋体"/>
          <w:b/>
          <w:bCs/>
          <w:color w:val="auto"/>
        </w:rPr>
      </w:pPr>
      <w:bookmarkStart w:id="111" w:name="_Hlk211331823"/>
    </w:p>
    <w:p w14:paraId="783E9B9E">
      <w:pPr>
        <w:pStyle w:val="132"/>
        <w:jc w:val="center"/>
        <w:rPr>
          <w:rFonts w:ascii="宋体" w:hAnsi="宋体"/>
          <w:color w:val="auto"/>
        </w:rPr>
      </w:pPr>
      <w:r>
        <w:rPr>
          <w:rFonts w:hint="eastAsia" w:ascii="宋体" w:hAnsi="宋体"/>
          <w:b/>
          <w:bCs/>
          <w:color w:val="auto"/>
        </w:rPr>
        <w:t>产品成本测算表（参考格式）</w:t>
      </w:r>
    </w:p>
    <w:p w14:paraId="2DB889C3">
      <w:pPr>
        <w:spacing w:line="360" w:lineRule="auto"/>
        <w:rPr>
          <w:rFonts w:ascii="宋体" w:hAnsi="宋体"/>
          <w:color w:val="auto"/>
        </w:rPr>
      </w:pPr>
    </w:p>
    <w:bookmarkEnd w:id="111"/>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ascii="宋体" w:hAnsi="宋体" w:cs="宋体"/>
                <w:b/>
                <w:color w:val="auto"/>
              </w:rPr>
            </w:pPr>
            <w:r>
              <w:rPr>
                <w:rFonts w:hint="eastAsia" w:ascii="宋体" w:hAnsi="宋体" w:cs="仿宋_GB2312"/>
                <w:b/>
                <w:color w:val="auto"/>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ascii="宋体" w:hAnsi="宋体" w:cs="宋体"/>
                <w:b/>
                <w:color w:val="auto"/>
              </w:rPr>
            </w:pPr>
            <w:r>
              <w:rPr>
                <w:rFonts w:hint="eastAsia" w:ascii="宋体" w:hAnsi="宋体" w:cs="宋体"/>
                <w:b/>
                <w:color w:val="auto"/>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ascii="宋体" w:hAnsi="宋体" w:cs="宋体"/>
                <w:b/>
                <w:color w:val="auto"/>
              </w:rPr>
            </w:pPr>
            <w:r>
              <w:rPr>
                <w:rFonts w:hint="eastAsia" w:ascii="宋体" w:hAnsi="宋体"/>
                <w:b/>
                <w:color w:val="auto"/>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ascii="宋体" w:hAnsi="宋体" w:cs="宋体"/>
                <w:b/>
                <w:color w:val="auto"/>
              </w:rPr>
            </w:pPr>
            <w:r>
              <w:rPr>
                <w:rFonts w:hint="eastAsia" w:ascii="宋体" w:hAnsi="宋体" w:cs="宋体"/>
                <w:b/>
                <w:color w:val="auto"/>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ascii="宋体" w:hAnsi="宋体" w:cs="宋体"/>
                <w:b/>
                <w:color w:val="auto"/>
              </w:rPr>
            </w:pPr>
            <w:r>
              <w:rPr>
                <w:rFonts w:hint="eastAsia" w:ascii="宋体" w:hAnsi="宋体" w:cs="宋体"/>
                <w:b/>
                <w:color w:val="auto"/>
              </w:rPr>
              <w:t>报价单价（</w:t>
            </w:r>
            <w:r>
              <w:rPr>
                <w:rFonts w:ascii="宋体" w:hAnsi="宋体" w:cs="宋体"/>
                <w:b/>
                <w:color w:val="auto"/>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ascii="宋体" w:hAnsi="宋体" w:cs="宋体"/>
                <w:b/>
                <w:color w:val="auto"/>
              </w:rPr>
            </w:pPr>
            <w:r>
              <w:rPr>
                <w:rFonts w:hint="eastAsia" w:ascii="宋体" w:hAnsi="宋体" w:cs="宋体"/>
                <w:b/>
                <w:color w:val="auto"/>
              </w:rPr>
              <w:t>成本项目</w:t>
            </w:r>
          </w:p>
          <w:p w14:paraId="5AD3EE4D">
            <w:pPr>
              <w:spacing w:line="360" w:lineRule="auto"/>
              <w:ind w:right="-65" w:rightChars="-31"/>
              <w:rPr>
                <w:rFonts w:ascii="宋体" w:hAnsi="宋体" w:cs="宋体"/>
                <w:b/>
                <w:color w:val="auto"/>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ascii="宋体" w:hAnsi="宋体" w:cs="宋体"/>
                <w:b/>
                <w:color w:val="auto"/>
              </w:rPr>
            </w:pPr>
            <w:r>
              <w:rPr>
                <w:rFonts w:hint="eastAsia" w:ascii="宋体" w:hAnsi="宋体" w:cs="宋体"/>
                <w:b/>
                <w:color w:val="auto"/>
              </w:rPr>
              <w:t>具体明细</w:t>
            </w:r>
          </w:p>
          <w:p w14:paraId="7EF200FF">
            <w:pPr>
              <w:spacing w:line="360" w:lineRule="auto"/>
              <w:ind w:left="-48" w:leftChars="-23" w:right="-65" w:rightChars="-31"/>
              <w:jc w:val="center"/>
              <w:rPr>
                <w:rFonts w:ascii="宋体" w:hAnsi="宋体" w:cs="宋体"/>
                <w:b/>
                <w:color w:val="auto"/>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ascii="宋体" w:hAnsi="宋体" w:cs="宋体"/>
                <w:b/>
                <w:color w:val="auto"/>
              </w:rPr>
            </w:pPr>
            <w:r>
              <w:rPr>
                <w:rFonts w:hint="eastAsia" w:ascii="宋体" w:hAnsi="宋体" w:cs="宋体"/>
                <w:b/>
                <w:color w:val="auto"/>
              </w:rPr>
              <w:t>单位产品用量</w:t>
            </w:r>
          </w:p>
          <w:p w14:paraId="27DC558F">
            <w:pPr>
              <w:spacing w:line="360" w:lineRule="auto"/>
              <w:ind w:left="-48" w:leftChars="-23" w:right="-65" w:rightChars="-31"/>
              <w:jc w:val="center"/>
              <w:rPr>
                <w:rFonts w:ascii="宋体" w:hAnsi="宋体" w:cs="宋体"/>
                <w:b/>
                <w:color w:val="auto"/>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ascii="宋体" w:hAnsi="宋体" w:cs="宋体"/>
                <w:b/>
                <w:color w:val="auto"/>
              </w:rPr>
            </w:pPr>
            <w:r>
              <w:rPr>
                <w:rFonts w:hint="eastAsia" w:ascii="宋体" w:hAnsi="宋体" w:cs="宋体"/>
                <w:b/>
                <w:color w:val="auto"/>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ascii="宋体" w:hAnsi="宋体" w:cs="宋体"/>
                <w:b/>
                <w:color w:val="auto"/>
              </w:rPr>
            </w:pPr>
            <w:r>
              <w:rPr>
                <w:rFonts w:hint="eastAsia" w:ascii="宋体" w:hAnsi="宋体" w:cs="宋体"/>
                <w:b/>
                <w:color w:val="auto"/>
              </w:rPr>
              <w:t>成本</w:t>
            </w:r>
            <w:r>
              <w:rPr>
                <w:rFonts w:ascii="宋体" w:hAnsi="宋体" w:cs="宋体"/>
                <w:b/>
                <w:color w:val="auto"/>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ascii="宋体" w:hAnsi="宋体" w:cs="宋体"/>
                <w:b/>
                <w:color w:val="auto"/>
              </w:rPr>
            </w:pPr>
            <w:r>
              <w:rPr>
                <w:rFonts w:hint="eastAsia" w:ascii="宋体" w:hAnsi="宋体" w:cs="宋体"/>
                <w:b/>
                <w:color w:val="auto"/>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31899164">
            <w:pPr>
              <w:numPr>
                <w:ilvl w:val="0"/>
                <w:numId w:val="4"/>
              </w:numPr>
              <w:tabs>
                <w:tab w:val="left" w:pos="61"/>
              </w:tabs>
              <w:jc w:val="center"/>
              <w:rPr>
                <w:rFonts w:ascii="宋体" w:hAnsi="宋体"/>
                <w:color w:val="auto"/>
              </w:rPr>
            </w:pPr>
          </w:p>
        </w:tc>
        <w:tc>
          <w:tcPr>
            <w:tcW w:w="201" w:type="pct"/>
            <w:vMerge w:val="restart"/>
            <w:vAlign w:val="center"/>
          </w:tcPr>
          <w:p w14:paraId="65B757C2">
            <w:pPr>
              <w:tabs>
                <w:tab w:val="left" w:pos="0"/>
                <w:tab w:val="left" w:pos="56"/>
              </w:tabs>
              <w:ind w:left="479" w:hanging="478" w:hangingChars="228"/>
              <w:jc w:val="center"/>
              <w:rPr>
                <w:rFonts w:ascii="宋体" w:hAnsi="宋体"/>
                <w:color w:val="auto"/>
              </w:rPr>
            </w:pPr>
          </w:p>
        </w:tc>
        <w:tc>
          <w:tcPr>
            <w:tcW w:w="380" w:type="pct"/>
            <w:vMerge w:val="restart"/>
            <w:vAlign w:val="center"/>
          </w:tcPr>
          <w:p w14:paraId="58C050D9">
            <w:pPr>
              <w:spacing w:line="240" w:lineRule="atLeast"/>
              <w:ind w:left="-48" w:leftChars="-23" w:right="-65" w:rightChars="-31"/>
              <w:jc w:val="left"/>
              <w:rPr>
                <w:rFonts w:ascii="宋体" w:hAnsi="宋体" w:cs="宋体"/>
                <w:color w:val="auto"/>
              </w:rPr>
            </w:pPr>
          </w:p>
        </w:tc>
        <w:tc>
          <w:tcPr>
            <w:tcW w:w="282" w:type="pct"/>
            <w:vMerge w:val="restart"/>
            <w:tcBorders>
              <w:left w:val="single" w:color="auto" w:sz="4" w:space="0"/>
            </w:tcBorders>
            <w:vAlign w:val="center"/>
          </w:tcPr>
          <w:p w14:paraId="3B157FD4">
            <w:pPr>
              <w:spacing w:line="240" w:lineRule="atLeast"/>
              <w:ind w:left="-48" w:leftChars="-23" w:right="-65" w:rightChars="-31"/>
              <w:jc w:val="left"/>
              <w:rPr>
                <w:rFonts w:ascii="宋体" w:hAnsi="宋体" w:cs="宋体"/>
                <w:color w:val="auto"/>
              </w:rPr>
            </w:pPr>
          </w:p>
        </w:tc>
        <w:tc>
          <w:tcPr>
            <w:tcW w:w="478" w:type="pct"/>
            <w:vMerge w:val="restart"/>
            <w:tcBorders>
              <w:left w:val="single" w:color="auto" w:sz="4" w:space="0"/>
              <w:right w:val="single" w:color="auto" w:sz="4" w:space="0"/>
            </w:tcBorders>
            <w:vAlign w:val="center"/>
          </w:tcPr>
          <w:p w14:paraId="67F6C6EE">
            <w:pPr>
              <w:spacing w:line="240" w:lineRule="atLeast"/>
              <w:ind w:left="-48" w:leftChars="-23" w:right="-65" w:rightChars="-31"/>
              <w:jc w:val="left"/>
              <w:rPr>
                <w:rFonts w:ascii="宋体" w:hAnsi="宋体" w:cs="宋体"/>
                <w:color w:val="auto"/>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ascii="宋体" w:hAnsi="宋体" w:cs="宋体"/>
                <w:color w:val="auto"/>
              </w:rPr>
            </w:pPr>
            <w:r>
              <w:rPr>
                <w:rFonts w:hint="eastAsia" w:ascii="宋体" w:hAnsi="宋体" w:cs="宋体"/>
                <w:color w:val="auto"/>
              </w:rPr>
              <w:t>原材料成本</w:t>
            </w:r>
          </w:p>
        </w:tc>
        <w:tc>
          <w:tcPr>
            <w:tcW w:w="560" w:type="pct"/>
            <w:tcBorders>
              <w:left w:val="single" w:color="auto" w:sz="4" w:space="0"/>
            </w:tcBorders>
            <w:vAlign w:val="center"/>
          </w:tcPr>
          <w:p w14:paraId="33003AD0">
            <w:pPr>
              <w:spacing w:line="240" w:lineRule="atLeast"/>
              <w:ind w:left="-48" w:leftChars="-23" w:right="-65" w:rightChars="-31"/>
              <w:jc w:val="left"/>
              <w:rPr>
                <w:rFonts w:ascii="宋体" w:hAnsi="宋体" w:cs="宋体"/>
                <w:color w:val="auto"/>
              </w:rPr>
            </w:pPr>
            <w:r>
              <w:rPr>
                <w:rFonts w:ascii="宋体" w:hAnsi="宋体" w:cs="宋体"/>
                <w:color w:val="auto"/>
              </w:rPr>
              <w:t>原材料1</w:t>
            </w:r>
          </w:p>
        </w:tc>
        <w:tc>
          <w:tcPr>
            <w:tcW w:w="511" w:type="pct"/>
            <w:tcBorders>
              <w:left w:val="single" w:color="auto" w:sz="4" w:space="0"/>
            </w:tcBorders>
            <w:vAlign w:val="center"/>
          </w:tcPr>
          <w:p w14:paraId="2A7EE56F">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00318077">
            <w:pPr>
              <w:spacing w:line="240" w:lineRule="atLeast"/>
              <w:ind w:left="-48" w:leftChars="-23" w:right="-65" w:rightChars="-31"/>
              <w:jc w:val="left"/>
              <w:rPr>
                <w:rFonts w:ascii="宋体" w:hAnsi="宋体" w:cs="宋体"/>
                <w:color w:val="auto"/>
              </w:rPr>
            </w:pPr>
          </w:p>
        </w:tc>
        <w:tc>
          <w:tcPr>
            <w:tcW w:w="449" w:type="pct"/>
            <w:vMerge w:val="restart"/>
            <w:tcBorders>
              <w:left w:val="single" w:color="auto" w:sz="4" w:space="0"/>
            </w:tcBorders>
            <w:vAlign w:val="center"/>
          </w:tcPr>
          <w:p w14:paraId="17873F2F">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71C7FD89">
            <w:pPr>
              <w:spacing w:line="240" w:lineRule="atLeast"/>
              <w:ind w:left="-48" w:leftChars="-23" w:right="-65" w:rightChars="-31"/>
              <w:jc w:val="left"/>
              <w:rPr>
                <w:rFonts w:ascii="宋体" w:hAnsi="宋体" w:cs="宋体"/>
                <w:color w:val="auto"/>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DA847D1">
            <w:pPr>
              <w:numPr>
                <w:ilvl w:val="0"/>
                <w:numId w:val="4"/>
              </w:numPr>
              <w:tabs>
                <w:tab w:val="left" w:pos="61"/>
              </w:tabs>
              <w:jc w:val="center"/>
              <w:rPr>
                <w:rFonts w:ascii="宋体" w:hAnsi="宋体"/>
                <w:color w:val="auto"/>
              </w:rPr>
            </w:pPr>
          </w:p>
        </w:tc>
        <w:tc>
          <w:tcPr>
            <w:tcW w:w="201" w:type="pct"/>
            <w:vMerge w:val="continue"/>
            <w:vAlign w:val="center"/>
          </w:tcPr>
          <w:p w14:paraId="462E3DFC">
            <w:pPr>
              <w:tabs>
                <w:tab w:val="left" w:pos="0"/>
                <w:tab w:val="left" w:pos="56"/>
              </w:tabs>
              <w:ind w:left="479" w:hanging="478" w:hangingChars="228"/>
              <w:jc w:val="center"/>
              <w:rPr>
                <w:rFonts w:ascii="宋体" w:hAnsi="宋体"/>
                <w:color w:val="auto"/>
              </w:rPr>
            </w:pPr>
          </w:p>
        </w:tc>
        <w:tc>
          <w:tcPr>
            <w:tcW w:w="380" w:type="pct"/>
            <w:vMerge w:val="continue"/>
            <w:vAlign w:val="center"/>
          </w:tcPr>
          <w:p w14:paraId="2E160B9A">
            <w:pPr>
              <w:spacing w:line="240" w:lineRule="atLeast"/>
              <w:ind w:left="-48" w:leftChars="-23" w:right="-65" w:rightChars="-31"/>
              <w:jc w:val="left"/>
              <w:rPr>
                <w:rFonts w:ascii="宋体" w:hAnsi="宋体" w:cs="宋体"/>
                <w:color w:val="auto"/>
              </w:rPr>
            </w:pPr>
          </w:p>
        </w:tc>
        <w:tc>
          <w:tcPr>
            <w:tcW w:w="282" w:type="pct"/>
            <w:vMerge w:val="continue"/>
            <w:tcBorders>
              <w:left w:val="single" w:color="auto" w:sz="4" w:space="0"/>
            </w:tcBorders>
            <w:vAlign w:val="center"/>
          </w:tcPr>
          <w:p w14:paraId="38DF83C2">
            <w:pPr>
              <w:spacing w:line="240" w:lineRule="atLeast"/>
              <w:ind w:left="-48" w:leftChars="-23" w:right="-65" w:rightChars="-31"/>
              <w:jc w:val="left"/>
              <w:rPr>
                <w:rFonts w:ascii="宋体" w:hAnsi="宋体" w:cs="宋体"/>
                <w:color w:val="auto"/>
              </w:rPr>
            </w:pPr>
          </w:p>
        </w:tc>
        <w:tc>
          <w:tcPr>
            <w:tcW w:w="478" w:type="pct"/>
            <w:vMerge w:val="continue"/>
            <w:tcBorders>
              <w:left w:val="single" w:color="auto" w:sz="4" w:space="0"/>
              <w:right w:val="single" w:color="auto" w:sz="4" w:space="0"/>
            </w:tcBorders>
            <w:vAlign w:val="center"/>
          </w:tcPr>
          <w:p w14:paraId="731170B0">
            <w:pPr>
              <w:spacing w:line="240" w:lineRule="atLeast"/>
              <w:ind w:left="-48" w:leftChars="-23" w:right="-65" w:rightChars="-31"/>
              <w:jc w:val="left"/>
              <w:rPr>
                <w:rFonts w:ascii="宋体" w:hAnsi="宋体" w:cs="宋体"/>
                <w:color w:val="auto"/>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ascii="宋体" w:hAnsi="宋体" w:cs="宋体"/>
                <w:color w:val="auto"/>
              </w:rPr>
            </w:pPr>
          </w:p>
        </w:tc>
        <w:tc>
          <w:tcPr>
            <w:tcW w:w="560" w:type="pct"/>
            <w:tcBorders>
              <w:left w:val="single" w:color="auto" w:sz="4" w:space="0"/>
            </w:tcBorders>
            <w:vAlign w:val="center"/>
          </w:tcPr>
          <w:p w14:paraId="26F1672B">
            <w:pPr>
              <w:spacing w:line="240" w:lineRule="atLeast"/>
              <w:ind w:left="-48" w:leftChars="-23" w:right="-65" w:rightChars="-31"/>
              <w:jc w:val="left"/>
              <w:rPr>
                <w:rFonts w:ascii="宋体" w:hAnsi="宋体" w:cs="宋体"/>
                <w:color w:val="auto"/>
              </w:rPr>
            </w:pPr>
            <w:r>
              <w:rPr>
                <w:rFonts w:hint="eastAsia" w:ascii="宋体" w:hAnsi="宋体" w:cs="宋体"/>
                <w:color w:val="auto"/>
              </w:rPr>
              <w:t>...</w:t>
            </w:r>
          </w:p>
        </w:tc>
        <w:tc>
          <w:tcPr>
            <w:tcW w:w="511" w:type="pct"/>
            <w:tcBorders>
              <w:left w:val="single" w:color="auto" w:sz="4" w:space="0"/>
            </w:tcBorders>
            <w:vAlign w:val="center"/>
          </w:tcPr>
          <w:p w14:paraId="539CD006">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0960E9F9">
            <w:pPr>
              <w:spacing w:line="240" w:lineRule="atLeast"/>
              <w:ind w:left="-48" w:leftChars="-23" w:right="-65" w:rightChars="-31"/>
              <w:jc w:val="left"/>
              <w:rPr>
                <w:rFonts w:ascii="宋体" w:hAnsi="宋体" w:cs="宋体"/>
                <w:color w:val="auto"/>
              </w:rPr>
            </w:pPr>
          </w:p>
        </w:tc>
        <w:tc>
          <w:tcPr>
            <w:tcW w:w="449" w:type="pct"/>
            <w:vMerge w:val="continue"/>
            <w:tcBorders>
              <w:left w:val="single" w:color="auto" w:sz="4" w:space="0"/>
            </w:tcBorders>
            <w:vAlign w:val="center"/>
          </w:tcPr>
          <w:p w14:paraId="4AF14547">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580CE386">
            <w:pPr>
              <w:spacing w:line="240" w:lineRule="atLeast"/>
              <w:ind w:left="-48" w:leftChars="-23" w:right="-65" w:rightChars="-31"/>
              <w:jc w:val="left"/>
              <w:rPr>
                <w:rFonts w:ascii="宋体" w:hAnsi="宋体" w:cs="宋体"/>
                <w:color w:val="auto"/>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47A0B9B">
            <w:pPr>
              <w:tabs>
                <w:tab w:val="left" w:pos="61"/>
              </w:tabs>
              <w:jc w:val="center"/>
              <w:rPr>
                <w:rFonts w:ascii="宋体" w:hAnsi="宋体"/>
                <w:color w:val="auto"/>
              </w:rPr>
            </w:pPr>
          </w:p>
        </w:tc>
        <w:tc>
          <w:tcPr>
            <w:tcW w:w="201" w:type="pct"/>
            <w:vMerge w:val="continue"/>
            <w:vAlign w:val="center"/>
          </w:tcPr>
          <w:p w14:paraId="5EEB1F4F">
            <w:pPr>
              <w:tabs>
                <w:tab w:val="left" w:pos="0"/>
                <w:tab w:val="left" w:pos="56"/>
              </w:tabs>
              <w:ind w:left="479" w:hanging="478" w:hangingChars="228"/>
              <w:jc w:val="center"/>
              <w:rPr>
                <w:rFonts w:ascii="宋体" w:hAnsi="宋体"/>
                <w:color w:val="auto"/>
              </w:rPr>
            </w:pPr>
          </w:p>
        </w:tc>
        <w:tc>
          <w:tcPr>
            <w:tcW w:w="380" w:type="pct"/>
            <w:vMerge w:val="continue"/>
            <w:vAlign w:val="center"/>
          </w:tcPr>
          <w:p w14:paraId="185BAC6B">
            <w:pPr>
              <w:spacing w:line="240" w:lineRule="atLeast"/>
              <w:ind w:left="-48" w:leftChars="-23" w:right="-65" w:rightChars="-31"/>
              <w:jc w:val="left"/>
              <w:rPr>
                <w:rFonts w:ascii="宋体" w:hAnsi="宋体" w:cs="宋体"/>
                <w:color w:val="auto"/>
              </w:rPr>
            </w:pPr>
          </w:p>
        </w:tc>
        <w:tc>
          <w:tcPr>
            <w:tcW w:w="282" w:type="pct"/>
            <w:vMerge w:val="continue"/>
            <w:tcBorders>
              <w:left w:val="single" w:color="auto" w:sz="4" w:space="0"/>
            </w:tcBorders>
            <w:vAlign w:val="center"/>
          </w:tcPr>
          <w:p w14:paraId="5F37CA61">
            <w:pPr>
              <w:spacing w:line="240" w:lineRule="atLeast"/>
              <w:ind w:left="-48" w:leftChars="-23" w:right="-65" w:rightChars="-31"/>
              <w:jc w:val="left"/>
              <w:rPr>
                <w:rFonts w:ascii="宋体" w:hAnsi="宋体" w:cs="宋体"/>
                <w:color w:val="auto"/>
              </w:rPr>
            </w:pPr>
          </w:p>
        </w:tc>
        <w:tc>
          <w:tcPr>
            <w:tcW w:w="478" w:type="pct"/>
            <w:vMerge w:val="continue"/>
            <w:tcBorders>
              <w:left w:val="single" w:color="auto" w:sz="4" w:space="0"/>
              <w:right w:val="single" w:color="auto" w:sz="4" w:space="0"/>
            </w:tcBorders>
            <w:vAlign w:val="center"/>
          </w:tcPr>
          <w:p w14:paraId="28855F02">
            <w:pPr>
              <w:spacing w:line="240" w:lineRule="atLeast"/>
              <w:ind w:left="-48" w:leftChars="-23" w:right="-65" w:rightChars="-31"/>
              <w:jc w:val="left"/>
              <w:rPr>
                <w:rFonts w:ascii="宋体" w:hAnsi="宋体" w:cs="宋体"/>
                <w:color w:val="auto"/>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ascii="宋体" w:hAnsi="宋体" w:cs="宋体"/>
                <w:color w:val="auto"/>
              </w:rPr>
            </w:pPr>
            <w:r>
              <w:rPr>
                <w:rFonts w:hint="eastAsia" w:ascii="宋体" w:hAnsi="宋体" w:cs="宋体"/>
                <w:color w:val="auto"/>
              </w:rPr>
              <w:t>人工成本</w:t>
            </w:r>
          </w:p>
        </w:tc>
        <w:tc>
          <w:tcPr>
            <w:tcW w:w="560" w:type="pct"/>
            <w:tcBorders>
              <w:left w:val="single" w:color="auto" w:sz="4" w:space="0"/>
            </w:tcBorders>
            <w:vAlign w:val="center"/>
          </w:tcPr>
          <w:p w14:paraId="3880182C">
            <w:pPr>
              <w:spacing w:line="240" w:lineRule="atLeast"/>
              <w:ind w:left="-48" w:leftChars="-23" w:right="-65" w:rightChars="-31"/>
              <w:jc w:val="left"/>
              <w:rPr>
                <w:rFonts w:ascii="宋体" w:hAnsi="宋体" w:cs="宋体"/>
                <w:color w:val="auto"/>
              </w:rPr>
            </w:pPr>
            <w:r>
              <w:rPr>
                <w:rFonts w:ascii="宋体" w:hAnsi="宋体" w:cs="宋体"/>
                <w:color w:val="auto"/>
              </w:rPr>
              <w:t>生产工人工资</w:t>
            </w:r>
          </w:p>
        </w:tc>
        <w:tc>
          <w:tcPr>
            <w:tcW w:w="511" w:type="pct"/>
            <w:tcBorders>
              <w:left w:val="single" w:color="auto" w:sz="4" w:space="0"/>
            </w:tcBorders>
            <w:vAlign w:val="center"/>
          </w:tcPr>
          <w:p w14:paraId="3FC90750">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6A222EF7">
            <w:pPr>
              <w:spacing w:line="240" w:lineRule="atLeast"/>
              <w:ind w:left="-48" w:leftChars="-23" w:right="-65" w:rightChars="-31"/>
              <w:jc w:val="left"/>
              <w:rPr>
                <w:rFonts w:ascii="宋体" w:hAnsi="宋体" w:cs="宋体"/>
                <w:color w:val="auto"/>
              </w:rPr>
            </w:pPr>
          </w:p>
        </w:tc>
        <w:tc>
          <w:tcPr>
            <w:tcW w:w="449" w:type="pct"/>
            <w:vMerge w:val="continue"/>
            <w:tcBorders>
              <w:left w:val="single" w:color="auto" w:sz="4" w:space="0"/>
            </w:tcBorders>
            <w:vAlign w:val="center"/>
          </w:tcPr>
          <w:p w14:paraId="2CB39DE6">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55657EF1">
            <w:pPr>
              <w:spacing w:line="240" w:lineRule="atLeast"/>
              <w:ind w:left="-48" w:leftChars="-23" w:right="-65" w:rightChars="-31"/>
              <w:jc w:val="left"/>
              <w:rPr>
                <w:rFonts w:ascii="宋体" w:hAnsi="宋体" w:cs="宋体"/>
                <w:color w:val="auto"/>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C5D4CED">
            <w:pPr>
              <w:tabs>
                <w:tab w:val="left" w:pos="61"/>
              </w:tabs>
              <w:jc w:val="center"/>
              <w:rPr>
                <w:rFonts w:ascii="宋体" w:hAnsi="宋体"/>
                <w:color w:val="auto"/>
              </w:rPr>
            </w:pPr>
          </w:p>
        </w:tc>
        <w:tc>
          <w:tcPr>
            <w:tcW w:w="201" w:type="pct"/>
            <w:vMerge w:val="continue"/>
            <w:vAlign w:val="center"/>
          </w:tcPr>
          <w:p w14:paraId="25F98AE1">
            <w:pPr>
              <w:tabs>
                <w:tab w:val="left" w:pos="0"/>
                <w:tab w:val="left" w:pos="56"/>
              </w:tabs>
              <w:ind w:left="479" w:hanging="478" w:hangingChars="228"/>
              <w:jc w:val="center"/>
              <w:rPr>
                <w:rFonts w:ascii="宋体" w:hAnsi="宋体"/>
                <w:color w:val="auto"/>
              </w:rPr>
            </w:pPr>
          </w:p>
        </w:tc>
        <w:tc>
          <w:tcPr>
            <w:tcW w:w="380" w:type="pct"/>
            <w:vMerge w:val="continue"/>
            <w:vAlign w:val="center"/>
          </w:tcPr>
          <w:p w14:paraId="71F08945">
            <w:pPr>
              <w:spacing w:line="240" w:lineRule="atLeast"/>
              <w:ind w:left="-48" w:leftChars="-23" w:right="-65" w:rightChars="-31"/>
              <w:jc w:val="left"/>
              <w:rPr>
                <w:rFonts w:ascii="宋体" w:hAnsi="宋体" w:cs="宋体"/>
                <w:color w:val="auto"/>
              </w:rPr>
            </w:pPr>
          </w:p>
        </w:tc>
        <w:tc>
          <w:tcPr>
            <w:tcW w:w="282" w:type="pct"/>
            <w:vMerge w:val="continue"/>
            <w:tcBorders>
              <w:left w:val="single" w:color="auto" w:sz="4" w:space="0"/>
            </w:tcBorders>
            <w:vAlign w:val="center"/>
          </w:tcPr>
          <w:p w14:paraId="6A7BEF54">
            <w:pPr>
              <w:spacing w:line="240" w:lineRule="atLeast"/>
              <w:ind w:left="-48" w:leftChars="-23" w:right="-65" w:rightChars="-31"/>
              <w:jc w:val="left"/>
              <w:rPr>
                <w:rFonts w:ascii="宋体" w:hAnsi="宋体" w:cs="宋体"/>
                <w:color w:val="auto"/>
              </w:rPr>
            </w:pPr>
          </w:p>
        </w:tc>
        <w:tc>
          <w:tcPr>
            <w:tcW w:w="478" w:type="pct"/>
            <w:vMerge w:val="continue"/>
            <w:tcBorders>
              <w:left w:val="single" w:color="auto" w:sz="4" w:space="0"/>
              <w:right w:val="single" w:color="auto" w:sz="4" w:space="0"/>
            </w:tcBorders>
            <w:vAlign w:val="center"/>
          </w:tcPr>
          <w:p w14:paraId="6DE32178">
            <w:pPr>
              <w:spacing w:line="240" w:lineRule="atLeast"/>
              <w:ind w:left="-48" w:leftChars="-23" w:right="-65" w:rightChars="-31"/>
              <w:jc w:val="left"/>
              <w:rPr>
                <w:rFonts w:ascii="宋体" w:hAnsi="宋体" w:cs="宋体"/>
                <w:color w:val="auto"/>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ascii="宋体" w:hAnsi="宋体" w:cs="宋体"/>
                <w:color w:val="auto"/>
              </w:rPr>
            </w:pPr>
          </w:p>
        </w:tc>
        <w:tc>
          <w:tcPr>
            <w:tcW w:w="560" w:type="pct"/>
            <w:tcBorders>
              <w:left w:val="single" w:color="auto" w:sz="4" w:space="0"/>
            </w:tcBorders>
            <w:vAlign w:val="center"/>
          </w:tcPr>
          <w:p w14:paraId="7C7461BE">
            <w:pPr>
              <w:spacing w:line="240" w:lineRule="atLeast"/>
              <w:ind w:left="-48" w:leftChars="-23" w:right="-65" w:rightChars="-31"/>
              <w:jc w:val="left"/>
              <w:rPr>
                <w:rFonts w:ascii="宋体" w:hAnsi="宋体" w:cs="宋体"/>
                <w:color w:val="auto"/>
              </w:rPr>
            </w:pPr>
            <w:r>
              <w:rPr>
                <w:rFonts w:hint="eastAsia" w:ascii="宋体" w:hAnsi="宋体" w:cs="宋体"/>
                <w:color w:val="auto"/>
              </w:rPr>
              <w:t>....</w:t>
            </w:r>
          </w:p>
        </w:tc>
        <w:tc>
          <w:tcPr>
            <w:tcW w:w="511" w:type="pct"/>
            <w:tcBorders>
              <w:left w:val="single" w:color="auto" w:sz="4" w:space="0"/>
            </w:tcBorders>
            <w:vAlign w:val="center"/>
          </w:tcPr>
          <w:p w14:paraId="22BA3532">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7735E1B2">
            <w:pPr>
              <w:spacing w:line="240" w:lineRule="atLeast"/>
              <w:ind w:left="-48" w:leftChars="-23" w:right="-65" w:rightChars="-31"/>
              <w:jc w:val="left"/>
              <w:rPr>
                <w:rFonts w:ascii="宋体" w:hAnsi="宋体" w:cs="宋体"/>
                <w:color w:val="auto"/>
              </w:rPr>
            </w:pPr>
          </w:p>
        </w:tc>
        <w:tc>
          <w:tcPr>
            <w:tcW w:w="449" w:type="pct"/>
            <w:vMerge w:val="continue"/>
            <w:tcBorders>
              <w:left w:val="single" w:color="auto" w:sz="4" w:space="0"/>
            </w:tcBorders>
            <w:vAlign w:val="center"/>
          </w:tcPr>
          <w:p w14:paraId="261E1BF4">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421563FB">
            <w:pPr>
              <w:spacing w:line="240" w:lineRule="atLeast"/>
              <w:ind w:left="-48" w:leftChars="-23" w:right="-65" w:rightChars="-31"/>
              <w:jc w:val="left"/>
              <w:rPr>
                <w:rFonts w:ascii="宋体" w:hAnsi="宋体" w:cs="宋体"/>
                <w:color w:val="auto"/>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05F5DD7">
            <w:pPr>
              <w:tabs>
                <w:tab w:val="left" w:pos="61"/>
              </w:tabs>
              <w:jc w:val="center"/>
              <w:rPr>
                <w:rFonts w:ascii="宋体" w:hAnsi="宋体"/>
                <w:color w:val="auto"/>
              </w:rPr>
            </w:pPr>
          </w:p>
        </w:tc>
        <w:tc>
          <w:tcPr>
            <w:tcW w:w="201" w:type="pct"/>
            <w:vMerge w:val="continue"/>
            <w:vAlign w:val="center"/>
          </w:tcPr>
          <w:p w14:paraId="49146DB7">
            <w:pPr>
              <w:tabs>
                <w:tab w:val="left" w:pos="0"/>
                <w:tab w:val="left" w:pos="56"/>
              </w:tabs>
              <w:ind w:left="479" w:hanging="478" w:hangingChars="228"/>
              <w:jc w:val="center"/>
              <w:rPr>
                <w:rFonts w:ascii="宋体" w:hAnsi="宋体"/>
                <w:color w:val="auto"/>
              </w:rPr>
            </w:pPr>
          </w:p>
        </w:tc>
        <w:tc>
          <w:tcPr>
            <w:tcW w:w="380" w:type="pct"/>
            <w:vMerge w:val="continue"/>
            <w:vAlign w:val="center"/>
          </w:tcPr>
          <w:p w14:paraId="23B4217D">
            <w:pPr>
              <w:spacing w:line="240" w:lineRule="atLeast"/>
              <w:ind w:left="-48" w:leftChars="-23" w:right="-65" w:rightChars="-31"/>
              <w:jc w:val="left"/>
              <w:rPr>
                <w:rFonts w:ascii="宋体" w:hAnsi="宋体" w:cs="宋体"/>
                <w:color w:val="auto"/>
              </w:rPr>
            </w:pPr>
          </w:p>
        </w:tc>
        <w:tc>
          <w:tcPr>
            <w:tcW w:w="282" w:type="pct"/>
            <w:vMerge w:val="continue"/>
            <w:tcBorders>
              <w:left w:val="single" w:color="auto" w:sz="4" w:space="0"/>
            </w:tcBorders>
            <w:vAlign w:val="center"/>
          </w:tcPr>
          <w:p w14:paraId="5F08DA06">
            <w:pPr>
              <w:spacing w:line="240" w:lineRule="atLeast"/>
              <w:ind w:left="-48" w:leftChars="-23" w:right="-65" w:rightChars="-31"/>
              <w:jc w:val="left"/>
              <w:rPr>
                <w:rFonts w:ascii="宋体" w:hAnsi="宋体" w:cs="宋体"/>
                <w:color w:val="auto"/>
              </w:rPr>
            </w:pPr>
          </w:p>
        </w:tc>
        <w:tc>
          <w:tcPr>
            <w:tcW w:w="478" w:type="pct"/>
            <w:vMerge w:val="continue"/>
            <w:tcBorders>
              <w:left w:val="single" w:color="auto" w:sz="4" w:space="0"/>
              <w:right w:val="single" w:color="auto" w:sz="4" w:space="0"/>
            </w:tcBorders>
            <w:vAlign w:val="center"/>
          </w:tcPr>
          <w:p w14:paraId="75B959EE">
            <w:pPr>
              <w:spacing w:line="240" w:lineRule="atLeast"/>
              <w:ind w:left="-48" w:leftChars="-23" w:right="-65" w:rightChars="-31"/>
              <w:jc w:val="left"/>
              <w:rPr>
                <w:rFonts w:ascii="宋体" w:hAnsi="宋体" w:cs="宋体"/>
                <w:color w:val="auto"/>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ascii="宋体" w:hAnsi="宋体" w:cs="宋体"/>
                <w:color w:val="auto"/>
              </w:rPr>
            </w:pPr>
            <w:r>
              <w:rPr>
                <w:rFonts w:hint="eastAsia" w:ascii="宋体" w:hAnsi="宋体" w:cs="宋体"/>
                <w:color w:val="auto"/>
              </w:rPr>
              <w:t>制造费用</w:t>
            </w:r>
          </w:p>
        </w:tc>
        <w:tc>
          <w:tcPr>
            <w:tcW w:w="560" w:type="pct"/>
            <w:tcBorders>
              <w:left w:val="single" w:color="auto" w:sz="4" w:space="0"/>
            </w:tcBorders>
            <w:vAlign w:val="center"/>
          </w:tcPr>
          <w:p w14:paraId="615956BA">
            <w:pPr>
              <w:spacing w:line="240" w:lineRule="atLeast"/>
              <w:ind w:left="-48" w:leftChars="-23" w:right="-65" w:rightChars="-31"/>
              <w:jc w:val="left"/>
              <w:rPr>
                <w:rFonts w:ascii="宋体" w:hAnsi="宋体" w:cs="宋体"/>
                <w:color w:val="auto"/>
              </w:rPr>
            </w:pPr>
            <w:r>
              <w:rPr>
                <w:rFonts w:ascii="宋体" w:hAnsi="宋体" w:cs="宋体"/>
                <w:color w:val="auto"/>
              </w:rPr>
              <w:t>设备折旧费</w:t>
            </w:r>
          </w:p>
        </w:tc>
        <w:tc>
          <w:tcPr>
            <w:tcW w:w="511" w:type="pct"/>
            <w:tcBorders>
              <w:left w:val="single" w:color="auto" w:sz="4" w:space="0"/>
            </w:tcBorders>
            <w:vAlign w:val="center"/>
          </w:tcPr>
          <w:p w14:paraId="03C89923">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38F9C2E1">
            <w:pPr>
              <w:spacing w:line="240" w:lineRule="atLeast"/>
              <w:ind w:left="-48" w:leftChars="-23" w:right="-65" w:rightChars="-31"/>
              <w:jc w:val="left"/>
              <w:rPr>
                <w:rFonts w:ascii="宋体" w:hAnsi="宋体" w:cs="宋体"/>
                <w:color w:val="auto"/>
              </w:rPr>
            </w:pPr>
          </w:p>
        </w:tc>
        <w:tc>
          <w:tcPr>
            <w:tcW w:w="449" w:type="pct"/>
            <w:vMerge w:val="continue"/>
            <w:tcBorders>
              <w:left w:val="single" w:color="auto" w:sz="4" w:space="0"/>
            </w:tcBorders>
            <w:vAlign w:val="center"/>
          </w:tcPr>
          <w:p w14:paraId="2D67D214">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412E883A">
            <w:pPr>
              <w:spacing w:line="240" w:lineRule="atLeast"/>
              <w:ind w:left="-48" w:leftChars="-23" w:right="-65" w:rightChars="-31"/>
              <w:jc w:val="left"/>
              <w:rPr>
                <w:rFonts w:ascii="宋体" w:hAnsi="宋体" w:cs="宋体"/>
                <w:color w:val="auto"/>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78DF2BD">
            <w:pPr>
              <w:tabs>
                <w:tab w:val="left" w:pos="61"/>
              </w:tabs>
              <w:jc w:val="center"/>
              <w:rPr>
                <w:rFonts w:ascii="宋体" w:hAnsi="宋体"/>
                <w:color w:val="auto"/>
              </w:rPr>
            </w:pPr>
          </w:p>
        </w:tc>
        <w:tc>
          <w:tcPr>
            <w:tcW w:w="201" w:type="pct"/>
            <w:vMerge w:val="continue"/>
            <w:vAlign w:val="center"/>
          </w:tcPr>
          <w:p w14:paraId="1D439CE3">
            <w:pPr>
              <w:tabs>
                <w:tab w:val="left" w:pos="0"/>
                <w:tab w:val="left" w:pos="56"/>
              </w:tabs>
              <w:ind w:left="479" w:hanging="478" w:hangingChars="228"/>
              <w:jc w:val="center"/>
              <w:rPr>
                <w:rFonts w:ascii="宋体" w:hAnsi="宋体"/>
                <w:color w:val="auto"/>
              </w:rPr>
            </w:pPr>
          </w:p>
        </w:tc>
        <w:tc>
          <w:tcPr>
            <w:tcW w:w="380" w:type="pct"/>
            <w:vMerge w:val="continue"/>
            <w:vAlign w:val="center"/>
          </w:tcPr>
          <w:p w14:paraId="71BFE9FA">
            <w:pPr>
              <w:spacing w:line="240" w:lineRule="atLeast"/>
              <w:ind w:left="-48" w:leftChars="-23" w:right="-65" w:rightChars="-31"/>
              <w:jc w:val="left"/>
              <w:rPr>
                <w:rFonts w:ascii="宋体" w:hAnsi="宋体" w:cs="宋体"/>
                <w:color w:val="auto"/>
              </w:rPr>
            </w:pPr>
          </w:p>
        </w:tc>
        <w:tc>
          <w:tcPr>
            <w:tcW w:w="282" w:type="pct"/>
            <w:vMerge w:val="continue"/>
            <w:tcBorders>
              <w:left w:val="single" w:color="auto" w:sz="4" w:space="0"/>
            </w:tcBorders>
            <w:vAlign w:val="center"/>
          </w:tcPr>
          <w:p w14:paraId="56D75B0E">
            <w:pPr>
              <w:spacing w:line="240" w:lineRule="atLeast"/>
              <w:ind w:left="-48" w:leftChars="-23" w:right="-65" w:rightChars="-31"/>
              <w:jc w:val="left"/>
              <w:rPr>
                <w:rFonts w:ascii="宋体" w:hAnsi="宋体" w:cs="宋体"/>
                <w:color w:val="auto"/>
              </w:rPr>
            </w:pPr>
          </w:p>
        </w:tc>
        <w:tc>
          <w:tcPr>
            <w:tcW w:w="478" w:type="pct"/>
            <w:vMerge w:val="continue"/>
            <w:tcBorders>
              <w:left w:val="single" w:color="auto" w:sz="4" w:space="0"/>
              <w:right w:val="single" w:color="auto" w:sz="4" w:space="0"/>
            </w:tcBorders>
            <w:vAlign w:val="center"/>
          </w:tcPr>
          <w:p w14:paraId="2FB42261">
            <w:pPr>
              <w:spacing w:line="240" w:lineRule="atLeast"/>
              <w:ind w:left="-48" w:leftChars="-23" w:right="-65" w:rightChars="-31"/>
              <w:jc w:val="left"/>
              <w:rPr>
                <w:rFonts w:ascii="宋体" w:hAnsi="宋体" w:cs="宋体"/>
                <w:color w:val="auto"/>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ascii="宋体" w:hAnsi="宋体" w:cs="宋体"/>
                <w:color w:val="auto"/>
              </w:rPr>
            </w:pPr>
          </w:p>
        </w:tc>
        <w:tc>
          <w:tcPr>
            <w:tcW w:w="560" w:type="pct"/>
            <w:tcBorders>
              <w:left w:val="single" w:color="auto" w:sz="4" w:space="0"/>
            </w:tcBorders>
            <w:vAlign w:val="center"/>
          </w:tcPr>
          <w:p w14:paraId="53B24EE4">
            <w:pPr>
              <w:spacing w:line="240" w:lineRule="atLeast"/>
              <w:ind w:left="-48" w:leftChars="-23" w:right="-65" w:rightChars="-31"/>
              <w:jc w:val="left"/>
              <w:rPr>
                <w:rFonts w:ascii="宋体" w:hAnsi="宋体" w:cs="宋体"/>
                <w:color w:val="auto"/>
              </w:rPr>
            </w:pPr>
            <w:r>
              <w:rPr>
                <w:rFonts w:hint="eastAsia" w:ascii="宋体" w:hAnsi="宋体" w:cs="宋体"/>
                <w:color w:val="auto"/>
              </w:rPr>
              <w:t>...</w:t>
            </w:r>
          </w:p>
        </w:tc>
        <w:tc>
          <w:tcPr>
            <w:tcW w:w="511" w:type="pct"/>
            <w:tcBorders>
              <w:left w:val="single" w:color="auto" w:sz="4" w:space="0"/>
            </w:tcBorders>
            <w:vAlign w:val="center"/>
          </w:tcPr>
          <w:p w14:paraId="2C7EE97E">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7D55CCBC">
            <w:pPr>
              <w:spacing w:line="240" w:lineRule="atLeast"/>
              <w:ind w:left="-48" w:leftChars="-23" w:right="-65" w:rightChars="-31"/>
              <w:jc w:val="left"/>
              <w:rPr>
                <w:rFonts w:ascii="宋体" w:hAnsi="宋体" w:cs="宋体"/>
                <w:color w:val="auto"/>
              </w:rPr>
            </w:pPr>
          </w:p>
        </w:tc>
        <w:tc>
          <w:tcPr>
            <w:tcW w:w="449" w:type="pct"/>
            <w:vMerge w:val="continue"/>
            <w:tcBorders>
              <w:left w:val="single" w:color="auto" w:sz="4" w:space="0"/>
            </w:tcBorders>
            <w:vAlign w:val="center"/>
          </w:tcPr>
          <w:p w14:paraId="4A3183CF">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689037C1">
            <w:pPr>
              <w:spacing w:line="240" w:lineRule="atLeast"/>
              <w:ind w:left="-48" w:leftChars="-23" w:right="-65" w:rightChars="-31"/>
              <w:jc w:val="left"/>
              <w:rPr>
                <w:rFonts w:ascii="宋体" w:hAnsi="宋体" w:cs="宋体"/>
                <w:color w:val="auto"/>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5818CE3A">
            <w:pPr>
              <w:tabs>
                <w:tab w:val="left" w:pos="61"/>
              </w:tabs>
              <w:jc w:val="center"/>
              <w:rPr>
                <w:rFonts w:ascii="宋体" w:hAnsi="宋体"/>
                <w:color w:val="auto"/>
              </w:rPr>
            </w:pPr>
          </w:p>
        </w:tc>
        <w:tc>
          <w:tcPr>
            <w:tcW w:w="201" w:type="pct"/>
            <w:vMerge w:val="continue"/>
            <w:vAlign w:val="center"/>
          </w:tcPr>
          <w:p w14:paraId="5530FE59">
            <w:pPr>
              <w:tabs>
                <w:tab w:val="left" w:pos="0"/>
                <w:tab w:val="left" w:pos="56"/>
              </w:tabs>
              <w:ind w:left="479" w:hanging="478" w:hangingChars="228"/>
              <w:jc w:val="center"/>
              <w:rPr>
                <w:rFonts w:ascii="宋体" w:hAnsi="宋体"/>
                <w:color w:val="auto"/>
              </w:rPr>
            </w:pPr>
          </w:p>
        </w:tc>
        <w:tc>
          <w:tcPr>
            <w:tcW w:w="380" w:type="pct"/>
            <w:vMerge w:val="continue"/>
            <w:vAlign w:val="center"/>
          </w:tcPr>
          <w:p w14:paraId="68A909D4">
            <w:pPr>
              <w:spacing w:line="240" w:lineRule="atLeast"/>
              <w:ind w:left="-48" w:leftChars="-23" w:right="-65" w:rightChars="-31"/>
              <w:jc w:val="left"/>
              <w:rPr>
                <w:rFonts w:ascii="宋体" w:hAnsi="宋体" w:cs="宋体"/>
                <w:color w:val="auto"/>
              </w:rPr>
            </w:pPr>
          </w:p>
        </w:tc>
        <w:tc>
          <w:tcPr>
            <w:tcW w:w="282" w:type="pct"/>
            <w:vMerge w:val="continue"/>
            <w:tcBorders>
              <w:left w:val="single" w:color="auto" w:sz="4" w:space="0"/>
            </w:tcBorders>
            <w:vAlign w:val="center"/>
          </w:tcPr>
          <w:p w14:paraId="3B997D96">
            <w:pPr>
              <w:spacing w:line="240" w:lineRule="atLeast"/>
              <w:ind w:left="-48" w:leftChars="-23" w:right="-65" w:rightChars="-31"/>
              <w:jc w:val="left"/>
              <w:rPr>
                <w:rFonts w:ascii="宋体" w:hAnsi="宋体" w:cs="宋体"/>
                <w:color w:val="auto"/>
              </w:rPr>
            </w:pPr>
          </w:p>
        </w:tc>
        <w:tc>
          <w:tcPr>
            <w:tcW w:w="478" w:type="pct"/>
            <w:vMerge w:val="continue"/>
            <w:tcBorders>
              <w:left w:val="single" w:color="auto" w:sz="4" w:space="0"/>
              <w:right w:val="single" w:color="auto" w:sz="4" w:space="0"/>
            </w:tcBorders>
            <w:vAlign w:val="center"/>
          </w:tcPr>
          <w:p w14:paraId="0915F4C3">
            <w:pPr>
              <w:spacing w:line="240" w:lineRule="atLeast"/>
              <w:ind w:left="-48" w:leftChars="-23" w:right="-65" w:rightChars="-31"/>
              <w:jc w:val="left"/>
              <w:rPr>
                <w:rFonts w:ascii="宋体" w:hAnsi="宋体" w:cs="宋体"/>
                <w:color w:val="auto"/>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ascii="宋体" w:hAnsi="宋体" w:cs="宋体"/>
                <w:color w:val="auto"/>
              </w:rPr>
            </w:pPr>
            <w:r>
              <w:rPr>
                <w:rFonts w:hint="eastAsia" w:ascii="宋体" w:hAnsi="宋体" w:cs="宋体"/>
                <w:color w:val="auto"/>
              </w:rPr>
              <w:t>其他成本</w:t>
            </w:r>
          </w:p>
        </w:tc>
        <w:tc>
          <w:tcPr>
            <w:tcW w:w="560" w:type="pct"/>
            <w:tcBorders>
              <w:left w:val="single" w:color="auto" w:sz="4" w:space="0"/>
            </w:tcBorders>
            <w:vAlign w:val="center"/>
          </w:tcPr>
          <w:p w14:paraId="28AD62CC">
            <w:pPr>
              <w:spacing w:line="240" w:lineRule="atLeast"/>
              <w:ind w:left="-48" w:leftChars="-23" w:right="-65" w:rightChars="-31"/>
              <w:jc w:val="left"/>
              <w:rPr>
                <w:rFonts w:ascii="宋体" w:hAnsi="宋体" w:cs="宋体"/>
                <w:color w:val="auto"/>
              </w:rPr>
            </w:pPr>
          </w:p>
        </w:tc>
        <w:tc>
          <w:tcPr>
            <w:tcW w:w="511" w:type="pct"/>
            <w:tcBorders>
              <w:left w:val="single" w:color="auto" w:sz="4" w:space="0"/>
            </w:tcBorders>
            <w:vAlign w:val="center"/>
          </w:tcPr>
          <w:p w14:paraId="480F1EE7">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1DFF4C39">
            <w:pPr>
              <w:spacing w:line="240" w:lineRule="atLeast"/>
              <w:ind w:left="-48" w:leftChars="-23" w:right="-65" w:rightChars="-31"/>
              <w:jc w:val="left"/>
              <w:rPr>
                <w:rFonts w:ascii="宋体" w:hAnsi="宋体" w:cs="宋体"/>
                <w:color w:val="auto"/>
              </w:rPr>
            </w:pPr>
          </w:p>
        </w:tc>
        <w:tc>
          <w:tcPr>
            <w:tcW w:w="449" w:type="pct"/>
            <w:vMerge w:val="continue"/>
            <w:tcBorders>
              <w:left w:val="single" w:color="auto" w:sz="4" w:space="0"/>
            </w:tcBorders>
            <w:vAlign w:val="center"/>
          </w:tcPr>
          <w:p w14:paraId="593452B9">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1EA1D96E">
            <w:pPr>
              <w:spacing w:line="240" w:lineRule="atLeast"/>
              <w:ind w:left="-48" w:leftChars="-23" w:right="-65" w:rightChars="-31"/>
              <w:jc w:val="left"/>
              <w:rPr>
                <w:rFonts w:ascii="宋体" w:hAnsi="宋体" w:cs="宋体"/>
                <w:color w:val="auto"/>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14707BF8">
            <w:pPr>
              <w:tabs>
                <w:tab w:val="left" w:pos="61"/>
              </w:tabs>
              <w:jc w:val="center"/>
              <w:rPr>
                <w:rFonts w:ascii="宋体" w:hAnsi="宋体"/>
                <w:color w:val="auto"/>
              </w:rPr>
            </w:pPr>
            <w:r>
              <w:rPr>
                <w:rFonts w:hint="eastAsia" w:ascii="宋体" w:hAnsi="宋体"/>
                <w:color w:val="auto"/>
              </w:rPr>
              <w:t>2</w:t>
            </w:r>
          </w:p>
        </w:tc>
        <w:tc>
          <w:tcPr>
            <w:tcW w:w="201" w:type="pct"/>
            <w:vAlign w:val="center"/>
          </w:tcPr>
          <w:p w14:paraId="2637B63F">
            <w:pPr>
              <w:tabs>
                <w:tab w:val="left" w:pos="0"/>
                <w:tab w:val="left" w:pos="56"/>
              </w:tabs>
              <w:ind w:left="479" w:hanging="478" w:hangingChars="228"/>
              <w:jc w:val="center"/>
              <w:rPr>
                <w:rFonts w:ascii="宋体" w:hAnsi="宋体"/>
                <w:color w:val="auto"/>
              </w:rPr>
            </w:pPr>
          </w:p>
        </w:tc>
        <w:tc>
          <w:tcPr>
            <w:tcW w:w="380" w:type="pct"/>
            <w:vAlign w:val="center"/>
          </w:tcPr>
          <w:p w14:paraId="2118CF07">
            <w:pPr>
              <w:spacing w:line="240" w:lineRule="atLeast"/>
              <w:ind w:left="-48" w:leftChars="-23" w:right="-65" w:rightChars="-31"/>
              <w:jc w:val="left"/>
              <w:rPr>
                <w:rFonts w:ascii="宋体" w:hAnsi="宋体" w:cs="宋体"/>
                <w:color w:val="auto"/>
              </w:rPr>
            </w:pPr>
          </w:p>
        </w:tc>
        <w:tc>
          <w:tcPr>
            <w:tcW w:w="282" w:type="pct"/>
            <w:tcBorders>
              <w:left w:val="single" w:color="auto" w:sz="4" w:space="0"/>
            </w:tcBorders>
            <w:vAlign w:val="center"/>
          </w:tcPr>
          <w:p w14:paraId="1F00C114">
            <w:pPr>
              <w:spacing w:line="240" w:lineRule="atLeast"/>
              <w:ind w:left="-48" w:leftChars="-23" w:right="-65" w:rightChars="-31"/>
              <w:jc w:val="left"/>
              <w:rPr>
                <w:rFonts w:ascii="宋体" w:hAnsi="宋体" w:cs="宋体"/>
                <w:color w:val="auto"/>
              </w:rPr>
            </w:pPr>
          </w:p>
        </w:tc>
        <w:tc>
          <w:tcPr>
            <w:tcW w:w="478" w:type="pct"/>
            <w:tcBorders>
              <w:left w:val="single" w:color="auto" w:sz="4" w:space="0"/>
              <w:right w:val="single" w:color="auto" w:sz="4" w:space="0"/>
            </w:tcBorders>
            <w:vAlign w:val="center"/>
          </w:tcPr>
          <w:p w14:paraId="39DA2191">
            <w:pPr>
              <w:spacing w:line="240" w:lineRule="atLeast"/>
              <w:ind w:left="-48" w:leftChars="-23" w:right="-65" w:rightChars="-31"/>
              <w:jc w:val="left"/>
              <w:rPr>
                <w:rFonts w:ascii="宋体" w:hAnsi="宋体" w:cs="宋体"/>
                <w:color w:val="auto"/>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ascii="宋体" w:hAnsi="宋体" w:cs="宋体"/>
                <w:color w:val="auto"/>
              </w:rPr>
            </w:pPr>
          </w:p>
        </w:tc>
        <w:tc>
          <w:tcPr>
            <w:tcW w:w="560" w:type="pct"/>
            <w:tcBorders>
              <w:left w:val="single" w:color="auto" w:sz="4" w:space="0"/>
            </w:tcBorders>
            <w:vAlign w:val="center"/>
          </w:tcPr>
          <w:p w14:paraId="488B511B">
            <w:pPr>
              <w:spacing w:line="240" w:lineRule="atLeast"/>
              <w:ind w:left="-48" w:leftChars="-23" w:right="-65" w:rightChars="-31"/>
              <w:jc w:val="left"/>
              <w:rPr>
                <w:rFonts w:ascii="宋体" w:hAnsi="宋体" w:cs="宋体"/>
                <w:color w:val="auto"/>
              </w:rPr>
            </w:pPr>
          </w:p>
        </w:tc>
        <w:tc>
          <w:tcPr>
            <w:tcW w:w="511" w:type="pct"/>
            <w:tcBorders>
              <w:left w:val="single" w:color="auto" w:sz="4" w:space="0"/>
            </w:tcBorders>
            <w:vAlign w:val="center"/>
          </w:tcPr>
          <w:p w14:paraId="630599EE">
            <w:pPr>
              <w:spacing w:line="240" w:lineRule="atLeast"/>
              <w:ind w:left="-48" w:leftChars="-23" w:right="-65" w:rightChars="-31"/>
              <w:jc w:val="left"/>
              <w:rPr>
                <w:rFonts w:ascii="宋体" w:hAnsi="宋体" w:cs="宋体"/>
                <w:color w:val="auto"/>
              </w:rPr>
            </w:pPr>
          </w:p>
        </w:tc>
        <w:tc>
          <w:tcPr>
            <w:tcW w:w="606" w:type="pct"/>
            <w:tcBorders>
              <w:left w:val="single" w:color="auto" w:sz="4" w:space="0"/>
            </w:tcBorders>
            <w:vAlign w:val="center"/>
          </w:tcPr>
          <w:p w14:paraId="2392663E">
            <w:pPr>
              <w:spacing w:line="240" w:lineRule="atLeast"/>
              <w:ind w:left="-48" w:leftChars="-23" w:right="-65" w:rightChars="-31"/>
              <w:jc w:val="left"/>
              <w:rPr>
                <w:rFonts w:ascii="宋体" w:hAnsi="宋体" w:cs="宋体"/>
                <w:color w:val="auto"/>
              </w:rPr>
            </w:pPr>
          </w:p>
        </w:tc>
        <w:tc>
          <w:tcPr>
            <w:tcW w:w="449" w:type="pct"/>
            <w:tcBorders>
              <w:left w:val="single" w:color="auto" w:sz="4" w:space="0"/>
            </w:tcBorders>
            <w:vAlign w:val="center"/>
          </w:tcPr>
          <w:p w14:paraId="729BB8DB">
            <w:pPr>
              <w:spacing w:line="240" w:lineRule="atLeast"/>
              <w:ind w:left="-48" w:leftChars="-23" w:right="-65" w:rightChars="-31"/>
              <w:jc w:val="left"/>
              <w:rPr>
                <w:rFonts w:ascii="宋体" w:hAnsi="宋体" w:cs="宋体"/>
                <w:color w:val="auto"/>
              </w:rPr>
            </w:pPr>
          </w:p>
        </w:tc>
        <w:tc>
          <w:tcPr>
            <w:tcW w:w="587" w:type="pct"/>
            <w:tcBorders>
              <w:left w:val="single" w:color="auto" w:sz="4" w:space="0"/>
            </w:tcBorders>
            <w:vAlign w:val="center"/>
          </w:tcPr>
          <w:p w14:paraId="24ACDC09">
            <w:pPr>
              <w:spacing w:line="240" w:lineRule="atLeast"/>
              <w:ind w:left="-48" w:leftChars="-23" w:right="-65" w:rightChars="-31"/>
              <w:jc w:val="left"/>
              <w:rPr>
                <w:rFonts w:ascii="宋体" w:hAnsi="宋体" w:cs="宋体"/>
                <w:color w:val="auto"/>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563A9DFF">
            <w:pPr>
              <w:tabs>
                <w:tab w:val="left" w:pos="82"/>
              </w:tabs>
              <w:jc w:val="center"/>
              <w:rPr>
                <w:rFonts w:ascii="宋体" w:hAnsi="宋体"/>
                <w:color w:val="auto"/>
              </w:rPr>
            </w:pPr>
            <w:r>
              <w:rPr>
                <w:rFonts w:hint="eastAsia" w:ascii="宋体" w:hAnsi="宋体"/>
                <w:color w:val="auto"/>
              </w:rPr>
              <w:t>…</w:t>
            </w:r>
          </w:p>
        </w:tc>
        <w:tc>
          <w:tcPr>
            <w:tcW w:w="201" w:type="pct"/>
            <w:tcBorders>
              <w:bottom w:val="single" w:color="auto" w:sz="4" w:space="0"/>
            </w:tcBorders>
            <w:vAlign w:val="center"/>
          </w:tcPr>
          <w:p w14:paraId="5E924863">
            <w:pPr>
              <w:spacing w:line="240" w:lineRule="atLeast"/>
              <w:ind w:left="-48" w:leftChars="-23" w:right="-65" w:rightChars="-31"/>
              <w:jc w:val="left"/>
              <w:rPr>
                <w:rFonts w:ascii="宋体" w:hAnsi="宋体" w:cs="宋体"/>
                <w:color w:val="auto"/>
              </w:rPr>
            </w:pPr>
          </w:p>
        </w:tc>
        <w:tc>
          <w:tcPr>
            <w:tcW w:w="380" w:type="pct"/>
            <w:tcBorders>
              <w:bottom w:val="single" w:color="auto" w:sz="4" w:space="0"/>
            </w:tcBorders>
            <w:vAlign w:val="center"/>
          </w:tcPr>
          <w:p w14:paraId="7F8C583D">
            <w:pPr>
              <w:spacing w:line="240" w:lineRule="atLeast"/>
              <w:ind w:left="-48" w:leftChars="-23" w:right="-65" w:rightChars="-31"/>
              <w:jc w:val="left"/>
              <w:rPr>
                <w:rFonts w:ascii="宋体" w:hAnsi="宋体" w:cs="宋体"/>
                <w:color w:val="auto"/>
              </w:rPr>
            </w:pPr>
          </w:p>
        </w:tc>
        <w:tc>
          <w:tcPr>
            <w:tcW w:w="282" w:type="pct"/>
            <w:tcBorders>
              <w:left w:val="single" w:color="auto" w:sz="4" w:space="0"/>
              <w:bottom w:val="single" w:color="auto" w:sz="4" w:space="0"/>
            </w:tcBorders>
            <w:vAlign w:val="center"/>
          </w:tcPr>
          <w:p w14:paraId="4319768C">
            <w:pPr>
              <w:spacing w:line="240" w:lineRule="atLeast"/>
              <w:ind w:left="-48" w:leftChars="-23" w:right="-65" w:rightChars="-31"/>
              <w:jc w:val="left"/>
              <w:rPr>
                <w:rFonts w:ascii="宋体" w:hAnsi="宋体" w:cs="宋体"/>
                <w:color w:val="auto"/>
              </w:rPr>
            </w:pPr>
          </w:p>
        </w:tc>
        <w:tc>
          <w:tcPr>
            <w:tcW w:w="478" w:type="pct"/>
            <w:tcBorders>
              <w:left w:val="single" w:color="auto" w:sz="4" w:space="0"/>
              <w:bottom w:val="single" w:color="auto" w:sz="4" w:space="0"/>
              <w:right w:val="single" w:color="auto" w:sz="4" w:space="0"/>
            </w:tcBorders>
            <w:vAlign w:val="center"/>
          </w:tcPr>
          <w:p w14:paraId="33135464">
            <w:pPr>
              <w:spacing w:line="240" w:lineRule="atLeast"/>
              <w:ind w:left="-48" w:leftChars="-23" w:right="-65" w:rightChars="-31"/>
              <w:jc w:val="left"/>
              <w:rPr>
                <w:rFonts w:ascii="宋体" w:hAnsi="宋体" w:cs="宋体"/>
                <w:color w:val="auto"/>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ascii="宋体" w:hAnsi="宋体" w:cs="宋体"/>
                <w:color w:val="auto"/>
              </w:rPr>
            </w:pPr>
          </w:p>
        </w:tc>
        <w:tc>
          <w:tcPr>
            <w:tcW w:w="560" w:type="pct"/>
            <w:tcBorders>
              <w:left w:val="single" w:color="auto" w:sz="4" w:space="0"/>
              <w:bottom w:val="single" w:color="auto" w:sz="4" w:space="0"/>
            </w:tcBorders>
            <w:vAlign w:val="center"/>
          </w:tcPr>
          <w:p w14:paraId="1B29C270">
            <w:pPr>
              <w:spacing w:line="240" w:lineRule="atLeast"/>
              <w:ind w:left="-48" w:leftChars="-23" w:right="-65" w:rightChars="-31"/>
              <w:jc w:val="left"/>
              <w:rPr>
                <w:rFonts w:ascii="宋体" w:hAnsi="宋体" w:cs="宋体"/>
                <w:color w:val="auto"/>
              </w:rPr>
            </w:pPr>
          </w:p>
        </w:tc>
        <w:tc>
          <w:tcPr>
            <w:tcW w:w="511" w:type="pct"/>
            <w:tcBorders>
              <w:left w:val="single" w:color="auto" w:sz="4" w:space="0"/>
              <w:bottom w:val="single" w:color="auto" w:sz="4" w:space="0"/>
            </w:tcBorders>
            <w:vAlign w:val="center"/>
          </w:tcPr>
          <w:p w14:paraId="4EC1DCA5">
            <w:pPr>
              <w:spacing w:line="240" w:lineRule="atLeast"/>
              <w:ind w:left="-48" w:leftChars="-23" w:right="-65" w:rightChars="-31"/>
              <w:jc w:val="left"/>
              <w:rPr>
                <w:rFonts w:ascii="宋体" w:hAnsi="宋体" w:cs="宋体"/>
                <w:color w:val="auto"/>
              </w:rPr>
            </w:pPr>
          </w:p>
          <w:p w14:paraId="56BF2198">
            <w:pPr>
              <w:rPr>
                <w:rFonts w:ascii="宋体" w:hAnsi="宋体"/>
                <w:color w:val="auto"/>
              </w:rPr>
            </w:pPr>
          </w:p>
        </w:tc>
        <w:tc>
          <w:tcPr>
            <w:tcW w:w="606" w:type="pct"/>
            <w:tcBorders>
              <w:left w:val="single" w:color="auto" w:sz="4" w:space="0"/>
              <w:bottom w:val="single" w:color="auto" w:sz="4" w:space="0"/>
            </w:tcBorders>
            <w:vAlign w:val="center"/>
          </w:tcPr>
          <w:p w14:paraId="6DA7B2EB">
            <w:pPr>
              <w:rPr>
                <w:rFonts w:ascii="宋体" w:hAnsi="宋体"/>
                <w:color w:val="auto"/>
              </w:rPr>
            </w:pPr>
          </w:p>
        </w:tc>
        <w:tc>
          <w:tcPr>
            <w:tcW w:w="449" w:type="pct"/>
            <w:tcBorders>
              <w:left w:val="single" w:color="auto" w:sz="4" w:space="0"/>
              <w:bottom w:val="single" w:color="auto" w:sz="4" w:space="0"/>
            </w:tcBorders>
            <w:vAlign w:val="center"/>
          </w:tcPr>
          <w:p w14:paraId="0D352044">
            <w:pPr>
              <w:spacing w:line="240" w:lineRule="atLeast"/>
              <w:ind w:left="-48" w:leftChars="-23" w:right="-65" w:rightChars="-31"/>
              <w:jc w:val="left"/>
              <w:rPr>
                <w:rFonts w:ascii="宋体" w:hAnsi="宋体" w:cs="宋体"/>
                <w:color w:val="auto"/>
              </w:rPr>
            </w:pPr>
          </w:p>
        </w:tc>
        <w:tc>
          <w:tcPr>
            <w:tcW w:w="587" w:type="pct"/>
            <w:tcBorders>
              <w:left w:val="single" w:color="auto" w:sz="4" w:space="0"/>
              <w:bottom w:val="single" w:color="auto" w:sz="4" w:space="0"/>
            </w:tcBorders>
            <w:vAlign w:val="center"/>
          </w:tcPr>
          <w:p w14:paraId="2EBEC3BF">
            <w:pPr>
              <w:spacing w:line="240" w:lineRule="atLeast"/>
              <w:ind w:left="-48" w:leftChars="-23" w:right="-65" w:rightChars="-31"/>
              <w:jc w:val="left"/>
              <w:rPr>
                <w:rFonts w:ascii="宋体" w:hAnsi="宋体" w:cs="宋体"/>
                <w:color w:val="auto"/>
              </w:rPr>
            </w:pPr>
          </w:p>
        </w:tc>
      </w:tr>
    </w:tbl>
    <w:p w14:paraId="474E7602">
      <w:pPr>
        <w:spacing w:line="360" w:lineRule="auto"/>
        <w:jc w:val="left"/>
        <w:rPr>
          <w:rFonts w:ascii="宋体" w:hAnsi="宋体"/>
          <w:color w:val="auto"/>
          <w:szCs w:val="21"/>
        </w:rPr>
      </w:pPr>
    </w:p>
    <w:p w14:paraId="752808A1">
      <w:pPr>
        <w:spacing w:line="360" w:lineRule="auto"/>
        <w:jc w:val="left"/>
        <w:rPr>
          <w:rFonts w:ascii="宋体" w:hAnsi="宋体"/>
          <w:color w:val="auto"/>
          <w:szCs w:val="21"/>
        </w:rPr>
      </w:pPr>
      <w:r>
        <w:rPr>
          <w:rFonts w:hint="eastAsia" w:ascii="宋体" w:hAnsi="宋体"/>
          <w:color w:val="auto"/>
          <w:szCs w:val="21"/>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rFonts w:ascii="宋体" w:hAnsi="宋体"/>
          <w:color w:val="auto"/>
          <w:szCs w:val="21"/>
        </w:rPr>
      </w:pPr>
      <w:r>
        <w:rPr>
          <w:rFonts w:ascii="宋体" w:hAnsi="宋体"/>
          <w:color w:val="auto"/>
          <w:szCs w:val="21"/>
        </w:rPr>
        <w:t>供应商名称（</w:t>
      </w:r>
      <w:r>
        <w:rPr>
          <w:rFonts w:hint="eastAsia" w:ascii="宋体" w:hAnsi="宋体"/>
          <w:color w:val="auto"/>
          <w:szCs w:val="21"/>
        </w:rPr>
        <w:t>电子签章</w:t>
      </w:r>
      <w:r>
        <w:rPr>
          <w:rFonts w:ascii="宋体" w:hAnsi="宋体"/>
          <w:color w:val="auto"/>
          <w:szCs w:val="21"/>
        </w:rPr>
        <w:t>）：</w:t>
      </w:r>
      <w:r>
        <w:rPr>
          <w:rFonts w:ascii="宋体" w:hAnsi="宋体"/>
          <w:color w:val="auto"/>
          <w:szCs w:val="21"/>
          <w:u w:val="single"/>
        </w:rPr>
        <w:t xml:space="preserve">                          </w:t>
      </w:r>
    </w:p>
    <w:p w14:paraId="334743E0">
      <w:pPr>
        <w:spacing w:line="360" w:lineRule="auto"/>
        <w:ind w:firstLine="6090" w:firstLineChars="2900"/>
        <w:jc w:val="left"/>
        <w:rPr>
          <w:rFonts w:ascii="宋体" w:hAnsi="宋体"/>
          <w:color w:val="auto"/>
          <w:szCs w:val="21"/>
        </w:rPr>
        <w:sectPr>
          <w:pgSz w:w="11906" w:h="16838"/>
          <w:pgMar w:top="1418" w:right="1133" w:bottom="1246" w:left="1418" w:header="851" w:footer="992" w:gutter="0"/>
          <w:cols w:space="720" w:num="1"/>
          <w:docGrid w:linePitch="312" w:charSpace="0"/>
        </w:sectPr>
      </w:pPr>
      <w:r>
        <w:rPr>
          <w:rFonts w:ascii="宋体" w:hAnsi="宋体"/>
          <w:color w:val="auto"/>
          <w:szCs w:val="21"/>
        </w:rPr>
        <w:t>日  期</w:t>
      </w:r>
      <w:r>
        <w:rPr>
          <w:rFonts w:hint="eastAsia" w:ascii="宋体" w:hAnsi="宋体"/>
          <w:color w:val="auto"/>
          <w:szCs w:val="21"/>
        </w:rPr>
        <w:t>：</w:t>
      </w:r>
      <w:r>
        <w:rPr>
          <w:rFonts w:ascii="宋体" w:hAnsi="宋体"/>
          <w:color w:val="auto"/>
          <w:szCs w:val="21"/>
          <w:u w:val="single"/>
        </w:rPr>
        <w:t xml:space="preserve">         </w:t>
      </w:r>
      <w:r>
        <w:rPr>
          <w:rFonts w:ascii="宋体" w:hAnsi="宋体"/>
          <w:color w:val="auto"/>
          <w:szCs w:val="21"/>
        </w:rPr>
        <w:t>年</w:t>
      </w:r>
      <w:r>
        <w:rPr>
          <w:rFonts w:ascii="宋体" w:hAnsi="宋体"/>
          <w:color w:val="auto"/>
          <w:szCs w:val="21"/>
          <w:u w:val="single"/>
        </w:rPr>
        <w:t xml:space="preserve">   </w:t>
      </w:r>
      <w:r>
        <w:rPr>
          <w:rFonts w:ascii="宋体" w:hAnsi="宋体"/>
          <w:color w:val="auto"/>
          <w:szCs w:val="21"/>
        </w:rPr>
        <w:t>月</w:t>
      </w:r>
      <w:r>
        <w:rPr>
          <w:rFonts w:ascii="宋体" w:hAnsi="宋体"/>
          <w:color w:val="auto"/>
          <w:szCs w:val="21"/>
          <w:u w:val="single"/>
        </w:rPr>
        <w:t xml:space="preserve">   </w:t>
      </w:r>
      <w:r>
        <w:rPr>
          <w:rFonts w:ascii="宋体" w:hAnsi="宋体"/>
          <w:color w:val="auto"/>
          <w:szCs w:val="21"/>
        </w:rPr>
        <w:t xml:space="preserve">日 </w:t>
      </w:r>
    </w:p>
    <w:p w14:paraId="2F11F5C6">
      <w:pPr>
        <w:snapToGrid w:val="0"/>
        <w:spacing w:before="50" w:after="120" w:afterLines="50"/>
        <w:jc w:val="left"/>
        <w:outlineLvl w:val="1"/>
        <w:rPr>
          <w:rFonts w:ascii="宋体" w:hAnsi="宋体"/>
          <w:color w:val="auto"/>
          <w:szCs w:val="21"/>
        </w:rPr>
      </w:pPr>
      <w:r>
        <w:rPr>
          <w:rFonts w:hint="eastAsia" w:ascii="宋体" w:hAnsi="宋体"/>
          <w:color w:val="auto"/>
          <w:szCs w:val="21"/>
        </w:rPr>
        <w:t>4.开标一览表</w:t>
      </w:r>
    </w:p>
    <w:p w14:paraId="5ED81DB2">
      <w:pPr>
        <w:widowControl/>
        <w:jc w:val="left"/>
        <w:rPr>
          <w:rFonts w:ascii="宋体" w:hAnsi="宋体"/>
          <w:color w:val="auto"/>
          <w:szCs w:val="21"/>
        </w:rPr>
      </w:pPr>
    </w:p>
    <w:p w14:paraId="0C2BE11D">
      <w:pPr>
        <w:widowControl/>
        <w:jc w:val="left"/>
        <w:rPr>
          <w:rFonts w:ascii="宋体" w:hAnsi="宋体"/>
          <w:color w:val="auto"/>
          <w:szCs w:val="21"/>
        </w:rPr>
      </w:pPr>
    </w:p>
    <w:p w14:paraId="29C3AAA3">
      <w:pPr>
        <w:widowControl/>
        <w:jc w:val="left"/>
        <w:rPr>
          <w:rFonts w:ascii="宋体" w:hAnsi="宋体"/>
          <w:color w:val="auto"/>
          <w:szCs w:val="21"/>
        </w:rPr>
      </w:pPr>
    </w:p>
    <w:p w14:paraId="22FC1D7E">
      <w:pPr>
        <w:rPr>
          <w:rFonts w:ascii="宋体" w:hAnsi="宋体"/>
          <w:b/>
          <w:color w:val="auto"/>
          <w:szCs w:val="21"/>
        </w:rPr>
      </w:pPr>
    </w:p>
    <w:p w14:paraId="3FE50C5A">
      <w:pPr>
        <w:rPr>
          <w:rFonts w:ascii="宋体" w:hAnsi="宋体"/>
          <w:b/>
          <w:color w:val="auto"/>
          <w:szCs w:val="21"/>
        </w:rPr>
      </w:pPr>
    </w:p>
    <w:p w14:paraId="12F2B6A6">
      <w:pPr>
        <w:rPr>
          <w:rFonts w:ascii="宋体" w:hAnsi="宋体"/>
          <w:b/>
          <w:color w:val="auto"/>
          <w:szCs w:val="21"/>
        </w:rPr>
      </w:pPr>
      <w:r>
        <w:rPr>
          <w:rFonts w:hint="eastAsia" w:ascii="宋体" w:hAnsi="宋体"/>
          <w:b/>
          <w:color w:val="auto"/>
          <w:szCs w:val="21"/>
        </w:rPr>
        <w:t>格式详见广西政府采购云平台，且仅在广西政府采购云平台填写即可。</w:t>
      </w:r>
    </w:p>
    <w:p w14:paraId="1D5FF000">
      <w:pPr>
        <w:widowControl/>
        <w:jc w:val="left"/>
        <w:rPr>
          <w:rFonts w:ascii="宋体" w:hAnsi="宋体"/>
          <w:color w:val="auto"/>
          <w:szCs w:val="21"/>
        </w:rPr>
      </w:pPr>
    </w:p>
    <w:bookmarkEnd w:id="110"/>
    <w:p w14:paraId="6BB8EB0B">
      <w:pPr>
        <w:spacing w:line="360" w:lineRule="auto"/>
        <w:ind w:firstLine="420"/>
        <w:rPr>
          <w:rFonts w:ascii="宋体" w:hAnsi="宋体"/>
          <w:color w:val="auto"/>
          <w:szCs w:val="21"/>
        </w:rPr>
      </w:pPr>
    </w:p>
    <w:p w14:paraId="4C65E6E7">
      <w:pPr>
        <w:snapToGrid w:val="0"/>
        <w:spacing w:before="120" w:beforeLines="50" w:after="50" w:line="440" w:lineRule="exact"/>
        <w:jc w:val="left"/>
        <w:outlineLvl w:val="1"/>
        <w:rPr>
          <w:rFonts w:ascii="宋体" w:hAnsi="宋体"/>
          <w:bCs/>
          <w:color w:val="auto"/>
          <w:sz w:val="24"/>
        </w:rPr>
      </w:pPr>
      <w:r>
        <w:rPr>
          <w:rFonts w:ascii="宋体" w:hAnsi="宋体"/>
          <w:bCs/>
          <w:color w:val="auto"/>
          <w:sz w:val="24"/>
        </w:rPr>
        <w:t xml:space="preserve"> </w:t>
      </w:r>
    </w:p>
    <w:sectPr>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D681">
    <w:pPr>
      <w:pStyle w:val="3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B485">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047C04BA">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C65BD">
    <w:pPr>
      <w:pStyle w:val="31"/>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F56D">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7787C4D0">
    <w:pPr>
      <w:pStyle w:val="31"/>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2184">
    <w:pPr>
      <w:pStyle w:val="31"/>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1460">
    <w:pPr>
      <w:pStyle w:val="31"/>
      <w:jc w:val="cente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2D15">
    <w:pPr>
      <w:pStyle w:val="31"/>
      <w:framePr w:wrap="around" w:vAnchor="text" w:hAnchor="margin" w:xAlign="center" w:y="1"/>
      <w:rPr>
        <w:rStyle w:val="55"/>
      </w:rPr>
    </w:pPr>
    <w:r>
      <w:fldChar w:fldCharType="begin"/>
    </w:r>
    <w:r>
      <w:rPr>
        <w:rStyle w:val="55"/>
        <w:sz w:val="21"/>
        <w:szCs w:val="24"/>
      </w:rPr>
      <w:instrText xml:space="preserve">PAGE  </w:instrText>
    </w:r>
    <w:r>
      <w:fldChar w:fldCharType="separate"/>
    </w:r>
    <w:r>
      <w:rPr>
        <w:rStyle w:val="55"/>
        <w:sz w:val="21"/>
        <w:szCs w:val="24"/>
      </w:rPr>
      <w:t>57</w:t>
    </w:r>
    <w:r>
      <w:fldChar w:fldCharType="end"/>
    </w:r>
  </w:p>
  <w:p w14:paraId="47DC191A">
    <w:pPr>
      <w:pStyle w:val="31"/>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89CF">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5C9C441A">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4BB3">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A988">
    <w:pPr>
      <w:pStyle w:val="32"/>
      <w:jc w:val="left"/>
    </w:pPr>
    <w:r>
      <w:rPr>
        <w:rFonts w:hint="eastAsia"/>
      </w:rPr>
      <w:t xml:space="preserve">广西机电设备招标有限公司采购文件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BFB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E8DB">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B479">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1D75">
    <w:pPr>
      <w:pStyle w:val="32"/>
      <w:jc w:val="left"/>
    </w:pPr>
    <w:r>
      <w:rPr>
        <w:rFonts w:hint="eastAsia"/>
      </w:rPr>
      <w:t xml:space="preserve">广西机电设备招标有限公司采购文件                                                               </w:t>
    </w:r>
  </w:p>
  <w:p w14:paraId="5A2D59E5">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5ABA">
    <w:pPr>
      <w:pStyle w:val="32"/>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88A8">
    <w:pPr>
      <w:pStyle w:val="32"/>
      <w:jc w:val="left"/>
    </w:pPr>
    <w:r>
      <w:rPr>
        <w:rFonts w:hint="eastAsia"/>
      </w:rPr>
      <w:t xml:space="preserve">广西机电设备招标有限公司采购文件                                                         </w:t>
    </w:r>
  </w:p>
  <w:p w14:paraId="3FBFCA69">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C04D">
    <w:pPr>
      <w:pStyle w:val="32"/>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D68D">
    <w:pPr>
      <w:pStyle w:val="32"/>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169B">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910F">
    <w:pPr>
      <w:pStyle w:val="32"/>
      <w:jc w:val="left"/>
    </w:pPr>
    <w:r>
      <w:rPr>
        <w:rFonts w:hint="eastAsia"/>
      </w:rPr>
      <w:t xml:space="preserve">广西机电设备招标有限公司采购文件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8DBF">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27C86"/>
    <w:multiLevelType w:val="singleLevel"/>
    <w:tmpl w:val="FB427C86"/>
    <w:lvl w:ilvl="0" w:tentative="0">
      <w:start w:val="1"/>
      <w:numFmt w:val="decimal"/>
      <w:suff w:val="nothing"/>
      <w:lvlText w:val="（%1）"/>
      <w:lvlJc w:val="left"/>
    </w:lvl>
  </w:abstractNum>
  <w:abstractNum w:abstractNumId="1">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DB7E90E"/>
    <w:multiLevelType w:val="singleLevel"/>
    <w:tmpl w:val="7DB7E90E"/>
    <w:lvl w:ilvl="0" w:tentative="0">
      <w:start w:val="5"/>
      <w:numFmt w:val="decimal"/>
      <w:lvlText w:val="%1."/>
      <w:lvlJc w:val="left"/>
      <w:pPr>
        <w:tabs>
          <w:tab w:val="left" w:pos="312"/>
        </w:tabs>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50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17D"/>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197"/>
    <w:rsid w:val="00134510"/>
    <w:rsid w:val="00135A65"/>
    <w:rsid w:val="00136073"/>
    <w:rsid w:val="001361F7"/>
    <w:rsid w:val="001364D5"/>
    <w:rsid w:val="00136606"/>
    <w:rsid w:val="00136806"/>
    <w:rsid w:val="001369A6"/>
    <w:rsid w:val="00136A93"/>
    <w:rsid w:val="00136BD6"/>
    <w:rsid w:val="00136DBC"/>
    <w:rsid w:val="00136F77"/>
    <w:rsid w:val="00136FA8"/>
    <w:rsid w:val="0013721E"/>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6D45"/>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4DF4"/>
    <w:rsid w:val="00195648"/>
    <w:rsid w:val="001959DC"/>
    <w:rsid w:val="00195F44"/>
    <w:rsid w:val="00195F61"/>
    <w:rsid w:val="00196019"/>
    <w:rsid w:val="00196A3F"/>
    <w:rsid w:val="00196B94"/>
    <w:rsid w:val="00196C83"/>
    <w:rsid w:val="00196E92"/>
    <w:rsid w:val="001974F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4D6"/>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6729"/>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C99"/>
    <w:rsid w:val="001E1F74"/>
    <w:rsid w:val="001E1FA3"/>
    <w:rsid w:val="001E2005"/>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3BCF"/>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1C6"/>
    <w:rsid w:val="002403A1"/>
    <w:rsid w:val="002404C3"/>
    <w:rsid w:val="002406A2"/>
    <w:rsid w:val="002409DC"/>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74"/>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375"/>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2755A"/>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3EC"/>
    <w:rsid w:val="00371BC4"/>
    <w:rsid w:val="00371D64"/>
    <w:rsid w:val="003722E8"/>
    <w:rsid w:val="00372733"/>
    <w:rsid w:val="0037280D"/>
    <w:rsid w:val="003728E1"/>
    <w:rsid w:val="00372C4C"/>
    <w:rsid w:val="00373726"/>
    <w:rsid w:val="00373B9D"/>
    <w:rsid w:val="00374100"/>
    <w:rsid w:val="003745D0"/>
    <w:rsid w:val="00375B8A"/>
    <w:rsid w:val="00375BB2"/>
    <w:rsid w:val="00375C42"/>
    <w:rsid w:val="00375E04"/>
    <w:rsid w:val="00375E62"/>
    <w:rsid w:val="0037642E"/>
    <w:rsid w:val="003774B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578"/>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3E57"/>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3F96"/>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2CA"/>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11"/>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0D7"/>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1ECB"/>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5F7"/>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50F"/>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3D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46C"/>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5E09"/>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2B12"/>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8F6D21"/>
    <w:rsid w:val="00900731"/>
    <w:rsid w:val="0090146E"/>
    <w:rsid w:val="009014C6"/>
    <w:rsid w:val="00901E4D"/>
    <w:rsid w:val="009030CA"/>
    <w:rsid w:val="00903424"/>
    <w:rsid w:val="009038F8"/>
    <w:rsid w:val="00903E4D"/>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110"/>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461"/>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726"/>
    <w:rsid w:val="00973C2B"/>
    <w:rsid w:val="0097437B"/>
    <w:rsid w:val="0097441E"/>
    <w:rsid w:val="0097517A"/>
    <w:rsid w:val="00975AEC"/>
    <w:rsid w:val="00975FB0"/>
    <w:rsid w:val="009762C7"/>
    <w:rsid w:val="0097670F"/>
    <w:rsid w:val="00976C61"/>
    <w:rsid w:val="00976ECA"/>
    <w:rsid w:val="00977532"/>
    <w:rsid w:val="009803EC"/>
    <w:rsid w:val="00980A69"/>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2F4"/>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431"/>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14"/>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2DC"/>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5723"/>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3FAF"/>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669"/>
    <w:rsid w:val="00B82AE5"/>
    <w:rsid w:val="00B82D16"/>
    <w:rsid w:val="00B838E8"/>
    <w:rsid w:val="00B847A7"/>
    <w:rsid w:val="00B84EB3"/>
    <w:rsid w:val="00B859D1"/>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3D98"/>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58"/>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79C"/>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3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21C"/>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0DC"/>
    <w:rsid w:val="00C60E54"/>
    <w:rsid w:val="00C60ED4"/>
    <w:rsid w:val="00C61032"/>
    <w:rsid w:val="00C61102"/>
    <w:rsid w:val="00C61E12"/>
    <w:rsid w:val="00C620C3"/>
    <w:rsid w:val="00C62389"/>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2E83"/>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5D38"/>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ECA"/>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3A3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3D5"/>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33B"/>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3DB"/>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16"/>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0BB"/>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6D27"/>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70B"/>
    <w:rsid w:val="00E3495E"/>
    <w:rsid w:val="00E3737C"/>
    <w:rsid w:val="00E37667"/>
    <w:rsid w:val="00E406DA"/>
    <w:rsid w:val="00E40850"/>
    <w:rsid w:val="00E4085B"/>
    <w:rsid w:val="00E40ADA"/>
    <w:rsid w:val="00E415FC"/>
    <w:rsid w:val="00E4170E"/>
    <w:rsid w:val="00E41943"/>
    <w:rsid w:val="00E4199C"/>
    <w:rsid w:val="00E4225A"/>
    <w:rsid w:val="00E423CA"/>
    <w:rsid w:val="00E430B6"/>
    <w:rsid w:val="00E43398"/>
    <w:rsid w:val="00E43FB8"/>
    <w:rsid w:val="00E44214"/>
    <w:rsid w:val="00E44A83"/>
    <w:rsid w:val="00E44BFF"/>
    <w:rsid w:val="00E44C59"/>
    <w:rsid w:val="00E44E7C"/>
    <w:rsid w:val="00E44E8D"/>
    <w:rsid w:val="00E44EE6"/>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4E3"/>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7F9"/>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130"/>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1F3"/>
    <w:rsid w:val="00F63658"/>
    <w:rsid w:val="00F63A0E"/>
    <w:rsid w:val="00F63E05"/>
    <w:rsid w:val="00F642C3"/>
    <w:rsid w:val="00F642E8"/>
    <w:rsid w:val="00F64B72"/>
    <w:rsid w:val="00F64F66"/>
    <w:rsid w:val="00F64FC3"/>
    <w:rsid w:val="00F655FC"/>
    <w:rsid w:val="00F65A96"/>
    <w:rsid w:val="00F65B4B"/>
    <w:rsid w:val="00F66224"/>
    <w:rsid w:val="00F669B5"/>
    <w:rsid w:val="00F66E54"/>
    <w:rsid w:val="00F66F43"/>
    <w:rsid w:val="00F70042"/>
    <w:rsid w:val="00F70CFC"/>
    <w:rsid w:val="00F7113A"/>
    <w:rsid w:val="00F7132A"/>
    <w:rsid w:val="00F713DC"/>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E536DD"/>
    <w:rsid w:val="03F06C42"/>
    <w:rsid w:val="041B3357"/>
    <w:rsid w:val="049F025D"/>
    <w:rsid w:val="04C34346"/>
    <w:rsid w:val="04E30437"/>
    <w:rsid w:val="059160E1"/>
    <w:rsid w:val="05F41FAA"/>
    <w:rsid w:val="063B78DC"/>
    <w:rsid w:val="076E0F6D"/>
    <w:rsid w:val="07E84F31"/>
    <w:rsid w:val="0839529D"/>
    <w:rsid w:val="097640A4"/>
    <w:rsid w:val="09974C33"/>
    <w:rsid w:val="09B82947"/>
    <w:rsid w:val="0B1054C7"/>
    <w:rsid w:val="0B547760"/>
    <w:rsid w:val="0BC814DF"/>
    <w:rsid w:val="0BF16057"/>
    <w:rsid w:val="0BF958C7"/>
    <w:rsid w:val="0C3F3332"/>
    <w:rsid w:val="0C5A09A9"/>
    <w:rsid w:val="0CD51D2D"/>
    <w:rsid w:val="0CDB719E"/>
    <w:rsid w:val="0E0812B7"/>
    <w:rsid w:val="0E2E7579"/>
    <w:rsid w:val="0EAB6A73"/>
    <w:rsid w:val="0ED72541"/>
    <w:rsid w:val="0F4D0707"/>
    <w:rsid w:val="0FBA2A45"/>
    <w:rsid w:val="0FC41654"/>
    <w:rsid w:val="0FD06E18"/>
    <w:rsid w:val="0FDE7285"/>
    <w:rsid w:val="0FF21AC1"/>
    <w:rsid w:val="113A727B"/>
    <w:rsid w:val="118C2ED5"/>
    <w:rsid w:val="11B83D31"/>
    <w:rsid w:val="12795B29"/>
    <w:rsid w:val="12F62B63"/>
    <w:rsid w:val="135A6E08"/>
    <w:rsid w:val="13696837"/>
    <w:rsid w:val="13B31AEC"/>
    <w:rsid w:val="13FE3FBA"/>
    <w:rsid w:val="140E1568"/>
    <w:rsid w:val="14404369"/>
    <w:rsid w:val="16BF46FB"/>
    <w:rsid w:val="16E84333"/>
    <w:rsid w:val="175D674F"/>
    <w:rsid w:val="17CD2550"/>
    <w:rsid w:val="18114189"/>
    <w:rsid w:val="18F06F2D"/>
    <w:rsid w:val="19223571"/>
    <w:rsid w:val="19AD7F51"/>
    <w:rsid w:val="1AF56EBD"/>
    <w:rsid w:val="1BA50D14"/>
    <w:rsid w:val="1BA677E7"/>
    <w:rsid w:val="1C625D30"/>
    <w:rsid w:val="1C646924"/>
    <w:rsid w:val="1C7671E3"/>
    <w:rsid w:val="1C777601"/>
    <w:rsid w:val="1C8A493E"/>
    <w:rsid w:val="1CB11B53"/>
    <w:rsid w:val="1CCB6998"/>
    <w:rsid w:val="1CD6623F"/>
    <w:rsid w:val="1CF90898"/>
    <w:rsid w:val="1CFA0FE7"/>
    <w:rsid w:val="1D8C69C4"/>
    <w:rsid w:val="1E1C7C6C"/>
    <w:rsid w:val="1E304B03"/>
    <w:rsid w:val="1E786F00"/>
    <w:rsid w:val="1EC93A19"/>
    <w:rsid w:val="1F1F65F5"/>
    <w:rsid w:val="1F343C02"/>
    <w:rsid w:val="1FAC7E53"/>
    <w:rsid w:val="20517FE3"/>
    <w:rsid w:val="20CE2C18"/>
    <w:rsid w:val="20ED5A5E"/>
    <w:rsid w:val="211A16EC"/>
    <w:rsid w:val="217C1DAF"/>
    <w:rsid w:val="218220DE"/>
    <w:rsid w:val="222C76C6"/>
    <w:rsid w:val="22466CF3"/>
    <w:rsid w:val="22A344E7"/>
    <w:rsid w:val="22DE3197"/>
    <w:rsid w:val="22F42D37"/>
    <w:rsid w:val="230E0741"/>
    <w:rsid w:val="23F63E16"/>
    <w:rsid w:val="243A32C2"/>
    <w:rsid w:val="25093A3B"/>
    <w:rsid w:val="25236D0D"/>
    <w:rsid w:val="252F645D"/>
    <w:rsid w:val="258858A9"/>
    <w:rsid w:val="25A7119C"/>
    <w:rsid w:val="266B7D9B"/>
    <w:rsid w:val="26757E2C"/>
    <w:rsid w:val="26790701"/>
    <w:rsid w:val="26820815"/>
    <w:rsid w:val="273508EE"/>
    <w:rsid w:val="27483692"/>
    <w:rsid w:val="276F6E45"/>
    <w:rsid w:val="278066D7"/>
    <w:rsid w:val="27827B0F"/>
    <w:rsid w:val="27886287"/>
    <w:rsid w:val="27F53526"/>
    <w:rsid w:val="27FA5E76"/>
    <w:rsid w:val="28690FE5"/>
    <w:rsid w:val="288E2BD2"/>
    <w:rsid w:val="28DC50AB"/>
    <w:rsid w:val="28E55271"/>
    <w:rsid w:val="2923374B"/>
    <w:rsid w:val="29BD796F"/>
    <w:rsid w:val="2AAC3644"/>
    <w:rsid w:val="2B8946FF"/>
    <w:rsid w:val="2C0A4741"/>
    <w:rsid w:val="2CA61832"/>
    <w:rsid w:val="2CF86E08"/>
    <w:rsid w:val="2D9B15EF"/>
    <w:rsid w:val="2E304308"/>
    <w:rsid w:val="2E5F4C31"/>
    <w:rsid w:val="2E6F7E34"/>
    <w:rsid w:val="2EB26D79"/>
    <w:rsid w:val="2F7145F4"/>
    <w:rsid w:val="2FF93B45"/>
    <w:rsid w:val="3029048B"/>
    <w:rsid w:val="30580298"/>
    <w:rsid w:val="30646F90"/>
    <w:rsid w:val="30CB0402"/>
    <w:rsid w:val="31B66D5F"/>
    <w:rsid w:val="324D2681"/>
    <w:rsid w:val="34457450"/>
    <w:rsid w:val="346B3DEF"/>
    <w:rsid w:val="34FD4189"/>
    <w:rsid w:val="35373F98"/>
    <w:rsid w:val="35E1219E"/>
    <w:rsid w:val="35FC4348"/>
    <w:rsid w:val="363B7932"/>
    <w:rsid w:val="36D15C2A"/>
    <w:rsid w:val="36FA4BBC"/>
    <w:rsid w:val="371D61FE"/>
    <w:rsid w:val="374B5AC3"/>
    <w:rsid w:val="38187E4F"/>
    <w:rsid w:val="3820445B"/>
    <w:rsid w:val="38210467"/>
    <w:rsid w:val="38401B73"/>
    <w:rsid w:val="384B1D2A"/>
    <w:rsid w:val="39780BBB"/>
    <w:rsid w:val="39D617F2"/>
    <w:rsid w:val="3A242E79"/>
    <w:rsid w:val="3A874ED3"/>
    <w:rsid w:val="3B594FF5"/>
    <w:rsid w:val="3B610C15"/>
    <w:rsid w:val="3B731AB5"/>
    <w:rsid w:val="3B833738"/>
    <w:rsid w:val="3B874762"/>
    <w:rsid w:val="3C2527C5"/>
    <w:rsid w:val="3D6F75C9"/>
    <w:rsid w:val="3DE90F01"/>
    <w:rsid w:val="3E266E35"/>
    <w:rsid w:val="3F592D90"/>
    <w:rsid w:val="3F7F04D5"/>
    <w:rsid w:val="3FB63B21"/>
    <w:rsid w:val="40615707"/>
    <w:rsid w:val="4084115C"/>
    <w:rsid w:val="40A005F0"/>
    <w:rsid w:val="414B5EF7"/>
    <w:rsid w:val="417E1386"/>
    <w:rsid w:val="41C2126D"/>
    <w:rsid w:val="422B6BF4"/>
    <w:rsid w:val="42347713"/>
    <w:rsid w:val="42E90332"/>
    <w:rsid w:val="43B00A8F"/>
    <w:rsid w:val="45511B47"/>
    <w:rsid w:val="45A15DDB"/>
    <w:rsid w:val="45B22926"/>
    <w:rsid w:val="462E6F3B"/>
    <w:rsid w:val="4681712C"/>
    <w:rsid w:val="468B6718"/>
    <w:rsid w:val="473B23EB"/>
    <w:rsid w:val="47B32EAB"/>
    <w:rsid w:val="47C40E8C"/>
    <w:rsid w:val="48201667"/>
    <w:rsid w:val="48B1218F"/>
    <w:rsid w:val="48B14AB0"/>
    <w:rsid w:val="48D6123C"/>
    <w:rsid w:val="49150F51"/>
    <w:rsid w:val="49480BD4"/>
    <w:rsid w:val="499F04DF"/>
    <w:rsid w:val="49CB3BFF"/>
    <w:rsid w:val="4A575F26"/>
    <w:rsid w:val="4AA4619B"/>
    <w:rsid w:val="4B284D77"/>
    <w:rsid w:val="4BEC1507"/>
    <w:rsid w:val="4CD363C9"/>
    <w:rsid w:val="4D7F6702"/>
    <w:rsid w:val="4DAA2A72"/>
    <w:rsid w:val="4E1D39E1"/>
    <w:rsid w:val="4F123950"/>
    <w:rsid w:val="4F134C73"/>
    <w:rsid w:val="4F1E0038"/>
    <w:rsid w:val="4FBA240D"/>
    <w:rsid w:val="50257D80"/>
    <w:rsid w:val="50607291"/>
    <w:rsid w:val="507519D9"/>
    <w:rsid w:val="50EC442B"/>
    <w:rsid w:val="52127D7D"/>
    <w:rsid w:val="52412A63"/>
    <w:rsid w:val="53763D4D"/>
    <w:rsid w:val="538D45BD"/>
    <w:rsid w:val="54135280"/>
    <w:rsid w:val="5526139C"/>
    <w:rsid w:val="552B2D26"/>
    <w:rsid w:val="554E1470"/>
    <w:rsid w:val="557F569B"/>
    <w:rsid w:val="55986D51"/>
    <w:rsid w:val="55A439DB"/>
    <w:rsid w:val="55D42624"/>
    <w:rsid w:val="56133CA0"/>
    <w:rsid w:val="569914FD"/>
    <w:rsid w:val="56DD4ABD"/>
    <w:rsid w:val="5703231E"/>
    <w:rsid w:val="57116442"/>
    <w:rsid w:val="578D3493"/>
    <w:rsid w:val="5857652F"/>
    <w:rsid w:val="586A7A45"/>
    <w:rsid w:val="58914C8B"/>
    <w:rsid w:val="58E3423E"/>
    <w:rsid w:val="58F23ED5"/>
    <w:rsid w:val="5956205C"/>
    <w:rsid w:val="599E6CB8"/>
    <w:rsid w:val="59E031E2"/>
    <w:rsid w:val="5AA974E8"/>
    <w:rsid w:val="5AD424FD"/>
    <w:rsid w:val="5B5619E7"/>
    <w:rsid w:val="5B8340E7"/>
    <w:rsid w:val="5B8D0599"/>
    <w:rsid w:val="5B937814"/>
    <w:rsid w:val="5BA627EA"/>
    <w:rsid w:val="5BAA125C"/>
    <w:rsid w:val="5C06784E"/>
    <w:rsid w:val="5C6E79F1"/>
    <w:rsid w:val="5C8657B1"/>
    <w:rsid w:val="5CA73484"/>
    <w:rsid w:val="5CE5499C"/>
    <w:rsid w:val="5D77243C"/>
    <w:rsid w:val="5D822C9D"/>
    <w:rsid w:val="5E2F13E4"/>
    <w:rsid w:val="5EA45135"/>
    <w:rsid w:val="5EC546B7"/>
    <w:rsid w:val="5EE01513"/>
    <w:rsid w:val="5FA9036D"/>
    <w:rsid w:val="5FE20A6A"/>
    <w:rsid w:val="5FE80DF1"/>
    <w:rsid w:val="60394F33"/>
    <w:rsid w:val="607A028C"/>
    <w:rsid w:val="60AA63E1"/>
    <w:rsid w:val="60C761CB"/>
    <w:rsid w:val="61904268"/>
    <w:rsid w:val="61922827"/>
    <w:rsid w:val="61985AAE"/>
    <w:rsid w:val="619B21A0"/>
    <w:rsid w:val="61C95215"/>
    <w:rsid w:val="620863D2"/>
    <w:rsid w:val="626058BD"/>
    <w:rsid w:val="62D70238"/>
    <w:rsid w:val="634E5810"/>
    <w:rsid w:val="63A81226"/>
    <w:rsid w:val="650A079C"/>
    <w:rsid w:val="65E5355A"/>
    <w:rsid w:val="66910B76"/>
    <w:rsid w:val="674A3D4F"/>
    <w:rsid w:val="679006E0"/>
    <w:rsid w:val="6864772D"/>
    <w:rsid w:val="68BC6A3B"/>
    <w:rsid w:val="68D26F09"/>
    <w:rsid w:val="6A121AD7"/>
    <w:rsid w:val="6A3C248C"/>
    <w:rsid w:val="6AD23B35"/>
    <w:rsid w:val="6B8F1B75"/>
    <w:rsid w:val="6BB362A2"/>
    <w:rsid w:val="6C3226C6"/>
    <w:rsid w:val="6C545FF5"/>
    <w:rsid w:val="6C591BE2"/>
    <w:rsid w:val="6CB048A5"/>
    <w:rsid w:val="6DFD6C5F"/>
    <w:rsid w:val="6E0A4A26"/>
    <w:rsid w:val="6E113896"/>
    <w:rsid w:val="6E5E1B6C"/>
    <w:rsid w:val="6E923A52"/>
    <w:rsid w:val="6EB57A17"/>
    <w:rsid w:val="6EEF71D1"/>
    <w:rsid w:val="6F021A16"/>
    <w:rsid w:val="6F1D40CE"/>
    <w:rsid w:val="70460A69"/>
    <w:rsid w:val="7051517A"/>
    <w:rsid w:val="70D85BD1"/>
    <w:rsid w:val="715B338A"/>
    <w:rsid w:val="716A7ADC"/>
    <w:rsid w:val="71DE2E53"/>
    <w:rsid w:val="721F39FF"/>
    <w:rsid w:val="729E121E"/>
    <w:rsid w:val="72D0340A"/>
    <w:rsid w:val="72E23A7A"/>
    <w:rsid w:val="72F6179B"/>
    <w:rsid w:val="735F2141"/>
    <w:rsid w:val="738003CA"/>
    <w:rsid w:val="73C56EED"/>
    <w:rsid w:val="751A75C5"/>
    <w:rsid w:val="758D4AB4"/>
    <w:rsid w:val="75D12961"/>
    <w:rsid w:val="765941C5"/>
    <w:rsid w:val="773B6CD4"/>
    <w:rsid w:val="77B96D29"/>
    <w:rsid w:val="77E30949"/>
    <w:rsid w:val="77F16A53"/>
    <w:rsid w:val="783525A0"/>
    <w:rsid w:val="786F12BD"/>
    <w:rsid w:val="786F1AA9"/>
    <w:rsid w:val="7872551D"/>
    <w:rsid w:val="787444F4"/>
    <w:rsid w:val="7920071D"/>
    <w:rsid w:val="79C52BC7"/>
    <w:rsid w:val="79C747F6"/>
    <w:rsid w:val="7A36659D"/>
    <w:rsid w:val="7A6027C1"/>
    <w:rsid w:val="7A854A12"/>
    <w:rsid w:val="7B237820"/>
    <w:rsid w:val="7B974622"/>
    <w:rsid w:val="7CB86F28"/>
    <w:rsid w:val="7D4E72F0"/>
    <w:rsid w:val="7E9219F9"/>
    <w:rsid w:val="7EF87B3E"/>
    <w:rsid w:val="7F924DA0"/>
    <w:rsid w:val="7FF4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60"/>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61"/>
    <w:qFormat/>
    <w:uiPriority w:val="0"/>
    <w:pPr>
      <w:keepNext/>
      <w:keepLines/>
      <w:spacing w:before="260" w:after="260" w:line="413" w:lineRule="auto"/>
      <w:outlineLvl w:val="2"/>
    </w:pPr>
    <w:rPr>
      <w:b/>
      <w:bCs/>
      <w:sz w:val="32"/>
      <w:szCs w:val="32"/>
    </w:rPr>
  </w:style>
  <w:style w:type="paragraph" w:styleId="6">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63"/>
    <w:qFormat/>
    <w:uiPriority w:val="0"/>
    <w:pPr>
      <w:keepNext/>
      <w:keepLines/>
      <w:spacing w:before="280" w:after="290" w:line="372" w:lineRule="auto"/>
      <w:outlineLvl w:val="4"/>
    </w:pPr>
    <w:rPr>
      <w:b/>
      <w:sz w:val="28"/>
    </w:rPr>
  </w:style>
  <w:style w:type="paragraph" w:styleId="9">
    <w:name w:val="heading 6"/>
    <w:basedOn w:val="1"/>
    <w:next w:val="8"/>
    <w:link w:val="64"/>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8"/>
    <w:link w:val="65"/>
    <w:qFormat/>
    <w:uiPriority w:val="0"/>
    <w:pPr>
      <w:keepNext/>
      <w:keepLines/>
      <w:spacing w:before="240" w:after="64" w:line="317" w:lineRule="auto"/>
      <w:outlineLvl w:val="6"/>
    </w:pPr>
    <w:rPr>
      <w:b/>
      <w:sz w:val="24"/>
    </w:rPr>
  </w:style>
  <w:style w:type="paragraph" w:styleId="11">
    <w:name w:val="heading 8"/>
    <w:basedOn w:val="1"/>
    <w:next w:val="8"/>
    <w:link w:val="66"/>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8"/>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semiHidden/>
    <w:unhideWhenUsed/>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1"/>
    <w:qFormat/>
    <w:uiPriority w:val="99"/>
    <w:pPr>
      <w:spacing w:line="380" w:lineRule="exact"/>
    </w:pPr>
    <w:rPr>
      <w:sz w:val="24"/>
    </w:rPr>
  </w:style>
  <w:style w:type="paragraph" w:styleId="8">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69"/>
    <w:qFormat/>
    <w:uiPriority w:val="0"/>
    <w:pPr>
      <w:jc w:val="left"/>
    </w:pPr>
  </w:style>
  <w:style w:type="paragraph" w:styleId="19">
    <w:name w:val="Body Text 3"/>
    <w:basedOn w:val="1"/>
    <w:link w:val="70"/>
    <w:qFormat/>
    <w:uiPriority w:val="0"/>
    <w:pPr>
      <w:spacing w:line="500" w:lineRule="exact"/>
    </w:pPr>
    <w:rPr>
      <w:b/>
      <w:bCs/>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8"/>
    <w:next w:val="18"/>
    <w:link w:val="83"/>
    <w:qFormat/>
    <w:uiPriority w:val="0"/>
    <w:rPr>
      <w:b/>
      <w:bCs/>
    </w:rPr>
  </w:style>
  <w:style w:type="paragraph" w:styleId="49">
    <w:name w:val="Body Text First Indent"/>
    <w:basedOn w:val="2"/>
    <w:link w:val="84"/>
    <w:qFormat/>
    <w:uiPriority w:val="0"/>
    <w:pPr>
      <w:spacing w:after="120" w:line="240" w:lineRule="auto"/>
      <w:ind w:firstLine="420" w:firstLineChars="100"/>
    </w:pPr>
    <w:rPr>
      <w:sz w:val="21"/>
    </w:rPr>
  </w:style>
  <w:style w:type="paragraph" w:styleId="50">
    <w:name w:val="Body Text First Indent 2"/>
    <w:basedOn w:val="20"/>
    <w:link w:val="85"/>
    <w:qFormat/>
    <w:uiPriority w:val="0"/>
    <w:pPr>
      <w:spacing w:after="12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3"/>
    <w:qFormat/>
    <w:uiPriority w:val="9"/>
    <w:rPr>
      <w:rFonts w:eastAsia="宋体"/>
      <w:b/>
      <w:bCs/>
      <w:kern w:val="44"/>
      <w:sz w:val="44"/>
      <w:szCs w:val="44"/>
      <w:lang w:val="en-US" w:eastAsia="zh-CN" w:bidi="ar-SA"/>
    </w:rPr>
  </w:style>
  <w:style w:type="character" w:customStyle="1" w:styleId="60">
    <w:name w:val="标题 2 字符"/>
    <w:link w:val="4"/>
    <w:qFormat/>
    <w:uiPriority w:val="0"/>
    <w:rPr>
      <w:rFonts w:ascii="Arial" w:hAnsi="Arial" w:eastAsia="黑体"/>
      <w:b/>
      <w:bCs/>
      <w:kern w:val="2"/>
      <w:sz w:val="32"/>
      <w:szCs w:val="32"/>
    </w:rPr>
  </w:style>
  <w:style w:type="character" w:customStyle="1" w:styleId="61">
    <w:name w:val="标题 3 字符"/>
    <w:link w:val="5"/>
    <w:qFormat/>
    <w:uiPriority w:val="0"/>
    <w:rPr>
      <w:b/>
      <w:bCs/>
      <w:kern w:val="2"/>
      <w:sz w:val="32"/>
      <w:szCs w:val="32"/>
    </w:rPr>
  </w:style>
  <w:style w:type="character" w:customStyle="1" w:styleId="62">
    <w:name w:val="标题 4 字符"/>
    <w:link w:val="6"/>
    <w:qFormat/>
    <w:uiPriority w:val="0"/>
    <w:rPr>
      <w:rFonts w:ascii="Arial" w:hAnsi="Arial" w:eastAsia="黑体"/>
      <w:sz w:val="28"/>
    </w:rPr>
  </w:style>
  <w:style w:type="character" w:customStyle="1" w:styleId="63">
    <w:name w:val="标题 5 字符"/>
    <w:link w:val="7"/>
    <w:qFormat/>
    <w:uiPriority w:val="0"/>
    <w:rPr>
      <w:b/>
      <w:kern w:val="2"/>
      <w:sz w:val="28"/>
      <w:szCs w:val="24"/>
    </w:rPr>
  </w:style>
  <w:style w:type="character" w:customStyle="1" w:styleId="64">
    <w:name w:val="标题 6 字符"/>
    <w:link w:val="9"/>
    <w:qFormat/>
    <w:uiPriority w:val="0"/>
    <w:rPr>
      <w:rFonts w:ascii="Arial" w:hAnsi="Arial" w:eastAsia="黑体"/>
      <w:b/>
      <w:kern w:val="2"/>
      <w:sz w:val="24"/>
      <w:szCs w:val="24"/>
    </w:rPr>
  </w:style>
  <w:style w:type="character" w:customStyle="1" w:styleId="65">
    <w:name w:val="标题 7 字符"/>
    <w:link w:val="10"/>
    <w:qFormat/>
    <w:uiPriority w:val="0"/>
    <w:rPr>
      <w:b/>
      <w:kern w:val="2"/>
      <w:sz w:val="24"/>
      <w:szCs w:val="24"/>
    </w:rPr>
  </w:style>
  <w:style w:type="character" w:customStyle="1" w:styleId="66">
    <w:name w:val="标题 8 字符"/>
    <w:link w:val="11"/>
    <w:qFormat/>
    <w:uiPriority w:val="0"/>
    <w:rPr>
      <w:rFonts w:ascii="Arial" w:hAnsi="Arial" w:eastAsia="黑体"/>
      <w:kern w:val="2"/>
      <w:sz w:val="24"/>
      <w:szCs w:val="24"/>
    </w:rPr>
  </w:style>
  <w:style w:type="character" w:customStyle="1" w:styleId="67">
    <w:name w:val="标题 9 字符"/>
    <w:link w:val="12"/>
    <w:qFormat/>
    <w:uiPriority w:val="0"/>
    <w:rPr>
      <w:rFonts w:ascii="Arial" w:hAnsi="Arial" w:eastAsia="黑体"/>
      <w:kern w:val="2"/>
      <w:sz w:val="21"/>
      <w:szCs w:val="24"/>
    </w:rPr>
  </w:style>
  <w:style w:type="character" w:customStyle="1" w:styleId="68">
    <w:name w:val="文档结构图 字符"/>
    <w:link w:val="17"/>
    <w:qFormat/>
    <w:uiPriority w:val="0"/>
    <w:rPr>
      <w:sz w:val="21"/>
      <w:shd w:val="clear" w:color="auto" w:fill="000080"/>
    </w:rPr>
  </w:style>
  <w:style w:type="character" w:customStyle="1" w:styleId="69">
    <w:name w:val="批注文字 字符"/>
    <w:link w:val="18"/>
    <w:qFormat/>
    <w:uiPriority w:val="0"/>
    <w:rPr>
      <w:kern w:val="2"/>
      <w:sz w:val="21"/>
      <w:szCs w:val="24"/>
    </w:rPr>
  </w:style>
  <w:style w:type="character" w:customStyle="1" w:styleId="70">
    <w:name w:val="正文文本 3 字符"/>
    <w:link w:val="19"/>
    <w:qFormat/>
    <w:uiPriority w:val="0"/>
    <w:rPr>
      <w:b/>
      <w:bCs/>
      <w:kern w:val="2"/>
      <w:sz w:val="24"/>
      <w:szCs w:val="24"/>
    </w:rPr>
  </w:style>
  <w:style w:type="character" w:customStyle="1" w:styleId="71">
    <w:name w:val="正文文本 字符2"/>
    <w:link w:val="2"/>
    <w:qFormat/>
    <w:uiPriority w:val="99"/>
    <w:rPr>
      <w:kern w:val="2"/>
      <w:sz w:val="24"/>
      <w:szCs w:val="24"/>
    </w:rPr>
  </w:style>
  <w:style w:type="character" w:customStyle="1" w:styleId="72">
    <w:name w:val="正文文本缩进 字符"/>
    <w:link w:val="20"/>
    <w:qFormat/>
    <w:uiPriority w:val="99"/>
    <w:rPr>
      <w:rFonts w:ascii="仿宋_GB2312" w:eastAsia="仿宋_GB2312"/>
      <w:kern w:val="2"/>
      <w:sz w:val="32"/>
    </w:rPr>
  </w:style>
  <w:style w:type="character" w:customStyle="1" w:styleId="73">
    <w:name w:val="纯文本 字符2"/>
    <w:link w:val="26"/>
    <w:qFormat/>
    <w:uiPriority w:val="99"/>
    <w:rPr>
      <w:rFonts w:ascii="宋体" w:hAnsi="Courier New" w:eastAsia="宋体" w:cs="Courier New"/>
      <w:kern w:val="2"/>
      <w:sz w:val="21"/>
      <w:szCs w:val="21"/>
      <w:lang w:val="en-US" w:eastAsia="zh-CN" w:bidi="ar-SA"/>
    </w:rPr>
  </w:style>
  <w:style w:type="character" w:customStyle="1" w:styleId="74">
    <w:name w:val="日期 字符"/>
    <w:link w:val="28"/>
    <w:qFormat/>
    <w:uiPriority w:val="0"/>
    <w:rPr>
      <w:rFonts w:ascii="宋体" w:hAnsi="Courier New" w:cs="Courier New"/>
      <w:kern w:val="2"/>
      <w:sz w:val="21"/>
      <w:szCs w:val="21"/>
    </w:rPr>
  </w:style>
  <w:style w:type="character" w:customStyle="1" w:styleId="75">
    <w:name w:val="正文文本缩进 2 字符"/>
    <w:link w:val="29"/>
    <w:qFormat/>
    <w:uiPriority w:val="0"/>
    <w:rPr>
      <w:kern w:val="2"/>
      <w:sz w:val="32"/>
    </w:rPr>
  </w:style>
  <w:style w:type="character" w:customStyle="1" w:styleId="76">
    <w:name w:val="批注框文本 字符"/>
    <w:link w:val="30"/>
    <w:qFormat/>
    <w:uiPriority w:val="0"/>
    <w:rPr>
      <w:kern w:val="2"/>
      <w:sz w:val="18"/>
      <w:szCs w:val="18"/>
    </w:rPr>
  </w:style>
  <w:style w:type="character" w:customStyle="1" w:styleId="77">
    <w:name w:val="页脚 字符"/>
    <w:link w:val="31"/>
    <w:qFormat/>
    <w:uiPriority w:val="0"/>
    <w:rPr>
      <w:kern w:val="2"/>
      <w:sz w:val="18"/>
      <w:szCs w:val="18"/>
    </w:rPr>
  </w:style>
  <w:style w:type="character" w:customStyle="1" w:styleId="78">
    <w:name w:val="页眉 字符"/>
    <w:link w:val="32"/>
    <w:qFormat/>
    <w:uiPriority w:val="99"/>
    <w:rPr>
      <w:kern w:val="2"/>
      <w:sz w:val="18"/>
      <w:szCs w:val="18"/>
    </w:rPr>
  </w:style>
  <w:style w:type="character" w:customStyle="1" w:styleId="79">
    <w:name w:val="正文文本缩进 3 字符"/>
    <w:link w:val="38"/>
    <w:qFormat/>
    <w:uiPriority w:val="0"/>
    <w:rPr>
      <w:kern w:val="2"/>
      <w:sz w:val="16"/>
      <w:szCs w:val="16"/>
    </w:rPr>
  </w:style>
  <w:style w:type="character" w:customStyle="1" w:styleId="80">
    <w:name w:val="正文文本 2 字符"/>
    <w:link w:val="41"/>
    <w:qFormat/>
    <w:uiPriority w:val="0"/>
    <w:rPr>
      <w:kern w:val="2"/>
      <w:sz w:val="21"/>
      <w:szCs w:val="24"/>
    </w:rPr>
  </w:style>
  <w:style w:type="character" w:customStyle="1" w:styleId="81">
    <w:name w:val="HTML 预设格式 字符"/>
    <w:link w:val="44"/>
    <w:qFormat/>
    <w:uiPriority w:val="0"/>
    <w:rPr>
      <w:rFonts w:ascii="黑体" w:hAnsi="Courier New" w:eastAsia="黑体" w:cs="Courier New"/>
    </w:rPr>
  </w:style>
  <w:style w:type="character" w:customStyle="1" w:styleId="82">
    <w:name w:val="标题 字符"/>
    <w:link w:val="47"/>
    <w:qFormat/>
    <w:uiPriority w:val="0"/>
    <w:rPr>
      <w:kern w:val="2"/>
      <w:sz w:val="30"/>
      <w:szCs w:val="24"/>
    </w:rPr>
  </w:style>
  <w:style w:type="character" w:customStyle="1" w:styleId="83">
    <w:name w:val="批注主题 字符"/>
    <w:link w:val="48"/>
    <w:qFormat/>
    <w:uiPriority w:val="0"/>
    <w:rPr>
      <w:b/>
      <w:bCs/>
      <w:kern w:val="2"/>
      <w:sz w:val="21"/>
      <w:szCs w:val="24"/>
    </w:rPr>
  </w:style>
  <w:style w:type="character" w:customStyle="1" w:styleId="84">
    <w:name w:val="正文文本首行缩进 字符"/>
    <w:link w:val="49"/>
    <w:qFormat/>
    <w:uiPriority w:val="0"/>
    <w:rPr>
      <w:kern w:val="2"/>
      <w:sz w:val="21"/>
      <w:szCs w:val="24"/>
    </w:rPr>
  </w:style>
  <w:style w:type="character" w:customStyle="1" w:styleId="85">
    <w:name w:val="正文文本首行缩进 2 字符"/>
    <w:link w:val="50"/>
    <w:qFormat/>
    <w:uiPriority w:val="0"/>
    <w:rPr>
      <w:kern w:val="2"/>
      <w:sz w:val="21"/>
      <w:szCs w:val="24"/>
    </w:rPr>
  </w:style>
  <w:style w:type="character" w:customStyle="1" w:styleId="86">
    <w:name w:val="style11"/>
    <w:qFormat/>
    <w:uiPriority w:val="0"/>
    <w:rPr>
      <w:rFonts w:hint="default" w:ascii="Arial" w:hAnsi="Arial" w:cs="Arial"/>
    </w:rPr>
  </w:style>
  <w:style w:type="character" w:customStyle="1" w:styleId="87">
    <w:name w:val="short_text1"/>
    <w:qFormat/>
    <w:uiPriority w:val="0"/>
    <w:rPr>
      <w:sz w:val="26"/>
    </w:rPr>
  </w:style>
  <w:style w:type="character" w:customStyle="1" w:styleId="88">
    <w:name w:val="white"/>
    <w:basedOn w:val="53"/>
    <w:qFormat/>
    <w:uiPriority w:val="0"/>
  </w:style>
  <w:style w:type="character" w:customStyle="1" w:styleId="89">
    <w:name w:val="text11"/>
    <w:qFormat/>
    <w:uiPriority w:val="0"/>
    <w:rPr>
      <w:rFonts w:hint="default" w:ascii="Verdana" w:hAnsi="Verdana"/>
      <w:color w:val="4E4E4E"/>
      <w:sz w:val="18"/>
      <w:szCs w:val="18"/>
    </w:rPr>
  </w:style>
  <w:style w:type="character" w:customStyle="1" w:styleId="90">
    <w:name w:val="mark8"/>
    <w:qFormat/>
    <w:uiPriority w:val="0"/>
    <w:rPr>
      <w:b/>
      <w:bCs/>
      <w:sz w:val="21"/>
      <w:szCs w:val="21"/>
    </w:rPr>
  </w:style>
  <w:style w:type="character" w:customStyle="1" w:styleId="91">
    <w:name w:val="纯文本 Char1"/>
    <w:qFormat/>
    <w:uiPriority w:val="0"/>
    <w:rPr>
      <w:rFonts w:ascii="宋体" w:hAnsi="Courier New" w:eastAsia="宋体" w:cs="Courier New"/>
      <w:kern w:val="2"/>
      <w:sz w:val="21"/>
      <w:szCs w:val="21"/>
      <w:lang w:val="en-US" w:eastAsia="zh-CN" w:bidi="ar-SA"/>
    </w:rPr>
  </w:style>
  <w:style w:type="character" w:customStyle="1" w:styleId="92">
    <w:name w:val="f151"/>
    <w:qFormat/>
    <w:uiPriority w:val="0"/>
    <w:rPr>
      <w:sz w:val="23"/>
      <w:szCs w:val="23"/>
    </w:rPr>
  </w:style>
  <w:style w:type="character" w:customStyle="1" w:styleId="93">
    <w:name w:val="062"/>
    <w:qFormat/>
    <w:uiPriority w:val="0"/>
    <w:rPr>
      <w:rFonts w:ascii="宋体" w:hAnsi="宋体"/>
      <w:b/>
      <w:bCs/>
      <w:sz w:val="32"/>
    </w:rPr>
  </w:style>
  <w:style w:type="character" w:customStyle="1" w:styleId="94">
    <w:name w:val="gray12"/>
    <w:basedOn w:val="53"/>
    <w:qFormat/>
    <w:uiPriority w:val="0"/>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3"/>
    <w:link w:val="95"/>
    <w:qFormat/>
    <w:uiPriority w:val="0"/>
    <w:pPr>
      <w:keepLines w:val="0"/>
      <w:widowControl/>
      <w:spacing w:before="0" w:after="0" w:line="240" w:lineRule="auto"/>
      <w:jc w:val="center"/>
    </w:pPr>
    <w:rPr>
      <w:rFonts w:ascii="宋体" w:hAnsi="宋体"/>
      <w:sz w:val="36"/>
    </w:rPr>
  </w:style>
  <w:style w:type="character" w:customStyle="1" w:styleId="97">
    <w:name w:val="font01"/>
    <w:qFormat/>
    <w:uiPriority w:val="0"/>
    <w:rPr>
      <w:rFonts w:hint="eastAsia" w:ascii="宋体" w:hAnsi="宋体" w:eastAsia="宋体"/>
      <w:color w:val="000000"/>
      <w:sz w:val="22"/>
      <w:szCs w:val="22"/>
      <w:u w:val="none"/>
    </w:rPr>
  </w:style>
  <w:style w:type="character" w:customStyle="1" w:styleId="98">
    <w:name w:val="small"/>
    <w:basedOn w:val="53"/>
    <w:qFormat/>
    <w:uiPriority w:val="0"/>
  </w:style>
  <w:style w:type="character" w:customStyle="1" w:styleId="99">
    <w:name w:val="apple-converted-space"/>
    <w:qFormat/>
    <w:uiPriority w:val="0"/>
  </w:style>
  <w:style w:type="character" w:customStyle="1" w:styleId="100">
    <w:name w:val="case31"/>
    <w:qFormat/>
    <w:uiPriority w:val="0"/>
    <w:rPr>
      <w:rFonts w:hint="default" w:ascii="_x000B__x000C_" w:hAnsi="_x000B__x000C_"/>
      <w:sz w:val="21"/>
      <w:szCs w:val="21"/>
    </w:rPr>
  </w:style>
  <w:style w:type="character" w:customStyle="1" w:styleId="101">
    <w:name w:val="graytext1"/>
    <w:qFormat/>
    <w:uiPriority w:val="0"/>
    <w:rPr>
      <w:color w:val="666666"/>
    </w:rPr>
  </w:style>
  <w:style w:type="character" w:customStyle="1" w:styleId="102">
    <w:name w:val="标题3 Char"/>
    <w:link w:val="103"/>
    <w:qFormat/>
    <w:uiPriority w:val="0"/>
    <w:rPr>
      <w:rFonts w:ascii="宋体" w:hAnsi="宋体"/>
      <w:b/>
      <w:bCs/>
      <w:kern w:val="44"/>
      <w:sz w:val="24"/>
      <w:szCs w:val="24"/>
    </w:rPr>
  </w:style>
  <w:style w:type="paragraph" w:customStyle="1" w:styleId="103">
    <w:name w:val="标题3"/>
    <w:basedOn w:val="3"/>
    <w:link w:val="102"/>
    <w:qFormat/>
    <w:uiPriority w:val="0"/>
    <w:pPr>
      <w:spacing w:before="0" w:beforeLines="50" w:after="0" w:afterLines="50" w:line="400" w:lineRule="exact"/>
    </w:pPr>
    <w:rPr>
      <w:rFonts w:ascii="宋体" w:hAnsi="宋体"/>
      <w:sz w:val="24"/>
      <w:szCs w:val="24"/>
    </w:rPr>
  </w:style>
  <w:style w:type="character" w:customStyle="1" w:styleId="104">
    <w:name w:val="1051"/>
    <w:qFormat/>
    <w:uiPriority w:val="0"/>
    <w:rPr>
      <w:sz w:val="21"/>
      <w:szCs w:val="21"/>
    </w:rPr>
  </w:style>
  <w:style w:type="character" w:customStyle="1" w:styleId="105">
    <w:name w:val="content2"/>
    <w:basedOn w:val="53"/>
    <w:qFormat/>
    <w:uiPriority w:val="0"/>
  </w:style>
  <w:style w:type="character" w:customStyle="1" w:styleId="106">
    <w:name w:val="z-窗体顶端 Char"/>
    <w:link w:val="107"/>
    <w:qFormat/>
    <w:uiPriority w:val="0"/>
    <w:rPr>
      <w:rFonts w:ascii="Arial"/>
      <w:vanish/>
      <w:kern w:val="2"/>
      <w:sz w:val="16"/>
      <w:szCs w:val="24"/>
    </w:rPr>
  </w:style>
  <w:style w:type="paragraph" w:customStyle="1" w:styleId="107">
    <w:name w:val="_Style 106"/>
    <w:basedOn w:val="1"/>
    <w:next w:val="1"/>
    <w:link w:val="106"/>
    <w:qFormat/>
    <w:uiPriority w:val="0"/>
    <w:pPr>
      <w:pBdr>
        <w:bottom w:val="single" w:color="auto" w:sz="6" w:space="1"/>
      </w:pBdr>
      <w:jc w:val="center"/>
    </w:pPr>
    <w:rPr>
      <w:rFonts w:ascii="Arial"/>
      <w:vanish/>
      <w:sz w:val="16"/>
    </w:rPr>
  </w:style>
  <w:style w:type="character" w:customStyle="1" w:styleId="108">
    <w:name w:val="unnamed3"/>
    <w:basedOn w:val="53"/>
    <w:qFormat/>
    <w:uiPriority w:val="0"/>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Char Char Char Char Char Char Char"/>
    <w:basedOn w:val="1"/>
    <w:qFormat/>
    <w:uiPriority w:val="0"/>
  </w:style>
  <w:style w:type="paragraph" w:customStyle="1" w:styleId="119">
    <w:name w:val="Char21"/>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8"/>
    <w:qFormat/>
    <w:uiPriority w:val="0"/>
    <w:pPr>
      <w:ind w:firstLine="0"/>
    </w:pPr>
    <w:rPr>
      <w:sz w:val="24"/>
      <w:szCs w:val="24"/>
    </w:rPr>
  </w:style>
  <w:style w:type="paragraph" w:customStyle="1" w:styleId="121">
    <w:name w:val="Char Char Char"/>
    <w:basedOn w:val="17"/>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7">
    <w:name w:val="样式1"/>
    <w:basedOn w:val="1"/>
    <w:qFormat/>
    <w:uiPriority w:val="0"/>
    <w:pPr>
      <w:spacing w:before="120" w:after="12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_Style 136"/>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3">
    <w:name w:val="1"/>
    <w:basedOn w:val="1"/>
    <w:next w:val="26"/>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2"/>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1"/>
    <w:basedOn w:val="1"/>
    <w:qFormat/>
    <w:uiPriority w:val="0"/>
  </w:style>
  <w:style w:type="paragraph" w:customStyle="1" w:styleId="155">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156">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59">
    <w:name w:val="tgt1"/>
    <w:basedOn w:val="1"/>
    <w:qFormat/>
    <w:uiPriority w:val="0"/>
    <w:pPr>
      <w:widowControl/>
      <w:spacing w:after="15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1"/>
    <w:basedOn w:val="17"/>
    <w:qFormat/>
    <w:uiPriority w:val="0"/>
    <w:pPr>
      <w:adjustRightInd/>
      <w:spacing w:line="240" w:lineRule="auto"/>
      <w:textAlignment w:val="auto"/>
    </w:pPr>
    <w:rPr>
      <w:rFonts w:ascii="Tahoma" w:hAnsi="Tahoma"/>
      <w:kern w:val="2"/>
      <w:sz w:val="24"/>
      <w:szCs w:val="24"/>
    </w:rPr>
  </w:style>
  <w:style w:type="paragraph" w:customStyle="1" w:styleId="162">
    <w:name w:val="2ji"/>
    <w:basedOn w:val="4"/>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3">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4"/>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1"/>
    <w:qFormat/>
    <w:uiPriority w:val="0"/>
    <w:rPr>
      <w:kern w:val="2"/>
      <w:sz w:val="21"/>
      <w:szCs w:val="24"/>
    </w:rPr>
  </w:style>
  <w:style w:type="character" w:customStyle="1" w:styleId="170">
    <w:name w:val="_Style 169"/>
    <w:unhideWhenUsed/>
    <w:qFormat/>
    <w:uiPriority w:val="99"/>
    <w:rPr>
      <w:color w:val="605E5C"/>
      <w:shd w:val="clear" w:color="auto" w:fill="E1DFDD"/>
    </w:rPr>
  </w:style>
  <w:style w:type="character" w:customStyle="1" w:styleId="171">
    <w:name w:val="纯文本 字符1"/>
    <w:qFormat/>
    <w:uiPriority w:val="99"/>
    <w:rPr>
      <w:rFonts w:ascii="宋体" w:hAnsi="Courier New" w:eastAsia="宋体" w:cs="Courier New"/>
      <w:kern w:val="2"/>
      <w:sz w:val="21"/>
      <w:szCs w:val="21"/>
      <w:lang w:val="en-US" w:eastAsia="zh-CN" w:bidi="ar-SA"/>
    </w:rPr>
  </w:style>
  <w:style w:type="character" w:customStyle="1" w:styleId="172">
    <w:name w:val="正文文本 字符1"/>
    <w:qFormat/>
    <w:uiPriority w:val="99"/>
    <w:rPr>
      <w:kern w:val="2"/>
      <w:sz w:val="24"/>
      <w:szCs w:val="24"/>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 w:type="paragraph" w:customStyle="1" w:styleId="17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3.emf"/><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footer" Target="footer8.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97</Pages>
  <Words>13337</Words>
  <Characters>14312</Characters>
  <Lines>360</Lines>
  <Paragraphs>101</Paragraphs>
  <TotalTime>19</TotalTime>
  <ScaleCrop>false</ScaleCrop>
  <LinksUpToDate>false</LinksUpToDate>
  <CharactersWithSpaces>14377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27</cp:lastModifiedBy>
  <cp:lastPrinted>2016-03-22T07:52:00Z</cp:lastPrinted>
  <dcterms:modified xsi:type="dcterms:W3CDTF">2026-06-19T11:47:14Z</dcterms:modified>
  <dc:title>桂财采〔2009〕 号</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eyJoZGlkIjoiZTRkMTliNGE5NTA4YjRlMTY3ODI5NTUyOWMxZGNiMTciLCJ1c2VySWQiOiIyNzI1NDA0OTgifQ==</vt:lpwstr>
  </property>
  <property fmtid="{D5CDD505-2E9C-101B-9397-08002B2CF9AE}" pid="14" name="ICV">
    <vt:lpwstr>AD32BA0214F04061B509D5CF1CA7BBBD_13</vt:lpwstr>
  </property>
</Properties>
</file>