
<file path=[Content_Types].xml><?xml version="1.0" encoding="utf-8"?>
<Types xmlns="http://schemas.openxmlformats.org/package/2006/content-types">
  <Default Extension="xml" ContentType="application/xml"/>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72CBE923">
      <w:pPr>
        <w:tabs>
          <w:tab w:val="left" w:pos="1710"/>
        </w:tabs>
        <w:rPr>
          <w:rFonts w:ascii="宋体" w:hAnsi="宋体"/>
          <w:sz w:val="24"/>
        </w:rPr>
      </w:pPr>
      <w:bookmarkStart w:id="0" w:name="_Toc183682338"/>
      <w:bookmarkStart w:id="1" w:name="_Toc217446030"/>
    </w:p>
    <w:p w14:paraId="13BBE2DF">
      <w:pPr>
        <w:tabs>
          <w:tab w:val="left" w:pos="1710"/>
        </w:tabs>
        <w:rPr>
          <w:rFonts w:ascii="宋体" w:hAnsi="宋体"/>
        </w:rPr>
      </w:pPr>
    </w:p>
    <w:p w14:paraId="29FB41EE">
      <w:pPr>
        <w:tabs>
          <w:tab w:val="left" w:pos="1710"/>
        </w:tabs>
        <w:rPr>
          <w:rFonts w:ascii="宋体" w:hAnsi="宋体"/>
        </w:rPr>
      </w:pPr>
    </w:p>
    <w:p w14:paraId="271D14CA">
      <w:pPr>
        <w:tabs>
          <w:tab w:val="left" w:pos="1710"/>
        </w:tabs>
        <w:rPr>
          <w:rFonts w:ascii="宋体" w:hAnsi="宋体"/>
        </w:rPr>
      </w:pPr>
    </w:p>
    <w:p w14:paraId="21B34E3E">
      <w:pPr>
        <w:tabs>
          <w:tab w:val="left" w:pos="1710"/>
        </w:tabs>
        <w:rPr>
          <w:rFonts w:ascii="宋体" w:hAnsi="宋体"/>
        </w:rPr>
      </w:pPr>
    </w:p>
    <w:p w14:paraId="76CD7796">
      <w:pPr>
        <w:tabs>
          <w:tab w:val="left" w:pos="1710"/>
        </w:tabs>
        <w:rPr>
          <w:rFonts w:ascii="宋体" w:hAnsi="宋体"/>
        </w:rPr>
      </w:pPr>
    </w:p>
    <w:tbl>
      <w:tblPr>
        <w:tblStyle w:val="5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64"/>
        <w:gridCol w:w="5433"/>
      </w:tblGrid>
      <w:tr w14:paraId="7CB5F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9" w:hRule="atLeast"/>
          <w:jc w:val="center"/>
        </w:trPr>
        <w:tc>
          <w:tcPr>
            <w:tcW w:w="7197" w:type="dxa"/>
            <w:gridSpan w:val="2"/>
            <w:tcBorders>
              <w:top w:val="nil"/>
              <w:left w:val="nil"/>
              <w:right w:val="nil"/>
            </w:tcBorders>
          </w:tcPr>
          <w:p w14:paraId="4371B83E">
            <w:pPr>
              <w:snapToGrid w:val="0"/>
              <w:spacing w:line="240" w:lineRule="atLeast"/>
              <w:jc w:val="center"/>
              <w:rPr>
                <w:rFonts w:ascii="宋体" w:hAnsi="宋体"/>
                <w:b/>
                <w:sz w:val="60"/>
                <w:szCs w:val="60"/>
              </w:rPr>
            </w:pPr>
            <w:r>
              <w:rPr>
                <w:rFonts w:ascii="宋体" w:hAnsi="宋体"/>
                <w:b/>
                <w:sz w:val="60"/>
                <w:szCs w:val="60"/>
              </w:rPr>
              <w:t xml:space="preserve"> 采购文件</w:t>
            </w:r>
          </w:p>
        </w:tc>
      </w:tr>
      <w:tr w14:paraId="142D2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1" w:hRule="exact"/>
          <w:jc w:val="center"/>
        </w:trPr>
        <w:tc>
          <w:tcPr>
            <w:tcW w:w="1764" w:type="dxa"/>
            <w:vAlign w:val="center"/>
          </w:tcPr>
          <w:p w14:paraId="6C6B8FC8">
            <w:pPr>
              <w:rPr>
                <w:rFonts w:ascii="宋体" w:hAnsi="宋体"/>
                <w:b/>
                <w:sz w:val="32"/>
                <w:szCs w:val="32"/>
              </w:rPr>
            </w:pPr>
            <w:r>
              <w:rPr>
                <w:rFonts w:ascii="宋体" w:hAnsi="宋体"/>
                <w:b/>
                <w:sz w:val="32"/>
                <w:szCs w:val="32"/>
              </w:rPr>
              <w:t>项目名称：</w:t>
            </w:r>
          </w:p>
        </w:tc>
        <w:tc>
          <w:tcPr>
            <w:tcW w:w="5433" w:type="dxa"/>
            <w:vAlign w:val="center"/>
          </w:tcPr>
          <w:p w14:paraId="7577E8DC">
            <w:pPr>
              <w:rPr>
                <w:rFonts w:ascii="宋体" w:hAnsi="宋体"/>
                <w:b/>
                <w:sz w:val="32"/>
                <w:szCs w:val="32"/>
              </w:rPr>
            </w:pPr>
            <w:r>
              <w:rPr>
                <w:rFonts w:ascii="宋体" w:hAnsi="宋体"/>
                <w:b/>
                <w:sz w:val="32"/>
                <w:szCs w:val="32"/>
              </w:rPr>
              <w:t>第23届中国—东盟博览会接待用车招募及调度服务项目</w:t>
            </w:r>
          </w:p>
        </w:tc>
      </w:tr>
      <w:tr w14:paraId="39127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1764" w:type="dxa"/>
            <w:vAlign w:val="center"/>
          </w:tcPr>
          <w:p w14:paraId="24447CEE">
            <w:pPr>
              <w:rPr>
                <w:rFonts w:ascii="宋体" w:hAnsi="宋体"/>
                <w:b/>
                <w:sz w:val="32"/>
                <w:szCs w:val="32"/>
              </w:rPr>
            </w:pPr>
            <w:r>
              <w:rPr>
                <w:rFonts w:ascii="宋体" w:hAnsi="宋体"/>
                <w:b/>
                <w:sz w:val="32"/>
                <w:szCs w:val="32"/>
              </w:rPr>
              <w:t>项目编号：</w:t>
            </w:r>
          </w:p>
        </w:tc>
        <w:tc>
          <w:tcPr>
            <w:tcW w:w="5433" w:type="dxa"/>
            <w:vAlign w:val="center"/>
          </w:tcPr>
          <w:p w14:paraId="7279788C">
            <w:pPr>
              <w:rPr>
                <w:rFonts w:hint="eastAsia" w:ascii="宋体" w:hAnsi="宋体" w:eastAsia="宋体"/>
                <w:b/>
                <w:sz w:val="32"/>
                <w:szCs w:val="32"/>
                <w:lang w:eastAsia="zh-CN"/>
              </w:rPr>
            </w:pPr>
            <w:r>
              <w:rPr>
                <w:rFonts w:hint="eastAsia" w:ascii="宋体" w:hAnsi="宋体"/>
                <w:b/>
                <w:sz w:val="32"/>
                <w:szCs w:val="32"/>
                <w:lang w:eastAsia="zh-CN"/>
              </w:rPr>
              <w:t>GXZC2026-C3-002163-JDZB</w:t>
            </w:r>
          </w:p>
        </w:tc>
      </w:tr>
      <w:tr w14:paraId="1FDDD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1764" w:type="dxa"/>
            <w:vAlign w:val="center"/>
          </w:tcPr>
          <w:p w14:paraId="14119312">
            <w:pPr>
              <w:rPr>
                <w:rFonts w:ascii="宋体" w:hAnsi="宋体"/>
                <w:b/>
                <w:sz w:val="32"/>
                <w:szCs w:val="32"/>
              </w:rPr>
            </w:pPr>
            <w:r>
              <w:rPr>
                <w:rFonts w:ascii="宋体" w:hAnsi="宋体"/>
                <w:b/>
                <w:sz w:val="32"/>
                <w:szCs w:val="32"/>
              </w:rPr>
              <w:t>联系电话：</w:t>
            </w:r>
          </w:p>
        </w:tc>
        <w:tc>
          <w:tcPr>
            <w:tcW w:w="5433" w:type="dxa"/>
            <w:vAlign w:val="center"/>
          </w:tcPr>
          <w:p w14:paraId="0143C4B4">
            <w:pPr>
              <w:rPr>
                <w:rFonts w:ascii="宋体" w:hAnsi="宋体"/>
                <w:b/>
                <w:sz w:val="32"/>
                <w:szCs w:val="32"/>
              </w:rPr>
            </w:pPr>
            <w:r>
              <w:rPr>
                <w:rFonts w:ascii="宋体" w:hAnsi="宋体"/>
                <w:b/>
                <w:sz w:val="32"/>
                <w:szCs w:val="32"/>
              </w:rPr>
              <w:t>0771-2808960</w:t>
            </w:r>
          </w:p>
        </w:tc>
      </w:tr>
      <w:tr w14:paraId="14A72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1764" w:type="dxa"/>
            <w:vAlign w:val="center"/>
          </w:tcPr>
          <w:p w14:paraId="1BE08F28">
            <w:pPr>
              <w:rPr>
                <w:rFonts w:ascii="宋体" w:hAnsi="宋体"/>
                <w:b/>
                <w:sz w:val="32"/>
                <w:szCs w:val="32"/>
              </w:rPr>
            </w:pPr>
            <w:r>
              <w:rPr>
                <w:rFonts w:ascii="宋体" w:hAnsi="宋体"/>
                <w:b/>
                <w:sz w:val="32"/>
                <w:szCs w:val="32"/>
              </w:rPr>
              <w:t>采购方式：</w:t>
            </w:r>
          </w:p>
        </w:tc>
        <w:tc>
          <w:tcPr>
            <w:tcW w:w="5433" w:type="dxa"/>
            <w:vAlign w:val="center"/>
          </w:tcPr>
          <w:p w14:paraId="10E0A1AD">
            <w:pPr>
              <w:rPr>
                <w:rFonts w:ascii="宋体" w:hAnsi="宋体"/>
                <w:b/>
                <w:sz w:val="32"/>
                <w:szCs w:val="32"/>
              </w:rPr>
            </w:pPr>
            <w:r>
              <w:rPr>
                <w:rFonts w:ascii="宋体" w:hAnsi="宋体"/>
                <w:b/>
                <w:sz w:val="32"/>
                <w:szCs w:val="32"/>
              </w:rPr>
              <w:t>竞争性磋商</w:t>
            </w:r>
          </w:p>
        </w:tc>
      </w:tr>
    </w:tbl>
    <w:p w14:paraId="6B492D4F">
      <w:pPr>
        <w:tabs>
          <w:tab w:val="left" w:pos="1710"/>
        </w:tabs>
        <w:rPr>
          <w:rFonts w:ascii="宋体" w:hAnsi="宋体"/>
        </w:rPr>
      </w:pPr>
    </w:p>
    <w:p w14:paraId="715C139D">
      <w:pPr>
        <w:rPr>
          <w:rFonts w:ascii="宋体" w:hAnsi="宋体"/>
        </w:rPr>
      </w:pPr>
    </w:p>
    <w:p w14:paraId="74696372">
      <w:pPr>
        <w:rPr>
          <w:rFonts w:ascii="宋体" w:hAnsi="宋体"/>
        </w:rPr>
      </w:pPr>
    </w:p>
    <w:p w14:paraId="0A18FE89">
      <w:pPr>
        <w:rPr>
          <w:rFonts w:ascii="宋体" w:hAnsi="宋体"/>
        </w:rPr>
      </w:pPr>
    </w:p>
    <w:p w14:paraId="7BE97375">
      <w:pPr>
        <w:rPr>
          <w:rFonts w:ascii="宋体" w:hAnsi="宋体"/>
        </w:rPr>
      </w:pPr>
    </w:p>
    <w:p w14:paraId="45FF375B">
      <w:pPr>
        <w:rPr>
          <w:rFonts w:ascii="宋体" w:hAnsi="宋体"/>
        </w:rPr>
      </w:pPr>
    </w:p>
    <w:p w14:paraId="6AFB6E9B">
      <w:pPr>
        <w:rPr>
          <w:rFonts w:ascii="宋体" w:hAnsi="宋体"/>
        </w:rPr>
      </w:pPr>
    </w:p>
    <w:p w14:paraId="4ACF1443">
      <w:pPr>
        <w:rPr>
          <w:rFonts w:ascii="宋体" w:hAnsi="宋体"/>
        </w:rPr>
      </w:pPr>
    </w:p>
    <w:p w14:paraId="0549342C">
      <w:pPr>
        <w:rPr>
          <w:rFonts w:ascii="宋体" w:hAnsi="宋体"/>
        </w:rPr>
      </w:pPr>
    </w:p>
    <w:p w14:paraId="646329B0">
      <w:pPr>
        <w:rPr>
          <w:rFonts w:ascii="宋体" w:hAnsi="宋体"/>
        </w:rPr>
      </w:pPr>
    </w:p>
    <w:p w14:paraId="4B433D7F">
      <w:pPr>
        <w:rPr>
          <w:rFonts w:ascii="宋体" w:hAnsi="宋体"/>
        </w:rPr>
      </w:pPr>
    </w:p>
    <w:p w14:paraId="6D9B14F0">
      <w:pPr>
        <w:rPr>
          <w:rFonts w:ascii="宋体" w:hAnsi="宋体"/>
        </w:rPr>
      </w:pPr>
    </w:p>
    <w:p w14:paraId="717F394A">
      <w:pPr>
        <w:rPr>
          <w:rFonts w:ascii="宋体" w:hAnsi="宋体"/>
        </w:rPr>
      </w:pPr>
    </w:p>
    <w:p w14:paraId="38C5C0B2">
      <w:pPr>
        <w:rPr>
          <w:rFonts w:ascii="宋体" w:hAnsi="宋体"/>
        </w:rPr>
      </w:pPr>
    </w:p>
    <w:p w14:paraId="157E4D66">
      <w:pPr>
        <w:rPr>
          <w:rFonts w:ascii="宋体" w:hAnsi="宋体"/>
        </w:rPr>
      </w:pPr>
    </w:p>
    <w:tbl>
      <w:tblPr>
        <w:tblStyle w:val="51"/>
        <w:tblW w:w="0" w:type="auto"/>
        <w:jc w:val="center"/>
        <w:tblLayout w:type="fixed"/>
        <w:tblCellMar>
          <w:top w:w="0" w:type="dxa"/>
          <w:left w:w="108" w:type="dxa"/>
          <w:bottom w:w="0" w:type="dxa"/>
          <w:right w:w="108" w:type="dxa"/>
        </w:tblCellMar>
      </w:tblPr>
      <w:tblGrid>
        <w:gridCol w:w="2707"/>
        <w:gridCol w:w="6"/>
        <w:gridCol w:w="5571"/>
      </w:tblGrid>
      <w:tr w14:paraId="407936C6">
        <w:tblPrEx>
          <w:tblCellMar>
            <w:top w:w="0" w:type="dxa"/>
            <w:left w:w="108" w:type="dxa"/>
            <w:bottom w:w="0" w:type="dxa"/>
            <w:right w:w="108" w:type="dxa"/>
          </w:tblCellMar>
        </w:tblPrEx>
        <w:trPr>
          <w:trHeight w:val="703" w:hRule="atLeast"/>
          <w:jc w:val="center"/>
        </w:trPr>
        <w:tc>
          <w:tcPr>
            <w:tcW w:w="2707" w:type="dxa"/>
            <w:vAlign w:val="center"/>
          </w:tcPr>
          <w:p w14:paraId="296C08A4">
            <w:pPr>
              <w:autoSpaceDE w:val="0"/>
              <w:autoSpaceDN w:val="0"/>
              <w:adjustRightInd w:val="0"/>
              <w:jc w:val="right"/>
              <w:rPr>
                <w:rFonts w:ascii="宋体" w:hAnsi="宋体"/>
                <w:b/>
                <w:sz w:val="32"/>
                <w:szCs w:val="32"/>
              </w:rPr>
            </w:pPr>
            <w:r>
              <w:rPr>
                <w:rFonts w:ascii="宋体" w:hAnsi="宋体"/>
                <w:b/>
                <w:sz w:val="32"/>
                <w:szCs w:val="32"/>
              </w:rPr>
              <w:t xml:space="preserve">  采购人：</w:t>
            </w:r>
          </w:p>
        </w:tc>
        <w:tc>
          <w:tcPr>
            <w:tcW w:w="5577" w:type="dxa"/>
            <w:gridSpan w:val="2"/>
            <w:vAlign w:val="center"/>
          </w:tcPr>
          <w:p w14:paraId="3094331A">
            <w:pPr>
              <w:autoSpaceDE w:val="0"/>
              <w:autoSpaceDN w:val="0"/>
              <w:adjustRightInd w:val="0"/>
              <w:jc w:val="left"/>
              <w:rPr>
                <w:rFonts w:ascii="宋体" w:hAnsi="宋体"/>
                <w:b/>
                <w:sz w:val="32"/>
                <w:szCs w:val="32"/>
              </w:rPr>
            </w:pPr>
            <w:r>
              <w:rPr>
                <w:rFonts w:ascii="宋体" w:hAnsi="宋体"/>
                <w:b/>
                <w:sz w:val="32"/>
                <w:szCs w:val="32"/>
              </w:rPr>
              <w:t>广西国际博览事务局</w:t>
            </w:r>
          </w:p>
        </w:tc>
      </w:tr>
      <w:tr w14:paraId="06EAC90F">
        <w:tblPrEx>
          <w:tblCellMar>
            <w:top w:w="0" w:type="dxa"/>
            <w:left w:w="108" w:type="dxa"/>
            <w:bottom w:w="0" w:type="dxa"/>
            <w:right w:w="108" w:type="dxa"/>
          </w:tblCellMar>
        </w:tblPrEx>
        <w:trPr>
          <w:trHeight w:val="703" w:hRule="atLeast"/>
          <w:jc w:val="center"/>
        </w:trPr>
        <w:tc>
          <w:tcPr>
            <w:tcW w:w="2713" w:type="dxa"/>
            <w:gridSpan w:val="2"/>
            <w:vAlign w:val="center"/>
          </w:tcPr>
          <w:p w14:paraId="05372AF7">
            <w:pPr>
              <w:autoSpaceDE w:val="0"/>
              <w:autoSpaceDN w:val="0"/>
              <w:adjustRightInd w:val="0"/>
              <w:jc w:val="right"/>
              <w:rPr>
                <w:rFonts w:ascii="宋体" w:hAnsi="宋体"/>
                <w:b/>
                <w:sz w:val="32"/>
                <w:szCs w:val="32"/>
              </w:rPr>
            </w:pPr>
            <w:r>
              <w:rPr>
                <w:rFonts w:ascii="宋体" w:hAnsi="宋体"/>
                <w:b/>
                <w:sz w:val="32"/>
                <w:szCs w:val="32"/>
              </w:rPr>
              <w:t>采购代理机构：</w:t>
            </w:r>
          </w:p>
        </w:tc>
        <w:tc>
          <w:tcPr>
            <w:tcW w:w="5571" w:type="dxa"/>
            <w:vAlign w:val="center"/>
          </w:tcPr>
          <w:p w14:paraId="307801D3">
            <w:pPr>
              <w:autoSpaceDE w:val="0"/>
              <w:autoSpaceDN w:val="0"/>
              <w:adjustRightInd w:val="0"/>
              <w:rPr>
                <w:rFonts w:ascii="宋体" w:hAnsi="宋体"/>
                <w:b/>
                <w:sz w:val="32"/>
                <w:szCs w:val="32"/>
                <w:u w:val="single"/>
              </w:rPr>
            </w:pPr>
            <w:r>
              <w:rPr>
                <w:rFonts w:ascii="宋体" w:hAnsi="宋体"/>
                <w:b/>
                <w:sz w:val="32"/>
                <w:szCs w:val="32"/>
              </w:rPr>
              <w:t>广西机电设备招标有限公司</w:t>
            </w:r>
          </w:p>
        </w:tc>
      </w:tr>
    </w:tbl>
    <w:p w14:paraId="782FE9E9">
      <w:pPr>
        <w:rPr>
          <w:rFonts w:ascii="宋体" w:hAnsi="宋体"/>
        </w:rPr>
      </w:pPr>
    </w:p>
    <w:p w14:paraId="612D88F4">
      <w:pPr>
        <w:ind w:firstLine="321" w:firstLineChars="100"/>
        <w:jc w:val="center"/>
        <w:rPr>
          <w:rFonts w:ascii="宋体" w:hAnsi="宋体"/>
          <w:b/>
          <w:sz w:val="32"/>
          <w:szCs w:val="32"/>
        </w:rPr>
        <w:sectPr>
          <w:headerReference r:id="rId3" w:type="first"/>
          <w:footerReference r:id="rId6" w:type="first"/>
          <w:footerReference r:id="rId4" w:type="default"/>
          <w:footerReference r:id="rId5" w:type="even"/>
          <w:type w:val="nextColumn"/>
          <w:pgSz w:w="11906" w:h="16838"/>
          <w:pgMar w:top="1418" w:right="1418" w:bottom="1246" w:left="1418" w:header="851" w:footer="992" w:gutter="0"/>
          <w:pgNumType w:fmt="decimal" w:start="0"/>
          <w:cols w:space="720" w:num="1"/>
          <w:docGrid w:linePitch="312" w:charSpace="0"/>
        </w:sectPr>
      </w:pPr>
      <w:r>
        <w:rPr>
          <w:rFonts w:ascii="宋体" w:hAnsi="宋体"/>
          <w:b/>
          <w:sz w:val="32"/>
          <w:szCs w:val="32"/>
        </w:rPr>
        <w:t>202</w:t>
      </w:r>
      <w:r>
        <w:rPr>
          <w:rFonts w:hint="eastAsia" w:ascii="宋体" w:hAnsi="宋体"/>
          <w:b/>
          <w:sz w:val="32"/>
          <w:szCs w:val="32"/>
        </w:rPr>
        <w:t>6</w:t>
      </w:r>
      <w:r>
        <w:rPr>
          <w:rFonts w:ascii="宋体" w:hAnsi="宋体"/>
          <w:b/>
          <w:sz w:val="32"/>
          <w:szCs w:val="32"/>
        </w:rPr>
        <w:t>年7月</w:t>
      </w:r>
    </w:p>
    <w:p w14:paraId="2AEBD57A">
      <w:pPr>
        <w:rPr>
          <w:rFonts w:ascii="宋体" w:hAnsi="宋体"/>
          <w:sz w:val="32"/>
          <w:szCs w:val="32"/>
        </w:rPr>
      </w:pPr>
    </w:p>
    <w:p w14:paraId="01460523">
      <w:pPr>
        <w:pStyle w:val="26"/>
        <w:snapToGrid w:val="0"/>
        <w:spacing w:before="120" w:after="120" w:line="320" w:lineRule="exact"/>
        <w:jc w:val="center"/>
        <w:outlineLvl w:val="0"/>
        <w:rPr>
          <w:rFonts w:hAnsi="宋体" w:cs="Times New Roman"/>
          <w:sz w:val="32"/>
          <w:szCs w:val="32"/>
        </w:rPr>
      </w:pPr>
      <w:bookmarkStart w:id="2" w:name="_Toc13354"/>
      <w:bookmarkStart w:id="3" w:name="_Toc254970630"/>
      <w:bookmarkStart w:id="4" w:name="_Toc254970489"/>
      <w:bookmarkStart w:id="5" w:name="_Toc17133"/>
      <w:r>
        <w:rPr>
          <w:rFonts w:hAnsi="宋体" w:cs="Times New Roman"/>
          <w:sz w:val="32"/>
          <w:szCs w:val="32"/>
        </w:rPr>
        <w:t>目    录</w:t>
      </w:r>
      <w:bookmarkEnd w:id="2"/>
    </w:p>
    <w:p w14:paraId="14A8B0AB">
      <w:pPr>
        <w:pStyle w:val="33"/>
        <w:tabs>
          <w:tab w:val="right" w:leader="dot" w:pos="9070"/>
          <w:tab w:val="clear" w:pos="8398"/>
        </w:tabs>
      </w:pPr>
      <w:r>
        <w:fldChar w:fldCharType="begin"/>
      </w:r>
      <w:r>
        <w:rPr>
          <w:rStyle w:val="57"/>
          <w:color w:val="auto"/>
        </w:rPr>
        <w:instrText xml:space="preserve"> TOC \o "1-1" \h \z \u </w:instrText>
      </w:r>
      <w:r>
        <w:fldChar w:fldCharType="separate"/>
      </w:r>
      <w:r>
        <w:fldChar w:fldCharType="begin"/>
      </w:r>
      <w:r>
        <w:instrText xml:space="preserve"> HYPERLINK \l _Toc13354 </w:instrText>
      </w:r>
      <w:r>
        <w:fldChar w:fldCharType="separate"/>
      </w:r>
      <w:r>
        <w:rPr>
          <w:rFonts w:hAnsi="宋体" w:cs="Times New Roman"/>
          <w:szCs w:val="32"/>
        </w:rPr>
        <w:t>目    录</w:t>
      </w:r>
      <w:r>
        <w:tab/>
      </w:r>
      <w:r>
        <w:fldChar w:fldCharType="begin"/>
      </w:r>
      <w:r>
        <w:instrText xml:space="preserve"> PAGEREF _Toc13354 \h </w:instrText>
      </w:r>
      <w:r>
        <w:fldChar w:fldCharType="separate"/>
      </w:r>
      <w:r>
        <w:t>0</w:t>
      </w:r>
      <w:r>
        <w:fldChar w:fldCharType="end"/>
      </w:r>
      <w:r>
        <w:fldChar w:fldCharType="end"/>
      </w:r>
    </w:p>
    <w:p w14:paraId="680437C8">
      <w:pPr>
        <w:pStyle w:val="33"/>
        <w:tabs>
          <w:tab w:val="right" w:leader="dot" w:pos="9070"/>
          <w:tab w:val="clear" w:pos="8398"/>
        </w:tabs>
      </w:pPr>
      <w:r>
        <w:rPr>
          <w:szCs w:val="28"/>
        </w:rPr>
        <w:fldChar w:fldCharType="begin"/>
      </w:r>
      <w:r>
        <w:rPr>
          <w:szCs w:val="28"/>
        </w:rPr>
        <w:instrText xml:space="preserve"> HYPERLINK \l _Toc29127 </w:instrText>
      </w:r>
      <w:r>
        <w:rPr>
          <w:szCs w:val="28"/>
        </w:rPr>
        <w:fldChar w:fldCharType="separate"/>
      </w:r>
      <w:r>
        <w:rPr>
          <w:rFonts w:hAnsi="宋体" w:cs="Times New Roman"/>
          <w:szCs w:val="32"/>
        </w:rPr>
        <w:t>第一章  竞争性磋商公告</w:t>
      </w:r>
      <w:r>
        <w:tab/>
      </w:r>
      <w:r>
        <w:fldChar w:fldCharType="begin"/>
      </w:r>
      <w:r>
        <w:instrText xml:space="preserve"> PAGEREF _Toc29127 \h </w:instrText>
      </w:r>
      <w:r>
        <w:fldChar w:fldCharType="separate"/>
      </w:r>
      <w:r>
        <w:t>1</w:t>
      </w:r>
      <w:r>
        <w:fldChar w:fldCharType="end"/>
      </w:r>
      <w:r>
        <w:rPr>
          <w:szCs w:val="28"/>
        </w:rPr>
        <w:fldChar w:fldCharType="end"/>
      </w:r>
    </w:p>
    <w:p w14:paraId="6A521934">
      <w:pPr>
        <w:pStyle w:val="33"/>
        <w:tabs>
          <w:tab w:val="right" w:leader="dot" w:pos="9070"/>
          <w:tab w:val="clear" w:pos="8398"/>
        </w:tabs>
      </w:pPr>
      <w:r>
        <w:rPr>
          <w:szCs w:val="28"/>
        </w:rPr>
        <w:fldChar w:fldCharType="begin"/>
      </w:r>
      <w:r>
        <w:rPr>
          <w:szCs w:val="28"/>
        </w:rPr>
        <w:instrText xml:space="preserve"> HYPERLINK \l _Toc13924 </w:instrText>
      </w:r>
      <w:r>
        <w:rPr>
          <w:szCs w:val="28"/>
        </w:rPr>
        <w:fldChar w:fldCharType="separate"/>
      </w:r>
      <w:r>
        <w:rPr>
          <w:rFonts w:hAnsi="宋体" w:cs="Times New Roman"/>
          <w:szCs w:val="32"/>
        </w:rPr>
        <w:t>第二章  采购需求</w:t>
      </w:r>
      <w:r>
        <w:tab/>
      </w:r>
      <w:r>
        <w:fldChar w:fldCharType="begin"/>
      </w:r>
      <w:r>
        <w:instrText xml:space="preserve"> PAGEREF _Toc13924 \h </w:instrText>
      </w:r>
      <w:r>
        <w:fldChar w:fldCharType="separate"/>
      </w:r>
      <w:r>
        <w:t>3</w:t>
      </w:r>
      <w:r>
        <w:fldChar w:fldCharType="end"/>
      </w:r>
      <w:r>
        <w:rPr>
          <w:szCs w:val="28"/>
        </w:rPr>
        <w:fldChar w:fldCharType="end"/>
      </w:r>
    </w:p>
    <w:p w14:paraId="262B3ED0">
      <w:pPr>
        <w:pStyle w:val="33"/>
        <w:tabs>
          <w:tab w:val="right" w:leader="dot" w:pos="9070"/>
          <w:tab w:val="clear" w:pos="8398"/>
        </w:tabs>
      </w:pPr>
      <w:r>
        <w:rPr>
          <w:szCs w:val="28"/>
        </w:rPr>
        <w:fldChar w:fldCharType="begin"/>
      </w:r>
      <w:r>
        <w:rPr>
          <w:szCs w:val="28"/>
        </w:rPr>
        <w:instrText xml:space="preserve"> HYPERLINK \l _Toc31837 </w:instrText>
      </w:r>
      <w:r>
        <w:rPr>
          <w:szCs w:val="28"/>
        </w:rPr>
        <w:fldChar w:fldCharType="separate"/>
      </w:r>
      <w:r>
        <w:rPr>
          <w:rFonts w:hAnsi="宋体" w:cs="Times New Roman"/>
          <w:szCs w:val="32"/>
        </w:rPr>
        <w:t>第三章  供应商须知</w:t>
      </w:r>
      <w:r>
        <w:tab/>
      </w:r>
      <w:r>
        <w:fldChar w:fldCharType="begin"/>
      </w:r>
      <w:r>
        <w:instrText xml:space="preserve"> PAGEREF _Toc31837 \h </w:instrText>
      </w:r>
      <w:r>
        <w:fldChar w:fldCharType="separate"/>
      </w:r>
      <w:r>
        <w:t>12</w:t>
      </w:r>
      <w:r>
        <w:fldChar w:fldCharType="end"/>
      </w:r>
      <w:r>
        <w:rPr>
          <w:szCs w:val="28"/>
        </w:rPr>
        <w:fldChar w:fldCharType="end"/>
      </w:r>
    </w:p>
    <w:p w14:paraId="5BB2539F">
      <w:pPr>
        <w:pStyle w:val="33"/>
        <w:tabs>
          <w:tab w:val="right" w:leader="dot" w:pos="9070"/>
          <w:tab w:val="clear" w:pos="8398"/>
        </w:tabs>
      </w:pPr>
      <w:r>
        <w:rPr>
          <w:szCs w:val="28"/>
        </w:rPr>
        <w:fldChar w:fldCharType="begin"/>
      </w:r>
      <w:r>
        <w:rPr>
          <w:szCs w:val="28"/>
        </w:rPr>
        <w:instrText xml:space="preserve"> HYPERLINK \l _Toc2674 </w:instrText>
      </w:r>
      <w:r>
        <w:rPr>
          <w:szCs w:val="28"/>
        </w:rPr>
        <w:fldChar w:fldCharType="separate"/>
      </w:r>
      <w:r>
        <w:rPr>
          <w:rFonts w:hAnsi="宋体" w:cs="Times New Roman"/>
          <w:szCs w:val="32"/>
        </w:rPr>
        <w:t>第四章  评审方法及标准</w:t>
      </w:r>
      <w:r>
        <w:tab/>
      </w:r>
      <w:r>
        <w:fldChar w:fldCharType="begin"/>
      </w:r>
      <w:r>
        <w:instrText xml:space="preserve"> PAGEREF _Toc2674 \h </w:instrText>
      </w:r>
      <w:r>
        <w:fldChar w:fldCharType="separate"/>
      </w:r>
      <w:r>
        <w:t>33</w:t>
      </w:r>
      <w:r>
        <w:fldChar w:fldCharType="end"/>
      </w:r>
      <w:r>
        <w:rPr>
          <w:szCs w:val="28"/>
        </w:rPr>
        <w:fldChar w:fldCharType="end"/>
      </w:r>
    </w:p>
    <w:p w14:paraId="60ECDFF1">
      <w:pPr>
        <w:pStyle w:val="33"/>
        <w:tabs>
          <w:tab w:val="right" w:leader="dot" w:pos="9070"/>
          <w:tab w:val="clear" w:pos="8398"/>
        </w:tabs>
      </w:pPr>
      <w:r>
        <w:rPr>
          <w:szCs w:val="28"/>
        </w:rPr>
        <w:fldChar w:fldCharType="begin"/>
      </w:r>
      <w:r>
        <w:rPr>
          <w:szCs w:val="28"/>
        </w:rPr>
        <w:instrText xml:space="preserve"> HYPERLINK \l _Toc11747 </w:instrText>
      </w:r>
      <w:r>
        <w:rPr>
          <w:szCs w:val="28"/>
        </w:rPr>
        <w:fldChar w:fldCharType="separate"/>
      </w:r>
      <w:r>
        <w:rPr>
          <w:rFonts w:hAnsi="宋体" w:cs="Times New Roman"/>
          <w:szCs w:val="32"/>
        </w:rPr>
        <w:t>第五章  合同主要条款格式</w:t>
      </w:r>
      <w:r>
        <w:tab/>
      </w:r>
      <w:r>
        <w:fldChar w:fldCharType="begin"/>
      </w:r>
      <w:r>
        <w:instrText xml:space="preserve"> PAGEREF _Toc11747 \h </w:instrText>
      </w:r>
      <w:r>
        <w:fldChar w:fldCharType="separate"/>
      </w:r>
      <w:r>
        <w:t>38</w:t>
      </w:r>
      <w:r>
        <w:fldChar w:fldCharType="end"/>
      </w:r>
      <w:r>
        <w:rPr>
          <w:szCs w:val="28"/>
        </w:rPr>
        <w:fldChar w:fldCharType="end"/>
      </w:r>
    </w:p>
    <w:p w14:paraId="211924B5">
      <w:pPr>
        <w:pStyle w:val="33"/>
        <w:tabs>
          <w:tab w:val="right" w:leader="dot" w:pos="9070"/>
          <w:tab w:val="clear" w:pos="8398"/>
        </w:tabs>
      </w:pPr>
      <w:r>
        <w:rPr>
          <w:szCs w:val="28"/>
        </w:rPr>
        <w:fldChar w:fldCharType="begin"/>
      </w:r>
      <w:r>
        <w:rPr>
          <w:szCs w:val="28"/>
        </w:rPr>
        <w:instrText xml:space="preserve"> HYPERLINK \l _Toc20846 </w:instrText>
      </w:r>
      <w:r>
        <w:rPr>
          <w:szCs w:val="28"/>
        </w:rPr>
        <w:fldChar w:fldCharType="separate"/>
      </w:r>
      <w:r>
        <w:rPr>
          <w:rFonts w:ascii="宋体" w:hAnsi="宋体"/>
          <w:szCs w:val="32"/>
        </w:rPr>
        <w:t>第六章  响应文件格式</w:t>
      </w:r>
      <w:r>
        <w:tab/>
      </w:r>
      <w:r>
        <w:fldChar w:fldCharType="begin"/>
      </w:r>
      <w:r>
        <w:instrText xml:space="preserve"> PAGEREF _Toc20846 \h </w:instrText>
      </w:r>
      <w:r>
        <w:fldChar w:fldCharType="separate"/>
      </w:r>
      <w:r>
        <w:t>49</w:t>
      </w:r>
      <w:r>
        <w:fldChar w:fldCharType="end"/>
      </w:r>
      <w:r>
        <w:rPr>
          <w:szCs w:val="28"/>
        </w:rPr>
        <w:fldChar w:fldCharType="end"/>
      </w:r>
    </w:p>
    <w:p w14:paraId="3E5EB1CC">
      <w:pPr>
        <w:pStyle w:val="33"/>
        <w:ind w:firstLine="241"/>
        <w:rPr>
          <w:sz w:val="28"/>
          <w:szCs w:val="28"/>
        </w:rPr>
      </w:pPr>
      <w:r>
        <w:rPr>
          <w:szCs w:val="28"/>
        </w:rPr>
        <w:fldChar w:fldCharType="end"/>
      </w:r>
    </w:p>
    <w:p w14:paraId="6A59EECD">
      <w:pPr>
        <w:spacing w:before="120" w:beforeLines="50" w:line="480" w:lineRule="exact"/>
        <w:rPr>
          <w:rFonts w:ascii="宋体" w:hAnsi="宋体"/>
          <w:sz w:val="28"/>
          <w:szCs w:val="28"/>
        </w:rPr>
      </w:pPr>
    </w:p>
    <w:p w14:paraId="3CDC0854">
      <w:pPr>
        <w:spacing w:before="120" w:beforeLines="50" w:line="480" w:lineRule="exact"/>
        <w:rPr>
          <w:rFonts w:ascii="宋体" w:hAnsi="宋体"/>
          <w:sz w:val="30"/>
        </w:rPr>
        <w:sectPr>
          <w:headerReference r:id="rId7" w:type="first"/>
          <w:pgSz w:w="11906" w:h="16838"/>
          <w:pgMar w:top="1418" w:right="1418" w:bottom="1246" w:left="1418" w:header="851" w:footer="992" w:gutter="0"/>
          <w:pgNumType w:fmt="decimal" w:start="0"/>
          <w:cols w:space="720" w:num="1"/>
          <w:titlePg/>
          <w:docGrid w:linePitch="312" w:charSpace="0"/>
        </w:sectPr>
      </w:pPr>
      <w:bookmarkStart w:id="108" w:name="_GoBack"/>
      <w:bookmarkEnd w:id="108"/>
    </w:p>
    <w:p w14:paraId="6414B144">
      <w:pPr>
        <w:pStyle w:val="26"/>
        <w:snapToGrid w:val="0"/>
        <w:spacing w:before="120" w:after="120" w:line="320" w:lineRule="exact"/>
        <w:jc w:val="center"/>
        <w:outlineLvl w:val="0"/>
        <w:rPr>
          <w:rFonts w:hAnsi="宋体" w:cs="Times New Roman"/>
          <w:sz w:val="32"/>
          <w:szCs w:val="32"/>
        </w:rPr>
      </w:pPr>
      <w:bookmarkStart w:id="6" w:name="_Toc29127"/>
      <w:r>
        <w:rPr>
          <w:rFonts w:hAnsi="宋体" w:cs="Times New Roman"/>
          <w:sz w:val="32"/>
          <w:szCs w:val="32"/>
        </w:rPr>
        <w:t xml:space="preserve">第一章  </w:t>
      </w:r>
      <w:bookmarkEnd w:id="3"/>
      <w:bookmarkEnd w:id="4"/>
      <w:r>
        <w:rPr>
          <w:rFonts w:hAnsi="宋体" w:cs="Times New Roman"/>
          <w:sz w:val="32"/>
          <w:szCs w:val="32"/>
        </w:rPr>
        <w:t>竞争性磋商公告</w:t>
      </w:r>
      <w:bookmarkEnd w:id="6"/>
    </w:p>
    <w:p w14:paraId="40E4DA51">
      <w:pPr>
        <w:spacing w:line="400" w:lineRule="exact"/>
        <w:jc w:val="center"/>
        <w:rPr>
          <w:rFonts w:ascii="宋体" w:hAnsi="宋体"/>
          <w:kern w:val="0"/>
          <w:sz w:val="24"/>
        </w:rPr>
      </w:pPr>
      <w:bookmarkStart w:id="7" w:name="_Hlk172120308"/>
      <w:r>
        <w:rPr>
          <w:rFonts w:ascii="宋体" w:hAnsi="宋体"/>
          <w:kern w:val="0"/>
          <w:sz w:val="24"/>
        </w:rPr>
        <w:t>广西机电设备招标有限公司关于第23届中国—东盟博览会接待用车招募及调度服务项目</w:t>
      </w:r>
      <w:r>
        <w:rPr>
          <w:rFonts w:ascii="宋体" w:hAnsi="宋体"/>
          <w:sz w:val="24"/>
        </w:rPr>
        <w:t>(</w:t>
      </w:r>
      <w:r>
        <w:rPr>
          <w:rFonts w:hint="eastAsia" w:ascii="宋体" w:hAnsi="宋体"/>
          <w:sz w:val="24"/>
          <w:lang w:eastAsia="zh-CN"/>
        </w:rPr>
        <w:t>GXZC2026-C3-002163-JDZB</w:t>
      </w:r>
      <w:r>
        <w:rPr>
          <w:rFonts w:ascii="宋体" w:hAnsi="宋体"/>
          <w:sz w:val="24"/>
        </w:rPr>
        <w:t>)</w:t>
      </w:r>
      <w:r>
        <w:rPr>
          <w:rFonts w:ascii="宋体" w:hAnsi="宋体"/>
          <w:kern w:val="0"/>
          <w:sz w:val="24"/>
        </w:rPr>
        <w:t>竞争性磋商公告</w:t>
      </w:r>
    </w:p>
    <w:p w14:paraId="75BE46C6">
      <w:pPr>
        <w:spacing w:line="312" w:lineRule="auto"/>
        <w:jc w:val="left"/>
        <w:rPr>
          <w:rFonts w:ascii="宋体" w:hAnsi="宋体"/>
          <w:b/>
          <w:bCs/>
          <w:kern w:val="0"/>
          <w:sz w:val="22"/>
          <w:szCs w:val="22"/>
        </w:rPr>
      </w:pPr>
    </w:p>
    <w:p w14:paraId="74D7EC01">
      <w:pPr>
        <w:spacing w:line="312" w:lineRule="auto"/>
        <w:ind w:firstLine="420" w:firstLineChars="200"/>
        <w:jc w:val="left"/>
        <w:rPr>
          <w:rFonts w:ascii="宋体" w:hAnsi="宋体"/>
          <w:b/>
          <w:bCs/>
          <w:kern w:val="0"/>
          <w:sz w:val="22"/>
          <w:szCs w:val="22"/>
        </w:rPr>
      </w:pPr>
      <w:bookmarkStart w:id="8" w:name="_Hlk132795121"/>
      <w:r>
        <w:rPr>
          <w:rFonts w:ascii="宋体" w:hAnsi="宋体"/>
          <w:szCs w:val="21"/>
        </w:rPr>
        <w:t>项目概况：第23届中国—东盟博览会接待用车招募及调度服务项目的潜在供应商应在广西政府采购云平台 （https://www.gcy.zfcg.gxzf.gov.cn/）获取采购文件，并于 202</w:t>
      </w:r>
      <w:r>
        <w:rPr>
          <w:rFonts w:hint="eastAsia" w:ascii="宋体" w:hAnsi="宋体"/>
          <w:szCs w:val="21"/>
        </w:rPr>
        <w:t>6</w:t>
      </w:r>
      <w:r>
        <w:rPr>
          <w:rFonts w:ascii="宋体" w:hAnsi="宋体"/>
          <w:szCs w:val="21"/>
        </w:rPr>
        <w:t>年</w:t>
      </w:r>
      <w:r>
        <w:rPr>
          <w:rFonts w:hint="eastAsia" w:ascii="宋体" w:hAnsi="宋体"/>
          <w:szCs w:val="21"/>
        </w:rPr>
        <w:t>7</w:t>
      </w:r>
      <w:r>
        <w:rPr>
          <w:rFonts w:ascii="宋体" w:hAnsi="宋体"/>
          <w:szCs w:val="21"/>
        </w:rPr>
        <w:t>月24日 09:00（北京时间）前提交响应文件。</w:t>
      </w:r>
      <w:bookmarkEnd w:id="8"/>
    </w:p>
    <w:p w14:paraId="115EB45A">
      <w:pPr>
        <w:spacing w:line="312" w:lineRule="auto"/>
        <w:ind w:firstLine="442" w:firstLineChars="200"/>
        <w:jc w:val="left"/>
        <w:rPr>
          <w:rFonts w:ascii="宋体" w:hAnsi="宋体"/>
          <w:b/>
          <w:bCs/>
          <w:kern w:val="0"/>
          <w:sz w:val="22"/>
          <w:szCs w:val="22"/>
        </w:rPr>
      </w:pPr>
      <w:r>
        <w:rPr>
          <w:rFonts w:ascii="宋体" w:hAnsi="宋体"/>
          <w:b/>
          <w:bCs/>
          <w:kern w:val="0"/>
          <w:sz w:val="22"/>
          <w:szCs w:val="22"/>
        </w:rPr>
        <w:t>一、项目基本情况</w:t>
      </w:r>
    </w:p>
    <w:p w14:paraId="58BF20E5">
      <w:pPr>
        <w:spacing w:line="312" w:lineRule="auto"/>
        <w:ind w:firstLine="420" w:firstLineChars="200"/>
        <w:jc w:val="left"/>
        <w:rPr>
          <w:rFonts w:hint="eastAsia" w:ascii="宋体" w:hAnsi="宋体" w:eastAsia="宋体"/>
          <w:kern w:val="0"/>
          <w:szCs w:val="21"/>
          <w:lang w:eastAsia="zh-CN"/>
        </w:rPr>
      </w:pPr>
      <w:r>
        <w:rPr>
          <w:rFonts w:ascii="宋体" w:hAnsi="宋体"/>
          <w:kern w:val="0"/>
          <w:szCs w:val="21"/>
        </w:rPr>
        <w:t>项目编号：</w:t>
      </w:r>
      <w:r>
        <w:rPr>
          <w:rFonts w:hint="eastAsia" w:ascii="宋体" w:hAnsi="宋体"/>
          <w:kern w:val="0"/>
          <w:szCs w:val="21"/>
          <w:lang w:eastAsia="zh-CN"/>
        </w:rPr>
        <w:t>GXZC2026-C3-002163-JDZB</w:t>
      </w:r>
    </w:p>
    <w:p w14:paraId="65E43FBA">
      <w:pPr>
        <w:spacing w:line="312" w:lineRule="auto"/>
        <w:ind w:firstLine="420" w:firstLineChars="200"/>
        <w:jc w:val="left"/>
        <w:rPr>
          <w:rFonts w:ascii="宋体" w:hAnsi="宋体"/>
          <w:kern w:val="0"/>
          <w:szCs w:val="21"/>
        </w:rPr>
      </w:pPr>
      <w:r>
        <w:rPr>
          <w:rFonts w:ascii="宋体" w:hAnsi="宋体"/>
          <w:kern w:val="0"/>
          <w:szCs w:val="21"/>
        </w:rPr>
        <w:t>项目名称：第23届中国—东盟博览会接待用车招募及调度服务项目</w:t>
      </w:r>
    </w:p>
    <w:p w14:paraId="33858045">
      <w:pPr>
        <w:spacing w:line="312" w:lineRule="auto"/>
        <w:ind w:firstLine="420" w:firstLineChars="200"/>
        <w:jc w:val="left"/>
        <w:rPr>
          <w:rFonts w:ascii="宋体" w:hAnsi="宋体"/>
          <w:kern w:val="0"/>
          <w:szCs w:val="21"/>
        </w:rPr>
      </w:pPr>
      <w:r>
        <w:rPr>
          <w:rFonts w:ascii="宋体" w:hAnsi="宋体"/>
          <w:kern w:val="0"/>
          <w:szCs w:val="21"/>
        </w:rPr>
        <w:t>采购方式：竞争性磋商</w:t>
      </w:r>
    </w:p>
    <w:p w14:paraId="2B09FE05">
      <w:pPr>
        <w:spacing w:line="312" w:lineRule="auto"/>
        <w:ind w:firstLine="420" w:firstLineChars="200"/>
        <w:jc w:val="left"/>
        <w:rPr>
          <w:rFonts w:ascii="宋体" w:hAnsi="宋体"/>
          <w:kern w:val="0"/>
          <w:szCs w:val="21"/>
        </w:rPr>
      </w:pPr>
      <w:r>
        <w:rPr>
          <w:rFonts w:ascii="宋体" w:hAnsi="宋体"/>
          <w:kern w:val="0"/>
          <w:szCs w:val="21"/>
        </w:rPr>
        <w:t>预算总金额（元）：</w:t>
      </w:r>
      <w:r>
        <w:rPr>
          <w:rFonts w:hint="eastAsia" w:ascii="宋体" w:hAnsi="宋体"/>
          <w:kern w:val="0"/>
          <w:szCs w:val="21"/>
        </w:rPr>
        <w:t>2,255,000.00</w:t>
      </w:r>
    </w:p>
    <w:p w14:paraId="02744098">
      <w:pPr>
        <w:spacing w:line="312" w:lineRule="auto"/>
        <w:ind w:firstLine="420" w:firstLineChars="200"/>
        <w:jc w:val="left"/>
        <w:rPr>
          <w:rFonts w:ascii="宋体" w:hAnsi="宋体"/>
          <w:kern w:val="0"/>
          <w:szCs w:val="21"/>
        </w:rPr>
      </w:pPr>
      <w:r>
        <w:rPr>
          <w:rFonts w:ascii="宋体" w:hAnsi="宋体"/>
          <w:kern w:val="0"/>
          <w:szCs w:val="21"/>
        </w:rPr>
        <w:t>采购需求：</w:t>
      </w:r>
      <w:bookmarkStart w:id="9" w:name="_Hlk77608065"/>
    </w:p>
    <w:p w14:paraId="22FA1A2D">
      <w:pPr>
        <w:spacing w:line="312" w:lineRule="auto"/>
        <w:ind w:firstLine="735" w:firstLineChars="350"/>
        <w:jc w:val="left"/>
        <w:rPr>
          <w:rFonts w:ascii="宋体" w:hAnsi="宋体"/>
          <w:kern w:val="0"/>
          <w:szCs w:val="21"/>
        </w:rPr>
      </w:pPr>
      <w:r>
        <w:rPr>
          <w:rFonts w:ascii="宋体" w:hAnsi="宋体"/>
          <w:kern w:val="0"/>
          <w:szCs w:val="21"/>
        </w:rPr>
        <w:t>标项名称：</w:t>
      </w:r>
      <w:r>
        <w:rPr>
          <w:rFonts w:ascii="宋体" w:hAnsi="宋体"/>
          <w:w w:val="98"/>
          <w:kern w:val="0"/>
          <w:szCs w:val="21"/>
        </w:rPr>
        <w:t>第23届中国—东盟博览会接待用车招募及调度服务项目</w:t>
      </w:r>
    </w:p>
    <w:p w14:paraId="25369914">
      <w:pPr>
        <w:spacing w:line="312" w:lineRule="auto"/>
        <w:ind w:firstLine="735" w:firstLineChars="350"/>
        <w:jc w:val="left"/>
        <w:rPr>
          <w:rFonts w:ascii="宋体" w:hAnsi="宋体"/>
          <w:kern w:val="0"/>
          <w:szCs w:val="21"/>
        </w:rPr>
      </w:pPr>
      <w:r>
        <w:rPr>
          <w:rFonts w:ascii="宋体" w:hAnsi="宋体"/>
          <w:kern w:val="0"/>
          <w:szCs w:val="21"/>
        </w:rPr>
        <w:t>数量：1</w:t>
      </w:r>
    </w:p>
    <w:p w14:paraId="1DC61871">
      <w:pPr>
        <w:spacing w:line="312" w:lineRule="auto"/>
        <w:ind w:firstLine="735" w:firstLineChars="350"/>
        <w:jc w:val="left"/>
        <w:rPr>
          <w:rFonts w:ascii="宋体" w:hAnsi="宋体"/>
          <w:kern w:val="0"/>
          <w:szCs w:val="21"/>
        </w:rPr>
      </w:pPr>
      <w:r>
        <w:rPr>
          <w:rFonts w:ascii="宋体" w:hAnsi="宋体"/>
          <w:kern w:val="0"/>
          <w:szCs w:val="21"/>
        </w:rPr>
        <w:t>预算金额（元）：</w:t>
      </w:r>
      <w:r>
        <w:rPr>
          <w:rFonts w:hint="eastAsia" w:ascii="宋体" w:hAnsi="宋体"/>
          <w:kern w:val="0"/>
          <w:szCs w:val="21"/>
        </w:rPr>
        <w:t>2,255,000.00</w:t>
      </w:r>
    </w:p>
    <w:p w14:paraId="1B7A1AE0">
      <w:pPr>
        <w:spacing w:line="312" w:lineRule="auto"/>
        <w:ind w:firstLine="735" w:firstLineChars="350"/>
        <w:jc w:val="left"/>
        <w:rPr>
          <w:rFonts w:ascii="宋体" w:hAnsi="宋体"/>
          <w:kern w:val="0"/>
          <w:szCs w:val="21"/>
        </w:rPr>
      </w:pPr>
      <w:r>
        <w:rPr>
          <w:rFonts w:ascii="宋体" w:hAnsi="宋体"/>
          <w:kern w:val="0"/>
          <w:szCs w:val="21"/>
        </w:rPr>
        <w:t>简要规格描述或项目基本概况介绍、用途：</w:t>
      </w:r>
      <w:r>
        <w:rPr>
          <w:rFonts w:hint="eastAsia" w:ascii="宋体" w:hAnsi="宋体"/>
          <w:kern w:val="0"/>
          <w:szCs w:val="21"/>
        </w:rPr>
        <w:t>23届中国—东盟博览会接待用车招募及调度服务</w:t>
      </w:r>
    </w:p>
    <w:p w14:paraId="3221A26D">
      <w:pPr>
        <w:spacing w:line="312" w:lineRule="auto"/>
        <w:ind w:firstLine="735" w:firstLineChars="350"/>
        <w:jc w:val="left"/>
        <w:rPr>
          <w:rFonts w:ascii="宋体" w:hAnsi="宋体"/>
          <w:kern w:val="0"/>
          <w:szCs w:val="21"/>
        </w:rPr>
      </w:pPr>
      <w:r>
        <w:rPr>
          <w:rFonts w:ascii="宋体" w:hAnsi="宋体"/>
          <w:kern w:val="0"/>
          <w:szCs w:val="21"/>
        </w:rPr>
        <w:t>最高限价（如有）：</w:t>
      </w:r>
      <w:r>
        <w:rPr>
          <w:rFonts w:hint="eastAsia" w:ascii="宋体" w:hAnsi="宋体"/>
          <w:kern w:val="0"/>
          <w:szCs w:val="21"/>
        </w:rPr>
        <w:t>2,255,000.00</w:t>
      </w:r>
    </w:p>
    <w:p w14:paraId="310317B7">
      <w:pPr>
        <w:spacing w:line="312" w:lineRule="auto"/>
        <w:ind w:firstLine="735" w:firstLineChars="350"/>
        <w:jc w:val="left"/>
        <w:rPr>
          <w:rFonts w:ascii="宋体" w:hAnsi="宋体"/>
          <w:kern w:val="0"/>
          <w:szCs w:val="21"/>
        </w:rPr>
      </w:pPr>
      <w:r>
        <w:rPr>
          <w:rFonts w:ascii="宋体" w:hAnsi="宋体"/>
          <w:kern w:val="0"/>
          <w:szCs w:val="21"/>
        </w:rPr>
        <w:t>合同履约期限：</w:t>
      </w:r>
      <w:r>
        <w:rPr>
          <w:rFonts w:ascii="宋体" w:hAnsi="宋体"/>
        </w:rPr>
        <w:t>自合同签订之日起至本届</w:t>
      </w:r>
      <w:r>
        <w:rPr>
          <w:rFonts w:hint="eastAsia" w:ascii="宋体" w:hAnsi="宋体"/>
        </w:rPr>
        <w:t>东博会</w:t>
      </w:r>
      <w:r>
        <w:rPr>
          <w:rFonts w:ascii="宋体" w:hAnsi="宋体"/>
        </w:rPr>
        <w:t>接待工作完结之日止，具体招募及服务时间由采购人根据实际情况确定。</w:t>
      </w:r>
    </w:p>
    <w:p w14:paraId="49969C75">
      <w:pPr>
        <w:spacing w:line="312" w:lineRule="auto"/>
        <w:ind w:firstLine="735" w:firstLineChars="350"/>
        <w:jc w:val="left"/>
        <w:rPr>
          <w:rFonts w:ascii="宋体" w:hAnsi="宋体"/>
          <w:kern w:val="0"/>
          <w:szCs w:val="21"/>
        </w:rPr>
      </w:pPr>
      <w:r>
        <w:rPr>
          <w:rFonts w:ascii="宋体" w:hAnsi="宋体"/>
          <w:kern w:val="0"/>
          <w:szCs w:val="21"/>
        </w:rPr>
        <w:t>本项目（</w:t>
      </w:r>
      <w:r>
        <w:rPr>
          <w:rFonts w:ascii="宋体" w:hAnsi="宋体"/>
          <w:szCs w:val="21"/>
        </w:rPr>
        <w:t>是</w:t>
      </w:r>
      <w:r>
        <w:rPr>
          <w:rFonts w:ascii="宋体" w:hAnsi="宋体"/>
          <w:kern w:val="0"/>
          <w:szCs w:val="21"/>
        </w:rPr>
        <w:t>）接受联合体。</w:t>
      </w:r>
    </w:p>
    <w:p w14:paraId="27659DA5">
      <w:pPr>
        <w:spacing w:line="312" w:lineRule="auto"/>
        <w:ind w:firstLine="735" w:firstLineChars="350"/>
        <w:jc w:val="left"/>
        <w:rPr>
          <w:rFonts w:ascii="宋体" w:hAnsi="宋体"/>
          <w:kern w:val="0"/>
          <w:szCs w:val="21"/>
        </w:rPr>
      </w:pPr>
      <w:r>
        <w:rPr>
          <w:rFonts w:ascii="宋体" w:hAnsi="宋体"/>
          <w:kern w:val="0"/>
          <w:szCs w:val="21"/>
        </w:rPr>
        <w:t>备注：</w:t>
      </w:r>
    </w:p>
    <w:bookmarkEnd w:id="9"/>
    <w:p w14:paraId="753FA175">
      <w:pPr>
        <w:spacing w:line="312" w:lineRule="auto"/>
        <w:ind w:firstLine="442" w:firstLineChars="200"/>
        <w:jc w:val="left"/>
        <w:rPr>
          <w:rFonts w:ascii="宋体" w:hAnsi="宋体"/>
          <w:b/>
          <w:bCs/>
          <w:kern w:val="0"/>
          <w:sz w:val="22"/>
          <w:szCs w:val="22"/>
        </w:rPr>
      </w:pPr>
      <w:r>
        <w:rPr>
          <w:rFonts w:ascii="宋体" w:hAnsi="宋体"/>
          <w:b/>
          <w:bCs/>
          <w:kern w:val="0"/>
          <w:sz w:val="22"/>
          <w:szCs w:val="22"/>
        </w:rPr>
        <w:t>二、申请人的资格要求</w:t>
      </w:r>
    </w:p>
    <w:p w14:paraId="2821A73E">
      <w:pPr>
        <w:spacing w:line="312" w:lineRule="auto"/>
        <w:ind w:firstLine="420" w:firstLineChars="200"/>
        <w:jc w:val="left"/>
        <w:rPr>
          <w:rFonts w:ascii="宋体" w:hAnsi="宋体"/>
          <w:szCs w:val="21"/>
        </w:rPr>
      </w:pPr>
      <w:r>
        <w:rPr>
          <w:rFonts w:ascii="宋体" w:hAnsi="宋体"/>
          <w:kern w:val="0"/>
          <w:szCs w:val="21"/>
        </w:rPr>
        <w:t>1.满足《中华人民共和国政府采购法》第二十二条规定；</w:t>
      </w:r>
      <w:r>
        <w:rPr>
          <w:rFonts w:ascii="宋体" w:hAnsi="宋体"/>
          <w:szCs w:val="21"/>
        </w:rPr>
        <w:t xml:space="preserve"> </w:t>
      </w:r>
    </w:p>
    <w:p w14:paraId="77E45387">
      <w:pPr>
        <w:spacing w:line="312" w:lineRule="auto"/>
        <w:ind w:firstLine="420" w:firstLineChars="200"/>
        <w:jc w:val="left"/>
        <w:rPr>
          <w:rFonts w:ascii="宋体" w:hAnsi="宋体"/>
          <w:szCs w:val="21"/>
        </w:rPr>
      </w:pPr>
      <w:r>
        <w:rPr>
          <w:rFonts w:ascii="宋体" w:hAnsi="宋体"/>
          <w:szCs w:val="21"/>
        </w:rPr>
        <w:t>2.落实政府采购政策需满足的资格要求：</w:t>
      </w:r>
      <w:r>
        <w:rPr>
          <w:rFonts w:ascii="宋体" w:hAnsi="宋体"/>
          <w:kern w:val="0"/>
          <w:szCs w:val="21"/>
        </w:rPr>
        <w:t>无。</w:t>
      </w:r>
    </w:p>
    <w:p w14:paraId="5DD4449A">
      <w:pPr>
        <w:spacing w:line="312" w:lineRule="auto"/>
        <w:ind w:firstLine="420" w:firstLineChars="200"/>
        <w:jc w:val="left"/>
        <w:rPr>
          <w:rFonts w:ascii="宋体" w:hAnsi="宋体"/>
          <w:kern w:val="0"/>
          <w:szCs w:val="21"/>
        </w:rPr>
      </w:pPr>
      <w:r>
        <w:rPr>
          <w:rFonts w:ascii="宋体" w:hAnsi="宋体"/>
          <w:kern w:val="0"/>
          <w:szCs w:val="21"/>
        </w:rPr>
        <w:t>3.本项目的特定资格要求：</w:t>
      </w:r>
    </w:p>
    <w:p w14:paraId="0F323A95">
      <w:pPr>
        <w:spacing w:line="312" w:lineRule="auto"/>
        <w:ind w:firstLine="420" w:firstLineChars="200"/>
        <w:jc w:val="left"/>
        <w:rPr>
          <w:rFonts w:ascii="宋体" w:hAnsi="宋体"/>
          <w:kern w:val="0"/>
          <w:szCs w:val="21"/>
        </w:rPr>
      </w:pPr>
      <w:r>
        <w:rPr>
          <w:rFonts w:ascii="宋体" w:hAnsi="宋体"/>
          <w:kern w:val="0"/>
          <w:szCs w:val="21"/>
        </w:rPr>
        <w:t>（1）资质要求：无。</w:t>
      </w:r>
    </w:p>
    <w:p w14:paraId="581C00AC">
      <w:pPr>
        <w:spacing w:line="312" w:lineRule="auto"/>
        <w:ind w:firstLine="420" w:firstLineChars="200"/>
        <w:jc w:val="left"/>
        <w:rPr>
          <w:rFonts w:ascii="宋体" w:hAnsi="宋体"/>
          <w:kern w:val="0"/>
          <w:szCs w:val="21"/>
        </w:rPr>
      </w:pPr>
      <w:r>
        <w:rPr>
          <w:rFonts w:ascii="宋体" w:hAnsi="宋体"/>
          <w:kern w:val="0"/>
          <w:szCs w:val="21"/>
        </w:rPr>
        <w:t>（2）业绩要求：无。</w:t>
      </w:r>
    </w:p>
    <w:p w14:paraId="13F58602">
      <w:pPr>
        <w:spacing w:line="312" w:lineRule="auto"/>
        <w:ind w:firstLine="420" w:firstLineChars="200"/>
        <w:jc w:val="left"/>
        <w:rPr>
          <w:rFonts w:ascii="宋体" w:hAnsi="宋体"/>
          <w:kern w:val="0"/>
          <w:szCs w:val="21"/>
        </w:rPr>
      </w:pPr>
      <w:r>
        <w:rPr>
          <w:rFonts w:ascii="宋体" w:hAnsi="宋体"/>
          <w:kern w:val="0"/>
          <w:szCs w:val="21"/>
        </w:rPr>
        <w:t>（3）单位负责人为同一人或者存在直接控股、管理关系的不同供应商，不得参加本项目同一合同项下的政府采购活动。为本项目提供整体设计、规范编制或者项目管理、监理、检测等服务的供应商，不得再参加本项目的采购活动。</w:t>
      </w:r>
    </w:p>
    <w:p w14:paraId="6454C66B">
      <w:pPr>
        <w:spacing w:line="312" w:lineRule="auto"/>
        <w:ind w:firstLine="420" w:firstLineChars="200"/>
        <w:jc w:val="left"/>
        <w:rPr>
          <w:rFonts w:ascii="宋体" w:hAnsi="宋体"/>
          <w:kern w:val="0"/>
          <w:szCs w:val="21"/>
        </w:rPr>
      </w:pPr>
      <w:r>
        <w:rPr>
          <w:rFonts w:ascii="宋体" w:hAnsi="宋体"/>
          <w:kern w:val="0"/>
          <w:szCs w:val="21"/>
        </w:rPr>
        <w:t>（4）未被列入失信被执行人、重大税收违法失信主体、政府采购严重违法失信行为记录名单。</w:t>
      </w:r>
    </w:p>
    <w:p w14:paraId="32F00DB5">
      <w:pPr>
        <w:spacing w:line="312" w:lineRule="auto"/>
        <w:ind w:firstLine="420" w:firstLineChars="200"/>
        <w:jc w:val="left"/>
        <w:rPr>
          <w:rFonts w:ascii="宋体" w:hAnsi="宋体"/>
          <w:kern w:val="0"/>
          <w:szCs w:val="21"/>
        </w:rPr>
      </w:pPr>
      <w:r>
        <w:rPr>
          <w:rFonts w:ascii="宋体" w:hAnsi="宋体"/>
          <w:kern w:val="0"/>
          <w:szCs w:val="21"/>
        </w:rPr>
        <w:t>（5）本项目</w:t>
      </w:r>
      <w:r>
        <w:rPr>
          <w:rFonts w:ascii="宋体" w:hAnsi="宋体"/>
          <w:szCs w:val="21"/>
        </w:rPr>
        <w:t>允许</w:t>
      </w:r>
      <w:r>
        <w:rPr>
          <w:rFonts w:ascii="宋体" w:hAnsi="宋体"/>
          <w:kern w:val="0"/>
          <w:szCs w:val="21"/>
        </w:rPr>
        <w:t>分公司参与响应。</w:t>
      </w:r>
    </w:p>
    <w:p w14:paraId="31D118CB">
      <w:pPr>
        <w:spacing w:line="312" w:lineRule="auto"/>
        <w:ind w:firstLine="420" w:firstLineChars="200"/>
        <w:jc w:val="left"/>
        <w:rPr>
          <w:rFonts w:ascii="宋体" w:hAnsi="宋体"/>
          <w:kern w:val="0"/>
          <w:szCs w:val="21"/>
        </w:rPr>
      </w:pPr>
      <w:r>
        <w:rPr>
          <w:rFonts w:ascii="宋体" w:hAnsi="宋体"/>
          <w:szCs w:val="21"/>
        </w:rPr>
        <w:t>（6）</w:t>
      </w:r>
      <w:r>
        <w:rPr>
          <w:rFonts w:ascii="宋体" w:hAnsi="宋体"/>
          <w:kern w:val="0"/>
          <w:szCs w:val="21"/>
        </w:rPr>
        <w:t>本项目不允许分包。</w:t>
      </w:r>
    </w:p>
    <w:p w14:paraId="3C78B8C8">
      <w:pPr>
        <w:spacing w:line="312" w:lineRule="auto"/>
        <w:ind w:firstLine="420" w:firstLineChars="200"/>
        <w:jc w:val="left"/>
        <w:rPr>
          <w:rFonts w:ascii="宋体" w:hAnsi="宋体"/>
          <w:kern w:val="0"/>
          <w:szCs w:val="21"/>
        </w:rPr>
      </w:pPr>
      <w:r>
        <w:rPr>
          <w:rFonts w:ascii="宋体" w:hAnsi="宋体"/>
          <w:kern w:val="0"/>
          <w:szCs w:val="21"/>
        </w:rPr>
        <w:t>（7）按照</w:t>
      </w:r>
      <w:r>
        <w:rPr>
          <w:rFonts w:ascii="宋体" w:hAnsi="宋体"/>
        </w:rPr>
        <w:t>磋商</w:t>
      </w:r>
      <w:r>
        <w:rPr>
          <w:rFonts w:ascii="宋体" w:hAnsi="宋体"/>
          <w:kern w:val="0"/>
          <w:szCs w:val="21"/>
        </w:rPr>
        <w:t>公告的规定获得</w:t>
      </w:r>
      <w:r>
        <w:rPr>
          <w:rFonts w:ascii="宋体" w:hAnsi="宋体"/>
        </w:rPr>
        <w:t>采购文件</w:t>
      </w:r>
      <w:r>
        <w:rPr>
          <w:rFonts w:ascii="宋体" w:hAnsi="宋体"/>
          <w:kern w:val="0"/>
          <w:szCs w:val="21"/>
        </w:rPr>
        <w:t>。采购文件有规定时按要求提交磋商保证金。</w:t>
      </w:r>
    </w:p>
    <w:p w14:paraId="6667F9D6">
      <w:pPr>
        <w:spacing w:line="312" w:lineRule="auto"/>
        <w:ind w:firstLine="442" w:firstLineChars="200"/>
        <w:jc w:val="left"/>
        <w:rPr>
          <w:rFonts w:ascii="宋体" w:hAnsi="宋体"/>
          <w:b/>
          <w:bCs/>
          <w:kern w:val="0"/>
          <w:sz w:val="22"/>
          <w:szCs w:val="22"/>
        </w:rPr>
      </w:pPr>
      <w:r>
        <w:rPr>
          <w:rFonts w:ascii="宋体" w:hAnsi="宋体"/>
          <w:b/>
          <w:bCs/>
          <w:kern w:val="0"/>
          <w:sz w:val="22"/>
          <w:szCs w:val="22"/>
        </w:rPr>
        <w:t>三、获取采购文件</w:t>
      </w:r>
    </w:p>
    <w:p w14:paraId="77E4093F">
      <w:pPr>
        <w:spacing w:line="312" w:lineRule="auto"/>
        <w:ind w:firstLine="420" w:firstLineChars="200"/>
        <w:jc w:val="left"/>
        <w:rPr>
          <w:rFonts w:ascii="宋体" w:hAnsi="宋体"/>
        </w:rPr>
      </w:pPr>
      <w:r>
        <w:rPr>
          <w:rFonts w:ascii="宋体" w:hAnsi="宋体"/>
        </w:rPr>
        <w:t>时间：202</w:t>
      </w:r>
      <w:r>
        <w:rPr>
          <w:rFonts w:hint="eastAsia" w:ascii="宋体" w:hAnsi="宋体"/>
        </w:rPr>
        <w:t>6</w:t>
      </w:r>
      <w:r>
        <w:rPr>
          <w:rFonts w:ascii="宋体" w:hAnsi="宋体"/>
        </w:rPr>
        <w:t>年</w:t>
      </w:r>
      <w:r>
        <w:rPr>
          <w:rFonts w:hint="eastAsia" w:ascii="宋体" w:hAnsi="宋体"/>
        </w:rPr>
        <w:t>7</w:t>
      </w:r>
      <w:r>
        <w:rPr>
          <w:rFonts w:ascii="宋体" w:hAnsi="宋体"/>
        </w:rPr>
        <w:t>月13日起至202</w:t>
      </w:r>
      <w:r>
        <w:rPr>
          <w:rFonts w:hint="eastAsia" w:ascii="宋体" w:hAnsi="宋体"/>
        </w:rPr>
        <w:t>6</w:t>
      </w:r>
      <w:r>
        <w:rPr>
          <w:rFonts w:ascii="宋体" w:hAnsi="宋体"/>
        </w:rPr>
        <w:t>年</w:t>
      </w:r>
      <w:r>
        <w:rPr>
          <w:rFonts w:hint="eastAsia" w:ascii="宋体" w:hAnsi="宋体"/>
        </w:rPr>
        <w:t>7</w:t>
      </w:r>
      <w:r>
        <w:rPr>
          <w:rFonts w:ascii="宋体" w:hAnsi="宋体"/>
        </w:rPr>
        <w:t>月20日，每天上午00:00至11:59，下午12:00至23:59（北京时间，法定节假日除外）。</w:t>
      </w:r>
    </w:p>
    <w:p w14:paraId="795C54F9">
      <w:pPr>
        <w:spacing w:line="312" w:lineRule="auto"/>
        <w:ind w:firstLine="420" w:firstLineChars="200"/>
        <w:jc w:val="left"/>
        <w:rPr>
          <w:rFonts w:ascii="宋体" w:hAnsi="宋体"/>
          <w:kern w:val="0"/>
          <w:szCs w:val="21"/>
        </w:rPr>
      </w:pPr>
      <w:bookmarkStart w:id="10" w:name="_Hlk46137393"/>
      <w:r>
        <w:rPr>
          <w:rFonts w:ascii="宋体" w:hAnsi="宋体"/>
        </w:rPr>
        <w:t>地点（网址）：</w:t>
      </w:r>
      <w:bookmarkEnd w:id="10"/>
      <w:r>
        <w:rPr>
          <w:rFonts w:ascii="宋体" w:hAnsi="宋体"/>
          <w:kern w:val="0"/>
          <w:szCs w:val="21"/>
        </w:rPr>
        <w:t>广西政府采购云平台（https://www.gcy.zfcg.gxzf.gov.cn/）</w:t>
      </w:r>
    </w:p>
    <w:p w14:paraId="3E17E03A">
      <w:pPr>
        <w:spacing w:line="312" w:lineRule="auto"/>
        <w:ind w:firstLine="420" w:firstLineChars="200"/>
        <w:jc w:val="left"/>
        <w:rPr>
          <w:rFonts w:ascii="宋体" w:hAnsi="宋体"/>
          <w:szCs w:val="21"/>
        </w:rPr>
      </w:pPr>
      <w:r>
        <w:rPr>
          <w:rFonts w:ascii="宋体" w:hAnsi="宋体"/>
          <w:szCs w:val="21"/>
        </w:rPr>
        <w:t>方式：供应商登录广西政府采购云平台在线申请获取采购文件（进入“项目采购”应用，在获取采购文件菜单中选择项目，申请获取采购文件）</w:t>
      </w:r>
    </w:p>
    <w:p w14:paraId="1FE0FBA1">
      <w:pPr>
        <w:spacing w:line="312" w:lineRule="auto"/>
        <w:ind w:firstLine="420" w:firstLineChars="200"/>
        <w:jc w:val="left"/>
        <w:rPr>
          <w:rFonts w:ascii="宋体" w:hAnsi="宋体"/>
        </w:rPr>
      </w:pPr>
      <w:r>
        <w:rPr>
          <w:rFonts w:ascii="宋体" w:hAnsi="宋体"/>
        </w:rPr>
        <w:t>售价（元）：0</w:t>
      </w:r>
    </w:p>
    <w:p w14:paraId="40177608">
      <w:pPr>
        <w:spacing w:line="312" w:lineRule="auto"/>
        <w:ind w:firstLine="442" w:firstLineChars="200"/>
        <w:jc w:val="left"/>
        <w:rPr>
          <w:rFonts w:ascii="宋体" w:hAnsi="宋体"/>
          <w:b/>
          <w:bCs/>
          <w:kern w:val="0"/>
          <w:sz w:val="22"/>
          <w:szCs w:val="22"/>
        </w:rPr>
      </w:pPr>
      <w:r>
        <w:rPr>
          <w:rFonts w:ascii="宋体" w:hAnsi="宋体"/>
          <w:b/>
          <w:bCs/>
          <w:kern w:val="0"/>
          <w:sz w:val="22"/>
          <w:szCs w:val="22"/>
        </w:rPr>
        <w:t>四、响应文件提交</w:t>
      </w:r>
    </w:p>
    <w:p w14:paraId="0B8B59EE">
      <w:pPr>
        <w:spacing w:line="312" w:lineRule="auto"/>
        <w:ind w:firstLine="420" w:firstLineChars="200"/>
        <w:jc w:val="left"/>
        <w:rPr>
          <w:rFonts w:ascii="宋体" w:hAnsi="宋体"/>
          <w:kern w:val="0"/>
          <w:szCs w:val="21"/>
        </w:rPr>
      </w:pPr>
      <w:r>
        <w:rPr>
          <w:rFonts w:ascii="宋体" w:hAnsi="宋体"/>
          <w:kern w:val="0"/>
          <w:szCs w:val="21"/>
        </w:rPr>
        <w:t>截止时间：202</w:t>
      </w:r>
      <w:r>
        <w:rPr>
          <w:rFonts w:hint="eastAsia" w:ascii="宋体" w:hAnsi="宋体"/>
          <w:kern w:val="0"/>
          <w:szCs w:val="21"/>
        </w:rPr>
        <w:t>6</w:t>
      </w:r>
      <w:r>
        <w:rPr>
          <w:rFonts w:ascii="宋体" w:hAnsi="宋体"/>
          <w:kern w:val="0"/>
          <w:szCs w:val="21"/>
        </w:rPr>
        <w:t>年</w:t>
      </w:r>
      <w:r>
        <w:rPr>
          <w:rFonts w:hint="eastAsia" w:ascii="宋体" w:hAnsi="宋体"/>
          <w:kern w:val="0"/>
          <w:szCs w:val="21"/>
        </w:rPr>
        <w:t>7</w:t>
      </w:r>
      <w:r>
        <w:rPr>
          <w:rFonts w:ascii="宋体" w:hAnsi="宋体"/>
          <w:kern w:val="0"/>
          <w:szCs w:val="21"/>
        </w:rPr>
        <w:t>月24日09:00（北京时间）</w:t>
      </w:r>
    </w:p>
    <w:p w14:paraId="6F6D9E60">
      <w:pPr>
        <w:spacing w:line="300" w:lineRule="exact"/>
        <w:ind w:firstLine="420" w:firstLineChars="200"/>
        <w:jc w:val="left"/>
        <w:rPr>
          <w:rFonts w:ascii="宋体" w:hAnsi="宋体"/>
          <w:szCs w:val="21"/>
        </w:rPr>
      </w:pPr>
      <w:r>
        <w:rPr>
          <w:rFonts w:ascii="宋体" w:hAnsi="宋体"/>
          <w:kern w:val="0"/>
          <w:szCs w:val="21"/>
        </w:rPr>
        <w:t>地点（网址）：</w:t>
      </w:r>
      <w:r>
        <w:rPr>
          <w:rFonts w:ascii="宋体" w:hAnsi="宋体"/>
          <w:szCs w:val="21"/>
        </w:rPr>
        <w:t>本项目为全流程电子化项目，没有现场递交响应文件及现场截标环节，通过广西政府采购云平台（https://www.gcy.zfcg.gxzf.gov.cn/）实行在线电子响应，供应商应先安装广西政府采购云平台新版客户端（请自行前往广西政府采购网-办事服务-下载专区进行下载），并按照本项目采购文件和广西政府采购云平台的要求使用CA认证编制、加密响应文件后在响应截止时间前上传至广西政府采购云平台，供应商在广西政府采购云平台提交电子版响应文件时，请填写参加远程截标活动经办人联系方式。</w:t>
      </w:r>
    </w:p>
    <w:p w14:paraId="0DEC4F88">
      <w:pPr>
        <w:spacing w:line="300" w:lineRule="exact"/>
        <w:ind w:firstLine="442" w:firstLineChars="200"/>
        <w:jc w:val="left"/>
        <w:rPr>
          <w:rFonts w:ascii="宋体" w:hAnsi="宋体"/>
          <w:b/>
          <w:bCs/>
          <w:kern w:val="0"/>
          <w:sz w:val="22"/>
          <w:szCs w:val="22"/>
        </w:rPr>
      </w:pPr>
      <w:r>
        <w:rPr>
          <w:rFonts w:ascii="宋体" w:hAnsi="宋体"/>
          <w:b/>
          <w:bCs/>
          <w:kern w:val="0"/>
          <w:sz w:val="22"/>
          <w:szCs w:val="22"/>
        </w:rPr>
        <w:t>五、开启</w:t>
      </w:r>
    </w:p>
    <w:p w14:paraId="6CD686B1">
      <w:pPr>
        <w:spacing w:line="312" w:lineRule="auto"/>
        <w:ind w:firstLine="442" w:firstLineChars="200"/>
        <w:jc w:val="left"/>
        <w:rPr>
          <w:rFonts w:ascii="宋体" w:hAnsi="宋体"/>
          <w:kern w:val="0"/>
          <w:szCs w:val="21"/>
        </w:rPr>
      </w:pPr>
      <w:r>
        <w:rPr>
          <w:rFonts w:ascii="宋体" w:hAnsi="宋体"/>
          <w:b/>
          <w:bCs/>
          <w:kern w:val="0"/>
          <w:sz w:val="22"/>
          <w:szCs w:val="22"/>
        </w:rPr>
        <w:t>开启时间：</w:t>
      </w:r>
      <w:r>
        <w:rPr>
          <w:rFonts w:ascii="宋体" w:hAnsi="宋体"/>
          <w:kern w:val="0"/>
          <w:szCs w:val="21"/>
        </w:rPr>
        <w:t>202</w:t>
      </w:r>
      <w:r>
        <w:rPr>
          <w:rFonts w:hint="eastAsia" w:ascii="宋体" w:hAnsi="宋体"/>
          <w:kern w:val="0"/>
          <w:szCs w:val="21"/>
        </w:rPr>
        <w:t>6</w:t>
      </w:r>
      <w:r>
        <w:rPr>
          <w:rFonts w:ascii="宋体" w:hAnsi="宋体"/>
          <w:kern w:val="0"/>
          <w:szCs w:val="21"/>
        </w:rPr>
        <w:t>年</w:t>
      </w:r>
      <w:r>
        <w:rPr>
          <w:rFonts w:hint="eastAsia" w:ascii="宋体" w:hAnsi="宋体"/>
          <w:kern w:val="0"/>
          <w:szCs w:val="21"/>
        </w:rPr>
        <w:t>7</w:t>
      </w:r>
      <w:r>
        <w:rPr>
          <w:rFonts w:ascii="宋体" w:hAnsi="宋体"/>
          <w:kern w:val="0"/>
          <w:szCs w:val="21"/>
        </w:rPr>
        <w:t>月24日09:00（北京时间）</w:t>
      </w:r>
    </w:p>
    <w:p w14:paraId="191EC85F">
      <w:pPr>
        <w:spacing w:line="312" w:lineRule="auto"/>
        <w:ind w:firstLine="442" w:firstLineChars="200"/>
        <w:jc w:val="left"/>
        <w:rPr>
          <w:rFonts w:ascii="宋体" w:hAnsi="宋体"/>
          <w:b/>
          <w:bCs/>
          <w:kern w:val="0"/>
          <w:sz w:val="22"/>
          <w:szCs w:val="22"/>
        </w:rPr>
      </w:pPr>
      <w:r>
        <w:rPr>
          <w:rFonts w:ascii="宋体" w:hAnsi="宋体"/>
          <w:b/>
          <w:bCs/>
          <w:kern w:val="0"/>
          <w:sz w:val="22"/>
          <w:szCs w:val="22"/>
        </w:rPr>
        <w:t>地点：</w:t>
      </w:r>
      <w:r>
        <w:rPr>
          <w:rFonts w:ascii="宋体" w:hAnsi="宋体"/>
          <w:szCs w:val="21"/>
        </w:rPr>
        <w:t>供应商登录广西政府采购云平台电子开标大厅截标。</w:t>
      </w:r>
    </w:p>
    <w:p w14:paraId="7F46001E">
      <w:pPr>
        <w:spacing w:line="312" w:lineRule="auto"/>
        <w:ind w:firstLine="442" w:firstLineChars="200"/>
        <w:jc w:val="left"/>
        <w:rPr>
          <w:rFonts w:ascii="宋体" w:hAnsi="宋体"/>
          <w:b/>
          <w:bCs/>
          <w:kern w:val="0"/>
          <w:sz w:val="22"/>
          <w:szCs w:val="22"/>
        </w:rPr>
      </w:pPr>
      <w:r>
        <w:rPr>
          <w:rFonts w:ascii="宋体" w:hAnsi="宋体"/>
          <w:b/>
          <w:bCs/>
          <w:kern w:val="0"/>
          <w:sz w:val="22"/>
          <w:szCs w:val="22"/>
        </w:rPr>
        <w:t>六、公告期限</w:t>
      </w:r>
    </w:p>
    <w:p w14:paraId="23181EA6">
      <w:pPr>
        <w:spacing w:line="312" w:lineRule="auto"/>
        <w:ind w:firstLine="420" w:firstLineChars="200"/>
        <w:jc w:val="left"/>
        <w:rPr>
          <w:rFonts w:ascii="宋体" w:hAnsi="宋体"/>
          <w:kern w:val="0"/>
          <w:szCs w:val="21"/>
        </w:rPr>
      </w:pPr>
      <w:r>
        <w:rPr>
          <w:rFonts w:ascii="宋体" w:hAnsi="宋体"/>
          <w:kern w:val="0"/>
          <w:szCs w:val="21"/>
        </w:rPr>
        <w:t>自本公告发布之日起5个工作日。</w:t>
      </w:r>
    </w:p>
    <w:p w14:paraId="30DF1B16">
      <w:pPr>
        <w:spacing w:line="312" w:lineRule="auto"/>
        <w:ind w:firstLine="442" w:firstLineChars="200"/>
        <w:jc w:val="left"/>
        <w:rPr>
          <w:rFonts w:ascii="宋体" w:hAnsi="宋体"/>
          <w:b/>
          <w:bCs/>
          <w:kern w:val="0"/>
          <w:sz w:val="22"/>
          <w:szCs w:val="22"/>
        </w:rPr>
      </w:pPr>
      <w:r>
        <w:rPr>
          <w:rFonts w:ascii="宋体" w:hAnsi="宋体"/>
          <w:b/>
          <w:bCs/>
          <w:kern w:val="0"/>
          <w:sz w:val="22"/>
          <w:szCs w:val="22"/>
        </w:rPr>
        <w:t>七、其他补充事宜</w:t>
      </w:r>
    </w:p>
    <w:p w14:paraId="35DBE521">
      <w:pPr>
        <w:spacing w:line="312" w:lineRule="auto"/>
        <w:ind w:firstLine="420" w:firstLineChars="200"/>
        <w:jc w:val="left"/>
        <w:rPr>
          <w:rFonts w:ascii="宋体" w:hAnsi="宋体"/>
          <w:kern w:val="0"/>
          <w:szCs w:val="21"/>
        </w:rPr>
      </w:pPr>
      <w:r>
        <w:rPr>
          <w:rFonts w:ascii="宋体" w:hAnsi="宋体"/>
          <w:kern w:val="0"/>
          <w:szCs w:val="21"/>
        </w:rPr>
        <w:t>1.公告发布媒体：广西壮族自治区政府采购网、中国政府采购网</w:t>
      </w:r>
    </w:p>
    <w:p w14:paraId="645C08FE">
      <w:pPr>
        <w:spacing w:line="312" w:lineRule="auto"/>
        <w:ind w:firstLine="420" w:firstLineChars="200"/>
        <w:jc w:val="left"/>
        <w:rPr>
          <w:rFonts w:ascii="宋体" w:hAnsi="宋体"/>
          <w:kern w:val="0"/>
          <w:szCs w:val="21"/>
        </w:rPr>
      </w:pPr>
      <w:r>
        <w:rPr>
          <w:rFonts w:ascii="宋体" w:hAnsi="宋体"/>
          <w:kern w:val="0"/>
          <w:szCs w:val="21"/>
        </w:rPr>
        <w:t>2.需落实的政府采购政策：</w:t>
      </w:r>
      <w:r>
        <w:rPr>
          <w:rFonts w:hint="eastAsia" w:ascii="宋体" w:hAnsi="宋体"/>
          <w:kern w:val="0"/>
          <w:szCs w:val="21"/>
        </w:rPr>
        <w:t>政府采购促进中小企业、监狱企业发展、促进残疾人就业、节能环保、对本国产品的支持等有关政策，具体详见采购文件。</w:t>
      </w:r>
    </w:p>
    <w:p w14:paraId="7BF3E830">
      <w:pPr>
        <w:spacing w:line="312" w:lineRule="auto"/>
        <w:ind w:firstLine="420" w:firstLineChars="200"/>
        <w:jc w:val="left"/>
        <w:rPr>
          <w:rFonts w:ascii="宋体" w:hAnsi="宋体"/>
          <w:kern w:val="0"/>
          <w:szCs w:val="21"/>
        </w:rPr>
      </w:pPr>
      <w:r>
        <w:rPr>
          <w:rFonts w:ascii="宋体" w:hAnsi="宋体"/>
          <w:kern w:val="0"/>
          <w:szCs w:val="21"/>
        </w:rPr>
        <w:t>3.本项目供应商的产生方式：</w:t>
      </w:r>
      <w:r>
        <w:rPr>
          <w:rFonts w:ascii="宋体" w:hAnsi="宋体"/>
        </w:rPr>
        <w:t>发布公告征集。</w:t>
      </w:r>
    </w:p>
    <w:p w14:paraId="30B45C53">
      <w:pPr>
        <w:spacing w:line="312" w:lineRule="auto"/>
        <w:ind w:firstLine="420" w:firstLineChars="200"/>
        <w:jc w:val="left"/>
        <w:rPr>
          <w:rFonts w:ascii="宋体" w:hAnsi="宋体"/>
          <w:kern w:val="0"/>
          <w:szCs w:val="21"/>
        </w:rPr>
      </w:pPr>
      <w:r>
        <w:rPr>
          <w:rFonts w:ascii="宋体" w:hAnsi="宋体"/>
          <w:kern w:val="0"/>
          <w:szCs w:val="21"/>
        </w:rPr>
        <w:t>4.注意事项：</w:t>
      </w:r>
    </w:p>
    <w:p w14:paraId="4E03ED61">
      <w:pPr>
        <w:spacing w:line="276" w:lineRule="auto"/>
        <w:ind w:firstLine="420" w:firstLineChars="200"/>
        <w:rPr>
          <w:rFonts w:ascii="宋体" w:hAnsi="宋体"/>
          <w:szCs w:val="21"/>
        </w:rPr>
      </w:pPr>
      <w:r>
        <w:rPr>
          <w:rFonts w:ascii="宋体" w:hAnsi="宋体"/>
          <w:kern w:val="0"/>
          <w:szCs w:val="21"/>
        </w:rPr>
        <w:t>（1）</w:t>
      </w:r>
      <w:r>
        <w:rPr>
          <w:rFonts w:ascii="宋体" w:hAnsi="宋体"/>
          <w:szCs w:val="21"/>
        </w:rPr>
        <w:t>未进行网上注册并办理数字证书（CA认证）的供应商将无法参与本项目政府采购活动，潜在供应商应当在响应截止时间前，完成广西政府采购云平台上的CA数字证书办理及响应文件的提交。完成CA数字证书办理预计7日左右，建议各供应商抓紧时间办理。</w:t>
      </w:r>
    </w:p>
    <w:p w14:paraId="051445DA">
      <w:pPr>
        <w:spacing w:line="276" w:lineRule="auto"/>
        <w:ind w:firstLine="420" w:firstLineChars="200"/>
        <w:rPr>
          <w:rFonts w:ascii="宋体" w:hAnsi="宋体"/>
          <w:kern w:val="0"/>
          <w:szCs w:val="21"/>
        </w:rPr>
      </w:pPr>
      <w:r>
        <w:rPr>
          <w:rFonts w:ascii="宋体" w:hAnsi="宋体"/>
          <w:szCs w:val="21"/>
        </w:rPr>
        <w:t>（2）为确保网上操作合法、有效和安全，请供应商确保在电子投标过程中能够对相关数据电文进行加密和使用电子签章，妥善保管CA数字证书并使用有效的CA数字证书参与整个招标活动。</w:t>
      </w:r>
    </w:p>
    <w:p w14:paraId="0E855131">
      <w:pPr>
        <w:spacing w:line="276" w:lineRule="auto"/>
        <w:ind w:firstLine="420" w:firstLineChars="200"/>
        <w:rPr>
          <w:rFonts w:ascii="宋体" w:hAnsi="宋体"/>
          <w:b/>
          <w:bCs/>
          <w:kern w:val="0"/>
          <w:sz w:val="22"/>
          <w:szCs w:val="22"/>
        </w:rPr>
      </w:pPr>
      <w:r>
        <w:rPr>
          <w:rFonts w:ascii="宋体" w:hAnsi="宋体"/>
          <w:kern w:val="0"/>
          <w:szCs w:val="21"/>
        </w:rPr>
        <w:t>（3）若对项目采购电子交易系统操作有疑问，可登录广西政府采购云平台（https://www.gcy.zfcg.gxzf.gov.cn/），点击右侧咨询小采或帮助文档或拨打客服热线95763</w:t>
      </w:r>
    </w:p>
    <w:p w14:paraId="38C76BF6">
      <w:pPr>
        <w:spacing w:line="276" w:lineRule="auto"/>
        <w:ind w:firstLine="442" w:firstLineChars="200"/>
        <w:rPr>
          <w:rFonts w:ascii="宋体" w:hAnsi="宋体"/>
          <w:b/>
          <w:bCs/>
          <w:kern w:val="0"/>
          <w:sz w:val="22"/>
          <w:szCs w:val="22"/>
        </w:rPr>
      </w:pPr>
      <w:r>
        <w:rPr>
          <w:rFonts w:ascii="宋体" w:hAnsi="宋体"/>
          <w:b/>
          <w:bCs/>
          <w:kern w:val="0"/>
          <w:sz w:val="22"/>
          <w:szCs w:val="22"/>
        </w:rPr>
        <w:t>八、对本次采购提出询问，请按以下方式联系</w:t>
      </w:r>
    </w:p>
    <w:p w14:paraId="0C0C19E8">
      <w:pPr>
        <w:spacing w:line="312" w:lineRule="auto"/>
        <w:ind w:firstLine="420" w:firstLineChars="200"/>
        <w:jc w:val="left"/>
        <w:rPr>
          <w:rFonts w:ascii="宋体" w:hAnsi="宋体"/>
          <w:kern w:val="0"/>
          <w:szCs w:val="21"/>
        </w:rPr>
      </w:pPr>
      <w:r>
        <w:rPr>
          <w:rFonts w:ascii="宋体" w:hAnsi="宋体"/>
          <w:kern w:val="0"/>
          <w:szCs w:val="21"/>
        </w:rPr>
        <w:t>1.采购人信息</w:t>
      </w:r>
    </w:p>
    <w:p w14:paraId="64709E98">
      <w:pPr>
        <w:spacing w:line="312" w:lineRule="auto"/>
        <w:ind w:firstLine="420" w:firstLineChars="200"/>
        <w:jc w:val="left"/>
        <w:rPr>
          <w:rFonts w:ascii="宋体" w:hAnsi="宋体"/>
          <w:kern w:val="0"/>
          <w:szCs w:val="21"/>
        </w:rPr>
      </w:pPr>
      <w:bookmarkStart w:id="11" w:name="_Hlk19048373"/>
      <w:r>
        <w:rPr>
          <w:rFonts w:ascii="宋体" w:hAnsi="宋体"/>
          <w:kern w:val="0"/>
          <w:szCs w:val="21"/>
        </w:rPr>
        <w:t>名称：广西国际博览事务局</w:t>
      </w:r>
    </w:p>
    <w:p w14:paraId="1E88B755">
      <w:pPr>
        <w:spacing w:line="312" w:lineRule="auto"/>
        <w:ind w:firstLine="420" w:firstLineChars="200"/>
        <w:jc w:val="left"/>
        <w:rPr>
          <w:rFonts w:ascii="宋体" w:hAnsi="宋体"/>
          <w:kern w:val="0"/>
          <w:szCs w:val="21"/>
        </w:rPr>
      </w:pPr>
      <w:r>
        <w:rPr>
          <w:rFonts w:ascii="宋体" w:hAnsi="宋体"/>
          <w:kern w:val="0"/>
          <w:szCs w:val="21"/>
        </w:rPr>
        <w:t>地址：广西南宁市青秀区会展路18号</w:t>
      </w:r>
    </w:p>
    <w:p w14:paraId="3AA5E73C">
      <w:pPr>
        <w:spacing w:line="312" w:lineRule="auto"/>
        <w:ind w:firstLine="420" w:firstLineChars="200"/>
        <w:jc w:val="left"/>
        <w:rPr>
          <w:rFonts w:hint="eastAsia" w:ascii="宋体" w:hAnsi="宋体"/>
          <w:kern w:val="0"/>
          <w:szCs w:val="21"/>
        </w:rPr>
      </w:pPr>
      <w:r>
        <w:rPr>
          <w:rFonts w:ascii="宋体" w:hAnsi="宋体"/>
          <w:kern w:val="0"/>
          <w:szCs w:val="21"/>
        </w:rPr>
        <w:t>项目联系人：</w:t>
      </w:r>
      <w:r>
        <w:rPr>
          <w:rFonts w:hint="eastAsia" w:ascii="宋体" w:hAnsi="宋体"/>
          <w:kern w:val="0"/>
          <w:szCs w:val="21"/>
        </w:rPr>
        <w:t>陆晓霞</w:t>
      </w:r>
    </w:p>
    <w:p w14:paraId="28003239">
      <w:pPr>
        <w:spacing w:line="312" w:lineRule="auto"/>
        <w:ind w:firstLine="420" w:firstLineChars="200"/>
        <w:jc w:val="left"/>
        <w:rPr>
          <w:rFonts w:ascii="宋体" w:hAnsi="宋体"/>
          <w:kern w:val="0"/>
          <w:szCs w:val="21"/>
        </w:rPr>
      </w:pPr>
      <w:r>
        <w:rPr>
          <w:rFonts w:ascii="宋体" w:hAnsi="宋体"/>
          <w:kern w:val="0"/>
          <w:szCs w:val="21"/>
        </w:rPr>
        <w:t>项目联系方式：0771-5813</w:t>
      </w:r>
      <w:r>
        <w:rPr>
          <w:rFonts w:hint="eastAsia" w:ascii="宋体" w:hAnsi="宋体"/>
          <w:kern w:val="0"/>
          <w:szCs w:val="21"/>
        </w:rPr>
        <w:t>186</w:t>
      </w:r>
    </w:p>
    <w:p w14:paraId="5A241F5C">
      <w:pPr>
        <w:spacing w:line="312" w:lineRule="auto"/>
        <w:ind w:firstLine="420" w:firstLineChars="200"/>
        <w:jc w:val="left"/>
        <w:rPr>
          <w:rFonts w:ascii="宋体" w:hAnsi="宋体"/>
          <w:kern w:val="0"/>
          <w:szCs w:val="21"/>
        </w:rPr>
      </w:pPr>
      <w:r>
        <w:rPr>
          <w:rFonts w:ascii="宋体" w:hAnsi="宋体"/>
          <w:kern w:val="0"/>
          <w:szCs w:val="21"/>
        </w:rPr>
        <w:t>2.采购代理机构信息</w:t>
      </w:r>
    </w:p>
    <w:p w14:paraId="63FCFF65">
      <w:pPr>
        <w:spacing w:line="312" w:lineRule="auto"/>
        <w:ind w:firstLine="420" w:firstLineChars="200"/>
        <w:jc w:val="left"/>
        <w:rPr>
          <w:rFonts w:ascii="宋体" w:hAnsi="宋体"/>
          <w:kern w:val="0"/>
          <w:szCs w:val="21"/>
        </w:rPr>
      </w:pPr>
      <w:r>
        <w:rPr>
          <w:rFonts w:ascii="宋体" w:hAnsi="宋体"/>
          <w:kern w:val="0"/>
          <w:szCs w:val="21"/>
        </w:rPr>
        <w:t>名称：广西机电设备招标有限公司</w:t>
      </w:r>
    </w:p>
    <w:p w14:paraId="660E12F0">
      <w:pPr>
        <w:spacing w:line="312" w:lineRule="auto"/>
        <w:ind w:firstLine="420" w:firstLineChars="200"/>
        <w:jc w:val="left"/>
        <w:rPr>
          <w:rFonts w:ascii="宋体" w:hAnsi="宋体"/>
          <w:kern w:val="0"/>
          <w:szCs w:val="21"/>
        </w:rPr>
      </w:pPr>
      <w:r>
        <w:rPr>
          <w:rFonts w:ascii="宋体" w:hAnsi="宋体"/>
          <w:kern w:val="0"/>
          <w:szCs w:val="21"/>
        </w:rPr>
        <w:t>地址：</w:t>
      </w:r>
      <w:bookmarkStart w:id="12" w:name="_Hlk43198245"/>
      <w:r>
        <w:rPr>
          <w:rFonts w:ascii="宋体" w:hAnsi="宋体"/>
        </w:rPr>
        <w:t>广西南宁市金湖路63号金源CBD现代城B座7层701</w:t>
      </w:r>
      <w:bookmarkEnd w:id="12"/>
    </w:p>
    <w:bookmarkEnd w:id="11"/>
    <w:p w14:paraId="17FB7F98">
      <w:pPr>
        <w:spacing w:line="312" w:lineRule="auto"/>
        <w:ind w:firstLine="420" w:firstLineChars="200"/>
        <w:jc w:val="left"/>
        <w:rPr>
          <w:rFonts w:hint="eastAsia" w:ascii="宋体" w:hAnsi="宋体" w:eastAsia="宋体"/>
          <w:kern w:val="0"/>
          <w:szCs w:val="21"/>
          <w:lang w:eastAsia="zh-CN"/>
        </w:rPr>
      </w:pPr>
      <w:r>
        <w:rPr>
          <w:rFonts w:ascii="宋体" w:hAnsi="宋体"/>
          <w:kern w:val="0"/>
          <w:szCs w:val="21"/>
        </w:rPr>
        <w:t>项目联系人：旷若兰、</w:t>
      </w:r>
      <w:r>
        <w:rPr>
          <w:rFonts w:hint="eastAsia" w:ascii="宋体" w:hAnsi="宋体"/>
          <w:kern w:val="0"/>
          <w:szCs w:val="21"/>
          <w:lang w:val="en-US" w:eastAsia="zh-CN"/>
        </w:rPr>
        <w:t>覃梦琦</w:t>
      </w:r>
    </w:p>
    <w:p w14:paraId="2FBB02CA">
      <w:pPr>
        <w:spacing w:line="312" w:lineRule="auto"/>
        <w:ind w:right="420" w:firstLine="420" w:firstLineChars="200"/>
        <w:rPr>
          <w:rFonts w:ascii="宋体" w:hAnsi="宋体"/>
          <w:kern w:val="0"/>
          <w:szCs w:val="21"/>
        </w:rPr>
      </w:pPr>
      <w:r>
        <w:rPr>
          <w:rFonts w:ascii="宋体" w:hAnsi="宋体"/>
          <w:kern w:val="0"/>
          <w:szCs w:val="21"/>
        </w:rPr>
        <w:t xml:space="preserve">项目联系方式：0771-2808960  </w:t>
      </w:r>
    </w:p>
    <w:p w14:paraId="51CA9D0C">
      <w:pPr>
        <w:spacing w:line="312" w:lineRule="auto"/>
        <w:ind w:firstLine="420" w:firstLineChars="200"/>
        <w:jc w:val="right"/>
        <w:rPr>
          <w:rFonts w:ascii="宋体" w:hAnsi="宋体"/>
          <w:kern w:val="0"/>
          <w:szCs w:val="21"/>
        </w:rPr>
      </w:pPr>
      <w:r>
        <w:rPr>
          <w:rFonts w:ascii="宋体" w:hAnsi="宋体"/>
          <w:kern w:val="0"/>
          <w:szCs w:val="21"/>
        </w:rPr>
        <w:t>广西机电设备招标有限公司</w:t>
      </w:r>
    </w:p>
    <w:p w14:paraId="2E5902D1">
      <w:pPr>
        <w:spacing w:line="312" w:lineRule="auto"/>
        <w:ind w:firstLine="420" w:firstLineChars="200"/>
        <w:jc w:val="right"/>
        <w:rPr>
          <w:rFonts w:ascii="宋体" w:hAnsi="宋体"/>
          <w:kern w:val="0"/>
          <w:sz w:val="18"/>
          <w:szCs w:val="18"/>
        </w:rPr>
      </w:pPr>
      <w:r>
        <w:rPr>
          <w:rFonts w:ascii="宋体" w:hAnsi="宋体"/>
          <w:kern w:val="0"/>
          <w:szCs w:val="21"/>
        </w:rPr>
        <w:t>202</w:t>
      </w:r>
      <w:r>
        <w:rPr>
          <w:rFonts w:hint="eastAsia" w:ascii="宋体" w:hAnsi="宋体"/>
          <w:kern w:val="0"/>
          <w:szCs w:val="21"/>
        </w:rPr>
        <w:t>6</w:t>
      </w:r>
      <w:r>
        <w:rPr>
          <w:rFonts w:ascii="宋体" w:hAnsi="宋体"/>
          <w:kern w:val="0"/>
          <w:szCs w:val="21"/>
        </w:rPr>
        <w:t>年7月13日</w:t>
      </w:r>
    </w:p>
    <w:bookmarkEnd w:id="7"/>
    <w:p w14:paraId="1B72C5BE">
      <w:pPr>
        <w:pStyle w:val="26"/>
        <w:snapToGrid w:val="0"/>
        <w:spacing w:before="120" w:after="120" w:line="320" w:lineRule="exact"/>
        <w:jc w:val="center"/>
        <w:outlineLvl w:val="0"/>
        <w:rPr>
          <w:rFonts w:hAnsi="宋体" w:cs="Times New Roman"/>
        </w:rPr>
        <w:sectPr>
          <w:headerReference r:id="rId9" w:type="first"/>
          <w:footerReference r:id="rId11" w:type="first"/>
          <w:headerReference r:id="rId8" w:type="default"/>
          <w:footerReference r:id="rId10" w:type="default"/>
          <w:pgSz w:w="11906" w:h="16838"/>
          <w:pgMar w:top="1135" w:right="1133" w:bottom="1246" w:left="1418" w:header="851" w:footer="903" w:gutter="0"/>
          <w:pgNumType w:fmt="decimal" w:start="1"/>
          <w:cols w:space="720" w:num="1"/>
          <w:docGrid w:linePitch="312" w:charSpace="0"/>
        </w:sectPr>
      </w:pPr>
    </w:p>
    <w:p w14:paraId="3C97A4AC">
      <w:pPr>
        <w:rPr>
          <w:rFonts w:ascii="宋体" w:hAnsi="宋体"/>
        </w:rPr>
      </w:pPr>
    </w:p>
    <w:bookmarkEnd w:id="5"/>
    <w:p w14:paraId="2ACFBC63">
      <w:pPr>
        <w:pStyle w:val="26"/>
        <w:snapToGrid w:val="0"/>
        <w:spacing w:before="120" w:after="120" w:line="320" w:lineRule="exact"/>
        <w:jc w:val="center"/>
        <w:outlineLvl w:val="0"/>
        <w:rPr>
          <w:rFonts w:hAnsi="宋体" w:cs="Times New Roman"/>
          <w:sz w:val="32"/>
          <w:szCs w:val="32"/>
        </w:rPr>
      </w:pPr>
      <w:bookmarkStart w:id="13" w:name="_Toc13924"/>
      <w:r>
        <w:rPr>
          <w:rFonts w:hAnsi="宋体" w:cs="Times New Roman"/>
          <w:sz w:val="32"/>
          <w:szCs w:val="32"/>
        </w:rPr>
        <w:t>第二章  采购需求</w:t>
      </w:r>
      <w:bookmarkEnd w:id="13"/>
    </w:p>
    <w:p w14:paraId="7E7AFD73">
      <w:pPr>
        <w:spacing w:before="120"/>
        <w:rPr>
          <w:rFonts w:ascii="宋体" w:hAnsi="宋体"/>
          <w:b/>
          <w:bCs/>
          <w:sz w:val="28"/>
          <w:szCs w:val="28"/>
        </w:rPr>
      </w:pPr>
      <w:bookmarkStart w:id="14" w:name="_Toc254970490"/>
      <w:bookmarkStart w:id="15" w:name="_Toc254970631"/>
    </w:p>
    <w:p w14:paraId="4F5A1CA9">
      <w:pPr>
        <w:spacing w:line="360" w:lineRule="auto"/>
        <w:rPr>
          <w:rFonts w:ascii="宋体" w:hAnsi="宋体"/>
          <w:b/>
          <w:kern w:val="0"/>
          <w:sz w:val="28"/>
          <w:szCs w:val="28"/>
        </w:rPr>
      </w:pPr>
      <w:r>
        <w:rPr>
          <w:rFonts w:ascii="宋体" w:hAnsi="宋体"/>
          <w:b/>
          <w:kern w:val="0"/>
          <w:sz w:val="28"/>
          <w:szCs w:val="28"/>
        </w:rPr>
        <w:t>一、总体要求</w:t>
      </w:r>
    </w:p>
    <w:p w14:paraId="4F0A7136">
      <w:pPr>
        <w:spacing w:line="360" w:lineRule="auto"/>
        <w:rPr>
          <w:rFonts w:ascii="宋体" w:hAnsi="宋体"/>
          <w:szCs w:val="21"/>
        </w:rPr>
      </w:pPr>
      <w:r>
        <w:rPr>
          <w:rFonts w:ascii="宋体" w:hAnsi="宋体"/>
          <w:szCs w:val="21"/>
        </w:rPr>
        <w:t>1.政府采购政策的应用</w:t>
      </w:r>
    </w:p>
    <w:p w14:paraId="5EA5FB15">
      <w:pPr>
        <w:spacing w:line="360" w:lineRule="auto"/>
        <w:rPr>
          <w:rFonts w:ascii="宋体" w:hAnsi="宋体"/>
          <w:szCs w:val="21"/>
        </w:rPr>
      </w:pPr>
      <w:r>
        <w:rPr>
          <w:rFonts w:ascii="宋体" w:hAnsi="宋体"/>
          <w:szCs w:val="21"/>
        </w:rPr>
        <w:t>详见采购文件“评审方法及标准/政府采购政策应用说明”。</w:t>
      </w:r>
    </w:p>
    <w:p w14:paraId="209E45FF">
      <w:pPr>
        <w:spacing w:line="360" w:lineRule="auto"/>
        <w:rPr>
          <w:rFonts w:ascii="宋体" w:hAnsi="宋体"/>
          <w:szCs w:val="21"/>
        </w:rPr>
      </w:pPr>
      <w:r>
        <w:rPr>
          <w:rFonts w:ascii="宋体" w:hAnsi="宋体"/>
          <w:szCs w:val="21"/>
        </w:rPr>
        <w:t>2.采购需求要求未尽事宜由采购人与成交供应商在采购合同中约定。</w:t>
      </w:r>
    </w:p>
    <w:p w14:paraId="72F01AA8">
      <w:pPr>
        <w:spacing w:line="360" w:lineRule="auto"/>
        <w:rPr>
          <w:rFonts w:ascii="宋体" w:hAnsi="宋体"/>
          <w:szCs w:val="21"/>
        </w:rPr>
      </w:pPr>
      <w:r>
        <w:rPr>
          <w:rFonts w:ascii="宋体" w:hAnsi="宋体"/>
          <w:szCs w:val="21"/>
        </w:rPr>
        <w:t>3.标注“▲”的条款或要求系指实质性条款或实质性要求，必须满足，如存在负偏离将导致响应被否决。</w:t>
      </w:r>
    </w:p>
    <w:p w14:paraId="003B82C4">
      <w:pPr>
        <w:spacing w:line="360" w:lineRule="auto"/>
        <w:rPr>
          <w:rFonts w:ascii="宋体" w:hAnsi="宋体"/>
          <w:b/>
          <w:kern w:val="0"/>
          <w:sz w:val="28"/>
          <w:szCs w:val="28"/>
        </w:rPr>
      </w:pPr>
      <w:r>
        <w:rPr>
          <w:rFonts w:ascii="宋体" w:hAnsi="宋体"/>
          <w:b/>
          <w:kern w:val="0"/>
          <w:sz w:val="28"/>
          <w:szCs w:val="28"/>
        </w:rPr>
        <w:t>二、技术要求</w:t>
      </w:r>
    </w:p>
    <w:p w14:paraId="061443B1">
      <w:pPr>
        <w:spacing w:line="360" w:lineRule="auto"/>
        <w:rPr>
          <w:rFonts w:ascii="宋体" w:hAnsi="宋体"/>
          <w:szCs w:val="21"/>
        </w:rPr>
      </w:pPr>
      <w:r>
        <w:rPr>
          <w:rFonts w:ascii="宋体" w:hAnsi="宋体"/>
          <w:szCs w:val="21"/>
        </w:rPr>
        <w:t>1.需实现的功能、目标及应用场景</w:t>
      </w:r>
    </w:p>
    <w:p w14:paraId="52759067">
      <w:pPr>
        <w:spacing w:line="360" w:lineRule="auto"/>
        <w:rPr>
          <w:rFonts w:ascii="宋体" w:hAnsi="宋体"/>
          <w:szCs w:val="21"/>
        </w:rPr>
      </w:pPr>
      <w:r>
        <w:rPr>
          <w:rFonts w:ascii="宋体" w:hAnsi="宋体"/>
          <w:szCs w:val="21"/>
        </w:rPr>
        <w:t>满足采购文件要求，验收达到合格标准。</w:t>
      </w:r>
    </w:p>
    <w:p w14:paraId="0331A2FD">
      <w:pPr>
        <w:spacing w:line="360" w:lineRule="auto"/>
        <w:rPr>
          <w:rFonts w:ascii="宋体" w:hAnsi="宋体"/>
          <w:szCs w:val="21"/>
        </w:rPr>
      </w:pPr>
      <w:r>
        <w:rPr>
          <w:rFonts w:ascii="宋体" w:hAnsi="宋体"/>
          <w:szCs w:val="21"/>
        </w:rPr>
        <w:t>2.需执行的国家相关标准、行业标准、地方标准或者其他标准、规范</w:t>
      </w:r>
    </w:p>
    <w:p w14:paraId="22466FE5">
      <w:pPr>
        <w:spacing w:line="360" w:lineRule="auto"/>
        <w:rPr>
          <w:rFonts w:ascii="宋体" w:hAnsi="宋体"/>
          <w:i/>
          <w:szCs w:val="21"/>
          <w:u w:val="single"/>
        </w:rPr>
      </w:pPr>
      <w:r>
        <w:rPr>
          <w:rFonts w:ascii="宋体" w:hAnsi="宋体"/>
          <w:szCs w:val="21"/>
        </w:rPr>
        <w:t>本项目应执行的国家相关标准、行业标准、地方标准或者其他标准、规范为：</w:t>
      </w:r>
      <w:r>
        <w:rPr>
          <w:rFonts w:ascii="宋体" w:hAnsi="宋体"/>
          <w:szCs w:val="21"/>
          <w:u w:val="single"/>
        </w:rPr>
        <w:t xml:space="preserve"> </w:t>
      </w:r>
      <w:r>
        <w:rPr>
          <w:rFonts w:ascii="宋体" w:hAnsi="宋体"/>
          <w:i/>
          <w:szCs w:val="21"/>
          <w:u w:val="single"/>
        </w:rPr>
        <w:t>详见技术指标要求.</w:t>
      </w:r>
    </w:p>
    <w:p w14:paraId="033F6F93">
      <w:pPr>
        <w:spacing w:line="360" w:lineRule="auto"/>
        <w:rPr>
          <w:rFonts w:ascii="宋体" w:hAnsi="宋体"/>
          <w:szCs w:val="21"/>
        </w:rPr>
      </w:pPr>
      <w:r>
        <w:rPr>
          <w:rFonts w:ascii="宋体" w:hAnsi="宋体"/>
          <w:szCs w:val="21"/>
        </w:rPr>
        <w:t>3.标的所属行业：</w:t>
      </w:r>
      <w:r>
        <w:rPr>
          <w:rFonts w:hint="eastAsia" w:ascii="宋体" w:hAnsi="宋体"/>
          <w:szCs w:val="21"/>
        </w:rPr>
        <w:t>租赁和商务服务业</w:t>
      </w:r>
    </w:p>
    <w:p w14:paraId="33A81A8B">
      <w:pPr>
        <w:spacing w:line="360" w:lineRule="auto"/>
        <w:rPr>
          <w:rFonts w:ascii="宋体" w:hAnsi="宋体"/>
          <w:szCs w:val="21"/>
        </w:rPr>
      </w:pPr>
      <w:r>
        <w:rPr>
          <w:rFonts w:ascii="宋体" w:hAnsi="宋体"/>
          <w:szCs w:val="21"/>
        </w:rPr>
        <w:t>4.核心产品</w:t>
      </w:r>
    </w:p>
    <w:p w14:paraId="530F0C8E">
      <w:pPr>
        <w:spacing w:line="360" w:lineRule="auto"/>
        <w:rPr>
          <w:rFonts w:ascii="宋体" w:hAnsi="宋体"/>
          <w:szCs w:val="21"/>
        </w:rPr>
      </w:pPr>
      <w:r>
        <w:rPr>
          <w:rFonts w:ascii="宋体" w:hAnsi="宋体"/>
          <w:szCs w:val="21"/>
        </w:rPr>
        <w:t>本项目为服务项目，不适用核心产品规定。</w:t>
      </w:r>
    </w:p>
    <w:p w14:paraId="03618E10">
      <w:pPr>
        <w:spacing w:line="360" w:lineRule="auto"/>
        <w:rPr>
          <w:rFonts w:ascii="宋体" w:hAnsi="宋体"/>
          <w:b/>
          <w:bCs/>
          <w:szCs w:val="21"/>
        </w:rPr>
      </w:pPr>
      <w:r>
        <w:rPr>
          <w:rFonts w:ascii="宋体" w:hAnsi="宋体"/>
          <w:b/>
          <w:bCs/>
          <w:szCs w:val="21"/>
        </w:rPr>
        <w:t>5.服务内容和标准</w:t>
      </w:r>
      <w:bookmarkStart w:id="16" w:name="_Hlk132788047"/>
    </w:p>
    <w:bookmarkEnd w:id="16"/>
    <w:tbl>
      <w:tblPr>
        <w:tblStyle w:val="51"/>
        <w:tblW w:w="938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0"/>
        <w:gridCol w:w="1080"/>
        <w:gridCol w:w="862"/>
        <w:gridCol w:w="6961"/>
      </w:tblGrid>
      <w:tr w14:paraId="4C7D2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80" w:type="dxa"/>
            <w:tcBorders>
              <w:top w:val="single" w:color="auto" w:sz="4" w:space="0"/>
              <w:left w:val="single" w:color="auto" w:sz="4" w:space="0"/>
              <w:bottom w:val="single" w:color="auto" w:sz="4" w:space="0"/>
              <w:right w:val="single" w:color="auto" w:sz="4" w:space="0"/>
            </w:tcBorders>
            <w:vAlign w:val="center"/>
          </w:tcPr>
          <w:p w14:paraId="5093B38F">
            <w:pPr>
              <w:tabs>
                <w:tab w:val="center" w:pos="4153"/>
                <w:tab w:val="right" w:pos="8306"/>
              </w:tabs>
              <w:adjustRightInd w:val="0"/>
              <w:snapToGrid w:val="0"/>
              <w:spacing w:line="380" w:lineRule="exact"/>
              <w:jc w:val="center"/>
              <w:rPr>
                <w:rFonts w:ascii="宋体" w:hAnsi="宋体"/>
                <w:b/>
                <w:szCs w:val="21"/>
              </w:rPr>
            </w:pPr>
            <w:bookmarkStart w:id="17" w:name="_Hlk132878399"/>
            <w:r>
              <w:rPr>
                <w:rFonts w:ascii="宋体" w:hAnsi="宋体"/>
                <w:b/>
                <w:szCs w:val="21"/>
              </w:rPr>
              <w:t>序号</w:t>
            </w:r>
          </w:p>
        </w:tc>
        <w:tc>
          <w:tcPr>
            <w:tcW w:w="1080" w:type="dxa"/>
            <w:tcBorders>
              <w:top w:val="single" w:color="auto" w:sz="4" w:space="0"/>
              <w:left w:val="single" w:color="auto" w:sz="4" w:space="0"/>
              <w:bottom w:val="single" w:color="auto" w:sz="4" w:space="0"/>
              <w:right w:val="single" w:color="auto" w:sz="4" w:space="0"/>
            </w:tcBorders>
            <w:vAlign w:val="center"/>
          </w:tcPr>
          <w:p w14:paraId="4D5C542F">
            <w:pPr>
              <w:adjustRightInd w:val="0"/>
              <w:snapToGrid w:val="0"/>
              <w:spacing w:line="380" w:lineRule="exact"/>
              <w:jc w:val="center"/>
              <w:rPr>
                <w:rFonts w:ascii="宋体" w:hAnsi="宋体"/>
                <w:b/>
                <w:szCs w:val="21"/>
              </w:rPr>
            </w:pPr>
            <w:r>
              <w:rPr>
                <w:rFonts w:ascii="宋体" w:hAnsi="宋体"/>
                <w:b/>
                <w:szCs w:val="21"/>
              </w:rPr>
              <w:t>服务名称</w:t>
            </w:r>
          </w:p>
        </w:tc>
        <w:tc>
          <w:tcPr>
            <w:tcW w:w="862" w:type="dxa"/>
            <w:tcBorders>
              <w:top w:val="single" w:color="auto" w:sz="4" w:space="0"/>
              <w:left w:val="single" w:color="auto" w:sz="4" w:space="0"/>
              <w:bottom w:val="single" w:color="auto" w:sz="4" w:space="0"/>
              <w:right w:val="single" w:color="auto" w:sz="4" w:space="0"/>
            </w:tcBorders>
            <w:vAlign w:val="center"/>
          </w:tcPr>
          <w:p w14:paraId="6A1663BE">
            <w:pPr>
              <w:adjustRightInd w:val="0"/>
              <w:snapToGrid w:val="0"/>
              <w:spacing w:line="380" w:lineRule="exact"/>
              <w:jc w:val="center"/>
              <w:rPr>
                <w:rFonts w:ascii="宋体" w:hAnsi="宋体"/>
                <w:b/>
                <w:szCs w:val="21"/>
              </w:rPr>
            </w:pPr>
            <w:r>
              <w:rPr>
                <w:rFonts w:ascii="宋体" w:hAnsi="宋体"/>
                <w:b/>
                <w:szCs w:val="21"/>
              </w:rPr>
              <w:t>数量</w:t>
            </w:r>
          </w:p>
        </w:tc>
        <w:tc>
          <w:tcPr>
            <w:tcW w:w="6961" w:type="dxa"/>
            <w:tcBorders>
              <w:top w:val="single" w:color="auto" w:sz="4" w:space="0"/>
              <w:left w:val="single" w:color="auto" w:sz="4" w:space="0"/>
              <w:bottom w:val="single" w:color="auto" w:sz="4" w:space="0"/>
              <w:right w:val="single" w:color="auto" w:sz="4" w:space="0"/>
            </w:tcBorders>
            <w:vAlign w:val="center"/>
          </w:tcPr>
          <w:p w14:paraId="77FD539A">
            <w:pPr>
              <w:adjustRightInd w:val="0"/>
              <w:snapToGrid w:val="0"/>
              <w:spacing w:line="380" w:lineRule="exact"/>
              <w:jc w:val="center"/>
              <w:rPr>
                <w:rFonts w:ascii="宋体" w:hAnsi="宋体"/>
                <w:b/>
                <w:szCs w:val="21"/>
              </w:rPr>
            </w:pPr>
            <w:r>
              <w:rPr>
                <w:rFonts w:ascii="宋体" w:hAnsi="宋体"/>
                <w:b/>
                <w:szCs w:val="21"/>
              </w:rPr>
              <w:t>项目要求及技术需求</w:t>
            </w:r>
          </w:p>
        </w:tc>
      </w:tr>
      <w:tr w14:paraId="3A1EF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80" w:type="dxa"/>
            <w:tcBorders>
              <w:top w:val="single" w:color="auto" w:sz="4" w:space="0"/>
              <w:left w:val="single" w:color="auto" w:sz="4" w:space="0"/>
              <w:bottom w:val="single" w:color="auto" w:sz="4" w:space="0"/>
              <w:right w:val="single" w:color="auto" w:sz="4" w:space="0"/>
            </w:tcBorders>
            <w:vAlign w:val="center"/>
          </w:tcPr>
          <w:p w14:paraId="77E07A2D">
            <w:pPr>
              <w:spacing w:line="360" w:lineRule="exact"/>
              <w:jc w:val="center"/>
              <w:rPr>
                <w:rFonts w:ascii="宋体" w:hAnsi="宋体"/>
                <w:szCs w:val="21"/>
              </w:rPr>
            </w:pPr>
            <w:r>
              <w:rPr>
                <w:rFonts w:ascii="宋体" w:hAnsi="宋体"/>
                <w:szCs w:val="21"/>
              </w:rPr>
              <w:t>1</w:t>
            </w:r>
          </w:p>
        </w:tc>
        <w:tc>
          <w:tcPr>
            <w:tcW w:w="1080" w:type="dxa"/>
            <w:tcBorders>
              <w:top w:val="single" w:color="auto" w:sz="4" w:space="0"/>
              <w:left w:val="single" w:color="auto" w:sz="4" w:space="0"/>
              <w:bottom w:val="single" w:color="auto" w:sz="4" w:space="0"/>
              <w:right w:val="single" w:color="auto" w:sz="4" w:space="0"/>
            </w:tcBorders>
            <w:vAlign w:val="center"/>
          </w:tcPr>
          <w:p w14:paraId="79BC0F46">
            <w:pPr>
              <w:spacing w:line="360" w:lineRule="exact"/>
              <w:rPr>
                <w:rFonts w:ascii="宋体" w:hAnsi="宋体"/>
                <w:szCs w:val="21"/>
              </w:rPr>
            </w:pPr>
            <w:r>
              <w:rPr>
                <w:rFonts w:hint="eastAsia" w:ascii="宋体" w:hAnsi="宋体"/>
                <w:kern w:val="0"/>
                <w:szCs w:val="21"/>
              </w:rPr>
              <w:t>第23届中国—东盟博览会接待用车招募及调度服务</w:t>
            </w:r>
          </w:p>
        </w:tc>
        <w:tc>
          <w:tcPr>
            <w:tcW w:w="862" w:type="dxa"/>
            <w:tcBorders>
              <w:top w:val="single" w:color="auto" w:sz="4" w:space="0"/>
              <w:left w:val="single" w:color="auto" w:sz="4" w:space="0"/>
              <w:bottom w:val="single" w:color="auto" w:sz="4" w:space="0"/>
              <w:right w:val="single" w:color="auto" w:sz="4" w:space="0"/>
            </w:tcBorders>
            <w:vAlign w:val="center"/>
          </w:tcPr>
          <w:p w14:paraId="3EA2E53E">
            <w:pPr>
              <w:spacing w:line="360" w:lineRule="exact"/>
              <w:jc w:val="center"/>
              <w:rPr>
                <w:rFonts w:ascii="宋体" w:hAnsi="宋体"/>
                <w:szCs w:val="21"/>
              </w:rPr>
            </w:pPr>
            <w:r>
              <w:rPr>
                <w:rFonts w:ascii="宋体" w:hAnsi="宋体"/>
                <w:szCs w:val="21"/>
              </w:rPr>
              <w:t>1项</w:t>
            </w:r>
          </w:p>
        </w:tc>
        <w:tc>
          <w:tcPr>
            <w:tcW w:w="6961" w:type="dxa"/>
            <w:tcBorders>
              <w:top w:val="single" w:color="auto" w:sz="4" w:space="0"/>
              <w:left w:val="single" w:color="auto" w:sz="4" w:space="0"/>
              <w:bottom w:val="single" w:color="auto" w:sz="4" w:space="0"/>
              <w:right w:val="single" w:color="auto" w:sz="4" w:space="0"/>
            </w:tcBorders>
            <w:vAlign w:val="center"/>
          </w:tcPr>
          <w:p w14:paraId="0A415C42">
            <w:pPr>
              <w:widowControl/>
              <w:ind w:left="420" w:leftChars="200"/>
              <w:jc w:val="left"/>
              <w:textAlignment w:val="baseline"/>
              <w:rPr>
                <w:rFonts w:ascii="宋体" w:hAnsi="宋体"/>
                <w:b/>
                <w:bCs/>
                <w:kern w:val="0"/>
                <w:szCs w:val="21"/>
              </w:rPr>
            </w:pPr>
            <w:r>
              <w:rPr>
                <w:rFonts w:ascii="宋体" w:hAnsi="宋体"/>
                <w:b/>
                <w:bCs/>
                <w:kern w:val="0"/>
                <w:szCs w:val="21"/>
              </w:rPr>
              <w:t>一、基本概况</w:t>
            </w:r>
          </w:p>
          <w:p w14:paraId="087D1690">
            <w:pPr>
              <w:widowControl/>
              <w:ind w:firstLine="420" w:firstLineChars="200"/>
              <w:textAlignment w:val="baseline"/>
              <w:rPr>
                <w:rFonts w:ascii="宋体" w:hAnsi="宋体"/>
                <w:kern w:val="0"/>
                <w:szCs w:val="21"/>
              </w:rPr>
            </w:pPr>
            <w:r>
              <w:rPr>
                <w:rFonts w:hint="eastAsia" w:ascii="宋体" w:hAnsi="宋体"/>
                <w:kern w:val="0"/>
                <w:szCs w:val="21"/>
              </w:rPr>
              <w:t>第23届中国—东盟博览会（以下简称东博会）</w:t>
            </w:r>
            <w:r>
              <w:rPr>
                <w:rFonts w:ascii="宋体" w:hAnsi="宋体"/>
                <w:kern w:val="0"/>
                <w:szCs w:val="21"/>
              </w:rPr>
              <w:t>将于202</w:t>
            </w:r>
            <w:r>
              <w:rPr>
                <w:rFonts w:hint="eastAsia" w:ascii="宋体" w:hAnsi="宋体"/>
                <w:kern w:val="0"/>
                <w:szCs w:val="21"/>
              </w:rPr>
              <w:t>6</w:t>
            </w:r>
            <w:r>
              <w:rPr>
                <w:rFonts w:ascii="宋体" w:hAnsi="宋体"/>
                <w:kern w:val="0"/>
                <w:szCs w:val="21"/>
              </w:rPr>
              <w:t>年9月</w:t>
            </w:r>
            <w:r>
              <w:rPr>
                <w:rFonts w:hint="eastAsia" w:ascii="宋体" w:hAnsi="宋体"/>
                <w:kern w:val="0"/>
                <w:szCs w:val="21"/>
              </w:rPr>
              <w:t>17</w:t>
            </w:r>
            <w:r>
              <w:rPr>
                <w:rFonts w:ascii="宋体" w:hAnsi="宋体"/>
                <w:kern w:val="0"/>
                <w:szCs w:val="21"/>
              </w:rPr>
              <w:t>至2</w:t>
            </w:r>
            <w:r>
              <w:rPr>
                <w:rFonts w:hint="eastAsia" w:ascii="宋体" w:hAnsi="宋体"/>
                <w:kern w:val="0"/>
                <w:szCs w:val="21"/>
              </w:rPr>
              <w:t>1</w:t>
            </w:r>
            <w:r>
              <w:rPr>
                <w:rFonts w:ascii="宋体" w:hAnsi="宋体"/>
                <w:kern w:val="0"/>
                <w:szCs w:val="21"/>
              </w:rPr>
              <w:t>日在</w:t>
            </w:r>
            <w:r>
              <w:rPr>
                <w:rFonts w:hint="eastAsia" w:ascii="宋体" w:hAnsi="宋体"/>
                <w:kern w:val="0"/>
                <w:szCs w:val="21"/>
              </w:rPr>
              <w:t>广西</w:t>
            </w:r>
            <w:r>
              <w:rPr>
                <w:rFonts w:ascii="宋体" w:hAnsi="宋体"/>
                <w:kern w:val="0"/>
                <w:szCs w:val="21"/>
              </w:rPr>
              <w:t>南宁举办。为做好本届东博会贵宾接待服务工作，广西国际博览事务局拟对</w:t>
            </w:r>
            <w:r>
              <w:rPr>
                <w:rFonts w:hint="eastAsia" w:ascii="宋体" w:hAnsi="宋体"/>
                <w:kern w:val="0"/>
                <w:szCs w:val="21"/>
              </w:rPr>
              <w:t>第23届中国—东盟博览会</w:t>
            </w:r>
            <w:r>
              <w:rPr>
                <w:rFonts w:ascii="宋体" w:hAnsi="宋体"/>
                <w:kern w:val="0"/>
                <w:szCs w:val="21"/>
              </w:rPr>
              <w:t>接待用车招募及调度服务采购进行竞争性磋商采购。</w:t>
            </w:r>
          </w:p>
          <w:p w14:paraId="41D749D6">
            <w:pPr>
              <w:widowControl/>
              <w:ind w:left="420" w:leftChars="200"/>
              <w:textAlignment w:val="baseline"/>
              <w:rPr>
                <w:rFonts w:ascii="宋体" w:hAnsi="宋体"/>
                <w:b/>
                <w:bCs/>
                <w:kern w:val="0"/>
                <w:szCs w:val="21"/>
              </w:rPr>
            </w:pPr>
            <w:r>
              <w:rPr>
                <w:rFonts w:ascii="宋体" w:hAnsi="宋体"/>
                <w:b/>
                <w:bCs/>
                <w:kern w:val="0"/>
                <w:szCs w:val="21"/>
              </w:rPr>
              <w:t>二、接待用车服务对象</w:t>
            </w:r>
          </w:p>
          <w:p w14:paraId="7B386111">
            <w:pPr>
              <w:widowControl/>
              <w:ind w:firstLine="420" w:firstLineChars="200"/>
              <w:textAlignment w:val="baseline"/>
              <w:rPr>
                <w:rFonts w:ascii="宋体" w:hAnsi="宋体"/>
                <w:kern w:val="0"/>
                <w:szCs w:val="21"/>
              </w:rPr>
            </w:pPr>
            <w:r>
              <w:rPr>
                <w:rFonts w:hint="eastAsia" w:ascii="宋体" w:hAnsi="宋体"/>
                <w:kern w:val="0"/>
                <w:szCs w:val="21"/>
              </w:rPr>
              <w:t>第23届中国—东盟博览会</w:t>
            </w:r>
            <w:r>
              <w:rPr>
                <w:rFonts w:ascii="宋体" w:hAnsi="宋体"/>
                <w:kern w:val="0"/>
                <w:szCs w:val="21"/>
              </w:rPr>
              <w:t>国内外特邀贵宾、特邀媒体记者及相关工作人员。</w:t>
            </w:r>
          </w:p>
          <w:p w14:paraId="3CF0D092">
            <w:pPr>
              <w:widowControl/>
              <w:ind w:firstLine="422" w:firstLineChars="200"/>
              <w:textAlignment w:val="baseline"/>
              <w:rPr>
                <w:rFonts w:ascii="宋体" w:hAnsi="宋体"/>
                <w:kern w:val="0"/>
                <w:szCs w:val="21"/>
              </w:rPr>
            </w:pPr>
            <w:r>
              <w:rPr>
                <w:rFonts w:ascii="宋体" w:hAnsi="宋体"/>
                <w:b/>
                <w:bCs/>
                <w:kern w:val="0"/>
                <w:szCs w:val="21"/>
              </w:rPr>
              <w:t>三、接待服务用车形式</w:t>
            </w:r>
          </w:p>
          <w:p w14:paraId="7D7E5391">
            <w:pPr>
              <w:widowControl/>
              <w:ind w:firstLine="420" w:firstLineChars="200"/>
              <w:textAlignment w:val="baseline"/>
              <w:rPr>
                <w:rFonts w:ascii="宋体" w:hAnsi="宋体"/>
                <w:kern w:val="0"/>
                <w:szCs w:val="21"/>
              </w:rPr>
            </w:pPr>
            <w:r>
              <w:rPr>
                <w:rFonts w:ascii="宋体" w:hAnsi="宋体"/>
                <w:kern w:val="0"/>
                <w:szCs w:val="21"/>
              </w:rPr>
              <w:t>根据采购人提供的接待对象人数及配车服务标准统筹调配接待车辆和驾驶员，在东博会期间交由各接待组调配，由对口接待单位和相关部门具体使用。</w:t>
            </w:r>
          </w:p>
          <w:p w14:paraId="7258DC68">
            <w:pPr>
              <w:widowControl/>
              <w:numPr>
                <w:ilvl w:val="0"/>
                <w:numId w:val="1"/>
              </w:numPr>
              <w:ind w:firstLine="422" w:firstLineChars="200"/>
              <w:textAlignment w:val="baseline"/>
              <w:rPr>
                <w:rFonts w:ascii="宋体" w:hAnsi="宋体"/>
                <w:b/>
                <w:bCs/>
                <w:kern w:val="0"/>
                <w:szCs w:val="21"/>
              </w:rPr>
            </w:pPr>
            <w:r>
              <w:rPr>
                <w:rFonts w:ascii="宋体" w:hAnsi="宋体"/>
                <w:b/>
                <w:bCs/>
                <w:kern w:val="0"/>
                <w:szCs w:val="21"/>
              </w:rPr>
              <w:t>服务需求</w:t>
            </w:r>
          </w:p>
          <w:p w14:paraId="560C7000">
            <w:pPr>
              <w:widowControl/>
              <w:ind w:firstLine="420" w:firstLineChars="200"/>
              <w:textAlignment w:val="baseline"/>
              <w:rPr>
                <w:rFonts w:ascii="宋体" w:hAnsi="宋体"/>
                <w:kern w:val="0"/>
                <w:szCs w:val="21"/>
              </w:rPr>
            </w:pPr>
            <w:r>
              <w:rPr>
                <w:rFonts w:ascii="宋体" w:hAnsi="宋体"/>
                <w:kern w:val="0"/>
                <w:szCs w:val="21"/>
              </w:rPr>
              <w:t>供应商须按照采购人提供的各类服务对象人数以及每类服务人群的配车服务标准向采购人提供接待用车（含驾驶服务），并根据采购人用车计划进行组织调度，针对未确定的特邀嘉宾及应急保障情况等，预留应急机动运力。</w:t>
            </w:r>
          </w:p>
          <w:p w14:paraId="36319155">
            <w:pPr>
              <w:widowControl/>
              <w:numPr>
                <w:ilvl w:val="0"/>
                <w:numId w:val="2"/>
              </w:numPr>
              <w:ind w:firstLine="422" w:firstLineChars="200"/>
              <w:textAlignment w:val="baseline"/>
              <w:rPr>
                <w:rFonts w:ascii="宋体" w:hAnsi="宋体"/>
                <w:b/>
                <w:bCs/>
                <w:kern w:val="0"/>
                <w:szCs w:val="21"/>
              </w:rPr>
            </w:pPr>
            <w:r>
              <w:rPr>
                <w:rFonts w:ascii="宋体" w:hAnsi="宋体"/>
                <w:b/>
                <w:bCs/>
                <w:kern w:val="0"/>
                <w:szCs w:val="21"/>
              </w:rPr>
              <w:t>车辆租赁服务</w:t>
            </w:r>
          </w:p>
          <w:p w14:paraId="26A141D9">
            <w:pPr>
              <w:widowControl/>
              <w:textAlignment w:val="baseline"/>
              <w:rPr>
                <w:rFonts w:ascii="宋体" w:hAnsi="宋体"/>
                <w:kern w:val="0"/>
                <w:szCs w:val="21"/>
              </w:rPr>
            </w:pPr>
            <w:r>
              <w:rPr>
                <w:rFonts w:ascii="宋体" w:hAnsi="宋体"/>
                <w:kern w:val="0"/>
                <w:szCs w:val="21"/>
              </w:rPr>
              <w:t xml:space="preserve">    1.车辆租赁需求：</w:t>
            </w:r>
            <w:r>
              <w:rPr>
                <w:rFonts w:hint="eastAsia" w:ascii="宋体" w:hAnsi="宋体"/>
                <w:kern w:val="0"/>
                <w:szCs w:val="21"/>
              </w:rPr>
              <w:t>528</w:t>
            </w:r>
            <w:r>
              <w:rPr>
                <w:rFonts w:ascii="宋体" w:hAnsi="宋体"/>
                <w:kern w:val="0"/>
                <w:szCs w:val="21"/>
              </w:rPr>
              <w:t>辆。</w:t>
            </w:r>
            <w:r>
              <w:rPr>
                <w:rFonts w:hint="eastAsia" w:ascii="宋体" w:hAnsi="宋体"/>
                <w:kern w:val="0"/>
                <w:szCs w:val="21"/>
              </w:rPr>
              <w:t>其中，车辆按天租赁需求数量为385辆，含高级轿车（国宾用车，红旗H9，异地裸车，5座）18辆，高级轿车8辆（5座），中级轿车154辆（5座），商务车134辆（7座），轻客15辆（8-13座），中客53辆（15-23座），大型客车3辆（35座以上）；车辆按次租赁需求数量为143辆，含高级轿车（国宾用车，红旗H9，异地裸车，5座）7辆，高级轿车2辆（5座），中级轿车38辆（5座），商务车32辆（7座），轻客13辆（8-13座），中客39辆（15-23座），大型客车12辆（35座以上）。</w:t>
            </w:r>
            <w:r>
              <w:rPr>
                <w:rFonts w:ascii="宋体" w:hAnsi="宋体"/>
                <w:kern w:val="0"/>
                <w:szCs w:val="21"/>
              </w:rPr>
              <w:t>若采购人需要调整实际使用车型及用车数量，供应商需无条件配合。</w:t>
            </w:r>
          </w:p>
          <w:p w14:paraId="1367DEC0">
            <w:pPr>
              <w:widowControl/>
              <w:ind w:firstLine="420" w:firstLineChars="200"/>
              <w:textAlignment w:val="baseline"/>
              <w:rPr>
                <w:rFonts w:ascii="宋体" w:hAnsi="宋体"/>
                <w:kern w:val="0"/>
                <w:szCs w:val="21"/>
              </w:rPr>
            </w:pPr>
            <w:r>
              <w:rPr>
                <w:rFonts w:ascii="宋体" w:hAnsi="宋体"/>
                <w:kern w:val="0"/>
                <w:szCs w:val="21"/>
              </w:rPr>
              <w:t>2.使用天数：5.5天。含检车1天、驾驶员培训半天、演练1天、接待服务执行3天。</w:t>
            </w:r>
            <w:r>
              <w:rPr>
                <w:rFonts w:ascii="宋体" w:hAnsi="宋体"/>
                <w:b/>
                <w:bCs/>
                <w:kern w:val="0"/>
                <w:szCs w:val="21"/>
              </w:rPr>
              <w:t>结算以实际需求和租赁天数为准。</w:t>
            </w:r>
          </w:p>
          <w:p w14:paraId="12D93914">
            <w:pPr>
              <w:widowControl/>
              <w:numPr>
                <w:ilvl w:val="0"/>
                <w:numId w:val="2"/>
              </w:numPr>
              <w:ind w:firstLine="422" w:firstLineChars="200"/>
              <w:textAlignment w:val="baseline"/>
              <w:rPr>
                <w:rFonts w:ascii="宋体" w:hAnsi="宋体"/>
                <w:b/>
                <w:bCs/>
                <w:kern w:val="0"/>
                <w:szCs w:val="21"/>
              </w:rPr>
            </w:pPr>
            <w:r>
              <w:rPr>
                <w:rFonts w:ascii="宋体" w:hAnsi="宋体"/>
                <w:b/>
                <w:bCs/>
                <w:kern w:val="0"/>
                <w:szCs w:val="21"/>
              </w:rPr>
              <w:t>驾驶员代驾服务</w:t>
            </w:r>
          </w:p>
          <w:p w14:paraId="326F7920">
            <w:pPr>
              <w:widowControl/>
              <w:ind w:firstLine="420" w:firstLineChars="200"/>
              <w:jc w:val="left"/>
              <w:textAlignment w:val="baseline"/>
              <w:rPr>
                <w:rFonts w:ascii="宋体" w:hAnsi="宋体"/>
                <w:kern w:val="0"/>
                <w:szCs w:val="21"/>
              </w:rPr>
            </w:pPr>
            <w:r>
              <w:rPr>
                <w:rFonts w:ascii="宋体" w:hAnsi="宋体"/>
                <w:kern w:val="0"/>
                <w:szCs w:val="21"/>
              </w:rPr>
              <w:t>1.代驾服务采购需求：在抽调驾驶员无法满足接待用车代驾需求的情况下，由供应商根据工作实际需求从市场解决。</w:t>
            </w:r>
            <w:r>
              <w:rPr>
                <w:rFonts w:ascii="宋体" w:hAnsi="宋体"/>
                <w:kern w:val="0"/>
                <w:szCs w:val="21"/>
                <w:lang w:val="zh-CN"/>
              </w:rPr>
              <w:t>预估需求量为</w:t>
            </w:r>
            <w:r>
              <w:rPr>
                <w:rFonts w:hint="eastAsia" w:ascii="宋体" w:hAnsi="宋体"/>
                <w:kern w:val="0"/>
                <w:szCs w:val="21"/>
              </w:rPr>
              <w:t>10-2</w:t>
            </w:r>
            <w:r>
              <w:rPr>
                <w:rFonts w:ascii="宋体" w:hAnsi="宋体"/>
                <w:kern w:val="0"/>
                <w:szCs w:val="21"/>
              </w:rPr>
              <w:t>0</w:t>
            </w:r>
            <w:r>
              <w:rPr>
                <w:rFonts w:ascii="宋体" w:hAnsi="宋体"/>
                <w:kern w:val="0"/>
                <w:szCs w:val="21"/>
                <w:lang w:val="zh-CN"/>
              </w:rPr>
              <w:t>人，</w:t>
            </w:r>
            <w:r>
              <w:rPr>
                <w:rFonts w:ascii="宋体" w:hAnsi="宋体"/>
                <w:b/>
                <w:bCs/>
                <w:kern w:val="0"/>
                <w:szCs w:val="21"/>
                <w:lang w:val="zh-CN"/>
              </w:rPr>
              <w:t>具体实际使用驾驶员数量和天数具有不确定性，须保证满足需要。</w:t>
            </w:r>
          </w:p>
          <w:p w14:paraId="798697B0">
            <w:pPr>
              <w:widowControl/>
              <w:ind w:firstLine="420" w:firstLineChars="200"/>
              <w:jc w:val="left"/>
              <w:textAlignment w:val="baseline"/>
              <w:rPr>
                <w:rFonts w:ascii="宋体" w:hAnsi="宋体"/>
                <w:kern w:val="0"/>
                <w:szCs w:val="21"/>
              </w:rPr>
            </w:pPr>
            <w:r>
              <w:rPr>
                <w:rFonts w:ascii="宋体" w:hAnsi="宋体"/>
                <w:kern w:val="0"/>
                <w:szCs w:val="21"/>
              </w:rPr>
              <w:t>2.驾驶员资质要求：</w:t>
            </w:r>
          </w:p>
          <w:p w14:paraId="3B763DB0">
            <w:pPr>
              <w:widowControl/>
              <w:ind w:firstLine="420" w:firstLineChars="200"/>
              <w:jc w:val="left"/>
              <w:textAlignment w:val="baseline"/>
              <w:rPr>
                <w:rFonts w:ascii="宋体" w:hAnsi="宋体"/>
                <w:kern w:val="0"/>
                <w:szCs w:val="21"/>
                <w:lang w:val="zh-CN"/>
              </w:rPr>
            </w:pPr>
            <w:r>
              <w:rPr>
                <w:rFonts w:ascii="宋体" w:hAnsi="宋体"/>
                <w:kern w:val="0"/>
                <w:szCs w:val="21"/>
                <w:lang w:val="zh-CN"/>
              </w:rPr>
              <w:t>（1）驾驶员要求具有5年以上驾龄，持有C1（含C1）等级以上驾驶执照，</w:t>
            </w:r>
            <w:r>
              <w:rPr>
                <w:rFonts w:ascii="宋体" w:hAnsi="宋体"/>
                <w:kern w:val="0"/>
                <w:szCs w:val="21"/>
              </w:rPr>
              <w:t>身体健康,熟悉南宁市道路情况。</w:t>
            </w:r>
          </w:p>
          <w:p w14:paraId="4229616E">
            <w:pPr>
              <w:widowControl/>
              <w:ind w:firstLine="420" w:firstLineChars="200"/>
              <w:jc w:val="left"/>
              <w:textAlignment w:val="baseline"/>
              <w:rPr>
                <w:rFonts w:ascii="宋体" w:hAnsi="宋体"/>
                <w:kern w:val="0"/>
                <w:szCs w:val="21"/>
                <w:lang w:val="zh-CN"/>
              </w:rPr>
            </w:pPr>
            <w:r>
              <w:rPr>
                <w:rFonts w:ascii="宋体" w:hAnsi="宋体"/>
                <w:kern w:val="0"/>
                <w:szCs w:val="21"/>
                <w:lang w:val="zh-CN"/>
              </w:rPr>
              <w:t>（2）车辆驾驶员符合</w:t>
            </w:r>
            <w:r>
              <w:rPr>
                <w:rFonts w:hint="eastAsia" w:ascii="宋体" w:hAnsi="宋体"/>
                <w:kern w:val="0"/>
                <w:szCs w:val="21"/>
                <w:lang w:val="zh-CN"/>
              </w:rPr>
              <w:t>指挥中心</w:t>
            </w:r>
            <w:r>
              <w:rPr>
                <w:rFonts w:ascii="宋体" w:hAnsi="宋体"/>
                <w:kern w:val="0"/>
                <w:szCs w:val="21"/>
                <w:lang w:val="zh-CN"/>
              </w:rPr>
              <w:t>安全保卫部门审查，符合东博会接待车辆驾驶员安全要求。</w:t>
            </w:r>
          </w:p>
          <w:p w14:paraId="488B804B">
            <w:pPr>
              <w:widowControl/>
              <w:ind w:firstLine="420" w:firstLineChars="200"/>
              <w:jc w:val="left"/>
              <w:textAlignment w:val="baseline"/>
              <w:rPr>
                <w:rFonts w:ascii="宋体" w:hAnsi="宋体"/>
                <w:kern w:val="0"/>
                <w:szCs w:val="21"/>
                <w:lang w:val="zh-CN"/>
              </w:rPr>
            </w:pPr>
            <w:r>
              <w:rPr>
                <w:rFonts w:ascii="宋体" w:hAnsi="宋体"/>
                <w:kern w:val="0"/>
                <w:szCs w:val="21"/>
              </w:rPr>
              <w:t>（3）</w:t>
            </w:r>
            <w:r>
              <w:rPr>
                <w:rFonts w:ascii="宋体" w:hAnsi="宋体"/>
                <w:kern w:val="0"/>
                <w:szCs w:val="21"/>
                <w:lang w:val="zh-CN"/>
              </w:rPr>
              <w:t>符合《南宁市出租汽车客运管理条例》中的驾驶员要求。</w:t>
            </w:r>
          </w:p>
          <w:p w14:paraId="2AC59417">
            <w:pPr>
              <w:widowControl/>
              <w:ind w:firstLine="420" w:firstLineChars="200"/>
              <w:jc w:val="left"/>
              <w:textAlignment w:val="baseline"/>
              <w:rPr>
                <w:rFonts w:ascii="宋体" w:hAnsi="宋体"/>
                <w:kern w:val="0"/>
                <w:szCs w:val="21"/>
                <w:lang w:val="zh-CN"/>
              </w:rPr>
            </w:pPr>
            <w:r>
              <w:rPr>
                <w:rFonts w:hint="eastAsia" w:ascii="宋体" w:hAnsi="宋体"/>
                <w:kern w:val="0"/>
                <w:szCs w:val="21"/>
                <w:lang w:val="zh-CN"/>
              </w:rPr>
              <w:t>（</w:t>
            </w:r>
            <w:r>
              <w:rPr>
                <w:rFonts w:hint="eastAsia" w:ascii="宋体" w:hAnsi="宋体"/>
                <w:kern w:val="0"/>
                <w:szCs w:val="21"/>
              </w:rPr>
              <w:t>4</w:t>
            </w:r>
            <w:r>
              <w:rPr>
                <w:rFonts w:hint="eastAsia" w:ascii="宋体" w:hAnsi="宋体"/>
                <w:kern w:val="0"/>
                <w:szCs w:val="21"/>
                <w:lang w:val="zh-CN"/>
              </w:rPr>
              <w:t>）驾驶员需遵守接待工作部工作纪律和工作要求。</w:t>
            </w:r>
          </w:p>
          <w:p w14:paraId="78CEFDD5">
            <w:pPr>
              <w:widowControl/>
              <w:numPr>
                <w:ilvl w:val="0"/>
                <w:numId w:val="2"/>
              </w:numPr>
              <w:ind w:firstLine="422" w:firstLineChars="200"/>
              <w:textAlignment w:val="baseline"/>
              <w:rPr>
                <w:rFonts w:ascii="宋体" w:hAnsi="宋体"/>
                <w:b/>
                <w:bCs/>
                <w:kern w:val="0"/>
                <w:szCs w:val="21"/>
              </w:rPr>
            </w:pPr>
            <w:r>
              <w:rPr>
                <w:rFonts w:ascii="宋体" w:hAnsi="宋体"/>
                <w:b/>
                <w:bCs/>
                <w:kern w:val="0"/>
                <w:szCs w:val="21"/>
              </w:rPr>
              <w:t>车辆调配服务</w:t>
            </w:r>
          </w:p>
          <w:p w14:paraId="37ECDF86">
            <w:pPr>
              <w:widowControl/>
              <w:ind w:firstLine="420"/>
              <w:textAlignment w:val="baseline"/>
              <w:rPr>
                <w:rFonts w:ascii="宋体" w:hAnsi="宋体"/>
                <w:kern w:val="0"/>
                <w:szCs w:val="21"/>
              </w:rPr>
            </w:pPr>
            <w:r>
              <w:rPr>
                <w:rFonts w:ascii="宋体" w:hAnsi="宋体"/>
                <w:kern w:val="0"/>
                <w:szCs w:val="21"/>
              </w:rPr>
              <w:t>供应商须按采购人要求，配齐配好驻点工作人员并提供相应服务。</w:t>
            </w:r>
          </w:p>
          <w:p w14:paraId="1547D6FF">
            <w:pPr>
              <w:widowControl/>
              <w:ind w:firstLine="420"/>
              <w:textAlignment w:val="baseline"/>
              <w:rPr>
                <w:rFonts w:ascii="宋体" w:hAnsi="宋体"/>
                <w:b/>
                <w:bCs/>
                <w:kern w:val="0"/>
                <w:szCs w:val="21"/>
              </w:rPr>
            </w:pPr>
            <w:r>
              <w:rPr>
                <w:rFonts w:ascii="宋体" w:hAnsi="宋体"/>
                <w:b/>
                <w:bCs/>
                <w:kern w:val="0"/>
                <w:szCs w:val="21"/>
              </w:rPr>
              <w:t>1.车辆资源调配小组：</w:t>
            </w:r>
            <w:r>
              <w:rPr>
                <w:rFonts w:hint="eastAsia" w:ascii="宋体" w:hAnsi="宋体"/>
                <w:b/>
                <w:bCs/>
                <w:kern w:val="0"/>
                <w:szCs w:val="21"/>
              </w:rPr>
              <w:t>9</w:t>
            </w:r>
            <w:r>
              <w:rPr>
                <w:rFonts w:ascii="宋体" w:hAnsi="宋体"/>
                <w:b/>
                <w:bCs/>
                <w:kern w:val="0"/>
                <w:szCs w:val="21"/>
              </w:rPr>
              <w:t>人。</w:t>
            </w:r>
            <w:r>
              <w:rPr>
                <w:rFonts w:ascii="宋体" w:hAnsi="宋体"/>
                <w:kern w:val="0"/>
                <w:szCs w:val="21"/>
              </w:rPr>
              <w:t>含供应商公司负责人1人，中层领导或干部1人，工作人员</w:t>
            </w:r>
            <w:r>
              <w:rPr>
                <w:rFonts w:hint="eastAsia" w:ascii="宋体" w:hAnsi="宋体"/>
                <w:kern w:val="0"/>
                <w:szCs w:val="21"/>
              </w:rPr>
              <w:t>3</w:t>
            </w:r>
            <w:r>
              <w:rPr>
                <w:rFonts w:ascii="宋体" w:hAnsi="宋体"/>
                <w:kern w:val="0"/>
                <w:szCs w:val="21"/>
              </w:rPr>
              <w:t>名，实习生4名</w:t>
            </w:r>
            <w:r>
              <w:rPr>
                <w:rStyle w:val="58"/>
                <w:rFonts w:ascii="宋体" w:hAnsi="宋体"/>
              </w:rPr>
              <w:t>（由采购人协助供应商招聘，供应商使用并支付实习生薪酬）</w:t>
            </w:r>
            <w:r>
              <w:rPr>
                <w:rFonts w:ascii="宋体" w:hAnsi="宋体"/>
                <w:kern w:val="0"/>
                <w:szCs w:val="21"/>
              </w:rPr>
              <w:t>。</w:t>
            </w:r>
          </w:p>
          <w:p w14:paraId="000FBAC6">
            <w:pPr>
              <w:widowControl/>
              <w:ind w:firstLine="420" w:firstLineChars="200"/>
              <w:textAlignment w:val="baseline"/>
              <w:rPr>
                <w:rFonts w:ascii="宋体" w:hAnsi="宋体"/>
                <w:kern w:val="0"/>
                <w:szCs w:val="21"/>
              </w:rPr>
            </w:pPr>
            <w:r>
              <w:rPr>
                <w:rFonts w:ascii="宋体" w:hAnsi="宋体"/>
                <w:kern w:val="0"/>
                <w:szCs w:val="21"/>
              </w:rPr>
              <w:t>（1）驻点时间：签订合同之日起至项目结算完毕，负责人及工作人员进驻时间不少于3个月。原则上需全脱产投入东博会委托业务工作。</w:t>
            </w:r>
          </w:p>
          <w:p w14:paraId="767CF200">
            <w:pPr>
              <w:widowControl/>
              <w:ind w:firstLine="420" w:firstLineChars="200"/>
              <w:textAlignment w:val="baseline"/>
              <w:rPr>
                <w:rFonts w:ascii="宋体" w:hAnsi="宋体"/>
                <w:kern w:val="0"/>
                <w:szCs w:val="21"/>
              </w:rPr>
            </w:pPr>
            <w:r>
              <w:rPr>
                <w:rFonts w:ascii="宋体" w:hAnsi="宋体"/>
                <w:kern w:val="0"/>
                <w:szCs w:val="21"/>
              </w:rPr>
              <w:t>（2）能力要求：要求有大型活动接待车辆统筹调度经验，有较强的理解能力、执行力和写作能力，电脑操作熟练。</w:t>
            </w:r>
          </w:p>
          <w:p w14:paraId="325CF36C">
            <w:pPr>
              <w:widowControl/>
              <w:ind w:firstLine="420" w:firstLineChars="200"/>
              <w:textAlignment w:val="baseline"/>
              <w:rPr>
                <w:rFonts w:ascii="宋体" w:hAnsi="宋体"/>
                <w:kern w:val="0"/>
                <w:szCs w:val="21"/>
              </w:rPr>
            </w:pPr>
            <w:r>
              <w:rPr>
                <w:rFonts w:ascii="宋体" w:hAnsi="宋体"/>
                <w:kern w:val="0"/>
                <w:szCs w:val="21"/>
              </w:rPr>
              <w:t>（3）服务要求：</w:t>
            </w:r>
          </w:p>
          <w:p w14:paraId="32F33C71">
            <w:pPr>
              <w:widowControl/>
              <w:ind w:firstLine="420"/>
              <w:textAlignment w:val="baseline"/>
              <w:rPr>
                <w:rFonts w:ascii="宋体" w:hAnsi="宋体"/>
                <w:kern w:val="0"/>
                <w:szCs w:val="21"/>
              </w:rPr>
            </w:pPr>
            <w:r>
              <w:rPr>
                <w:rFonts w:hint="eastAsia" w:ascii="宋体" w:hAnsi="宋体" w:cs="宋体"/>
                <w:kern w:val="0"/>
                <w:szCs w:val="21"/>
              </w:rPr>
              <w:t>①</w:t>
            </w:r>
            <w:r>
              <w:rPr>
                <w:rFonts w:ascii="宋体" w:hAnsi="宋体"/>
                <w:kern w:val="0"/>
                <w:szCs w:val="21"/>
              </w:rPr>
              <w:t>协助组建</w:t>
            </w:r>
            <w:r>
              <w:rPr>
                <w:rFonts w:hint="eastAsia" w:ascii="宋体" w:hAnsi="宋体"/>
                <w:kern w:val="0"/>
                <w:szCs w:val="21"/>
              </w:rPr>
              <w:t>指挥中心</w:t>
            </w:r>
            <w:r>
              <w:rPr>
                <w:rFonts w:ascii="宋体" w:hAnsi="宋体"/>
                <w:kern w:val="0"/>
                <w:szCs w:val="21"/>
              </w:rPr>
              <w:t>接待工作部车辆资源调配小组；</w:t>
            </w:r>
          </w:p>
          <w:p w14:paraId="38629C75">
            <w:pPr>
              <w:widowControl/>
              <w:ind w:firstLine="420" w:firstLineChars="200"/>
              <w:textAlignment w:val="baseline"/>
              <w:rPr>
                <w:rFonts w:ascii="宋体" w:hAnsi="宋体"/>
                <w:kern w:val="0"/>
                <w:szCs w:val="21"/>
              </w:rPr>
            </w:pPr>
            <w:r>
              <w:rPr>
                <w:rFonts w:hint="eastAsia" w:ascii="宋体" w:hAnsi="宋体" w:cs="宋体"/>
                <w:kern w:val="0"/>
                <w:szCs w:val="21"/>
              </w:rPr>
              <w:t>②</w:t>
            </w:r>
            <w:r>
              <w:rPr>
                <w:rFonts w:ascii="宋体" w:hAnsi="宋体"/>
                <w:kern w:val="0"/>
                <w:szCs w:val="21"/>
              </w:rPr>
              <w:t>负责车辆资源调配小组的工作方案及手册制定、文电收发、文书处理、档案资料管理、文印及接待系统使用工作；</w:t>
            </w:r>
          </w:p>
          <w:p w14:paraId="3A191370">
            <w:pPr>
              <w:widowControl/>
              <w:ind w:firstLine="420"/>
              <w:textAlignment w:val="baseline"/>
              <w:rPr>
                <w:rFonts w:ascii="宋体" w:hAnsi="宋体"/>
                <w:kern w:val="0"/>
                <w:szCs w:val="21"/>
              </w:rPr>
            </w:pPr>
            <w:r>
              <w:rPr>
                <w:rFonts w:hint="eastAsia" w:ascii="宋体" w:hAnsi="宋体" w:cs="宋体"/>
                <w:kern w:val="0"/>
                <w:szCs w:val="21"/>
              </w:rPr>
              <w:t>③</w:t>
            </w:r>
            <w:r>
              <w:rPr>
                <w:rFonts w:ascii="宋体" w:hAnsi="宋体"/>
                <w:kern w:val="0"/>
                <w:szCs w:val="21"/>
              </w:rPr>
              <w:t>负责接待车辆车源组织、管理调配、安全检查</w:t>
            </w:r>
            <w:r>
              <w:rPr>
                <w:rFonts w:hint="eastAsia" w:ascii="宋体" w:hAnsi="宋体"/>
                <w:kern w:val="0"/>
                <w:szCs w:val="21"/>
              </w:rPr>
              <w:t>、用车登记台账建立</w:t>
            </w:r>
            <w:r>
              <w:rPr>
                <w:rFonts w:ascii="宋体" w:hAnsi="宋体"/>
                <w:kern w:val="0"/>
                <w:szCs w:val="21"/>
              </w:rPr>
              <w:t>等工作；</w:t>
            </w:r>
          </w:p>
          <w:p w14:paraId="6F0B8ED8">
            <w:pPr>
              <w:widowControl/>
              <w:ind w:firstLine="420"/>
              <w:textAlignment w:val="baseline"/>
              <w:rPr>
                <w:rFonts w:ascii="宋体" w:hAnsi="宋体"/>
                <w:kern w:val="0"/>
                <w:szCs w:val="21"/>
              </w:rPr>
            </w:pPr>
            <w:r>
              <w:rPr>
                <w:rFonts w:hint="eastAsia" w:ascii="宋体" w:hAnsi="宋体" w:cs="宋体"/>
                <w:kern w:val="0"/>
                <w:szCs w:val="21"/>
              </w:rPr>
              <w:t>④</w:t>
            </w:r>
            <w:r>
              <w:rPr>
                <w:rFonts w:ascii="宋体" w:hAnsi="宋体"/>
                <w:kern w:val="0"/>
                <w:szCs w:val="21"/>
              </w:rPr>
              <w:t>负责落实和调配会期“点对点”</w:t>
            </w:r>
            <w:r>
              <w:rPr>
                <w:rFonts w:hint="eastAsia" w:ascii="宋体" w:hAnsi="宋体"/>
                <w:kern w:val="0"/>
                <w:szCs w:val="21"/>
              </w:rPr>
              <w:t>巴士</w:t>
            </w:r>
            <w:r>
              <w:rPr>
                <w:rFonts w:ascii="宋体" w:hAnsi="宋体"/>
                <w:kern w:val="0"/>
                <w:szCs w:val="21"/>
              </w:rPr>
              <w:t>工作；</w:t>
            </w:r>
          </w:p>
          <w:p w14:paraId="2973E889">
            <w:pPr>
              <w:widowControl/>
              <w:ind w:firstLine="420" w:firstLineChars="200"/>
              <w:textAlignment w:val="baseline"/>
              <w:rPr>
                <w:rFonts w:hint="eastAsia" w:ascii="宋体" w:hAnsi="宋体"/>
                <w:kern w:val="0"/>
                <w:szCs w:val="21"/>
              </w:rPr>
            </w:pPr>
            <w:r>
              <w:rPr>
                <w:rFonts w:hint="eastAsia" w:ascii="宋体" w:hAnsi="宋体" w:cs="宋体"/>
                <w:kern w:val="0"/>
                <w:szCs w:val="21"/>
              </w:rPr>
              <w:t>⑤</w:t>
            </w:r>
            <w:r>
              <w:rPr>
                <w:rFonts w:ascii="宋体" w:hAnsi="宋体"/>
                <w:kern w:val="0"/>
                <w:szCs w:val="21"/>
              </w:rPr>
              <w:t>负责车辆资源调配小组工作人员、驾驶员及接待车辆的东博会证件申办、发放和管理；</w:t>
            </w:r>
            <w:r>
              <w:rPr>
                <w:rFonts w:hint="eastAsia" w:ascii="宋体" w:hAnsi="宋体"/>
                <w:kern w:val="0"/>
                <w:szCs w:val="21"/>
              </w:rPr>
              <w:t>协助供应商、赞助商做好裸车、赞助用车临时车牌的办理。</w:t>
            </w:r>
          </w:p>
          <w:p w14:paraId="5EAC912E">
            <w:pPr>
              <w:widowControl/>
              <w:ind w:firstLine="420" w:firstLineChars="200"/>
              <w:textAlignment w:val="baseline"/>
              <w:rPr>
                <w:rFonts w:ascii="宋体" w:hAnsi="宋体"/>
                <w:kern w:val="0"/>
                <w:szCs w:val="21"/>
              </w:rPr>
            </w:pPr>
            <w:r>
              <w:rPr>
                <w:rFonts w:hint="eastAsia" w:ascii="宋体" w:hAnsi="宋体" w:cs="宋体"/>
                <w:kern w:val="0"/>
                <w:szCs w:val="21"/>
              </w:rPr>
              <w:t>⑥</w:t>
            </w:r>
            <w:r>
              <w:rPr>
                <w:rFonts w:ascii="宋体" w:hAnsi="宋体"/>
                <w:kern w:val="0"/>
                <w:szCs w:val="21"/>
              </w:rPr>
              <w:t>负责协助做好车辆资源调配小组与各相关部门、各执行小组的沟通协调工作。</w:t>
            </w:r>
          </w:p>
          <w:p w14:paraId="1D4A8182">
            <w:pPr>
              <w:widowControl/>
              <w:ind w:firstLine="420" w:firstLineChars="200"/>
              <w:textAlignment w:val="baseline"/>
              <w:rPr>
                <w:rFonts w:ascii="宋体" w:hAnsi="宋体"/>
                <w:kern w:val="0"/>
                <w:szCs w:val="21"/>
              </w:rPr>
            </w:pPr>
            <w:r>
              <w:rPr>
                <w:rFonts w:hint="eastAsia" w:ascii="宋体" w:hAnsi="宋体" w:cs="宋体"/>
                <w:kern w:val="0"/>
                <w:szCs w:val="21"/>
              </w:rPr>
              <w:t>⑦</w:t>
            </w:r>
            <w:r>
              <w:rPr>
                <w:rFonts w:ascii="宋体" w:hAnsi="宋体"/>
                <w:kern w:val="0"/>
                <w:szCs w:val="21"/>
              </w:rPr>
              <w:t>负责做好本组抽调人员、实习生、志愿者及驾驶员组织、培训与管理</w:t>
            </w:r>
            <w:r>
              <w:rPr>
                <w:rFonts w:hint="eastAsia" w:ascii="宋体" w:hAnsi="宋体"/>
                <w:kern w:val="0"/>
                <w:szCs w:val="21"/>
              </w:rPr>
              <w:t>，包含但不限于做好主动提醒接待对象按公务差旅标准缴纳交通费等内容的培训</w:t>
            </w:r>
            <w:r>
              <w:rPr>
                <w:rFonts w:ascii="宋体" w:hAnsi="宋体"/>
                <w:kern w:val="0"/>
                <w:szCs w:val="21"/>
              </w:rPr>
              <w:t>；</w:t>
            </w:r>
          </w:p>
          <w:p w14:paraId="4E570C00">
            <w:pPr>
              <w:widowControl/>
              <w:ind w:firstLine="420" w:firstLineChars="200"/>
              <w:textAlignment w:val="baseline"/>
              <w:rPr>
                <w:rFonts w:ascii="宋体" w:hAnsi="宋体"/>
                <w:kern w:val="0"/>
                <w:szCs w:val="21"/>
              </w:rPr>
            </w:pPr>
            <w:r>
              <w:rPr>
                <w:rFonts w:hint="eastAsia" w:ascii="宋体" w:hAnsi="宋体" w:cs="宋体"/>
                <w:kern w:val="0"/>
                <w:szCs w:val="21"/>
              </w:rPr>
              <w:t>⑧</w:t>
            </w:r>
            <w:r>
              <w:rPr>
                <w:rFonts w:ascii="宋体" w:hAnsi="宋体"/>
                <w:kern w:val="0"/>
                <w:szCs w:val="21"/>
              </w:rPr>
              <w:t>负责车辆资源调配小组办公场地布置、后勤保障、物资保管及使用调配管理;</w:t>
            </w:r>
          </w:p>
          <w:p w14:paraId="7C74498B">
            <w:pPr>
              <w:widowControl/>
              <w:ind w:firstLine="420" w:firstLineChars="200"/>
              <w:textAlignment w:val="baseline"/>
              <w:rPr>
                <w:rFonts w:hint="eastAsia" w:ascii="宋体" w:hAnsi="宋体"/>
                <w:kern w:val="0"/>
                <w:szCs w:val="21"/>
              </w:rPr>
            </w:pPr>
            <w:r>
              <w:rPr>
                <w:rFonts w:hint="eastAsia" w:ascii="宋体" w:hAnsi="宋体" w:cs="宋体"/>
                <w:kern w:val="0"/>
                <w:szCs w:val="21"/>
              </w:rPr>
              <w:t>⑨</w:t>
            </w:r>
            <w:r>
              <w:rPr>
                <w:rFonts w:hint="eastAsia" w:ascii="宋体" w:hAnsi="宋体"/>
                <w:kern w:val="0"/>
                <w:szCs w:val="21"/>
              </w:rPr>
              <w:t>负责按规定主动提醒享有接待用车服务、并需按公务差旅标准缴纳交通费用的境内宾客，按每人每天80元标准支付交通费。负责设计制作收费二维码、温馨提示牌并放置在内部接待场所、接待车辆内醒目位置。负责向宾客开具发票并保留收款凭证备查。乙方收取的交通费直接冲抵甲方需支付的车辆租赁费，并负责接待车辆相关费用统计、结算及报销工作；</w:t>
            </w:r>
          </w:p>
          <w:p w14:paraId="143648C5">
            <w:pPr>
              <w:widowControl/>
              <w:ind w:firstLine="420" w:firstLineChars="200"/>
              <w:textAlignment w:val="baseline"/>
              <w:rPr>
                <w:rFonts w:ascii="宋体" w:hAnsi="宋体"/>
                <w:kern w:val="0"/>
                <w:szCs w:val="21"/>
              </w:rPr>
            </w:pPr>
            <w:r>
              <w:rPr>
                <w:rFonts w:hint="eastAsia" w:ascii="宋体" w:hAnsi="宋体" w:cs="宋体"/>
                <w:kern w:val="0"/>
                <w:szCs w:val="21"/>
              </w:rPr>
              <w:t>⑩</w:t>
            </w:r>
            <w:r>
              <w:rPr>
                <w:rFonts w:ascii="宋体" w:hAnsi="宋体"/>
                <w:kern w:val="0"/>
                <w:szCs w:val="21"/>
              </w:rPr>
              <w:t xml:space="preserve">负责承办接待工作部下达的其他任务。 </w:t>
            </w:r>
          </w:p>
          <w:p w14:paraId="01925702">
            <w:pPr>
              <w:widowControl/>
              <w:ind w:firstLine="422" w:firstLineChars="200"/>
              <w:textAlignment w:val="baseline"/>
              <w:rPr>
                <w:rFonts w:ascii="宋体" w:hAnsi="宋体"/>
                <w:kern w:val="0"/>
                <w:szCs w:val="21"/>
              </w:rPr>
            </w:pPr>
            <w:r>
              <w:rPr>
                <w:rFonts w:ascii="宋体" w:hAnsi="宋体"/>
                <w:b/>
                <w:bCs/>
                <w:kern w:val="0"/>
                <w:szCs w:val="21"/>
              </w:rPr>
              <w:t>2.组织调配并管理各接待组车辆调度管理员：13人。各接待组需派驻人员安排如下：</w:t>
            </w:r>
            <w:r>
              <w:rPr>
                <w:rFonts w:ascii="宋体" w:hAnsi="宋体"/>
                <w:kern w:val="0"/>
                <w:szCs w:val="21"/>
              </w:rPr>
              <w:t>外宾接待一组2人、外宾接待二组3人、内宾接待一组2人、内宾接待二组2人、台湾宾客接待组1人、港澳宾客接待组1人、新闻记者接待组2人。</w:t>
            </w:r>
          </w:p>
          <w:p w14:paraId="662085FF">
            <w:pPr>
              <w:widowControl/>
              <w:numPr>
                <w:ilvl w:val="0"/>
                <w:numId w:val="3"/>
              </w:numPr>
              <w:ind w:firstLine="420" w:firstLineChars="200"/>
              <w:textAlignment w:val="baseline"/>
              <w:rPr>
                <w:rFonts w:ascii="宋体" w:hAnsi="宋体"/>
                <w:kern w:val="0"/>
                <w:szCs w:val="21"/>
              </w:rPr>
            </w:pPr>
            <w:r>
              <w:rPr>
                <w:rFonts w:ascii="宋体" w:hAnsi="宋体"/>
                <w:kern w:val="0"/>
                <w:szCs w:val="21"/>
              </w:rPr>
              <w:t>驻点时间：202</w:t>
            </w:r>
            <w:r>
              <w:rPr>
                <w:rFonts w:hint="eastAsia" w:ascii="宋体" w:hAnsi="宋体"/>
                <w:kern w:val="0"/>
                <w:szCs w:val="21"/>
              </w:rPr>
              <w:t>6</w:t>
            </w:r>
            <w:r>
              <w:rPr>
                <w:rFonts w:ascii="宋体" w:hAnsi="宋体"/>
                <w:kern w:val="0"/>
                <w:szCs w:val="21"/>
              </w:rPr>
              <w:t>年</w:t>
            </w:r>
            <w:r>
              <w:rPr>
                <w:rFonts w:hint="eastAsia" w:ascii="宋体" w:hAnsi="宋体"/>
                <w:kern w:val="0"/>
                <w:szCs w:val="21"/>
              </w:rPr>
              <w:t>8</w:t>
            </w:r>
            <w:r>
              <w:rPr>
                <w:rFonts w:ascii="宋体" w:hAnsi="宋体"/>
                <w:kern w:val="0"/>
                <w:szCs w:val="21"/>
              </w:rPr>
              <w:t>月</w:t>
            </w:r>
            <w:r>
              <w:rPr>
                <w:rFonts w:hint="eastAsia" w:ascii="宋体" w:hAnsi="宋体"/>
                <w:kern w:val="0"/>
                <w:szCs w:val="21"/>
              </w:rPr>
              <w:t>1</w:t>
            </w:r>
            <w:r>
              <w:rPr>
                <w:rFonts w:ascii="宋体" w:hAnsi="宋体"/>
                <w:kern w:val="0"/>
                <w:szCs w:val="21"/>
              </w:rPr>
              <w:t>日至9月</w:t>
            </w:r>
            <w:r>
              <w:rPr>
                <w:rFonts w:hint="eastAsia" w:ascii="宋体" w:hAnsi="宋体"/>
                <w:kern w:val="0"/>
                <w:szCs w:val="21"/>
              </w:rPr>
              <w:t>30</w:t>
            </w:r>
            <w:r>
              <w:rPr>
                <w:rFonts w:ascii="宋体" w:hAnsi="宋体"/>
                <w:kern w:val="0"/>
                <w:szCs w:val="21"/>
              </w:rPr>
              <w:t>日。</w:t>
            </w:r>
          </w:p>
          <w:p w14:paraId="08C1702B">
            <w:pPr>
              <w:widowControl/>
              <w:numPr>
                <w:ilvl w:val="0"/>
                <w:numId w:val="3"/>
              </w:numPr>
              <w:ind w:firstLine="420" w:firstLineChars="200"/>
              <w:textAlignment w:val="baseline"/>
              <w:rPr>
                <w:rFonts w:ascii="宋体" w:hAnsi="宋体"/>
                <w:kern w:val="0"/>
                <w:szCs w:val="21"/>
              </w:rPr>
            </w:pPr>
            <w:r>
              <w:rPr>
                <w:rFonts w:ascii="宋体" w:hAnsi="宋体"/>
                <w:kern w:val="0"/>
                <w:szCs w:val="21"/>
              </w:rPr>
              <w:t>能力要求：有车辆调度和驾驶员管理工作经验</w:t>
            </w:r>
            <w:r>
              <w:rPr>
                <w:rFonts w:hint="eastAsia" w:ascii="宋体" w:hAnsi="宋体"/>
                <w:kern w:val="0"/>
                <w:szCs w:val="21"/>
              </w:rPr>
              <w:t>，</w:t>
            </w:r>
            <w:r>
              <w:rPr>
                <w:rFonts w:ascii="宋体" w:hAnsi="宋体"/>
                <w:kern w:val="0"/>
                <w:szCs w:val="21"/>
              </w:rPr>
              <w:t>有较强的统筹协调能力，电脑操作熟练。</w:t>
            </w:r>
          </w:p>
          <w:p w14:paraId="7FF8C91B">
            <w:pPr>
              <w:widowControl/>
              <w:numPr>
                <w:ilvl w:val="0"/>
                <w:numId w:val="3"/>
              </w:numPr>
              <w:ind w:firstLine="420" w:firstLineChars="200"/>
              <w:textAlignment w:val="baseline"/>
              <w:rPr>
                <w:rFonts w:ascii="宋体" w:hAnsi="宋体"/>
                <w:kern w:val="0"/>
                <w:szCs w:val="21"/>
              </w:rPr>
            </w:pPr>
            <w:r>
              <w:rPr>
                <w:rFonts w:ascii="宋体" w:hAnsi="宋体"/>
                <w:kern w:val="0"/>
                <w:szCs w:val="21"/>
              </w:rPr>
              <w:t>服务要求：</w:t>
            </w:r>
          </w:p>
          <w:p w14:paraId="06480673">
            <w:pPr>
              <w:widowControl/>
              <w:ind w:firstLine="420" w:firstLineChars="200"/>
              <w:textAlignment w:val="baseline"/>
              <w:rPr>
                <w:rFonts w:ascii="宋体" w:hAnsi="宋体"/>
                <w:kern w:val="0"/>
                <w:szCs w:val="21"/>
              </w:rPr>
            </w:pPr>
            <w:r>
              <w:rPr>
                <w:rFonts w:hint="eastAsia" w:ascii="宋体" w:hAnsi="宋体" w:cs="宋体"/>
                <w:kern w:val="0"/>
                <w:szCs w:val="21"/>
              </w:rPr>
              <w:t>①</w:t>
            </w:r>
            <w:r>
              <w:rPr>
                <w:rFonts w:ascii="宋体" w:hAnsi="宋体"/>
                <w:kern w:val="0"/>
                <w:szCs w:val="21"/>
              </w:rPr>
              <w:t>协助本接待组接待车辆的申领、管理和调配；</w:t>
            </w:r>
          </w:p>
          <w:p w14:paraId="142C2426">
            <w:pPr>
              <w:widowControl/>
              <w:ind w:firstLine="420"/>
              <w:textAlignment w:val="baseline"/>
              <w:rPr>
                <w:rFonts w:ascii="宋体" w:hAnsi="宋体"/>
                <w:kern w:val="0"/>
                <w:szCs w:val="21"/>
              </w:rPr>
            </w:pPr>
            <w:r>
              <w:rPr>
                <w:rFonts w:hint="eastAsia" w:ascii="宋体" w:hAnsi="宋体" w:cs="宋体"/>
                <w:kern w:val="0"/>
                <w:szCs w:val="21"/>
              </w:rPr>
              <w:t>②</w:t>
            </w:r>
            <w:r>
              <w:rPr>
                <w:rFonts w:ascii="宋体" w:hAnsi="宋体"/>
                <w:kern w:val="0"/>
                <w:szCs w:val="21"/>
              </w:rPr>
              <w:t>协助车辆资源调配小组开展接待车辆相关的各项工作；</w:t>
            </w:r>
          </w:p>
          <w:p w14:paraId="7C738C62">
            <w:pPr>
              <w:widowControl/>
              <w:ind w:firstLine="420"/>
              <w:textAlignment w:val="baseline"/>
              <w:rPr>
                <w:rFonts w:ascii="宋体" w:hAnsi="宋体"/>
                <w:kern w:val="0"/>
                <w:szCs w:val="21"/>
              </w:rPr>
            </w:pPr>
            <w:r>
              <w:rPr>
                <w:rFonts w:hint="eastAsia" w:ascii="宋体" w:hAnsi="宋体" w:cs="宋体"/>
                <w:kern w:val="0"/>
                <w:szCs w:val="21"/>
              </w:rPr>
              <w:t>③</w:t>
            </w:r>
            <w:r>
              <w:rPr>
                <w:rFonts w:ascii="宋体" w:hAnsi="宋体"/>
                <w:kern w:val="0"/>
                <w:szCs w:val="21"/>
              </w:rPr>
              <w:t>协助本接待组制定本接待组的重要活动车辆集结方案；</w:t>
            </w:r>
          </w:p>
          <w:p w14:paraId="77DD8FD9">
            <w:pPr>
              <w:widowControl/>
              <w:ind w:firstLine="420"/>
              <w:textAlignment w:val="baseline"/>
              <w:rPr>
                <w:rFonts w:ascii="宋体" w:hAnsi="宋体"/>
                <w:kern w:val="0"/>
                <w:szCs w:val="21"/>
              </w:rPr>
            </w:pPr>
            <w:r>
              <w:rPr>
                <w:rFonts w:hint="eastAsia" w:ascii="宋体" w:hAnsi="宋体" w:cs="宋体"/>
                <w:kern w:val="0"/>
                <w:szCs w:val="21"/>
              </w:rPr>
              <w:t>④</w:t>
            </w:r>
            <w:r>
              <w:rPr>
                <w:rFonts w:ascii="宋体" w:hAnsi="宋体"/>
                <w:kern w:val="0"/>
                <w:szCs w:val="21"/>
              </w:rPr>
              <w:t>负责本接待组接待驾驶员的管理、岗前培训、组织和食宿安排、证件申领、服装发放等后勤保障工作；</w:t>
            </w:r>
          </w:p>
          <w:p w14:paraId="09E4689A">
            <w:pPr>
              <w:widowControl/>
              <w:ind w:firstLine="420"/>
              <w:textAlignment w:val="baseline"/>
              <w:rPr>
                <w:rFonts w:ascii="宋体" w:hAnsi="宋体"/>
                <w:kern w:val="0"/>
                <w:szCs w:val="21"/>
              </w:rPr>
            </w:pPr>
            <w:r>
              <w:rPr>
                <w:rFonts w:hint="eastAsia" w:ascii="宋体" w:hAnsi="宋体" w:cs="宋体"/>
                <w:kern w:val="0"/>
                <w:szCs w:val="21"/>
              </w:rPr>
              <w:t>⑤</w:t>
            </w:r>
            <w:r>
              <w:rPr>
                <w:rFonts w:ascii="宋体" w:hAnsi="宋体"/>
                <w:kern w:val="0"/>
                <w:szCs w:val="21"/>
              </w:rPr>
              <w:t>负责本接待组接待用车的相关保障和清洁卫生工作；</w:t>
            </w:r>
          </w:p>
          <w:p w14:paraId="1A8D9DA9">
            <w:pPr>
              <w:widowControl/>
              <w:ind w:firstLine="420"/>
              <w:textAlignment w:val="baseline"/>
              <w:rPr>
                <w:rFonts w:ascii="宋体" w:hAnsi="宋体"/>
                <w:kern w:val="0"/>
                <w:szCs w:val="21"/>
              </w:rPr>
            </w:pPr>
            <w:r>
              <w:rPr>
                <w:rFonts w:hint="eastAsia" w:ascii="宋体" w:hAnsi="宋体" w:cs="宋体"/>
                <w:kern w:val="0"/>
                <w:szCs w:val="21"/>
              </w:rPr>
              <w:t>⑥</w:t>
            </w:r>
            <w:r>
              <w:rPr>
                <w:rFonts w:ascii="宋体" w:hAnsi="宋体"/>
                <w:kern w:val="0"/>
                <w:szCs w:val="21"/>
              </w:rPr>
              <w:t xml:space="preserve">完成采购人布置的各项工作。    </w:t>
            </w:r>
          </w:p>
          <w:p w14:paraId="45E61B56">
            <w:pPr>
              <w:widowControl/>
              <w:numPr>
                <w:ilvl w:val="0"/>
                <w:numId w:val="1"/>
              </w:numPr>
              <w:ind w:firstLine="422" w:firstLineChars="200"/>
              <w:textAlignment w:val="baseline"/>
              <w:rPr>
                <w:rFonts w:ascii="宋体" w:hAnsi="宋体"/>
                <w:b/>
                <w:bCs/>
                <w:kern w:val="0"/>
                <w:szCs w:val="21"/>
              </w:rPr>
            </w:pPr>
            <w:r>
              <w:rPr>
                <w:rFonts w:ascii="宋体" w:hAnsi="宋体"/>
                <w:b/>
                <w:bCs/>
                <w:kern w:val="0"/>
                <w:szCs w:val="21"/>
              </w:rPr>
              <w:t>费用构成</w:t>
            </w:r>
          </w:p>
          <w:p w14:paraId="27B37BE6">
            <w:pPr>
              <w:widowControl/>
              <w:ind w:firstLine="420" w:firstLineChars="200"/>
              <w:textAlignment w:val="baseline"/>
              <w:rPr>
                <w:rFonts w:ascii="宋体" w:hAnsi="宋体"/>
                <w:kern w:val="0"/>
                <w:szCs w:val="21"/>
              </w:rPr>
            </w:pPr>
            <w:r>
              <w:rPr>
                <w:rFonts w:ascii="宋体" w:hAnsi="宋体"/>
                <w:kern w:val="0"/>
                <w:szCs w:val="21"/>
              </w:rPr>
              <w:t>拟按总预算</w:t>
            </w:r>
            <w:r>
              <w:rPr>
                <w:rFonts w:hint="eastAsia" w:ascii="宋体" w:hAnsi="宋体"/>
                <w:kern w:val="0"/>
                <w:szCs w:val="21"/>
              </w:rPr>
              <w:t>225.5</w:t>
            </w:r>
            <w:r>
              <w:rPr>
                <w:rFonts w:ascii="宋体" w:hAnsi="宋体"/>
                <w:kern w:val="0"/>
                <w:szCs w:val="21"/>
              </w:rPr>
              <w:t>万元进行采购，该费用含车辆租赁费</w:t>
            </w:r>
            <w:r>
              <w:rPr>
                <w:rFonts w:hint="eastAsia" w:ascii="宋体" w:hAnsi="宋体"/>
                <w:kern w:val="0"/>
                <w:szCs w:val="21"/>
              </w:rPr>
              <w:t>209.5</w:t>
            </w:r>
            <w:r>
              <w:rPr>
                <w:rFonts w:ascii="宋体" w:hAnsi="宋体"/>
                <w:kern w:val="0"/>
                <w:szCs w:val="21"/>
              </w:rPr>
              <w:t>万元、驾驶员代驾服务</w:t>
            </w:r>
            <w:r>
              <w:rPr>
                <w:rFonts w:hint="eastAsia" w:ascii="宋体" w:hAnsi="宋体"/>
                <w:kern w:val="0"/>
                <w:szCs w:val="21"/>
              </w:rPr>
              <w:t>费3万元</w:t>
            </w:r>
            <w:r>
              <w:rPr>
                <w:rFonts w:ascii="宋体" w:hAnsi="宋体"/>
                <w:kern w:val="0"/>
                <w:szCs w:val="21"/>
              </w:rPr>
              <w:t>及加班费</w:t>
            </w:r>
            <w:r>
              <w:rPr>
                <w:rFonts w:hint="eastAsia" w:ascii="宋体" w:hAnsi="宋体"/>
                <w:kern w:val="0"/>
                <w:szCs w:val="21"/>
              </w:rPr>
              <w:t>3</w:t>
            </w:r>
            <w:r>
              <w:rPr>
                <w:rFonts w:ascii="宋体" w:hAnsi="宋体"/>
                <w:kern w:val="0"/>
                <w:szCs w:val="21"/>
              </w:rPr>
              <w:t>万元、车辆调配服务费</w:t>
            </w:r>
            <w:r>
              <w:rPr>
                <w:rFonts w:hint="eastAsia" w:ascii="宋体" w:hAnsi="宋体"/>
                <w:kern w:val="0"/>
                <w:szCs w:val="21"/>
              </w:rPr>
              <w:t>10</w:t>
            </w:r>
            <w:r>
              <w:rPr>
                <w:rFonts w:ascii="宋体" w:hAnsi="宋体"/>
                <w:kern w:val="0"/>
                <w:szCs w:val="21"/>
              </w:rPr>
              <w:t>万元，并包含成交供应商的项目合理收益及提供车辆调配服务时产生的所有基本管理成本费用。其中：</w:t>
            </w:r>
          </w:p>
          <w:p w14:paraId="2BA4EF3D">
            <w:pPr>
              <w:widowControl/>
              <w:numPr>
                <w:ilvl w:val="0"/>
                <w:numId w:val="4"/>
              </w:numPr>
              <w:ind w:firstLine="422" w:firstLineChars="200"/>
              <w:textAlignment w:val="baseline"/>
              <w:rPr>
                <w:rFonts w:ascii="宋体" w:hAnsi="宋体"/>
                <w:b/>
                <w:bCs/>
                <w:kern w:val="0"/>
                <w:szCs w:val="21"/>
              </w:rPr>
            </w:pPr>
            <w:r>
              <w:rPr>
                <w:rFonts w:ascii="宋体" w:hAnsi="宋体"/>
                <w:b/>
                <w:bCs/>
                <w:kern w:val="0"/>
                <w:szCs w:val="21"/>
              </w:rPr>
              <w:t>车辆租赁服务费用</w:t>
            </w:r>
          </w:p>
          <w:p w14:paraId="717AB1FA">
            <w:pPr>
              <w:widowControl/>
              <w:ind w:firstLine="420" w:firstLineChars="200"/>
              <w:textAlignment w:val="baseline"/>
              <w:rPr>
                <w:rFonts w:ascii="宋体" w:hAnsi="宋体"/>
                <w:kern w:val="0"/>
                <w:szCs w:val="21"/>
              </w:rPr>
            </w:pPr>
            <w:r>
              <w:rPr>
                <w:rFonts w:ascii="宋体" w:hAnsi="宋体"/>
                <w:kern w:val="0"/>
                <w:szCs w:val="21"/>
              </w:rPr>
              <w:t>1.车辆租赁上限价格</w:t>
            </w:r>
          </w:p>
          <w:p w14:paraId="0B0AB437">
            <w:pPr>
              <w:widowControl/>
              <w:ind w:firstLine="420" w:firstLineChars="200"/>
              <w:textAlignment w:val="baseline"/>
              <w:rPr>
                <w:rFonts w:ascii="宋体" w:hAnsi="宋体"/>
                <w:kern w:val="0"/>
                <w:szCs w:val="21"/>
              </w:rPr>
            </w:pPr>
            <w:r>
              <w:rPr>
                <w:rFonts w:ascii="宋体" w:hAnsi="宋体"/>
                <w:kern w:val="0"/>
                <w:szCs w:val="21"/>
              </w:rPr>
              <w:t>（1）</w:t>
            </w:r>
            <w:r>
              <w:rPr>
                <w:rFonts w:hint="eastAsia" w:ascii="宋体" w:hAnsi="宋体"/>
                <w:kern w:val="0"/>
                <w:szCs w:val="21"/>
              </w:rPr>
              <w:t>车辆</w:t>
            </w:r>
            <w:r>
              <w:rPr>
                <w:rFonts w:hint="eastAsia" w:ascii="宋体" w:hAnsi="宋体"/>
                <w:b/>
                <w:bCs/>
                <w:kern w:val="0"/>
                <w:szCs w:val="21"/>
              </w:rPr>
              <w:t>按天</w:t>
            </w:r>
            <w:r>
              <w:rPr>
                <w:rFonts w:hint="eastAsia" w:ascii="宋体" w:hAnsi="宋体"/>
                <w:kern w:val="0"/>
                <w:szCs w:val="21"/>
              </w:rPr>
              <w:t>租赁上限价格含税</w:t>
            </w:r>
            <w:r>
              <w:rPr>
                <w:rFonts w:ascii="宋体" w:hAnsi="宋体"/>
                <w:kern w:val="0"/>
                <w:szCs w:val="21"/>
              </w:rPr>
              <w:t>，单价包含每天100公里/辆里程的车辆（含10小时驾驶服务）、燃油、过路费（南宁机场）、洗车费、停车费、检测费、车辆物料费、驾驶员培训费、工作餐费、通讯补助费、车源组织及调度等各项费用，按实际租赁</w:t>
            </w:r>
            <w:r>
              <w:rPr>
                <w:rFonts w:hint="eastAsia" w:ascii="宋体" w:hAnsi="宋体"/>
                <w:kern w:val="0"/>
                <w:szCs w:val="21"/>
              </w:rPr>
              <w:t>车型、</w:t>
            </w:r>
            <w:r>
              <w:rPr>
                <w:rFonts w:ascii="宋体" w:hAnsi="宋体"/>
                <w:kern w:val="0"/>
                <w:szCs w:val="21"/>
              </w:rPr>
              <w:t>数量、租赁天数及采购成交单价据实结算。</w:t>
            </w:r>
          </w:p>
          <w:tbl>
            <w:tblPr>
              <w:tblStyle w:val="5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74"/>
              <w:gridCol w:w="1217"/>
              <w:gridCol w:w="1365"/>
              <w:gridCol w:w="1335"/>
              <w:gridCol w:w="1284"/>
            </w:tblGrid>
            <w:tr w14:paraId="1A6F1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374" w:type="dxa"/>
                  <w:vAlign w:val="center"/>
                </w:tcPr>
                <w:p w14:paraId="34B06724">
                  <w:pPr>
                    <w:jc w:val="center"/>
                    <w:rPr>
                      <w:rFonts w:ascii="宋体" w:hAnsi="宋体"/>
                      <w:b/>
                      <w:szCs w:val="21"/>
                    </w:rPr>
                  </w:pPr>
                  <w:r>
                    <w:rPr>
                      <w:rFonts w:ascii="宋体" w:hAnsi="宋体"/>
                      <w:szCs w:val="21"/>
                    </w:rPr>
                    <w:t>▲</w:t>
                  </w:r>
                  <w:r>
                    <w:rPr>
                      <w:rFonts w:ascii="宋体" w:hAnsi="宋体"/>
                      <w:b/>
                      <w:szCs w:val="21"/>
                    </w:rPr>
                    <w:t>车辆类别</w:t>
                  </w:r>
                </w:p>
              </w:tc>
              <w:tc>
                <w:tcPr>
                  <w:tcW w:w="1217" w:type="dxa"/>
                  <w:vAlign w:val="center"/>
                </w:tcPr>
                <w:p w14:paraId="6E719CA7">
                  <w:pPr>
                    <w:jc w:val="center"/>
                    <w:rPr>
                      <w:rFonts w:ascii="宋体" w:hAnsi="宋体"/>
                      <w:b/>
                      <w:szCs w:val="21"/>
                    </w:rPr>
                  </w:pPr>
                  <w:r>
                    <w:rPr>
                      <w:rFonts w:ascii="宋体" w:hAnsi="宋体"/>
                      <w:b/>
                      <w:szCs w:val="21"/>
                    </w:rPr>
                    <w:t>预估总采购量(辆)</w:t>
                  </w:r>
                </w:p>
              </w:tc>
              <w:tc>
                <w:tcPr>
                  <w:tcW w:w="1365" w:type="dxa"/>
                  <w:vAlign w:val="center"/>
                </w:tcPr>
                <w:p w14:paraId="1793A4F0">
                  <w:pPr>
                    <w:jc w:val="center"/>
                    <w:rPr>
                      <w:rFonts w:ascii="宋体" w:hAnsi="宋体"/>
                      <w:szCs w:val="21"/>
                    </w:rPr>
                  </w:pPr>
                  <w:r>
                    <w:rPr>
                      <w:rFonts w:ascii="宋体" w:hAnsi="宋体"/>
                      <w:szCs w:val="21"/>
                    </w:rPr>
                    <w:t>▲</w:t>
                  </w:r>
                  <w:r>
                    <w:rPr>
                      <w:rFonts w:ascii="宋体" w:hAnsi="宋体"/>
                      <w:b/>
                      <w:szCs w:val="21"/>
                    </w:rPr>
                    <w:t>采购单价上限</w:t>
                  </w:r>
                  <w:r>
                    <w:rPr>
                      <w:rFonts w:ascii="宋体" w:hAnsi="宋体"/>
                      <w:szCs w:val="21"/>
                    </w:rPr>
                    <w:t>（元/辆·天）</w:t>
                  </w:r>
                </w:p>
              </w:tc>
              <w:tc>
                <w:tcPr>
                  <w:tcW w:w="1335" w:type="dxa"/>
                  <w:vAlign w:val="center"/>
                </w:tcPr>
                <w:p w14:paraId="162B3ED1">
                  <w:pPr>
                    <w:jc w:val="center"/>
                    <w:rPr>
                      <w:rFonts w:ascii="宋体" w:hAnsi="宋体"/>
                      <w:b/>
                      <w:szCs w:val="21"/>
                    </w:rPr>
                  </w:pPr>
                  <w:r>
                    <w:rPr>
                      <w:rFonts w:ascii="宋体" w:hAnsi="宋体"/>
                      <w:szCs w:val="21"/>
                    </w:rPr>
                    <w:t>▲</w:t>
                  </w:r>
                  <w:r>
                    <w:rPr>
                      <w:rFonts w:ascii="宋体" w:hAnsi="宋体"/>
                      <w:b/>
                      <w:szCs w:val="21"/>
                    </w:rPr>
                    <w:t>车型</w:t>
                  </w:r>
                </w:p>
              </w:tc>
              <w:tc>
                <w:tcPr>
                  <w:tcW w:w="1284" w:type="dxa"/>
                  <w:vAlign w:val="center"/>
                </w:tcPr>
                <w:p w14:paraId="1415912D">
                  <w:pPr>
                    <w:jc w:val="center"/>
                    <w:rPr>
                      <w:rFonts w:ascii="宋体" w:hAnsi="宋体"/>
                      <w:b/>
                      <w:szCs w:val="21"/>
                    </w:rPr>
                  </w:pPr>
                  <w:r>
                    <w:rPr>
                      <w:rFonts w:ascii="宋体" w:hAnsi="宋体"/>
                      <w:b/>
                      <w:szCs w:val="21"/>
                    </w:rPr>
                    <w:t>备注</w:t>
                  </w:r>
                </w:p>
              </w:tc>
            </w:tr>
            <w:tr w14:paraId="6BF34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3" w:hRule="atLeast"/>
              </w:trPr>
              <w:tc>
                <w:tcPr>
                  <w:tcW w:w="1374" w:type="dxa"/>
                  <w:vAlign w:val="center"/>
                </w:tcPr>
                <w:p w14:paraId="32B0E554">
                  <w:pPr>
                    <w:jc w:val="center"/>
                    <w:rPr>
                      <w:rFonts w:ascii="宋体" w:hAnsi="宋体"/>
                      <w:szCs w:val="21"/>
                    </w:rPr>
                  </w:pPr>
                  <w:r>
                    <w:rPr>
                      <w:rFonts w:hint="eastAsia" w:ascii="宋体" w:hAnsi="宋体"/>
                      <w:szCs w:val="21"/>
                    </w:rPr>
                    <w:t>高级轿车（国宾用车，5座）</w:t>
                  </w:r>
                </w:p>
              </w:tc>
              <w:tc>
                <w:tcPr>
                  <w:tcW w:w="1217" w:type="dxa"/>
                  <w:vAlign w:val="center"/>
                </w:tcPr>
                <w:p w14:paraId="475A8C3A">
                  <w:pPr>
                    <w:jc w:val="center"/>
                    <w:rPr>
                      <w:rFonts w:ascii="宋体" w:hAnsi="宋体"/>
                      <w:szCs w:val="21"/>
                    </w:rPr>
                  </w:pPr>
                  <w:r>
                    <w:rPr>
                      <w:rFonts w:hint="eastAsia" w:ascii="宋体" w:hAnsi="宋体"/>
                      <w:szCs w:val="21"/>
                    </w:rPr>
                    <w:t>18</w:t>
                  </w:r>
                </w:p>
              </w:tc>
              <w:tc>
                <w:tcPr>
                  <w:tcW w:w="1365" w:type="dxa"/>
                  <w:vAlign w:val="center"/>
                </w:tcPr>
                <w:p w14:paraId="77C25632">
                  <w:pPr>
                    <w:jc w:val="center"/>
                    <w:rPr>
                      <w:rFonts w:ascii="宋体" w:hAnsi="宋体"/>
                      <w:szCs w:val="21"/>
                    </w:rPr>
                  </w:pPr>
                  <w:r>
                    <w:rPr>
                      <w:rFonts w:hint="eastAsia" w:ascii="宋体" w:hAnsi="宋体"/>
                      <w:szCs w:val="21"/>
                    </w:rPr>
                    <w:t>820</w:t>
                  </w:r>
                </w:p>
              </w:tc>
              <w:tc>
                <w:tcPr>
                  <w:tcW w:w="1335" w:type="dxa"/>
                  <w:vAlign w:val="center"/>
                </w:tcPr>
                <w:p w14:paraId="7571C727">
                  <w:pPr>
                    <w:jc w:val="center"/>
                    <w:rPr>
                      <w:rFonts w:ascii="宋体" w:hAnsi="宋体"/>
                      <w:szCs w:val="21"/>
                    </w:rPr>
                  </w:pPr>
                  <w:r>
                    <w:rPr>
                      <w:rFonts w:hint="eastAsia" w:ascii="宋体" w:hAnsi="宋体"/>
                      <w:szCs w:val="21"/>
                    </w:rPr>
                    <w:t>红旗H9</w:t>
                  </w:r>
                </w:p>
              </w:tc>
              <w:tc>
                <w:tcPr>
                  <w:tcW w:w="1284" w:type="dxa"/>
                  <w:vAlign w:val="center"/>
                </w:tcPr>
                <w:p w14:paraId="28F22146">
                  <w:pPr>
                    <w:jc w:val="center"/>
                    <w:rPr>
                      <w:rFonts w:ascii="宋体" w:hAnsi="宋体"/>
                      <w:szCs w:val="21"/>
                    </w:rPr>
                  </w:pPr>
                  <w:r>
                    <w:rPr>
                      <w:rFonts w:hint="eastAsia"/>
                      <w:szCs w:val="21"/>
                    </w:rPr>
                    <w:t>裸车，</w:t>
                  </w:r>
                  <w:r>
                    <w:rPr>
                      <w:szCs w:val="21"/>
                    </w:rPr>
                    <w:t>注册年限</w:t>
                  </w:r>
                  <w:r>
                    <w:rPr>
                      <w:rFonts w:hint="eastAsia"/>
                      <w:szCs w:val="21"/>
                    </w:rPr>
                    <w:t>3</w:t>
                  </w:r>
                  <w:r>
                    <w:rPr>
                      <w:szCs w:val="21"/>
                    </w:rPr>
                    <w:t>年内</w:t>
                  </w:r>
                  <w:r>
                    <w:rPr>
                      <w:rFonts w:hint="eastAsia"/>
                      <w:szCs w:val="21"/>
                    </w:rPr>
                    <w:t>，含车辆专项检测费、异地运输费、专项技术支持费等</w:t>
                  </w:r>
                </w:p>
              </w:tc>
            </w:tr>
            <w:tr w14:paraId="04D26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1374" w:type="dxa"/>
                  <w:vAlign w:val="center"/>
                </w:tcPr>
                <w:p w14:paraId="6F3FC065">
                  <w:pPr>
                    <w:jc w:val="center"/>
                    <w:rPr>
                      <w:rFonts w:ascii="宋体" w:hAnsi="宋体"/>
                      <w:szCs w:val="21"/>
                    </w:rPr>
                  </w:pPr>
                  <w:r>
                    <w:rPr>
                      <w:rFonts w:ascii="宋体" w:hAnsi="宋体"/>
                      <w:szCs w:val="21"/>
                    </w:rPr>
                    <w:t>高级轿车(5座)</w:t>
                  </w:r>
                </w:p>
              </w:tc>
              <w:tc>
                <w:tcPr>
                  <w:tcW w:w="1217" w:type="dxa"/>
                  <w:vAlign w:val="center"/>
                </w:tcPr>
                <w:p w14:paraId="7BC4C8D1">
                  <w:pPr>
                    <w:jc w:val="center"/>
                    <w:rPr>
                      <w:rFonts w:hint="eastAsia" w:ascii="宋体" w:hAnsi="宋体"/>
                      <w:szCs w:val="21"/>
                    </w:rPr>
                  </w:pPr>
                  <w:r>
                    <w:rPr>
                      <w:rFonts w:hint="eastAsia" w:ascii="宋体" w:hAnsi="宋体"/>
                      <w:szCs w:val="21"/>
                    </w:rPr>
                    <w:t>8</w:t>
                  </w:r>
                </w:p>
              </w:tc>
              <w:tc>
                <w:tcPr>
                  <w:tcW w:w="1365" w:type="dxa"/>
                  <w:vAlign w:val="center"/>
                </w:tcPr>
                <w:p w14:paraId="4758E9F2">
                  <w:pPr>
                    <w:jc w:val="center"/>
                    <w:rPr>
                      <w:rFonts w:ascii="宋体" w:hAnsi="宋体"/>
                      <w:szCs w:val="21"/>
                    </w:rPr>
                  </w:pPr>
                  <w:r>
                    <w:rPr>
                      <w:rFonts w:ascii="宋体" w:hAnsi="宋体"/>
                      <w:szCs w:val="21"/>
                    </w:rPr>
                    <w:t xml:space="preserve">1050 </w:t>
                  </w:r>
                </w:p>
              </w:tc>
              <w:tc>
                <w:tcPr>
                  <w:tcW w:w="1335" w:type="dxa"/>
                  <w:vAlign w:val="center"/>
                </w:tcPr>
                <w:p w14:paraId="3913B1AC">
                  <w:pPr>
                    <w:jc w:val="center"/>
                    <w:rPr>
                      <w:rFonts w:hint="eastAsia" w:ascii="宋体" w:hAnsi="宋体"/>
                      <w:szCs w:val="21"/>
                    </w:rPr>
                  </w:pPr>
                  <w:r>
                    <w:rPr>
                      <w:rFonts w:ascii="宋体" w:hAnsi="宋体"/>
                      <w:szCs w:val="21"/>
                    </w:rPr>
                    <w:t>奥迪A6、奔驰E系列</w:t>
                  </w:r>
                  <w:r>
                    <w:rPr>
                      <w:rFonts w:hint="eastAsia" w:ascii="宋体" w:hAnsi="宋体"/>
                      <w:szCs w:val="21"/>
                    </w:rPr>
                    <w:t>及同类车型</w:t>
                  </w:r>
                </w:p>
              </w:tc>
              <w:tc>
                <w:tcPr>
                  <w:tcW w:w="1284" w:type="dxa"/>
                  <w:vAlign w:val="center"/>
                </w:tcPr>
                <w:p w14:paraId="4393D546">
                  <w:pPr>
                    <w:jc w:val="center"/>
                    <w:rPr>
                      <w:rFonts w:ascii="宋体" w:hAnsi="宋体"/>
                      <w:szCs w:val="21"/>
                    </w:rPr>
                  </w:pPr>
                  <w:r>
                    <w:rPr>
                      <w:rFonts w:ascii="宋体" w:hAnsi="宋体"/>
                      <w:szCs w:val="21"/>
                    </w:rPr>
                    <w:t>注册年限6年内</w:t>
                  </w:r>
                </w:p>
                <w:p w14:paraId="1969A457">
                  <w:pPr>
                    <w:jc w:val="center"/>
                    <w:rPr>
                      <w:rFonts w:ascii="宋体" w:hAnsi="宋体"/>
                      <w:szCs w:val="21"/>
                    </w:rPr>
                  </w:pPr>
                  <w:r>
                    <w:rPr>
                      <w:rFonts w:ascii="宋体" w:hAnsi="宋体"/>
                      <w:szCs w:val="21"/>
                    </w:rPr>
                    <w:t>达到营运标准</w:t>
                  </w:r>
                </w:p>
              </w:tc>
            </w:tr>
            <w:tr w14:paraId="157AC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1374" w:type="dxa"/>
                  <w:vAlign w:val="center"/>
                </w:tcPr>
                <w:p w14:paraId="16322523">
                  <w:pPr>
                    <w:jc w:val="center"/>
                    <w:rPr>
                      <w:rFonts w:ascii="宋体" w:hAnsi="宋体"/>
                      <w:szCs w:val="21"/>
                    </w:rPr>
                  </w:pPr>
                  <w:r>
                    <w:rPr>
                      <w:rFonts w:ascii="宋体" w:hAnsi="宋体"/>
                      <w:szCs w:val="21"/>
                    </w:rPr>
                    <w:t>中级轿车</w:t>
                  </w:r>
                </w:p>
                <w:p w14:paraId="1CC76704">
                  <w:pPr>
                    <w:jc w:val="center"/>
                    <w:rPr>
                      <w:rFonts w:ascii="宋体" w:hAnsi="宋体"/>
                      <w:szCs w:val="21"/>
                    </w:rPr>
                  </w:pPr>
                  <w:r>
                    <w:rPr>
                      <w:rFonts w:ascii="宋体" w:hAnsi="宋体"/>
                      <w:szCs w:val="21"/>
                    </w:rPr>
                    <w:t>(5座)</w:t>
                  </w:r>
                </w:p>
              </w:tc>
              <w:tc>
                <w:tcPr>
                  <w:tcW w:w="1217" w:type="dxa"/>
                  <w:vAlign w:val="center"/>
                </w:tcPr>
                <w:p w14:paraId="28C7B9E1">
                  <w:pPr>
                    <w:jc w:val="center"/>
                    <w:rPr>
                      <w:rFonts w:ascii="宋体" w:hAnsi="宋体"/>
                      <w:szCs w:val="21"/>
                    </w:rPr>
                  </w:pPr>
                  <w:r>
                    <w:rPr>
                      <w:rFonts w:hint="eastAsia" w:ascii="宋体" w:hAnsi="宋体"/>
                      <w:szCs w:val="21"/>
                    </w:rPr>
                    <w:t>154</w:t>
                  </w:r>
                </w:p>
              </w:tc>
              <w:tc>
                <w:tcPr>
                  <w:tcW w:w="1365" w:type="dxa"/>
                  <w:vAlign w:val="center"/>
                </w:tcPr>
                <w:p w14:paraId="1132B3C6">
                  <w:pPr>
                    <w:jc w:val="center"/>
                    <w:rPr>
                      <w:rFonts w:hint="eastAsia" w:ascii="宋体" w:hAnsi="宋体"/>
                      <w:szCs w:val="21"/>
                    </w:rPr>
                  </w:pPr>
                  <w:r>
                    <w:rPr>
                      <w:rFonts w:ascii="宋体" w:hAnsi="宋体"/>
                      <w:szCs w:val="21"/>
                    </w:rPr>
                    <w:t>73</w:t>
                  </w:r>
                  <w:r>
                    <w:rPr>
                      <w:rFonts w:hint="eastAsia" w:ascii="宋体" w:hAnsi="宋体"/>
                      <w:szCs w:val="21"/>
                    </w:rPr>
                    <w:t>5</w:t>
                  </w:r>
                </w:p>
              </w:tc>
              <w:tc>
                <w:tcPr>
                  <w:tcW w:w="1335" w:type="dxa"/>
                  <w:vAlign w:val="center"/>
                </w:tcPr>
                <w:p w14:paraId="61276DE6">
                  <w:pPr>
                    <w:jc w:val="center"/>
                    <w:rPr>
                      <w:rFonts w:ascii="宋体" w:hAnsi="宋体"/>
                      <w:szCs w:val="21"/>
                    </w:rPr>
                  </w:pPr>
                  <w:r>
                    <w:rPr>
                      <w:rFonts w:ascii="宋体" w:hAnsi="宋体"/>
                      <w:szCs w:val="21"/>
                    </w:rPr>
                    <w:t>帕萨特、凯美瑞、天籁</w:t>
                  </w:r>
                  <w:r>
                    <w:rPr>
                      <w:rFonts w:hint="eastAsia" w:ascii="宋体" w:hAnsi="宋体"/>
                      <w:szCs w:val="21"/>
                    </w:rPr>
                    <w:t>及同类车型</w:t>
                  </w:r>
                </w:p>
              </w:tc>
              <w:tc>
                <w:tcPr>
                  <w:tcW w:w="1284" w:type="dxa"/>
                  <w:vAlign w:val="center"/>
                </w:tcPr>
                <w:p w14:paraId="40AFE885">
                  <w:pPr>
                    <w:jc w:val="center"/>
                    <w:rPr>
                      <w:rFonts w:ascii="宋体" w:hAnsi="宋体"/>
                      <w:szCs w:val="21"/>
                    </w:rPr>
                  </w:pPr>
                  <w:r>
                    <w:rPr>
                      <w:rFonts w:ascii="宋体" w:hAnsi="宋体"/>
                      <w:szCs w:val="21"/>
                    </w:rPr>
                    <w:t>注册年限6年内</w:t>
                  </w:r>
                </w:p>
                <w:p w14:paraId="37781999">
                  <w:pPr>
                    <w:jc w:val="center"/>
                    <w:rPr>
                      <w:rFonts w:ascii="宋体" w:hAnsi="宋体"/>
                      <w:szCs w:val="21"/>
                    </w:rPr>
                  </w:pPr>
                  <w:r>
                    <w:rPr>
                      <w:rFonts w:ascii="宋体" w:hAnsi="宋体"/>
                      <w:szCs w:val="21"/>
                    </w:rPr>
                    <w:t>达到营运标准</w:t>
                  </w:r>
                </w:p>
              </w:tc>
            </w:tr>
            <w:tr w14:paraId="11CFC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1374" w:type="dxa"/>
                  <w:vAlign w:val="center"/>
                </w:tcPr>
                <w:p w14:paraId="2386E281">
                  <w:pPr>
                    <w:jc w:val="center"/>
                    <w:rPr>
                      <w:rFonts w:ascii="宋体" w:hAnsi="宋体"/>
                      <w:szCs w:val="21"/>
                    </w:rPr>
                  </w:pPr>
                  <w:r>
                    <w:rPr>
                      <w:rFonts w:ascii="宋体" w:hAnsi="宋体"/>
                      <w:szCs w:val="21"/>
                    </w:rPr>
                    <w:t>商务车</w:t>
                  </w:r>
                </w:p>
                <w:p w14:paraId="08AC45EF">
                  <w:pPr>
                    <w:jc w:val="center"/>
                    <w:rPr>
                      <w:rFonts w:ascii="宋体" w:hAnsi="宋体"/>
                      <w:szCs w:val="21"/>
                    </w:rPr>
                  </w:pPr>
                  <w:r>
                    <w:rPr>
                      <w:rFonts w:ascii="宋体" w:hAnsi="宋体"/>
                      <w:szCs w:val="21"/>
                    </w:rPr>
                    <w:t>(7座)</w:t>
                  </w:r>
                </w:p>
              </w:tc>
              <w:tc>
                <w:tcPr>
                  <w:tcW w:w="1217" w:type="dxa"/>
                  <w:vAlign w:val="center"/>
                </w:tcPr>
                <w:p w14:paraId="540397D9">
                  <w:pPr>
                    <w:jc w:val="center"/>
                    <w:rPr>
                      <w:rFonts w:ascii="宋体" w:hAnsi="宋体"/>
                      <w:szCs w:val="21"/>
                    </w:rPr>
                  </w:pPr>
                  <w:r>
                    <w:rPr>
                      <w:rFonts w:hint="eastAsia" w:ascii="宋体" w:hAnsi="宋体"/>
                      <w:szCs w:val="21"/>
                    </w:rPr>
                    <w:t>134</w:t>
                  </w:r>
                </w:p>
              </w:tc>
              <w:tc>
                <w:tcPr>
                  <w:tcW w:w="1365" w:type="dxa"/>
                  <w:vAlign w:val="center"/>
                </w:tcPr>
                <w:p w14:paraId="28E53840">
                  <w:pPr>
                    <w:jc w:val="center"/>
                    <w:rPr>
                      <w:rFonts w:hint="eastAsia" w:ascii="宋体" w:hAnsi="宋体"/>
                      <w:szCs w:val="21"/>
                    </w:rPr>
                  </w:pPr>
                  <w:r>
                    <w:rPr>
                      <w:rFonts w:ascii="宋体" w:hAnsi="宋体"/>
                      <w:szCs w:val="21"/>
                    </w:rPr>
                    <w:t>98</w:t>
                  </w:r>
                  <w:r>
                    <w:rPr>
                      <w:rFonts w:hint="eastAsia" w:ascii="宋体" w:hAnsi="宋体"/>
                      <w:szCs w:val="21"/>
                    </w:rPr>
                    <w:t>0</w:t>
                  </w:r>
                </w:p>
              </w:tc>
              <w:tc>
                <w:tcPr>
                  <w:tcW w:w="1335" w:type="dxa"/>
                  <w:vAlign w:val="center"/>
                </w:tcPr>
                <w:p w14:paraId="7CABAF9C">
                  <w:pPr>
                    <w:jc w:val="center"/>
                    <w:rPr>
                      <w:rFonts w:ascii="宋体" w:hAnsi="宋体"/>
                      <w:szCs w:val="21"/>
                    </w:rPr>
                  </w:pPr>
                  <w:r>
                    <w:rPr>
                      <w:rFonts w:ascii="宋体" w:hAnsi="宋体"/>
                      <w:szCs w:val="21"/>
                    </w:rPr>
                    <w:t>别克GL8</w:t>
                  </w:r>
                  <w:r>
                    <w:rPr>
                      <w:rFonts w:hint="eastAsia" w:ascii="宋体" w:hAnsi="宋体"/>
                      <w:szCs w:val="21"/>
                    </w:rPr>
                    <w:t>及同类车型</w:t>
                  </w:r>
                </w:p>
              </w:tc>
              <w:tc>
                <w:tcPr>
                  <w:tcW w:w="1284" w:type="dxa"/>
                  <w:vAlign w:val="center"/>
                </w:tcPr>
                <w:p w14:paraId="617CF4FF">
                  <w:pPr>
                    <w:jc w:val="center"/>
                    <w:rPr>
                      <w:rFonts w:ascii="宋体" w:hAnsi="宋体"/>
                      <w:szCs w:val="21"/>
                    </w:rPr>
                  </w:pPr>
                  <w:r>
                    <w:rPr>
                      <w:rFonts w:ascii="宋体" w:hAnsi="宋体"/>
                      <w:szCs w:val="21"/>
                    </w:rPr>
                    <w:t>达到营运标准</w:t>
                  </w:r>
                </w:p>
              </w:tc>
            </w:tr>
            <w:tr w14:paraId="21C31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1374" w:type="dxa"/>
                  <w:vAlign w:val="center"/>
                </w:tcPr>
                <w:p w14:paraId="6B425BD9">
                  <w:pPr>
                    <w:jc w:val="center"/>
                    <w:rPr>
                      <w:rFonts w:ascii="宋体" w:hAnsi="宋体"/>
                      <w:szCs w:val="21"/>
                    </w:rPr>
                  </w:pPr>
                  <w:r>
                    <w:rPr>
                      <w:rFonts w:ascii="宋体" w:hAnsi="宋体"/>
                      <w:szCs w:val="21"/>
                    </w:rPr>
                    <w:t>轻客</w:t>
                  </w:r>
                </w:p>
                <w:p w14:paraId="6BCA85CC">
                  <w:pPr>
                    <w:jc w:val="center"/>
                    <w:rPr>
                      <w:rFonts w:ascii="宋体" w:hAnsi="宋体"/>
                      <w:szCs w:val="21"/>
                    </w:rPr>
                  </w:pPr>
                  <w:r>
                    <w:rPr>
                      <w:rFonts w:ascii="宋体" w:hAnsi="宋体"/>
                      <w:szCs w:val="21"/>
                    </w:rPr>
                    <w:t>(</w:t>
                  </w:r>
                  <w:r>
                    <w:rPr>
                      <w:rFonts w:hint="eastAsia" w:ascii="宋体" w:hAnsi="宋体"/>
                      <w:szCs w:val="21"/>
                    </w:rPr>
                    <w:t>9</w:t>
                  </w:r>
                  <w:r>
                    <w:rPr>
                      <w:rFonts w:ascii="宋体" w:hAnsi="宋体"/>
                      <w:szCs w:val="21"/>
                    </w:rPr>
                    <w:t>-</w:t>
                  </w:r>
                  <w:r>
                    <w:rPr>
                      <w:rFonts w:hint="eastAsia" w:ascii="宋体" w:hAnsi="宋体"/>
                      <w:szCs w:val="21"/>
                    </w:rPr>
                    <w:t>13</w:t>
                  </w:r>
                  <w:r>
                    <w:rPr>
                      <w:rFonts w:ascii="宋体" w:hAnsi="宋体"/>
                      <w:szCs w:val="21"/>
                    </w:rPr>
                    <w:t>座)</w:t>
                  </w:r>
                </w:p>
              </w:tc>
              <w:tc>
                <w:tcPr>
                  <w:tcW w:w="1217" w:type="dxa"/>
                  <w:vAlign w:val="center"/>
                </w:tcPr>
                <w:p w14:paraId="537BC796">
                  <w:pPr>
                    <w:jc w:val="center"/>
                    <w:rPr>
                      <w:rFonts w:ascii="宋体" w:hAnsi="宋体"/>
                      <w:szCs w:val="21"/>
                    </w:rPr>
                  </w:pPr>
                  <w:r>
                    <w:rPr>
                      <w:rFonts w:hint="eastAsia" w:ascii="宋体" w:hAnsi="宋体"/>
                      <w:szCs w:val="21"/>
                    </w:rPr>
                    <w:t>15</w:t>
                  </w:r>
                </w:p>
              </w:tc>
              <w:tc>
                <w:tcPr>
                  <w:tcW w:w="1365" w:type="dxa"/>
                  <w:vAlign w:val="center"/>
                </w:tcPr>
                <w:p w14:paraId="4EA4B5A9">
                  <w:pPr>
                    <w:jc w:val="center"/>
                    <w:rPr>
                      <w:rFonts w:ascii="宋体" w:hAnsi="宋体"/>
                      <w:szCs w:val="21"/>
                    </w:rPr>
                  </w:pPr>
                  <w:r>
                    <w:rPr>
                      <w:rFonts w:ascii="宋体" w:hAnsi="宋体"/>
                      <w:szCs w:val="21"/>
                    </w:rPr>
                    <w:t xml:space="preserve">990 </w:t>
                  </w:r>
                </w:p>
              </w:tc>
              <w:tc>
                <w:tcPr>
                  <w:tcW w:w="1335" w:type="dxa"/>
                  <w:vAlign w:val="center"/>
                </w:tcPr>
                <w:p w14:paraId="1FD9EB04">
                  <w:pPr>
                    <w:jc w:val="center"/>
                    <w:rPr>
                      <w:rFonts w:ascii="宋体" w:hAnsi="宋体"/>
                      <w:szCs w:val="21"/>
                    </w:rPr>
                  </w:pPr>
                  <w:r>
                    <w:rPr>
                      <w:rFonts w:ascii="宋体" w:hAnsi="宋体"/>
                      <w:szCs w:val="21"/>
                    </w:rPr>
                    <w:t>海狮</w:t>
                  </w:r>
                  <w:r>
                    <w:rPr>
                      <w:rFonts w:hint="eastAsia" w:ascii="宋体" w:hAnsi="宋体"/>
                      <w:szCs w:val="21"/>
                    </w:rPr>
                    <w:t>及同类车型</w:t>
                  </w:r>
                </w:p>
              </w:tc>
              <w:tc>
                <w:tcPr>
                  <w:tcW w:w="1284" w:type="dxa"/>
                  <w:vAlign w:val="center"/>
                </w:tcPr>
                <w:p w14:paraId="0619AB09">
                  <w:pPr>
                    <w:jc w:val="center"/>
                    <w:rPr>
                      <w:rFonts w:ascii="宋体" w:hAnsi="宋体"/>
                      <w:szCs w:val="21"/>
                    </w:rPr>
                  </w:pPr>
                  <w:r>
                    <w:rPr>
                      <w:rFonts w:ascii="宋体" w:hAnsi="宋体"/>
                      <w:szCs w:val="21"/>
                    </w:rPr>
                    <w:t>达到客车营运标准</w:t>
                  </w:r>
                </w:p>
              </w:tc>
            </w:tr>
            <w:tr w14:paraId="565D9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1374" w:type="dxa"/>
                  <w:vAlign w:val="center"/>
                </w:tcPr>
                <w:p w14:paraId="55304A0D">
                  <w:pPr>
                    <w:jc w:val="center"/>
                    <w:rPr>
                      <w:rFonts w:ascii="宋体" w:hAnsi="宋体"/>
                      <w:szCs w:val="21"/>
                    </w:rPr>
                  </w:pPr>
                  <w:r>
                    <w:rPr>
                      <w:rFonts w:ascii="宋体" w:hAnsi="宋体"/>
                      <w:szCs w:val="21"/>
                    </w:rPr>
                    <w:t>中型客车(15-</w:t>
                  </w:r>
                  <w:r>
                    <w:rPr>
                      <w:rFonts w:hint="eastAsia" w:ascii="宋体" w:hAnsi="宋体"/>
                      <w:szCs w:val="21"/>
                    </w:rPr>
                    <w:t>23</w:t>
                  </w:r>
                  <w:r>
                    <w:rPr>
                      <w:rFonts w:ascii="宋体" w:hAnsi="宋体"/>
                      <w:szCs w:val="21"/>
                    </w:rPr>
                    <w:t>座)</w:t>
                  </w:r>
                </w:p>
              </w:tc>
              <w:tc>
                <w:tcPr>
                  <w:tcW w:w="1217" w:type="dxa"/>
                  <w:vAlign w:val="center"/>
                </w:tcPr>
                <w:p w14:paraId="3895C4D1">
                  <w:pPr>
                    <w:jc w:val="center"/>
                    <w:rPr>
                      <w:rFonts w:ascii="宋体" w:hAnsi="宋体"/>
                      <w:szCs w:val="21"/>
                    </w:rPr>
                  </w:pPr>
                  <w:r>
                    <w:rPr>
                      <w:rFonts w:hint="eastAsia" w:ascii="宋体" w:hAnsi="宋体"/>
                      <w:szCs w:val="21"/>
                    </w:rPr>
                    <w:t>53</w:t>
                  </w:r>
                </w:p>
              </w:tc>
              <w:tc>
                <w:tcPr>
                  <w:tcW w:w="1365" w:type="dxa"/>
                  <w:vAlign w:val="center"/>
                </w:tcPr>
                <w:p w14:paraId="64AC5593">
                  <w:pPr>
                    <w:jc w:val="center"/>
                    <w:rPr>
                      <w:rFonts w:ascii="宋体" w:hAnsi="宋体"/>
                      <w:szCs w:val="21"/>
                    </w:rPr>
                  </w:pPr>
                  <w:r>
                    <w:rPr>
                      <w:rFonts w:ascii="宋体" w:hAnsi="宋体"/>
                      <w:szCs w:val="21"/>
                    </w:rPr>
                    <w:t xml:space="preserve">1165 </w:t>
                  </w:r>
                </w:p>
              </w:tc>
              <w:tc>
                <w:tcPr>
                  <w:tcW w:w="1335" w:type="dxa"/>
                  <w:vAlign w:val="center"/>
                </w:tcPr>
                <w:p w14:paraId="425BC577">
                  <w:pPr>
                    <w:jc w:val="center"/>
                    <w:rPr>
                      <w:rFonts w:ascii="宋体" w:hAnsi="宋体"/>
                      <w:szCs w:val="21"/>
                    </w:rPr>
                  </w:pPr>
                  <w:r>
                    <w:rPr>
                      <w:rFonts w:ascii="宋体" w:hAnsi="宋体"/>
                      <w:szCs w:val="21"/>
                    </w:rPr>
                    <w:t>考斯特</w:t>
                  </w:r>
                  <w:r>
                    <w:rPr>
                      <w:rFonts w:hint="eastAsia" w:ascii="宋体" w:hAnsi="宋体"/>
                      <w:szCs w:val="21"/>
                    </w:rPr>
                    <w:t>及同类车型</w:t>
                  </w:r>
                </w:p>
              </w:tc>
              <w:tc>
                <w:tcPr>
                  <w:tcW w:w="1284" w:type="dxa"/>
                  <w:vAlign w:val="center"/>
                </w:tcPr>
                <w:p w14:paraId="55B330A2">
                  <w:pPr>
                    <w:jc w:val="center"/>
                    <w:rPr>
                      <w:rFonts w:ascii="宋体" w:hAnsi="宋体"/>
                      <w:szCs w:val="21"/>
                    </w:rPr>
                  </w:pPr>
                  <w:r>
                    <w:rPr>
                      <w:rFonts w:ascii="宋体" w:hAnsi="宋体"/>
                      <w:szCs w:val="21"/>
                    </w:rPr>
                    <w:t>达到客车营运标准</w:t>
                  </w:r>
                </w:p>
              </w:tc>
            </w:tr>
            <w:tr w14:paraId="36CCD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1374" w:type="dxa"/>
                  <w:vAlign w:val="center"/>
                </w:tcPr>
                <w:p w14:paraId="60A3EF87">
                  <w:pPr>
                    <w:jc w:val="center"/>
                    <w:rPr>
                      <w:rFonts w:ascii="宋体" w:hAnsi="宋体"/>
                      <w:szCs w:val="21"/>
                    </w:rPr>
                  </w:pPr>
                  <w:r>
                    <w:rPr>
                      <w:rFonts w:ascii="宋体" w:hAnsi="宋体"/>
                      <w:szCs w:val="21"/>
                    </w:rPr>
                    <w:t>大型客车（35座</w:t>
                  </w:r>
                  <w:r>
                    <w:rPr>
                      <w:rFonts w:hint="eastAsia" w:ascii="宋体" w:hAnsi="宋体"/>
                      <w:szCs w:val="21"/>
                    </w:rPr>
                    <w:t>及</w:t>
                  </w:r>
                  <w:r>
                    <w:rPr>
                      <w:rFonts w:ascii="宋体" w:hAnsi="宋体"/>
                      <w:szCs w:val="21"/>
                    </w:rPr>
                    <w:t>以上）</w:t>
                  </w:r>
                </w:p>
              </w:tc>
              <w:tc>
                <w:tcPr>
                  <w:tcW w:w="1217" w:type="dxa"/>
                  <w:vAlign w:val="center"/>
                </w:tcPr>
                <w:p w14:paraId="0C29022F">
                  <w:pPr>
                    <w:jc w:val="center"/>
                    <w:rPr>
                      <w:rFonts w:hint="eastAsia" w:ascii="宋体" w:hAnsi="宋体"/>
                      <w:szCs w:val="21"/>
                    </w:rPr>
                  </w:pPr>
                  <w:r>
                    <w:rPr>
                      <w:rFonts w:hint="eastAsia" w:ascii="宋体" w:hAnsi="宋体"/>
                      <w:szCs w:val="21"/>
                    </w:rPr>
                    <w:t>3</w:t>
                  </w:r>
                </w:p>
              </w:tc>
              <w:tc>
                <w:tcPr>
                  <w:tcW w:w="1365" w:type="dxa"/>
                  <w:vAlign w:val="center"/>
                </w:tcPr>
                <w:p w14:paraId="1C458D62">
                  <w:pPr>
                    <w:jc w:val="center"/>
                    <w:rPr>
                      <w:rFonts w:ascii="宋体" w:hAnsi="宋体"/>
                      <w:szCs w:val="21"/>
                    </w:rPr>
                  </w:pPr>
                  <w:r>
                    <w:rPr>
                      <w:rFonts w:ascii="宋体" w:hAnsi="宋体"/>
                      <w:szCs w:val="21"/>
                    </w:rPr>
                    <w:t>12</w:t>
                  </w:r>
                  <w:r>
                    <w:rPr>
                      <w:rFonts w:hint="eastAsia" w:ascii="宋体" w:hAnsi="宋体"/>
                      <w:szCs w:val="21"/>
                    </w:rPr>
                    <w:t>15</w:t>
                  </w:r>
                </w:p>
              </w:tc>
              <w:tc>
                <w:tcPr>
                  <w:tcW w:w="1335" w:type="dxa"/>
                  <w:vAlign w:val="center"/>
                </w:tcPr>
                <w:p w14:paraId="334DA6F1">
                  <w:pPr>
                    <w:jc w:val="center"/>
                    <w:rPr>
                      <w:rFonts w:ascii="宋体" w:hAnsi="宋体"/>
                      <w:szCs w:val="21"/>
                    </w:rPr>
                  </w:pPr>
                  <w:r>
                    <w:rPr>
                      <w:rFonts w:ascii="宋体" w:hAnsi="宋体"/>
                      <w:szCs w:val="21"/>
                    </w:rPr>
                    <w:t>宇通</w:t>
                  </w:r>
                  <w:r>
                    <w:rPr>
                      <w:rFonts w:hint="eastAsia" w:ascii="宋体" w:hAnsi="宋体"/>
                      <w:szCs w:val="21"/>
                    </w:rPr>
                    <w:t>及同类车型</w:t>
                  </w:r>
                </w:p>
              </w:tc>
              <w:tc>
                <w:tcPr>
                  <w:tcW w:w="1284" w:type="dxa"/>
                  <w:vAlign w:val="center"/>
                </w:tcPr>
                <w:p w14:paraId="450A4A2F">
                  <w:pPr>
                    <w:jc w:val="center"/>
                    <w:rPr>
                      <w:rFonts w:ascii="宋体" w:hAnsi="宋体"/>
                      <w:szCs w:val="21"/>
                    </w:rPr>
                  </w:pPr>
                  <w:r>
                    <w:rPr>
                      <w:rFonts w:ascii="宋体" w:hAnsi="宋体"/>
                      <w:szCs w:val="21"/>
                    </w:rPr>
                    <w:t>达到客车营运标准</w:t>
                  </w:r>
                </w:p>
              </w:tc>
            </w:tr>
          </w:tbl>
          <w:p w14:paraId="6B565564">
            <w:pPr>
              <w:widowControl/>
              <w:ind w:firstLine="420"/>
              <w:textAlignment w:val="baseline"/>
              <w:rPr>
                <w:rFonts w:ascii="宋体" w:hAnsi="宋体"/>
                <w:kern w:val="0"/>
                <w:szCs w:val="21"/>
              </w:rPr>
            </w:pPr>
            <w:r>
              <w:rPr>
                <w:rFonts w:hint="eastAsia" w:ascii="宋体" w:hAnsi="宋体"/>
                <w:kern w:val="0"/>
                <w:szCs w:val="21"/>
              </w:rPr>
              <w:t>（2）车辆</w:t>
            </w:r>
            <w:r>
              <w:rPr>
                <w:rFonts w:hint="eastAsia" w:ascii="宋体" w:hAnsi="宋体"/>
                <w:b/>
                <w:bCs/>
                <w:kern w:val="0"/>
                <w:szCs w:val="21"/>
              </w:rPr>
              <w:t>按次</w:t>
            </w:r>
            <w:r>
              <w:rPr>
                <w:rFonts w:hint="eastAsia" w:ascii="宋体" w:hAnsi="宋体"/>
                <w:kern w:val="0"/>
                <w:szCs w:val="21"/>
              </w:rPr>
              <w:t>租赁上限价格含税，单价包含驾驶服务、燃油、过路费（南宁机场）、洗车费、停车费、检测费、车辆物料费、驾驶员培训费、工作餐费、通讯补助费、车源组织及调度等各项费用，</w:t>
            </w:r>
            <w:r>
              <w:rPr>
                <w:rFonts w:ascii="宋体" w:hAnsi="宋体"/>
                <w:kern w:val="0"/>
                <w:szCs w:val="21"/>
              </w:rPr>
              <w:t>按实际租赁</w:t>
            </w:r>
            <w:r>
              <w:rPr>
                <w:rFonts w:hint="eastAsia" w:ascii="宋体" w:hAnsi="宋体"/>
                <w:kern w:val="0"/>
                <w:szCs w:val="21"/>
              </w:rPr>
              <w:t>车型、</w:t>
            </w:r>
            <w:r>
              <w:rPr>
                <w:rFonts w:ascii="宋体" w:hAnsi="宋体"/>
                <w:kern w:val="0"/>
                <w:szCs w:val="21"/>
              </w:rPr>
              <w:t>数量、租赁</w:t>
            </w:r>
            <w:r>
              <w:rPr>
                <w:rFonts w:hint="eastAsia" w:ascii="宋体" w:hAnsi="宋体"/>
                <w:kern w:val="0"/>
                <w:szCs w:val="21"/>
              </w:rPr>
              <w:t>次数</w:t>
            </w:r>
            <w:r>
              <w:rPr>
                <w:rFonts w:ascii="宋体" w:hAnsi="宋体"/>
                <w:kern w:val="0"/>
                <w:szCs w:val="21"/>
              </w:rPr>
              <w:t>及采购成交单价据实结算。</w:t>
            </w:r>
          </w:p>
          <w:tbl>
            <w:tblPr>
              <w:tblStyle w:val="51"/>
              <w:tblW w:w="67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7"/>
              <w:gridCol w:w="971"/>
              <w:gridCol w:w="1059"/>
              <w:gridCol w:w="1088"/>
              <w:gridCol w:w="1162"/>
              <w:gridCol w:w="1490"/>
            </w:tblGrid>
            <w:tr w14:paraId="6D3A3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8" w:hRule="atLeast"/>
              </w:trPr>
              <w:tc>
                <w:tcPr>
                  <w:tcW w:w="967" w:type="dxa"/>
                  <w:vAlign w:val="center"/>
                </w:tcPr>
                <w:p w14:paraId="6A16C387">
                  <w:pPr>
                    <w:jc w:val="center"/>
                    <w:rPr>
                      <w:rFonts w:ascii="宋体" w:hAnsi="宋体"/>
                      <w:b/>
                      <w:szCs w:val="21"/>
                    </w:rPr>
                  </w:pPr>
                  <w:r>
                    <w:rPr>
                      <w:rFonts w:ascii="宋体" w:hAnsi="宋体"/>
                      <w:szCs w:val="21"/>
                    </w:rPr>
                    <w:t>▲</w:t>
                  </w:r>
                  <w:r>
                    <w:rPr>
                      <w:rFonts w:ascii="宋体" w:hAnsi="宋体"/>
                      <w:b/>
                      <w:szCs w:val="21"/>
                    </w:rPr>
                    <w:t>车辆</w:t>
                  </w:r>
                </w:p>
                <w:p w14:paraId="065808F5">
                  <w:pPr>
                    <w:jc w:val="center"/>
                    <w:rPr>
                      <w:rFonts w:ascii="宋体" w:hAnsi="宋体"/>
                      <w:b/>
                      <w:szCs w:val="21"/>
                    </w:rPr>
                  </w:pPr>
                  <w:r>
                    <w:rPr>
                      <w:rFonts w:ascii="宋体" w:hAnsi="宋体"/>
                      <w:b/>
                      <w:szCs w:val="21"/>
                    </w:rPr>
                    <w:t>类别</w:t>
                  </w:r>
                </w:p>
              </w:tc>
              <w:tc>
                <w:tcPr>
                  <w:tcW w:w="971" w:type="dxa"/>
                  <w:vAlign w:val="center"/>
                </w:tcPr>
                <w:p w14:paraId="7A5C5C97">
                  <w:pPr>
                    <w:jc w:val="center"/>
                    <w:rPr>
                      <w:rFonts w:ascii="宋体" w:hAnsi="宋体"/>
                      <w:b/>
                      <w:szCs w:val="21"/>
                    </w:rPr>
                  </w:pPr>
                  <w:r>
                    <w:rPr>
                      <w:rFonts w:ascii="宋体" w:hAnsi="宋体"/>
                      <w:b/>
                      <w:szCs w:val="21"/>
                    </w:rPr>
                    <w:t>预估总采购量(辆)</w:t>
                  </w:r>
                </w:p>
              </w:tc>
              <w:tc>
                <w:tcPr>
                  <w:tcW w:w="1059" w:type="dxa"/>
                  <w:vAlign w:val="center"/>
                </w:tcPr>
                <w:p w14:paraId="445918E6">
                  <w:pPr>
                    <w:jc w:val="center"/>
                    <w:rPr>
                      <w:rFonts w:hint="eastAsia" w:ascii="宋体" w:hAnsi="宋体"/>
                      <w:b/>
                      <w:bCs/>
                      <w:szCs w:val="21"/>
                    </w:rPr>
                  </w:pPr>
                  <w:r>
                    <w:rPr>
                      <w:rFonts w:ascii="宋体" w:hAnsi="宋体"/>
                      <w:b/>
                      <w:bCs/>
                      <w:szCs w:val="21"/>
                    </w:rPr>
                    <w:t>▲</w:t>
                  </w:r>
                  <w:r>
                    <w:rPr>
                      <w:rFonts w:hint="eastAsia" w:ascii="宋体" w:hAnsi="宋体"/>
                      <w:b/>
                      <w:bCs/>
                      <w:szCs w:val="21"/>
                    </w:rPr>
                    <w:t>按次</w:t>
                  </w:r>
                  <w:r>
                    <w:rPr>
                      <w:rFonts w:ascii="宋体" w:hAnsi="宋体"/>
                      <w:b/>
                      <w:bCs/>
                      <w:szCs w:val="21"/>
                    </w:rPr>
                    <w:t>采购单价上限</w:t>
                  </w:r>
                  <w:r>
                    <w:rPr>
                      <w:rFonts w:hint="eastAsia" w:ascii="宋体" w:hAnsi="宋体"/>
                      <w:b/>
                      <w:bCs/>
                      <w:szCs w:val="21"/>
                    </w:rPr>
                    <w:t>（用车时长≤2小时）</w:t>
                  </w:r>
                </w:p>
              </w:tc>
              <w:tc>
                <w:tcPr>
                  <w:tcW w:w="1088" w:type="dxa"/>
                  <w:vAlign w:val="center"/>
                </w:tcPr>
                <w:p w14:paraId="291CF5C4">
                  <w:pPr>
                    <w:jc w:val="center"/>
                    <w:rPr>
                      <w:rFonts w:ascii="宋体" w:hAnsi="宋体"/>
                      <w:b/>
                      <w:bCs/>
                      <w:szCs w:val="21"/>
                    </w:rPr>
                  </w:pPr>
                  <w:r>
                    <w:rPr>
                      <w:rFonts w:ascii="宋体" w:hAnsi="宋体"/>
                      <w:b/>
                      <w:bCs/>
                      <w:szCs w:val="21"/>
                    </w:rPr>
                    <w:t>▲</w:t>
                  </w:r>
                  <w:r>
                    <w:rPr>
                      <w:rFonts w:hint="eastAsia" w:ascii="宋体" w:hAnsi="宋体"/>
                      <w:b/>
                      <w:bCs/>
                      <w:szCs w:val="21"/>
                    </w:rPr>
                    <w:t>按半天</w:t>
                  </w:r>
                  <w:r>
                    <w:rPr>
                      <w:rFonts w:ascii="宋体" w:hAnsi="宋体"/>
                      <w:b/>
                      <w:bCs/>
                      <w:szCs w:val="21"/>
                    </w:rPr>
                    <w:t>采购单价上限</w:t>
                  </w:r>
                  <w:r>
                    <w:rPr>
                      <w:rFonts w:hint="eastAsia" w:ascii="宋体" w:hAnsi="宋体"/>
                      <w:b/>
                      <w:bCs/>
                      <w:szCs w:val="21"/>
                    </w:rPr>
                    <w:t>（2小时＜用车时长≤5小时）</w:t>
                  </w:r>
                </w:p>
              </w:tc>
              <w:tc>
                <w:tcPr>
                  <w:tcW w:w="1162" w:type="dxa"/>
                  <w:vAlign w:val="center"/>
                </w:tcPr>
                <w:p w14:paraId="570D1B3F">
                  <w:pPr>
                    <w:jc w:val="center"/>
                    <w:rPr>
                      <w:rFonts w:ascii="宋体" w:hAnsi="宋体"/>
                      <w:b/>
                      <w:szCs w:val="21"/>
                    </w:rPr>
                  </w:pPr>
                  <w:r>
                    <w:rPr>
                      <w:rFonts w:ascii="宋体" w:hAnsi="宋体"/>
                      <w:szCs w:val="21"/>
                    </w:rPr>
                    <w:t>▲</w:t>
                  </w:r>
                  <w:r>
                    <w:rPr>
                      <w:rFonts w:ascii="宋体" w:hAnsi="宋体"/>
                      <w:b/>
                      <w:szCs w:val="21"/>
                    </w:rPr>
                    <w:t>车型</w:t>
                  </w:r>
                </w:p>
              </w:tc>
              <w:tc>
                <w:tcPr>
                  <w:tcW w:w="1490" w:type="dxa"/>
                  <w:vAlign w:val="center"/>
                </w:tcPr>
                <w:p w14:paraId="2CDB1ED3">
                  <w:pPr>
                    <w:jc w:val="center"/>
                    <w:rPr>
                      <w:rFonts w:ascii="宋体" w:hAnsi="宋体"/>
                      <w:b/>
                      <w:szCs w:val="21"/>
                    </w:rPr>
                  </w:pPr>
                  <w:r>
                    <w:rPr>
                      <w:rFonts w:ascii="宋体" w:hAnsi="宋体"/>
                      <w:b/>
                      <w:szCs w:val="21"/>
                    </w:rPr>
                    <w:t>备注</w:t>
                  </w:r>
                </w:p>
              </w:tc>
            </w:tr>
            <w:tr w14:paraId="40E90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trPr>
              <w:tc>
                <w:tcPr>
                  <w:tcW w:w="967" w:type="dxa"/>
                  <w:vAlign w:val="center"/>
                </w:tcPr>
                <w:p w14:paraId="6E54327A">
                  <w:pPr>
                    <w:jc w:val="center"/>
                    <w:rPr>
                      <w:rFonts w:ascii="宋体" w:hAnsi="宋体"/>
                      <w:szCs w:val="21"/>
                    </w:rPr>
                  </w:pPr>
                  <w:r>
                    <w:rPr>
                      <w:rFonts w:hint="eastAsia" w:ascii="宋体" w:hAnsi="宋体"/>
                      <w:szCs w:val="21"/>
                    </w:rPr>
                    <w:t>高级轿车（国宾用车，5座）</w:t>
                  </w:r>
                </w:p>
              </w:tc>
              <w:tc>
                <w:tcPr>
                  <w:tcW w:w="971" w:type="dxa"/>
                  <w:vAlign w:val="center"/>
                </w:tcPr>
                <w:p w14:paraId="2F215A19">
                  <w:pPr>
                    <w:jc w:val="center"/>
                    <w:rPr>
                      <w:rFonts w:hint="eastAsia" w:ascii="宋体" w:hAnsi="宋体"/>
                      <w:szCs w:val="21"/>
                    </w:rPr>
                  </w:pPr>
                  <w:r>
                    <w:rPr>
                      <w:rFonts w:hint="eastAsia" w:ascii="宋体" w:hAnsi="宋体"/>
                      <w:szCs w:val="21"/>
                    </w:rPr>
                    <w:t>7</w:t>
                  </w:r>
                </w:p>
              </w:tc>
              <w:tc>
                <w:tcPr>
                  <w:tcW w:w="1059" w:type="dxa"/>
                  <w:vAlign w:val="center"/>
                </w:tcPr>
                <w:p w14:paraId="2D8A3A97">
                  <w:pPr>
                    <w:jc w:val="center"/>
                    <w:rPr>
                      <w:rFonts w:hint="eastAsia" w:ascii="宋体" w:hAnsi="宋体"/>
                      <w:szCs w:val="21"/>
                    </w:rPr>
                  </w:pPr>
                  <w:r>
                    <w:rPr>
                      <w:rFonts w:hint="eastAsia" w:ascii="宋体" w:hAnsi="宋体"/>
                      <w:szCs w:val="21"/>
                    </w:rPr>
                    <w:t>/</w:t>
                  </w:r>
                </w:p>
              </w:tc>
              <w:tc>
                <w:tcPr>
                  <w:tcW w:w="1088" w:type="dxa"/>
                  <w:vAlign w:val="center"/>
                </w:tcPr>
                <w:p w14:paraId="2AF66D9A">
                  <w:pPr>
                    <w:jc w:val="center"/>
                    <w:rPr>
                      <w:rFonts w:hint="eastAsia" w:ascii="宋体" w:hAnsi="宋体"/>
                      <w:szCs w:val="21"/>
                    </w:rPr>
                  </w:pPr>
                  <w:r>
                    <w:rPr>
                      <w:rFonts w:hint="eastAsia" w:ascii="宋体" w:hAnsi="宋体"/>
                      <w:szCs w:val="21"/>
                    </w:rPr>
                    <w:t>/</w:t>
                  </w:r>
                </w:p>
              </w:tc>
              <w:tc>
                <w:tcPr>
                  <w:tcW w:w="1162" w:type="dxa"/>
                  <w:vAlign w:val="center"/>
                </w:tcPr>
                <w:p w14:paraId="4AD77001">
                  <w:pPr>
                    <w:jc w:val="center"/>
                    <w:rPr>
                      <w:rFonts w:ascii="宋体" w:hAnsi="宋体"/>
                      <w:szCs w:val="21"/>
                    </w:rPr>
                  </w:pPr>
                  <w:r>
                    <w:rPr>
                      <w:rFonts w:hint="eastAsia" w:ascii="宋体" w:hAnsi="宋体"/>
                      <w:szCs w:val="21"/>
                    </w:rPr>
                    <w:t>红旗H9</w:t>
                  </w:r>
                </w:p>
              </w:tc>
              <w:tc>
                <w:tcPr>
                  <w:tcW w:w="1490" w:type="dxa"/>
                  <w:vAlign w:val="center"/>
                </w:tcPr>
                <w:p w14:paraId="45F0C602">
                  <w:pPr>
                    <w:jc w:val="center"/>
                    <w:rPr>
                      <w:rFonts w:ascii="宋体" w:hAnsi="宋体"/>
                      <w:szCs w:val="21"/>
                    </w:rPr>
                  </w:pPr>
                  <w:r>
                    <w:rPr>
                      <w:rFonts w:hint="eastAsia"/>
                      <w:szCs w:val="21"/>
                    </w:rPr>
                    <w:t>裸车，</w:t>
                  </w:r>
                  <w:r>
                    <w:rPr>
                      <w:szCs w:val="21"/>
                    </w:rPr>
                    <w:t>注册年限</w:t>
                  </w:r>
                  <w:r>
                    <w:rPr>
                      <w:rFonts w:hint="eastAsia"/>
                      <w:szCs w:val="21"/>
                    </w:rPr>
                    <w:t>3</w:t>
                  </w:r>
                  <w:r>
                    <w:rPr>
                      <w:szCs w:val="21"/>
                    </w:rPr>
                    <w:t>年内</w:t>
                  </w:r>
                  <w:r>
                    <w:rPr>
                      <w:rFonts w:hint="eastAsia"/>
                      <w:szCs w:val="21"/>
                    </w:rPr>
                    <w:t>，含车辆专项检测费、异地运输费、专项技术支持费等</w:t>
                  </w:r>
                </w:p>
              </w:tc>
            </w:tr>
            <w:tr w14:paraId="3EC2A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1" w:hRule="atLeast"/>
              </w:trPr>
              <w:tc>
                <w:tcPr>
                  <w:tcW w:w="967" w:type="dxa"/>
                  <w:vAlign w:val="center"/>
                </w:tcPr>
                <w:p w14:paraId="46BBA7E3">
                  <w:pPr>
                    <w:jc w:val="center"/>
                    <w:rPr>
                      <w:rFonts w:ascii="宋体" w:hAnsi="宋体"/>
                      <w:szCs w:val="21"/>
                    </w:rPr>
                  </w:pPr>
                  <w:r>
                    <w:rPr>
                      <w:rFonts w:ascii="宋体" w:hAnsi="宋体"/>
                      <w:szCs w:val="21"/>
                    </w:rPr>
                    <w:t>高级轿车(5座)</w:t>
                  </w:r>
                </w:p>
              </w:tc>
              <w:tc>
                <w:tcPr>
                  <w:tcW w:w="971" w:type="dxa"/>
                  <w:vAlign w:val="center"/>
                </w:tcPr>
                <w:p w14:paraId="2824779F">
                  <w:pPr>
                    <w:jc w:val="center"/>
                    <w:rPr>
                      <w:rFonts w:hint="eastAsia" w:ascii="宋体" w:hAnsi="宋体"/>
                      <w:szCs w:val="21"/>
                    </w:rPr>
                  </w:pPr>
                  <w:r>
                    <w:rPr>
                      <w:rFonts w:hint="eastAsia" w:ascii="宋体" w:hAnsi="宋体"/>
                      <w:szCs w:val="21"/>
                    </w:rPr>
                    <w:t>2</w:t>
                  </w:r>
                </w:p>
              </w:tc>
              <w:tc>
                <w:tcPr>
                  <w:tcW w:w="1059" w:type="dxa"/>
                  <w:vAlign w:val="center"/>
                </w:tcPr>
                <w:p w14:paraId="1A0DE588">
                  <w:pPr>
                    <w:jc w:val="center"/>
                    <w:rPr>
                      <w:rFonts w:ascii="宋体" w:hAnsi="宋体"/>
                      <w:szCs w:val="21"/>
                    </w:rPr>
                  </w:pPr>
                  <w:r>
                    <w:rPr>
                      <w:rFonts w:hint="eastAsia" w:ascii="宋体" w:hAnsi="宋体"/>
                      <w:szCs w:val="21"/>
                    </w:rPr>
                    <w:t>300</w:t>
                  </w:r>
                </w:p>
              </w:tc>
              <w:tc>
                <w:tcPr>
                  <w:tcW w:w="1088" w:type="dxa"/>
                  <w:vAlign w:val="center"/>
                </w:tcPr>
                <w:p w14:paraId="222B52EC">
                  <w:pPr>
                    <w:jc w:val="center"/>
                    <w:rPr>
                      <w:rFonts w:ascii="宋体" w:hAnsi="宋体"/>
                      <w:szCs w:val="21"/>
                    </w:rPr>
                  </w:pPr>
                  <w:r>
                    <w:rPr>
                      <w:rFonts w:hint="eastAsia" w:ascii="宋体" w:hAnsi="宋体"/>
                      <w:szCs w:val="21"/>
                    </w:rPr>
                    <w:t>600</w:t>
                  </w:r>
                </w:p>
              </w:tc>
              <w:tc>
                <w:tcPr>
                  <w:tcW w:w="1162" w:type="dxa"/>
                  <w:vAlign w:val="center"/>
                </w:tcPr>
                <w:p w14:paraId="7318EA45">
                  <w:pPr>
                    <w:jc w:val="center"/>
                    <w:rPr>
                      <w:rFonts w:ascii="宋体" w:hAnsi="宋体"/>
                      <w:szCs w:val="21"/>
                    </w:rPr>
                  </w:pPr>
                  <w:r>
                    <w:rPr>
                      <w:rFonts w:ascii="宋体" w:hAnsi="宋体"/>
                      <w:szCs w:val="21"/>
                    </w:rPr>
                    <w:t>奥迪A6、奔驰E系列</w:t>
                  </w:r>
                  <w:r>
                    <w:rPr>
                      <w:rFonts w:hint="eastAsia" w:ascii="宋体" w:hAnsi="宋体"/>
                      <w:szCs w:val="21"/>
                    </w:rPr>
                    <w:t>及同类车型</w:t>
                  </w:r>
                </w:p>
              </w:tc>
              <w:tc>
                <w:tcPr>
                  <w:tcW w:w="1490" w:type="dxa"/>
                  <w:vAlign w:val="center"/>
                </w:tcPr>
                <w:p w14:paraId="1DE03E4C">
                  <w:pPr>
                    <w:jc w:val="center"/>
                    <w:rPr>
                      <w:rFonts w:ascii="宋体" w:hAnsi="宋体"/>
                      <w:szCs w:val="21"/>
                    </w:rPr>
                  </w:pPr>
                  <w:r>
                    <w:rPr>
                      <w:rFonts w:ascii="宋体" w:hAnsi="宋体"/>
                      <w:szCs w:val="21"/>
                    </w:rPr>
                    <w:t>注册年限6年内</w:t>
                  </w:r>
                  <w:r>
                    <w:rPr>
                      <w:rFonts w:hint="eastAsia" w:ascii="宋体" w:hAnsi="宋体"/>
                      <w:szCs w:val="21"/>
                    </w:rPr>
                    <w:t>，</w:t>
                  </w:r>
                  <w:r>
                    <w:rPr>
                      <w:rFonts w:ascii="宋体" w:hAnsi="宋体"/>
                      <w:szCs w:val="21"/>
                    </w:rPr>
                    <w:t>达到营运标准</w:t>
                  </w:r>
                </w:p>
              </w:tc>
            </w:tr>
            <w:tr w14:paraId="4BAA1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9" w:hRule="atLeast"/>
              </w:trPr>
              <w:tc>
                <w:tcPr>
                  <w:tcW w:w="967" w:type="dxa"/>
                  <w:vAlign w:val="center"/>
                </w:tcPr>
                <w:p w14:paraId="4D5B8C48">
                  <w:pPr>
                    <w:jc w:val="center"/>
                    <w:rPr>
                      <w:rFonts w:ascii="宋体" w:hAnsi="宋体"/>
                      <w:szCs w:val="21"/>
                    </w:rPr>
                  </w:pPr>
                  <w:r>
                    <w:rPr>
                      <w:rFonts w:ascii="宋体" w:hAnsi="宋体"/>
                      <w:szCs w:val="21"/>
                    </w:rPr>
                    <w:t>中级轿车</w:t>
                  </w:r>
                </w:p>
                <w:p w14:paraId="4C2182D8">
                  <w:pPr>
                    <w:jc w:val="center"/>
                    <w:rPr>
                      <w:rFonts w:ascii="宋体" w:hAnsi="宋体"/>
                      <w:szCs w:val="21"/>
                    </w:rPr>
                  </w:pPr>
                  <w:r>
                    <w:rPr>
                      <w:rFonts w:ascii="宋体" w:hAnsi="宋体"/>
                      <w:szCs w:val="21"/>
                    </w:rPr>
                    <w:t>(5座)</w:t>
                  </w:r>
                </w:p>
              </w:tc>
              <w:tc>
                <w:tcPr>
                  <w:tcW w:w="971" w:type="dxa"/>
                  <w:vAlign w:val="center"/>
                </w:tcPr>
                <w:p w14:paraId="3CA56665">
                  <w:pPr>
                    <w:jc w:val="center"/>
                    <w:rPr>
                      <w:rFonts w:ascii="宋体" w:hAnsi="宋体"/>
                      <w:szCs w:val="21"/>
                    </w:rPr>
                  </w:pPr>
                  <w:r>
                    <w:rPr>
                      <w:rFonts w:hint="eastAsia" w:ascii="宋体" w:hAnsi="宋体"/>
                      <w:szCs w:val="21"/>
                    </w:rPr>
                    <w:t>38</w:t>
                  </w:r>
                </w:p>
              </w:tc>
              <w:tc>
                <w:tcPr>
                  <w:tcW w:w="1059" w:type="dxa"/>
                  <w:vAlign w:val="center"/>
                </w:tcPr>
                <w:p w14:paraId="305606EF">
                  <w:pPr>
                    <w:jc w:val="center"/>
                    <w:rPr>
                      <w:rFonts w:ascii="宋体" w:hAnsi="宋体"/>
                      <w:szCs w:val="21"/>
                    </w:rPr>
                  </w:pPr>
                  <w:r>
                    <w:rPr>
                      <w:rFonts w:hint="eastAsia" w:ascii="宋体" w:hAnsi="宋体"/>
                      <w:szCs w:val="21"/>
                    </w:rPr>
                    <w:t>200</w:t>
                  </w:r>
                </w:p>
              </w:tc>
              <w:tc>
                <w:tcPr>
                  <w:tcW w:w="1088" w:type="dxa"/>
                  <w:vAlign w:val="center"/>
                </w:tcPr>
                <w:p w14:paraId="6F54DB48">
                  <w:pPr>
                    <w:jc w:val="center"/>
                    <w:rPr>
                      <w:rFonts w:ascii="宋体" w:hAnsi="宋体"/>
                      <w:szCs w:val="21"/>
                    </w:rPr>
                  </w:pPr>
                  <w:r>
                    <w:rPr>
                      <w:rFonts w:hint="eastAsia" w:ascii="宋体" w:hAnsi="宋体"/>
                      <w:szCs w:val="21"/>
                    </w:rPr>
                    <w:t>460</w:t>
                  </w:r>
                </w:p>
              </w:tc>
              <w:tc>
                <w:tcPr>
                  <w:tcW w:w="1162" w:type="dxa"/>
                  <w:vAlign w:val="center"/>
                </w:tcPr>
                <w:p w14:paraId="256D5EE8">
                  <w:pPr>
                    <w:jc w:val="center"/>
                    <w:rPr>
                      <w:rFonts w:ascii="宋体" w:hAnsi="宋体"/>
                      <w:szCs w:val="21"/>
                    </w:rPr>
                  </w:pPr>
                  <w:r>
                    <w:rPr>
                      <w:rFonts w:ascii="宋体" w:hAnsi="宋体"/>
                      <w:szCs w:val="21"/>
                    </w:rPr>
                    <w:t>帕萨特、凯美瑞、天籁</w:t>
                  </w:r>
                  <w:r>
                    <w:rPr>
                      <w:rFonts w:hint="eastAsia" w:ascii="宋体" w:hAnsi="宋体"/>
                      <w:szCs w:val="21"/>
                    </w:rPr>
                    <w:t>及同类车型</w:t>
                  </w:r>
                </w:p>
              </w:tc>
              <w:tc>
                <w:tcPr>
                  <w:tcW w:w="1490" w:type="dxa"/>
                  <w:vAlign w:val="center"/>
                </w:tcPr>
                <w:p w14:paraId="6FDEA699">
                  <w:pPr>
                    <w:jc w:val="center"/>
                    <w:rPr>
                      <w:rFonts w:ascii="宋体" w:hAnsi="宋体"/>
                      <w:szCs w:val="21"/>
                    </w:rPr>
                  </w:pPr>
                  <w:r>
                    <w:rPr>
                      <w:rFonts w:ascii="宋体" w:hAnsi="宋体"/>
                      <w:szCs w:val="21"/>
                    </w:rPr>
                    <w:t>注册年限6年内</w:t>
                  </w:r>
                  <w:r>
                    <w:rPr>
                      <w:rFonts w:hint="eastAsia" w:ascii="宋体" w:hAnsi="宋体"/>
                      <w:szCs w:val="21"/>
                    </w:rPr>
                    <w:t>，</w:t>
                  </w:r>
                  <w:r>
                    <w:rPr>
                      <w:rFonts w:ascii="宋体" w:hAnsi="宋体"/>
                      <w:szCs w:val="21"/>
                    </w:rPr>
                    <w:t>达到营运标准</w:t>
                  </w:r>
                </w:p>
              </w:tc>
            </w:tr>
            <w:tr w14:paraId="4DA2C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 w:hRule="atLeast"/>
              </w:trPr>
              <w:tc>
                <w:tcPr>
                  <w:tcW w:w="967" w:type="dxa"/>
                  <w:vAlign w:val="center"/>
                </w:tcPr>
                <w:p w14:paraId="5849734B">
                  <w:pPr>
                    <w:jc w:val="center"/>
                    <w:rPr>
                      <w:rFonts w:ascii="宋体" w:hAnsi="宋体"/>
                      <w:szCs w:val="21"/>
                    </w:rPr>
                  </w:pPr>
                  <w:r>
                    <w:rPr>
                      <w:rFonts w:ascii="宋体" w:hAnsi="宋体"/>
                      <w:szCs w:val="21"/>
                    </w:rPr>
                    <w:t>商务车</w:t>
                  </w:r>
                </w:p>
                <w:p w14:paraId="14D8D852">
                  <w:pPr>
                    <w:jc w:val="center"/>
                    <w:rPr>
                      <w:rFonts w:ascii="宋体" w:hAnsi="宋体"/>
                      <w:szCs w:val="21"/>
                    </w:rPr>
                  </w:pPr>
                  <w:r>
                    <w:rPr>
                      <w:rFonts w:ascii="宋体" w:hAnsi="宋体"/>
                      <w:szCs w:val="21"/>
                    </w:rPr>
                    <w:t>(7座)</w:t>
                  </w:r>
                </w:p>
              </w:tc>
              <w:tc>
                <w:tcPr>
                  <w:tcW w:w="971" w:type="dxa"/>
                  <w:vAlign w:val="center"/>
                </w:tcPr>
                <w:p w14:paraId="5DEF6D9F">
                  <w:pPr>
                    <w:jc w:val="center"/>
                    <w:rPr>
                      <w:rFonts w:ascii="宋体" w:hAnsi="宋体"/>
                      <w:szCs w:val="21"/>
                    </w:rPr>
                  </w:pPr>
                  <w:r>
                    <w:rPr>
                      <w:rFonts w:hint="eastAsia" w:ascii="宋体" w:hAnsi="宋体"/>
                      <w:szCs w:val="21"/>
                    </w:rPr>
                    <w:t>32</w:t>
                  </w:r>
                </w:p>
              </w:tc>
              <w:tc>
                <w:tcPr>
                  <w:tcW w:w="1059" w:type="dxa"/>
                  <w:vAlign w:val="center"/>
                </w:tcPr>
                <w:p w14:paraId="454D5091">
                  <w:pPr>
                    <w:jc w:val="center"/>
                    <w:rPr>
                      <w:rFonts w:ascii="宋体" w:hAnsi="宋体"/>
                      <w:szCs w:val="21"/>
                    </w:rPr>
                  </w:pPr>
                  <w:r>
                    <w:rPr>
                      <w:rFonts w:hint="eastAsia" w:ascii="宋体" w:hAnsi="宋体"/>
                      <w:szCs w:val="21"/>
                    </w:rPr>
                    <w:t>300</w:t>
                  </w:r>
                </w:p>
              </w:tc>
              <w:tc>
                <w:tcPr>
                  <w:tcW w:w="1088" w:type="dxa"/>
                  <w:vAlign w:val="center"/>
                </w:tcPr>
                <w:p w14:paraId="4218A26B">
                  <w:pPr>
                    <w:jc w:val="center"/>
                    <w:rPr>
                      <w:rFonts w:ascii="宋体" w:hAnsi="宋体"/>
                      <w:szCs w:val="21"/>
                    </w:rPr>
                  </w:pPr>
                  <w:r>
                    <w:rPr>
                      <w:rFonts w:hint="eastAsia" w:ascii="宋体" w:hAnsi="宋体"/>
                      <w:szCs w:val="21"/>
                    </w:rPr>
                    <w:t>580</w:t>
                  </w:r>
                </w:p>
              </w:tc>
              <w:tc>
                <w:tcPr>
                  <w:tcW w:w="1162" w:type="dxa"/>
                  <w:vAlign w:val="center"/>
                </w:tcPr>
                <w:p w14:paraId="461BB13F">
                  <w:pPr>
                    <w:jc w:val="center"/>
                    <w:rPr>
                      <w:rFonts w:ascii="宋体" w:hAnsi="宋体"/>
                      <w:szCs w:val="21"/>
                    </w:rPr>
                  </w:pPr>
                  <w:r>
                    <w:rPr>
                      <w:rFonts w:ascii="宋体" w:hAnsi="宋体"/>
                      <w:szCs w:val="21"/>
                    </w:rPr>
                    <w:t>别克GL8</w:t>
                  </w:r>
                  <w:r>
                    <w:rPr>
                      <w:rFonts w:hint="eastAsia" w:ascii="宋体" w:hAnsi="宋体"/>
                      <w:szCs w:val="21"/>
                    </w:rPr>
                    <w:t>及同类车型</w:t>
                  </w:r>
                </w:p>
              </w:tc>
              <w:tc>
                <w:tcPr>
                  <w:tcW w:w="1490" w:type="dxa"/>
                  <w:vAlign w:val="center"/>
                </w:tcPr>
                <w:p w14:paraId="2F6B9794">
                  <w:pPr>
                    <w:jc w:val="center"/>
                    <w:rPr>
                      <w:rFonts w:ascii="宋体" w:hAnsi="宋体"/>
                      <w:szCs w:val="21"/>
                    </w:rPr>
                  </w:pPr>
                  <w:r>
                    <w:rPr>
                      <w:rFonts w:ascii="宋体" w:hAnsi="宋体"/>
                      <w:szCs w:val="21"/>
                    </w:rPr>
                    <w:t>达到营运标准</w:t>
                  </w:r>
                </w:p>
              </w:tc>
            </w:tr>
            <w:tr w14:paraId="3B50C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trPr>
              <w:tc>
                <w:tcPr>
                  <w:tcW w:w="967" w:type="dxa"/>
                  <w:vAlign w:val="center"/>
                </w:tcPr>
                <w:p w14:paraId="798C2C21">
                  <w:pPr>
                    <w:jc w:val="center"/>
                    <w:rPr>
                      <w:rFonts w:ascii="宋体" w:hAnsi="宋体"/>
                      <w:szCs w:val="21"/>
                    </w:rPr>
                  </w:pPr>
                  <w:r>
                    <w:rPr>
                      <w:rFonts w:ascii="宋体" w:hAnsi="宋体"/>
                      <w:szCs w:val="21"/>
                    </w:rPr>
                    <w:t>轻客</w:t>
                  </w:r>
                </w:p>
                <w:p w14:paraId="1185E1D5">
                  <w:pPr>
                    <w:jc w:val="center"/>
                    <w:rPr>
                      <w:rFonts w:ascii="宋体" w:hAnsi="宋体"/>
                      <w:szCs w:val="21"/>
                    </w:rPr>
                  </w:pPr>
                  <w:r>
                    <w:rPr>
                      <w:rFonts w:ascii="宋体" w:hAnsi="宋体"/>
                      <w:szCs w:val="21"/>
                    </w:rPr>
                    <w:t>(</w:t>
                  </w:r>
                  <w:r>
                    <w:rPr>
                      <w:rFonts w:hint="eastAsia" w:ascii="宋体" w:hAnsi="宋体"/>
                      <w:szCs w:val="21"/>
                    </w:rPr>
                    <w:t>9</w:t>
                  </w:r>
                  <w:r>
                    <w:rPr>
                      <w:rFonts w:ascii="宋体" w:hAnsi="宋体"/>
                      <w:szCs w:val="21"/>
                    </w:rPr>
                    <w:t>-</w:t>
                  </w:r>
                  <w:r>
                    <w:rPr>
                      <w:rFonts w:hint="eastAsia" w:ascii="宋体" w:hAnsi="宋体"/>
                      <w:szCs w:val="21"/>
                    </w:rPr>
                    <w:t>13</w:t>
                  </w:r>
                  <w:r>
                    <w:rPr>
                      <w:rFonts w:ascii="宋体" w:hAnsi="宋体"/>
                      <w:szCs w:val="21"/>
                    </w:rPr>
                    <w:t>座)</w:t>
                  </w:r>
                </w:p>
              </w:tc>
              <w:tc>
                <w:tcPr>
                  <w:tcW w:w="971" w:type="dxa"/>
                  <w:vAlign w:val="center"/>
                </w:tcPr>
                <w:p w14:paraId="583554F6">
                  <w:pPr>
                    <w:jc w:val="center"/>
                    <w:rPr>
                      <w:rFonts w:ascii="宋体" w:hAnsi="宋体"/>
                      <w:szCs w:val="21"/>
                    </w:rPr>
                  </w:pPr>
                  <w:r>
                    <w:rPr>
                      <w:rFonts w:hint="eastAsia" w:ascii="宋体" w:hAnsi="宋体"/>
                      <w:szCs w:val="21"/>
                    </w:rPr>
                    <w:t>13</w:t>
                  </w:r>
                </w:p>
              </w:tc>
              <w:tc>
                <w:tcPr>
                  <w:tcW w:w="1059" w:type="dxa"/>
                  <w:vAlign w:val="center"/>
                </w:tcPr>
                <w:p w14:paraId="11093E22">
                  <w:pPr>
                    <w:jc w:val="center"/>
                    <w:rPr>
                      <w:rFonts w:ascii="宋体" w:hAnsi="宋体"/>
                      <w:szCs w:val="21"/>
                    </w:rPr>
                  </w:pPr>
                  <w:r>
                    <w:rPr>
                      <w:rFonts w:hint="eastAsia" w:ascii="宋体" w:hAnsi="宋体"/>
                      <w:szCs w:val="21"/>
                    </w:rPr>
                    <w:t>300</w:t>
                  </w:r>
                </w:p>
              </w:tc>
              <w:tc>
                <w:tcPr>
                  <w:tcW w:w="1088" w:type="dxa"/>
                  <w:vAlign w:val="center"/>
                </w:tcPr>
                <w:p w14:paraId="2AA14CE2">
                  <w:pPr>
                    <w:jc w:val="center"/>
                    <w:rPr>
                      <w:rFonts w:ascii="宋体" w:hAnsi="宋体"/>
                      <w:szCs w:val="21"/>
                    </w:rPr>
                  </w:pPr>
                  <w:r>
                    <w:rPr>
                      <w:rFonts w:hint="eastAsia" w:ascii="宋体" w:hAnsi="宋体"/>
                      <w:szCs w:val="21"/>
                    </w:rPr>
                    <w:t>600</w:t>
                  </w:r>
                </w:p>
              </w:tc>
              <w:tc>
                <w:tcPr>
                  <w:tcW w:w="1162" w:type="dxa"/>
                  <w:vAlign w:val="center"/>
                </w:tcPr>
                <w:p w14:paraId="090F4C3A">
                  <w:pPr>
                    <w:jc w:val="center"/>
                    <w:rPr>
                      <w:rFonts w:ascii="宋体" w:hAnsi="宋体"/>
                      <w:szCs w:val="21"/>
                    </w:rPr>
                  </w:pPr>
                  <w:r>
                    <w:rPr>
                      <w:rFonts w:ascii="宋体" w:hAnsi="宋体"/>
                      <w:szCs w:val="21"/>
                    </w:rPr>
                    <w:t>海狮</w:t>
                  </w:r>
                  <w:r>
                    <w:rPr>
                      <w:rFonts w:hint="eastAsia" w:ascii="宋体" w:hAnsi="宋体"/>
                      <w:szCs w:val="21"/>
                    </w:rPr>
                    <w:t>及同类车型</w:t>
                  </w:r>
                </w:p>
              </w:tc>
              <w:tc>
                <w:tcPr>
                  <w:tcW w:w="1490" w:type="dxa"/>
                  <w:vAlign w:val="center"/>
                </w:tcPr>
                <w:p w14:paraId="2AEC038B">
                  <w:pPr>
                    <w:jc w:val="center"/>
                    <w:rPr>
                      <w:rFonts w:ascii="宋体" w:hAnsi="宋体"/>
                      <w:szCs w:val="21"/>
                    </w:rPr>
                  </w:pPr>
                  <w:r>
                    <w:rPr>
                      <w:rFonts w:ascii="宋体" w:hAnsi="宋体"/>
                      <w:szCs w:val="21"/>
                    </w:rPr>
                    <w:t>达到客车营运标准</w:t>
                  </w:r>
                </w:p>
              </w:tc>
            </w:tr>
            <w:tr w14:paraId="7909A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9" w:hRule="atLeast"/>
              </w:trPr>
              <w:tc>
                <w:tcPr>
                  <w:tcW w:w="967" w:type="dxa"/>
                  <w:vAlign w:val="center"/>
                </w:tcPr>
                <w:p w14:paraId="24FCE26D">
                  <w:pPr>
                    <w:jc w:val="center"/>
                    <w:rPr>
                      <w:rFonts w:ascii="宋体" w:hAnsi="宋体"/>
                      <w:szCs w:val="21"/>
                    </w:rPr>
                  </w:pPr>
                  <w:r>
                    <w:rPr>
                      <w:rFonts w:ascii="宋体" w:hAnsi="宋体"/>
                      <w:szCs w:val="21"/>
                    </w:rPr>
                    <w:t>中型</w:t>
                  </w:r>
                </w:p>
                <w:p w14:paraId="14872673">
                  <w:pPr>
                    <w:jc w:val="center"/>
                    <w:rPr>
                      <w:rFonts w:ascii="宋体" w:hAnsi="宋体"/>
                      <w:szCs w:val="21"/>
                    </w:rPr>
                  </w:pPr>
                  <w:r>
                    <w:rPr>
                      <w:rFonts w:ascii="宋体" w:hAnsi="宋体"/>
                      <w:szCs w:val="21"/>
                    </w:rPr>
                    <w:t>客车(15-</w:t>
                  </w:r>
                  <w:r>
                    <w:rPr>
                      <w:rFonts w:hint="eastAsia" w:ascii="宋体" w:hAnsi="宋体"/>
                      <w:szCs w:val="21"/>
                    </w:rPr>
                    <w:t>23</w:t>
                  </w:r>
                  <w:r>
                    <w:rPr>
                      <w:rFonts w:ascii="宋体" w:hAnsi="宋体"/>
                      <w:szCs w:val="21"/>
                    </w:rPr>
                    <w:t>座)</w:t>
                  </w:r>
                </w:p>
              </w:tc>
              <w:tc>
                <w:tcPr>
                  <w:tcW w:w="971" w:type="dxa"/>
                  <w:vAlign w:val="center"/>
                </w:tcPr>
                <w:p w14:paraId="1FDABBC2">
                  <w:pPr>
                    <w:jc w:val="center"/>
                    <w:rPr>
                      <w:rFonts w:ascii="宋体" w:hAnsi="宋体"/>
                      <w:szCs w:val="21"/>
                    </w:rPr>
                  </w:pPr>
                  <w:r>
                    <w:rPr>
                      <w:rFonts w:hint="eastAsia" w:ascii="宋体" w:hAnsi="宋体"/>
                      <w:szCs w:val="21"/>
                    </w:rPr>
                    <w:t>39</w:t>
                  </w:r>
                </w:p>
              </w:tc>
              <w:tc>
                <w:tcPr>
                  <w:tcW w:w="1059" w:type="dxa"/>
                  <w:vAlign w:val="center"/>
                </w:tcPr>
                <w:p w14:paraId="2561BAE0">
                  <w:pPr>
                    <w:jc w:val="center"/>
                    <w:rPr>
                      <w:rFonts w:ascii="宋体" w:hAnsi="宋体"/>
                      <w:szCs w:val="21"/>
                    </w:rPr>
                  </w:pPr>
                  <w:r>
                    <w:rPr>
                      <w:rFonts w:hint="eastAsia" w:ascii="宋体" w:hAnsi="宋体"/>
                      <w:szCs w:val="21"/>
                    </w:rPr>
                    <w:t>350</w:t>
                  </w:r>
                </w:p>
              </w:tc>
              <w:tc>
                <w:tcPr>
                  <w:tcW w:w="1088" w:type="dxa"/>
                  <w:vAlign w:val="center"/>
                </w:tcPr>
                <w:p w14:paraId="314ADC19">
                  <w:pPr>
                    <w:jc w:val="center"/>
                    <w:rPr>
                      <w:rFonts w:ascii="宋体" w:hAnsi="宋体"/>
                      <w:szCs w:val="21"/>
                    </w:rPr>
                  </w:pPr>
                  <w:r>
                    <w:rPr>
                      <w:rFonts w:hint="eastAsia" w:ascii="宋体" w:hAnsi="宋体"/>
                      <w:szCs w:val="21"/>
                    </w:rPr>
                    <w:t>700</w:t>
                  </w:r>
                </w:p>
              </w:tc>
              <w:tc>
                <w:tcPr>
                  <w:tcW w:w="1162" w:type="dxa"/>
                  <w:vAlign w:val="center"/>
                </w:tcPr>
                <w:p w14:paraId="1FEA71D1">
                  <w:pPr>
                    <w:jc w:val="center"/>
                    <w:rPr>
                      <w:rFonts w:ascii="宋体" w:hAnsi="宋体"/>
                      <w:szCs w:val="21"/>
                    </w:rPr>
                  </w:pPr>
                  <w:r>
                    <w:rPr>
                      <w:rFonts w:ascii="宋体" w:hAnsi="宋体"/>
                      <w:szCs w:val="21"/>
                    </w:rPr>
                    <w:t>考斯特</w:t>
                  </w:r>
                  <w:r>
                    <w:rPr>
                      <w:rFonts w:hint="eastAsia" w:ascii="宋体" w:hAnsi="宋体"/>
                      <w:szCs w:val="21"/>
                    </w:rPr>
                    <w:t>及同类车型</w:t>
                  </w:r>
                </w:p>
              </w:tc>
              <w:tc>
                <w:tcPr>
                  <w:tcW w:w="1490" w:type="dxa"/>
                  <w:vAlign w:val="center"/>
                </w:tcPr>
                <w:p w14:paraId="001D2463">
                  <w:pPr>
                    <w:jc w:val="center"/>
                    <w:rPr>
                      <w:rFonts w:ascii="宋体" w:hAnsi="宋体"/>
                      <w:szCs w:val="21"/>
                    </w:rPr>
                  </w:pPr>
                  <w:r>
                    <w:rPr>
                      <w:rFonts w:ascii="宋体" w:hAnsi="宋体"/>
                      <w:szCs w:val="21"/>
                    </w:rPr>
                    <w:t>达到客车营运标准</w:t>
                  </w:r>
                </w:p>
              </w:tc>
            </w:tr>
            <w:tr w14:paraId="47602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9" w:hRule="atLeast"/>
              </w:trPr>
              <w:tc>
                <w:tcPr>
                  <w:tcW w:w="967" w:type="dxa"/>
                  <w:vAlign w:val="center"/>
                </w:tcPr>
                <w:p w14:paraId="031A5082">
                  <w:pPr>
                    <w:jc w:val="center"/>
                    <w:rPr>
                      <w:rFonts w:ascii="宋体" w:hAnsi="宋体"/>
                      <w:szCs w:val="21"/>
                    </w:rPr>
                  </w:pPr>
                  <w:r>
                    <w:rPr>
                      <w:rFonts w:ascii="宋体" w:hAnsi="宋体"/>
                      <w:szCs w:val="21"/>
                    </w:rPr>
                    <w:t>大型客车（35座</w:t>
                  </w:r>
                  <w:r>
                    <w:rPr>
                      <w:rFonts w:hint="eastAsia" w:ascii="宋体" w:hAnsi="宋体"/>
                      <w:szCs w:val="21"/>
                    </w:rPr>
                    <w:t>及</w:t>
                  </w:r>
                  <w:r>
                    <w:rPr>
                      <w:rFonts w:ascii="宋体" w:hAnsi="宋体"/>
                      <w:szCs w:val="21"/>
                    </w:rPr>
                    <w:t>以上）</w:t>
                  </w:r>
                </w:p>
              </w:tc>
              <w:tc>
                <w:tcPr>
                  <w:tcW w:w="971" w:type="dxa"/>
                  <w:vAlign w:val="center"/>
                </w:tcPr>
                <w:p w14:paraId="238F4EBD">
                  <w:pPr>
                    <w:jc w:val="center"/>
                    <w:rPr>
                      <w:rFonts w:ascii="宋体" w:hAnsi="宋体"/>
                      <w:szCs w:val="21"/>
                    </w:rPr>
                  </w:pPr>
                  <w:r>
                    <w:rPr>
                      <w:rFonts w:hint="eastAsia" w:ascii="宋体" w:hAnsi="宋体"/>
                      <w:szCs w:val="21"/>
                    </w:rPr>
                    <w:t>12</w:t>
                  </w:r>
                </w:p>
              </w:tc>
              <w:tc>
                <w:tcPr>
                  <w:tcW w:w="1059" w:type="dxa"/>
                  <w:vAlign w:val="center"/>
                </w:tcPr>
                <w:p w14:paraId="4BCC7564">
                  <w:pPr>
                    <w:jc w:val="center"/>
                    <w:rPr>
                      <w:rFonts w:ascii="宋体" w:hAnsi="宋体"/>
                      <w:szCs w:val="21"/>
                    </w:rPr>
                  </w:pPr>
                  <w:r>
                    <w:rPr>
                      <w:rFonts w:hint="eastAsia" w:ascii="宋体" w:hAnsi="宋体"/>
                      <w:szCs w:val="21"/>
                    </w:rPr>
                    <w:t>500</w:t>
                  </w:r>
                </w:p>
              </w:tc>
              <w:tc>
                <w:tcPr>
                  <w:tcW w:w="1088" w:type="dxa"/>
                  <w:vAlign w:val="center"/>
                </w:tcPr>
                <w:p w14:paraId="7DC047CE">
                  <w:pPr>
                    <w:jc w:val="center"/>
                    <w:rPr>
                      <w:rFonts w:ascii="宋体" w:hAnsi="宋体"/>
                      <w:szCs w:val="21"/>
                    </w:rPr>
                  </w:pPr>
                  <w:r>
                    <w:rPr>
                      <w:rFonts w:hint="eastAsia" w:ascii="宋体" w:hAnsi="宋体"/>
                      <w:szCs w:val="21"/>
                    </w:rPr>
                    <w:t>900</w:t>
                  </w:r>
                </w:p>
              </w:tc>
              <w:tc>
                <w:tcPr>
                  <w:tcW w:w="1162" w:type="dxa"/>
                  <w:vAlign w:val="center"/>
                </w:tcPr>
                <w:p w14:paraId="548F98CE">
                  <w:pPr>
                    <w:jc w:val="center"/>
                    <w:rPr>
                      <w:rFonts w:ascii="宋体" w:hAnsi="宋体"/>
                      <w:szCs w:val="21"/>
                    </w:rPr>
                  </w:pPr>
                  <w:r>
                    <w:rPr>
                      <w:rFonts w:ascii="宋体" w:hAnsi="宋体"/>
                      <w:szCs w:val="21"/>
                    </w:rPr>
                    <w:t>宇通</w:t>
                  </w:r>
                  <w:r>
                    <w:rPr>
                      <w:rFonts w:hint="eastAsia" w:ascii="宋体" w:hAnsi="宋体"/>
                      <w:szCs w:val="21"/>
                    </w:rPr>
                    <w:t>及同类车型</w:t>
                  </w:r>
                </w:p>
              </w:tc>
              <w:tc>
                <w:tcPr>
                  <w:tcW w:w="1490" w:type="dxa"/>
                  <w:vAlign w:val="center"/>
                </w:tcPr>
                <w:p w14:paraId="23E5F120">
                  <w:pPr>
                    <w:jc w:val="center"/>
                    <w:rPr>
                      <w:rFonts w:ascii="宋体" w:hAnsi="宋体"/>
                      <w:szCs w:val="21"/>
                    </w:rPr>
                  </w:pPr>
                  <w:r>
                    <w:rPr>
                      <w:rFonts w:ascii="宋体" w:hAnsi="宋体"/>
                      <w:szCs w:val="21"/>
                    </w:rPr>
                    <w:t>达到客车营运标准</w:t>
                  </w:r>
                </w:p>
              </w:tc>
            </w:tr>
          </w:tbl>
          <w:p w14:paraId="4FC7B90D">
            <w:pPr>
              <w:widowControl/>
              <w:ind w:firstLine="422" w:firstLineChars="200"/>
              <w:jc w:val="left"/>
              <w:textAlignment w:val="baseline"/>
              <w:rPr>
                <w:rFonts w:ascii="宋体" w:hAnsi="宋体"/>
                <w:b/>
                <w:bCs/>
                <w:kern w:val="0"/>
                <w:szCs w:val="21"/>
              </w:rPr>
            </w:pPr>
            <w:r>
              <w:rPr>
                <w:rFonts w:ascii="宋体" w:hAnsi="宋体"/>
                <w:b/>
                <w:bCs/>
                <w:kern w:val="0"/>
                <w:szCs w:val="21"/>
              </w:rPr>
              <w:t>注：</w:t>
            </w:r>
          </w:p>
          <w:p w14:paraId="3C12F832">
            <w:pPr>
              <w:widowControl/>
              <w:ind w:firstLine="420" w:firstLineChars="200"/>
              <w:textAlignment w:val="baseline"/>
              <w:rPr>
                <w:rFonts w:hint="eastAsia" w:ascii="汉仪书宋二S" w:hAnsi="汉仪书宋二S" w:eastAsia="汉仪书宋二S" w:cs="汉仪书宋二S"/>
                <w:b/>
                <w:bCs/>
                <w:kern w:val="0"/>
                <w:szCs w:val="21"/>
              </w:rPr>
            </w:pPr>
            <w:r>
              <w:rPr>
                <w:rFonts w:hint="eastAsia" w:ascii="东文宋体" w:hAnsi="东文宋体" w:eastAsia="东文宋体" w:cs="东文宋体"/>
                <w:b/>
                <w:bCs/>
                <w:kern w:val="0"/>
                <w:szCs w:val="21"/>
              </w:rPr>
              <w:t>①</w:t>
            </w:r>
            <w:r>
              <w:rPr>
                <w:rFonts w:hint="eastAsia" w:ascii="汉仪书宋二S" w:hAnsi="汉仪书宋二S" w:eastAsia="汉仪书宋二S" w:cs="汉仪书宋二S"/>
                <w:b/>
                <w:bCs/>
                <w:kern w:val="0"/>
                <w:szCs w:val="21"/>
              </w:rPr>
              <w:t>采购人按次租用车辆，按成交按次单价据实结算，如采购人当日按次租赁同一车辆费用超过按天租赁单价，则采用按天租赁单价结算；如按次租赁采购车辆当日未实现租赁使用的，由采购人按200元/辆/天标准向成交人支付车辆空置费。</w:t>
            </w:r>
          </w:p>
          <w:p w14:paraId="3EC87327">
            <w:pPr>
              <w:widowControl/>
              <w:ind w:firstLine="420" w:firstLineChars="200"/>
              <w:textAlignment w:val="baseline"/>
              <w:rPr>
                <w:rFonts w:hint="eastAsia" w:ascii="汉仪书宋二S" w:hAnsi="汉仪书宋二S" w:eastAsia="汉仪书宋二S" w:cs="汉仪书宋二S"/>
                <w:b/>
                <w:bCs/>
                <w:kern w:val="0"/>
                <w:szCs w:val="21"/>
              </w:rPr>
            </w:pPr>
            <w:r>
              <w:rPr>
                <w:rFonts w:hint="eastAsia" w:ascii="东文宋体" w:hAnsi="东文宋体" w:eastAsia="东文宋体" w:cs="东文宋体"/>
                <w:b/>
                <w:bCs/>
                <w:kern w:val="0"/>
                <w:szCs w:val="21"/>
              </w:rPr>
              <w:t>②</w:t>
            </w:r>
            <w:r>
              <w:rPr>
                <w:rFonts w:hint="eastAsia" w:ascii="汉仪书宋二S" w:hAnsi="汉仪书宋二S" w:eastAsia="汉仪书宋二S" w:cs="汉仪书宋二S"/>
                <w:b/>
                <w:bCs/>
                <w:kern w:val="0"/>
                <w:szCs w:val="21"/>
              </w:rPr>
              <w:t>采购人推荐东博会参会贵宾团组按次租用车辆，相关租赁费用由参会贵宾团组与成交人自行结算。</w:t>
            </w:r>
          </w:p>
          <w:p w14:paraId="2AF6629B">
            <w:pPr>
              <w:widowControl/>
              <w:ind w:firstLine="420" w:firstLineChars="200"/>
              <w:textAlignment w:val="baseline"/>
              <w:rPr>
                <w:rFonts w:hint="eastAsia" w:ascii="汉仪书宋二S" w:hAnsi="汉仪书宋二S" w:eastAsia="汉仪书宋二S" w:cs="汉仪书宋二S"/>
                <w:b/>
                <w:bCs/>
                <w:kern w:val="0"/>
                <w:szCs w:val="21"/>
              </w:rPr>
            </w:pPr>
            <w:r>
              <w:rPr>
                <w:rFonts w:hint="eastAsia" w:ascii="汉仪书宋二S" w:hAnsi="汉仪书宋二S" w:eastAsia="汉仪书宋二S" w:cs="汉仪书宋二S"/>
                <w:b/>
                <w:bCs/>
                <w:kern w:val="0"/>
                <w:szCs w:val="21"/>
              </w:rPr>
              <w:t>（3）</w:t>
            </w:r>
            <w:r>
              <w:rPr>
                <w:rFonts w:ascii="宋体" w:hAnsi="宋体"/>
                <w:b/>
                <w:bCs/>
                <w:kern w:val="0"/>
                <w:szCs w:val="21"/>
              </w:rPr>
              <w:t>本项报价为各项“</w:t>
            </w:r>
            <w:r>
              <w:rPr>
                <w:rFonts w:hint="eastAsia" w:ascii="宋体" w:hAnsi="宋体"/>
                <w:b/>
                <w:bCs/>
                <w:kern w:val="0"/>
                <w:szCs w:val="21"/>
              </w:rPr>
              <w:t>（</w:t>
            </w:r>
            <w:r>
              <w:rPr>
                <w:rFonts w:ascii="宋体" w:hAnsi="宋体"/>
                <w:b/>
                <w:bCs/>
                <w:kern w:val="0"/>
                <w:szCs w:val="21"/>
              </w:rPr>
              <w:t>预估</w:t>
            </w:r>
            <w:r>
              <w:rPr>
                <w:rFonts w:hint="eastAsia" w:ascii="宋体" w:hAnsi="宋体"/>
                <w:b/>
                <w:bCs/>
                <w:kern w:val="0"/>
                <w:szCs w:val="21"/>
              </w:rPr>
              <w:t>按天租赁采购数量</w:t>
            </w:r>
            <w:r>
              <w:rPr>
                <w:rFonts w:ascii="宋体" w:hAnsi="宋体"/>
                <w:b/>
                <w:bCs/>
                <w:kern w:val="0"/>
                <w:szCs w:val="21"/>
              </w:rPr>
              <w:t>×单价</w:t>
            </w:r>
            <w:r>
              <w:rPr>
                <w:rFonts w:hint="eastAsia" w:ascii="宋体" w:hAnsi="宋体"/>
                <w:b/>
                <w:bCs/>
                <w:kern w:val="0"/>
                <w:szCs w:val="21"/>
              </w:rPr>
              <w:t>+预估按次租赁采购数量×200元/辆/天空置费）×预估使用天数5.5天</w:t>
            </w:r>
            <w:r>
              <w:rPr>
                <w:rFonts w:ascii="宋体" w:hAnsi="宋体"/>
                <w:b/>
                <w:bCs/>
                <w:kern w:val="0"/>
                <w:szCs w:val="21"/>
              </w:rPr>
              <w:t>”的合计，报价仅用于评审阶段价格分计算，实际发生费用据实结算。</w:t>
            </w:r>
          </w:p>
          <w:p w14:paraId="49319A11">
            <w:pPr>
              <w:ind w:firstLine="422" w:firstLineChars="200"/>
              <w:rPr>
                <w:rFonts w:ascii="宋体" w:hAnsi="宋体"/>
                <w:b/>
                <w:bCs/>
                <w:szCs w:val="21"/>
              </w:rPr>
            </w:pPr>
            <w:r>
              <w:rPr>
                <w:rFonts w:ascii="宋体" w:hAnsi="宋体"/>
                <w:b/>
                <w:bCs/>
                <w:kern w:val="0"/>
                <w:szCs w:val="21"/>
              </w:rPr>
              <w:t>（</w:t>
            </w:r>
            <w:r>
              <w:rPr>
                <w:rFonts w:hint="eastAsia" w:ascii="宋体" w:hAnsi="宋体"/>
                <w:b/>
                <w:bCs/>
                <w:kern w:val="0"/>
                <w:szCs w:val="21"/>
              </w:rPr>
              <w:t>4</w:t>
            </w:r>
            <w:r>
              <w:rPr>
                <w:rFonts w:ascii="宋体" w:hAnsi="宋体"/>
                <w:b/>
                <w:bCs/>
                <w:kern w:val="0"/>
                <w:szCs w:val="21"/>
              </w:rPr>
              <w:t>）</w:t>
            </w:r>
            <w:r>
              <w:rPr>
                <w:rFonts w:ascii="宋体" w:hAnsi="宋体"/>
                <w:b/>
                <w:bCs/>
                <w:szCs w:val="21"/>
              </w:rPr>
              <w:t>租赁车辆超公里运行专项费用。</w:t>
            </w:r>
          </w:p>
          <w:p w14:paraId="0EF05C24">
            <w:pPr>
              <w:widowControl/>
              <w:ind w:firstLine="420" w:firstLineChars="200"/>
              <w:jc w:val="left"/>
              <w:textAlignment w:val="baseline"/>
              <w:rPr>
                <w:rFonts w:hint="eastAsia" w:ascii="宋体" w:hAnsi="宋体"/>
                <w:kern w:val="0"/>
                <w:szCs w:val="21"/>
              </w:rPr>
            </w:pPr>
            <w:r>
              <w:rPr>
                <w:rFonts w:ascii="宋体" w:hAnsi="宋体"/>
                <w:kern w:val="0"/>
                <w:szCs w:val="21"/>
              </w:rPr>
              <w:t>租赁车辆超过100公里/辆·天里程的部分，按中级轿车3.5元/公里、商务车和高级轿车4.5元/公里、轻客5元/公里、中型客车7元/公里、大型客车8元/公里计价。价格包含车辆超里程费用、高速公路过路费、燃油费等相关费用，价格含税，据实结算。</w:t>
            </w:r>
          </w:p>
          <w:p w14:paraId="360B7C03">
            <w:pPr>
              <w:widowControl/>
              <w:ind w:firstLine="422" w:firstLineChars="200"/>
              <w:jc w:val="left"/>
              <w:textAlignment w:val="baseline"/>
              <w:rPr>
                <w:rFonts w:hint="eastAsia" w:ascii="宋体" w:hAnsi="宋体"/>
                <w:b/>
                <w:bCs/>
                <w:kern w:val="0"/>
                <w:szCs w:val="21"/>
              </w:rPr>
            </w:pPr>
            <w:r>
              <w:rPr>
                <w:rFonts w:ascii="宋体" w:hAnsi="宋体"/>
                <w:b/>
                <w:bCs/>
                <w:kern w:val="0"/>
                <w:szCs w:val="21"/>
              </w:rPr>
              <w:t>2.租赁裸车上限价格</w:t>
            </w:r>
            <w:r>
              <w:rPr>
                <w:rFonts w:hint="eastAsia" w:ascii="宋体" w:hAnsi="宋体"/>
                <w:b/>
                <w:bCs/>
                <w:kern w:val="0"/>
                <w:szCs w:val="21"/>
              </w:rPr>
              <w:t>（不包含异地裸车红旗H9）</w:t>
            </w:r>
          </w:p>
          <w:p w14:paraId="71A15C00">
            <w:pPr>
              <w:widowControl/>
              <w:ind w:firstLine="420" w:firstLineChars="200"/>
              <w:jc w:val="left"/>
              <w:textAlignment w:val="baseline"/>
              <w:rPr>
                <w:rFonts w:ascii="宋体" w:hAnsi="宋体"/>
                <w:kern w:val="0"/>
                <w:szCs w:val="21"/>
              </w:rPr>
            </w:pPr>
            <w:r>
              <w:rPr>
                <w:rFonts w:ascii="宋体" w:hAnsi="宋体"/>
                <w:kern w:val="0"/>
                <w:szCs w:val="21"/>
              </w:rPr>
              <w:t>（1）裸车指租赁车辆不包含驾驶服务、燃油费、停车费、洗车费、过路费等使用车辆期间所产生的费用。裸车租赁上限价格按租赁车辆对应车型的半价计，价格含税。按实际租赁数量、租赁天数及采购成交单价据实结算。</w:t>
            </w:r>
          </w:p>
          <w:p w14:paraId="56534ED4">
            <w:pPr>
              <w:widowControl/>
              <w:ind w:firstLine="420" w:firstLineChars="200"/>
              <w:jc w:val="left"/>
              <w:textAlignment w:val="baseline"/>
              <w:rPr>
                <w:rFonts w:ascii="宋体" w:hAnsi="宋体"/>
                <w:kern w:val="0"/>
                <w:szCs w:val="21"/>
              </w:rPr>
            </w:pPr>
            <w:r>
              <w:rPr>
                <w:rFonts w:ascii="宋体" w:hAnsi="宋体"/>
                <w:kern w:val="0"/>
                <w:szCs w:val="21"/>
              </w:rPr>
              <w:t>（2）租用裸车所产生的油料费、洗车费、检车费、过路费、抽调驾驶员补助费、聘请驾驶员费用、擦车毛巾费、车标、手册资料费（含驾驶员手册记录用笔）及规定内的后勤保障费用据实结算。其中，燃油以绑定车辆加油卡的形式进行核算。</w:t>
            </w:r>
          </w:p>
          <w:p w14:paraId="55040B55">
            <w:pPr>
              <w:widowControl/>
              <w:ind w:firstLine="420" w:firstLineChars="200"/>
              <w:jc w:val="left"/>
              <w:textAlignment w:val="baseline"/>
              <w:rPr>
                <w:rFonts w:ascii="宋体" w:hAnsi="宋体"/>
                <w:kern w:val="0"/>
                <w:szCs w:val="21"/>
              </w:rPr>
            </w:pPr>
            <w:r>
              <w:rPr>
                <w:rFonts w:ascii="宋体" w:hAnsi="宋体"/>
                <w:kern w:val="0"/>
                <w:szCs w:val="21"/>
              </w:rPr>
              <w:t>3.实际使用车型及数量具有不确定性，但须保证满足采购人需要。</w:t>
            </w:r>
          </w:p>
          <w:p w14:paraId="1733A06F">
            <w:pPr>
              <w:widowControl/>
              <w:ind w:firstLine="420" w:firstLineChars="200"/>
              <w:jc w:val="left"/>
              <w:textAlignment w:val="baseline"/>
              <w:rPr>
                <w:rFonts w:ascii="宋体" w:hAnsi="宋体"/>
                <w:kern w:val="0"/>
                <w:szCs w:val="21"/>
              </w:rPr>
            </w:pPr>
            <w:r>
              <w:rPr>
                <w:rFonts w:ascii="宋体" w:hAnsi="宋体"/>
                <w:kern w:val="0"/>
                <w:szCs w:val="21"/>
              </w:rPr>
              <w:t>4.供应商单价报价超过采购单价上限的，视为无效报价。</w:t>
            </w:r>
          </w:p>
          <w:p w14:paraId="329E9306">
            <w:pPr>
              <w:widowControl/>
              <w:ind w:firstLine="422" w:firstLineChars="200"/>
              <w:jc w:val="left"/>
              <w:textAlignment w:val="baseline"/>
              <w:rPr>
                <w:rFonts w:ascii="宋体" w:hAnsi="宋体"/>
                <w:b/>
                <w:bCs/>
                <w:kern w:val="0"/>
                <w:szCs w:val="21"/>
              </w:rPr>
            </w:pPr>
            <w:r>
              <w:rPr>
                <w:rFonts w:ascii="宋体" w:hAnsi="宋体"/>
                <w:b/>
                <w:bCs/>
                <w:kern w:val="0"/>
                <w:szCs w:val="21"/>
              </w:rPr>
              <w:t>（二）赞助车辆</w:t>
            </w:r>
            <w:r>
              <w:rPr>
                <w:rFonts w:ascii="宋体" w:hAnsi="宋体"/>
                <w:b/>
                <w:bCs/>
                <w:kern w:val="0"/>
                <w:szCs w:val="21"/>
                <w:lang w:val="en"/>
              </w:rPr>
              <w:t>和裸车</w:t>
            </w:r>
            <w:r>
              <w:rPr>
                <w:rFonts w:ascii="宋体" w:hAnsi="宋体"/>
                <w:b/>
                <w:bCs/>
                <w:kern w:val="0"/>
                <w:szCs w:val="21"/>
              </w:rPr>
              <w:t>接待驾驶员专项服务费用</w:t>
            </w:r>
          </w:p>
          <w:p w14:paraId="087B18B6">
            <w:pPr>
              <w:widowControl/>
              <w:ind w:firstLine="420" w:firstLineChars="200"/>
              <w:jc w:val="left"/>
              <w:textAlignment w:val="baseline"/>
              <w:rPr>
                <w:rFonts w:ascii="宋体" w:hAnsi="宋体"/>
                <w:kern w:val="0"/>
                <w:szCs w:val="21"/>
                <w:lang w:val="en"/>
              </w:rPr>
            </w:pPr>
            <w:r>
              <w:rPr>
                <w:rFonts w:ascii="宋体" w:hAnsi="宋体"/>
                <w:kern w:val="0"/>
                <w:szCs w:val="21"/>
              </w:rPr>
              <w:t>1.代驾</w:t>
            </w:r>
            <w:r>
              <w:rPr>
                <w:rFonts w:ascii="宋体" w:hAnsi="宋体"/>
                <w:kern w:val="0"/>
                <w:szCs w:val="21"/>
                <w:lang w:val="en"/>
              </w:rPr>
              <w:t>服务采购上限</w:t>
            </w:r>
            <w:r>
              <w:rPr>
                <w:rFonts w:ascii="宋体" w:hAnsi="宋体"/>
                <w:kern w:val="0"/>
                <w:szCs w:val="21"/>
              </w:rPr>
              <w:t>价格：价格含税，按400元/人·天（10小时）计。根据</w:t>
            </w:r>
            <w:r>
              <w:rPr>
                <w:rFonts w:ascii="宋体" w:hAnsi="宋体"/>
                <w:kern w:val="0"/>
                <w:szCs w:val="21"/>
                <w:lang w:val="en"/>
              </w:rPr>
              <w:t>驾驶员人数和实际服务天数，</w:t>
            </w:r>
            <w:r>
              <w:rPr>
                <w:rFonts w:ascii="宋体" w:hAnsi="宋体"/>
                <w:kern w:val="0"/>
                <w:szCs w:val="21"/>
              </w:rPr>
              <w:t>按采购成交单价</w:t>
            </w:r>
            <w:r>
              <w:rPr>
                <w:rFonts w:ascii="宋体" w:hAnsi="宋体"/>
                <w:kern w:val="0"/>
                <w:szCs w:val="21"/>
                <w:lang w:val="en"/>
              </w:rPr>
              <w:t>据实结算。</w:t>
            </w:r>
          </w:p>
          <w:p w14:paraId="756FB530">
            <w:pPr>
              <w:widowControl/>
              <w:ind w:firstLine="420" w:firstLineChars="200"/>
              <w:jc w:val="left"/>
              <w:textAlignment w:val="baseline"/>
              <w:rPr>
                <w:rFonts w:ascii="宋体" w:hAnsi="宋体"/>
                <w:kern w:val="0"/>
                <w:szCs w:val="21"/>
              </w:rPr>
            </w:pPr>
            <w:r>
              <w:rPr>
                <w:rFonts w:ascii="宋体" w:hAnsi="宋体"/>
                <w:kern w:val="0"/>
                <w:szCs w:val="21"/>
              </w:rPr>
              <w:t>2.驾驶员加班费用：按照会期每天工作10小时标准，超出10小时为超时工作，按超时给予计算加班费。具体为：大型客车</w:t>
            </w:r>
            <w:r>
              <w:rPr>
                <w:rFonts w:hint="eastAsia" w:ascii="宋体" w:hAnsi="宋体"/>
                <w:kern w:val="0"/>
                <w:szCs w:val="21"/>
              </w:rPr>
              <w:t>（35座及以上）</w:t>
            </w:r>
            <w:r>
              <w:rPr>
                <w:rFonts w:ascii="宋体" w:hAnsi="宋体"/>
                <w:kern w:val="0"/>
                <w:szCs w:val="21"/>
              </w:rPr>
              <w:t>按80元/小时·人次计算，其它车型（中级轿车5座、商务车7座、高级轿车5座、轻客</w:t>
            </w:r>
            <w:r>
              <w:rPr>
                <w:rFonts w:hint="eastAsia" w:ascii="宋体" w:hAnsi="宋体"/>
                <w:kern w:val="0"/>
                <w:szCs w:val="21"/>
              </w:rPr>
              <w:t>8</w:t>
            </w:r>
            <w:r>
              <w:rPr>
                <w:rFonts w:ascii="宋体" w:hAnsi="宋体"/>
                <w:kern w:val="0"/>
                <w:szCs w:val="21"/>
              </w:rPr>
              <w:t>-1</w:t>
            </w:r>
            <w:r>
              <w:rPr>
                <w:rFonts w:hint="eastAsia" w:ascii="宋体" w:hAnsi="宋体"/>
                <w:kern w:val="0"/>
                <w:szCs w:val="21"/>
              </w:rPr>
              <w:t>3</w:t>
            </w:r>
            <w:r>
              <w:rPr>
                <w:rFonts w:ascii="宋体" w:hAnsi="宋体"/>
                <w:kern w:val="0"/>
                <w:szCs w:val="21"/>
              </w:rPr>
              <w:t>座、中型客车15-</w:t>
            </w:r>
            <w:r>
              <w:rPr>
                <w:rFonts w:hint="eastAsia" w:ascii="宋体" w:hAnsi="宋体"/>
                <w:kern w:val="0"/>
                <w:szCs w:val="21"/>
              </w:rPr>
              <w:t>23</w:t>
            </w:r>
            <w:r>
              <w:rPr>
                <w:rFonts w:ascii="宋体" w:hAnsi="宋体"/>
                <w:kern w:val="0"/>
                <w:szCs w:val="21"/>
              </w:rPr>
              <w:t>座）按50元/小时·人次计算。</w:t>
            </w:r>
          </w:p>
          <w:p w14:paraId="5986DFAF">
            <w:pPr>
              <w:widowControl/>
              <w:ind w:firstLine="420" w:firstLineChars="200"/>
              <w:jc w:val="left"/>
              <w:textAlignment w:val="baseline"/>
              <w:rPr>
                <w:rFonts w:ascii="宋体" w:hAnsi="宋体"/>
                <w:kern w:val="0"/>
                <w:szCs w:val="21"/>
              </w:rPr>
            </w:pPr>
            <w:r>
              <w:rPr>
                <w:rFonts w:ascii="宋体" w:hAnsi="宋体"/>
                <w:kern w:val="0"/>
                <w:szCs w:val="21"/>
              </w:rPr>
              <w:t>3.供应商单价报价超过采购单价上限的，视为无效报价。</w:t>
            </w:r>
          </w:p>
          <w:p w14:paraId="2640101F">
            <w:pPr>
              <w:widowControl/>
              <w:ind w:firstLine="420" w:firstLineChars="200"/>
              <w:jc w:val="left"/>
              <w:textAlignment w:val="baseline"/>
              <w:rPr>
                <w:rFonts w:ascii="宋体" w:hAnsi="宋体"/>
                <w:kern w:val="0"/>
                <w:szCs w:val="21"/>
              </w:rPr>
            </w:pPr>
            <w:r>
              <w:rPr>
                <w:rFonts w:ascii="宋体" w:hAnsi="宋体"/>
                <w:kern w:val="0"/>
                <w:szCs w:val="21"/>
              </w:rPr>
              <w:t>4.根据驾驶员人数和实际服务天数及加班超时数，按采购成交单价据实结算。</w:t>
            </w:r>
          </w:p>
          <w:p w14:paraId="02B73D0C">
            <w:pPr>
              <w:widowControl/>
              <w:ind w:firstLine="420" w:firstLineChars="200"/>
              <w:jc w:val="left"/>
              <w:textAlignment w:val="baseline"/>
              <w:rPr>
                <w:rFonts w:ascii="宋体" w:hAnsi="宋体"/>
                <w:kern w:val="0"/>
                <w:szCs w:val="21"/>
              </w:rPr>
            </w:pPr>
            <w:r>
              <w:rPr>
                <w:rFonts w:ascii="宋体" w:hAnsi="宋体"/>
                <w:kern w:val="0"/>
                <w:szCs w:val="21"/>
              </w:rPr>
              <w:t>5.实际使用驾驶员具有不确定性，须保证满足采购人需要。</w:t>
            </w:r>
          </w:p>
          <w:p w14:paraId="4AADA949">
            <w:pPr>
              <w:widowControl/>
              <w:ind w:firstLine="422" w:firstLineChars="200"/>
              <w:jc w:val="left"/>
              <w:textAlignment w:val="baseline"/>
              <w:rPr>
                <w:rFonts w:ascii="宋体" w:hAnsi="宋体"/>
                <w:kern w:val="0"/>
                <w:szCs w:val="21"/>
              </w:rPr>
            </w:pPr>
            <w:r>
              <w:rPr>
                <w:rFonts w:ascii="宋体" w:hAnsi="宋体"/>
                <w:b/>
                <w:bCs/>
                <w:kern w:val="0"/>
                <w:szCs w:val="21"/>
              </w:rPr>
              <w:t>（三）车辆调配服务费。</w:t>
            </w:r>
            <w:r>
              <w:rPr>
                <w:rFonts w:ascii="宋体" w:hAnsi="宋体"/>
                <w:kern w:val="0"/>
                <w:szCs w:val="21"/>
              </w:rPr>
              <w:t>总额</w:t>
            </w:r>
            <w:r>
              <w:rPr>
                <w:rFonts w:hint="eastAsia" w:ascii="宋体" w:hAnsi="宋体"/>
                <w:kern w:val="0"/>
                <w:szCs w:val="21"/>
              </w:rPr>
              <w:t>10</w:t>
            </w:r>
            <w:r>
              <w:rPr>
                <w:rFonts w:ascii="宋体" w:hAnsi="宋体"/>
                <w:kern w:val="0"/>
                <w:szCs w:val="21"/>
              </w:rPr>
              <w:t>万元。供应商提供服务结束并通过项目验收合格后，采购人全额支付。</w:t>
            </w:r>
          </w:p>
          <w:p w14:paraId="03442AA5">
            <w:pPr>
              <w:widowControl/>
              <w:ind w:firstLine="422" w:firstLineChars="200"/>
              <w:jc w:val="left"/>
              <w:textAlignment w:val="center"/>
              <w:rPr>
                <w:rFonts w:ascii="宋体" w:hAnsi="宋体"/>
                <w:b/>
                <w:bCs/>
                <w:szCs w:val="21"/>
              </w:rPr>
            </w:pPr>
            <w:r>
              <w:rPr>
                <w:rFonts w:ascii="宋体" w:hAnsi="宋体"/>
                <w:b/>
                <w:bCs/>
                <w:szCs w:val="21"/>
              </w:rPr>
              <w:t>▲六、管理要求</w:t>
            </w:r>
          </w:p>
          <w:p w14:paraId="6924AD3E">
            <w:pPr>
              <w:widowControl/>
              <w:ind w:firstLine="420" w:firstLineChars="200"/>
              <w:jc w:val="left"/>
              <w:textAlignment w:val="center"/>
              <w:rPr>
                <w:rFonts w:ascii="宋体" w:hAnsi="宋体"/>
                <w:szCs w:val="21"/>
              </w:rPr>
            </w:pPr>
            <w:r>
              <w:rPr>
                <w:rFonts w:ascii="宋体" w:hAnsi="宋体"/>
                <w:szCs w:val="21"/>
              </w:rPr>
              <w:t>1.供应商负责组织和提供运力及驾驶员，满足采购人的租赁需求，按采购人要求的日期、时间、线路、车型提供相应的车辆（含驾驶员）及服务。</w:t>
            </w:r>
          </w:p>
          <w:p w14:paraId="3F17114C">
            <w:pPr>
              <w:widowControl/>
              <w:ind w:firstLine="420" w:firstLineChars="200"/>
              <w:jc w:val="left"/>
              <w:textAlignment w:val="center"/>
              <w:rPr>
                <w:rFonts w:ascii="宋体" w:hAnsi="宋体"/>
                <w:szCs w:val="21"/>
              </w:rPr>
            </w:pPr>
            <w:r>
              <w:rPr>
                <w:rFonts w:ascii="宋体" w:hAnsi="宋体"/>
                <w:szCs w:val="21"/>
              </w:rPr>
              <w:t>2.所提供的服务（人员及车辆）不得违反中华人民共和国关于运输服务的法律规定。</w:t>
            </w:r>
          </w:p>
          <w:p w14:paraId="72FF5F0E">
            <w:pPr>
              <w:widowControl/>
              <w:ind w:firstLine="420" w:firstLineChars="200"/>
              <w:jc w:val="left"/>
              <w:textAlignment w:val="center"/>
              <w:rPr>
                <w:rFonts w:ascii="宋体" w:hAnsi="宋体"/>
                <w:szCs w:val="21"/>
              </w:rPr>
            </w:pPr>
            <w:r>
              <w:rPr>
                <w:rFonts w:ascii="宋体" w:hAnsi="宋体"/>
                <w:szCs w:val="21"/>
              </w:rPr>
              <w:t>3.供应商驾驶员服从采购人提出的接待车辆驾驶员安全要求。</w:t>
            </w:r>
          </w:p>
          <w:p w14:paraId="49EEA31B">
            <w:pPr>
              <w:widowControl/>
              <w:ind w:firstLine="420" w:firstLineChars="200"/>
              <w:jc w:val="left"/>
              <w:textAlignment w:val="center"/>
              <w:rPr>
                <w:rFonts w:ascii="宋体" w:hAnsi="宋体"/>
                <w:szCs w:val="21"/>
              </w:rPr>
            </w:pPr>
            <w:r>
              <w:rPr>
                <w:rFonts w:ascii="宋体" w:hAnsi="宋体"/>
                <w:szCs w:val="21"/>
              </w:rPr>
              <w:t>4.按采购人要求，及时提供车辆及驾驶员的相关详细信息：车型、车牌号、车辆行驶证正、副本（年审有效期限页）扫描件、车辆外观及内饰图片；驾驶证扫描件、驾驶员个人近期数码照片（白底、JPG格式、240×320像素、大小限500KB内），并注明驾驶员姓名、身份证号、联系电话）。</w:t>
            </w:r>
          </w:p>
          <w:p w14:paraId="62F428EF">
            <w:pPr>
              <w:widowControl/>
              <w:ind w:firstLine="420" w:firstLineChars="200"/>
              <w:jc w:val="left"/>
              <w:textAlignment w:val="center"/>
              <w:rPr>
                <w:rFonts w:ascii="宋体" w:hAnsi="宋体"/>
                <w:szCs w:val="21"/>
              </w:rPr>
            </w:pPr>
            <w:r>
              <w:rPr>
                <w:rFonts w:ascii="宋体" w:hAnsi="宋体"/>
                <w:szCs w:val="21"/>
              </w:rPr>
              <w:t xml:space="preserve">5.供应商及驾驶员须严格落实东博会各项卫生要求及传染病等防控措施。并保证按采购人指定的地点和时间准点发车，车辆车容干净整洁并符合安全运输标准。供应商驾驶员不得疲劳驾驶，超载行驶，超速行驶；驾车过程中不得吸烟，接听手机，与乘客攀谈，粗俗待客等等。如因实际路况运行途中需要改变原路线的必须取得采购人或采购人指定接待人员的同意方可变更。 </w:t>
            </w:r>
          </w:p>
          <w:p w14:paraId="4BD348C4">
            <w:pPr>
              <w:widowControl/>
              <w:ind w:firstLine="420" w:firstLineChars="200"/>
              <w:jc w:val="left"/>
              <w:textAlignment w:val="center"/>
              <w:rPr>
                <w:rFonts w:ascii="宋体" w:hAnsi="宋体"/>
                <w:szCs w:val="21"/>
              </w:rPr>
            </w:pPr>
            <w:r>
              <w:rPr>
                <w:rFonts w:ascii="宋体" w:hAnsi="宋体"/>
                <w:szCs w:val="21"/>
              </w:rPr>
              <w:t>6.供应商保证提供拥有全部合法手续且各项技术性能完好的车辆和政审合格的驾驶员为采购人服务，确保驾驶员心理状况健康，车辆安排应按承诺车型或以上来提供。</w:t>
            </w:r>
          </w:p>
          <w:p w14:paraId="039B6F48">
            <w:pPr>
              <w:widowControl/>
              <w:ind w:firstLine="420" w:firstLineChars="200"/>
              <w:jc w:val="left"/>
              <w:textAlignment w:val="center"/>
              <w:rPr>
                <w:rFonts w:ascii="宋体" w:hAnsi="宋体"/>
                <w:szCs w:val="21"/>
              </w:rPr>
            </w:pPr>
            <w:r>
              <w:rPr>
                <w:rFonts w:ascii="宋体" w:hAnsi="宋体"/>
                <w:szCs w:val="21"/>
              </w:rPr>
              <w:t>7.供应商驾驶人员做好文明服务和安全驾驶工作，保证安全正点按采购人要求运送至抵达采购人指定的目的地。</w:t>
            </w:r>
          </w:p>
          <w:p w14:paraId="7D08DC18">
            <w:pPr>
              <w:widowControl/>
              <w:ind w:firstLine="420" w:firstLineChars="200"/>
              <w:jc w:val="left"/>
              <w:textAlignment w:val="center"/>
              <w:rPr>
                <w:rFonts w:ascii="宋体" w:hAnsi="宋体"/>
                <w:szCs w:val="21"/>
              </w:rPr>
            </w:pPr>
            <w:r>
              <w:rPr>
                <w:rFonts w:ascii="宋体" w:hAnsi="宋体"/>
                <w:szCs w:val="21"/>
              </w:rPr>
              <w:t>8.供应商承诺提供的车辆和驾驶员相对固定，在确认接待任务后，不随意更换车辆，避免影响东博会通行证件的使用。驾驶员在完成接待任务后，应将车辆证件交回所在接待组，并领取用车凭证。</w:t>
            </w:r>
          </w:p>
          <w:p w14:paraId="57F074BC">
            <w:pPr>
              <w:widowControl/>
              <w:ind w:firstLine="420" w:firstLineChars="200"/>
              <w:jc w:val="left"/>
              <w:textAlignment w:val="center"/>
              <w:rPr>
                <w:rFonts w:ascii="宋体" w:hAnsi="宋体"/>
                <w:szCs w:val="21"/>
              </w:rPr>
            </w:pPr>
            <w:r>
              <w:rPr>
                <w:rFonts w:ascii="宋体" w:hAnsi="宋体"/>
                <w:szCs w:val="21"/>
              </w:rPr>
              <w:t>9.供应商对所组织和提供的车辆在承担采购人接待任务的过程中的安全和服务质量负责，并全权负责处理在运行过程中发生的一切安全和服务质量事故。如因供应商原因，在承担采购人包车任务的过程中发生交通事故，造成采购人人员财产损失的，由供应商承担全部责任。如因第三方原因造成交通事故的，由供应商先行向采购人赔付，供应商保留向第三方追索赔付的权利。</w:t>
            </w:r>
          </w:p>
          <w:p w14:paraId="3EBB3F6A">
            <w:pPr>
              <w:widowControl/>
              <w:ind w:firstLine="422" w:firstLineChars="200"/>
              <w:jc w:val="left"/>
              <w:textAlignment w:val="center"/>
              <w:rPr>
                <w:rFonts w:ascii="宋体" w:hAnsi="宋体"/>
                <w:b/>
                <w:bCs/>
                <w:szCs w:val="21"/>
              </w:rPr>
            </w:pPr>
            <w:r>
              <w:rPr>
                <w:rFonts w:ascii="宋体" w:hAnsi="宋体"/>
                <w:b/>
                <w:bCs/>
                <w:szCs w:val="21"/>
              </w:rPr>
              <w:t>▲七、其他要求</w:t>
            </w:r>
          </w:p>
          <w:p w14:paraId="307CADA9">
            <w:pPr>
              <w:ind w:firstLine="420" w:firstLineChars="200"/>
              <w:rPr>
                <w:rFonts w:ascii="宋体" w:hAnsi="宋体"/>
                <w:szCs w:val="21"/>
              </w:rPr>
            </w:pPr>
            <w:r>
              <w:rPr>
                <w:rFonts w:ascii="宋体" w:hAnsi="宋体"/>
                <w:szCs w:val="21"/>
              </w:rPr>
              <w:t>项目实施期间，成交供应商必须提供一名专职项目负责人与采购人保持经常性联系，以减少交流的中间环节。</w:t>
            </w:r>
          </w:p>
        </w:tc>
      </w:tr>
    </w:tbl>
    <w:p w14:paraId="50425FDE">
      <w:pPr>
        <w:spacing w:line="360" w:lineRule="auto"/>
        <w:rPr>
          <w:rFonts w:ascii="宋体" w:hAnsi="宋体"/>
          <w:szCs w:val="21"/>
        </w:rPr>
      </w:pPr>
    </w:p>
    <w:bookmarkEnd w:id="17"/>
    <w:p w14:paraId="1D64B712">
      <w:pPr>
        <w:spacing w:line="360" w:lineRule="auto"/>
        <w:rPr>
          <w:rFonts w:ascii="宋体" w:hAnsi="宋体"/>
          <w:b/>
          <w:kern w:val="0"/>
          <w:sz w:val="28"/>
          <w:szCs w:val="28"/>
        </w:rPr>
      </w:pPr>
      <w:r>
        <w:rPr>
          <w:rFonts w:ascii="宋体" w:hAnsi="宋体"/>
          <w:szCs w:val="21"/>
        </w:rPr>
        <w:t>▲</w:t>
      </w:r>
      <w:r>
        <w:rPr>
          <w:rFonts w:ascii="宋体" w:hAnsi="宋体"/>
          <w:b/>
          <w:kern w:val="0"/>
          <w:sz w:val="28"/>
          <w:szCs w:val="28"/>
        </w:rPr>
        <w:t>三、商务要求</w:t>
      </w:r>
    </w:p>
    <w:p w14:paraId="3BCFE4D6">
      <w:pPr>
        <w:spacing w:line="360" w:lineRule="auto"/>
        <w:rPr>
          <w:rFonts w:ascii="宋体" w:hAnsi="宋体"/>
          <w:szCs w:val="21"/>
        </w:rPr>
      </w:pPr>
      <w:r>
        <w:rPr>
          <w:rFonts w:ascii="宋体" w:hAnsi="宋体"/>
          <w:szCs w:val="21"/>
        </w:rPr>
        <w:t>1.合同签订期：自成交通知书发出之日起25日内。</w:t>
      </w:r>
    </w:p>
    <w:p w14:paraId="318AC188">
      <w:pPr>
        <w:spacing w:line="360" w:lineRule="auto"/>
        <w:rPr>
          <w:rFonts w:ascii="宋体" w:hAnsi="宋体"/>
          <w:szCs w:val="21"/>
        </w:rPr>
      </w:pPr>
      <w:r>
        <w:rPr>
          <w:rFonts w:ascii="宋体" w:hAnsi="宋体"/>
          <w:szCs w:val="21"/>
        </w:rPr>
        <w:t>2.服务期：自合同签订之日起至本届东博会接待工作完结之日止，具体招募及服务时间由采购人根据实际情况确定。</w:t>
      </w:r>
    </w:p>
    <w:p w14:paraId="332F4570">
      <w:pPr>
        <w:spacing w:line="360" w:lineRule="auto"/>
        <w:rPr>
          <w:rFonts w:ascii="宋体" w:hAnsi="宋体"/>
          <w:szCs w:val="21"/>
        </w:rPr>
      </w:pPr>
      <w:r>
        <w:rPr>
          <w:rFonts w:ascii="宋体" w:hAnsi="宋体"/>
          <w:szCs w:val="21"/>
        </w:rPr>
        <w:t>3.服务地点：广西壮族自治区内，具体由采购人指定。</w:t>
      </w:r>
    </w:p>
    <w:p w14:paraId="3787BB05">
      <w:pPr>
        <w:spacing w:line="360" w:lineRule="auto"/>
        <w:rPr>
          <w:rFonts w:ascii="宋体" w:hAnsi="宋体"/>
          <w:szCs w:val="21"/>
        </w:rPr>
      </w:pPr>
      <w:r>
        <w:rPr>
          <w:rFonts w:ascii="宋体" w:hAnsi="宋体"/>
          <w:szCs w:val="21"/>
        </w:rPr>
        <w:t>4.最高限价：报价超过采购单价上限按无效响应处理。</w:t>
      </w:r>
    </w:p>
    <w:p w14:paraId="6D1E86C8">
      <w:pPr>
        <w:spacing w:line="360" w:lineRule="auto"/>
        <w:rPr>
          <w:rFonts w:ascii="宋体" w:hAnsi="宋体"/>
          <w:szCs w:val="21"/>
        </w:rPr>
      </w:pPr>
      <w:r>
        <w:rPr>
          <w:rFonts w:ascii="宋体" w:hAnsi="宋体"/>
          <w:szCs w:val="21"/>
        </w:rPr>
        <w:t>5.报价及其他要求：</w:t>
      </w:r>
    </w:p>
    <w:p w14:paraId="472589F0">
      <w:pPr>
        <w:spacing w:line="360" w:lineRule="auto"/>
        <w:rPr>
          <w:rFonts w:ascii="宋体" w:hAnsi="宋体"/>
          <w:szCs w:val="21"/>
        </w:rPr>
      </w:pPr>
      <w:r>
        <w:rPr>
          <w:rFonts w:ascii="宋体" w:hAnsi="宋体"/>
          <w:szCs w:val="21"/>
        </w:rPr>
        <w:t>5.1费用承担：成交供应商必须承担的费用应包括本项目采购需求所包含的所有服务内容、所涉及的工具、劳务、旅差、人工费、保险、培训、验收、各项税费、成交服务费、售后服务费、不可预见费</w:t>
      </w:r>
      <w:r>
        <w:rPr>
          <w:rFonts w:hint="eastAsia" w:ascii="宋体" w:hAnsi="宋体"/>
          <w:szCs w:val="21"/>
          <w:lang w:eastAsia="zh-CN"/>
        </w:rPr>
        <w:t>、</w:t>
      </w:r>
      <w:r>
        <w:rPr>
          <w:rFonts w:hint="eastAsia" w:ascii="宋体" w:hAnsi="宋体"/>
          <w:szCs w:val="21"/>
          <w:lang w:val="en-US" w:eastAsia="zh-CN"/>
        </w:rPr>
        <w:t>代理服务费</w:t>
      </w:r>
      <w:r>
        <w:rPr>
          <w:rFonts w:ascii="宋体" w:hAnsi="宋体"/>
          <w:szCs w:val="21"/>
        </w:rPr>
        <w:t>等完成本标项所需的一切费用。如出现任何遗漏内容需产生额外费用的，均由成交供应商自行承担，采购人将不再另行支付任何费用。</w:t>
      </w:r>
    </w:p>
    <w:p w14:paraId="06298998">
      <w:pPr>
        <w:spacing w:line="360" w:lineRule="auto"/>
        <w:rPr>
          <w:rFonts w:ascii="宋体" w:hAnsi="宋体"/>
          <w:szCs w:val="21"/>
        </w:rPr>
      </w:pPr>
      <w:r>
        <w:rPr>
          <w:rFonts w:ascii="宋体" w:hAnsi="宋体"/>
          <w:szCs w:val="21"/>
        </w:rPr>
        <w:t>5.2成交供应商在合同签订后15个工作日内，必须将所有派遣的车辆及驾驶员证照复印件（复印件加盖公章，原件现场核查）交由采购人存档，若不能提供或提供不齐全的，视该供应商虚假应标，采购人有权取消采购合同，并追究其法律责任。</w:t>
      </w:r>
    </w:p>
    <w:p w14:paraId="029031B0">
      <w:pPr>
        <w:spacing w:line="360" w:lineRule="auto"/>
        <w:rPr>
          <w:rFonts w:ascii="宋体" w:hAnsi="宋体"/>
          <w:szCs w:val="21"/>
        </w:rPr>
      </w:pPr>
      <w:r>
        <w:rPr>
          <w:rFonts w:ascii="宋体" w:hAnsi="宋体"/>
          <w:szCs w:val="21"/>
        </w:rPr>
        <w:t>5.3在服务期内，成交供应商应当按照采购文件的规定及其响应文件中的承诺履行本项目采购需求所包含的所有服务内容，按照采购方的实际需求保障对应的车辆数。否则，采购人有权要求成交供应商在规定期限内整改，整改后仍达不到要求的视为违约，采购人有权终止合同履行，由此造成采购人的损失及一切后果由成交供应商负责承担。</w:t>
      </w:r>
    </w:p>
    <w:p w14:paraId="70CED984">
      <w:pPr>
        <w:spacing w:line="360" w:lineRule="auto"/>
        <w:rPr>
          <w:rFonts w:ascii="宋体" w:hAnsi="宋体"/>
          <w:szCs w:val="21"/>
        </w:rPr>
      </w:pPr>
      <w:r>
        <w:rPr>
          <w:rFonts w:ascii="宋体" w:hAnsi="宋体"/>
          <w:szCs w:val="21"/>
        </w:rPr>
        <w:t>5.4在服务期内，成交供应商应当按照采购文件的规定及其响应文件中的承诺履行劳务服务，否则，采购人有权要求成交供应商在规定期限内整改，整改后仍达不到要求的视为违约，采购人有权终止合同履行，由此造成采购人的损失及一切后果由成交供应商负责承担。</w:t>
      </w:r>
    </w:p>
    <w:p w14:paraId="4A7BA014">
      <w:pPr>
        <w:spacing w:line="360" w:lineRule="auto"/>
        <w:rPr>
          <w:rFonts w:ascii="宋体" w:hAnsi="宋体"/>
          <w:szCs w:val="21"/>
        </w:rPr>
      </w:pPr>
      <w:r>
        <w:rPr>
          <w:rFonts w:ascii="宋体" w:hAnsi="宋体"/>
          <w:szCs w:val="21"/>
        </w:rPr>
        <w:t>5.5成交供应商在合同签订后3个工作日内，必须按服务内容第六点中第4条的要求将所有派遣的车辆及驾驶员证照复印件（复印件加盖公章，原件现场核查）交由采购人存档，若不能提供或提供不齐全的，视该供应商虚假应标，采购人有权取消采购合同，并追究其法责任。</w:t>
      </w:r>
    </w:p>
    <w:p w14:paraId="03B90B3E">
      <w:pPr>
        <w:spacing w:line="360" w:lineRule="auto"/>
        <w:rPr>
          <w:rFonts w:ascii="宋体" w:hAnsi="宋体"/>
          <w:szCs w:val="21"/>
        </w:rPr>
      </w:pPr>
      <w:r>
        <w:rPr>
          <w:rFonts w:ascii="宋体" w:hAnsi="宋体"/>
          <w:szCs w:val="21"/>
        </w:rPr>
        <w:t>6.付款方式：</w:t>
      </w:r>
    </w:p>
    <w:p w14:paraId="6CF0F32E">
      <w:pPr>
        <w:spacing w:line="360" w:lineRule="auto"/>
        <w:rPr>
          <w:rFonts w:hint="eastAsia" w:ascii="宋体" w:hAnsi="宋体"/>
          <w:szCs w:val="21"/>
        </w:rPr>
      </w:pPr>
      <w:r>
        <w:rPr>
          <w:rFonts w:hint="eastAsia" w:ascii="宋体" w:hAnsi="宋体"/>
          <w:szCs w:val="21"/>
        </w:rPr>
        <w:t>6.1乙方按合同约定完成所有服务项目后，须于本届东博会闭幕后30日内，一次性、完整地向甲方提交符合甲方要求的结算凭据，包括但不限于请款函、结算明细表、用车登记台账等材料。双方核对结算凭据无误，并完成上述第四条第2点所提项目验收后，甲方在60天内一次性支付应付款项给乙方。</w:t>
      </w:r>
    </w:p>
    <w:p w14:paraId="72AE2B9C">
      <w:pPr>
        <w:spacing w:line="360" w:lineRule="auto"/>
        <w:rPr>
          <w:rFonts w:ascii="宋体" w:hAnsi="宋体"/>
          <w:szCs w:val="21"/>
        </w:rPr>
      </w:pPr>
      <w:r>
        <w:rPr>
          <w:rFonts w:hint="eastAsia" w:ascii="宋体" w:hAnsi="宋体"/>
          <w:szCs w:val="21"/>
        </w:rPr>
        <w:t>6.2甲方付款前，乙方须按甲方要求开具对应本合同总金额的增值税专用发票给甲方，若乙方未开票则甲方有权拒绝付款且甲方不构成违约。</w:t>
      </w:r>
    </w:p>
    <w:p w14:paraId="1ECC0246">
      <w:pPr>
        <w:spacing w:line="360" w:lineRule="auto"/>
        <w:rPr>
          <w:rFonts w:ascii="宋体" w:hAnsi="宋体"/>
          <w:b/>
          <w:kern w:val="0"/>
          <w:sz w:val="28"/>
          <w:szCs w:val="28"/>
        </w:rPr>
      </w:pPr>
      <w:r>
        <w:rPr>
          <w:rFonts w:ascii="宋体" w:hAnsi="宋体"/>
          <w:b/>
          <w:kern w:val="0"/>
          <w:sz w:val="28"/>
          <w:szCs w:val="28"/>
        </w:rPr>
        <w:t xml:space="preserve">四、其他要求 </w:t>
      </w:r>
    </w:p>
    <w:p w14:paraId="138001FD">
      <w:pPr>
        <w:widowControl/>
        <w:spacing w:line="360" w:lineRule="exact"/>
        <w:jc w:val="left"/>
        <w:textAlignment w:val="center"/>
        <w:rPr>
          <w:rFonts w:ascii="宋体" w:hAnsi="宋体"/>
          <w:b/>
          <w:bCs/>
          <w:szCs w:val="21"/>
        </w:rPr>
      </w:pPr>
      <w:r>
        <w:rPr>
          <w:rFonts w:ascii="宋体" w:hAnsi="宋体"/>
          <w:b/>
          <w:bCs/>
          <w:szCs w:val="21"/>
        </w:rPr>
        <w:t>▲由于项目预算现处于申报阶段，项目最终成交价格不高于预算审定金额。（参与本次采购活动的供应商，须承诺“项目最终成交价格不高于预算审定金额和广西壮族自治区财政批复金额”。</w:t>
      </w:r>
    </w:p>
    <w:p w14:paraId="30D8F01F">
      <w:pPr>
        <w:spacing w:line="360" w:lineRule="auto"/>
        <w:rPr>
          <w:rFonts w:ascii="宋体" w:hAnsi="宋体"/>
          <w:szCs w:val="21"/>
        </w:rPr>
      </w:pPr>
    </w:p>
    <w:p w14:paraId="0D80AB5C">
      <w:pPr>
        <w:spacing w:line="528" w:lineRule="exact"/>
        <w:ind w:firstLine="210" w:firstLineChars="100"/>
        <w:rPr>
          <w:rFonts w:ascii="宋体" w:hAnsi="宋体"/>
          <w:sz w:val="28"/>
          <w:szCs w:val="28"/>
        </w:rPr>
      </w:pPr>
      <w:r>
        <w:rPr>
          <w:rFonts w:ascii="宋体" w:hAnsi="宋体"/>
          <w:szCs w:val="21"/>
        </w:rPr>
        <w:br w:type="page"/>
      </w:r>
      <w:r>
        <w:rPr>
          <w:rFonts w:ascii="宋体" w:hAnsi="宋体"/>
          <w:sz w:val="28"/>
          <w:szCs w:val="28"/>
        </w:rPr>
        <w:t xml:space="preserve">附件1：                </w:t>
      </w:r>
    </w:p>
    <w:p w14:paraId="1C3A9096">
      <w:pPr>
        <w:spacing w:line="528" w:lineRule="exact"/>
        <w:ind w:firstLine="280" w:firstLineChars="100"/>
        <w:jc w:val="center"/>
        <w:rPr>
          <w:rFonts w:ascii="宋体" w:hAnsi="宋体"/>
          <w:sz w:val="28"/>
          <w:szCs w:val="28"/>
        </w:rPr>
      </w:pPr>
      <w:r>
        <w:rPr>
          <w:rFonts w:ascii="宋体" w:hAnsi="宋体"/>
          <w:sz w:val="28"/>
          <w:szCs w:val="28"/>
        </w:rPr>
        <w:t>中小微企业划型标准</w:t>
      </w:r>
    </w:p>
    <w:tbl>
      <w:tblPr>
        <w:tblStyle w:val="51"/>
        <w:tblW w:w="8706" w:type="dxa"/>
        <w:tblInd w:w="250" w:type="dxa"/>
        <w:tblLayout w:type="fixed"/>
        <w:tblCellMar>
          <w:top w:w="0" w:type="dxa"/>
          <w:left w:w="108" w:type="dxa"/>
          <w:bottom w:w="0" w:type="dxa"/>
          <w:right w:w="108" w:type="dxa"/>
        </w:tblCellMar>
      </w:tblPr>
      <w:tblGrid>
        <w:gridCol w:w="1446"/>
        <w:gridCol w:w="1701"/>
        <w:gridCol w:w="1134"/>
        <w:gridCol w:w="1846"/>
        <w:gridCol w:w="1570"/>
        <w:gridCol w:w="1009"/>
      </w:tblGrid>
      <w:tr w14:paraId="470E6A2E">
        <w:tblPrEx>
          <w:tblCellMar>
            <w:top w:w="0" w:type="dxa"/>
            <w:left w:w="108" w:type="dxa"/>
            <w:bottom w:w="0" w:type="dxa"/>
            <w:right w:w="108" w:type="dxa"/>
          </w:tblCellMar>
        </w:tblPrEx>
        <w:trPr>
          <w:trHeight w:val="279" w:hRule="atLeast"/>
        </w:trPr>
        <w:tc>
          <w:tcPr>
            <w:tcW w:w="1446" w:type="dxa"/>
            <w:tcBorders>
              <w:top w:val="single" w:color="auto" w:sz="4" w:space="0"/>
              <w:left w:val="single" w:color="auto" w:sz="4" w:space="0"/>
              <w:bottom w:val="single" w:color="auto" w:sz="4" w:space="0"/>
              <w:right w:val="single" w:color="auto" w:sz="4" w:space="0"/>
            </w:tcBorders>
            <w:vAlign w:val="center"/>
          </w:tcPr>
          <w:p w14:paraId="0DC98BC2">
            <w:pPr>
              <w:widowControl/>
              <w:jc w:val="left"/>
              <w:rPr>
                <w:rFonts w:ascii="宋体" w:hAnsi="宋体"/>
                <w:szCs w:val="21"/>
              </w:rPr>
            </w:pPr>
            <w:r>
              <w:rPr>
                <w:rFonts w:ascii="宋体" w:hAnsi="宋体"/>
                <w:szCs w:val="21"/>
              </w:rPr>
              <w:t>行业名称</w:t>
            </w:r>
          </w:p>
        </w:tc>
        <w:tc>
          <w:tcPr>
            <w:tcW w:w="1701" w:type="dxa"/>
            <w:tcBorders>
              <w:top w:val="single" w:color="auto" w:sz="4" w:space="0"/>
              <w:left w:val="nil"/>
              <w:bottom w:val="single" w:color="auto" w:sz="4" w:space="0"/>
              <w:right w:val="single" w:color="auto" w:sz="4" w:space="0"/>
            </w:tcBorders>
            <w:vAlign w:val="center"/>
          </w:tcPr>
          <w:p w14:paraId="08034CF9">
            <w:pPr>
              <w:widowControl/>
              <w:jc w:val="left"/>
              <w:rPr>
                <w:rFonts w:ascii="宋体" w:hAnsi="宋体"/>
                <w:szCs w:val="21"/>
              </w:rPr>
            </w:pPr>
            <w:r>
              <w:rPr>
                <w:rFonts w:ascii="宋体" w:hAnsi="宋体"/>
                <w:szCs w:val="21"/>
              </w:rPr>
              <w:t>指标名称</w:t>
            </w:r>
          </w:p>
        </w:tc>
        <w:tc>
          <w:tcPr>
            <w:tcW w:w="1134" w:type="dxa"/>
            <w:tcBorders>
              <w:top w:val="single" w:color="auto" w:sz="4" w:space="0"/>
              <w:left w:val="nil"/>
              <w:bottom w:val="single" w:color="auto" w:sz="4" w:space="0"/>
              <w:right w:val="single" w:color="auto" w:sz="4" w:space="0"/>
            </w:tcBorders>
            <w:vAlign w:val="center"/>
          </w:tcPr>
          <w:p w14:paraId="01ACA87B">
            <w:pPr>
              <w:widowControl/>
              <w:jc w:val="left"/>
              <w:rPr>
                <w:rFonts w:ascii="宋体" w:hAnsi="宋体"/>
                <w:szCs w:val="21"/>
              </w:rPr>
            </w:pPr>
            <w:r>
              <w:rPr>
                <w:rFonts w:ascii="宋体" w:hAnsi="宋体"/>
                <w:szCs w:val="21"/>
              </w:rPr>
              <w:t>计量单位</w:t>
            </w:r>
          </w:p>
        </w:tc>
        <w:tc>
          <w:tcPr>
            <w:tcW w:w="1846" w:type="dxa"/>
            <w:tcBorders>
              <w:top w:val="single" w:color="auto" w:sz="4" w:space="0"/>
              <w:left w:val="nil"/>
              <w:bottom w:val="single" w:color="auto" w:sz="4" w:space="0"/>
              <w:right w:val="single" w:color="auto" w:sz="4" w:space="0"/>
            </w:tcBorders>
            <w:vAlign w:val="center"/>
          </w:tcPr>
          <w:p w14:paraId="57C816C0">
            <w:pPr>
              <w:widowControl/>
              <w:jc w:val="left"/>
              <w:rPr>
                <w:rFonts w:ascii="宋体" w:hAnsi="宋体"/>
                <w:szCs w:val="21"/>
              </w:rPr>
            </w:pPr>
            <w:r>
              <w:rPr>
                <w:rFonts w:ascii="宋体" w:hAnsi="宋体"/>
                <w:szCs w:val="21"/>
              </w:rPr>
              <w:t>中型</w:t>
            </w:r>
          </w:p>
        </w:tc>
        <w:tc>
          <w:tcPr>
            <w:tcW w:w="1570" w:type="dxa"/>
            <w:tcBorders>
              <w:top w:val="single" w:color="auto" w:sz="4" w:space="0"/>
              <w:left w:val="nil"/>
              <w:bottom w:val="single" w:color="auto" w:sz="4" w:space="0"/>
              <w:right w:val="single" w:color="auto" w:sz="4" w:space="0"/>
            </w:tcBorders>
            <w:vAlign w:val="center"/>
          </w:tcPr>
          <w:p w14:paraId="321DBA11">
            <w:pPr>
              <w:widowControl/>
              <w:jc w:val="left"/>
              <w:rPr>
                <w:rFonts w:ascii="宋体" w:hAnsi="宋体"/>
                <w:szCs w:val="21"/>
              </w:rPr>
            </w:pPr>
            <w:r>
              <w:rPr>
                <w:rFonts w:ascii="宋体" w:hAnsi="宋体"/>
                <w:szCs w:val="21"/>
              </w:rPr>
              <w:t>小型</w:t>
            </w:r>
          </w:p>
        </w:tc>
        <w:tc>
          <w:tcPr>
            <w:tcW w:w="1009" w:type="dxa"/>
            <w:tcBorders>
              <w:top w:val="single" w:color="auto" w:sz="4" w:space="0"/>
              <w:left w:val="nil"/>
              <w:bottom w:val="single" w:color="auto" w:sz="4" w:space="0"/>
              <w:right w:val="single" w:color="auto" w:sz="4" w:space="0"/>
            </w:tcBorders>
            <w:vAlign w:val="center"/>
          </w:tcPr>
          <w:p w14:paraId="3977E163">
            <w:pPr>
              <w:widowControl/>
              <w:jc w:val="left"/>
              <w:rPr>
                <w:rFonts w:ascii="宋体" w:hAnsi="宋体"/>
                <w:szCs w:val="21"/>
              </w:rPr>
            </w:pPr>
            <w:r>
              <w:rPr>
                <w:rFonts w:ascii="宋体" w:hAnsi="宋体"/>
                <w:szCs w:val="21"/>
              </w:rPr>
              <w:t>微型</w:t>
            </w:r>
          </w:p>
        </w:tc>
      </w:tr>
      <w:tr w14:paraId="438E07FF">
        <w:tblPrEx>
          <w:tblCellMar>
            <w:top w:w="0" w:type="dxa"/>
            <w:left w:w="108" w:type="dxa"/>
            <w:bottom w:w="0" w:type="dxa"/>
            <w:right w:w="108" w:type="dxa"/>
          </w:tblCellMar>
        </w:tblPrEx>
        <w:trPr>
          <w:trHeight w:val="220" w:hRule="atLeast"/>
        </w:trPr>
        <w:tc>
          <w:tcPr>
            <w:tcW w:w="1446" w:type="dxa"/>
            <w:tcBorders>
              <w:top w:val="nil"/>
              <w:left w:val="single" w:color="auto" w:sz="4" w:space="0"/>
              <w:bottom w:val="single" w:color="auto" w:sz="4" w:space="0"/>
              <w:right w:val="single" w:color="auto" w:sz="4" w:space="0"/>
            </w:tcBorders>
            <w:vAlign w:val="bottom"/>
          </w:tcPr>
          <w:p w14:paraId="0F0C510A">
            <w:pPr>
              <w:widowControl/>
              <w:jc w:val="center"/>
              <w:rPr>
                <w:rFonts w:ascii="宋体" w:hAnsi="宋体"/>
                <w:szCs w:val="21"/>
              </w:rPr>
            </w:pPr>
            <w:r>
              <w:rPr>
                <w:rFonts w:ascii="宋体" w:hAnsi="宋体"/>
                <w:szCs w:val="21"/>
              </w:rPr>
              <w:t>农、林、牧、渔</w:t>
            </w:r>
          </w:p>
        </w:tc>
        <w:tc>
          <w:tcPr>
            <w:tcW w:w="1701" w:type="dxa"/>
            <w:tcBorders>
              <w:top w:val="nil"/>
              <w:left w:val="nil"/>
              <w:bottom w:val="single" w:color="auto" w:sz="4" w:space="0"/>
              <w:right w:val="single" w:color="auto" w:sz="4" w:space="0"/>
            </w:tcBorders>
            <w:vAlign w:val="center"/>
          </w:tcPr>
          <w:p w14:paraId="668D9671">
            <w:pPr>
              <w:widowControl/>
              <w:jc w:val="left"/>
              <w:rPr>
                <w:rFonts w:ascii="宋体" w:hAnsi="宋体"/>
                <w:szCs w:val="21"/>
              </w:rPr>
            </w:pPr>
            <w:r>
              <w:rPr>
                <w:rFonts w:ascii="宋体" w:hAnsi="宋体"/>
                <w:szCs w:val="21"/>
              </w:rPr>
              <w:t>营业收入（Y）</w:t>
            </w:r>
          </w:p>
        </w:tc>
        <w:tc>
          <w:tcPr>
            <w:tcW w:w="1134" w:type="dxa"/>
            <w:tcBorders>
              <w:top w:val="nil"/>
              <w:left w:val="nil"/>
              <w:bottom w:val="single" w:color="auto" w:sz="4" w:space="0"/>
              <w:right w:val="single" w:color="auto" w:sz="4" w:space="0"/>
            </w:tcBorders>
            <w:vAlign w:val="center"/>
          </w:tcPr>
          <w:p w14:paraId="60D15486">
            <w:pPr>
              <w:widowControl/>
              <w:jc w:val="left"/>
              <w:rPr>
                <w:rFonts w:ascii="宋体" w:hAnsi="宋体"/>
                <w:szCs w:val="21"/>
              </w:rPr>
            </w:pPr>
            <w:r>
              <w:rPr>
                <w:rFonts w:ascii="宋体" w:hAnsi="宋体"/>
                <w:szCs w:val="21"/>
              </w:rPr>
              <w:t>万元</w:t>
            </w:r>
          </w:p>
        </w:tc>
        <w:tc>
          <w:tcPr>
            <w:tcW w:w="1846" w:type="dxa"/>
            <w:tcBorders>
              <w:top w:val="nil"/>
              <w:left w:val="nil"/>
              <w:bottom w:val="single" w:color="auto" w:sz="4" w:space="0"/>
              <w:right w:val="single" w:color="auto" w:sz="4" w:space="0"/>
            </w:tcBorders>
            <w:vAlign w:val="center"/>
          </w:tcPr>
          <w:p w14:paraId="59A492F6">
            <w:pPr>
              <w:widowControl/>
              <w:jc w:val="left"/>
              <w:rPr>
                <w:rFonts w:ascii="宋体" w:hAnsi="宋体"/>
                <w:szCs w:val="21"/>
              </w:rPr>
            </w:pPr>
            <w:r>
              <w:rPr>
                <w:rFonts w:ascii="宋体" w:hAnsi="宋体"/>
                <w:szCs w:val="21"/>
              </w:rPr>
              <w:t>500≤Y＜20000</w:t>
            </w:r>
          </w:p>
        </w:tc>
        <w:tc>
          <w:tcPr>
            <w:tcW w:w="1570" w:type="dxa"/>
            <w:tcBorders>
              <w:top w:val="nil"/>
              <w:left w:val="nil"/>
              <w:bottom w:val="single" w:color="auto" w:sz="4" w:space="0"/>
              <w:right w:val="single" w:color="auto" w:sz="4" w:space="0"/>
            </w:tcBorders>
            <w:vAlign w:val="center"/>
          </w:tcPr>
          <w:p w14:paraId="19A6D1FE">
            <w:pPr>
              <w:widowControl/>
              <w:jc w:val="left"/>
              <w:rPr>
                <w:rFonts w:ascii="宋体" w:hAnsi="宋体"/>
                <w:szCs w:val="21"/>
              </w:rPr>
            </w:pPr>
            <w:r>
              <w:rPr>
                <w:rFonts w:ascii="宋体" w:hAnsi="宋体"/>
                <w:szCs w:val="21"/>
              </w:rPr>
              <w:t>50≤Y＜500</w:t>
            </w:r>
          </w:p>
        </w:tc>
        <w:tc>
          <w:tcPr>
            <w:tcW w:w="1009" w:type="dxa"/>
            <w:tcBorders>
              <w:top w:val="nil"/>
              <w:left w:val="nil"/>
              <w:bottom w:val="single" w:color="auto" w:sz="4" w:space="0"/>
              <w:right w:val="single" w:color="auto" w:sz="4" w:space="0"/>
            </w:tcBorders>
            <w:vAlign w:val="center"/>
          </w:tcPr>
          <w:p w14:paraId="2FD2C2F5">
            <w:pPr>
              <w:widowControl/>
              <w:jc w:val="left"/>
              <w:rPr>
                <w:rFonts w:ascii="宋体" w:hAnsi="宋体"/>
                <w:szCs w:val="21"/>
              </w:rPr>
            </w:pPr>
            <w:r>
              <w:rPr>
                <w:rFonts w:ascii="宋体" w:hAnsi="宋体"/>
                <w:szCs w:val="21"/>
              </w:rPr>
              <w:t>Y＜50</w:t>
            </w:r>
          </w:p>
        </w:tc>
      </w:tr>
      <w:tr w14:paraId="199C0E0D">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vAlign w:val="bottom"/>
          </w:tcPr>
          <w:p w14:paraId="3AD5970E">
            <w:pPr>
              <w:widowControl/>
              <w:jc w:val="center"/>
              <w:rPr>
                <w:rFonts w:ascii="宋体" w:hAnsi="宋体"/>
                <w:szCs w:val="21"/>
              </w:rPr>
            </w:pPr>
            <w:r>
              <w:rPr>
                <w:rFonts w:ascii="宋体" w:hAnsi="宋体"/>
                <w:szCs w:val="21"/>
              </w:rPr>
              <w:t>工业</w:t>
            </w:r>
          </w:p>
        </w:tc>
        <w:tc>
          <w:tcPr>
            <w:tcW w:w="1701" w:type="dxa"/>
            <w:tcBorders>
              <w:top w:val="nil"/>
              <w:left w:val="nil"/>
              <w:bottom w:val="single" w:color="auto" w:sz="4" w:space="0"/>
              <w:right w:val="single" w:color="auto" w:sz="4" w:space="0"/>
            </w:tcBorders>
            <w:vAlign w:val="center"/>
          </w:tcPr>
          <w:p w14:paraId="2F10D0A0">
            <w:pPr>
              <w:widowControl/>
              <w:jc w:val="left"/>
              <w:rPr>
                <w:rFonts w:ascii="宋体" w:hAnsi="宋体"/>
                <w:szCs w:val="21"/>
              </w:rPr>
            </w:pPr>
            <w:r>
              <w:rPr>
                <w:rFonts w:ascii="宋体" w:hAnsi="宋体"/>
                <w:szCs w:val="21"/>
              </w:rPr>
              <w:t>从业人员（X）</w:t>
            </w:r>
          </w:p>
        </w:tc>
        <w:tc>
          <w:tcPr>
            <w:tcW w:w="1134" w:type="dxa"/>
            <w:tcBorders>
              <w:top w:val="nil"/>
              <w:left w:val="nil"/>
              <w:bottom w:val="single" w:color="auto" w:sz="4" w:space="0"/>
              <w:right w:val="single" w:color="auto" w:sz="4" w:space="0"/>
            </w:tcBorders>
            <w:vAlign w:val="center"/>
          </w:tcPr>
          <w:p w14:paraId="33204A1D">
            <w:pPr>
              <w:widowControl/>
              <w:jc w:val="left"/>
              <w:rPr>
                <w:rFonts w:ascii="宋体" w:hAnsi="宋体"/>
                <w:szCs w:val="21"/>
              </w:rPr>
            </w:pPr>
            <w:r>
              <w:rPr>
                <w:rFonts w:ascii="宋体" w:hAnsi="宋体"/>
                <w:szCs w:val="21"/>
              </w:rPr>
              <w:t>人</w:t>
            </w:r>
          </w:p>
        </w:tc>
        <w:tc>
          <w:tcPr>
            <w:tcW w:w="1846" w:type="dxa"/>
            <w:tcBorders>
              <w:top w:val="nil"/>
              <w:left w:val="nil"/>
              <w:bottom w:val="single" w:color="auto" w:sz="4" w:space="0"/>
              <w:right w:val="single" w:color="auto" w:sz="4" w:space="0"/>
            </w:tcBorders>
            <w:vAlign w:val="center"/>
          </w:tcPr>
          <w:p w14:paraId="78C81904">
            <w:pPr>
              <w:widowControl/>
              <w:jc w:val="left"/>
              <w:rPr>
                <w:rFonts w:ascii="宋体" w:hAnsi="宋体"/>
                <w:szCs w:val="21"/>
              </w:rPr>
            </w:pPr>
            <w:r>
              <w:rPr>
                <w:rFonts w:ascii="宋体" w:hAnsi="宋体"/>
                <w:szCs w:val="21"/>
              </w:rPr>
              <w:t>300≤X＜1000</w:t>
            </w:r>
          </w:p>
        </w:tc>
        <w:tc>
          <w:tcPr>
            <w:tcW w:w="1570" w:type="dxa"/>
            <w:tcBorders>
              <w:top w:val="nil"/>
              <w:left w:val="nil"/>
              <w:bottom w:val="single" w:color="auto" w:sz="4" w:space="0"/>
              <w:right w:val="single" w:color="auto" w:sz="4" w:space="0"/>
            </w:tcBorders>
            <w:vAlign w:val="center"/>
          </w:tcPr>
          <w:p w14:paraId="2F74B088">
            <w:pPr>
              <w:widowControl/>
              <w:jc w:val="left"/>
              <w:rPr>
                <w:rFonts w:ascii="宋体" w:hAnsi="宋体"/>
                <w:szCs w:val="21"/>
              </w:rPr>
            </w:pPr>
            <w:r>
              <w:rPr>
                <w:rFonts w:ascii="宋体" w:hAnsi="宋体"/>
                <w:szCs w:val="21"/>
              </w:rPr>
              <w:t>20≤X＜300</w:t>
            </w:r>
          </w:p>
        </w:tc>
        <w:tc>
          <w:tcPr>
            <w:tcW w:w="1009" w:type="dxa"/>
            <w:tcBorders>
              <w:top w:val="nil"/>
              <w:left w:val="nil"/>
              <w:bottom w:val="single" w:color="auto" w:sz="4" w:space="0"/>
              <w:right w:val="single" w:color="auto" w:sz="4" w:space="0"/>
            </w:tcBorders>
            <w:vAlign w:val="center"/>
          </w:tcPr>
          <w:p w14:paraId="2AA51179">
            <w:pPr>
              <w:widowControl/>
              <w:jc w:val="left"/>
              <w:rPr>
                <w:rFonts w:ascii="宋体" w:hAnsi="宋体"/>
                <w:szCs w:val="21"/>
              </w:rPr>
            </w:pPr>
            <w:r>
              <w:rPr>
                <w:rFonts w:ascii="宋体" w:hAnsi="宋体"/>
                <w:szCs w:val="21"/>
              </w:rPr>
              <w:t>X＜20</w:t>
            </w:r>
          </w:p>
        </w:tc>
      </w:tr>
      <w:tr w14:paraId="6607285F">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vAlign w:val="center"/>
          </w:tcPr>
          <w:p w14:paraId="12D3B9F4">
            <w:pPr>
              <w:widowControl/>
              <w:jc w:val="left"/>
              <w:rPr>
                <w:rFonts w:ascii="宋体" w:hAnsi="宋体"/>
                <w:szCs w:val="21"/>
              </w:rPr>
            </w:pPr>
          </w:p>
        </w:tc>
        <w:tc>
          <w:tcPr>
            <w:tcW w:w="1701" w:type="dxa"/>
            <w:tcBorders>
              <w:top w:val="nil"/>
              <w:left w:val="nil"/>
              <w:bottom w:val="single" w:color="auto" w:sz="4" w:space="0"/>
              <w:right w:val="single" w:color="auto" w:sz="4" w:space="0"/>
            </w:tcBorders>
            <w:vAlign w:val="center"/>
          </w:tcPr>
          <w:p w14:paraId="5F918614">
            <w:pPr>
              <w:widowControl/>
              <w:jc w:val="left"/>
              <w:rPr>
                <w:rFonts w:ascii="宋体" w:hAnsi="宋体"/>
                <w:szCs w:val="21"/>
              </w:rPr>
            </w:pPr>
            <w:r>
              <w:rPr>
                <w:rFonts w:ascii="宋体" w:hAnsi="宋体"/>
                <w:szCs w:val="21"/>
              </w:rPr>
              <w:t>营业收入（Y）</w:t>
            </w:r>
          </w:p>
        </w:tc>
        <w:tc>
          <w:tcPr>
            <w:tcW w:w="1134" w:type="dxa"/>
            <w:tcBorders>
              <w:top w:val="nil"/>
              <w:left w:val="nil"/>
              <w:bottom w:val="single" w:color="auto" w:sz="4" w:space="0"/>
              <w:right w:val="single" w:color="auto" w:sz="4" w:space="0"/>
            </w:tcBorders>
            <w:vAlign w:val="center"/>
          </w:tcPr>
          <w:p w14:paraId="6CD18F32">
            <w:pPr>
              <w:widowControl/>
              <w:jc w:val="left"/>
              <w:rPr>
                <w:rFonts w:ascii="宋体" w:hAnsi="宋体"/>
                <w:szCs w:val="21"/>
              </w:rPr>
            </w:pPr>
            <w:r>
              <w:rPr>
                <w:rFonts w:ascii="宋体" w:hAnsi="宋体"/>
                <w:szCs w:val="21"/>
              </w:rPr>
              <w:t>万元</w:t>
            </w:r>
          </w:p>
        </w:tc>
        <w:tc>
          <w:tcPr>
            <w:tcW w:w="1846" w:type="dxa"/>
            <w:tcBorders>
              <w:top w:val="nil"/>
              <w:left w:val="nil"/>
              <w:bottom w:val="single" w:color="auto" w:sz="4" w:space="0"/>
              <w:right w:val="single" w:color="auto" w:sz="4" w:space="0"/>
            </w:tcBorders>
            <w:vAlign w:val="center"/>
          </w:tcPr>
          <w:p w14:paraId="3E6F5A84">
            <w:pPr>
              <w:widowControl/>
              <w:jc w:val="left"/>
              <w:rPr>
                <w:rFonts w:ascii="宋体" w:hAnsi="宋体"/>
                <w:szCs w:val="21"/>
              </w:rPr>
            </w:pPr>
            <w:r>
              <w:rPr>
                <w:rFonts w:ascii="宋体" w:hAnsi="宋体"/>
                <w:szCs w:val="21"/>
              </w:rPr>
              <w:t>2000≤Y＜40000</w:t>
            </w:r>
          </w:p>
        </w:tc>
        <w:tc>
          <w:tcPr>
            <w:tcW w:w="1570" w:type="dxa"/>
            <w:tcBorders>
              <w:top w:val="nil"/>
              <w:left w:val="nil"/>
              <w:bottom w:val="single" w:color="auto" w:sz="4" w:space="0"/>
              <w:right w:val="single" w:color="auto" w:sz="4" w:space="0"/>
            </w:tcBorders>
            <w:vAlign w:val="center"/>
          </w:tcPr>
          <w:p w14:paraId="50F03C6A">
            <w:pPr>
              <w:widowControl/>
              <w:jc w:val="left"/>
              <w:rPr>
                <w:rFonts w:ascii="宋体" w:hAnsi="宋体"/>
                <w:szCs w:val="21"/>
              </w:rPr>
            </w:pPr>
            <w:r>
              <w:rPr>
                <w:rFonts w:ascii="宋体" w:hAnsi="宋体"/>
                <w:szCs w:val="21"/>
              </w:rPr>
              <w:t>300≤Y＜2000</w:t>
            </w:r>
          </w:p>
        </w:tc>
        <w:tc>
          <w:tcPr>
            <w:tcW w:w="1009" w:type="dxa"/>
            <w:tcBorders>
              <w:top w:val="nil"/>
              <w:left w:val="nil"/>
              <w:bottom w:val="single" w:color="auto" w:sz="4" w:space="0"/>
              <w:right w:val="single" w:color="auto" w:sz="4" w:space="0"/>
            </w:tcBorders>
            <w:vAlign w:val="center"/>
          </w:tcPr>
          <w:p w14:paraId="2B4A8CC5">
            <w:pPr>
              <w:widowControl/>
              <w:jc w:val="left"/>
              <w:rPr>
                <w:rFonts w:ascii="宋体" w:hAnsi="宋体"/>
                <w:szCs w:val="21"/>
              </w:rPr>
            </w:pPr>
            <w:r>
              <w:rPr>
                <w:rFonts w:ascii="宋体" w:hAnsi="宋体"/>
                <w:szCs w:val="21"/>
              </w:rPr>
              <w:t>Y＜300</w:t>
            </w:r>
          </w:p>
        </w:tc>
      </w:tr>
      <w:tr w14:paraId="564F9278">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vAlign w:val="bottom"/>
          </w:tcPr>
          <w:p w14:paraId="3BA4B74D">
            <w:pPr>
              <w:widowControl/>
              <w:jc w:val="center"/>
              <w:rPr>
                <w:rFonts w:ascii="宋体" w:hAnsi="宋体"/>
                <w:szCs w:val="21"/>
              </w:rPr>
            </w:pPr>
            <w:r>
              <w:rPr>
                <w:rFonts w:ascii="宋体" w:hAnsi="宋体"/>
                <w:szCs w:val="21"/>
              </w:rPr>
              <w:t>建筑业</w:t>
            </w:r>
          </w:p>
        </w:tc>
        <w:tc>
          <w:tcPr>
            <w:tcW w:w="1701" w:type="dxa"/>
            <w:tcBorders>
              <w:top w:val="nil"/>
              <w:left w:val="nil"/>
              <w:bottom w:val="single" w:color="auto" w:sz="4" w:space="0"/>
              <w:right w:val="single" w:color="auto" w:sz="4" w:space="0"/>
            </w:tcBorders>
            <w:vAlign w:val="center"/>
          </w:tcPr>
          <w:p w14:paraId="3918E94D">
            <w:pPr>
              <w:widowControl/>
              <w:jc w:val="left"/>
              <w:rPr>
                <w:rFonts w:ascii="宋体" w:hAnsi="宋体"/>
                <w:szCs w:val="21"/>
              </w:rPr>
            </w:pPr>
            <w:r>
              <w:rPr>
                <w:rFonts w:ascii="宋体" w:hAnsi="宋体"/>
                <w:szCs w:val="21"/>
              </w:rPr>
              <w:t>营业收入（Y）</w:t>
            </w:r>
          </w:p>
        </w:tc>
        <w:tc>
          <w:tcPr>
            <w:tcW w:w="1134" w:type="dxa"/>
            <w:tcBorders>
              <w:top w:val="nil"/>
              <w:left w:val="nil"/>
              <w:bottom w:val="single" w:color="auto" w:sz="4" w:space="0"/>
              <w:right w:val="single" w:color="auto" w:sz="4" w:space="0"/>
            </w:tcBorders>
            <w:vAlign w:val="center"/>
          </w:tcPr>
          <w:p w14:paraId="0BBB1122">
            <w:pPr>
              <w:widowControl/>
              <w:jc w:val="left"/>
              <w:rPr>
                <w:rFonts w:ascii="宋体" w:hAnsi="宋体"/>
                <w:szCs w:val="21"/>
              </w:rPr>
            </w:pPr>
            <w:r>
              <w:rPr>
                <w:rFonts w:ascii="宋体" w:hAnsi="宋体"/>
                <w:szCs w:val="21"/>
              </w:rPr>
              <w:t>万元</w:t>
            </w:r>
          </w:p>
        </w:tc>
        <w:tc>
          <w:tcPr>
            <w:tcW w:w="1846" w:type="dxa"/>
            <w:tcBorders>
              <w:top w:val="nil"/>
              <w:left w:val="nil"/>
              <w:bottom w:val="single" w:color="auto" w:sz="4" w:space="0"/>
              <w:right w:val="single" w:color="auto" w:sz="4" w:space="0"/>
            </w:tcBorders>
            <w:vAlign w:val="center"/>
          </w:tcPr>
          <w:p w14:paraId="228CF6E2">
            <w:pPr>
              <w:widowControl/>
              <w:jc w:val="left"/>
              <w:rPr>
                <w:rFonts w:ascii="宋体" w:hAnsi="宋体"/>
                <w:szCs w:val="21"/>
              </w:rPr>
            </w:pPr>
            <w:r>
              <w:rPr>
                <w:rFonts w:ascii="宋体" w:hAnsi="宋体"/>
                <w:szCs w:val="21"/>
              </w:rPr>
              <w:t>6000≤Y＜80000</w:t>
            </w:r>
          </w:p>
        </w:tc>
        <w:tc>
          <w:tcPr>
            <w:tcW w:w="1570" w:type="dxa"/>
            <w:tcBorders>
              <w:top w:val="nil"/>
              <w:left w:val="nil"/>
              <w:bottom w:val="single" w:color="auto" w:sz="4" w:space="0"/>
              <w:right w:val="single" w:color="auto" w:sz="4" w:space="0"/>
            </w:tcBorders>
            <w:vAlign w:val="center"/>
          </w:tcPr>
          <w:p w14:paraId="14E7F20E">
            <w:pPr>
              <w:widowControl/>
              <w:jc w:val="left"/>
              <w:rPr>
                <w:rFonts w:ascii="宋体" w:hAnsi="宋体"/>
                <w:szCs w:val="21"/>
              </w:rPr>
            </w:pPr>
            <w:r>
              <w:rPr>
                <w:rFonts w:ascii="宋体" w:hAnsi="宋体"/>
                <w:szCs w:val="21"/>
              </w:rPr>
              <w:t>300≤Y＜6000</w:t>
            </w:r>
          </w:p>
        </w:tc>
        <w:tc>
          <w:tcPr>
            <w:tcW w:w="1009" w:type="dxa"/>
            <w:tcBorders>
              <w:top w:val="nil"/>
              <w:left w:val="nil"/>
              <w:bottom w:val="single" w:color="auto" w:sz="4" w:space="0"/>
              <w:right w:val="single" w:color="auto" w:sz="4" w:space="0"/>
            </w:tcBorders>
            <w:vAlign w:val="center"/>
          </w:tcPr>
          <w:p w14:paraId="213DAE2C">
            <w:pPr>
              <w:widowControl/>
              <w:jc w:val="left"/>
              <w:rPr>
                <w:rFonts w:ascii="宋体" w:hAnsi="宋体"/>
                <w:szCs w:val="21"/>
              </w:rPr>
            </w:pPr>
            <w:r>
              <w:rPr>
                <w:rFonts w:ascii="宋体" w:hAnsi="宋体"/>
                <w:szCs w:val="21"/>
              </w:rPr>
              <w:t>Y＜300</w:t>
            </w:r>
          </w:p>
        </w:tc>
      </w:tr>
      <w:tr w14:paraId="2AA19B93">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vAlign w:val="center"/>
          </w:tcPr>
          <w:p w14:paraId="45B2E02F">
            <w:pPr>
              <w:widowControl/>
              <w:jc w:val="left"/>
              <w:rPr>
                <w:rFonts w:ascii="宋体" w:hAnsi="宋体"/>
                <w:szCs w:val="21"/>
              </w:rPr>
            </w:pPr>
          </w:p>
        </w:tc>
        <w:tc>
          <w:tcPr>
            <w:tcW w:w="1701" w:type="dxa"/>
            <w:tcBorders>
              <w:top w:val="nil"/>
              <w:left w:val="nil"/>
              <w:bottom w:val="single" w:color="auto" w:sz="4" w:space="0"/>
              <w:right w:val="single" w:color="auto" w:sz="4" w:space="0"/>
            </w:tcBorders>
            <w:vAlign w:val="center"/>
          </w:tcPr>
          <w:p w14:paraId="7A4F35B3">
            <w:pPr>
              <w:widowControl/>
              <w:jc w:val="left"/>
              <w:rPr>
                <w:rFonts w:ascii="宋体" w:hAnsi="宋体"/>
                <w:szCs w:val="21"/>
              </w:rPr>
            </w:pPr>
            <w:r>
              <w:rPr>
                <w:rFonts w:ascii="宋体" w:hAnsi="宋体"/>
                <w:szCs w:val="21"/>
              </w:rPr>
              <w:t>资产总额（Z）</w:t>
            </w:r>
          </w:p>
        </w:tc>
        <w:tc>
          <w:tcPr>
            <w:tcW w:w="1134" w:type="dxa"/>
            <w:tcBorders>
              <w:top w:val="nil"/>
              <w:left w:val="nil"/>
              <w:bottom w:val="single" w:color="auto" w:sz="4" w:space="0"/>
              <w:right w:val="single" w:color="auto" w:sz="4" w:space="0"/>
            </w:tcBorders>
            <w:vAlign w:val="center"/>
          </w:tcPr>
          <w:p w14:paraId="4BCC10EF">
            <w:pPr>
              <w:widowControl/>
              <w:jc w:val="left"/>
              <w:rPr>
                <w:rFonts w:ascii="宋体" w:hAnsi="宋体"/>
                <w:szCs w:val="21"/>
              </w:rPr>
            </w:pPr>
            <w:r>
              <w:rPr>
                <w:rFonts w:ascii="宋体" w:hAnsi="宋体"/>
                <w:szCs w:val="21"/>
              </w:rPr>
              <w:t>万元</w:t>
            </w:r>
          </w:p>
        </w:tc>
        <w:tc>
          <w:tcPr>
            <w:tcW w:w="1846" w:type="dxa"/>
            <w:tcBorders>
              <w:top w:val="nil"/>
              <w:left w:val="nil"/>
              <w:bottom w:val="single" w:color="auto" w:sz="4" w:space="0"/>
              <w:right w:val="single" w:color="auto" w:sz="4" w:space="0"/>
            </w:tcBorders>
            <w:vAlign w:val="center"/>
          </w:tcPr>
          <w:p w14:paraId="6EB272DE">
            <w:pPr>
              <w:widowControl/>
              <w:jc w:val="left"/>
              <w:rPr>
                <w:rFonts w:ascii="宋体" w:hAnsi="宋体"/>
                <w:szCs w:val="21"/>
              </w:rPr>
            </w:pPr>
            <w:r>
              <w:rPr>
                <w:rFonts w:ascii="宋体" w:hAnsi="宋体"/>
                <w:szCs w:val="21"/>
              </w:rPr>
              <w:t>5000≤Z＜80000</w:t>
            </w:r>
          </w:p>
        </w:tc>
        <w:tc>
          <w:tcPr>
            <w:tcW w:w="1570" w:type="dxa"/>
            <w:tcBorders>
              <w:top w:val="nil"/>
              <w:left w:val="nil"/>
              <w:bottom w:val="single" w:color="auto" w:sz="4" w:space="0"/>
              <w:right w:val="single" w:color="auto" w:sz="4" w:space="0"/>
            </w:tcBorders>
            <w:vAlign w:val="center"/>
          </w:tcPr>
          <w:p w14:paraId="4EEDAAE1">
            <w:pPr>
              <w:widowControl/>
              <w:jc w:val="left"/>
              <w:rPr>
                <w:rFonts w:ascii="宋体" w:hAnsi="宋体"/>
                <w:szCs w:val="21"/>
              </w:rPr>
            </w:pPr>
            <w:r>
              <w:rPr>
                <w:rFonts w:ascii="宋体" w:hAnsi="宋体"/>
                <w:szCs w:val="21"/>
              </w:rPr>
              <w:t>300≤Z＜5000</w:t>
            </w:r>
          </w:p>
        </w:tc>
        <w:tc>
          <w:tcPr>
            <w:tcW w:w="1009" w:type="dxa"/>
            <w:tcBorders>
              <w:top w:val="nil"/>
              <w:left w:val="nil"/>
              <w:bottom w:val="single" w:color="auto" w:sz="4" w:space="0"/>
              <w:right w:val="single" w:color="auto" w:sz="4" w:space="0"/>
            </w:tcBorders>
            <w:vAlign w:val="center"/>
          </w:tcPr>
          <w:p w14:paraId="0EC159E0">
            <w:pPr>
              <w:widowControl/>
              <w:jc w:val="left"/>
              <w:rPr>
                <w:rFonts w:ascii="宋体" w:hAnsi="宋体"/>
                <w:szCs w:val="21"/>
              </w:rPr>
            </w:pPr>
            <w:r>
              <w:rPr>
                <w:rFonts w:ascii="宋体" w:hAnsi="宋体"/>
                <w:szCs w:val="21"/>
              </w:rPr>
              <w:t>Z＜300</w:t>
            </w:r>
          </w:p>
        </w:tc>
      </w:tr>
      <w:tr w14:paraId="4D149B85">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vAlign w:val="bottom"/>
          </w:tcPr>
          <w:p w14:paraId="14DA2EE5">
            <w:pPr>
              <w:widowControl/>
              <w:ind w:firstLine="315" w:firstLineChars="150"/>
              <w:rPr>
                <w:rFonts w:ascii="宋体" w:hAnsi="宋体"/>
                <w:szCs w:val="21"/>
              </w:rPr>
            </w:pPr>
            <w:r>
              <w:rPr>
                <w:rFonts w:ascii="宋体" w:hAnsi="宋体"/>
                <w:szCs w:val="21"/>
              </w:rPr>
              <w:t>批发业</w:t>
            </w:r>
          </w:p>
        </w:tc>
        <w:tc>
          <w:tcPr>
            <w:tcW w:w="1701" w:type="dxa"/>
            <w:tcBorders>
              <w:top w:val="nil"/>
              <w:left w:val="nil"/>
              <w:bottom w:val="single" w:color="auto" w:sz="4" w:space="0"/>
              <w:right w:val="single" w:color="auto" w:sz="4" w:space="0"/>
            </w:tcBorders>
            <w:vAlign w:val="center"/>
          </w:tcPr>
          <w:p w14:paraId="1145CE87">
            <w:pPr>
              <w:widowControl/>
              <w:jc w:val="left"/>
              <w:rPr>
                <w:rFonts w:ascii="宋体" w:hAnsi="宋体"/>
                <w:szCs w:val="21"/>
              </w:rPr>
            </w:pPr>
            <w:r>
              <w:rPr>
                <w:rFonts w:ascii="宋体" w:hAnsi="宋体"/>
                <w:szCs w:val="21"/>
              </w:rPr>
              <w:t>从业人员（X）</w:t>
            </w:r>
          </w:p>
        </w:tc>
        <w:tc>
          <w:tcPr>
            <w:tcW w:w="1134" w:type="dxa"/>
            <w:tcBorders>
              <w:top w:val="nil"/>
              <w:left w:val="nil"/>
              <w:bottom w:val="single" w:color="auto" w:sz="4" w:space="0"/>
              <w:right w:val="single" w:color="auto" w:sz="4" w:space="0"/>
            </w:tcBorders>
            <w:vAlign w:val="center"/>
          </w:tcPr>
          <w:p w14:paraId="3E10C186">
            <w:pPr>
              <w:widowControl/>
              <w:jc w:val="left"/>
              <w:rPr>
                <w:rFonts w:ascii="宋体" w:hAnsi="宋体"/>
                <w:szCs w:val="21"/>
              </w:rPr>
            </w:pPr>
            <w:r>
              <w:rPr>
                <w:rFonts w:ascii="宋体" w:hAnsi="宋体"/>
                <w:szCs w:val="21"/>
              </w:rPr>
              <w:t>人</w:t>
            </w:r>
          </w:p>
        </w:tc>
        <w:tc>
          <w:tcPr>
            <w:tcW w:w="1846" w:type="dxa"/>
            <w:tcBorders>
              <w:top w:val="nil"/>
              <w:left w:val="nil"/>
              <w:bottom w:val="single" w:color="auto" w:sz="4" w:space="0"/>
              <w:right w:val="single" w:color="auto" w:sz="4" w:space="0"/>
            </w:tcBorders>
            <w:vAlign w:val="center"/>
          </w:tcPr>
          <w:p w14:paraId="23DCF92A">
            <w:pPr>
              <w:widowControl/>
              <w:jc w:val="left"/>
              <w:rPr>
                <w:rFonts w:ascii="宋体" w:hAnsi="宋体"/>
                <w:szCs w:val="21"/>
              </w:rPr>
            </w:pPr>
            <w:r>
              <w:rPr>
                <w:rFonts w:ascii="宋体" w:hAnsi="宋体"/>
                <w:szCs w:val="21"/>
              </w:rPr>
              <w:t>20≤X＜200</w:t>
            </w:r>
          </w:p>
        </w:tc>
        <w:tc>
          <w:tcPr>
            <w:tcW w:w="1570" w:type="dxa"/>
            <w:tcBorders>
              <w:top w:val="nil"/>
              <w:left w:val="nil"/>
              <w:bottom w:val="single" w:color="auto" w:sz="4" w:space="0"/>
              <w:right w:val="single" w:color="auto" w:sz="4" w:space="0"/>
            </w:tcBorders>
            <w:vAlign w:val="center"/>
          </w:tcPr>
          <w:p w14:paraId="6F4F7EAC">
            <w:pPr>
              <w:widowControl/>
              <w:jc w:val="left"/>
              <w:rPr>
                <w:rFonts w:ascii="宋体" w:hAnsi="宋体"/>
                <w:szCs w:val="21"/>
              </w:rPr>
            </w:pPr>
            <w:r>
              <w:rPr>
                <w:rFonts w:ascii="宋体" w:hAnsi="宋体"/>
                <w:szCs w:val="21"/>
              </w:rPr>
              <w:t>5≤X＜20</w:t>
            </w:r>
          </w:p>
        </w:tc>
        <w:tc>
          <w:tcPr>
            <w:tcW w:w="1009" w:type="dxa"/>
            <w:tcBorders>
              <w:top w:val="nil"/>
              <w:left w:val="nil"/>
              <w:bottom w:val="single" w:color="auto" w:sz="4" w:space="0"/>
              <w:right w:val="single" w:color="auto" w:sz="4" w:space="0"/>
            </w:tcBorders>
            <w:vAlign w:val="center"/>
          </w:tcPr>
          <w:p w14:paraId="57BB7216">
            <w:pPr>
              <w:widowControl/>
              <w:jc w:val="left"/>
              <w:rPr>
                <w:rFonts w:ascii="宋体" w:hAnsi="宋体"/>
                <w:szCs w:val="21"/>
              </w:rPr>
            </w:pPr>
            <w:r>
              <w:rPr>
                <w:rFonts w:ascii="宋体" w:hAnsi="宋体"/>
                <w:szCs w:val="21"/>
              </w:rPr>
              <w:t>X＜5</w:t>
            </w:r>
          </w:p>
        </w:tc>
      </w:tr>
      <w:tr w14:paraId="38567EC6">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vAlign w:val="center"/>
          </w:tcPr>
          <w:p w14:paraId="2A9F1BE1">
            <w:pPr>
              <w:widowControl/>
              <w:jc w:val="left"/>
              <w:rPr>
                <w:rFonts w:ascii="宋体" w:hAnsi="宋体"/>
                <w:szCs w:val="21"/>
              </w:rPr>
            </w:pPr>
          </w:p>
        </w:tc>
        <w:tc>
          <w:tcPr>
            <w:tcW w:w="1701" w:type="dxa"/>
            <w:tcBorders>
              <w:top w:val="nil"/>
              <w:left w:val="nil"/>
              <w:bottom w:val="single" w:color="auto" w:sz="4" w:space="0"/>
              <w:right w:val="single" w:color="auto" w:sz="4" w:space="0"/>
            </w:tcBorders>
            <w:vAlign w:val="center"/>
          </w:tcPr>
          <w:p w14:paraId="34FD430E">
            <w:pPr>
              <w:widowControl/>
              <w:jc w:val="left"/>
              <w:rPr>
                <w:rFonts w:ascii="宋体" w:hAnsi="宋体"/>
                <w:szCs w:val="21"/>
              </w:rPr>
            </w:pPr>
            <w:r>
              <w:rPr>
                <w:rFonts w:ascii="宋体" w:hAnsi="宋体"/>
                <w:szCs w:val="21"/>
              </w:rPr>
              <w:t>营业收入（Y）</w:t>
            </w:r>
          </w:p>
        </w:tc>
        <w:tc>
          <w:tcPr>
            <w:tcW w:w="1134" w:type="dxa"/>
            <w:tcBorders>
              <w:top w:val="nil"/>
              <w:left w:val="nil"/>
              <w:bottom w:val="single" w:color="auto" w:sz="4" w:space="0"/>
              <w:right w:val="single" w:color="auto" w:sz="4" w:space="0"/>
            </w:tcBorders>
            <w:vAlign w:val="center"/>
          </w:tcPr>
          <w:p w14:paraId="73025264">
            <w:pPr>
              <w:widowControl/>
              <w:jc w:val="left"/>
              <w:rPr>
                <w:rFonts w:ascii="宋体" w:hAnsi="宋体"/>
                <w:szCs w:val="21"/>
              </w:rPr>
            </w:pPr>
            <w:r>
              <w:rPr>
                <w:rFonts w:ascii="宋体" w:hAnsi="宋体"/>
                <w:szCs w:val="21"/>
              </w:rPr>
              <w:t>万元</w:t>
            </w:r>
          </w:p>
        </w:tc>
        <w:tc>
          <w:tcPr>
            <w:tcW w:w="1846" w:type="dxa"/>
            <w:tcBorders>
              <w:top w:val="nil"/>
              <w:left w:val="nil"/>
              <w:bottom w:val="single" w:color="auto" w:sz="4" w:space="0"/>
              <w:right w:val="single" w:color="auto" w:sz="4" w:space="0"/>
            </w:tcBorders>
            <w:vAlign w:val="center"/>
          </w:tcPr>
          <w:p w14:paraId="3B1FAC28">
            <w:pPr>
              <w:widowControl/>
              <w:jc w:val="left"/>
              <w:rPr>
                <w:rFonts w:ascii="宋体" w:hAnsi="宋体"/>
                <w:szCs w:val="21"/>
              </w:rPr>
            </w:pPr>
            <w:r>
              <w:rPr>
                <w:rFonts w:ascii="宋体" w:hAnsi="宋体"/>
                <w:szCs w:val="21"/>
              </w:rPr>
              <w:t>5000≤Y＜40000</w:t>
            </w:r>
          </w:p>
        </w:tc>
        <w:tc>
          <w:tcPr>
            <w:tcW w:w="1570" w:type="dxa"/>
            <w:tcBorders>
              <w:top w:val="nil"/>
              <w:left w:val="nil"/>
              <w:bottom w:val="single" w:color="auto" w:sz="4" w:space="0"/>
              <w:right w:val="single" w:color="auto" w:sz="4" w:space="0"/>
            </w:tcBorders>
            <w:vAlign w:val="center"/>
          </w:tcPr>
          <w:p w14:paraId="491C4EAD">
            <w:pPr>
              <w:widowControl/>
              <w:jc w:val="left"/>
              <w:rPr>
                <w:rFonts w:ascii="宋体" w:hAnsi="宋体"/>
                <w:szCs w:val="21"/>
              </w:rPr>
            </w:pPr>
            <w:r>
              <w:rPr>
                <w:rFonts w:ascii="宋体" w:hAnsi="宋体"/>
                <w:szCs w:val="21"/>
              </w:rPr>
              <w:t>1000≤Y＜5000</w:t>
            </w:r>
          </w:p>
        </w:tc>
        <w:tc>
          <w:tcPr>
            <w:tcW w:w="1009" w:type="dxa"/>
            <w:tcBorders>
              <w:top w:val="nil"/>
              <w:left w:val="nil"/>
              <w:bottom w:val="single" w:color="auto" w:sz="4" w:space="0"/>
              <w:right w:val="single" w:color="auto" w:sz="4" w:space="0"/>
            </w:tcBorders>
            <w:vAlign w:val="center"/>
          </w:tcPr>
          <w:p w14:paraId="5E031C03">
            <w:pPr>
              <w:widowControl/>
              <w:jc w:val="left"/>
              <w:rPr>
                <w:rFonts w:ascii="宋体" w:hAnsi="宋体"/>
                <w:szCs w:val="21"/>
              </w:rPr>
            </w:pPr>
            <w:r>
              <w:rPr>
                <w:rFonts w:ascii="宋体" w:hAnsi="宋体"/>
                <w:szCs w:val="21"/>
              </w:rPr>
              <w:t>Y＜1000</w:t>
            </w:r>
          </w:p>
        </w:tc>
      </w:tr>
      <w:tr w14:paraId="1C203AEF">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vAlign w:val="bottom"/>
          </w:tcPr>
          <w:p w14:paraId="694A4A0B">
            <w:pPr>
              <w:widowControl/>
              <w:jc w:val="center"/>
              <w:rPr>
                <w:rFonts w:ascii="宋体" w:hAnsi="宋体"/>
                <w:szCs w:val="21"/>
              </w:rPr>
            </w:pPr>
            <w:r>
              <w:rPr>
                <w:rFonts w:ascii="宋体" w:hAnsi="宋体"/>
                <w:szCs w:val="21"/>
              </w:rPr>
              <w:t>零售业</w:t>
            </w:r>
          </w:p>
        </w:tc>
        <w:tc>
          <w:tcPr>
            <w:tcW w:w="1701" w:type="dxa"/>
            <w:tcBorders>
              <w:top w:val="nil"/>
              <w:left w:val="nil"/>
              <w:bottom w:val="single" w:color="auto" w:sz="4" w:space="0"/>
              <w:right w:val="single" w:color="auto" w:sz="4" w:space="0"/>
            </w:tcBorders>
            <w:vAlign w:val="center"/>
          </w:tcPr>
          <w:p w14:paraId="62077936">
            <w:pPr>
              <w:widowControl/>
              <w:jc w:val="left"/>
              <w:rPr>
                <w:rFonts w:ascii="宋体" w:hAnsi="宋体"/>
                <w:szCs w:val="21"/>
              </w:rPr>
            </w:pPr>
            <w:r>
              <w:rPr>
                <w:rFonts w:ascii="宋体" w:hAnsi="宋体"/>
                <w:szCs w:val="21"/>
              </w:rPr>
              <w:t>从业人员（X）</w:t>
            </w:r>
          </w:p>
        </w:tc>
        <w:tc>
          <w:tcPr>
            <w:tcW w:w="1134" w:type="dxa"/>
            <w:tcBorders>
              <w:top w:val="nil"/>
              <w:left w:val="nil"/>
              <w:bottom w:val="single" w:color="auto" w:sz="4" w:space="0"/>
              <w:right w:val="single" w:color="auto" w:sz="4" w:space="0"/>
            </w:tcBorders>
            <w:vAlign w:val="center"/>
          </w:tcPr>
          <w:p w14:paraId="53C1F810">
            <w:pPr>
              <w:widowControl/>
              <w:jc w:val="left"/>
              <w:rPr>
                <w:rFonts w:ascii="宋体" w:hAnsi="宋体"/>
                <w:szCs w:val="21"/>
              </w:rPr>
            </w:pPr>
            <w:r>
              <w:rPr>
                <w:rFonts w:ascii="宋体" w:hAnsi="宋体"/>
                <w:szCs w:val="21"/>
              </w:rPr>
              <w:t>人</w:t>
            </w:r>
          </w:p>
        </w:tc>
        <w:tc>
          <w:tcPr>
            <w:tcW w:w="1846" w:type="dxa"/>
            <w:tcBorders>
              <w:top w:val="nil"/>
              <w:left w:val="nil"/>
              <w:bottom w:val="single" w:color="auto" w:sz="4" w:space="0"/>
              <w:right w:val="single" w:color="auto" w:sz="4" w:space="0"/>
            </w:tcBorders>
            <w:vAlign w:val="center"/>
          </w:tcPr>
          <w:p w14:paraId="535669C9">
            <w:pPr>
              <w:widowControl/>
              <w:jc w:val="left"/>
              <w:rPr>
                <w:rFonts w:ascii="宋体" w:hAnsi="宋体"/>
                <w:szCs w:val="21"/>
              </w:rPr>
            </w:pPr>
            <w:r>
              <w:rPr>
                <w:rFonts w:ascii="宋体" w:hAnsi="宋体"/>
                <w:szCs w:val="21"/>
              </w:rPr>
              <w:t>50≤X＜300</w:t>
            </w:r>
          </w:p>
        </w:tc>
        <w:tc>
          <w:tcPr>
            <w:tcW w:w="1570" w:type="dxa"/>
            <w:tcBorders>
              <w:top w:val="nil"/>
              <w:left w:val="nil"/>
              <w:bottom w:val="single" w:color="auto" w:sz="4" w:space="0"/>
              <w:right w:val="single" w:color="auto" w:sz="4" w:space="0"/>
            </w:tcBorders>
            <w:vAlign w:val="center"/>
          </w:tcPr>
          <w:p w14:paraId="3525140B">
            <w:pPr>
              <w:widowControl/>
              <w:jc w:val="left"/>
              <w:rPr>
                <w:rFonts w:ascii="宋体" w:hAnsi="宋体"/>
                <w:szCs w:val="21"/>
              </w:rPr>
            </w:pPr>
            <w:r>
              <w:rPr>
                <w:rFonts w:ascii="宋体" w:hAnsi="宋体"/>
                <w:szCs w:val="21"/>
              </w:rPr>
              <w:t>10≤X＜50</w:t>
            </w:r>
          </w:p>
        </w:tc>
        <w:tc>
          <w:tcPr>
            <w:tcW w:w="1009" w:type="dxa"/>
            <w:tcBorders>
              <w:top w:val="nil"/>
              <w:left w:val="nil"/>
              <w:bottom w:val="single" w:color="auto" w:sz="4" w:space="0"/>
              <w:right w:val="single" w:color="auto" w:sz="4" w:space="0"/>
            </w:tcBorders>
            <w:vAlign w:val="center"/>
          </w:tcPr>
          <w:p w14:paraId="6A7EC388">
            <w:pPr>
              <w:widowControl/>
              <w:jc w:val="left"/>
              <w:rPr>
                <w:rFonts w:ascii="宋体" w:hAnsi="宋体"/>
                <w:szCs w:val="21"/>
              </w:rPr>
            </w:pPr>
            <w:r>
              <w:rPr>
                <w:rFonts w:ascii="宋体" w:hAnsi="宋体"/>
                <w:szCs w:val="21"/>
              </w:rPr>
              <w:t>X＜10</w:t>
            </w:r>
          </w:p>
        </w:tc>
      </w:tr>
      <w:tr w14:paraId="577FBAC0">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vAlign w:val="center"/>
          </w:tcPr>
          <w:p w14:paraId="1B81A656">
            <w:pPr>
              <w:widowControl/>
              <w:jc w:val="left"/>
              <w:rPr>
                <w:rFonts w:ascii="宋体" w:hAnsi="宋体"/>
                <w:szCs w:val="21"/>
              </w:rPr>
            </w:pPr>
          </w:p>
        </w:tc>
        <w:tc>
          <w:tcPr>
            <w:tcW w:w="1701" w:type="dxa"/>
            <w:tcBorders>
              <w:top w:val="nil"/>
              <w:left w:val="nil"/>
              <w:bottom w:val="single" w:color="auto" w:sz="4" w:space="0"/>
              <w:right w:val="single" w:color="auto" w:sz="4" w:space="0"/>
            </w:tcBorders>
            <w:vAlign w:val="center"/>
          </w:tcPr>
          <w:p w14:paraId="57D6FDF8">
            <w:pPr>
              <w:widowControl/>
              <w:jc w:val="left"/>
              <w:rPr>
                <w:rFonts w:ascii="宋体" w:hAnsi="宋体"/>
                <w:szCs w:val="21"/>
              </w:rPr>
            </w:pPr>
            <w:r>
              <w:rPr>
                <w:rFonts w:ascii="宋体" w:hAnsi="宋体"/>
                <w:szCs w:val="21"/>
              </w:rPr>
              <w:t>营业收入（Y）</w:t>
            </w:r>
          </w:p>
        </w:tc>
        <w:tc>
          <w:tcPr>
            <w:tcW w:w="1134" w:type="dxa"/>
            <w:tcBorders>
              <w:top w:val="nil"/>
              <w:left w:val="nil"/>
              <w:bottom w:val="single" w:color="auto" w:sz="4" w:space="0"/>
              <w:right w:val="single" w:color="auto" w:sz="4" w:space="0"/>
            </w:tcBorders>
            <w:vAlign w:val="center"/>
          </w:tcPr>
          <w:p w14:paraId="6DD9ECEE">
            <w:pPr>
              <w:widowControl/>
              <w:jc w:val="left"/>
              <w:rPr>
                <w:rFonts w:ascii="宋体" w:hAnsi="宋体"/>
                <w:szCs w:val="21"/>
              </w:rPr>
            </w:pPr>
            <w:r>
              <w:rPr>
                <w:rFonts w:ascii="宋体" w:hAnsi="宋体"/>
                <w:szCs w:val="21"/>
              </w:rPr>
              <w:t>万元</w:t>
            </w:r>
          </w:p>
        </w:tc>
        <w:tc>
          <w:tcPr>
            <w:tcW w:w="1846" w:type="dxa"/>
            <w:tcBorders>
              <w:top w:val="nil"/>
              <w:left w:val="nil"/>
              <w:bottom w:val="single" w:color="auto" w:sz="4" w:space="0"/>
              <w:right w:val="single" w:color="auto" w:sz="4" w:space="0"/>
            </w:tcBorders>
            <w:vAlign w:val="center"/>
          </w:tcPr>
          <w:p w14:paraId="5C635E7F">
            <w:pPr>
              <w:widowControl/>
              <w:jc w:val="left"/>
              <w:rPr>
                <w:rFonts w:ascii="宋体" w:hAnsi="宋体"/>
                <w:szCs w:val="21"/>
              </w:rPr>
            </w:pPr>
            <w:r>
              <w:rPr>
                <w:rFonts w:ascii="宋体" w:hAnsi="宋体"/>
                <w:szCs w:val="21"/>
              </w:rPr>
              <w:t>500≤Y＜20000</w:t>
            </w:r>
          </w:p>
        </w:tc>
        <w:tc>
          <w:tcPr>
            <w:tcW w:w="1570" w:type="dxa"/>
            <w:tcBorders>
              <w:top w:val="nil"/>
              <w:left w:val="nil"/>
              <w:bottom w:val="single" w:color="auto" w:sz="4" w:space="0"/>
              <w:right w:val="single" w:color="auto" w:sz="4" w:space="0"/>
            </w:tcBorders>
            <w:vAlign w:val="center"/>
          </w:tcPr>
          <w:p w14:paraId="6B2D07AC">
            <w:pPr>
              <w:widowControl/>
              <w:jc w:val="left"/>
              <w:rPr>
                <w:rFonts w:ascii="宋体" w:hAnsi="宋体"/>
                <w:szCs w:val="21"/>
              </w:rPr>
            </w:pPr>
            <w:r>
              <w:rPr>
                <w:rFonts w:ascii="宋体" w:hAnsi="宋体"/>
                <w:szCs w:val="21"/>
              </w:rPr>
              <w:t>100≤Y＜500</w:t>
            </w:r>
          </w:p>
        </w:tc>
        <w:tc>
          <w:tcPr>
            <w:tcW w:w="1009" w:type="dxa"/>
            <w:tcBorders>
              <w:top w:val="nil"/>
              <w:left w:val="nil"/>
              <w:bottom w:val="single" w:color="auto" w:sz="4" w:space="0"/>
              <w:right w:val="single" w:color="auto" w:sz="4" w:space="0"/>
            </w:tcBorders>
            <w:vAlign w:val="center"/>
          </w:tcPr>
          <w:p w14:paraId="398C5403">
            <w:pPr>
              <w:widowControl/>
              <w:jc w:val="left"/>
              <w:rPr>
                <w:rFonts w:ascii="宋体" w:hAnsi="宋体"/>
                <w:szCs w:val="21"/>
              </w:rPr>
            </w:pPr>
            <w:r>
              <w:rPr>
                <w:rFonts w:ascii="宋体" w:hAnsi="宋体"/>
                <w:szCs w:val="21"/>
              </w:rPr>
              <w:t>Y＜100</w:t>
            </w:r>
          </w:p>
        </w:tc>
      </w:tr>
      <w:tr w14:paraId="320C3BBB">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vAlign w:val="bottom"/>
          </w:tcPr>
          <w:p w14:paraId="5A2C3269">
            <w:pPr>
              <w:widowControl/>
              <w:jc w:val="center"/>
              <w:rPr>
                <w:rFonts w:ascii="宋体" w:hAnsi="宋体"/>
                <w:szCs w:val="21"/>
              </w:rPr>
            </w:pPr>
            <w:r>
              <w:rPr>
                <w:rFonts w:ascii="宋体" w:hAnsi="宋体"/>
                <w:szCs w:val="21"/>
              </w:rPr>
              <w:t>交通运输业</w:t>
            </w:r>
          </w:p>
        </w:tc>
        <w:tc>
          <w:tcPr>
            <w:tcW w:w="1701" w:type="dxa"/>
            <w:tcBorders>
              <w:top w:val="nil"/>
              <w:left w:val="nil"/>
              <w:bottom w:val="single" w:color="auto" w:sz="4" w:space="0"/>
              <w:right w:val="single" w:color="auto" w:sz="4" w:space="0"/>
            </w:tcBorders>
            <w:vAlign w:val="center"/>
          </w:tcPr>
          <w:p w14:paraId="6C96DE1A">
            <w:pPr>
              <w:widowControl/>
              <w:jc w:val="left"/>
              <w:rPr>
                <w:rFonts w:ascii="宋体" w:hAnsi="宋体"/>
                <w:szCs w:val="21"/>
              </w:rPr>
            </w:pPr>
            <w:r>
              <w:rPr>
                <w:rFonts w:ascii="宋体" w:hAnsi="宋体"/>
                <w:szCs w:val="21"/>
              </w:rPr>
              <w:t>从业人员（X）</w:t>
            </w:r>
          </w:p>
        </w:tc>
        <w:tc>
          <w:tcPr>
            <w:tcW w:w="1134" w:type="dxa"/>
            <w:tcBorders>
              <w:top w:val="nil"/>
              <w:left w:val="nil"/>
              <w:bottom w:val="single" w:color="auto" w:sz="4" w:space="0"/>
              <w:right w:val="single" w:color="auto" w:sz="4" w:space="0"/>
            </w:tcBorders>
            <w:vAlign w:val="center"/>
          </w:tcPr>
          <w:p w14:paraId="72D3843A">
            <w:pPr>
              <w:widowControl/>
              <w:jc w:val="left"/>
              <w:rPr>
                <w:rFonts w:ascii="宋体" w:hAnsi="宋体"/>
                <w:szCs w:val="21"/>
              </w:rPr>
            </w:pPr>
            <w:r>
              <w:rPr>
                <w:rFonts w:ascii="宋体" w:hAnsi="宋体"/>
                <w:szCs w:val="21"/>
              </w:rPr>
              <w:t>人</w:t>
            </w:r>
          </w:p>
        </w:tc>
        <w:tc>
          <w:tcPr>
            <w:tcW w:w="1846" w:type="dxa"/>
            <w:tcBorders>
              <w:top w:val="nil"/>
              <w:left w:val="nil"/>
              <w:bottom w:val="single" w:color="auto" w:sz="4" w:space="0"/>
              <w:right w:val="single" w:color="auto" w:sz="4" w:space="0"/>
            </w:tcBorders>
            <w:vAlign w:val="center"/>
          </w:tcPr>
          <w:p w14:paraId="37849DC8">
            <w:pPr>
              <w:widowControl/>
              <w:jc w:val="left"/>
              <w:rPr>
                <w:rFonts w:ascii="宋体" w:hAnsi="宋体"/>
                <w:szCs w:val="21"/>
              </w:rPr>
            </w:pPr>
            <w:r>
              <w:rPr>
                <w:rFonts w:ascii="宋体" w:hAnsi="宋体"/>
                <w:szCs w:val="21"/>
              </w:rPr>
              <w:t>300≤X＜1000</w:t>
            </w:r>
          </w:p>
        </w:tc>
        <w:tc>
          <w:tcPr>
            <w:tcW w:w="1570" w:type="dxa"/>
            <w:tcBorders>
              <w:top w:val="nil"/>
              <w:left w:val="nil"/>
              <w:bottom w:val="single" w:color="auto" w:sz="4" w:space="0"/>
              <w:right w:val="single" w:color="auto" w:sz="4" w:space="0"/>
            </w:tcBorders>
            <w:vAlign w:val="center"/>
          </w:tcPr>
          <w:p w14:paraId="75A5CD1B">
            <w:pPr>
              <w:widowControl/>
              <w:jc w:val="left"/>
              <w:rPr>
                <w:rFonts w:ascii="宋体" w:hAnsi="宋体"/>
                <w:szCs w:val="21"/>
              </w:rPr>
            </w:pPr>
            <w:r>
              <w:rPr>
                <w:rFonts w:ascii="宋体" w:hAnsi="宋体"/>
                <w:szCs w:val="21"/>
              </w:rPr>
              <w:t>20≤X＜300</w:t>
            </w:r>
          </w:p>
        </w:tc>
        <w:tc>
          <w:tcPr>
            <w:tcW w:w="1009" w:type="dxa"/>
            <w:tcBorders>
              <w:top w:val="nil"/>
              <w:left w:val="nil"/>
              <w:bottom w:val="single" w:color="auto" w:sz="4" w:space="0"/>
              <w:right w:val="single" w:color="auto" w:sz="4" w:space="0"/>
            </w:tcBorders>
            <w:vAlign w:val="center"/>
          </w:tcPr>
          <w:p w14:paraId="74BA81A3">
            <w:pPr>
              <w:widowControl/>
              <w:jc w:val="left"/>
              <w:rPr>
                <w:rFonts w:ascii="宋体" w:hAnsi="宋体"/>
                <w:szCs w:val="21"/>
              </w:rPr>
            </w:pPr>
            <w:r>
              <w:rPr>
                <w:rFonts w:ascii="宋体" w:hAnsi="宋体"/>
                <w:szCs w:val="21"/>
              </w:rPr>
              <w:t>X＜20</w:t>
            </w:r>
          </w:p>
        </w:tc>
      </w:tr>
      <w:tr w14:paraId="1B7DA869">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vAlign w:val="center"/>
          </w:tcPr>
          <w:p w14:paraId="1A5C55F8">
            <w:pPr>
              <w:widowControl/>
              <w:jc w:val="left"/>
              <w:rPr>
                <w:rFonts w:ascii="宋体" w:hAnsi="宋体"/>
                <w:szCs w:val="21"/>
              </w:rPr>
            </w:pPr>
          </w:p>
        </w:tc>
        <w:tc>
          <w:tcPr>
            <w:tcW w:w="1701" w:type="dxa"/>
            <w:tcBorders>
              <w:top w:val="nil"/>
              <w:left w:val="nil"/>
              <w:bottom w:val="single" w:color="auto" w:sz="4" w:space="0"/>
              <w:right w:val="single" w:color="auto" w:sz="4" w:space="0"/>
            </w:tcBorders>
            <w:vAlign w:val="center"/>
          </w:tcPr>
          <w:p w14:paraId="635AC72F">
            <w:pPr>
              <w:widowControl/>
              <w:jc w:val="left"/>
              <w:rPr>
                <w:rFonts w:ascii="宋体" w:hAnsi="宋体"/>
                <w:szCs w:val="21"/>
              </w:rPr>
            </w:pPr>
            <w:r>
              <w:rPr>
                <w:rFonts w:ascii="宋体" w:hAnsi="宋体"/>
                <w:szCs w:val="21"/>
              </w:rPr>
              <w:t>营业收入（Y）</w:t>
            </w:r>
          </w:p>
        </w:tc>
        <w:tc>
          <w:tcPr>
            <w:tcW w:w="1134" w:type="dxa"/>
            <w:tcBorders>
              <w:top w:val="nil"/>
              <w:left w:val="nil"/>
              <w:bottom w:val="single" w:color="auto" w:sz="4" w:space="0"/>
              <w:right w:val="single" w:color="auto" w:sz="4" w:space="0"/>
            </w:tcBorders>
            <w:vAlign w:val="center"/>
          </w:tcPr>
          <w:p w14:paraId="2C9849D7">
            <w:pPr>
              <w:widowControl/>
              <w:jc w:val="left"/>
              <w:rPr>
                <w:rFonts w:ascii="宋体" w:hAnsi="宋体"/>
                <w:szCs w:val="21"/>
              </w:rPr>
            </w:pPr>
            <w:r>
              <w:rPr>
                <w:rFonts w:ascii="宋体" w:hAnsi="宋体"/>
                <w:szCs w:val="21"/>
              </w:rPr>
              <w:t>万元</w:t>
            </w:r>
          </w:p>
        </w:tc>
        <w:tc>
          <w:tcPr>
            <w:tcW w:w="1846" w:type="dxa"/>
            <w:tcBorders>
              <w:top w:val="nil"/>
              <w:left w:val="nil"/>
              <w:bottom w:val="single" w:color="auto" w:sz="4" w:space="0"/>
              <w:right w:val="single" w:color="auto" w:sz="4" w:space="0"/>
            </w:tcBorders>
            <w:vAlign w:val="center"/>
          </w:tcPr>
          <w:p w14:paraId="695588EE">
            <w:pPr>
              <w:widowControl/>
              <w:jc w:val="left"/>
              <w:rPr>
                <w:rFonts w:ascii="宋体" w:hAnsi="宋体"/>
                <w:szCs w:val="21"/>
              </w:rPr>
            </w:pPr>
            <w:r>
              <w:rPr>
                <w:rFonts w:ascii="宋体" w:hAnsi="宋体"/>
                <w:szCs w:val="21"/>
              </w:rPr>
              <w:t>3000≤Y＜30000</w:t>
            </w:r>
          </w:p>
        </w:tc>
        <w:tc>
          <w:tcPr>
            <w:tcW w:w="1570" w:type="dxa"/>
            <w:tcBorders>
              <w:top w:val="nil"/>
              <w:left w:val="nil"/>
              <w:bottom w:val="single" w:color="auto" w:sz="4" w:space="0"/>
              <w:right w:val="single" w:color="auto" w:sz="4" w:space="0"/>
            </w:tcBorders>
            <w:vAlign w:val="center"/>
          </w:tcPr>
          <w:p w14:paraId="11730BC6">
            <w:pPr>
              <w:widowControl/>
              <w:jc w:val="left"/>
              <w:rPr>
                <w:rFonts w:ascii="宋体" w:hAnsi="宋体"/>
                <w:szCs w:val="21"/>
              </w:rPr>
            </w:pPr>
            <w:r>
              <w:rPr>
                <w:rFonts w:ascii="宋体" w:hAnsi="宋体"/>
                <w:szCs w:val="21"/>
              </w:rPr>
              <w:t>200≤Y＜3000</w:t>
            </w:r>
          </w:p>
        </w:tc>
        <w:tc>
          <w:tcPr>
            <w:tcW w:w="1009" w:type="dxa"/>
            <w:tcBorders>
              <w:top w:val="nil"/>
              <w:left w:val="nil"/>
              <w:bottom w:val="single" w:color="auto" w:sz="4" w:space="0"/>
              <w:right w:val="single" w:color="auto" w:sz="4" w:space="0"/>
            </w:tcBorders>
            <w:vAlign w:val="center"/>
          </w:tcPr>
          <w:p w14:paraId="05976155">
            <w:pPr>
              <w:widowControl/>
              <w:jc w:val="left"/>
              <w:rPr>
                <w:rFonts w:ascii="宋体" w:hAnsi="宋体"/>
                <w:szCs w:val="21"/>
              </w:rPr>
            </w:pPr>
            <w:r>
              <w:rPr>
                <w:rFonts w:ascii="宋体" w:hAnsi="宋体"/>
                <w:szCs w:val="21"/>
              </w:rPr>
              <w:t>Y＜200</w:t>
            </w:r>
          </w:p>
        </w:tc>
      </w:tr>
      <w:tr w14:paraId="4A33E5F2">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vAlign w:val="bottom"/>
          </w:tcPr>
          <w:p w14:paraId="3EB29644">
            <w:pPr>
              <w:widowControl/>
              <w:jc w:val="center"/>
              <w:rPr>
                <w:rFonts w:ascii="宋体" w:hAnsi="宋体"/>
                <w:szCs w:val="21"/>
              </w:rPr>
            </w:pPr>
            <w:r>
              <w:rPr>
                <w:rFonts w:ascii="宋体" w:hAnsi="宋体"/>
                <w:szCs w:val="21"/>
              </w:rPr>
              <w:t>仓储业</w:t>
            </w:r>
          </w:p>
        </w:tc>
        <w:tc>
          <w:tcPr>
            <w:tcW w:w="1701" w:type="dxa"/>
            <w:tcBorders>
              <w:top w:val="nil"/>
              <w:left w:val="nil"/>
              <w:bottom w:val="single" w:color="auto" w:sz="4" w:space="0"/>
              <w:right w:val="single" w:color="auto" w:sz="4" w:space="0"/>
            </w:tcBorders>
            <w:vAlign w:val="center"/>
          </w:tcPr>
          <w:p w14:paraId="643B8B8A">
            <w:pPr>
              <w:widowControl/>
              <w:jc w:val="left"/>
              <w:rPr>
                <w:rFonts w:ascii="宋体" w:hAnsi="宋体"/>
                <w:szCs w:val="21"/>
              </w:rPr>
            </w:pPr>
            <w:r>
              <w:rPr>
                <w:rFonts w:ascii="宋体" w:hAnsi="宋体"/>
                <w:szCs w:val="21"/>
              </w:rPr>
              <w:t>从业人员（X）</w:t>
            </w:r>
          </w:p>
        </w:tc>
        <w:tc>
          <w:tcPr>
            <w:tcW w:w="1134" w:type="dxa"/>
            <w:tcBorders>
              <w:top w:val="nil"/>
              <w:left w:val="nil"/>
              <w:bottom w:val="single" w:color="auto" w:sz="4" w:space="0"/>
              <w:right w:val="single" w:color="auto" w:sz="4" w:space="0"/>
            </w:tcBorders>
            <w:vAlign w:val="center"/>
          </w:tcPr>
          <w:p w14:paraId="5B6508FE">
            <w:pPr>
              <w:widowControl/>
              <w:jc w:val="left"/>
              <w:rPr>
                <w:rFonts w:ascii="宋体" w:hAnsi="宋体"/>
                <w:szCs w:val="21"/>
              </w:rPr>
            </w:pPr>
            <w:r>
              <w:rPr>
                <w:rFonts w:ascii="宋体" w:hAnsi="宋体"/>
                <w:szCs w:val="21"/>
              </w:rPr>
              <w:t>人</w:t>
            </w:r>
          </w:p>
        </w:tc>
        <w:tc>
          <w:tcPr>
            <w:tcW w:w="1846" w:type="dxa"/>
            <w:tcBorders>
              <w:top w:val="nil"/>
              <w:left w:val="nil"/>
              <w:bottom w:val="single" w:color="auto" w:sz="4" w:space="0"/>
              <w:right w:val="single" w:color="auto" w:sz="4" w:space="0"/>
            </w:tcBorders>
            <w:vAlign w:val="center"/>
          </w:tcPr>
          <w:p w14:paraId="4E16ECA3">
            <w:pPr>
              <w:widowControl/>
              <w:jc w:val="left"/>
              <w:rPr>
                <w:rFonts w:ascii="宋体" w:hAnsi="宋体"/>
                <w:szCs w:val="21"/>
              </w:rPr>
            </w:pPr>
            <w:r>
              <w:rPr>
                <w:rFonts w:ascii="宋体" w:hAnsi="宋体"/>
                <w:szCs w:val="21"/>
              </w:rPr>
              <w:t>100≤X＜200</w:t>
            </w:r>
          </w:p>
        </w:tc>
        <w:tc>
          <w:tcPr>
            <w:tcW w:w="1570" w:type="dxa"/>
            <w:tcBorders>
              <w:top w:val="nil"/>
              <w:left w:val="nil"/>
              <w:bottom w:val="single" w:color="auto" w:sz="4" w:space="0"/>
              <w:right w:val="single" w:color="auto" w:sz="4" w:space="0"/>
            </w:tcBorders>
            <w:vAlign w:val="center"/>
          </w:tcPr>
          <w:p w14:paraId="6081066D">
            <w:pPr>
              <w:widowControl/>
              <w:jc w:val="left"/>
              <w:rPr>
                <w:rFonts w:ascii="宋体" w:hAnsi="宋体"/>
                <w:szCs w:val="21"/>
              </w:rPr>
            </w:pPr>
            <w:r>
              <w:rPr>
                <w:rFonts w:ascii="宋体" w:hAnsi="宋体"/>
                <w:szCs w:val="21"/>
              </w:rPr>
              <w:t>20≤X＜100</w:t>
            </w:r>
          </w:p>
        </w:tc>
        <w:tc>
          <w:tcPr>
            <w:tcW w:w="1009" w:type="dxa"/>
            <w:tcBorders>
              <w:top w:val="nil"/>
              <w:left w:val="nil"/>
              <w:bottom w:val="single" w:color="auto" w:sz="4" w:space="0"/>
              <w:right w:val="single" w:color="auto" w:sz="4" w:space="0"/>
            </w:tcBorders>
            <w:vAlign w:val="center"/>
          </w:tcPr>
          <w:p w14:paraId="50E05BF0">
            <w:pPr>
              <w:widowControl/>
              <w:jc w:val="left"/>
              <w:rPr>
                <w:rFonts w:ascii="宋体" w:hAnsi="宋体"/>
                <w:szCs w:val="21"/>
              </w:rPr>
            </w:pPr>
            <w:r>
              <w:rPr>
                <w:rFonts w:ascii="宋体" w:hAnsi="宋体"/>
                <w:szCs w:val="21"/>
              </w:rPr>
              <w:t>X＜20</w:t>
            </w:r>
          </w:p>
        </w:tc>
      </w:tr>
      <w:tr w14:paraId="3EAA13E8">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vAlign w:val="center"/>
          </w:tcPr>
          <w:p w14:paraId="44095400">
            <w:pPr>
              <w:widowControl/>
              <w:jc w:val="left"/>
              <w:rPr>
                <w:rFonts w:ascii="宋体" w:hAnsi="宋体"/>
                <w:szCs w:val="21"/>
              </w:rPr>
            </w:pPr>
          </w:p>
        </w:tc>
        <w:tc>
          <w:tcPr>
            <w:tcW w:w="1701" w:type="dxa"/>
            <w:tcBorders>
              <w:top w:val="nil"/>
              <w:left w:val="nil"/>
              <w:bottom w:val="single" w:color="auto" w:sz="4" w:space="0"/>
              <w:right w:val="single" w:color="auto" w:sz="4" w:space="0"/>
            </w:tcBorders>
            <w:vAlign w:val="center"/>
          </w:tcPr>
          <w:p w14:paraId="34E84ABC">
            <w:pPr>
              <w:widowControl/>
              <w:jc w:val="left"/>
              <w:rPr>
                <w:rFonts w:ascii="宋体" w:hAnsi="宋体"/>
                <w:szCs w:val="21"/>
              </w:rPr>
            </w:pPr>
            <w:r>
              <w:rPr>
                <w:rFonts w:ascii="宋体" w:hAnsi="宋体"/>
                <w:szCs w:val="21"/>
              </w:rPr>
              <w:t>营业收入（Y）</w:t>
            </w:r>
          </w:p>
        </w:tc>
        <w:tc>
          <w:tcPr>
            <w:tcW w:w="1134" w:type="dxa"/>
            <w:tcBorders>
              <w:top w:val="nil"/>
              <w:left w:val="nil"/>
              <w:bottom w:val="single" w:color="auto" w:sz="4" w:space="0"/>
              <w:right w:val="single" w:color="auto" w:sz="4" w:space="0"/>
            </w:tcBorders>
            <w:vAlign w:val="center"/>
          </w:tcPr>
          <w:p w14:paraId="4E87D3C1">
            <w:pPr>
              <w:widowControl/>
              <w:jc w:val="left"/>
              <w:rPr>
                <w:rFonts w:ascii="宋体" w:hAnsi="宋体"/>
                <w:szCs w:val="21"/>
              </w:rPr>
            </w:pPr>
            <w:r>
              <w:rPr>
                <w:rFonts w:ascii="宋体" w:hAnsi="宋体"/>
                <w:szCs w:val="21"/>
              </w:rPr>
              <w:t>万元</w:t>
            </w:r>
          </w:p>
        </w:tc>
        <w:tc>
          <w:tcPr>
            <w:tcW w:w="1846" w:type="dxa"/>
            <w:tcBorders>
              <w:top w:val="nil"/>
              <w:left w:val="nil"/>
              <w:bottom w:val="single" w:color="auto" w:sz="4" w:space="0"/>
              <w:right w:val="single" w:color="auto" w:sz="4" w:space="0"/>
            </w:tcBorders>
            <w:vAlign w:val="center"/>
          </w:tcPr>
          <w:p w14:paraId="4BD37B90">
            <w:pPr>
              <w:widowControl/>
              <w:jc w:val="left"/>
              <w:rPr>
                <w:rFonts w:ascii="宋体" w:hAnsi="宋体"/>
                <w:szCs w:val="21"/>
              </w:rPr>
            </w:pPr>
            <w:r>
              <w:rPr>
                <w:rFonts w:ascii="宋体" w:hAnsi="宋体"/>
                <w:szCs w:val="21"/>
              </w:rPr>
              <w:t>1000≤Y＜30000</w:t>
            </w:r>
          </w:p>
        </w:tc>
        <w:tc>
          <w:tcPr>
            <w:tcW w:w="1570" w:type="dxa"/>
            <w:tcBorders>
              <w:top w:val="nil"/>
              <w:left w:val="nil"/>
              <w:bottom w:val="single" w:color="auto" w:sz="4" w:space="0"/>
              <w:right w:val="single" w:color="auto" w:sz="4" w:space="0"/>
            </w:tcBorders>
            <w:vAlign w:val="center"/>
          </w:tcPr>
          <w:p w14:paraId="0B382519">
            <w:pPr>
              <w:widowControl/>
              <w:jc w:val="left"/>
              <w:rPr>
                <w:rFonts w:ascii="宋体" w:hAnsi="宋体"/>
                <w:szCs w:val="21"/>
              </w:rPr>
            </w:pPr>
            <w:r>
              <w:rPr>
                <w:rFonts w:ascii="宋体" w:hAnsi="宋体"/>
                <w:szCs w:val="21"/>
              </w:rPr>
              <w:t>100≤Y＜1000</w:t>
            </w:r>
          </w:p>
        </w:tc>
        <w:tc>
          <w:tcPr>
            <w:tcW w:w="1009" w:type="dxa"/>
            <w:tcBorders>
              <w:top w:val="nil"/>
              <w:left w:val="nil"/>
              <w:bottom w:val="single" w:color="auto" w:sz="4" w:space="0"/>
              <w:right w:val="single" w:color="auto" w:sz="4" w:space="0"/>
            </w:tcBorders>
            <w:vAlign w:val="center"/>
          </w:tcPr>
          <w:p w14:paraId="03F3E523">
            <w:pPr>
              <w:widowControl/>
              <w:jc w:val="left"/>
              <w:rPr>
                <w:rFonts w:ascii="宋体" w:hAnsi="宋体"/>
                <w:szCs w:val="21"/>
              </w:rPr>
            </w:pPr>
            <w:r>
              <w:rPr>
                <w:rFonts w:ascii="宋体" w:hAnsi="宋体"/>
                <w:szCs w:val="21"/>
              </w:rPr>
              <w:t>Y＜100</w:t>
            </w:r>
          </w:p>
        </w:tc>
      </w:tr>
      <w:tr w14:paraId="1FC36331">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vAlign w:val="bottom"/>
          </w:tcPr>
          <w:p w14:paraId="1DCA7ADC">
            <w:pPr>
              <w:widowControl/>
              <w:jc w:val="center"/>
              <w:rPr>
                <w:rFonts w:ascii="宋体" w:hAnsi="宋体"/>
                <w:szCs w:val="21"/>
              </w:rPr>
            </w:pPr>
            <w:r>
              <w:rPr>
                <w:rFonts w:ascii="宋体" w:hAnsi="宋体"/>
                <w:szCs w:val="21"/>
              </w:rPr>
              <w:t>邮政业</w:t>
            </w:r>
          </w:p>
        </w:tc>
        <w:tc>
          <w:tcPr>
            <w:tcW w:w="1701" w:type="dxa"/>
            <w:tcBorders>
              <w:top w:val="nil"/>
              <w:left w:val="nil"/>
              <w:bottom w:val="single" w:color="auto" w:sz="4" w:space="0"/>
              <w:right w:val="single" w:color="auto" w:sz="4" w:space="0"/>
            </w:tcBorders>
            <w:vAlign w:val="center"/>
          </w:tcPr>
          <w:p w14:paraId="7BD7F9A6">
            <w:pPr>
              <w:widowControl/>
              <w:jc w:val="left"/>
              <w:rPr>
                <w:rFonts w:ascii="宋体" w:hAnsi="宋体"/>
                <w:szCs w:val="21"/>
              </w:rPr>
            </w:pPr>
            <w:r>
              <w:rPr>
                <w:rFonts w:ascii="宋体" w:hAnsi="宋体"/>
                <w:szCs w:val="21"/>
              </w:rPr>
              <w:t>从业人员（X）</w:t>
            </w:r>
          </w:p>
        </w:tc>
        <w:tc>
          <w:tcPr>
            <w:tcW w:w="1134" w:type="dxa"/>
            <w:tcBorders>
              <w:top w:val="nil"/>
              <w:left w:val="nil"/>
              <w:bottom w:val="single" w:color="auto" w:sz="4" w:space="0"/>
              <w:right w:val="single" w:color="auto" w:sz="4" w:space="0"/>
            </w:tcBorders>
            <w:vAlign w:val="center"/>
          </w:tcPr>
          <w:p w14:paraId="27914A32">
            <w:pPr>
              <w:widowControl/>
              <w:jc w:val="left"/>
              <w:rPr>
                <w:rFonts w:ascii="宋体" w:hAnsi="宋体"/>
                <w:szCs w:val="21"/>
              </w:rPr>
            </w:pPr>
            <w:r>
              <w:rPr>
                <w:rFonts w:ascii="宋体" w:hAnsi="宋体"/>
                <w:szCs w:val="21"/>
              </w:rPr>
              <w:t>人</w:t>
            </w:r>
          </w:p>
        </w:tc>
        <w:tc>
          <w:tcPr>
            <w:tcW w:w="1846" w:type="dxa"/>
            <w:tcBorders>
              <w:top w:val="nil"/>
              <w:left w:val="nil"/>
              <w:bottom w:val="single" w:color="auto" w:sz="4" w:space="0"/>
              <w:right w:val="single" w:color="auto" w:sz="4" w:space="0"/>
            </w:tcBorders>
            <w:vAlign w:val="center"/>
          </w:tcPr>
          <w:p w14:paraId="0BD8216E">
            <w:pPr>
              <w:widowControl/>
              <w:jc w:val="left"/>
              <w:rPr>
                <w:rFonts w:ascii="宋体" w:hAnsi="宋体"/>
                <w:szCs w:val="21"/>
              </w:rPr>
            </w:pPr>
            <w:r>
              <w:rPr>
                <w:rFonts w:ascii="宋体" w:hAnsi="宋体"/>
                <w:szCs w:val="21"/>
              </w:rPr>
              <w:t>300≤X＜1000</w:t>
            </w:r>
          </w:p>
        </w:tc>
        <w:tc>
          <w:tcPr>
            <w:tcW w:w="1570" w:type="dxa"/>
            <w:tcBorders>
              <w:top w:val="nil"/>
              <w:left w:val="nil"/>
              <w:bottom w:val="single" w:color="auto" w:sz="4" w:space="0"/>
              <w:right w:val="single" w:color="auto" w:sz="4" w:space="0"/>
            </w:tcBorders>
            <w:vAlign w:val="center"/>
          </w:tcPr>
          <w:p w14:paraId="7D873473">
            <w:pPr>
              <w:widowControl/>
              <w:jc w:val="left"/>
              <w:rPr>
                <w:rFonts w:ascii="宋体" w:hAnsi="宋体"/>
                <w:szCs w:val="21"/>
              </w:rPr>
            </w:pPr>
            <w:r>
              <w:rPr>
                <w:rFonts w:ascii="宋体" w:hAnsi="宋体"/>
                <w:szCs w:val="21"/>
              </w:rPr>
              <w:t>20≤X＜300</w:t>
            </w:r>
          </w:p>
        </w:tc>
        <w:tc>
          <w:tcPr>
            <w:tcW w:w="1009" w:type="dxa"/>
            <w:tcBorders>
              <w:top w:val="nil"/>
              <w:left w:val="nil"/>
              <w:bottom w:val="single" w:color="auto" w:sz="4" w:space="0"/>
              <w:right w:val="single" w:color="auto" w:sz="4" w:space="0"/>
            </w:tcBorders>
            <w:vAlign w:val="center"/>
          </w:tcPr>
          <w:p w14:paraId="46F42885">
            <w:pPr>
              <w:widowControl/>
              <w:jc w:val="left"/>
              <w:rPr>
                <w:rFonts w:ascii="宋体" w:hAnsi="宋体"/>
                <w:szCs w:val="21"/>
              </w:rPr>
            </w:pPr>
            <w:r>
              <w:rPr>
                <w:rFonts w:ascii="宋体" w:hAnsi="宋体"/>
                <w:szCs w:val="21"/>
              </w:rPr>
              <w:t>X＜20</w:t>
            </w:r>
          </w:p>
        </w:tc>
      </w:tr>
      <w:tr w14:paraId="36D84B90">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vAlign w:val="center"/>
          </w:tcPr>
          <w:p w14:paraId="25C0FF5B">
            <w:pPr>
              <w:widowControl/>
              <w:jc w:val="left"/>
              <w:rPr>
                <w:rFonts w:ascii="宋体" w:hAnsi="宋体"/>
                <w:szCs w:val="21"/>
              </w:rPr>
            </w:pPr>
          </w:p>
        </w:tc>
        <w:tc>
          <w:tcPr>
            <w:tcW w:w="1701" w:type="dxa"/>
            <w:tcBorders>
              <w:top w:val="nil"/>
              <w:left w:val="nil"/>
              <w:bottom w:val="single" w:color="auto" w:sz="4" w:space="0"/>
              <w:right w:val="single" w:color="auto" w:sz="4" w:space="0"/>
            </w:tcBorders>
            <w:vAlign w:val="center"/>
          </w:tcPr>
          <w:p w14:paraId="78111481">
            <w:pPr>
              <w:widowControl/>
              <w:jc w:val="left"/>
              <w:rPr>
                <w:rFonts w:ascii="宋体" w:hAnsi="宋体"/>
                <w:szCs w:val="21"/>
              </w:rPr>
            </w:pPr>
            <w:r>
              <w:rPr>
                <w:rFonts w:ascii="宋体" w:hAnsi="宋体"/>
                <w:szCs w:val="21"/>
              </w:rPr>
              <w:t>营业收入（Y）</w:t>
            </w:r>
          </w:p>
        </w:tc>
        <w:tc>
          <w:tcPr>
            <w:tcW w:w="1134" w:type="dxa"/>
            <w:tcBorders>
              <w:top w:val="nil"/>
              <w:left w:val="nil"/>
              <w:bottom w:val="single" w:color="auto" w:sz="4" w:space="0"/>
              <w:right w:val="single" w:color="auto" w:sz="4" w:space="0"/>
            </w:tcBorders>
            <w:vAlign w:val="center"/>
          </w:tcPr>
          <w:p w14:paraId="424C9FE2">
            <w:pPr>
              <w:widowControl/>
              <w:jc w:val="left"/>
              <w:rPr>
                <w:rFonts w:ascii="宋体" w:hAnsi="宋体"/>
                <w:szCs w:val="21"/>
              </w:rPr>
            </w:pPr>
            <w:r>
              <w:rPr>
                <w:rFonts w:ascii="宋体" w:hAnsi="宋体"/>
                <w:szCs w:val="21"/>
              </w:rPr>
              <w:t>万元</w:t>
            </w:r>
          </w:p>
        </w:tc>
        <w:tc>
          <w:tcPr>
            <w:tcW w:w="1846" w:type="dxa"/>
            <w:tcBorders>
              <w:top w:val="nil"/>
              <w:left w:val="nil"/>
              <w:bottom w:val="single" w:color="auto" w:sz="4" w:space="0"/>
              <w:right w:val="single" w:color="auto" w:sz="4" w:space="0"/>
            </w:tcBorders>
            <w:vAlign w:val="center"/>
          </w:tcPr>
          <w:p w14:paraId="109E873B">
            <w:pPr>
              <w:widowControl/>
              <w:jc w:val="left"/>
              <w:rPr>
                <w:rFonts w:ascii="宋体" w:hAnsi="宋体"/>
                <w:szCs w:val="21"/>
              </w:rPr>
            </w:pPr>
            <w:r>
              <w:rPr>
                <w:rFonts w:ascii="宋体" w:hAnsi="宋体"/>
                <w:szCs w:val="21"/>
              </w:rPr>
              <w:t>2000≤Y＜30000</w:t>
            </w:r>
          </w:p>
        </w:tc>
        <w:tc>
          <w:tcPr>
            <w:tcW w:w="1570" w:type="dxa"/>
            <w:tcBorders>
              <w:top w:val="nil"/>
              <w:left w:val="nil"/>
              <w:bottom w:val="single" w:color="auto" w:sz="4" w:space="0"/>
              <w:right w:val="single" w:color="auto" w:sz="4" w:space="0"/>
            </w:tcBorders>
            <w:vAlign w:val="center"/>
          </w:tcPr>
          <w:p w14:paraId="2CB6AC04">
            <w:pPr>
              <w:widowControl/>
              <w:jc w:val="left"/>
              <w:rPr>
                <w:rFonts w:ascii="宋体" w:hAnsi="宋体"/>
                <w:szCs w:val="21"/>
              </w:rPr>
            </w:pPr>
            <w:r>
              <w:rPr>
                <w:rFonts w:ascii="宋体" w:hAnsi="宋体"/>
                <w:szCs w:val="21"/>
              </w:rPr>
              <w:t>100≤Y＜2000</w:t>
            </w:r>
          </w:p>
        </w:tc>
        <w:tc>
          <w:tcPr>
            <w:tcW w:w="1009" w:type="dxa"/>
            <w:tcBorders>
              <w:top w:val="nil"/>
              <w:left w:val="nil"/>
              <w:bottom w:val="single" w:color="auto" w:sz="4" w:space="0"/>
              <w:right w:val="single" w:color="auto" w:sz="4" w:space="0"/>
            </w:tcBorders>
            <w:vAlign w:val="center"/>
          </w:tcPr>
          <w:p w14:paraId="76F1D72A">
            <w:pPr>
              <w:widowControl/>
              <w:jc w:val="left"/>
              <w:rPr>
                <w:rFonts w:ascii="宋体" w:hAnsi="宋体"/>
                <w:szCs w:val="21"/>
              </w:rPr>
            </w:pPr>
            <w:r>
              <w:rPr>
                <w:rFonts w:ascii="宋体" w:hAnsi="宋体"/>
                <w:szCs w:val="21"/>
              </w:rPr>
              <w:t>Y＜100</w:t>
            </w:r>
          </w:p>
        </w:tc>
      </w:tr>
      <w:tr w14:paraId="7F537FB0">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vAlign w:val="bottom"/>
          </w:tcPr>
          <w:p w14:paraId="22D79CF8">
            <w:pPr>
              <w:widowControl/>
              <w:jc w:val="center"/>
              <w:rPr>
                <w:rFonts w:ascii="宋体" w:hAnsi="宋体"/>
                <w:szCs w:val="21"/>
              </w:rPr>
            </w:pPr>
            <w:r>
              <w:rPr>
                <w:rFonts w:ascii="宋体" w:hAnsi="宋体"/>
                <w:szCs w:val="21"/>
              </w:rPr>
              <w:t>住宿业</w:t>
            </w:r>
          </w:p>
        </w:tc>
        <w:tc>
          <w:tcPr>
            <w:tcW w:w="1701" w:type="dxa"/>
            <w:tcBorders>
              <w:top w:val="nil"/>
              <w:left w:val="nil"/>
              <w:bottom w:val="single" w:color="auto" w:sz="4" w:space="0"/>
              <w:right w:val="single" w:color="auto" w:sz="4" w:space="0"/>
            </w:tcBorders>
            <w:vAlign w:val="center"/>
          </w:tcPr>
          <w:p w14:paraId="44AD9EC6">
            <w:pPr>
              <w:widowControl/>
              <w:jc w:val="left"/>
              <w:rPr>
                <w:rFonts w:ascii="宋体" w:hAnsi="宋体"/>
                <w:szCs w:val="21"/>
              </w:rPr>
            </w:pPr>
            <w:r>
              <w:rPr>
                <w:rFonts w:ascii="宋体" w:hAnsi="宋体"/>
                <w:szCs w:val="21"/>
              </w:rPr>
              <w:t>从业人员（X）</w:t>
            </w:r>
          </w:p>
        </w:tc>
        <w:tc>
          <w:tcPr>
            <w:tcW w:w="1134" w:type="dxa"/>
            <w:tcBorders>
              <w:top w:val="nil"/>
              <w:left w:val="nil"/>
              <w:bottom w:val="single" w:color="auto" w:sz="4" w:space="0"/>
              <w:right w:val="single" w:color="auto" w:sz="4" w:space="0"/>
            </w:tcBorders>
            <w:vAlign w:val="center"/>
          </w:tcPr>
          <w:p w14:paraId="53B0F31C">
            <w:pPr>
              <w:widowControl/>
              <w:jc w:val="left"/>
              <w:rPr>
                <w:rFonts w:ascii="宋体" w:hAnsi="宋体"/>
                <w:szCs w:val="21"/>
              </w:rPr>
            </w:pPr>
            <w:r>
              <w:rPr>
                <w:rFonts w:ascii="宋体" w:hAnsi="宋体"/>
                <w:szCs w:val="21"/>
              </w:rPr>
              <w:t>人</w:t>
            </w:r>
          </w:p>
        </w:tc>
        <w:tc>
          <w:tcPr>
            <w:tcW w:w="1846" w:type="dxa"/>
            <w:tcBorders>
              <w:top w:val="nil"/>
              <w:left w:val="nil"/>
              <w:bottom w:val="single" w:color="auto" w:sz="4" w:space="0"/>
              <w:right w:val="single" w:color="auto" w:sz="4" w:space="0"/>
            </w:tcBorders>
            <w:vAlign w:val="center"/>
          </w:tcPr>
          <w:p w14:paraId="466B6990">
            <w:pPr>
              <w:widowControl/>
              <w:jc w:val="left"/>
              <w:rPr>
                <w:rFonts w:ascii="宋体" w:hAnsi="宋体"/>
                <w:szCs w:val="21"/>
              </w:rPr>
            </w:pPr>
            <w:r>
              <w:rPr>
                <w:rFonts w:ascii="宋体" w:hAnsi="宋体"/>
                <w:szCs w:val="21"/>
              </w:rPr>
              <w:t>100≤X＜300</w:t>
            </w:r>
          </w:p>
        </w:tc>
        <w:tc>
          <w:tcPr>
            <w:tcW w:w="1570" w:type="dxa"/>
            <w:tcBorders>
              <w:top w:val="nil"/>
              <w:left w:val="nil"/>
              <w:bottom w:val="single" w:color="auto" w:sz="4" w:space="0"/>
              <w:right w:val="single" w:color="auto" w:sz="4" w:space="0"/>
            </w:tcBorders>
            <w:vAlign w:val="center"/>
          </w:tcPr>
          <w:p w14:paraId="21BDA4D6">
            <w:pPr>
              <w:widowControl/>
              <w:jc w:val="left"/>
              <w:rPr>
                <w:rFonts w:ascii="宋体" w:hAnsi="宋体"/>
                <w:szCs w:val="21"/>
              </w:rPr>
            </w:pPr>
            <w:r>
              <w:rPr>
                <w:rFonts w:ascii="宋体" w:hAnsi="宋体"/>
                <w:szCs w:val="21"/>
              </w:rPr>
              <w:t>10≤X＜100</w:t>
            </w:r>
          </w:p>
        </w:tc>
        <w:tc>
          <w:tcPr>
            <w:tcW w:w="1009" w:type="dxa"/>
            <w:tcBorders>
              <w:top w:val="nil"/>
              <w:left w:val="nil"/>
              <w:bottom w:val="single" w:color="auto" w:sz="4" w:space="0"/>
              <w:right w:val="single" w:color="auto" w:sz="4" w:space="0"/>
            </w:tcBorders>
            <w:vAlign w:val="center"/>
          </w:tcPr>
          <w:p w14:paraId="03697253">
            <w:pPr>
              <w:widowControl/>
              <w:jc w:val="left"/>
              <w:rPr>
                <w:rFonts w:ascii="宋体" w:hAnsi="宋体"/>
                <w:szCs w:val="21"/>
              </w:rPr>
            </w:pPr>
            <w:r>
              <w:rPr>
                <w:rFonts w:ascii="宋体" w:hAnsi="宋体"/>
                <w:szCs w:val="21"/>
              </w:rPr>
              <w:t>X＜10</w:t>
            </w:r>
          </w:p>
        </w:tc>
      </w:tr>
      <w:tr w14:paraId="12E520AE">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vAlign w:val="center"/>
          </w:tcPr>
          <w:p w14:paraId="41568337">
            <w:pPr>
              <w:widowControl/>
              <w:jc w:val="left"/>
              <w:rPr>
                <w:rFonts w:ascii="宋体" w:hAnsi="宋体"/>
                <w:szCs w:val="21"/>
              </w:rPr>
            </w:pPr>
          </w:p>
        </w:tc>
        <w:tc>
          <w:tcPr>
            <w:tcW w:w="1701" w:type="dxa"/>
            <w:tcBorders>
              <w:top w:val="nil"/>
              <w:left w:val="nil"/>
              <w:bottom w:val="single" w:color="auto" w:sz="4" w:space="0"/>
              <w:right w:val="single" w:color="auto" w:sz="4" w:space="0"/>
            </w:tcBorders>
            <w:vAlign w:val="center"/>
          </w:tcPr>
          <w:p w14:paraId="2EF4AD9F">
            <w:pPr>
              <w:widowControl/>
              <w:jc w:val="left"/>
              <w:rPr>
                <w:rFonts w:ascii="宋体" w:hAnsi="宋体"/>
                <w:szCs w:val="21"/>
              </w:rPr>
            </w:pPr>
            <w:r>
              <w:rPr>
                <w:rFonts w:ascii="宋体" w:hAnsi="宋体"/>
                <w:szCs w:val="21"/>
              </w:rPr>
              <w:t>营业收入（Y）</w:t>
            </w:r>
          </w:p>
        </w:tc>
        <w:tc>
          <w:tcPr>
            <w:tcW w:w="1134" w:type="dxa"/>
            <w:tcBorders>
              <w:top w:val="nil"/>
              <w:left w:val="nil"/>
              <w:bottom w:val="single" w:color="auto" w:sz="4" w:space="0"/>
              <w:right w:val="single" w:color="auto" w:sz="4" w:space="0"/>
            </w:tcBorders>
            <w:vAlign w:val="center"/>
          </w:tcPr>
          <w:p w14:paraId="7BB58207">
            <w:pPr>
              <w:widowControl/>
              <w:jc w:val="left"/>
              <w:rPr>
                <w:rFonts w:ascii="宋体" w:hAnsi="宋体"/>
                <w:szCs w:val="21"/>
              </w:rPr>
            </w:pPr>
            <w:r>
              <w:rPr>
                <w:rFonts w:ascii="宋体" w:hAnsi="宋体"/>
                <w:szCs w:val="21"/>
              </w:rPr>
              <w:t>万元</w:t>
            </w:r>
          </w:p>
        </w:tc>
        <w:tc>
          <w:tcPr>
            <w:tcW w:w="1846" w:type="dxa"/>
            <w:tcBorders>
              <w:top w:val="nil"/>
              <w:left w:val="nil"/>
              <w:bottom w:val="single" w:color="auto" w:sz="4" w:space="0"/>
              <w:right w:val="single" w:color="auto" w:sz="4" w:space="0"/>
            </w:tcBorders>
            <w:vAlign w:val="center"/>
          </w:tcPr>
          <w:p w14:paraId="7D4A3B81">
            <w:pPr>
              <w:widowControl/>
              <w:jc w:val="left"/>
              <w:rPr>
                <w:rFonts w:ascii="宋体" w:hAnsi="宋体"/>
                <w:szCs w:val="21"/>
              </w:rPr>
            </w:pPr>
            <w:r>
              <w:rPr>
                <w:rFonts w:ascii="宋体" w:hAnsi="宋体"/>
                <w:szCs w:val="21"/>
              </w:rPr>
              <w:t>2000≤Y＜10000</w:t>
            </w:r>
          </w:p>
        </w:tc>
        <w:tc>
          <w:tcPr>
            <w:tcW w:w="1570" w:type="dxa"/>
            <w:tcBorders>
              <w:top w:val="nil"/>
              <w:left w:val="nil"/>
              <w:bottom w:val="single" w:color="auto" w:sz="4" w:space="0"/>
              <w:right w:val="single" w:color="auto" w:sz="4" w:space="0"/>
            </w:tcBorders>
            <w:vAlign w:val="center"/>
          </w:tcPr>
          <w:p w14:paraId="23D9B289">
            <w:pPr>
              <w:widowControl/>
              <w:jc w:val="left"/>
              <w:rPr>
                <w:rFonts w:ascii="宋体" w:hAnsi="宋体"/>
                <w:szCs w:val="21"/>
              </w:rPr>
            </w:pPr>
            <w:r>
              <w:rPr>
                <w:rFonts w:ascii="宋体" w:hAnsi="宋体"/>
                <w:szCs w:val="21"/>
              </w:rPr>
              <w:t>100≤Y＜2000</w:t>
            </w:r>
          </w:p>
        </w:tc>
        <w:tc>
          <w:tcPr>
            <w:tcW w:w="1009" w:type="dxa"/>
            <w:tcBorders>
              <w:top w:val="nil"/>
              <w:left w:val="nil"/>
              <w:bottom w:val="single" w:color="auto" w:sz="4" w:space="0"/>
              <w:right w:val="single" w:color="auto" w:sz="4" w:space="0"/>
            </w:tcBorders>
            <w:vAlign w:val="center"/>
          </w:tcPr>
          <w:p w14:paraId="71A2F02F">
            <w:pPr>
              <w:widowControl/>
              <w:jc w:val="left"/>
              <w:rPr>
                <w:rFonts w:ascii="宋体" w:hAnsi="宋体"/>
                <w:szCs w:val="21"/>
              </w:rPr>
            </w:pPr>
            <w:r>
              <w:rPr>
                <w:rFonts w:ascii="宋体" w:hAnsi="宋体"/>
                <w:szCs w:val="21"/>
              </w:rPr>
              <w:t>Y＜100</w:t>
            </w:r>
          </w:p>
        </w:tc>
      </w:tr>
      <w:tr w14:paraId="1D0DD645">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vAlign w:val="bottom"/>
          </w:tcPr>
          <w:p w14:paraId="7B23725F">
            <w:pPr>
              <w:widowControl/>
              <w:jc w:val="center"/>
              <w:rPr>
                <w:rFonts w:ascii="宋体" w:hAnsi="宋体"/>
                <w:szCs w:val="21"/>
              </w:rPr>
            </w:pPr>
            <w:r>
              <w:rPr>
                <w:rFonts w:ascii="宋体" w:hAnsi="宋体"/>
                <w:szCs w:val="21"/>
              </w:rPr>
              <w:t>餐饮业</w:t>
            </w:r>
          </w:p>
        </w:tc>
        <w:tc>
          <w:tcPr>
            <w:tcW w:w="1701" w:type="dxa"/>
            <w:tcBorders>
              <w:top w:val="nil"/>
              <w:left w:val="nil"/>
              <w:bottom w:val="single" w:color="auto" w:sz="4" w:space="0"/>
              <w:right w:val="single" w:color="auto" w:sz="4" w:space="0"/>
            </w:tcBorders>
            <w:vAlign w:val="center"/>
          </w:tcPr>
          <w:p w14:paraId="19E7AB70">
            <w:pPr>
              <w:widowControl/>
              <w:jc w:val="left"/>
              <w:rPr>
                <w:rFonts w:ascii="宋体" w:hAnsi="宋体"/>
                <w:szCs w:val="21"/>
              </w:rPr>
            </w:pPr>
            <w:r>
              <w:rPr>
                <w:rFonts w:ascii="宋体" w:hAnsi="宋体"/>
                <w:szCs w:val="21"/>
              </w:rPr>
              <w:t>从业人员（X）</w:t>
            </w:r>
          </w:p>
        </w:tc>
        <w:tc>
          <w:tcPr>
            <w:tcW w:w="1134" w:type="dxa"/>
            <w:tcBorders>
              <w:top w:val="nil"/>
              <w:left w:val="nil"/>
              <w:bottom w:val="single" w:color="auto" w:sz="4" w:space="0"/>
              <w:right w:val="single" w:color="auto" w:sz="4" w:space="0"/>
            </w:tcBorders>
            <w:vAlign w:val="center"/>
          </w:tcPr>
          <w:p w14:paraId="67A8A427">
            <w:pPr>
              <w:widowControl/>
              <w:jc w:val="left"/>
              <w:rPr>
                <w:rFonts w:ascii="宋体" w:hAnsi="宋体"/>
                <w:szCs w:val="21"/>
              </w:rPr>
            </w:pPr>
            <w:r>
              <w:rPr>
                <w:rFonts w:ascii="宋体" w:hAnsi="宋体"/>
                <w:szCs w:val="21"/>
              </w:rPr>
              <w:t>人</w:t>
            </w:r>
          </w:p>
        </w:tc>
        <w:tc>
          <w:tcPr>
            <w:tcW w:w="1846" w:type="dxa"/>
            <w:tcBorders>
              <w:top w:val="nil"/>
              <w:left w:val="nil"/>
              <w:bottom w:val="single" w:color="auto" w:sz="4" w:space="0"/>
              <w:right w:val="single" w:color="auto" w:sz="4" w:space="0"/>
            </w:tcBorders>
            <w:vAlign w:val="center"/>
          </w:tcPr>
          <w:p w14:paraId="4BAE5C69">
            <w:pPr>
              <w:widowControl/>
              <w:jc w:val="left"/>
              <w:rPr>
                <w:rFonts w:ascii="宋体" w:hAnsi="宋体"/>
                <w:szCs w:val="21"/>
              </w:rPr>
            </w:pPr>
            <w:r>
              <w:rPr>
                <w:rFonts w:ascii="宋体" w:hAnsi="宋体"/>
                <w:szCs w:val="21"/>
              </w:rPr>
              <w:t>100≤X＜300</w:t>
            </w:r>
          </w:p>
        </w:tc>
        <w:tc>
          <w:tcPr>
            <w:tcW w:w="1570" w:type="dxa"/>
            <w:tcBorders>
              <w:top w:val="nil"/>
              <w:left w:val="nil"/>
              <w:bottom w:val="single" w:color="auto" w:sz="4" w:space="0"/>
              <w:right w:val="single" w:color="auto" w:sz="4" w:space="0"/>
            </w:tcBorders>
            <w:vAlign w:val="center"/>
          </w:tcPr>
          <w:p w14:paraId="7B1C05BA">
            <w:pPr>
              <w:widowControl/>
              <w:jc w:val="left"/>
              <w:rPr>
                <w:rFonts w:ascii="宋体" w:hAnsi="宋体"/>
                <w:szCs w:val="21"/>
              </w:rPr>
            </w:pPr>
            <w:r>
              <w:rPr>
                <w:rFonts w:ascii="宋体" w:hAnsi="宋体"/>
                <w:szCs w:val="21"/>
              </w:rPr>
              <w:t>10≤X＜100</w:t>
            </w:r>
          </w:p>
        </w:tc>
        <w:tc>
          <w:tcPr>
            <w:tcW w:w="1009" w:type="dxa"/>
            <w:tcBorders>
              <w:top w:val="nil"/>
              <w:left w:val="nil"/>
              <w:bottom w:val="single" w:color="auto" w:sz="4" w:space="0"/>
              <w:right w:val="single" w:color="auto" w:sz="4" w:space="0"/>
            </w:tcBorders>
            <w:vAlign w:val="center"/>
          </w:tcPr>
          <w:p w14:paraId="7D14ABC0">
            <w:pPr>
              <w:widowControl/>
              <w:jc w:val="left"/>
              <w:rPr>
                <w:rFonts w:ascii="宋体" w:hAnsi="宋体"/>
                <w:szCs w:val="21"/>
              </w:rPr>
            </w:pPr>
            <w:r>
              <w:rPr>
                <w:rFonts w:ascii="宋体" w:hAnsi="宋体"/>
                <w:szCs w:val="21"/>
              </w:rPr>
              <w:t>X＜10</w:t>
            </w:r>
          </w:p>
        </w:tc>
      </w:tr>
      <w:tr w14:paraId="16CF9CA7">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vAlign w:val="center"/>
          </w:tcPr>
          <w:p w14:paraId="36E1CFBC">
            <w:pPr>
              <w:widowControl/>
              <w:jc w:val="left"/>
              <w:rPr>
                <w:rFonts w:ascii="宋体" w:hAnsi="宋体"/>
                <w:szCs w:val="21"/>
              </w:rPr>
            </w:pPr>
          </w:p>
        </w:tc>
        <w:tc>
          <w:tcPr>
            <w:tcW w:w="1701" w:type="dxa"/>
            <w:tcBorders>
              <w:top w:val="nil"/>
              <w:left w:val="nil"/>
              <w:bottom w:val="single" w:color="auto" w:sz="4" w:space="0"/>
              <w:right w:val="single" w:color="auto" w:sz="4" w:space="0"/>
            </w:tcBorders>
            <w:vAlign w:val="center"/>
          </w:tcPr>
          <w:p w14:paraId="0FEB41C2">
            <w:pPr>
              <w:widowControl/>
              <w:jc w:val="left"/>
              <w:rPr>
                <w:rFonts w:ascii="宋体" w:hAnsi="宋体"/>
                <w:szCs w:val="21"/>
              </w:rPr>
            </w:pPr>
            <w:r>
              <w:rPr>
                <w:rFonts w:ascii="宋体" w:hAnsi="宋体"/>
                <w:szCs w:val="21"/>
              </w:rPr>
              <w:t>营业收入（Y）</w:t>
            </w:r>
          </w:p>
        </w:tc>
        <w:tc>
          <w:tcPr>
            <w:tcW w:w="1134" w:type="dxa"/>
            <w:tcBorders>
              <w:top w:val="nil"/>
              <w:left w:val="nil"/>
              <w:bottom w:val="single" w:color="auto" w:sz="4" w:space="0"/>
              <w:right w:val="single" w:color="auto" w:sz="4" w:space="0"/>
            </w:tcBorders>
            <w:vAlign w:val="center"/>
          </w:tcPr>
          <w:p w14:paraId="4F465683">
            <w:pPr>
              <w:widowControl/>
              <w:jc w:val="left"/>
              <w:rPr>
                <w:rFonts w:ascii="宋体" w:hAnsi="宋体"/>
                <w:szCs w:val="21"/>
              </w:rPr>
            </w:pPr>
            <w:r>
              <w:rPr>
                <w:rFonts w:ascii="宋体" w:hAnsi="宋体"/>
                <w:szCs w:val="21"/>
              </w:rPr>
              <w:t>万元</w:t>
            </w:r>
          </w:p>
        </w:tc>
        <w:tc>
          <w:tcPr>
            <w:tcW w:w="1846" w:type="dxa"/>
            <w:tcBorders>
              <w:top w:val="nil"/>
              <w:left w:val="nil"/>
              <w:bottom w:val="single" w:color="auto" w:sz="4" w:space="0"/>
              <w:right w:val="single" w:color="auto" w:sz="4" w:space="0"/>
            </w:tcBorders>
            <w:vAlign w:val="center"/>
          </w:tcPr>
          <w:p w14:paraId="5871D1C8">
            <w:pPr>
              <w:widowControl/>
              <w:jc w:val="left"/>
              <w:rPr>
                <w:rFonts w:ascii="宋体" w:hAnsi="宋体"/>
                <w:szCs w:val="21"/>
              </w:rPr>
            </w:pPr>
            <w:r>
              <w:rPr>
                <w:rFonts w:ascii="宋体" w:hAnsi="宋体"/>
                <w:szCs w:val="21"/>
              </w:rPr>
              <w:t>2000≤Y＜10000</w:t>
            </w:r>
          </w:p>
        </w:tc>
        <w:tc>
          <w:tcPr>
            <w:tcW w:w="1570" w:type="dxa"/>
            <w:tcBorders>
              <w:top w:val="nil"/>
              <w:left w:val="nil"/>
              <w:bottom w:val="single" w:color="auto" w:sz="4" w:space="0"/>
              <w:right w:val="single" w:color="auto" w:sz="4" w:space="0"/>
            </w:tcBorders>
            <w:vAlign w:val="center"/>
          </w:tcPr>
          <w:p w14:paraId="2189B89B">
            <w:pPr>
              <w:widowControl/>
              <w:jc w:val="left"/>
              <w:rPr>
                <w:rFonts w:ascii="宋体" w:hAnsi="宋体"/>
                <w:szCs w:val="21"/>
              </w:rPr>
            </w:pPr>
            <w:r>
              <w:rPr>
                <w:rFonts w:ascii="宋体" w:hAnsi="宋体"/>
                <w:szCs w:val="21"/>
              </w:rPr>
              <w:t>100≤Y＜2000</w:t>
            </w:r>
          </w:p>
        </w:tc>
        <w:tc>
          <w:tcPr>
            <w:tcW w:w="1009" w:type="dxa"/>
            <w:tcBorders>
              <w:top w:val="nil"/>
              <w:left w:val="nil"/>
              <w:bottom w:val="single" w:color="auto" w:sz="4" w:space="0"/>
              <w:right w:val="single" w:color="auto" w:sz="4" w:space="0"/>
            </w:tcBorders>
            <w:vAlign w:val="center"/>
          </w:tcPr>
          <w:p w14:paraId="3B7BC8B5">
            <w:pPr>
              <w:widowControl/>
              <w:jc w:val="left"/>
              <w:rPr>
                <w:rFonts w:ascii="宋体" w:hAnsi="宋体"/>
                <w:szCs w:val="21"/>
              </w:rPr>
            </w:pPr>
            <w:r>
              <w:rPr>
                <w:rFonts w:ascii="宋体" w:hAnsi="宋体"/>
                <w:szCs w:val="21"/>
              </w:rPr>
              <w:t>Y＜100</w:t>
            </w:r>
          </w:p>
        </w:tc>
      </w:tr>
      <w:tr w14:paraId="04122BD8">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vAlign w:val="bottom"/>
          </w:tcPr>
          <w:p w14:paraId="35B95E6D">
            <w:pPr>
              <w:widowControl/>
              <w:jc w:val="center"/>
              <w:rPr>
                <w:rFonts w:ascii="宋体" w:hAnsi="宋体"/>
                <w:szCs w:val="21"/>
              </w:rPr>
            </w:pPr>
            <w:r>
              <w:rPr>
                <w:rFonts w:ascii="宋体" w:hAnsi="宋体"/>
                <w:szCs w:val="21"/>
              </w:rPr>
              <w:t>信息传输业</w:t>
            </w:r>
          </w:p>
        </w:tc>
        <w:tc>
          <w:tcPr>
            <w:tcW w:w="1701" w:type="dxa"/>
            <w:tcBorders>
              <w:top w:val="nil"/>
              <w:left w:val="nil"/>
              <w:bottom w:val="single" w:color="auto" w:sz="4" w:space="0"/>
              <w:right w:val="single" w:color="auto" w:sz="4" w:space="0"/>
            </w:tcBorders>
            <w:vAlign w:val="center"/>
          </w:tcPr>
          <w:p w14:paraId="23685870">
            <w:pPr>
              <w:widowControl/>
              <w:jc w:val="left"/>
              <w:rPr>
                <w:rFonts w:ascii="宋体" w:hAnsi="宋体"/>
                <w:szCs w:val="21"/>
              </w:rPr>
            </w:pPr>
            <w:r>
              <w:rPr>
                <w:rFonts w:ascii="宋体" w:hAnsi="宋体"/>
                <w:szCs w:val="21"/>
              </w:rPr>
              <w:t>从业人员（X）</w:t>
            </w:r>
          </w:p>
        </w:tc>
        <w:tc>
          <w:tcPr>
            <w:tcW w:w="1134" w:type="dxa"/>
            <w:tcBorders>
              <w:top w:val="nil"/>
              <w:left w:val="nil"/>
              <w:bottom w:val="single" w:color="auto" w:sz="4" w:space="0"/>
              <w:right w:val="single" w:color="auto" w:sz="4" w:space="0"/>
            </w:tcBorders>
            <w:vAlign w:val="center"/>
          </w:tcPr>
          <w:p w14:paraId="7515762F">
            <w:pPr>
              <w:widowControl/>
              <w:jc w:val="left"/>
              <w:rPr>
                <w:rFonts w:ascii="宋体" w:hAnsi="宋体"/>
                <w:szCs w:val="21"/>
              </w:rPr>
            </w:pPr>
            <w:r>
              <w:rPr>
                <w:rFonts w:ascii="宋体" w:hAnsi="宋体"/>
                <w:szCs w:val="21"/>
              </w:rPr>
              <w:t>人</w:t>
            </w:r>
          </w:p>
        </w:tc>
        <w:tc>
          <w:tcPr>
            <w:tcW w:w="1846" w:type="dxa"/>
            <w:tcBorders>
              <w:top w:val="nil"/>
              <w:left w:val="nil"/>
              <w:bottom w:val="single" w:color="auto" w:sz="4" w:space="0"/>
              <w:right w:val="single" w:color="auto" w:sz="4" w:space="0"/>
            </w:tcBorders>
            <w:vAlign w:val="center"/>
          </w:tcPr>
          <w:p w14:paraId="5363DD70">
            <w:pPr>
              <w:widowControl/>
              <w:jc w:val="left"/>
              <w:rPr>
                <w:rFonts w:ascii="宋体" w:hAnsi="宋体"/>
                <w:szCs w:val="21"/>
              </w:rPr>
            </w:pPr>
            <w:r>
              <w:rPr>
                <w:rFonts w:ascii="宋体" w:hAnsi="宋体"/>
                <w:szCs w:val="21"/>
              </w:rPr>
              <w:t>100≤X＜2000</w:t>
            </w:r>
          </w:p>
        </w:tc>
        <w:tc>
          <w:tcPr>
            <w:tcW w:w="1570" w:type="dxa"/>
            <w:tcBorders>
              <w:top w:val="nil"/>
              <w:left w:val="nil"/>
              <w:bottom w:val="single" w:color="auto" w:sz="4" w:space="0"/>
              <w:right w:val="single" w:color="auto" w:sz="4" w:space="0"/>
            </w:tcBorders>
            <w:vAlign w:val="center"/>
          </w:tcPr>
          <w:p w14:paraId="3932EEF9">
            <w:pPr>
              <w:widowControl/>
              <w:jc w:val="left"/>
              <w:rPr>
                <w:rFonts w:ascii="宋体" w:hAnsi="宋体"/>
                <w:szCs w:val="21"/>
              </w:rPr>
            </w:pPr>
            <w:r>
              <w:rPr>
                <w:rFonts w:ascii="宋体" w:hAnsi="宋体"/>
                <w:szCs w:val="21"/>
              </w:rPr>
              <w:t>10≤X＜100</w:t>
            </w:r>
          </w:p>
        </w:tc>
        <w:tc>
          <w:tcPr>
            <w:tcW w:w="1009" w:type="dxa"/>
            <w:tcBorders>
              <w:top w:val="nil"/>
              <w:left w:val="nil"/>
              <w:bottom w:val="single" w:color="auto" w:sz="4" w:space="0"/>
              <w:right w:val="single" w:color="auto" w:sz="4" w:space="0"/>
            </w:tcBorders>
            <w:vAlign w:val="center"/>
          </w:tcPr>
          <w:p w14:paraId="7206A5C3">
            <w:pPr>
              <w:widowControl/>
              <w:jc w:val="left"/>
              <w:rPr>
                <w:rFonts w:ascii="宋体" w:hAnsi="宋体"/>
                <w:szCs w:val="21"/>
              </w:rPr>
            </w:pPr>
            <w:r>
              <w:rPr>
                <w:rFonts w:ascii="宋体" w:hAnsi="宋体"/>
                <w:szCs w:val="21"/>
              </w:rPr>
              <w:t>X＜10</w:t>
            </w:r>
          </w:p>
        </w:tc>
      </w:tr>
      <w:tr w14:paraId="1773FB9F">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vAlign w:val="center"/>
          </w:tcPr>
          <w:p w14:paraId="4828B6A4">
            <w:pPr>
              <w:widowControl/>
              <w:jc w:val="left"/>
              <w:rPr>
                <w:rFonts w:ascii="宋体" w:hAnsi="宋体"/>
                <w:szCs w:val="21"/>
              </w:rPr>
            </w:pPr>
          </w:p>
        </w:tc>
        <w:tc>
          <w:tcPr>
            <w:tcW w:w="1701" w:type="dxa"/>
            <w:tcBorders>
              <w:top w:val="nil"/>
              <w:left w:val="nil"/>
              <w:bottom w:val="single" w:color="auto" w:sz="4" w:space="0"/>
              <w:right w:val="single" w:color="auto" w:sz="4" w:space="0"/>
            </w:tcBorders>
            <w:vAlign w:val="center"/>
          </w:tcPr>
          <w:p w14:paraId="5CF37BC1">
            <w:pPr>
              <w:widowControl/>
              <w:jc w:val="left"/>
              <w:rPr>
                <w:rFonts w:ascii="宋体" w:hAnsi="宋体"/>
                <w:szCs w:val="21"/>
              </w:rPr>
            </w:pPr>
            <w:r>
              <w:rPr>
                <w:rFonts w:ascii="宋体" w:hAnsi="宋体"/>
                <w:szCs w:val="21"/>
              </w:rPr>
              <w:t>营业收入（Y）</w:t>
            </w:r>
          </w:p>
        </w:tc>
        <w:tc>
          <w:tcPr>
            <w:tcW w:w="1134" w:type="dxa"/>
            <w:tcBorders>
              <w:top w:val="nil"/>
              <w:left w:val="nil"/>
              <w:bottom w:val="single" w:color="auto" w:sz="4" w:space="0"/>
              <w:right w:val="single" w:color="auto" w:sz="4" w:space="0"/>
            </w:tcBorders>
            <w:vAlign w:val="center"/>
          </w:tcPr>
          <w:p w14:paraId="03DF9493">
            <w:pPr>
              <w:widowControl/>
              <w:jc w:val="left"/>
              <w:rPr>
                <w:rFonts w:ascii="宋体" w:hAnsi="宋体"/>
                <w:szCs w:val="21"/>
              </w:rPr>
            </w:pPr>
            <w:r>
              <w:rPr>
                <w:rFonts w:ascii="宋体" w:hAnsi="宋体"/>
                <w:szCs w:val="21"/>
              </w:rPr>
              <w:t>万元</w:t>
            </w:r>
          </w:p>
        </w:tc>
        <w:tc>
          <w:tcPr>
            <w:tcW w:w="1846" w:type="dxa"/>
            <w:tcBorders>
              <w:top w:val="nil"/>
              <w:left w:val="nil"/>
              <w:bottom w:val="single" w:color="auto" w:sz="4" w:space="0"/>
              <w:right w:val="single" w:color="auto" w:sz="4" w:space="0"/>
            </w:tcBorders>
            <w:vAlign w:val="center"/>
          </w:tcPr>
          <w:p w14:paraId="33538FBD">
            <w:pPr>
              <w:widowControl/>
              <w:jc w:val="left"/>
              <w:rPr>
                <w:rFonts w:ascii="宋体" w:hAnsi="宋体"/>
                <w:szCs w:val="21"/>
              </w:rPr>
            </w:pPr>
            <w:r>
              <w:rPr>
                <w:rFonts w:ascii="宋体" w:hAnsi="宋体"/>
                <w:szCs w:val="21"/>
              </w:rPr>
              <w:t>1000≤Y＜100000</w:t>
            </w:r>
          </w:p>
        </w:tc>
        <w:tc>
          <w:tcPr>
            <w:tcW w:w="1570" w:type="dxa"/>
            <w:tcBorders>
              <w:top w:val="nil"/>
              <w:left w:val="nil"/>
              <w:bottom w:val="single" w:color="auto" w:sz="4" w:space="0"/>
              <w:right w:val="single" w:color="auto" w:sz="4" w:space="0"/>
            </w:tcBorders>
            <w:vAlign w:val="center"/>
          </w:tcPr>
          <w:p w14:paraId="27BE1250">
            <w:pPr>
              <w:widowControl/>
              <w:jc w:val="left"/>
              <w:rPr>
                <w:rFonts w:ascii="宋体" w:hAnsi="宋体"/>
                <w:szCs w:val="21"/>
              </w:rPr>
            </w:pPr>
            <w:r>
              <w:rPr>
                <w:rFonts w:ascii="宋体" w:hAnsi="宋体"/>
                <w:szCs w:val="21"/>
              </w:rPr>
              <w:t>100≤Y＜1000</w:t>
            </w:r>
          </w:p>
        </w:tc>
        <w:tc>
          <w:tcPr>
            <w:tcW w:w="1009" w:type="dxa"/>
            <w:tcBorders>
              <w:top w:val="nil"/>
              <w:left w:val="nil"/>
              <w:bottom w:val="single" w:color="auto" w:sz="4" w:space="0"/>
              <w:right w:val="single" w:color="auto" w:sz="4" w:space="0"/>
            </w:tcBorders>
            <w:vAlign w:val="center"/>
          </w:tcPr>
          <w:p w14:paraId="41D159EF">
            <w:pPr>
              <w:widowControl/>
              <w:jc w:val="left"/>
              <w:rPr>
                <w:rFonts w:ascii="宋体" w:hAnsi="宋体"/>
                <w:szCs w:val="21"/>
              </w:rPr>
            </w:pPr>
            <w:r>
              <w:rPr>
                <w:rFonts w:ascii="宋体" w:hAnsi="宋体"/>
                <w:szCs w:val="21"/>
              </w:rPr>
              <w:t>Y＜100</w:t>
            </w:r>
          </w:p>
        </w:tc>
      </w:tr>
      <w:tr w14:paraId="4C0B2294">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vAlign w:val="bottom"/>
          </w:tcPr>
          <w:p w14:paraId="5788B56A">
            <w:pPr>
              <w:widowControl/>
              <w:jc w:val="center"/>
              <w:rPr>
                <w:rFonts w:ascii="宋体" w:hAnsi="宋体"/>
                <w:szCs w:val="21"/>
              </w:rPr>
            </w:pPr>
            <w:r>
              <w:rPr>
                <w:rFonts w:ascii="宋体" w:hAnsi="宋体"/>
                <w:szCs w:val="21"/>
              </w:rPr>
              <w:t>软件和信息技术服务业</w:t>
            </w:r>
          </w:p>
        </w:tc>
        <w:tc>
          <w:tcPr>
            <w:tcW w:w="1701" w:type="dxa"/>
            <w:tcBorders>
              <w:top w:val="nil"/>
              <w:left w:val="nil"/>
              <w:bottom w:val="single" w:color="auto" w:sz="4" w:space="0"/>
              <w:right w:val="single" w:color="auto" w:sz="4" w:space="0"/>
            </w:tcBorders>
            <w:vAlign w:val="center"/>
          </w:tcPr>
          <w:p w14:paraId="32A47541">
            <w:pPr>
              <w:widowControl/>
              <w:jc w:val="left"/>
              <w:rPr>
                <w:rFonts w:ascii="宋体" w:hAnsi="宋体"/>
                <w:szCs w:val="21"/>
              </w:rPr>
            </w:pPr>
            <w:r>
              <w:rPr>
                <w:rFonts w:ascii="宋体" w:hAnsi="宋体"/>
                <w:szCs w:val="21"/>
              </w:rPr>
              <w:t>从业人员（X）</w:t>
            </w:r>
          </w:p>
        </w:tc>
        <w:tc>
          <w:tcPr>
            <w:tcW w:w="1134" w:type="dxa"/>
            <w:tcBorders>
              <w:top w:val="nil"/>
              <w:left w:val="nil"/>
              <w:bottom w:val="single" w:color="auto" w:sz="4" w:space="0"/>
              <w:right w:val="single" w:color="auto" w:sz="4" w:space="0"/>
            </w:tcBorders>
            <w:vAlign w:val="center"/>
          </w:tcPr>
          <w:p w14:paraId="6A331EF8">
            <w:pPr>
              <w:widowControl/>
              <w:jc w:val="left"/>
              <w:rPr>
                <w:rFonts w:ascii="宋体" w:hAnsi="宋体"/>
                <w:szCs w:val="21"/>
              </w:rPr>
            </w:pPr>
            <w:r>
              <w:rPr>
                <w:rFonts w:ascii="宋体" w:hAnsi="宋体"/>
                <w:szCs w:val="21"/>
              </w:rPr>
              <w:t>人</w:t>
            </w:r>
          </w:p>
        </w:tc>
        <w:tc>
          <w:tcPr>
            <w:tcW w:w="1846" w:type="dxa"/>
            <w:tcBorders>
              <w:top w:val="nil"/>
              <w:left w:val="nil"/>
              <w:bottom w:val="single" w:color="auto" w:sz="4" w:space="0"/>
              <w:right w:val="single" w:color="auto" w:sz="4" w:space="0"/>
            </w:tcBorders>
            <w:vAlign w:val="center"/>
          </w:tcPr>
          <w:p w14:paraId="46380090">
            <w:pPr>
              <w:widowControl/>
              <w:jc w:val="left"/>
              <w:rPr>
                <w:rFonts w:ascii="宋体" w:hAnsi="宋体"/>
                <w:szCs w:val="21"/>
              </w:rPr>
            </w:pPr>
            <w:r>
              <w:rPr>
                <w:rFonts w:ascii="宋体" w:hAnsi="宋体"/>
                <w:szCs w:val="21"/>
              </w:rPr>
              <w:t>100≤X＜300</w:t>
            </w:r>
          </w:p>
        </w:tc>
        <w:tc>
          <w:tcPr>
            <w:tcW w:w="1570" w:type="dxa"/>
            <w:tcBorders>
              <w:top w:val="nil"/>
              <w:left w:val="nil"/>
              <w:bottom w:val="single" w:color="auto" w:sz="4" w:space="0"/>
              <w:right w:val="single" w:color="auto" w:sz="4" w:space="0"/>
            </w:tcBorders>
            <w:vAlign w:val="center"/>
          </w:tcPr>
          <w:p w14:paraId="6D7A6070">
            <w:pPr>
              <w:widowControl/>
              <w:jc w:val="left"/>
              <w:rPr>
                <w:rFonts w:ascii="宋体" w:hAnsi="宋体"/>
                <w:szCs w:val="21"/>
              </w:rPr>
            </w:pPr>
            <w:r>
              <w:rPr>
                <w:rFonts w:ascii="宋体" w:hAnsi="宋体"/>
                <w:szCs w:val="21"/>
              </w:rPr>
              <w:t>10≤X＜100</w:t>
            </w:r>
          </w:p>
        </w:tc>
        <w:tc>
          <w:tcPr>
            <w:tcW w:w="1009" w:type="dxa"/>
            <w:tcBorders>
              <w:top w:val="nil"/>
              <w:left w:val="nil"/>
              <w:bottom w:val="single" w:color="auto" w:sz="4" w:space="0"/>
              <w:right w:val="single" w:color="auto" w:sz="4" w:space="0"/>
            </w:tcBorders>
            <w:vAlign w:val="center"/>
          </w:tcPr>
          <w:p w14:paraId="0AD29783">
            <w:pPr>
              <w:widowControl/>
              <w:jc w:val="left"/>
              <w:rPr>
                <w:rFonts w:ascii="宋体" w:hAnsi="宋体"/>
                <w:szCs w:val="21"/>
              </w:rPr>
            </w:pPr>
            <w:r>
              <w:rPr>
                <w:rFonts w:ascii="宋体" w:hAnsi="宋体"/>
                <w:szCs w:val="21"/>
              </w:rPr>
              <w:t>X＜10</w:t>
            </w:r>
          </w:p>
        </w:tc>
      </w:tr>
      <w:tr w14:paraId="052AC7A5">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vAlign w:val="center"/>
          </w:tcPr>
          <w:p w14:paraId="623A6520">
            <w:pPr>
              <w:widowControl/>
              <w:jc w:val="left"/>
              <w:rPr>
                <w:rFonts w:ascii="宋体" w:hAnsi="宋体"/>
                <w:szCs w:val="21"/>
              </w:rPr>
            </w:pPr>
          </w:p>
        </w:tc>
        <w:tc>
          <w:tcPr>
            <w:tcW w:w="1701" w:type="dxa"/>
            <w:tcBorders>
              <w:top w:val="nil"/>
              <w:left w:val="nil"/>
              <w:bottom w:val="single" w:color="auto" w:sz="4" w:space="0"/>
              <w:right w:val="single" w:color="auto" w:sz="4" w:space="0"/>
            </w:tcBorders>
            <w:vAlign w:val="center"/>
          </w:tcPr>
          <w:p w14:paraId="754662E6">
            <w:pPr>
              <w:widowControl/>
              <w:jc w:val="left"/>
              <w:rPr>
                <w:rFonts w:ascii="宋体" w:hAnsi="宋体"/>
                <w:szCs w:val="21"/>
              </w:rPr>
            </w:pPr>
            <w:r>
              <w:rPr>
                <w:rFonts w:ascii="宋体" w:hAnsi="宋体"/>
                <w:szCs w:val="21"/>
              </w:rPr>
              <w:t>营业收入（Y）</w:t>
            </w:r>
          </w:p>
        </w:tc>
        <w:tc>
          <w:tcPr>
            <w:tcW w:w="1134" w:type="dxa"/>
            <w:tcBorders>
              <w:top w:val="nil"/>
              <w:left w:val="nil"/>
              <w:bottom w:val="single" w:color="auto" w:sz="4" w:space="0"/>
              <w:right w:val="single" w:color="auto" w:sz="4" w:space="0"/>
            </w:tcBorders>
            <w:vAlign w:val="center"/>
          </w:tcPr>
          <w:p w14:paraId="284D0F70">
            <w:pPr>
              <w:widowControl/>
              <w:jc w:val="left"/>
              <w:rPr>
                <w:rFonts w:ascii="宋体" w:hAnsi="宋体"/>
                <w:szCs w:val="21"/>
              </w:rPr>
            </w:pPr>
            <w:r>
              <w:rPr>
                <w:rFonts w:ascii="宋体" w:hAnsi="宋体"/>
                <w:szCs w:val="21"/>
              </w:rPr>
              <w:t>万元</w:t>
            </w:r>
          </w:p>
        </w:tc>
        <w:tc>
          <w:tcPr>
            <w:tcW w:w="1846" w:type="dxa"/>
            <w:tcBorders>
              <w:top w:val="nil"/>
              <w:left w:val="nil"/>
              <w:bottom w:val="single" w:color="auto" w:sz="4" w:space="0"/>
              <w:right w:val="single" w:color="auto" w:sz="4" w:space="0"/>
            </w:tcBorders>
            <w:vAlign w:val="center"/>
          </w:tcPr>
          <w:p w14:paraId="2F55F529">
            <w:pPr>
              <w:widowControl/>
              <w:jc w:val="left"/>
              <w:rPr>
                <w:rFonts w:ascii="宋体" w:hAnsi="宋体"/>
                <w:szCs w:val="21"/>
              </w:rPr>
            </w:pPr>
            <w:r>
              <w:rPr>
                <w:rFonts w:ascii="宋体" w:hAnsi="宋体"/>
                <w:szCs w:val="21"/>
              </w:rPr>
              <w:t>1000≤Y＜10000</w:t>
            </w:r>
          </w:p>
        </w:tc>
        <w:tc>
          <w:tcPr>
            <w:tcW w:w="1570" w:type="dxa"/>
            <w:tcBorders>
              <w:top w:val="nil"/>
              <w:left w:val="nil"/>
              <w:bottom w:val="single" w:color="auto" w:sz="4" w:space="0"/>
              <w:right w:val="single" w:color="auto" w:sz="4" w:space="0"/>
            </w:tcBorders>
            <w:vAlign w:val="center"/>
          </w:tcPr>
          <w:p w14:paraId="0FAAE596">
            <w:pPr>
              <w:widowControl/>
              <w:jc w:val="left"/>
              <w:rPr>
                <w:rFonts w:ascii="宋体" w:hAnsi="宋体"/>
                <w:szCs w:val="21"/>
              </w:rPr>
            </w:pPr>
            <w:r>
              <w:rPr>
                <w:rFonts w:ascii="宋体" w:hAnsi="宋体"/>
                <w:szCs w:val="21"/>
              </w:rPr>
              <w:t>50≤Y＜1000</w:t>
            </w:r>
          </w:p>
        </w:tc>
        <w:tc>
          <w:tcPr>
            <w:tcW w:w="1009" w:type="dxa"/>
            <w:tcBorders>
              <w:top w:val="nil"/>
              <w:left w:val="nil"/>
              <w:bottom w:val="single" w:color="auto" w:sz="4" w:space="0"/>
              <w:right w:val="single" w:color="auto" w:sz="4" w:space="0"/>
            </w:tcBorders>
            <w:vAlign w:val="center"/>
          </w:tcPr>
          <w:p w14:paraId="2A366E1B">
            <w:pPr>
              <w:widowControl/>
              <w:jc w:val="left"/>
              <w:rPr>
                <w:rFonts w:ascii="宋体" w:hAnsi="宋体"/>
                <w:szCs w:val="21"/>
              </w:rPr>
            </w:pPr>
            <w:r>
              <w:rPr>
                <w:rFonts w:ascii="宋体" w:hAnsi="宋体"/>
                <w:szCs w:val="21"/>
              </w:rPr>
              <w:t>Y＜50</w:t>
            </w:r>
          </w:p>
        </w:tc>
      </w:tr>
      <w:tr w14:paraId="1FE3118F">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vAlign w:val="bottom"/>
          </w:tcPr>
          <w:p w14:paraId="5539C381">
            <w:pPr>
              <w:widowControl/>
              <w:jc w:val="center"/>
              <w:rPr>
                <w:rFonts w:ascii="宋体" w:hAnsi="宋体"/>
                <w:szCs w:val="21"/>
              </w:rPr>
            </w:pPr>
            <w:r>
              <w:rPr>
                <w:rFonts w:ascii="宋体" w:hAnsi="宋体"/>
                <w:szCs w:val="21"/>
              </w:rPr>
              <w:t>房地产开发经营</w:t>
            </w:r>
          </w:p>
        </w:tc>
        <w:tc>
          <w:tcPr>
            <w:tcW w:w="1701" w:type="dxa"/>
            <w:tcBorders>
              <w:top w:val="nil"/>
              <w:left w:val="nil"/>
              <w:bottom w:val="single" w:color="auto" w:sz="4" w:space="0"/>
              <w:right w:val="single" w:color="auto" w:sz="4" w:space="0"/>
            </w:tcBorders>
            <w:vAlign w:val="center"/>
          </w:tcPr>
          <w:p w14:paraId="240E1F68">
            <w:pPr>
              <w:widowControl/>
              <w:jc w:val="left"/>
              <w:rPr>
                <w:rFonts w:ascii="宋体" w:hAnsi="宋体"/>
                <w:szCs w:val="21"/>
              </w:rPr>
            </w:pPr>
            <w:r>
              <w:rPr>
                <w:rFonts w:ascii="宋体" w:hAnsi="宋体"/>
                <w:szCs w:val="21"/>
              </w:rPr>
              <w:t>营业收入（Y）</w:t>
            </w:r>
          </w:p>
        </w:tc>
        <w:tc>
          <w:tcPr>
            <w:tcW w:w="1134" w:type="dxa"/>
            <w:tcBorders>
              <w:top w:val="nil"/>
              <w:left w:val="nil"/>
              <w:bottom w:val="single" w:color="auto" w:sz="4" w:space="0"/>
              <w:right w:val="single" w:color="auto" w:sz="4" w:space="0"/>
            </w:tcBorders>
            <w:vAlign w:val="center"/>
          </w:tcPr>
          <w:p w14:paraId="4CD78FB4">
            <w:pPr>
              <w:widowControl/>
              <w:jc w:val="left"/>
              <w:rPr>
                <w:rFonts w:ascii="宋体" w:hAnsi="宋体"/>
                <w:szCs w:val="21"/>
              </w:rPr>
            </w:pPr>
            <w:r>
              <w:rPr>
                <w:rFonts w:ascii="宋体" w:hAnsi="宋体"/>
                <w:szCs w:val="21"/>
              </w:rPr>
              <w:t>万元</w:t>
            </w:r>
          </w:p>
        </w:tc>
        <w:tc>
          <w:tcPr>
            <w:tcW w:w="1846" w:type="dxa"/>
            <w:tcBorders>
              <w:top w:val="nil"/>
              <w:left w:val="nil"/>
              <w:bottom w:val="single" w:color="auto" w:sz="4" w:space="0"/>
              <w:right w:val="single" w:color="auto" w:sz="4" w:space="0"/>
            </w:tcBorders>
            <w:vAlign w:val="center"/>
          </w:tcPr>
          <w:p w14:paraId="04B0CBB4">
            <w:pPr>
              <w:widowControl/>
              <w:jc w:val="left"/>
              <w:rPr>
                <w:rFonts w:ascii="宋体" w:hAnsi="宋体"/>
                <w:szCs w:val="21"/>
              </w:rPr>
            </w:pPr>
            <w:r>
              <w:rPr>
                <w:rFonts w:ascii="宋体" w:hAnsi="宋体"/>
                <w:szCs w:val="21"/>
              </w:rPr>
              <w:t>1000≤Y＜200000</w:t>
            </w:r>
          </w:p>
        </w:tc>
        <w:tc>
          <w:tcPr>
            <w:tcW w:w="1570" w:type="dxa"/>
            <w:tcBorders>
              <w:top w:val="nil"/>
              <w:left w:val="nil"/>
              <w:bottom w:val="single" w:color="auto" w:sz="4" w:space="0"/>
              <w:right w:val="single" w:color="auto" w:sz="4" w:space="0"/>
            </w:tcBorders>
            <w:vAlign w:val="center"/>
          </w:tcPr>
          <w:p w14:paraId="0D836DAB">
            <w:pPr>
              <w:widowControl/>
              <w:jc w:val="left"/>
              <w:rPr>
                <w:rFonts w:ascii="宋体" w:hAnsi="宋体"/>
                <w:szCs w:val="21"/>
              </w:rPr>
            </w:pPr>
            <w:r>
              <w:rPr>
                <w:rFonts w:ascii="宋体" w:hAnsi="宋体"/>
                <w:szCs w:val="21"/>
              </w:rPr>
              <w:t>100≤X＜1000</w:t>
            </w:r>
          </w:p>
        </w:tc>
        <w:tc>
          <w:tcPr>
            <w:tcW w:w="1009" w:type="dxa"/>
            <w:tcBorders>
              <w:top w:val="nil"/>
              <w:left w:val="nil"/>
              <w:bottom w:val="single" w:color="auto" w:sz="4" w:space="0"/>
              <w:right w:val="single" w:color="auto" w:sz="4" w:space="0"/>
            </w:tcBorders>
            <w:vAlign w:val="center"/>
          </w:tcPr>
          <w:p w14:paraId="0612F238">
            <w:pPr>
              <w:widowControl/>
              <w:jc w:val="left"/>
              <w:rPr>
                <w:rFonts w:ascii="宋体" w:hAnsi="宋体"/>
                <w:szCs w:val="21"/>
              </w:rPr>
            </w:pPr>
            <w:r>
              <w:rPr>
                <w:rFonts w:ascii="宋体" w:hAnsi="宋体"/>
                <w:szCs w:val="21"/>
              </w:rPr>
              <w:t>X＜100</w:t>
            </w:r>
          </w:p>
        </w:tc>
      </w:tr>
      <w:tr w14:paraId="22FAFB7C">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vAlign w:val="center"/>
          </w:tcPr>
          <w:p w14:paraId="65254BCD">
            <w:pPr>
              <w:widowControl/>
              <w:jc w:val="left"/>
              <w:rPr>
                <w:rFonts w:ascii="宋体" w:hAnsi="宋体"/>
                <w:szCs w:val="21"/>
              </w:rPr>
            </w:pPr>
          </w:p>
        </w:tc>
        <w:tc>
          <w:tcPr>
            <w:tcW w:w="1701" w:type="dxa"/>
            <w:tcBorders>
              <w:top w:val="nil"/>
              <w:left w:val="nil"/>
              <w:bottom w:val="single" w:color="auto" w:sz="4" w:space="0"/>
              <w:right w:val="single" w:color="auto" w:sz="4" w:space="0"/>
            </w:tcBorders>
            <w:vAlign w:val="center"/>
          </w:tcPr>
          <w:p w14:paraId="62D9E1CB">
            <w:pPr>
              <w:widowControl/>
              <w:jc w:val="left"/>
              <w:rPr>
                <w:rFonts w:ascii="宋体" w:hAnsi="宋体"/>
                <w:szCs w:val="21"/>
              </w:rPr>
            </w:pPr>
            <w:r>
              <w:rPr>
                <w:rFonts w:ascii="宋体" w:hAnsi="宋体"/>
                <w:szCs w:val="21"/>
              </w:rPr>
              <w:t>资产总额（Z）</w:t>
            </w:r>
          </w:p>
        </w:tc>
        <w:tc>
          <w:tcPr>
            <w:tcW w:w="1134" w:type="dxa"/>
            <w:tcBorders>
              <w:top w:val="nil"/>
              <w:left w:val="nil"/>
              <w:bottom w:val="single" w:color="auto" w:sz="4" w:space="0"/>
              <w:right w:val="single" w:color="auto" w:sz="4" w:space="0"/>
            </w:tcBorders>
            <w:vAlign w:val="center"/>
          </w:tcPr>
          <w:p w14:paraId="5BB81F48">
            <w:pPr>
              <w:widowControl/>
              <w:jc w:val="left"/>
              <w:rPr>
                <w:rFonts w:ascii="宋体" w:hAnsi="宋体"/>
                <w:szCs w:val="21"/>
              </w:rPr>
            </w:pPr>
            <w:r>
              <w:rPr>
                <w:rFonts w:ascii="宋体" w:hAnsi="宋体"/>
                <w:szCs w:val="21"/>
              </w:rPr>
              <w:t>万元</w:t>
            </w:r>
          </w:p>
        </w:tc>
        <w:tc>
          <w:tcPr>
            <w:tcW w:w="1846" w:type="dxa"/>
            <w:tcBorders>
              <w:top w:val="nil"/>
              <w:left w:val="nil"/>
              <w:bottom w:val="single" w:color="auto" w:sz="4" w:space="0"/>
              <w:right w:val="single" w:color="auto" w:sz="4" w:space="0"/>
            </w:tcBorders>
            <w:vAlign w:val="center"/>
          </w:tcPr>
          <w:p w14:paraId="4194F4A2">
            <w:pPr>
              <w:widowControl/>
              <w:jc w:val="left"/>
              <w:rPr>
                <w:rFonts w:ascii="宋体" w:hAnsi="宋体"/>
                <w:szCs w:val="21"/>
              </w:rPr>
            </w:pPr>
            <w:r>
              <w:rPr>
                <w:rFonts w:ascii="宋体" w:hAnsi="宋体"/>
                <w:szCs w:val="21"/>
              </w:rPr>
              <w:t>5000≤Z＜10000</w:t>
            </w:r>
          </w:p>
        </w:tc>
        <w:tc>
          <w:tcPr>
            <w:tcW w:w="1570" w:type="dxa"/>
            <w:tcBorders>
              <w:top w:val="nil"/>
              <w:left w:val="nil"/>
              <w:bottom w:val="single" w:color="auto" w:sz="4" w:space="0"/>
              <w:right w:val="single" w:color="auto" w:sz="4" w:space="0"/>
            </w:tcBorders>
            <w:vAlign w:val="center"/>
          </w:tcPr>
          <w:p w14:paraId="0A79BEC6">
            <w:pPr>
              <w:widowControl/>
              <w:jc w:val="left"/>
              <w:rPr>
                <w:rFonts w:ascii="宋体" w:hAnsi="宋体"/>
                <w:szCs w:val="21"/>
              </w:rPr>
            </w:pPr>
            <w:r>
              <w:rPr>
                <w:rFonts w:ascii="宋体" w:hAnsi="宋体"/>
                <w:szCs w:val="21"/>
              </w:rPr>
              <w:t>2000≤Y＜5000</w:t>
            </w:r>
          </w:p>
        </w:tc>
        <w:tc>
          <w:tcPr>
            <w:tcW w:w="1009" w:type="dxa"/>
            <w:tcBorders>
              <w:top w:val="nil"/>
              <w:left w:val="nil"/>
              <w:bottom w:val="single" w:color="auto" w:sz="4" w:space="0"/>
              <w:right w:val="single" w:color="auto" w:sz="4" w:space="0"/>
            </w:tcBorders>
            <w:vAlign w:val="center"/>
          </w:tcPr>
          <w:p w14:paraId="7B987630">
            <w:pPr>
              <w:widowControl/>
              <w:jc w:val="left"/>
              <w:rPr>
                <w:rFonts w:ascii="宋体" w:hAnsi="宋体"/>
                <w:szCs w:val="21"/>
              </w:rPr>
            </w:pPr>
            <w:r>
              <w:rPr>
                <w:rFonts w:ascii="宋体" w:hAnsi="宋体"/>
                <w:szCs w:val="21"/>
              </w:rPr>
              <w:t>Y＜2000</w:t>
            </w:r>
          </w:p>
        </w:tc>
      </w:tr>
      <w:tr w14:paraId="5F0CDDDA">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vAlign w:val="bottom"/>
          </w:tcPr>
          <w:p w14:paraId="118E9B31">
            <w:pPr>
              <w:widowControl/>
              <w:jc w:val="center"/>
              <w:rPr>
                <w:rFonts w:ascii="宋体" w:hAnsi="宋体"/>
                <w:szCs w:val="21"/>
              </w:rPr>
            </w:pPr>
            <w:r>
              <w:rPr>
                <w:rFonts w:ascii="宋体" w:hAnsi="宋体"/>
                <w:szCs w:val="21"/>
              </w:rPr>
              <w:t>物业管理</w:t>
            </w:r>
          </w:p>
        </w:tc>
        <w:tc>
          <w:tcPr>
            <w:tcW w:w="1701" w:type="dxa"/>
            <w:tcBorders>
              <w:top w:val="nil"/>
              <w:left w:val="nil"/>
              <w:bottom w:val="single" w:color="auto" w:sz="4" w:space="0"/>
              <w:right w:val="single" w:color="auto" w:sz="4" w:space="0"/>
            </w:tcBorders>
            <w:vAlign w:val="center"/>
          </w:tcPr>
          <w:p w14:paraId="26E463CB">
            <w:pPr>
              <w:widowControl/>
              <w:jc w:val="left"/>
              <w:rPr>
                <w:rFonts w:ascii="宋体" w:hAnsi="宋体"/>
                <w:szCs w:val="21"/>
              </w:rPr>
            </w:pPr>
            <w:r>
              <w:rPr>
                <w:rFonts w:ascii="宋体" w:hAnsi="宋体"/>
                <w:szCs w:val="21"/>
              </w:rPr>
              <w:t>从业人员（X）</w:t>
            </w:r>
          </w:p>
        </w:tc>
        <w:tc>
          <w:tcPr>
            <w:tcW w:w="1134" w:type="dxa"/>
            <w:tcBorders>
              <w:top w:val="nil"/>
              <w:left w:val="nil"/>
              <w:bottom w:val="single" w:color="auto" w:sz="4" w:space="0"/>
              <w:right w:val="single" w:color="auto" w:sz="4" w:space="0"/>
            </w:tcBorders>
            <w:vAlign w:val="center"/>
          </w:tcPr>
          <w:p w14:paraId="22D5370B">
            <w:pPr>
              <w:widowControl/>
              <w:jc w:val="left"/>
              <w:rPr>
                <w:rFonts w:ascii="宋体" w:hAnsi="宋体"/>
                <w:szCs w:val="21"/>
              </w:rPr>
            </w:pPr>
            <w:r>
              <w:rPr>
                <w:rFonts w:ascii="宋体" w:hAnsi="宋体"/>
                <w:szCs w:val="21"/>
              </w:rPr>
              <w:t>人</w:t>
            </w:r>
          </w:p>
        </w:tc>
        <w:tc>
          <w:tcPr>
            <w:tcW w:w="1846" w:type="dxa"/>
            <w:tcBorders>
              <w:top w:val="nil"/>
              <w:left w:val="nil"/>
              <w:bottom w:val="single" w:color="auto" w:sz="4" w:space="0"/>
              <w:right w:val="single" w:color="auto" w:sz="4" w:space="0"/>
            </w:tcBorders>
            <w:vAlign w:val="center"/>
          </w:tcPr>
          <w:p w14:paraId="68AD61BB">
            <w:pPr>
              <w:widowControl/>
              <w:jc w:val="left"/>
              <w:rPr>
                <w:rFonts w:ascii="宋体" w:hAnsi="宋体"/>
                <w:szCs w:val="21"/>
              </w:rPr>
            </w:pPr>
            <w:r>
              <w:rPr>
                <w:rFonts w:ascii="宋体" w:hAnsi="宋体"/>
                <w:szCs w:val="21"/>
              </w:rPr>
              <w:t>300≤X＜1000</w:t>
            </w:r>
          </w:p>
        </w:tc>
        <w:tc>
          <w:tcPr>
            <w:tcW w:w="1570" w:type="dxa"/>
            <w:tcBorders>
              <w:top w:val="nil"/>
              <w:left w:val="nil"/>
              <w:bottom w:val="single" w:color="auto" w:sz="4" w:space="0"/>
              <w:right w:val="single" w:color="auto" w:sz="4" w:space="0"/>
            </w:tcBorders>
            <w:vAlign w:val="center"/>
          </w:tcPr>
          <w:p w14:paraId="5E8B40BD">
            <w:pPr>
              <w:widowControl/>
              <w:jc w:val="left"/>
              <w:rPr>
                <w:rFonts w:ascii="宋体" w:hAnsi="宋体"/>
                <w:szCs w:val="21"/>
              </w:rPr>
            </w:pPr>
            <w:r>
              <w:rPr>
                <w:rFonts w:ascii="宋体" w:hAnsi="宋体"/>
                <w:szCs w:val="21"/>
              </w:rPr>
              <w:t>100≤X＜300</w:t>
            </w:r>
          </w:p>
        </w:tc>
        <w:tc>
          <w:tcPr>
            <w:tcW w:w="1009" w:type="dxa"/>
            <w:tcBorders>
              <w:top w:val="nil"/>
              <w:left w:val="nil"/>
              <w:bottom w:val="single" w:color="auto" w:sz="4" w:space="0"/>
              <w:right w:val="single" w:color="auto" w:sz="4" w:space="0"/>
            </w:tcBorders>
            <w:vAlign w:val="center"/>
          </w:tcPr>
          <w:p w14:paraId="1F3F6B87">
            <w:pPr>
              <w:widowControl/>
              <w:jc w:val="left"/>
              <w:rPr>
                <w:rFonts w:ascii="宋体" w:hAnsi="宋体"/>
                <w:szCs w:val="21"/>
              </w:rPr>
            </w:pPr>
            <w:r>
              <w:rPr>
                <w:rFonts w:ascii="宋体" w:hAnsi="宋体"/>
                <w:szCs w:val="21"/>
              </w:rPr>
              <w:t>X＜100</w:t>
            </w:r>
          </w:p>
        </w:tc>
      </w:tr>
      <w:tr w14:paraId="1442558E">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vAlign w:val="center"/>
          </w:tcPr>
          <w:p w14:paraId="0BA7DCCC">
            <w:pPr>
              <w:widowControl/>
              <w:jc w:val="left"/>
              <w:rPr>
                <w:rFonts w:ascii="宋体" w:hAnsi="宋体"/>
                <w:szCs w:val="21"/>
              </w:rPr>
            </w:pPr>
          </w:p>
        </w:tc>
        <w:tc>
          <w:tcPr>
            <w:tcW w:w="1701" w:type="dxa"/>
            <w:tcBorders>
              <w:top w:val="nil"/>
              <w:left w:val="nil"/>
              <w:bottom w:val="single" w:color="auto" w:sz="4" w:space="0"/>
              <w:right w:val="single" w:color="auto" w:sz="4" w:space="0"/>
            </w:tcBorders>
            <w:vAlign w:val="center"/>
          </w:tcPr>
          <w:p w14:paraId="41CE4777">
            <w:pPr>
              <w:widowControl/>
              <w:jc w:val="left"/>
              <w:rPr>
                <w:rFonts w:ascii="宋体" w:hAnsi="宋体"/>
                <w:szCs w:val="21"/>
              </w:rPr>
            </w:pPr>
            <w:r>
              <w:rPr>
                <w:rFonts w:ascii="宋体" w:hAnsi="宋体"/>
                <w:szCs w:val="21"/>
              </w:rPr>
              <w:t>营业收入（Y）</w:t>
            </w:r>
          </w:p>
        </w:tc>
        <w:tc>
          <w:tcPr>
            <w:tcW w:w="1134" w:type="dxa"/>
            <w:tcBorders>
              <w:top w:val="nil"/>
              <w:left w:val="nil"/>
              <w:bottom w:val="single" w:color="auto" w:sz="4" w:space="0"/>
              <w:right w:val="single" w:color="auto" w:sz="4" w:space="0"/>
            </w:tcBorders>
            <w:vAlign w:val="center"/>
          </w:tcPr>
          <w:p w14:paraId="21987367">
            <w:pPr>
              <w:widowControl/>
              <w:jc w:val="left"/>
              <w:rPr>
                <w:rFonts w:ascii="宋体" w:hAnsi="宋体"/>
                <w:szCs w:val="21"/>
              </w:rPr>
            </w:pPr>
            <w:r>
              <w:rPr>
                <w:rFonts w:ascii="宋体" w:hAnsi="宋体"/>
                <w:szCs w:val="21"/>
              </w:rPr>
              <w:t>万元</w:t>
            </w:r>
          </w:p>
        </w:tc>
        <w:tc>
          <w:tcPr>
            <w:tcW w:w="1846" w:type="dxa"/>
            <w:tcBorders>
              <w:top w:val="nil"/>
              <w:left w:val="nil"/>
              <w:bottom w:val="single" w:color="auto" w:sz="4" w:space="0"/>
              <w:right w:val="single" w:color="auto" w:sz="4" w:space="0"/>
            </w:tcBorders>
            <w:vAlign w:val="center"/>
          </w:tcPr>
          <w:p w14:paraId="709001B8">
            <w:pPr>
              <w:widowControl/>
              <w:jc w:val="left"/>
              <w:rPr>
                <w:rFonts w:ascii="宋体" w:hAnsi="宋体"/>
                <w:szCs w:val="21"/>
              </w:rPr>
            </w:pPr>
            <w:r>
              <w:rPr>
                <w:rFonts w:ascii="宋体" w:hAnsi="宋体"/>
                <w:szCs w:val="21"/>
              </w:rPr>
              <w:t>1000≤Y＜5000</w:t>
            </w:r>
          </w:p>
        </w:tc>
        <w:tc>
          <w:tcPr>
            <w:tcW w:w="1570" w:type="dxa"/>
            <w:tcBorders>
              <w:top w:val="nil"/>
              <w:left w:val="nil"/>
              <w:bottom w:val="single" w:color="auto" w:sz="4" w:space="0"/>
              <w:right w:val="single" w:color="auto" w:sz="4" w:space="0"/>
            </w:tcBorders>
            <w:vAlign w:val="center"/>
          </w:tcPr>
          <w:p w14:paraId="5F9EDEBC">
            <w:pPr>
              <w:widowControl/>
              <w:jc w:val="left"/>
              <w:rPr>
                <w:rFonts w:ascii="宋体" w:hAnsi="宋体"/>
                <w:szCs w:val="21"/>
              </w:rPr>
            </w:pPr>
            <w:r>
              <w:rPr>
                <w:rFonts w:ascii="宋体" w:hAnsi="宋体"/>
                <w:szCs w:val="21"/>
              </w:rPr>
              <w:t>500≤Y＜1000</w:t>
            </w:r>
          </w:p>
        </w:tc>
        <w:tc>
          <w:tcPr>
            <w:tcW w:w="1009" w:type="dxa"/>
            <w:tcBorders>
              <w:top w:val="nil"/>
              <w:left w:val="nil"/>
              <w:bottom w:val="single" w:color="auto" w:sz="4" w:space="0"/>
              <w:right w:val="single" w:color="auto" w:sz="4" w:space="0"/>
            </w:tcBorders>
            <w:vAlign w:val="center"/>
          </w:tcPr>
          <w:p w14:paraId="6CD3CBE7">
            <w:pPr>
              <w:widowControl/>
              <w:jc w:val="left"/>
              <w:rPr>
                <w:rFonts w:ascii="宋体" w:hAnsi="宋体"/>
                <w:szCs w:val="21"/>
              </w:rPr>
            </w:pPr>
            <w:r>
              <w:rPr>
                <w:rFonts w:ascii="宋体" w:hAnsi="宋体"/>
                <w:szCs w:val="21"/>
              </w:rPr>
              <w:t>Y＜500</w:t>
            </w:r>
          </w:p>
        </w:tc>
      </w:tr>
      <w:tr w14:paraId="5D98A906">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vAlign w:val="bottom"/>
          </w:tcPr>
          <w:p w14:paraId="4FD8ED25">
            <w:pPr>
              <w:widowControl/>
              <w:jc w:val="center"/>
              <w:rPr>
                <w:rFonts w:ascii="宋体" w:hAnsi="宋体"/>
                <w:szCs w:val="21"/>
              </w:rPr>
            </w:pPr>
            <w:r>
              <w:rPr>
                <w:rFonts w:ascii="宋体" w:hAnsi="宋体"/>
                <w:szCs w:val="21"/>
              </w:rPr>
              <w:t>租赁和商务服务业</w:t>
            </w:r>
          </w:p>
        </w:tc>
        <w:tc>
          <w:tcPr>
            <w:tcW w:w="1701" w:type="dxa"/>
            <w:tcBorders>
              <w:top w:val="nil"/>
              <w:left w:val="nil"/>
              <w:bottom w:val="single" w:color="auto" w:sz="4" w:space="0"/>
              <w:right w:val="single" w:color="auto" w:sz="4" w:space="0"/>
            </w:tcBorders>
            <w:vAlign w:val="center"/>
          </w:tcPr>
          <w:p w14:paraId="500E85FF">
            <w:pPr>
              <w:widowControl/>
              <w:jc w:val="left"/>
              <w:rPr>
                <w:rFonts w:ascii="宋体" w:hAnsi="宋体"/>
                <w:szCs w:val="21"/>
              </w:rPr>
            </w:pPr>
            <w:r>
              <w:rPr>
                <w:rFonts w:ascii="宋体" w:hAnsi="宋体"/>
                <w:szCs w:val="21"/>
              </w:rPr>
              <w:t>从业人员（X）</w:t>
            </w:r>
          </w:p>
        </w:tc>
        <w:tc>
          <w:tcPr>
            <w:tcW w:w="1134" w:type="dxa"/>
            <w:tcBorders>
              <w:top w:val="nil"/>
              <w:left w:val="nil"/>
              <w:bottom w:val="single" w:color="auto" w:sz="4" w:space="0"/>
              <w:right w:val="single" w:color="auto" w:sz="4" w:space="0"/>
            </w:tcBorders>
            <w:vAlign w:val="center"/>
          </w:tcPr>
          <w:p w14:paraId="58377482">
            <w:pPr>
              <w:widowControl/>
              <w:jc w:val="left"/>
              <w:rPr>
                <w:rFonts w:ascii="宋体" w:hAnsi="宋体"/>
                <w:szCs w:val="21"/>
              </w:rPr>
            </w:pPr>
            <w:r>
              <w:rPr>
                <w:rFonts w:ascii="宋体" w:hAnsi="宋体"/>
                <w:szCs w:val="21"/>
              </w:rPr>
              <w:t>人</w:t>
            </w:r>
          </w:p>
        </w:tc>
        <w:tc>
          <w:tcPr>
            <w:tcW w:w="1846" w:type="dxa"/>
            <w:tcBorders>
              <w:top w:val="nil"/>
              <w:left w:val="nil"/>
              <w:bottom w:val="single" w:color="auto" w:sz="4" w:space="0"/>
              <w:right w:val="single" w:color="auto" w:sz="4" w:space="0"/>
            </w:tcBorders>
            <w:vAlign w:val="center"/>
          </w:tcPr>
          <w:p w14:paraId="627D7624">
            <w:pPr>
              <w:widowControl/>
              <w:jc w:val="left"/>
              <w:rPr>
                <w:rFonts w:ascii="宋体" w:hAnsi="宋体"/>
                <w:szCs w:val="21"/>
              </w:rPr>
            </w:pPr>
            <w:r>
              <w:rPr>
                <w:rFonts w:ascii="宋体" w:hAnsi="宋体"/>
                <w:szCs w:val="21"/>
              </w:rPr>
              <w:t>100≤X＜300</w:t>
            </w:r>
          </w:p>
        </w:tc>
        <w:tc>
          <w:tcPr>
            <w:tcW w:w="1570" w:type="dxa"/>
            <w:tcBorders>
              <w:top w:val="nil"/>
              <w:left w:val="nil"/>
              <w:bottom w:val="single" w:color="auto" w:sz="4" w:space="0"/>
              <w:right w:val="single" w:color="auto" w:sz="4" w:space="0"/>
            </w:tcBorders>
            <w:vAlign w:val="center"/>
          </w:tcPr>
          <w:p w14:paraId="022A37E5">
            <w:pPr>
              <w:widowControl/>
              <w:jc w:val="left"/>
              <w:rPr>
                <w:rFonts w:ascii="宋体" w:hAnsi="宋体"/>
                <w:szCs w:val="21"/>
              </w:rPr>
            </w:pPr>
            <w:r>
              <w:rPr>
                <w:rFonts w:ascii="宋体" w:hAnsi="宋体"/>
                <w:szCs w:val="21"/>
              </w:rPr>
              <w:t>10≤X＜100</w:t>
            </w:r>
          </w:p>
        </w:tc>
        <w:tc>
          <w:tcPr>
            <w:tcW w:w="1009" w:type="dxa"/>
            <w:tcBorders>
              <w:top w:val="nil"/>
              <w:left w:val="nil"/>
              <w:bottom w:val="single" w:color="auto" w:sz="4" w:space="0"/>
              <w:right w:val="single" w:color="auto" w:sz="4" w:space="0"/>
            </w:tcBorders>
            <w:vAlign w:val="center"/>
          </w:tcPr>
          <w:p w14:paraId="28AF067D">
            <w:pPr>
              <w:widowControl/>
              <w:jc w:val="left"/>
              <w:rPr>
                <w:rFonts w:ascii="宋体" w:hAnsi="宋体"/>
                <w:szCs w:val="21"/>
              </w:rPr>
            </w:pPr>
            <w:r>
              <w:rPr>
                <w:rFonts w:ascii="宋体" w:hAnsi="宋体"/>
                <w:szCs w:val="21"/>
              </w:rPr>
              <w:t>X＜10</w:t>
            </w:r>
          </w:p>
        </w:tc>
      </w:tr>
      <w:tr w14:paraId="062FD5DD">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vAlign w:val="center"/>
          </w:tcPr>
          <w:p w14:paraId="44994430">
            <w:pPr>
              <w:widowControl/>
              <w:jc w:val="left"/>
              <w:rPr>
                <w:rFonts w:ascii="宋体" w:hAnsi="宋体"/>
                <w:szCs w:val="21"/>
              </w:rPr>
            </w:pPr>
          </w:p>
        </w:tc>
        <w:tc>
          <w:tcPr>
            <w:tcW w:w="1701" w:type="dxa"/>
            <w:tcBorders>
              <w:top w:val="nil"/>
              <w:left w:val="nil"/>
              <w:bottom w:val="single" w:color="auto" w:sz="4" w:space="0"/>
              <w:right w:val="single" w:color="auto" w:sz="4" w:space="0"/>
            </w:tcBorders>
            <w:vAlign w:val="center"/>
          </w:tcPr>
          <w:p w14:paraId="46D9CCB0">
            <w:pPr>
              <w:widowControl/>
              <w:jc w:val="left"/>
              <w:rPr>
                <w:rFonts w:ascii="宋体" w:hAnsi="宋体"/>
                <w:szCs w:val="21"/>
              </w:rPr>
            </w:pPr>
            <w:r>
              <w:rPr>
                <w:rFonts w:ascii="宋体" w:hAnsi="宋体"/>
                <w:szCs w:val="21"/>
              </w:rPr>
              <w:t>资产总额（Z）</w:t>
            </w:r>
          </w:p>
        </w:tc>
        <w:tc>
          <w:tcPr>
            <w:tcW w:w="1134" w:type="dxa"/>
            <w:tcBorders>
              <w:top w:val="nil"/>
              <w:left w:val="nil"/>
              <w:bottom w:val="single" w:color="auto" w:sz="4" w:space="0"/>
              <w:right w:val="single" w:color="auto" w:sz="4" w:space="0"/>
            </w:tcBorders>
            <w:vAlign w:val="center"/>
          </w:tcPr>
          <w:p w14:paraId="2C8E6151">
            <w:pPr>
              <w:widowControl/>
              <w:jc w:val="left"/>
              <w:rPr>
                <w:rFonts w:ascii="宋体" w:hAnsi="宋体"/>
                <w:szCs w:val="21"/>
              </w:rPr>
            </w:pPr>
            <w:r>
              <w:rPr>
                <w:rFonts w:ascii="宋体" w:hAnsi="宋体"/>
                <w:szCs w:val="21"/>
              </w:rPr>
              <w:t>万元</w:t>
            </w:r>
          </w:p>
        </w:tc>
        <w:tc>
          <w:tcPr>
            <w:tcW w:w="1846" w:type="dxa"/>
            <w:tcBorders>
              <w:top w:val="nil"/>
              <w:left w:val="nil"/>
              <w:bottom w:val="single" w:color="auto" w:sz="4" w:space="0"/>
              <w:right w:val="single" w:color="auto" w:sz="4" w:space="0"/>
            </w:tcBorders>
            <w:vAlign w:val="center"/>
          </w:tcPr>
          <w:p w14:paraId="6D38310C">
            <w:pPr>
              <w:widowControl/>
              <w:jc w:val="left"/>
              <w:rPr>
                <w:rFonts w:ascii="宋体" w:hAnsi="宋体"/>
                <w:szCs w:val="21"/>
              </w:rPr>
            </w:pPr>
            <w:r>
              <w:rPr>
                <w:rFonts w:ascii="宋体" w:hAnsi="宋体"/>
                <w:szCs w:val="21"/>
              </w:rPr>
              <w:t>8000≤Z＜120000</w:t>
            </w:r>
          </w:p>
        </w:tc>
        <w:tc>
          <w:tcPr>
            <w:tcW w:w="1570" w:type="dxa"/>
            <w:tcBorders>
              <w:top w:val="nil"/>
              <w:left w:val="nil"/>
              <w:bottom w:val="single" w:color="auto" w:sz="4" w:space="0"/>
              <w:right w:val="single" w:color="auto" w:sz="4" w:space="0"/>
            </w:tcBorders>
            <w:vAlign w:val="center"/>
          </w:tcPr>
          <w:p w14:paraId="1FBE8449">
            <w:pPr>
              <w:widowControl/>
              <w:jc w:val="left"/>
              <w:rPr>
                <w:rFonts w:ascii="宋体" w:hAnsi="宋体"/>
                <w:szCs w:val="21"/>
              </w:rPr>
            </w:pPr>
            <w:r>
              <w:rPr>
                <w:rFonts w:ascii="宋体" w:hAnsi="宋体"/>
                <w:szCs w:val="21"/>
              </w:rPr>
              <w:t>100≤Z＜8000</w:t>
            </w:r>
          </w:p>
        </w:tc>
        <w:tc>
          <w:tcPr>
            <w:tcW w:w="1009" w:type="dxa"/>
            <w:tcBorders>
              <w:top w:val="nil"/>
              <w:left w:val="nil"/>
              <w:bottom w:val="single" w:color="auto" w:sz="4" w:space="0"/>
              <w:right w:val="single" w:color="auto" w:sz="4" w:space="0"/>
            </w:tcBorders>
            <w:vAlign w:val="center"/>
          </w:tcPr>
          <w:p w14:paraId="6AE59FC9">
            <w:pPr>
              <w:widowControl/>
              <w:jc w:val="left"/>
              <w:rPr>
                <w:rFonts w:ascii="宋体" w:hAnsi="宋体"/>
                <w:szCs w:val="21"/>
              </w:rPr>
            </w:pPr>
            <w:r>
              <w:rPr>
                <w:rFonts w:ascii="宋体" w:hAnsi="宋体"/>
                <w:szCs w:val="21"/>
              </w:rPr>
              <w:t>Y＜100</w:t>
            </w:r>
          </w:p>
        </w:tc>
      </w:tr>
      <w:tr w14:paraId="0280EDB1">
        <w:tblPrEx>
          <w:tblCellMar>
            <w:top w:w="0" w:type="dxa"/>
            <w:left w:w="108" w:type="dxa"/>
            <w:bottom w:w="0" w:type="dxa"/>
            <w:right w:w="108" w:type="dxa"/>
          </w:tblCellMar>
        </w:tblPrEx>
        <w:trPr>
          <w:trHeight w:val="220" w:hRule="atLeast"/>
        </w:trPr>
        <w:tc>
          <w:tcPr>
            <w:tcW w:w="1446" w:type="dxa"/>
            <w:tcBorders>
              <w:top w:val="nil"/>
              <w:left w:val="single" w:color="auto" w:sz="4" w:space="0"/>
              <w:bottom w:val="single" w:color="auto" w:sz="4" w:space="0"/>
              <w:right w:val="single" w:color="auto" w:sz="4" w:space="0"/>
            </w:tcBorders>
            <w:vAlign w:val="bottom"/>
          </w:tcPr>
          <w:p w14:paraId="742C2BDD">
            <w:pPr>
              <w:widowControl/>
              <w:jc w:val="center"/>
              <w:rPr>
                <w:rFonts w:ascii="宋体" w:hAnsi="宋体"/>
                <w:szCs w:val="21"/>
              </w:rPr>
            </w:pPr>
            <w:r>
              <w:rPr>
                <w:rFonts w:ascii="宋体" w:hAnsi="宋体"/>
                <w:szCs w:val="21"/>
              </w:rPr>
              <w:t>其他未列明行业</w:t>
            </w:r>
          </w:p>
        </w:tc>
        <w:tc>
          <w:tcPr>
            <w:tcW w:w="1701" w:type="dxa"/>
            <w:tcBorders>
              <w:top w:val="nil"/>
              <w:left w:val="nil"/>
              <w:bottom w:val="single" w:color="auto" w:sz="4" w:space="0"/>
              <w:right w:val="single" w:color="auto" w:sz="4" w:space="0"/>
            </w:tcBorders>
            <w:vAlign w:val="center"/>
          </w:tcPr>
          <w:p w14:paraId="5D9BC068">
            <w:pPr>
              <w:widowControl/>
              <w:jc w:val="left"/>
              <w:rPr>
                <w:rFonts w:ascii="宋体" w:hAnsi="宋体"/>
                <w:szCs w:val="21"/>
              </w:rPr>
            </w:pPr>
            <w:r>
              <w:rPr>
                <w:rFonts w:ascii="宋体" w:hAnsi="宋体"/>
                <w:szCs w:val="21"/>
              </w:rPr>
              <w:t>从业人员（X）</w:t>
            </w:r>
          </w:p>
        </w:tc>
        <w:tc>
          <w:tcPr>
            <w:tcW w:w="1134" w:type="dxa"/>
            <w:tcBorders>
              <w:top w:val="nil"/>
              <w:left w:val="nil"/>
              <w:bottom w:val="single" w:color="auto" w:sz="4" w:space="0"/>
              <w:right w:val="single" w:color="auto" w:sz="4" w:space="0"/>
            </w:tcBorders>
            <w:vAlign w:val="center"/>
          </w:tcPr>
          <w:p w14:paraId="3B315130">
            <w:pPr>
              <w:widowControl/>
              <w:jc w:val="left"/>
              <w:rPr>
                <w:rFonts w:ascii="宋体" w:hAnsi="宋体"/>
                <w:szCs w:val="21"/>
              </w:rPr>
            </w:pPr>
            <w:r>
              <w:rPr>
                <w:rFonts w:ascii="宋体" w:hAnsi="宋体"/>
                <w:szCs w:val="21"/>
              </w:rPr>
              <w:t>人</w:t>
            </w:r>
          </w:p>
        </w:tc>
        <w:tc>
          <w:tcPr>
            <w:tcW w:w="1846" w:type="dxa"/>
            <w:tcBorders>
              <w:top w:val="nil"/>
              <w:left w:val="nil"/>
              <w:bottom w:val="single" w:color="auto" w:sz="4" w:space="0"/>
              <w:right w:val="single" w:color="auto" w:sz="4" w:space="0"/>
            </w:tcBorders>
            <w:vAlign w:val="center"/>
          </w:tcPr>
          <w:p w14:paraId="6E047E7E">
            <w:pPr>
              <w:widowControl/>
              <w:jc w:val="left"/>
              <w:rPr>
                <w:rFonts w:ascii="宋体" w:hAnsi="宋体"/>
                <w:szCs w:val="21"/>
              </w:rPr>
            </w:pPr>
            <w:r>
              <w:rPr>
                <w:rFonts w:ascii="宋体" w:hAnsi="宋体"/>
                <w:szCs w:val="21"/>
              </w:rPr>
              <w:t>100≤X＜300</w:t>
            </w:r>
          </w:p>
        </w:tc>
        <w:tc>
          <w:tcPr>
            <w:tcW w:w="1570" w:type="dxa"/>
            <w:tcBorders>
              <w:top w:val="nil"/>
              <w:left w:val="nil"/>
              <w:bottom w:val="single" w:color="auto" w:sz="4" w:space="0"/>
              <w:right w:val="single" w:color="auto" w:sz="4" w:space="0"/>
            </w:tcBorders>
            <w:vAlign w:val="center"/>
          </w:tcPr>
          <w:p w14:paraId="3D75A2BB">
            <w:pPr>
              <w:widowControl/>
              <w:jc w:val="left"/>
              <w:rPr>
                <w:rFonts w:ascii="宋体" w:hAnsi="宋体"/>
                <w:szCs w:val="21"/>
              </w:rPr>
            </w:pPr>
            <w:r>
              <w:rPr>
                <w:rFonts w:ascii="宋体" w:hAnsi="宋体"/>
                <w:szCs w:val="21"/>
              </w:rPr>
              <w:t>10≤X＜100</w:t>
            </w:r>
          </w:p>
        </w:tc>
        <w:tc>
          <w:tcPr>
            <w:tcW w:w="1009" w:type="dxa"/>
            <w:tcBorders>
              <w:top w:val="nil"/>
              <w:left w:val="nil"/>
              <w:bottom w:val="single" w:color="auto" w:sz="4" w:space="0"/>
              <w:right w:val="single" w:color="auto" w:sz="4" w:space="0"/>
            </w:tcBorders>
            <w:vAlign w:val="center"/>
          </w:tcPr>
          <w:p w14:paraId="64F0BC9E">
            <w:pPr>
              <w:widowControl/>
              <w:jc w:val="left"/>
              <w:rPr>
                <w:rFonts w:ascii="宋体" w:hAnsi="宋体"/>
                <w:szCs w:val="21"/>
              </w:rPr>
            </w:pPr>
            <w:r>
              <w:rPr>
                <w:rFonts w:ascii="宋体" w:hAnsi="宋体"/>
                <w:szCs w:val="21"/>
              </w:rPr>
              <w:t>X＜10</w:t>
            </w:r>
          </w:p>
        </w:tc>
      </w:tr>
    </w:tbl>
    <w:p w14:paraId="272B4F2F">
      <w:pPr>
        <w:spacing w:line="360" w:lineRule="auto"/>
        <w:ind w:firstLine="525" w:firstLineChars="250"/>
        <w:rPr>
          <w:rFonts w:ascii="宋体" w:hAnsi="宋体"/>
          <w:szCs w:val="21"/>
        </w:rPr>
      </w:pPr>
      <w:r>
        <w:rPr>
          <w:rFonts w:ascii="宋体" w:hAnsi="宋体"/>
          <w:szCs w:val="21"/>
        </w:rPr>
        <w:t>说明：上述标准参照《关于印发中小企业划型标准规定的通知》（工信部联企业[2011]300号），大型、中型和小型企业须同时满足所列指标的下限，否则下划一档；微型企业只须满足所列指标中的一项即可。</w:t>
      </w:r>
    </w:p>
    <w:p w14:paraId="4389742D">
      <w:pPr>
        <w:spacing w:line="360" w:lineRule="auto"/>
        <w:rPr>
          <w:rFonts w:ascii="宋体" w:hAnsi="宋体"/>
          <w:sz w:val="28"/>
          <w:szCs w:val="28"/>
        </w:rPr>
      </w:pPr>
      <w:r>
        <w:rPr>
          <w:rFonts w:ascii="宋体" w:hAnsi="宋体"/>
          <w:szCs w:val="21"/>
        </w:rPr>
        <w:br w:type="page"/>
      </w:r>
      <w:r>
        <w:rPr>
          <w:rFonts w:ascii="宋体" w:hAnsi="宋体"/>
          <w:position w:val="-335"/>
          <w:sz w:val="20"/>
          <w:szCs w:val="20"/>
        </w:rPr>
        <w:drawing>
          <wp:anchor distT="0" distB="0" distL="114300" distR="114300" simplePos="0" relativeHeight="251660288" behindDoc="0" locked="0" layoutInCell="1" allowOverlap="1">
            <wp:simplePos x="0" y="0"/>
            <wp:positionH relativeFrom="column">
              <wp:posOffset>-164465</wp:posOffset>
            </wp:positionH>
            <wp:positionV relativeFrom="paragraph">
              <wp:posOffset>871855</wp:posOffset>
            </wp:positionV>
            <wp:extent cx="5573395" cy="7113270"/>
            <wp:effectExtent l="0" t="0" r="0" b="0"/>
            <wp:wrapSquare wrapText="bothSides"/>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22" cstate="print">
                      <a:extLst>
                        <a:ext uri="{28A0092B-C50C-407E-A947-70E740481C1C}">
                          <a14:useLocalDpi xmlns:a14="http://schemas.microsoft.com/office/drawing/2010/main" val="0"/>
                        </a:ext>
                      </a:extLst>
                    </a:blip>
                    <a:srcRect t="12457"/>
                    <a:stretch>
                      <a:fillRect/>
                    </a:stretch>
                  </pic:blipFill>
                  <pic:spPr>
                    <a:xfrm>
                      <a:off x="0" y="0"/>
                      <a:ext cx="5573395" cy="7113270"/>
                    </a:xfrm>
                    <a:prstGeom prst="rect">
                      <a:avLst/>
                    </a:prstGeom>
                    <a:noFill/>
                    <a:ln>
                      <a:noFill/>
                    </a:ln>
                    <a:effectLst/>
                  </pic:spPr>
                </pic:pic>
              </a:graphicData>
            </a:graphic>
          </wp:anchor>
        </w:drawing>
      </w:r>
      <w:r>
        <w:rPr>
          <w:rFonts w:ascii="宋体" w:hAnsi="宋体"/>
          <w:sz w:val="28"/>
          <w:szCs w:val="28"/>
        </w:rPr>
        <w:t>附件2：</w:t>
      </w:r>
    </w:p>
    <w:p w14:paraId="0B3AB260">
      <w:pPr>
        <w:spacing w:line="360" w:lineRule="auto"/>
        <w:rPr>
          <w:rFonts w:ascii="宋体" w:hAnsi="宋体"/>
          <w:szCs w:val="21"/>
        </w:rPr>
        <w:sectPr>
          <w:footerReference r:id="rId14" w:type="first"/>
          <w:headerReference r:id="rId12" w:type="default"/>
          <w:footerReference r:id="rId13" w:type="default"/>
          <w:pgSz w:w="11906" w:h="16838"/>
          <w:pgMar w:top="851" w:right="1133" w:bottom="1246" w:left="1418" w:header="851" w:footer="797" w:gutter="0"/>
          <w:pgNumType w:fmt="decimal"/>
          <w:cols w:space="720" w:num="1"/>
          <w:docGrid w:linePitch="312" w:charSpace="0"/>
        </w:sectPr>
      </w:pPr>
    </w:p>
    <w:bookmarkEnd w:id="14"/>
    <w:bookmarkEnd w:id="15"/>
    <w:p w14:paraId="65D9C00D">
      <w:pPr>
        <w:pStyle w:val="26"/>
        <w:snapToGrid w:val="0"/>
        <w:spacing w:before="120" w:after="120" w:line="320" w:lineRule="exact"/>
        <w:jc w:val="center"/>
        <w:outlineLvl w:val="0"/>
        <w:rPr>
          <w:rFonts w:hAnsi="宋体" w:cs="Times New Roman"/>
          <w:sz w:val="32"/>
          <w:szCs w:val="32"/>
        </w:rPr>
      </w:pPr>
      <w:bookmarkStart w:id="18" w:name="_Toc31837"/>
      <w:r>
        <w:rPr>
          <w:rFonts w:hAnsi="宋体" w:cs="Times New Roman"/>
          <w:sz w:val="32"/>
          <w:szCs w:val="32"/>
        </w:rPr>
        <w:t>第三章  供应商须知</w:t>
      </w:r>
      <w:bookmarkEnd w:id="18"/>
      <w:bookmarkStart w:id="19" w:name="_Toc254970526"/>
      <w:bookmarkStart w:id="20" w:name="_Toc254970667"/>
    </w:p>
    <w:p w14:paraId="6DA98EE2">
      <w:pPr>
        <w:pStyle w:val="3"/>
        <w:spacing w:before="40" w:after="40"/>
        <w:jc w:val="center"/>
        <w:rPr>
          <w:rFonts w:ascii="宋体" w:hAnsi="宋体" w:eastAsia="宋体"/>
          <w:sz w:val="24"/>
          <w:szCs w:val="24"/>
        </w:rPr>
      </w:pPr>
      <w:r>
        <w:rPr>
          <w:rFonts w:ascii="宋体" w:hAnsi="宋体" w:eastAsia="宋体"/>
          <w:sz w:val="24"/>
          <w:szCs w:val="24"/>
        </w:rPr>
        <w:t>供应商须知前附表</w:t>
      </w:r>
      <w:bookmarkEnd w:id="19"/>
      <w:bookmarkEnd w:id="20"/>
      <w:bookmarkStart w:id="21" w:name="_投标人须知前附表"/>
      <w:bookmarkEnd w:id="21"/>
      <w:bookmarkStart w:id="22" w:name="_Hlk19088833"/>
    </w:p>
    <w:tbl>
      <w:tblPr>
        <w:tblStyle w:val="51"/>
        <w:tblW w:w="9214"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37"/>
        <w:gridCol w:w="1248"/>
        <w:gridCol w:w="7229"/>
      </w:tblGrid>
      <w:tr w14:paraId="750E7E9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737" w:type="dxa"/>
            <w:tcBorders>
              <w:top w:val="single" w:color="auto" w:sz="4" w:space="0"/>
              <w:left w:val="single" w:color="auto" w:sz="4" w:space="0"/>
              <w:bottom w:val="single" w:color="auto" w:sz="4" w:space="0"/>
              <w:right w:val="single" w:color="auto" w:sz="4" w:space="0"/>
            </w:tcBorders>
            <w:vAlign w:val="center"/>
          </w:tcPr>
          <w:p w14:paraId="1CDB5DFA">
            <w:pPr>
              <w:jc w:val="center"/>
              <w:rPr>
                <w:rFonts w:ascii="宋体" w:hAnsi="宋体"/>
                <w:b/>
                <w:szCs w:val="21"/>
              </w:rPr>
            </w:pPr>
            <w:r>
              <w:rPr>
                <w:rFonts w:ascii="宋体" w:hAnsi="宋体"/>
                <w:b/>
                <w:szCs w:val="21"/>
              </w:rPr>
              <w:t>条款号</w:t>
            </w:r>
          </w:p>
        </w:tc>
        <w:tc>
          <w:tcPr>
            <w:tcW w:w="1248" w:type="dxa"/>
            <w:tcBorders>
              <w:top w:val="single" w:color="auto" w:sz="4" w:space="0"/>
              <w:left w:val="single" w:color="auto" w:sz="4" w:space="0"/>
              <w:bottom w:val="single" w:color="auto" w:sz="4" w:space="0"/>
              <w:right w:val="single" w:color="auto" w:sz="4" w:space="0"/>
            </w:tcBorders>
            <w:vAlign w:val="center"/>
          </w:tcPr>
          <w:p w14:paraId="26B10CA0">
            <w:pPr>
              <w:jc w:val="center"/>
              <w:rPr>
                <w:rFonts w:ascii="宋体" w:hAnsi="宋体"/>
                <w:b/>
                <w:szCs w:val="21"/>
              </w:rPr>
            </w:pPr>
            <w:r>
              <w:rPr>
                <w:rFonts w:ascii="宋体" w:hAnsi="宋体"/>
                <w:b/>
                <w:szCs w:val="21"/>
              </w:rPr>
              <w:t>要点</w:t>
            </w:r>
          </w:p>
        </w:tc>
        <w:tc>
          <w:tcPr>
            <w:tcW w:w="7229" w:type="dxa"/>
            <w:tcBorders>
              <w:top w:val="single" w:color="auto" w:sz="4" w:space="0"/>
              <w:left w:val="single" w:color="auto" w:sz="4" w:space="0"/>
              <w:bottom w:val="single" w:color="auto" w:sz="4" w:space="0"/>
              <w:right w:val="single" w:color="auto" w:sz="4" w:space="0"/>
            </w:tcBorders>
            <w:vAlign w:val="center"/>
          </w:tcPr>
          <w:p w14:paraId="713E1091">
            <w:pPr>
              <w:jc w:val="center"/>
              <w:rPr>
                <w:rFonts w:ascii="宋体" w:hAnsi="宋体"/>
                <w:b/>
                <w:szCs w:val="21"/>
              </w:rPr>
            </w:pPr>
            <w:r>
              <w:rPr>
                <w:rFonts w:ascii="宋体" w:hAnsi="宋体"/>
                <w:b/>
                <w:szCs w:val="21"/>
              </w:rPr>
              <w:t>内容、要求</w:t>
            </w:r>
          </w:p>
        </w:tc>
      </w:tr>
      <w:tr w14:paraId="53B6692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0" w:hRule="atLeast"/>
        </w:trPr>
        <w:tc>
          <w:tcPr>
            <w:tcW w:w="737" w:type="dxa"/>
            <w:tcBorders>
              <w:top w:val="single" w:color="auto" w:sz="4" w:space="0"/>
              <w:left w:val="single" w:color="auto" w:sz="4" w:space="0"/>
              <w:bottom w:val="single" w:color="auto" w:sz="4" w:space="0"/>
              <w:right w:val="single" w:color="auto" w:sz="4" w:space="0"/>
            </w:tcBorders>
            <w:vAlign w:val="center"/>
          </w:tcPr>
          <w:p w14:paraId="481B40B2">
            <w:pPr>
              <w:spacing w:line="300" w:lineRule="exact"/>
              <w:jc w:val="center"/>
              <w:rPr>
                <w:rFonts w:ascii="宋体" w:hAnsi="宋体"/>
                <w:b/>
                <w:szCs w:val="21"/>
              </w:rPr>
            </w:pPr>
            <w:r>
              <w:rPr>
                <w:rFonts w:ascii="宋体" w:hAnsi="宋体"/>
                <w:b/>
                <w:szCs w:val="21"/>
              </w:rPr>
              <w:t>1.3.1</w:t>
            </w:r>
          </w:p>
        </w:tc>
        <w:tc>
          <w:tcPr>
            <w:tcW w:w="1248" w:type="dxa"/>
            <w:tcBorders>
              <w:top w:val="single" w:color="auto" w:sz="4" w:space="0"/>
              <w:left w:val="single" w:color="auto" w:sz="4" w:space="0"/>
              <w:bottom w:val="single" w:color="auto" w:sz="4" w:space="0"/>
              <w:right w:val="single" w:color="auto" w:sz="4" w:space="0"/>
            </w:tcBorders>
            <w:vAlign w:val="center"/>
          </w:tcPr>
          <w:p w14:paraId="588DBE69">
            <w:pPr>
              <w:spacing w:line="300" w:lineRule="exact"/>
              <w:jc w:val="center"/>
              <w:rPr>
                <w:rFonts w:ascii="宋体" w:hAnsi="宋体"/>
                <w:szCs w:val="21"/>
              </w:rPr>
            </w:pPr>
            <w:r>
              <w:rPr>
                <w:rFonts w:ascii="宋体" w:hAnsi="宋体"/>
                <w:szCs w:val="21"/>
              </w:rPr>
              <w:t>项目基本信息</w:t>
            </w:r>
          </w:p>
        </w:tc>
        <w:tc>
          <w:tcPr>
            <w:tcW w:w="7229" w:type="dxa"/>
            <w:tcBorders>
              <w:top w:val="single" w:color="auto" w:sz="4" w:space="0"/>
              <w:left w:val="single" w:color="auto" w:sz="4" w:space="0"/>
              <w:bottom w:val="single" w:color="auto" w:sz="4" w:space="0"/>
              <w:right w:val="single" w:color="auto" w:sz="4" w:space="0"/>
            </w:tcBorders>
            <w:vAlign w:val="center"/>
          </w:tcPr>
          <w:p w14:paraId="50CEA280">
            <w:pPr>
              <w:spacing w:line="300" w:lineRule="exact"/>
              <w:jc w:val="left"/>
              <w:rPr>
                <w:rFonts w:ascii="宋体" w:hAnsi="宋体"/>
                <w:szCs w:val="21"/>
              </w:rPr>
            </w:pPr>
            <w:r>
              <w:rPr>
                <w:rFonts w:ascii="宋体" w:hAnsi="宋体"/>
                <w:szCs w:val="21"/>
              </w:rPr>
              <w:t>项目名称：第23届中国—东盟博览会接待用车招募及调度服务项目</w:t>
            </w:r>
          </w:p>
          <w:p w14:paraId="223CF8F8">
            <w:pPr>
              <w:spacing w:line="300" w:lineRule="exact"/>
              <w:jc w:val="left"/>
              <w:rPr>
                <w:rFonts w:hint="eastAsia" w:ascii="宋体" w:hAnsi="宋体" w:eastAsia="宋体"/>
                <w:szCs w:val="21"/>
                <w:lang w:eastAsia="zh-CN"/>
              </w:rPr>
            </w:pPr>
            <w:r>
              <w:rPr>
                <w:rFonts w:ascii="宋体" w:hAnsi="宋体"/>
                <w:szCs w:val="21"/>
              </w:rPr>
              <w:t>项目编号：</w:t>
            </w:r>
            <w:r>
              <w:rPr>
                <w:rFonts w:hint="eastAsia" w:ascii="宋体" w:hAnsi="宋体"/>
                <w:szCs w:val="21"/>
                <w:lang w:eastAsia="zh-CN"/>
              </w:rPr>
              <w:t>GXZC2026-C3-002163-JDZB</w:t>
            </w:r>
          </w:p>
          <w:p w14:paraId="18280E39">
            <w:pPr>
              <w:spacing w:line="300" w:lineRule="exact"/>
              <w:jc w:val="left"/>
              <w:rPr>
                <w:rFonts w:ascii="宋体" w:hAnsi="宋体"/>
                <w:szCs w:val="21"/>
              </w:rPr>
            </w:pPr>
            <w:r>
              <w:rPr>
                <w:rFonts w:ascii="宋体" w:hAnsi="宋体"/>
                <w:szCs w:val="21"/>
              </w:rPr>
              <w:t>采购计划号：</w:t>
            </w:r>
            <w:r>
              <w:rPr>
                <w:rFonts w:hint="eastAsia" w:ascii="宋体" w:hAnsi="宋体"/>
                <w:szCs w:val="21"/>
              </w:rPr>
              <w:t>广西政采[2026]14409号</w:t>
            </w:r>
            <w:r>
              <w:rPr>
                <w:rFonts w:ascii="宋体" w:hAnsi="宋体"/>
                <w:szCs w:val="21"/>
              </w:rPr>
              <w:t xml:space="preserve"> </w:t>
            </w:r>
          </w:p>
        </w:tc>
      </w:tr>
      <w:tr w14:paraId="1959816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7" w:hRule="atLeast"/>
        </w:trPr>
        <w:tc>
          <w:tcPr>
            <w:tcW w:w="737" w:type="dxa"/>
            <w:tcBorders>
              <w:top w:val="single" w:color="auto" w:sz="4" w:space="0"/>
              <w:left w:val="single" w:color="auto" w:sz="4" w:space="0"/>
              <w:bottom w:val="single" w:color="auto" w:sz="4" w:space="0"/>
              <w:right w:val="single" w:color="auto" w:sz="4" w:space="0"/>
            </w:tcBorders>
            <w:vAlign w:val="center"/>
          </w:tcPr>
          <w:p w14:paraId="17ED3C8A">
            <w:pPr>
              <w:spacing w:line="300" w:lineRule="exact"/>
              <w:jc w:val="center"/>
              <w:rPr>
                <w:rFonts w:ascii="宋体" w:hAnsi="宋体"/>
                <w:b/>
                <w:szCs w:val="21"/>
              </w:rPr>
            </w:pPr>
            <w:r>
              <w:rPr>
                <w:rFonts w:ascii="宋体" w:hAnsi="宋体"/>
                <w:b/>
                <w:szCs w:val="21"/>
              </w:rPr>
              <w:t>1.3.2</w:t>
            </w:r>
          </w:p>
        </w:tc>
        <w:tc>
          <w:tcPr>
            <w:tcW w:w="1248" w:type="dxa"/>
            <w:tcBorders>
              <w:top w:val="single" w:color="auto" w:sz="4" w:space="0"/>
              <w:left w:val="single" w:color="auto" w:sz="4" w:space="0"/>
              <w:bottom w:val="single" w:color="auto" w:sz="4" w:space="0"/>
              <w:right w:val="single" w:color="auto" w:sz="4" w:space="0"/>
            </w:tcBorders>
            <w:vAlign w:val="center"/>
          </w:tcPr>
          <w:p w14:paraId="03382A2A">
            <w:pPr>
              <w:spacing w:line="300" w:lineRule="exact"/>
              <w:jc w:val="center"/>
              <w:rPr>
                <w:rFonts w:ascii="宋体" w:hAnsi="宋体"/>
                <w:szCs w:val="21"/>
                <w:lang w:val="zh-CN"/>
              </w:rPr>
            </w:pPr>
            <w:r>
              <w:rPr>
                <w:rFonts w:ascii="宋体" w:hAnsi="宋体"/>
                <w:szCs w:val="21"/>
                <w:lang w:val="zh-CN"/>
              </w:rPr>
              <w:t>采购方式</w:t>
            </w:r>
          </w:p>
        </w:tc>
        <w:tc>
          <w:tcPr>
            <w:tcW w:w="7229" w:type="dxa"/>
            <w:tcBorders>
              <w:top w:val="single" w:color="auto" w:sz="4" w:space="0"/>
              <w:left w:val="single" w:color="auto" w:sz="4" w:space="0"/>
              <w:bottom w:val="single" w:color="auto" w:sz="4" w:space="0"/>
              <w:right w:val="single" w:color="auto" w:sz="4" w:space="0"/>
            </w:tcBorders>
            <w:vAlign w:val="center"/>
          </w:tcPr>
          <w:p w14:paraId="1CB6514C">
            <w:pPr>
              <w:spacing w:line="300" w:lineRule="exact"/>
              <w:jc w:val="left"/>
              <w:rPr>
                <w:rFonts w:ascii="宋体" w:hAnsi="宋体"/>
                <w:szCs w:val="21"/>
              </w:rPr>
            </w:pPr>
            <w:r>
              <w:rPr>
                <w:rFonts w:ascii="宋体" w:hAnsi="宋体"/>
                <w:szCs w:val="21"/>
              </w:rPr>
              <w:t>竞争性磋商。</w:t>
            </w:r>
          </w:p>
        </w:tc>
      </w:tr>
      <w:tr w14:paraId="7A33E39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37" w:type="dxa"/>
            <w:tcBorders>
              <w:top w:val="single" w:color="auto" w:sz="4" w:space="0"/>
              <w:left w:val="single" w:color="auto" w:sz="4" w:space="0"/>
              <w:bottom w:val="single" w:color="auto" w:sz="4" w:space="0"/>
              <w:right w:val="single" w:color="auto" w:sz="4" w:space="0"/>
            </w:tcBorders>
            <w:vAlign w:val="center"/>
          </w:tcPr>
          <w:p w14:paraId="19C5AD53">
            <w:pPr>
              <w:spacing w:line="300" w:lineRule="exact"/>
              <w:jc w:val="center"/>
              <w:rPr>
                <w:rFonts w:ascii="宋体" w:hAnsi="宋体"/>
                <w:b/>
                <w:szCs w:val="21"/>
              </w:rPr>
            </w:pPr>
            <w:r>
              <w:rPr>
                <w:rFonts w:ascii="宋体" w:hAnsi="宋体"/>
                <w:b/>
                <w:szCs w:val="21"/>
              </w:rPr>
              <w:t>1.4</w:t>
            </w:r>
          </w:p>
        </w:tc>
        <w:tc>
          <w:tcPr>
            <w:tcW w:w="1248" w:type="dxa"/>
            <w:tcBorders>
              <w:top w:val="single" w:color="auto" w:sz="4" w:space="0"/>
              <w:left w:val="single" w:color="auto" w:sz="4" w:space="0"/>
              <w:bottom w:val="single" w:color="auto" w:sz="4" w:space="0"/>
              <w:right w:val="single" w:color="auto" w:sz="4" w:space="0"/>
            </w:tcBorders>
            <w:vAlign w:val="center"/>
          </w:tcPr>
          <w:p w14:paraId="4F971461">
            <w:pPr>
              <w:spacing w:line="300" w:lineRule="exact"/>
              <w:jc w:val="center"/>
              <w:rPr>
                <w:rFonts w:ascii="宋体" w:hAnsi="宋体"/>
                <w:szCs w:val="21"/>
                <w:lang w:val="zh-CN"/>
              </w:rPr>
            </w:pPr>
            <w:r>
              <w:rPr>
                <w:rFonts w:ascii="宋体" w:hAnsi="宋体"/>
                <w:szCs w:val="21"/>
                <w:lang w:val="zh-CN"/>
              </w:rPr>
              <w:t>促进中小企业发展措施</w:t>
            </w:r>
          </w:p>
        </w:tc>
        <w:tc>
          <w:tcPr>
            <w:tcW w:w="7229" w:type="dxa"/>
            <w:tcBorders>
              <w:top w:val="single" w:color="auto" w:sz="4" w:space="0"/>
              <w:left w:val="single" w:color="auto" w:sz="4" w:space="0"/>
              <w:bottom w:val="single" w:color="auto" w:sz="4" w:space="0"/>
              <w:right w:val="single" w:color="auto" w:sz="4" w:space="0"/>
            </w:tcBorders>
            <w:vAlign w:val="center"/>
          </w:tcPr>
          <w:p w14:paraId="71F5B529">
            <w:pPr>
              <w:spacing w:line="300" w:lineRule="exact"/>
              <w:jc w:val="left"/>
              <w:rPr>
                <w:rFonts w:ascii="宋体" w:hAnsi="宋体"/>
                <w:szCs w:val="21"/>
              </w:rPr>
            </w:pPr>
            <w:r>
              <w:rPr>
                <w:rFonts w:ascii="宋体" w:hAnsi="宋体"/>
                <w:szCs w:val="21"/>
              </w:rPr>
              <w:t xml:space="preserve">本项目非专门面向中小微企业采购。 </w:t>
            </w:r>
          </w:p>
        </w:tc>
      </w:tr>
      <w:tr w14:paraId="080A7F3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37" w:type="dxa"/>
            <w:tcBorders>
              <w:top w:val="single" w:color="auto" w:sz="4" w:space="0"/>
              <w:left w:val="single" w:color="auto" w:sz="4" w:space="0"/>
              <w:bottom w:val="single" w:color="auto" w:sz="4" w:space="0"/>
              <w:right w:val="single" w:color="auto" w:sz="4" w:space="0"/>
            </w:tcBorders>
            <w:vAlign w:val="center"/>
          </w:tcPr>
          <w:p w14:paraId="33B0432C">
            <w:pPr>
              <w:spacing w:line="300" w:lineRule="exact"/>
              <w:jc w:val="center"/>
              <w:rPr>
                <w:rFonts w:ascii="宋体" w:hAnsi="宋体"/>
                <w:b/>
                <w:szCs w:val="21"/>
              </w:rPr>
            </w:pPr>
            <w:r>
              <w:rPr>
                <w:rFonts w:ascii="宋体" w:hAnsi="宋体"/>
                <w:b/>
                <w:szCs w:val="21"/>
              </w:rPr>
              <w:t>1.5.1</w:t>
            </w:r>
          </w:p>
        </w:tc>
        <w:tc>
          <w:tcPr>
            <w:tcW w:w="1248" w:type="dxa"/>
            <w:tcBorders>
              <w:top w:val="single" w:color="auto" w:sz="4" w:space="0"/>
              <w:left w:val="single" w:color="auto" w:sz="4" w:space="0"/>
              <w:bottom w:val="single" w:color="auto" w:sz="4" w:space="0"/>
              <w:right w:val="single" w:color="auto" w:sz="4" w:space="0"/>
            </w:tcBorders>
            <w:vAlign w:val="center"/>
          </w:tcPr>
          <w:p w14:paraId="0C0DC4EE">
            <w:pPr>
              <w:spacing w:line="300" w:lineRule="exact"/>
              <w:jc w:val="center"/>
              <w:rPr>
                <w:rFonts w:ascii="宋体" w:hAnsi="宋体"/>
                <w:szCs w:val="21"/>
              </w:rPr>
            </w:pPr>
            <w:r>
              <w:rPr>
                <w:rFonts w:ascii="宋体" w:hAnsi="宋体"/>
                <w:szCs w:val="21"/>
                <w:lang w:val="zh-CN"/>
              </w:rPr>
              <w:t>供应商资格条件</w:t>
            </w:r>
          </w:p>
        </w:tc>
        <w:tc>
          <w:tcPr>
            <w:tcW w:w="7229" w:type="dxa"/>
            <w:tcBorders>
              <w:top w:val="single" w:color="auto" w:sz="4" w:space="0"/>
              <w:left w:val="single" w:color="auto" w:sz="4" w:space="0"/>
              <w:bottom w:val="single" w:color="auto" w:sz="4" w:space="0"/>
              <w:right w:val="single" w:color="auto" w:sz="4" w:space="0"/>
            </w:tcBorders>
            <w:vAlign w:val="center"/>
          </w:tcPr>
          <w:p w14:paraId="07489F0E">
            <w:pPr>
              <w:spacing w:line="300" w:lineRule="exact"/>
              <w:jc w:val="left"/>
              <w:rPr>
                <w:rFonts w:ascii="宋体" w:hAnsi="宋体"/>
                <w:szCs w:val="21"/>
              </w:rPr>
            </w:pPr>
            <w:r>
              <w:rPr>
                <w:rFonts w:ascii="宋体" w:hAnsi="宋体"/>
                <w:szCs w:val="21"/>
              </w:rPr>
              <w:t>详见磋商公告。</w:t>
            </w:r>
          </w:p>
        </w:tc>
      </w:tr>
      <w:tr w14:paraId="05BF0CF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6" w:hRule="atLeast"/>
        </w:trPr>
        <w:tc>
          <w:tcPr>
            <w:tcW w:w="737" w:type="dxa"/>
            <w:tcBorders>
              <w:top w:val="single" w:color="auto" w:sz="4" w:space="0"/>
              <w:left w:val="single" w:color="auto" w:sz="4" w:space="0"/>
              <w:right w:val="single" w:color="auto" w:sz="4" w:space="0"/>
            </w:tcBorders>
            <w:vAlign w:val="center"/>
          </w:tcPr>
          <w:p w14:paraId="15BFB52E">
            <w:pPr>
              <w:spacing w:line="300" w:lineRule="exact"/>
              <w:jc w:val="center"/>
              <w:rPr>
                <w:rFonts w:ascii="宋体" w:hAnsi="宋体"/>
                <w:b/>
                <w:szCs w:val="21"/>
              </w:rPr>
            </w:pPr>
            <w:bookmarkStart w:id="23" w:name="_Hlk85555568"/>
            <w:r>
              <w:rPr>
                <w:rFonts w:ascii="宋体" w:hAnsi="宋体"/>
                <w:b/>
                <w:szCs w:val="21"/>
              </w:rPr>
              <w:t>1.5.3</w:t>
            </w:r>
          </w:p>
        </w:tc>
        <w:tc>
          <w:tcPr>
            <w:tcW w:w="1248" w:type="dxa"/>
            <w:tcBorders>
              <w:top w:val="single" w:color="auto" w:sz="4" w:space="0"/>
              <w:left w:val="single" w:color="auto" w:sz="4" w:space="0"/>
              <w:right w:val="single" w:color="auto" w:sz="4" w:space="0"/>
            </w:tcBorders>
            <w:vAlign w:val="center"/>
          </w:tcPr>
          <w:p w14:paraId="769668C5">
            <w:pPr>
              <w:spacing w:line="300" w:lineRule="exact"/>
              <w:jc w:val="center"/>
              <w:rPr>
                <w:rFonts w:ascii="宋体" w:hAnsi="宋体"/>
                <w:szCs w:val="21"/>
              </w:rPr>
            </w:pPr>
            <w:r>
              <w:rPr>
                <w:rFonts w:ascii="宋体" w:hAnsi="宋体"/>
                <w:szCs w:val="21"/>
              </w:rPr>
              <w:t>联合体</w:t>
            </w:r>
          </w:p>
        </w:tc>
        <w:tc>
          <w:tcPr>
            <w:tcW w:w="7229" w:type="dxa"/>
            <w:tcBorders>
              <w:top w:val="single" w:color="auto" w:sz="4" w:space="0"/>
              <w:left w:val="single" w:color="auto" w:sz="4" w:space="0"/>
              <w:right w:val="single" w:color="auto" w:sz="4" w:space="0"/>
            </w:tcBorders>
            <w:vAlign w:val="center"/>
          </w:tcPr>
          <w:p w14:paraId="033E3D37">
            <w:pPr>
              <w:spacing w:line="300" w:lineRule="exact"/>
              <w:jc w:val="left"/>
              <w:rPr>
                <w:rFonts w:ascii="宋体" w:hAnsi="宋体"/>
                <w:szCs w:val="21"/>
              </w:rPr>
            </w:pPr>
            <w:r>
              <w:rPr>
                <w:rFonts w:ascii="宋体" w:hAnsi="宋体"/>
                <w:szCs w:val="21"/>
              </w:rPr>
              <w:t>是否接受联合体详见磋商公告</w:t>
            </w:r>
          </w:p>
        </w:tc>
      </w:tr>
      <w:bookmarkEnd w:id="23"/>
      <w:tr w14:paraId="485194C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37" w:type="dxa"/>
            <w:tcBorders>
              <w:top w:val="single" w:color="auto" w:sz="4" w:space="0"/>
              <w:left w:val="single" w:color="auto" w:sz="4" w:space="0"/>
              <w:bottom w:val="single" w:color="auto" w:sz="4" w:space="0"/>
              <w:right w:val="single" w:color="auto" w:sz="4" w:space="0"/>
            </w:tcBorders>
            <w:vAlign w:val="center"/>
          </w:tcPr>
          <w:p w14:paraId="0D616376">
            <w:pPr>
              <w:spacing w:line="300" w:lineRule="exact"/>
              <w:jc w:val="center"/>
              <w:rPr>
                <w:rFonts w:ascii="宋体" w:hAnsi="宋体"/>
                <w:b/>
                <w:szCs w:val="21"/>
              </w:rPr>
            </w:pPr>
            <w:r>
              <w:rPr>
                <w:rFonts w:ascii="宋体" w:hAnsi="宋体"/>
                <w:b/>
                <w:szCs w:val="21"/>
              </w:rPr>
              <w:t>1.6</w:t>
            </w:r>
          </w:p>
        </w:tc>
        <w:tc>
          <w:tcPr>
            <w:tcW w:w="1248" w:type="dxa"/>
            <w:tcBorders>
              <w:top w:val="single" w:color="auto" w:sz="4" w:space="0"/>
              <w:left w:val="single" w:color="auto" w:sz="4" w:space="0"/>
              <w:bottom w:val="single" w:color="auto" w:sz="4" w:space="0"/>
              <w:right w:val="single" w:color="auto" w:sz="4" w:space="0"/>
            </w:tcBorders>
            <w:vAlign w:val="center"/>
          </w:tcPr>
          <w:p w14:paraId="6C315669">
            <w:pPr>
              <w:spacing w:line="300" w:lineRule="exact"/>
              <w:jc w:val="center"/>
              <w:rPr>
                <w:rFonts w:ascii="宋体" w:hAnsi="宋体"/>
                <w:szCs w:val="21"/>
              </w:rPr>
            </w:pPr>
            <w:r>
              <w:rPr>
                <w:rFonts w:ascii="宋体" w:hAnsi="宋体"/>
                <w:szCs w:val="21"/>
              </w:rPr>
              <w:t>踏勘</w:t>
            </w:r>
          </w:p>
        </w:tc>
        <w:tc>
          <w:tcPr>
            <w:tcW w:w="7229" w:type="dxa"/>
            <w:tcBorders>
              <w:top w:val="single" w:color="auto" w:sz="4" w:space="0"/>
              <w:left w:val="single" w:color="auto" w:sz="4" w:space="0"/>
              <w:bottom w:val="single" w:color="auto" w:sz="4" w:space="0"/>
              <w:right w:val="single" w:color="auto" w:sz="4" w:space="0"/>
            </w:tcBorders>
            <w:vAlign w:val="center"/>
          </w:tcPr>
          <w:p w14:paraId="3BCCDFB6">
            <w:pPr>
              <w:spacing w:line="300" w:lineRule="exact"/>
              <w:jc w:val="left"/>
              <w:rPr>
                <w:rFonts w:ascii="宋体" w:hAnsi="宋体"/>
                <w:szCs w:val="21"/>
              </w:rPr>
            </w:pPr>
            <w:r>
              <w:rPr>
                <w:rFonts w:ascii="宋体" w:hAnsi="宋体"/>
                <w:szCs w:val="21"/>
              </w:rPr>
              <w:sym w:font="Wingdings 2" w:char="F052"/>
            </w:r>
            <w:r>
              <w:rPr>
                <w:rFonts w:ascii="宋体" w:hAnsi="宋体"/>
                <w:szCs w:val="21"/>
              </w:rPr>
              <w:t>否   □是</w:t>
            </w:r>
          </w:p>
          <w:p w14:paraId="3DAF1804">
            <w:pPr>
              <w:rPr>
                <w:rFonts w:ascii="宋体" w:hAnsi="宋体"/>
                <w:szCs w:val="21"/>
                <w:u w:val="single"/>
              </w:rPr>
            </w:pPr>
            <w:r>
              <w:rPr>
                <w:rFonts w:ascii="宋体" w:hAnsi="宋体"/>
                <w:szCs w:val="21"/>
              </w:rPr>
              <w:t xml:space="preserve">踏勘时间： </w:t>
            </w:r>
            <w:r>
              <w:rPr>
                <w:rFonts w:ascii="宋体" w:hAnsi="宋体"/>
                <w:szCs w:val="21"/>
                <w:u w:val="single"/>
              </w:rPr>
              <w:t xml:space="preserve">             </w:t>
            </w:r>
          </w:p>
          <w:p w14:paraId="01393590">
            <w:pPr>
              <w:rPr>
                <w:rFonts w:ascii="宋体" w:hAnsi="宋体"/>
                <w:szCs w:val="21"/>
                <w:u w:val="single"/>
              </w:rPr>
            </w:pPr>
            <w:r>
              <w:rPr>
                <w:rFonts w:ascii="宋体" w:hAnsi="宋体"/>
                <w:szCs w:val="21"/>
              </w:rPr>
              <w:t xml:space="preserve">踏勘地点： </w:t>
            </w:r>
            <w:r>
              <w:rPr>
                <w:rFonts w:ascii="宋体" w:hAnsi="宋体"/>
                <w:szCs w:val="21"/>
                <w:u w:val="single"/>
              </w:rPr>
              <w:t xml:space="preserve">          </w:t>
            </w:r>
          </w:p>
          <w:p w14:paraId="0AC87C34">
            <w:pPr>
              <w:spacing w:line="300" w:lineRule="exact"/>
              <w:jc w:val="left"/>
              <w:rPr>
                <w:rFonts w:ascii="宋体" w:hAnsi="宋体"/>
                <w:szCs w:val="21"/>
              </w:rPr>
            </w:pPr>
            <w:r>
              <w:rPr>
                <w:rFonts w:ascii="宋体" w:hAnsi="宋体"/>
                <w:szCs w:val="21"/>
              </w:rPr>
              <w:t xml:space="preserve">踏勘要求： </w:t>
            </w:r>
            <w:r>
              <w:rPr>
                <w:rFonts w:ascii="宋体" w:hAnsi="宋体"/>
                <w:szCs w:val="21"/>
                <w:u w:val="single"/>
              </w:rPr>
              <w:t xml:space="preserve">           </w:t>
            </w:r>
            <w:r>
              <w:rPr>
                <w:rFonts w:ascii="宋体" w:hAnsi="宋体"/>
                <w:szCs w:val="21"/>
              </w:rPr>
              <w:t xml:space="preserve">    </w:t>
            </w:r>
          </w:p>
        </w:tc>
      </w:tr>
      <w:tr w14:paraId="4F0C53C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737" w:type="dxa"/>
            <w:tcBorders>
              <w:top w:val="single" w:color="auto" w:sz="4" w:space="0"/>
              <w:left w:val="single" w:color="auto" w:sz="4" w:space="0"/>
              <w:bottom w:val="single" w:color="auto" w:sz="4" w:space="0"/>
              <w:right w:val="single" w:color="auto" w:sz="4" w:space="0"/>
            </w:tcBorders>
            <w:vAlign w:val="center"/>
          </w:tcPr>
          <w:p w14:paraId="7CC5A358">
            <w:pPr>
              <w:spacing w:line="300" w:lineRule="exact"/>
              <w:jc w:val="center"/>
              <w:rPr>
                <w:rFonts w:ascii="宋体" w:hAnsi="宋体"/>
                <w:b/>
                <w:szCs w:val="21"/>
              </w:rPr>
            </w:pPr>
            <w:r>
              <w:rPr>
                <w:rFonts w:ascii="宋体" w:hAnsi="宋体"/>
                <w:b/>
                <w:szCs w:val="21"/>
              </w:rPr>
              <w:t>1.7.2</w:t>
            </w:r>
          </w:p>
        </w:tc>
        <w:tc>
          <w:tcPr>
            <w:tcW w:w="1248" w:type="dxa"/>
            <w:tcBorders>
              <w:top w:val="single" w:color="auto" w:sz="4" w:space="0"/>
              <w:left w:val="single" w:color="auto" w:sz="4" w:space="0"/>
              <w:bottom w:val="single" w:color="auto" w:sz="4" w:space="0"/>
              <w:right w:val="single" w:color="auto" w:sz="4" w:space="0"/>
            </w:tcBorders>
            <w:vAlign w:val="center"/>
          </w:tcPr>
          <w:p w14:paraId="451851AB">
            <w:pPr>
              <w:spacing w:line="300" w:lineRule="exact"/>
              <w:jc w:val="center"/>
              <w:rPr>
                <w:rFonts w:ascii="宋体" w:hAnsi="宋体"/>
                <w:szCs w:val="21"/>
              </w:rPr>
            </w:pPr>
            <w:r>
              <w:rPr>
                <w:rFonts w:ascii="宋体" w:hAnsi="宋体"/>
                <w:szCs w:val="21"/>
              </w:rPr>
              <w:t>分包</w:t>
            </w:r>
          </w:p>
        </w:tc>
        <w:tc>
          <w:tcPr>
            <w:tcW w:w="7229" w:type="dxa"/>
            <w:tcBorders>
              <w:top w:val="single" w:color="auto" w:sz="4" w:space="0"/>
              <w:left w:val="single" w:color="auto" w:sz="4" w:space="0"/>
              <w:bottom w:val="single" w:color="auto" w:sz="4" w:space="0"/>
              <w:right w:val="single" w:color="auto" w:sz="4" w:space="0"/>
            </w:tcBorders>
            <w:vAlign w:val="center"/>
          </w:tcPr>
          <w:p w14:paraId="5101D9C6">
            <w:pPr>
              <w:spacing w:line="300" w:lineRule="exact"/>
              <w:jc w:val="left"/>
              <w:rPr>
                <w:rFonts w:ascii="宋体" w:hAnsi="宋体"/>
                <w:szCs w:val="21"/>
              </w:rPr>
            </w:pPr>
            <w:r>
              <w:rPr>
                <w:rFonts w:ascii="宋体" w:hAnsi="宋体"/>
                <w:szCs w:val="21"/>
              </w:rPr>
              <w:t>是否接受分包详见磋商公告</w:t>
            </w:r>
          </w:p>
        </w:tc>
      </w:tr>
      <w:tr w14:paraId="08345B1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737" w:type="dxa"/>
            <w:tcBorders>
              <w:top w:val="single" w:color="auto" w:sz="4" w:space="0"/>
              <w:left w:val="single" w:color="auto" w:sz="4" w:space="0"/>
              <w:bottom w:val="single" w:color="auto" w:sz="4" w:space="0"/>
              <w:right w:val="single" w:color="auto" w:sz="4" w:space="0"/>
            </w:tcBorders>
            <w:vAlign w:val="center"/>
          </w:tcPr>
          <w:p w14:paraId="26F7B544">
            <w:pPr>
              <w:spacing w:line="300" w:lineRule="exact"/>
              <w:jc w:val="center"/>
              <w:rPr>
                <w:rFonts w:ascii="宋体" w:hAnsi="宋体"/>
                <w:b/>
                <w:szCs w:val="21"/>
              </w:rPr>
            </w:pPr>
            <w:r>
              <w:rPr>
                <w:rFonts w:hint="eastAsia" w:ascii="宋体" w:hAnsi="宋体"/>
                <w:b/>
                <w:szCs w:val="21"/>
              </w:rPr>
              <w:t>1.9</w:t>
            </w:r>
          </w:p>
        </w:tc>
        <w:tc>
          <w:tcPr>
            <w:tcW w:w="1248" w:type="dxa"/>
            <w:tcBorders>
              <w:top w:val="single" w:color="auto" w:sz="4" w:space="0"/>
              <w:left w:val="single" w:color="auto" w:sz="4" w:space="0"/>
              <w:bottom w:val="single" w:color="auto" w:sz="4" w:space="0"/>
              <w:right w:val="single" w:color="auto" w:sz="4" w:space="0"/>
            </w:tcBorders>
            <w:vAlign w:val="center"/>
          </w:tcPr>
          <w:p w14:paraId="07F1CAB9">
            <w:pPr>
              <w:spacing w:line="300" w:lineRule="exact"/>
              <w:jc w:val="center"/>
              <w:rPr>
                <w:rFonts w:ascii="宋体" w:hAnsi="宋体"/>
                <w:szCs w:val="21"/>
              </w:rPr>
            </w:pPr>
            <w:r>
              <w:rPr>
                <w:rFonts w:hint="eastAsia" w:ascii="宋体" w:hAnsi="宋体"/>
                <w:szCs w:val="21"/>
              </w:rPr>
              <w:t>对本国产品的支持政策</w:t>
            </w:r>
          </w:p>
        </w:tc>
        <w:tc>
          <w:tcPr>
            <w:tcW w:w="7229" w:type="dxa"/>
            <w:tcBorders>
              <w:top w:val="single" w:color="auto" w:sz="4" w:space="0"/>
              <w:left w:val="single" w:color="auto" w:sz="4" w:space="0"/>
              <w:bottom w:val="single" w:color="auto" w:sz="4" w:space="0"/>
              <w:right w:val="single" w:color="auto" w:sz="4" w:space="0"/>
            </w:tcBorders>
            <w:vAlign w:val="center"/>
          </w:tcPr>
          <w:p w14:paraId="61FAC697">
            <w:pPr>
              <w:spacing w:line="300" w:lineRule="exact"/>
              <w:jc w:val="left"/>
              <w:rPr>
                <w:rFonts w:ascii="宋体" w:hAnsi="宋体"/>
                <w:szCs w:val="21"/>
              </w:rPr>
            </w:pPr>
            <w:r>
              <w:rPr>
                <w:rFonts w:hint="eastAsia" w:ascii="宋体" w:hAnsi="宋体"/>
                <w:szCs w:val="21"/>
              </w:rPr>
              <w:t>□适用</w:t>
            </w:r>
          </w:p>
          <w:p w14:paraId="6CA16F36">
            <w:pPr>
              <w:spacing w:line="300" w:lineRule="exact"/>
              <w:jc w:val="left"/>
              <w:rPr>
                <w:rFonts w:ascii="宋体" w:hAnsi="宋体"/>
                <w:szCs w:val="21"/>
              </w:rPr>
            </w:pPr>
            <w:r>
              <w:rPr>
                <w:rFonts w:ascii="宋体" w:hAnsi="宋体"/>
                <w:szCs w:val="21"/>
              </w:rPr>
              <w:sym w:font="Wingdings 2" w:char="F052"/>
            </w:r>
            <w:r>
              <w:rPr>
                <w:rFonts w:hint="eastAsia" w:ascii="宋体" w:hAnsi="宋体"/>
                <w:szCs w:val="21"/>
              </w:rPr>
              <w:t>不适用</w:t>
            </w:r>
          </w:p>
        </w:tc>
      </w:tr>
      <w:tr w14:paraId="70B5A6D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37" w:type="dxa"/>
            <w:tcBorders>
              <w:top w:val="single" w:color="auto" w:sz="4" w:space="0"/>
              <w:left w:val="single" w:color="auto" w:sz="4" w:space="0"/>
              <w:bottom w:val="single" w:color="auto" w:sz="4" w:space="0"/>
              <w:right w:val="single" w:color="auto" w:sz="4" w:space="0"/>
            </w:tcBorders>
            <w:vAlign w:val="center"/>
          </w:tcPr>
          <w:p w14:paraId="5B972731">
            <w:pPr>
              <w:spacing w:line="300" w:lineRule="exact"/>
              <w:jc w:val="center"/>
              <w:rPr>
                <w:rFonts w:ascii="宋体" w:hAnsi="宋体"/>
                <w:b/>
                <w:szCs w:val="21"/>
              </w:rPr>
            </w:pPr>
            <w:r>
              <w:rPr>
                <w:rFonts w:ascii="宋体" w:hAnsi="宋体"/>
                <w:b/>
                <w:szCs w:val="21"/>
              </w:rPr>
              <w:t>2.3</w:t>
            </w:r>
          </w:p>
        </w:tc>
        <w:tc>
          <w:tcPr>
            <w:tcW w:w="1248" w:type="dxa"/>
            <w:tcBorders>
              <w:top w:val="single" w:color="auto" w:sz="4" w:space="0"/>
              <w:left w:val="single" w:color="auto" w:sz="4" w:space="0"/>
              <w:bottom w:val="single" w:color="auto" w:sz="4" w:space="0"/>
              <w:right w:val="single" w:color="auto" w:sz="4" w:space="0"/>
            </w:tcBorders>
            <w:vAlign w:val="center"/>
          </w:tcPr>
          <w:p w14:paraId="50C77896">
            <w:pPr>
              <w:spacing w:line="300" w:lineRule="exact"/>
              <w:jc w:val="center"/>
              <w:rPr>
                <w:rFonts w:ascii="宋体" w:hAnsi="宋体"/>
                <w:szCs w:val="21"/>
              </w:rPr>
            </w:pPr>
            <w:r>
              <w:rPr>
                <w:rFonts w:ascii="宋体" w:hAnsi="宋体"/>
                <w:szCs w:val="21"/>
              </w:rPr>
              <w:t>采购文件澄清、修改</w:t>
            </w:r>
          </w:p>
        </w:tc>
        <w:tc>
          <w:tcPr>
            <w:tcW w:w="7229" w:type="dxa"/>
            <w:tcBorders>
              <w:top w:val="single" w:color="auto" w:sz="4" w:space="0"/>
              <w:left w:val="single" w:color="auto" w:sz="4" w:space="0"/>
              <w:bottom w:val="single" w:color="auto" w:sz="4" w:space="0"/>
              <w:right w:val="single" w:color="auto" w:sz="4" w:space="0"/>
            </w:tcBorders>
            <w:vAlign w:val="center"/>
          </w:tcPr>
          <w:p w14:paraId="0F6A0104">
            <w:pPr>
              <w:spacing w:line="300" w:lineRule="exact"/>
              <w:jc w:val="left"/>
              <w:rPr>
                <w:rFonts w:ascii="宋体" w:hAnsi="宋体"/>
                <w:szCs w:val="21"/>
              </w:rPr>
            </w:pPr>
            <w:r>
              <w:rPr>
                <w:rFonts w:ascii="宋体" w:hAnsi="宋体"/>
                <w:szCs w:val="21"/>
              </w:rPr>
              <w:t>在磋商公告发布媒介发布。</w:t>
            </w:r>
          </w:p>
        </w:tc>
      </w:tr>
      <w:tr w14:paraId="1F46B7C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50" w:hRule="atLeast"/>
        </w:trPr>
        <w:tc>
          <w:tcPr>
            <w:tcW w:w="737" w:type="dxa"/>
            <w:tcBorders>
              <w:top w:val="single" w:color="auto" w:sz="4" w:space="0"/>
              <w:left w:val="single" w:color="auto" w:sz="4" w:space="0"/>
              <w:bottom w:val="single" w:color="auto" w:sz="4" w:space="0"/>
              <w:right w:val="single" w:color="auto" w:sz="4" w:space="0"/>
            </w:tcBorders>
            <w:vAlign w:val="center"/>
          </w:tcPr>
          <w:p w14:paraId="03CF0670">
            <w:pPr>
              <w:spacing w:line="300" w:lineRule="exact"/>
              <w:jc w:val="center"/>
              <w:rPr>
                <w:rFonts w:ascii="宋体" w:hAnsi="宋体"/>
                <w:b/>
                <w:szCs w:val="21"/>
              </w:rPr>
            </w:pPr>
            <w:r>
              <w:rPr>
                <w:rFonts w:ascii="宋体" w:hAnsi="宋体"/>
                <w:b/>
                <w:szCs w:val="21"/>
              </w:rPr>
              <w:t>2.3</w:t>
            </w:r>
          </w:p>
        </w:tc>
        <w:tc>
          <w:tcPr>
            <w:tcW w:w="1248" w:type="dxa"/>
            <w:tcBorders>
              <w:top w:val="single" w:color="auto" w:sz="4" w:space="0"/>
              <w:left w:val="single" w:color="auto" w:sz="4" w:space="0"/>
              <w:bottom w:val="single" w:color="auto" w:sz="4" w:space="0"/>
              <w:right w:val="single" w:color="auto" w:sz="4" w:space="0"/>
            </w:tcBorders>
            <w:vAlign w:val="center"/>
          </w:tcPr>
          <w:p w14:paraId="3836B94D">
            <w:pPr>
              <w:spacing w:line="300" w:lineRule="exact"/>
              <w:jc w:val="center"/>
              <w:rPr>
                <w:rFonts w:ascii="宋体" w:hAnsi="宋体"/>
                <w:szCs w:val="21"/>
              </w:rPr>
            </w:pPr>
            <w:r>
              <w:rPr>
                <w:rFonts w:ascii="宋体" w:hAnsi="宋体"/>
                <w:szCs w:val="21"/>
              </w:rPr>
              <w:t>确认收到澄清、修改发布的方式</w:t>
            </w:r>
          </w:p>
        </w:tc>
        <w:tc>
          <w:tcPr>
            <w:tcW w:w="7229" w:type="dxa"/>
            <w:tcBorders>
              <w:top w:val="single" w:color="auto" w:sz="4" w:space="0"/>
              <w:left w:val="single" w:color="auto" w:sz="4" w:space="0"/>
              <w:bottom w:val="single" w:color="auto" w:sz="4" w:space="0"/>
              <w:right w:val="single" w:color="auto" w:sz="4" w:space="0"/>
            </w:tcBorders>
            <w:vAlign w:val="center"/>
          </w:tcPr>
          <w:p w14:paraId="266F84CF">
            <w:pPr>
              <w:spacing w:line="300" w:lineRule="exact"/>
              <w:jc w:val="left"/>
              <w:rPr>
                <w:rFonts w:ascii="宋体" w:hAnsi="宋体"/>
                <w:szCs w:val="21"/>
              </w:rPr>
            </w:pPr>
            <w:r>
              <w:rPr>
                <w:rFonts w:ascii="宋体" w:hAnsi="宋体"/>
                <w:szCs w:val="21"/>
              </w:rPr>
              <w:t>澄清、修改文件自磋商公告发布媒体发布之日起，视为供应商已收到该澄清、修改。供应商未及时关注磋商公告发布媒体造成的损失，由供应商自行负责。</w:t>
            </w:r>
          </w:p>
        </w:tc>
      </w:tr>
      <w:tr w14:paraId="11A0456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49" w:hRule="atLeast"/>
        </w:trPr>
        <w:tc>
          <w:tcPr>
            <w:tcW w:w="737" w:type="dxa"/>
            <w:tcBorders>
              <w:top w:val="single" w:color="auto" w:sz="4" w:space="0"/>
              <w:left w:val="single" w:color="auto" w:sz="4" w:space="0"/>
              <w:bottom w:val="single" w:color="auto" w:sz="4" w:space="0"/>
              <w:right w:val="single" w:color="auto" w:sz="4" w:space="0"/>
            </w:tcBorders>
            <w:vAlign w:val="center"/>
          </w:tcPr>
          <w:p w14:paraId="7704A760">
            <w:pPr>
              <w:spacing w:line="300" w:lineRule="exact"/>
              <w:jc w:val="center"/>
              <w:rPr>
                <w:rFonts w:ascii="宋体" w:hAnsi="宋体"/>
                <w:b/>
                <w:szCs w:val="21"/>
              </w:rPr>
            </w:pPr>
            <w:r>
              <w:rPr>
                <w:rFonts w:ascii="宋体" w:hAnsi="宋体"/>
                <w:b/>
                <w:szCs w:val="21"/>
              </w:rPr>
              <w:t>3.4.1</w:t>
            </w:r>
          </w:p>
        </w:tc>
        <w:tc>
          <w:tcPr>
            <w:tcW w:w="1248" w:type="dxa"/>
            <w:tcBorders>
              <w:top w:val="single" w:color="auto" w:sz="4" w:space="0"/>
              <w:left w:val="single" w:color="auto" w:sz="4" w:space="0"/>
              <w:bottom w:val="single" w:color="auto" w:sz="4" w:space="0"/>
              <w:right w:val="single" w:color="auto" w:sz="4" w:space="0"/>
            </w:tcBorders>
            <w:vAlign w:val="center"/>
          </w:tcPr>
          <w:p w14:paraId="08961187">
            <w:pPr>
              <w:spacing w:line="300" w:lineRule="exact"/>
              <w:jc w:val="center"/>
              <w:rPr>
                <w:rFonts w:ascii="宋体" w:hAnsi="宋体"/>
                <w:szCs w:val="21"/>
              </w:rPr>
            </w:pPr>
            <w:r>
              <w:rPr>
                <w:rFonts w:ascii="宋体" w:hAnsi="宋体"/>
                <w:szCs w:val="21"/>
              </w:rPr>
              <w:t>响应有效期</w:t>
            </w:r>
          </w:p>
        </w:tc>
        <w:tc>
          <w:tcPr>
            <w:tcW w:w="7229" w:type="dxa"/>
            <w:tcBorders>
              <w:top w:val="single" w:color="auto" w:sz="4" w:space="0"/>
              <w:left w:val="single" w:color="auto" w:sz="4" w:space="0"/>
              <w:bottom w:val="single" w:color="auto" w:sz="4" w:space="0"/>
              <w:right w:val="single" w:color="auto" w:sz="4" w:space="0"/>
            </w:tcBorders>
            <w:vAlign w:val="center"/>
          </w:tcPr>
          <w:p w14:paraId="002B2111">
            <w:pPr>
              <w:spacing w:line="300" w:lineRule="exact"/>
              <w:jc w:val="left"/>
              <w:rPr>
                <w:rFonts w:ascii="宋体" w:hAnsi="宋体"/>
                <w:szCs w:val="21"/>
              </w:rPr>
            </w:pPr>
            <w:r>
              <w:rPr>
                <w:rFonts w:ascii="宋体" w:hAnsi="宋体"/>
                <w:szCs w:val="21"/>
              </w:rPr>
              <w:t>响应截止之日起90天。</w:t>
            </w:r>
          </w:p>
        </w:tc>
      </w:tr>
      <w:tr w14:paraId="3EE19D4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37" w:type="dxa"/>
            <w:tcBorders>
              <w:top w:val="single" w:color="auto" w:sz="4" w:space="0"/>
              <w:left w:val="single" w:color="auto" w:sz="4" w:space="0"/>
              <w:bottom w:val="single" w:color="auto" w:sz="4" w:space="0"/>
              <w:right w:val="single" w:color="auto" w:sz="4" w:space="0"/>
            </w:tcBorders>
            <w:vAlign w:val="center"/>
          </w:tcPr>
          <w:p w14:paraId="4C93F536">
            <w:pPr>
              <w:spacing w:line="300" w:lineRule="exact"/>
              <w:jc w:val="center"/>
              <w:rPr>
                <w:rFonts w:ascii="宋体" w:hAnsi="宋体"/>
                <w:b/>
                <w:szCs w:val="21"/>
              </w:rPr>
            </w:pPr>
            <w:r>
              <w:rPr>
                <w:rFonts w:ascii="宋体" w:hAnsi="宋体"/>
                <w:b/>
                <w:szCs w:val="21"/>
              </w:rPr>
              <w:t>3.5</w:t>
            </w:r>
          </w:p>
        </w:tc>
        <w:tc>
          <w:tcPr>
            <w:tcW w:w="1248" w:type="dxa"/>
            <w:tcBorders>
              <w:top w:val="single" w:color="auto" w:sz="4" w:space="0"/>
              <w:left w:val="single" w:color="auto" w:sz="4" w:space="0"/>
              <w:bottom w:val="single" w:color="auto" w:sz="4" w:space="0"/>
              <w:right w:val="single" w:color="auto" w:sz="4" w:space="0"/>
            </w:tcBorders>
            <w:vAlign w:val="center"/>
          </w:tcPr>
          <w:p w14:paraId="6332EA91">
            <w:pPr>
              <w:spacing w:line="300" w:lineRule="exact"/>
              <w:jc w:val="center"/>
              <w:rPr>
                <w:rFonts w:ascii="宋体" w:hAnsi="宋体"/>
                <w:szCs w:val="21"/>
              </w:rPr>
            </w:pPr>
            <w:r>
              <w:rPr>
                <w:rFonts w:ascii="宋体" w:hAnsi="宋体"/>
                <w:szCs w:val="21"/>
              </w:rPr>
              <w:t>磋商保证金</w:t>
            </w:r>
          </w:p>
        </w:tc>
        <w:tc>
          <w:tcPr>
            <w:tcW w:w="7229" w:type="dxa"/>
            <w:tcBorders>
              <w:top w:val="single" w:color="auto" w:sz="4" w:space="0"/>
              <w:left w:val="single" w:color="auto" w:sz="4" w:space="0"/>
              <w:bottom w:val="single" w:color="auto" w:sz="4" w:space="0"/>
              <w:right w:val="single" w:color="auto" w:sz="4" w:space="0"/>
            </w:tcBorders>
            <w:vAlign w:val="center"/>
          </w:tcPr>
          <w:p w14:paraId="335DB9CF">
            <w:pPr>
              <w:spacing w:line="312" w:lineRule="auto"/>
              <w:jc w:val="left"/>
              <w:rPr>
                <w:rFonts w:ascii="宋体" w:hAnsi="宋体"/>
                <w:kern w:val="0"/>
                <w:szCs w:val="21"/>
              </w:rPr>
            </w:pPr>
            <w:r>
              <w:rPr>
                <w:rFonts w:ascii="宋体" w:hAnsi="宋体"/>
                <w:szCs w:val="21"/>
              </w:rPr>
              <w:t>磋商保证金金额：人民币壹万伍仟元整（¥15,000.00）。</w:t>
            </w:r>
          </w:p>
          <w:p w14:paraId="2DADFAB7">
            <w:pPr>
              <w:spacing w:line="300" w:lineRule="exact"/>
              <w:jc w:val="left"/>
              <w:rPr>
                <w:rFonts w:ascii="宋体" w:hAnsi="宋体"/>
                <w:szCs w:val="21"/>
              </w:rPr>
            </w:pPr>
            <w:r>
              <w:rPr>
                <w:rFonts w:ascii="宋体" w:hAnsi="宋体"/>
                <w:szCs w:val="21"/>
              </w:rPr>
              <w:t>（1）缴纳方式一：</w:t>
            </w:r>
          </w:p>
          <w:p w14:paraId="06780105">
            <w:pPr>
              <w:spacing w:line="300" w:lineRule="exact"/>
              <w:jc w:val="left"/>
              <w:rPr>
                <w:rFonts w:ascii="宋体" w:hAnsi="宋体"/>
                <w:szCs w:val="21"/>
              </w:rPr>
            </w:pPr>
            <w:r>
              <w:rPr>
                <w:rFonts w:hint="eastAsia" w:ascii="宋体" w:hAnsi="宋体" w:cs="宋体"/>
                <w:szCs w:val="21"/>
              </w:rPr>
              <w:t>①</w:t>
            </w:r>
            <w:r>
              <w:rPr>
                <w:rFonts w:ascii="宋体" w:hAnsi="宋体"/>
                <w:szCs w:val="21"/>
              </w:rPr>
              <w:t>供应商应于响应截止时间前将磋商保证金以电汇、转账形式从供应商账户一次性足额缴纳至本项目对应的专用虚拟账号，所交纳的磋商保证金仅限当次项目有效，不得重复替代使用。本项目磋商保证金缴纳专用虚拟账号信息如下：</w:t>
            </w:r>
          </w:p>
          <w:p w14:paraId="44CBDBAE">
            <w:pPr>
              <w:spacing w:line="300" w:lineRule="exact"/>
              <w:jc w:val="left"/>
              <w:rPr>
                <w:rFonts w:hint="eastAsia" w:ascii="宋体" w:hAnsi="宋体"/>
                <w:szCs w:val="21"/>
              </w:rPr>
            </w:pPr>
            <w:r>
              <w:rPr>
                <w:rFonts w:hint="eastAsia" w:ascii="宋体" w:hAnsi="宋体"/>
                <w:szCs w:val="21"/>
              </w:rPr>
              <w:t>开户银行：平安银行南宁分行营业部</w:t>
            </w:r>
          </w:p>
          <w:p w14:paraId="5BB78B42">
            <w:pPr>
              <w:spacing w:line="300" w:lineRule="exact"/>
              <w:jc w:val="left"/>
              <w:rPr>
                <w:rFonts w:hint="eastAsia" w:ascii="宋体" w:hAnsi="宋体"/>
                <w:szCs w:val="21"/>
              </w:rPr>
            </w:pPr>
            <w:r>
              <w:rPr>
                <w:rFonts w:hint="eastAsia" w:ascii="宋体" w:hAnsi="宋体"/>
                <w:szCs w:val="21"/>
              </w:rPr>
              <w:t>开户名称：广西机电设备招标有限公司</w:t>
            </w:r>
          </w:p>
          <w:p w14:paraId="2B665625">
            <w:pPr>
              <w:spacing w:line="300" w:lineRule="exact"/>
              <w:jc w:val="left"/>
              <w:rPr>
                <w:rFonts w:ascii="宋体" w:hAnsi="宋体"/>
                <w:szCs w:val="21"/>
              </w:rPr>
            </w:pPr>
            <w:r>
              <w:rPr>
                <w:rFonts w:hint="eastAsia" w:ascii="宋体" w:hAnsi="宋体"/>
                <w:szCs w:val="21"/>
              </w:rPr>
              <w:t>开户账户：30210485837017</w:t>
            </w:r>
          </w:p>
          <w:p w14:paraId="100383E4">
            <w:pPr>
              <w:spacing w:line="300" w:lineRule="exact"/>
              <w:jc w:val="left"/>
              <w:rPr>
                <w:rFonts w:ascii="宋体" w:hAnsi="宋体"/>
                <w:szCs w:val="21"/>
              </w:rPr>
            </w:pPr>
            <w:r>
              <w:rPr>
                <w:rFonts w:ascii="宋体" w:hAnsi="宋体"/>
                <w:szCs w:val="21"/>
              </w:rPr>
              <w:t>特别说明：本项目保证金采用虚拟账号，为保证磋商保证金与项目一一对应，供应商如参加本项目多个分标的响应，应按各分标对应的专用虚拟账号分别缴纳磋商保证金。</w:t>
            </w:r>
          </w:p>
          <w:p w14:paraId="71E76903">
            <w:pPr>
              <w:spacing w:line="300" w:lineRule="exact"/>
              <w:jc w:val="left"/>
              <w:rPr>
                <w:rFonts w:ascii="宋体" w:hAnsi="宋体"/>
                <w:szCs w:val="21"/>
              </w:rPr>
            </w:pPr>
            <w:r>
              <w:rPr>
                <w:rFonts w:hint="eastAsia" w:ascii="宋体" w:hAnsi="宋体" w:cs="宋体"/>
                <w:szCs w:val="21"/>
              </w:rPr>
              <w:t>②</w:t>
            </w:r>
            <w:r>
              <w:rPr>
                <w:rFonts w:ascii="宋体" w:hAnsi="宋体"/>
                <w:szCs w:val="21"/>
              </w:rPr>
              <w:t>磋商保证金币种应与响应报价币种相同。磋商保证金缴纳后无需开具收据，但必须在响应截止时间之前到达指定账号，其到账时间以银行确认的到账时间为准。</w:t>
            </w:r>
          </w:p>
          <w:p w14:paraId="55B49837">
            <w:pPr>
              <w:spacing w:line="300" w:lineRule="exact"/>
              <w:jc w:val="left"/>
              <w:rPr>
                <w:rFonts w:ascii="宋体" w:hAnsi="宋体"/>
                <w:szCs w:val="21"/>
              </w:rPr>
            </w:pPr>
            <w:r>
              <w:rPr>
                <w:rFonts w:hint="eastAsia" w:ascii="宋体" w:hAnsi="宋体" w:cs="宋体"/>
                <w:szCs w:val="21"/>
              </w:rPr>
              <w:t>③</w:t>
            </w:r>
            <w:r>
              <w:rPr>
                <w:rFonts w:ascii="宋体" w:hAnsi="宋体"/>
                <w:szCs w:val="21"/>
              </w:rPr>
              <w:t>除采购文件规定不予退还保证金的情形外，采购代理机构在法定时间内通过银行原路退还保证金至供应商缴纳账户。供应商自行承担交纳保证金后未参加响应活动或磋商保证金缴纳错误而导致磋商保证金无法及时退还的责任。</w:t>
            </w:r>
          </w:p>
          <w:p w14:paraId="0C406733">
            <w:pPr>
              <w:spacing w:line="300" w:lineRule="exact"/>
              <w:jc w:val="left"/>
              <w:rPr>
                <w:rFonts w:ascii="宋体" w:hAnsi="宋体"/>
                <w:szCs w:val="21"/>
              </w:rPr>
            </w:pPr>
            <w:r>
              <w:rPr>
                <w:rFonts w:ascii="宋体" w:hAnsi="宋体"/>
                <w:szCs w:val="21"/>
              </w:rPr>
              <w:t>（2）缴纳方式二：</w:t>
            </w:r>
          </w:p>
          <w:p w14:paraId="1DC3D49D">
            <w:pPr>
              <w:spacing w:line="300" w:lineRule="exact"/>
              <w:jc w:val="left"/>
              <w:rPr>
                <w:rFonts w:ascii="宋体" w:hAnsi="宋体"/>
                <w:szCs w:val="21"/>
              </w:rPr>
            </w:pPr>
            <w:r>
              <w:rPr>
                <w:rFonts w:ascii="宋体" w:hAnsi="宋体"/>
                <w:szCs w:val="21"/>
              </w:rPr>
              <w:t>供应商可于响应截止时间前选择广西政府采购云平台允许的其他非现金形式缴纳磋商保证金。具体按照广西政府采购云平台的方式操作。</w:t>
            </w:r>
          </w:p>
          <w:p w14:paraId="7CC050A4">
            <w:pPr>
              <w:spacing w:line="300" w:lineRule="exact"/>
              <w:jc w:val="left"/>
              <w:rPr>
                <w:rFonts w:ascii="宋体" w:hAnsi="宋体"/>
                <w:szCs w:val="21"/>
              </w:rPr>
            </w:pPr>
            <w:r>
              <w:rPr>
                <w:rFonts w:ascii="宋体" w:hAnsi="宋体"/>
                <w:szCs w:val="21"/>
              </w:rPr>
              <w:t>（3）财务部联系电话：0771-2821398</w:t>
            </w:r>
          </w:p>
          <w:p w14:paraId="78E299F6">
            <w:pPr>
              <w:spacing w:line="300" w:lineRule="exact"/>
              <w:jc w:val="left"/>
              <w:rPr>
                <w:rFonts w:ascii="宋体" w:hAnsi="宋体"/>
                <w:szCs w:val="21"/>
              </w:rPr>
            </w:pPr>
            <w:r>
              <w:rPr>
                <w:rFonts w:ascii="宋体" w:hAnsi="宋体"/>
                <w:szCs w:val="21"/>
              </w:rPr>
              <w:t>（4）未按以上要求缴纳磋商保证金的响应文件，将作无效响应文件处理。</w:t>
            </w:r>
          </w:p>
          <w:p w14:paraId="28397246">
            <w:pPr>
              <w:spacing w:line="300" w:lineRule="exact"/>
              <w:jc w:val="left"/>
              <w:rPr>
                <w:rFonts w:ascii="宋体" w:hAnsi="宋体"/>
                <w:b/>
                <w:bCs/>
                <w:szCs w:val="21"/>
              </w:rPr>
            </w:pPr>
            <w:r>
              <w:rPr>
                <w:rFonts w:ascii="宋体" w:hAnsi="宋体"/>
                <w:b/>
                <w:bCs/>
                <w:szCs w:val="21"/>
              </w:rPr>
              <w:t>注：为保证磋商保证金退还的及时性与便利性，鼓励优先采用方式一递交磋商保证金。</w:t>
            </w:r>
          </w:p>
        </w:tc>
      </w:tr>
      <w:tr w14:paraId="20F4E9C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5" w:hRule="atLeast"/>
        </w:trPr>
        <w:tc>
          <w:tcPr>
            <w:tcW w:w="737" w:type="dxa"/>
            <w:tcBorders>
              <w:left w:val="single" w:color="auto" w:sz="4" w:space="0"/>
              <w:right w:val="single" w:color="auto" w:sz="4" w:space="0"/>
            </w:tcBorders>
            <w:vAlign w:val="center"/>
          </w:tcPr>
          <w:p w14:paraId="705C83D0">
            <w:pPr>
              <w:spacing w:line="300" w:lineRule="exact"/>
              <w:jc w:val="center"/>
              <w:rPr>
                <w:rFonts w:ascii="宋体" w:hAnsi="宋体"/>
                <w:b/>
                <w:szCs w:val="21"/>
              </w:rPr>
            </w:pPr>
            <w:r>
              <w:rPr>
                <w:rFonts w:ascii="宋体" w:hAnsi="宋体"/>
                <w:b/>
                <w:szCs w:val="21"/>
              </w:rPr>
              <w:t>3.6</w:t>
            </w:r>
          </w:p>
        </w:tc>
        <w:tc>
          <w:tcPr>
            <w:tcW w:w="1248" w:type="dxa"/>
            <w:tcBorders>
              <w:top w:val="single" w:color="auto" w:sz="4" w:space="0"/>
              <w:left w:val="single" w:color="auto" w:sz="4" w:space="0"/>
              <w:right w:val="single" w:color="auto" w:sz="4" w:space="0"/>
            </w:tcBorders>
            <w:vAlign w:val="center"/>
          </w:tcPr>
          <w:p w14:paraId="2839B188">
            <w:pPr>
              <w:spacing w:line="300" w:lineRule="exact"/>
              <w:jc w:val="center"/>
              <w:rPr>
                <w:rFonts w:ascii="宋体" w:hAnsi="宋体"/>
                <w:szCs w:val="21"/>
              </w:rPr>
            </w:pPr>
            <w:r>
              <w:rPr>
                <w:rFonts w:ascii="宋体" w:hAnsi="宋体"/>
                <w:szCs w:val="21"/>
              </w:rPr>
              <w:t>响应文件的编制</w:t>
            </w:r>
          </w:p>
        </w:tc>
        <w:tc>
          <w:tcPr>
            <w:tcW w:w="7229" w:type="dxa"/>
            <w:tcBorders>
              <w:top w:val="single" w:color="auto" w:sz="4" w:space="0"/>
              <w:left w:val="single" w:color="auto" w:sz="4" w:space="0"/>
              <w:right w:val="single" w:color="auto" w:sz="4" w:space="0"/>
            </w:tcBorders>
            <w:vAlign w:val="center"/>
          </w:tcPr>
          <w:p w14:paraId="485C88B2">
            <w:pPr>
              <w:spacing w:line="300" w:lineRule="exact"/>
              <w:jc w:val="left"/>
              <w:rPr>
                <w:rFonts w:ascii="宋体" w:hAnsi="宋体"/>
                <w:szCs w:val="21"/>
              </w:rPr>
            </w:pPr>
            <w:r>
              <w:rPr>
                <w:rFonts w:ascii="宋体" w:hAnsi="宋体"/>
                <w:szCs w:val="21"/>
              </w:rPr>
              <w:t>响应文件应按第六章响应文件格式分别编制并使用下载的广西政府采购云平台新版客户端制作并上传。</w:t>
            </w:r>
          </w:p>
        </w:tc>
      </w:tr>
      <w:tr w14:paraId="1B51AC8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737" w:type="dxa"/>
            <w:tcBorders>
              <w:top w:val="single" w:color="auto" w:sz="4" w:space="0"/>
              <w:left w:val="single" w:color="auto" w:sz="4" w:space="0"/>
              <w:bottom w:val="single" w:color="auto" w:sz="4" w:space="0"/>
              <w:right w:val="single" w:color="auto" w:sz="4" w:space="0"/>
            </w:tcBorders>
            <w:vAlign w:val="center"/>
          </w:tcPr>
          <w:p w14:paraId="6EB984AE">
            <w:pPr>
              <w:spacing w:line="300" w:lineRule="exact"/>
              <w:jc w:val="center"/>
              <w:rPr>
                <w:rFonts w:ascii="宋体" w:hAnsi="宋体"/>
                <w:b/>
                <w:szCs w:val="21"/>
              </w:rPr>
            </w:pPr>
            <w:r>
              <w:rPr>
                <w:rFonts w:ascii="宋体" w:hAnsi="宋体"/>
                <w:b/>
                <w:szCs w:val="21"/>
              </w:rPr>
              <w:t>3.7</w:t>
            </w:r>
          </w:p>
        </w:tc>
        <w:tc>
          <w:tcPr>
            <w:tcW w:w="1248" w:type="dxa"/>
            <w:tcBorders>
              <w:top w:val="single" w:color="auto" w:sz="4" w:space="0"/>
              <w:left w:val="single" w:color="auto" w:sz="4" w:space="0"/>
              <w:bottom w:val="single" w:color="auto" w:sz="4" w:space="0"/>
              <w:right w:val="single" w:color="auto" w:sz="4" w:space="0"/>
            </w:tcBorders>
            <w:vAlign w:val="center"/>
          </w:tcPr>
          <w:p w14:paraId="5E23FE0C">
            <w:pPr>
              <w:spacing w:line="300" w:lineRule="exact"/>
              <w:jc w:val="center"/>
              <w:rPr>
                <w:rFonts w:ascii="宋体" w:hAnsi="宋体"/>
                <w:szCs w:val="21"/>
              </w:rPr>
            </w:pPr>
            <w:r>
              <w:rPr>
                <w:rFonts w:ascii="宋体" w:hAnsi="宋体"/>
                <w:szCs w:val="21"/>
              </w:rPr>
              <w:t>响应文件递交截止时间及截标时间</w:t>
            </w:r>
          </w:p>
        </w:tc>
        <w:tc>
          <w:tcPr>
            <w:tcW w:w="7229" w:type="dxa"/>
            <w:tcBorders>
              <w:top w:val="single" w:color="auto" w:sz="4" w:space="0"/>
              <w:left w:val="single" w:color="auto" w:sz="4" w:space="0"/>
              <w:bottom w:val="single" w:color="auto" w:sz="4" w:space="0"/>
              <w:right w:val="single" w:color="auto" w:sz="4" w:space="0"/>
            </w:tcBorders>
            <w:vAlign w:val="center"/>
          </w:tcPr>
          <w:p w14:paraId="25D5EF7F">
            <w:pPr>
              <w:spacing w:line="300" w:lineRule="exact"/>
              <w:jc w:val="left"/>
              <w:rPr>
                <w:rFonts w:ascii="宋体" w:hAnsi="宋体"/>
                <w:szCs w:val="21"/>
              </w:rPr>
            </w:pPr>
            <w:r>
              <w:rPr>
                <w:rFonts w:ascii="宋体" w:hAnsi="宋体"/>
                <w:kern w:val="0"/>
                <w:szCs w:val="21"/>
              </w:rPr>
              <w:t>见磋商公告要求</w:t>
            </w:r>
            <w:r>
              <w:rPr>
                <w:rFonts w:ascii="宋体" w:hAnsi="宋体"/>
                <w:szCs w:val="21"/>
              </w:rPr>
              <w:t>。</w:t>
            </w:r>
          </w:p>
        </w:tc>
      </w:tr>
      <w:tr w14:paraId="2FB0900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737" w:type="dxa"/>
            <w:tcBorders>
              <w:top w:val="single" w:color="auto" w:sz="4" w:space="0"/>
              <w:left w:val="single" w:color="auto" w:sz="4" w:space="0"/>
              <w:bottom w:val="single" w:color="auto" w:sz="4" w:space="0"/>
              <w:right w:val="single" w:color="auto" w:sz="4" w:space="0"/>
            </w:tcBorders>
            <w:vAlign w:val="center"/>
          </w:tcPr>
          <w:p w14:paraId="2753DB1C">
            <w:pPr>
              <w:spacing w:line="300" w:lineRule="exact"/>
              <w:jc w:val="center"/>
              <w:rPr>
                <w:rFonts w:ascii="宋体" w:hAnsi="宋体"/>
                <w:b/>
                <w:szCs w:val="21"/>
              </w:rPr>
            </w:pPr>
            <w:r>
              <w:rPr>
                <w:rFonts w:ascii="宋体" w:hAnsi="宋体"/>
                <w:b/>
                <w:szCs w:val="21"/>
              </w:rPr>
              <w:t>4.2</w:t>
            </w:r>
          </w:p>
        </w:tc>
        <w:tc>
          <w:tcPr>
            <w:tcW w:w="1248" w:type="dxa"/>
            <w:tcBorders>
              <w:top w:val="single" w:color="auto" w:sz="4" w:space="0"/>
              <w:left w:val="single" w:color="auto" w:sz="4" w:space="0"/>
              <w:bottom w:val="single" w:color="auto" w:sz="4" w:space="0"/>
              <w:right w:val="single" w:color="auto" w:sz="4" w:space="0"/>
            </w:tcBorders>
            <w:vAlign w:val="center"/>
          </w:tcPr>
          <w:p w14:paraId="57097984">
            <w:pPr>
              <w:spacing w:line="300" w:lineRule="exact"/>
              <w:jc w:val="center"/>
              <w:rPr>
                <w:rFonts w:ascii="宋体" w:hAnsi="宋体"/>
                <w:szCs w:val="20"/>
              </w:rPr>
            </w:pPr>
            <w:r>
              <w:rPr>
                <w:rFonts w:ascii="宋体" w:hAnsi="宋体"/>
                <w:szCs w:val="21"/>
              </w:rPr>
              <w:t>备份响应文件</w:t>
            </w:r>
          </w:p>
        </w:tc>
        <w:tc>
          <w:tcPr>
            <w:tcW w:w="7229" w:type="dxa"/>
            <w:tcBorders>
              <w:top w:val="single" w:color="auto" w:sz="4" w:space="0"/>
              <w:left w:val="single" w:color="auto" w:sz="4" w:space="0"/>
              <w:bottom w:val="single" w:color="auto" w:sz="4" w:space="0"/>
              <w:right w:val="single" w:color="auto" w:sz="4" w:space="0"/>
            </w:tcBorders>
            <w:vAlign w:val="center"/>
          </w:tcPr>
          <w:p w14:paraId="2187AD93">
            <w:pPr>
              <w:spacing w:line="276" w:lineRule="auto"/>
              <w:rPr>
                <w:rFonts w:ascii="宋体" w:hAnsi="宋体"/>
                <w:szCs w:val="21"/>
              </w:rPr>
            </w:pPr>
            <w:r>
              <w:rPr>
                <w:rFonts w:ascii="宋体" w:hAnsi="宋体"/>
                <w:szCs w:val="21"/>
              </w:rPr>
              <w:t>本项目</w:t>
            </w:r>
            <w:r>
              <w:rPr>
                <w:rFonts w:ascii="宋体" w:hAnsi="宋体"/>
                <w:sz w:val="22"/>
                <w:szCs w:val="22"/>
              </w:rPr>
              <w:sym w:font="Wingdings 2" w:char="F052"/>
            </w:r>
            <w:r>
              <w:rPr>
                <w:rFonts w:ascii="宋体" w:hAnsi="宋体"/>
                <w:szCs w:val="21"/>
              </w:rPr>
              <w:t>接受   □不接受备份响应文件</w:t>
            </w:r>
          </w:p>
          <w:p w14:paraId="6D1A941A">
            <w:pPr>
              <w:spacing w:line="276" w:lineRule="auto"/>
              <w:rPr>
                <w:rFonts w:ascii="宋体" w:hAnsi="宋体"/>
                <w:sz w:val="22"/>
                <w:szCs w:val="22"/>
              </w:rPr>
            </w:pPr>
            <w:r>
              <w:rPr>
                <w:rFonts w:ascii="宋体" w:hAnsi="宋体"/>
                <w:szCs w:val="21"/>
              </w:rPr>
              <w:t>以广西政府采购云平台自动生成的备份文件为依据，当项目允许接受备份响应文件时，供应商才可以按规定上传备份响应文件。</w:t>
            </w:r>
          </w:p>
        </w:tc>
      </w:tr>
      <w:tr w14:paraId="23DBC74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737" w:type="dxa"/>
            <w:tcBorders>
              <w:top w:val="single" w:color="auto" w:sz="4" w:space="0"/>
              <w:left w:val="single" w:color="auto" w:sz="4" w:space="0"/>
              <w:bottom w:val="single" w:color="auto" w:sz="4" w:space="0"/>
              <w:right w:val="single" w:color="auto" w:sz="4" w:space="0"/>
            </w:tcBorders>
            <w:vAlign w:val="center"/>
          </w:tcPr>
          <w:p w14:paraId="23920348">
            <w:pPr>
              <w:spacing w:line="300" w:lineRule="exact"/>
              <w:jc w:val="center"/>
              <w:rPr>
                <w:rFonts w:ascii="宋体" w:hAnsi="宋体"/>
                <w:b/>
                <w:szCs w:val="21"/>
              </w:rPr>
            </w:pPr>
            <w:r>
              <w:rPr>
                <w:rFonts w:ascii="宋体" w:hAnsi="宋体"/>
                <w:b/>
                <w:szCs w:val="21"/>
              </w:rPr>
              <w:t>4.3</w:t>
            </w:r>
          </w:p>
        </w:tc>
        <w:tc>
          <w:tcPr>
            <w:tcW w:w="1248" w:type="dxa"/>
            <w:tcBorders>
              <w:top w:val="single" w:color="auto" w:sz="4" w:space="0"/>
              <w:left w:val="single" w:color="auto" w:sz="4" w:space="0"/>
              <w:bottom w:val="single" w:color="auto" w:sz="4" w:space="0"/>
              <w:right w:val="single" w:color="auto" w:sz="4" w:space="0"/>
            </w:tcBorders>
            <w:vAlign w:val="center"/>
          </w:tcPr>
          <w:p w14:paraId="3394B77A">
            <w:pPr>
              <w:spacing w:line="300" w:lineRule="exact"/>
              <w:jc w:val="center"/>
              <w:rPr>
                <w:rFonts w:ascii="宋体" w:hAnsi="宋体"/>
                <w:szCs w:val="21"/>
              </w:rPr>
            </w:pPr>
            <w:r>
              <w:rPr>
                <w:rFonts w:ascii="宋体" w:hAnsi="宋体"/>
                <w:szCs w:val="20"/>
              </w:rPr>
              <w:t>演示</w:t>
            </w:r>
          </w:p>
        </w:tc>
        <w:tc>
          <w:tcPr>
            <w:tcW w:w="7229" w:type="dxa"/>
            <w:tcBorders>
              <w:top w:val="single" w:color="auto" w:sz="4" w:space="0"/>
              <w:left w:val="single" w:color="auto" w:sz="4" w:space="0"/>
              <w:bottom w:val="single" w:color="auto" w:sz="4" w:space="0"/>
              <w:right w:val="single" w:color="auto" w:sz="4" w:space="0"/>
            </w:tcBorders>
            <w:vAlign w:val="center"/>
          </w:tcPr>
          <w:p w14:paraId="6B4F8062">
            <w:pPr>
              <w:spacing w:line="276" w:lineRule="auto"/>
              <w:rPr>
                <w:rFonts w:ascii="宋体" w:hAnsi="宋体"/>
                <w:szCs w:val="21"/>
              </w:rPr>
            </w:pPr>
            <w:r>
              <w:rPr>
                <w:rFonts w:ascii="宋体" w:hAnsi="宋体"/>
                <w:sz w:val="22"/>
                <w:szCs w:val="22"/>
              </w:rPr>
              <w:sym w:font="Wingdings 2" w:char="F052"/>
            </w:r>
            <w:r>
              <w:rPr>
                <w:rFonts w:ascii="宋体" w:hAnsi="宋体"/>
                <w:szCs w:val="21"/>
              </w:rPr>
              <w:t>否   □是</w:t>
            </w:r>
          </w:p>
          <w:p w14:paraId="63FD313A">
            <w:pPr>
              <w:spacing w:line="276" w:lineRule="auto"/>
              <w:rPr>
                <w:rFonts w:ascii="宋体" w:hAnsi="宋体"/>
                <w:szCs w:val="21"/>
                <w:u w:val="single"/>
              </w:rPr>
            </w:pPr>
            <w:r>
              <w:rPr>
                <w:rFonts w:ascii="宋体" w:hAnsi="宋体"/>
                <w:szCs w:val="21"/>
              </w:rPr>
              <w:t>演示内容：</w:t>
            </w:r>
            <w:r>
              <w:rPr>
                <w:rFonts w:ascii="宋体" w:hAnsi="宋体"/>
                <w:szCs w:val="21"/>
                <w:u w:val="single"/>
              </w:rPr>
              <w:t xml:space="preserve">               </w:t>
            </w:r>
          </w:p>
          <w:p w14:paraId="03566134">
            <w:pPr>
              <w:spacing w:line="276" w:lineRule="auto"/>
              <w:rPr>
                <w:rFonts w:ascii="宋体" w:hAnsi="宋体"/>
                <w:szCs w:val="21"/>
              </w:rPr>
            </w:pPr>
            <w:r>
              <w:rPr>
                <w:rFonts w:ascii="宋体" w:hAnsi="宋体"/>
                <w:szCs w:val="21"/>
              </w:rPr>
              <w:t xml:space="preserve">演示形式： </w:t>
            </w:r>
          </w:p>
        </w:tc>
      </w:tr>
      <w:tr w14:paraId="08B3A46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737" w:type="dxa"/>
            <w:tcBorders>
              <w:top w:val="single" w:color="auto" w:sz="4" w:space="0"/>
              <w:left w:val="single" w:color="auto" w:sz="4" w:space="0"/>
              <w:bottom w:val="single" w:color="auto" w:sz="4" w:space="0"/>
              <w:right w:val="single" w:color="auto" w:sz="4" w:space="0"/>
            </w:tcBorders>
            <w:vAlign w:val="center"/>
          </w:tcPr>
          <w:p w14:paraId="4178E242">
            <w:pPr>
              <w:spacing w:line="300" w:lineRule="exact"/>
              <w:jc w:val="center"/>
              <w:rPr>
                <w:rFonts w:ascii="宋体" w:hAnsi="宋体"/>
                <w:b/>
                <w:szCs w:val="21"/>
              </w:rPr>
            </w:pPr>
            <w:r>
              <w:rPr>
                <w:rFonts w:ascii="宋体" w:hAnsi="宋体"/>
                <w:b/>
                <w:szCs w:val="21"/>
              </w:rPr>
              <w:t>4.4</w:t>
            </w:r>
          </w:p>
        </w:tc>
        <w:tc>
          <w:tcPr>
            <w:tcW w:w="1248" w:type="dxa"/>
            <w:tcBorders>
              <w:top w:val="single" w:color="auto" w:sz="4" w:space="0"/>
              <w:left w:val="single" w:color="auto" w:sz="4" w:space="0"/>
              <w:bottom w:val="single" w:color="auto" w:sz="4" w:space="0"/>
              <w:right w:val="single" w:color="auto" w:sz="4" w:space="0"/>
            </w:tcBorders>
            <w:vAlign w:val="center"/>
          </w:tcPr>
          <w:p w14:paraId="558CD44B">
            <w:pPr>
              <w:spacing w:line="300" w:lineRule="exact"/>
              <w:jc w:val="center"/>
              <w:rPr>
                <w:rFonts w:ascii="宋体" w:hAnsi="宋体"/>
                <w:szCs w:val="21"/>
              </w:rPr>
            </w:pPr>
            <w:r>
              <w:rPr>
                <w:rFonts w:ascii="宋体" w:hAnsi="宋体"/>
                <w:szCs w:val="20"/>
              </w:rPr>
              <w:t>样品</w:t>
            </w:r>
          </w:p>
        </w:tc>
        <w:tc>
          <w:tcPr>
            <w:tcW w:w="7229" w:type="dxa"/>
            <w:tcBorders>
              <w:top w:val="single" w:color="auto" w:sz="4" w:space="0"/>
              <w:left w:val="single" w:color="auto" w:sz="4" w:space="0"/>
              <w:bottom w:val="single" w:color="auto" w:sz="4" w:space="0"/>
              <w:right w:val="single" w:color="auto" w:sz="4" w:space="0"/>
            </w:tcBorders>
            <w:vAlign w:val="center"/>
          </w:tcPr>
          <w:p w14:paraId="16B924AE">
            <w:pPr>
              <w:spacing w:line="276" w:lineRule="auto"/>
              <w:rPr>
                <w:rFonts w:ascii="宋体" w:hAnsi="宋体"/>
                <w:szCs w:val="21"/>
              </w:rPr>
            </w:pPr>
            <w:r>
              <w:rPr>
                <w:rFonts w:ascii="宋体" w:hAnsi="宋体"/>
                <w:sz w:val="24"/>
              </w:rPr>
              <w:sym w:font="Wingdings 2" w:char="F052"/>
            </w:r>
            <w:r>
              <w:rPr>
                <w:rFonts w:ascii="宋体" w:hAnsi="宋体"/>
                <w:szCs w:val="21"/>
              </w:rPr>
              <w:t>否   □是</w:t>
            </w:r>
          </w:p>
          <w:p w14:paraId="57C0DC1C">
            <w:pPr>
              <w:spacing w:line="276" w:lineRule="auto"/>
              <w:rPr>
                <w:rFonts w:ascii="宋体" w:hAnsi="宋体"/>
                <w:szCs w:val="21"/>
                <w:u w:val="single"/>
              </w:rPr>
            </w:pPr>
            <w:r>
              <w:rPr>
                <w:rFonts w:ascii="宋体" w:hAnsi="宋体"/>
                <w:szCs w:val="21"/>
              </w:rPr>
              <w:t>样品制作的标准和要求：</w:t>
            </w:r>
            <w:r>
              <w:rPr>
                <w:rFonts w:ascii="宋体" w:hAnsi="宋体"/>
                <w:szCs w:val="21"/>
                <w:u w:val="single"/>
              </w:rPr>
              <w:t xml:space="preserve">               </w:t>
            </w:r>
          </w:p>
          <w:p w14:paraId="1CC90128">
            <w:pPr>
              <w:spacing w:line="276" w:lineRule="auto"/>
              <w:rPr>
                <w:rFonts w:ascii="宋体" w:hAnsi="宋体"/>
                <w:szCs w:val="21"/>
                <w:u w:val="single"/>
              </w:rPr>
            </w:pPr>
            <w:r>
              <w:rPr>
                <w:rFonts w:ascii="宋体" w:hAnsi="宋体"/>
                <w:szCs w:val="21"/>
              </w:rPr>
              <w:t>样品检测机构的要求：</w:t>
            </w:r>
            <w:r>
              <w:rPr>
                <w:rFonts w:ascii="宋体" w:hAnsi="宋体"/>
                <w:szCs w:val="21"/>
                <w:u w:val="single"/>
              </w:rPr>
              <w:t xml:space="preserve">                </w:t>
            </w:r>
          </w:p>
          <w:p w14:paraId="663E0CFB">
            <w:pPr>
              <w:spacing w:line="276" w:lineRule="auto"/>
              <w:rPr>
                <w:rFonts w:ascii="宋体" w:hAnsi="宋体"/>
                <w:szCs w:val="21"/>
                <w:u w:val="single"/>
              </w:rPr>
            </w:pPr>
            <w:r>
              <w:rPr>
                <w:rFonts w:ascii="宋体" w:hAnsi="宋体"/>
                <w:szCs w:val="21"/>
              </w:rPr>
              <w:t>检测内容：</w:t>
            </w:r>
            <w:r>
              <w:rPr>
                <w:rFonts w:ascii="宋体" w:hAnsi="宋体"/>
                <w:szCs w:val="21"/>
                <w:u w:val="single"/>
              </w:rPr>
              <w:t xml:space="preserve">                     </w:t>
            </w:r>
          </w:p>
          <w:p w14:paraId="7584F4E3">
            <w:pPr>
              <w:spacing w:line="276" w:lineRule="auto"/>
              <w:rPr>
                <w:rFonts w:ascii="宋体" w:hAnsi="宋体"/>
                <w:szCs w:val="21"/>
              </w:rPr>
            </w:pPr>
            <w:r>
              <w:rPr>
                <w:rFonts w:ascii="宋体" w:hAnsi="宋体"/>
                <w:szCs w:val="21"/>
              </w:rPr>
              <w:t xml:space="preserve">样品递交方式： </w:t>
            </w:r>
          </w:p>
        </w:tc>
      </w:tr>
      <w:tr w14:paraId="16A8AC8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737" w:type="dxa"/>
            <w:tcBorders>
              <w:top w:val="single" w:color="auto" w:sz="4" w:space="0"/>
              <w:left w:val="single" w:color="auto" w:sz="4" w:space="0"/>
              <w:bottom w:val="single" w:color="auto" w:sz="4" w:space="0"/>
              <w:right w:val="single" w:color="auto" w:sz="4" w:space="0"/>
            </w:tcBorders>
            <w:vAlign w:val="center"/>
          </w:tcPr>
          <w:p w14:paraId="6EB6A150">
            <w:pPr>
              <w:spacing w:line="300" w:lineRule="exact"/>
              <w:jc w:val="center"/>
              <w:rPr>
                <w:rFonts w:ascii="宋体" w:hAnsi="宋体"/>
                <w:b/>
                <w:szCs w:val="21"/>
              </w:rPr>
            </w:pPr>
            <w:r>
              <w:rPr>
                <w:rFonts w:hint="eastAsia" w:ascii="宋体" w:hAnsi="宋体"/>
                <w:b/>
                <w:szCs w:val="21"/>
              </w:rPr>
              <w:t>5.3.1</w:t>
            </w:r>
          </w:p>
        </w:tc>
        <w:tc>
          <w:tcPr>
            <w:tcW w:w="1248" w:type="dxa"/>
            <w:tcBorders>
              <w:top w:val="single" w:color="auto" w:sz="4" w:space="0"/>
              <w:left w:val="single" w:color="auto" w:sz="4" w:space="0"/>
              <w:bottom w:val="single" w:color="auto" w:sz="4" w:space="0"/>
              <w:right w:val="single" w:color="auto" w:sz="4" w:space="0"/>
            </w:tcBorders>
            <w:vAlign w:val="center"/>
          </w:tcPr>
          <w:p w14:paraId="6F57661B">
            <w:pPr>
              <w:spacing w:line="300" w:lineRule="exact"/>
              <w:jc w:val="center"/>
              <w:rPr>
                <w:rFonts w:ascii="宋体" w:hAnsi="宋体"/>
                <w:szCs w:val="21"/>
              </w:rPr>
            </w:pPr>
            <w:r>
              <w:rPr>
                <w:rFonts w:hint="eastAsia" w:ascii="宋体" w:hAnsi="宋体"/>
                <w:szCs w:val="21"/>
              </w:rPr>
              <w:t>信用查询</w:t>
            </w:r>
            <w:r>
              <w:rPr>
                <w:rFonts w:hint="eastAsia" w:ascii="宋体" w:hAnsi="宋体"/>
              </w:rPr>
              <w:t>规则</w:t>
            </w:r>
          </w:p>
        </w:tc>
        <w:tc>
          <w:tcPr>
            <w:tcW w:w="7229" w:type="dxa"/>
            <w:tcBorders>
              <w:top w:val="single" w:color="auto" w:sz="4" w:space="0"/>
              <w:left w:val="single" w:color="auto" w:sz="4" w:space="0"/>
              <w:bottom w:val="single" w:color="auto" w:sz="4" w:space="0"/>
              <w:right w:val="single" w:color="auto" w:sz="4" w:space="0"/>
            </w:tcBorders>
            <w:vAlign w:val="center"/>
          </w:tcPr>
          <w:p w14:paraId="06F51751">
            <w:pPr>
              <w:snapToGrid w:val="0"/>
              <w:spacing w:line="380" w:lineRule="exact"/>
              <w:rPr>
                <w:rFonts w:hint="eastAsia" w:ascii="宋体" w:hAnsi="宋体"/>
                <w:szCs w:val="21"/>
              </w:rPr>
            </w:pPr>
            <w:r>
              <w:rPr>
                <w:rFonts w:hint="eastAsia" w:ascii="宋体" w:hAnsi="宋体"/>
                <w:szCs w:val="21"/>
              </w:rPr>
              <w:t>磋商小组在资格审查结束前，对供应商进行信用查询。</w:t>
            </w:r>
          </w:p>
          <w:p w14:paraId="038C3B7F">
            <w:pPr>
              <w:snapToGrid w:val="0"/>
              <w:spacing w:line="380" w:lineRule="exact"/>
              <w:rPr>
                <w:rFonts w:hint="eastAsia" w:ascii="宋体" w:hAnsi="宋体"/>
                <w:szCs w:val="21"/>
              </w:rPr>
            </w:pPr>
            <w:r>
              <w:rPr>
                <w:rFonts w:hint="eastAsia" w:ascii="宋体" w:hAnsi="宋体"/>
                <w:szCs w:val="21"/>
              </w:rPr>
              <w:t>（1）查询渠道：广西政府采购云平台“信用中国”网站(www.creditchina.gov.cn) 、中国政府采购网(www.ccgp.gov.cn)链接入口。</w:t>
            </w:r>
          </w:p>
          <w:p w14:paraId="35D32C09">
            <w:pPr>
              <w:snapToGrid w:val="0"/>
              <w:spacing w:line="380" w:lineRule="exact"/>
              <w:rPr>
                <w:rFonts w:hint="eastAsia" w:ascii="宋体" w:hAnsi="宋体"/>
                <w:szCs w:val="21"/>
              </w:rPr>
            </w:pPr>
            <w:r>
              <w:rPr>
                <w:rFonts w:hint="eastAsia" w:ascii="宋体" w:hAnsi="宋体"/>
                <w:szCs w:val="21"/>
              </w:rPr>
              <w:t>（2）信用查询截止时点：资格审查结束前</w:t>
            </w:r>
          </w:p>
          <w:p w14:paraId="014D3841">
            <w:pPr>
              <w:snapToGrid w:val="0"/>
              <w:spacing w:line="380" w:lineRule="exact"/>
              <w:rPr>
                <w:rFonts w:hint="eastAsia" w:ascii="宋体" w:hAnsi="宋体"/>
                <w:szCs w:val="21"/>
              </w:rPr>
            </w:pPr>
            <w:r>
              <w:rPr>
                <w:rFonts w:hint="eastAsia" w:ascii="宋体" w:hAnsi="宋体"/>
                <w:szCs w:val="21"/>
              </w:rPr>
              <w:t>（3）查询记录和证据留存方式：在查询网站中直接截图查询记录，截图作为在“广西政府采购云”平台作为附件上传保存。</w:t>
            </w:r>
          </w:p>
          <w:p w14:paraId="0A73C712">
            <w:pPr>
              <w:spacing w:line="300" w:lineRule="exact"/>
              <w:jc w:val="left"/>
              <w:rPr>
                <w:rFonts w:ascii="宋体" w:hAnsi="宋体"/>
                <w:szCs w:val="21"/>
              </w:rPr>
            </w:pPr>
            <w:r>
              <w:rPr>
                <w:rFonts w:hint="eastAsia" w:ascii="宋体" w:hAnsi="宋体"/>
                <w:szCs w:val="21"/>
              </w:rPr>
              <w:t>（4）信用信息使用规则：对在“信用中国”网站(www.creditchina.gov.cn) 、中国政府采购网(www.ccgp.gov.cn)被列入失信被执行人、重大税收违法案件当事人名单、政府采购严重违法失信行为记录名单及其他不符合《中华人民共和国政府采购法》第二十二条规定条件的供应商，采购人或者采购代理机构应当拒绝其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tc>
      </w:tr>
      <w:tr w14:paraId="66B08A1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737" w:type="dxa"/>
            <w:tcBorders>
              <w:top w:val="single" w:color="auto" w:sz="4" w:space="0"/>
              <w:left w:val="single" w:color="auto" w:sz="4" w:space="0"/>
              <w:bottom w:val="single" w:color="auto" w:sz="4" w:space="0"/>
              <w:right w:val="single" w:color="auto" w:sz="4" w:space="0"/>
            </w:tcBorders>
            <w:vAlign w:val="center"/>
          </w:tcPr>
          <w:p w14:paraId="5FEF4B62">
            <w:pPr>
              <w:spacing w:line="300" w:lineRule="exact"/>
              <w:jc w:val="center"/>
              <w:rPr>
                <w:rFonts w:ascii="宋体" w:hAnsi="宋体"/>
                <w:b/>
                <w:szCs w:val="21"/>
              </w:rPr>
            </w:pPr>
            <w:r>
              <w:rPr>
                <w:rFonts w:hint="eastAsia" w:ascii="宋体" w:hAnsi="宋体"/>
                <w:b/>
                <w:szCs w:val="21"/>
              </w:rPr>
              <w:t>6.</w:t>
            </w:r>
            <w:r>
              <w:rPr>
                <w:rFonts w:ascii="宋体" w:hAnsi="宋体"/>
                <w:b/>
                <w:szCs w:val="21"/>
              </w:rPr>
              <w:t>3</w:t>
            </w:r>
            <w:r>
              <w:rPr>
                <w:rFonts w:hint="eastAsia" w:ascii="宋体" w:hAnsi="宋体"/>
                <w:b/>
                <w:szCs w:val="21"/>
              </w:rPr>
              <w:t>.</w:t>
            </w:r>
            <w:r>
              <w:rPr>
                <w:rFonts w:ascii="宋体" w:hAnsi="宋体"/>
                <w:b/>
                <w:szCs w:val="21"/>
              </w:rPr>
              <w:t>5</w:t>
            </w:r>
          </w:p>
        </w:tc>
        <w:tc>
          <w:tcPr>
            <w:tcW w:w="1248" w:type="dxa"/>
            <w:tcBorders>
              <w:top w:val="single" w:color="auto" w:sz="4" w:space="0"/>
              <w:left w:val="single" w:color="auto" w:sz="4" w:space="0"/>
              <w:bottom w:val="single" w:color="auto" w:sz="4" w:space="0"/>
              <w:right w:val="single" w:color="auto" w:sz="4" w:space="0"/>
            </w:tcBorders>
            <w:vAlign w:val="center"/>
          </w:tcPr>
          <w:p w14:paraId="7A2BE7B8">
            <w:pPr>
              <w:spacing w:line="300" w:lineRule="exact"/>
              <w:jc w:val="center"/>
              <w:rPr>
                <w:rFonts w:hint="eastAsia" w:ascii="宋体" w:hAnsi="宋体"/>
                <w:szCs w:val="21"/>
              </w:rPr>
            </w:pPr>
            <w:r>
              <w:rPr>
                <w:rFonts w:hint="eastAsia" w:ascii="宋体" w:hAnsi="宋体"/>
                <w:szCs w:val="21"/>
              </w:rPr>
              <w:t>异常低价审查</w:t>
            </w:r>
          </w:p>
        </w:tc>
        <w:tc>
          <w:tcPr>
            <w:tcW w:w="7229" w:type="dxa"/>
            <w:tcBorders>
              <w:top w:val="single" w:color="auto" w:sz="4" w:space="0"/>
              <w:left w:val="single" w:color="auto" w:sz="4" w:space="0"/>
              <w:bottom w:val="single" w:color="auto" w:sz="4" w:space="0"/>
              <w:right w:val="single" w:color="auto" w:sz="4" w:space="0"/>
            </w:tcBorders>
            <w:vAlign w:val="center"/>
          </w:tcPr>
          <w:p w14:paraId="016582C5">
            <w:pPr>
              <w:spacing w:line="300" w:lineRule="exact"/>
              <w:jc w:val="left"/>
              <w:rPr>
                <w:rFonts w:ascii="宋体" w:hAnsi="宋体"/>
                <w:szCs w:val="21"/>
              </w:rPr>
            </w:pPr>
            <w:r>
              <w:rPr>
                <w:rFonts w:hint="eastAsia" w:ascii="宋体" w:hAnsi="宋体"/>
                <w:szCs w:val="21"/>
              </w:rPr>
              <w:t>评审中出现下列情形之一的，评审委员会应当启动异常低价响应审查程序：</w:t>
            </w:r>
          </w:p>
          <w:p w14:paraId="2E567C09">
            <w:pPr>
              <w:spacing w:line="276" w:lineRule="auto"/>
              <w:rPr>
                <w:rFonts w:ascii="宋体" w:hAnsi="宋体"/>
                <w:szCs w:val="21"/>
              </w:rPr>
            </w:pPr>
            <w:r>
              <w:rPr>
                <w:rFonts w:hint="eastAsia" w:ascii="宋体" w:hAnsi="宋体"/>
                <w:szCs w:val="21"/>
              </w:rPr>
              <w:t>（1）投标（响应）报价低于全部通过符合性审查供应商投标（响应）报价平均值50%的，即投标（响应）报价&lt;全部通过符合性审查供应商投标（响应）报价平均值×50%；</w:t>
            </w:r>
          </w:p>
          <w:p w14:paraId="46E12F26">
            <w:pPr>
              <w:spacing w:line="276" w:lineRule="auto"/>
              <w:rPr>
                <w:rFonts w:ascii="宋体" w:hAnsi="宋体"/>
                <w:szCs w:val="21"/>
              </w:rPr>
            </w:pPr>
            <w:r>
              <w:rPr>
                <w:rFonts w:hint="eastAsia" w:ascii="宋体" w:hAnsi="宋体"/>
                <w:szCs w:val="21"/>
              </w:rPr>
              <w:t>（2）投标（响应）报价低于通过符合性审查的次低报价供应商投标（响应）报价50%的，即投标（响应）报价&lt;通过符合性审查的次低报价供应商投标（响应）报价×50%；</w:t>
            </w:r>
          </w:p>
          <w:p w14:paraId="47DAADE4">
            <w:pPr>
              <w:spacing w:line="276" w:lineRule="auto"/>
              <w:rPr>
                <w:rFonts w:ascii="宋体" w:hAnsi="宋体"/>
                <w:szCs w:val="21"/>
              </w:rPr>
            </w:pPr>
            <w:r>
              <w:rPr>
                <w:rFonts w:hint="eastAsia" w:ascii="宋体" w:hAnsi="宋体"/>
                <w:szCs w:val="21"/>
              </w:rPr>
              <w:t>（3）投标（响应）报价低于采购项目最高限价45%的，即投标（响应）报价&lt;采购项目最高限价×45%；</w:t>
            </w:r>
          </w:p>
          <w:p w14:paraId="2B4DE756">
            <w:pPr>
              <w:spacing w:line="276" w:lineRule="auto"/>
              <w:rPr>
                <w:rFonts w:hint="eastAsia" w:ascii="宋体" w:hAnsi="宋体"/>
                <w:szCs w:val="21"/>
              </w:rPr>
            </w:pPr>
            <w:r>
              <w:rPr>
                <w:rFonts w:hint="eastAsia" w:ascii="宋体" w:hAnsi="宋体"/>
                <w:szCs w:val="21"/>
              </w:rPr>
              <w:t>（4）评审委员会基于专业判断，认为供应商报价过低，有可能影响产品质量或者不能诚信履约的其他情形。</w:t>
            </w:r>
          </w:p>
        </w:tc>
      </w:tr>
      <w:tr w14:paraId="33FD773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737" w:type="dxa"/>
            <w:tcBorders>
              <w:top w:val="single" w:color="auto" w:sz="4" w:space="0"/>
              <w:left w:val="single" w:color="auto" w:sz="4" w:space="0"/>
              <w:bottom w:val="single" w:color="auto" w:sz="4" w:space="0"/>
              <w:right w:val="single" w:color="auto" w:sz="4" w:space="0"/>
            </w:tcBorders>
            <w:vAlign w:val="center"/>
          </w:tcPr>
          <w:p w14:paraId="1DAF3309">
            <w:pPr>
              <w:spacing w:line="300" w:lineRule="exact"/>
              <w:jc w:val="center"/>
              <w:rPr>
                <w:rFonts w:ascii="宋体" w:hAnsi="宋体"/>
                <w:b/>
                <w:szCs w:val="21"/>
              </w:rPr>
            </w:pPr>
            <w:r>
              <w:rPr>
                <w:rFonts w:ascii="宋体" w:hAnsi="宋体"/>
                <w:b/>
                <w:szCs w:val="21"/>
              </w:rPr>
              <w:t>6.5.1</w:t>
            </w:r>
          </w:p>
        </w:tc>
        <w:tc>
          <w:tcPr>
            <w:tcW w:w="1248" w:type="dxa"/>
            <w:tcBorders>
              <w:top w:val="single" w:color="auto" w:sz="4" w:space="0"/>
              <w:left w:val="single" w:color="auto" w:sz="4" w:space="0"/>
              <w:bottom w:val="single" w:color="auto" w:sz="4" w:space="0"/>
              <w:right w:val="single" w:color="auto" w:sz="4" w:space="0"/>
            </w:tcBorders>
            <w:vAlign w:val="center"/>
          </w:tcPr>
          <w:p w14:paraId="65459218">
            <w:pPr>
              <w:spacing w:line="300" w:lineRule="exact"/>
              <w:jc w:val="center"/>
              <w:rPr>
                <w:rFonts w:ascii="宋体" w:hAnsi="宋体"/>
                <w:szCs w:val="21"/>
              </w:rPr>
            </w:pPr>
            <w:r>
              <w:rPr>
                <w:rFonts w:ascii="宋体" w:hAnsi="宋体"/>
                <w:szCs w:val="21"/>
              </w:rPr>
              <w:t>结果公告</w:t>
            </w:r>
          </w:p>
        </w:tc>
        <w:tc>
          <w:tcPr>
            <w:tcW w:w="7229" w:type="dxa"/>
            <w:tcBorders>
              <w:top w:val="single" w:color="auto" w:sz="4" w:space="0"/>
              <w:left w:val="single" w:color="auto" w:sz="4" w:space="0"/>
              <w:bottom w:val="single" w:color="auto" w:sz="4" w:space="0"/>
              <w:right w:val="single" w:color="auto" w:sz="4" w:space="0"/>
            </w:tcBorders>
            <w:vAlign w:val="center"/>
          </w:tcPr>
          <w:p w14:paraId="39029AE8">
            <w:pPr>
              <w:spacing w:line="300" w:lineRule="exact"/>
              <w:jc w:val="left"/>
              <w:rPr>
                <w:rFonts w:ascii="宋体" w:hAnsi="宋体"/>
                <w:szCs w:val="21"/>
              </w:rPr>
            </w:pPr>
            <w:r>
              <w:rPr>
                <w:rFonts w:ascii="宋体" w:hAnsi="宋体"/>
                <w:szCs w:val="21"/>
              </w:rPr>
              <w:t>采购代理机构在采购人依法确认成交供应商后2个工作日内在磋商公告发布的媒体上发布结果公告。</w:t>
            </w:r>
          </w:p>
        </w:tc>
      </w:tr>
      <w:tr w14:paraId="246460C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737" w:type="dxa"/>
            <w:tcBorders>
              <w:top w:val="single" w:color="auto" w:sz="4" w:space="0"/>
              <w:left w:val="single" w:color="auto" w:sz="4" w:space="0"/>
              <w:bottom w:val="single" w:color="auto" w:sz="4" w:space="0"/>
              <w:right w:val="single" w:color="auto" w:sz="4" w:space="0"/>
            </w:tcBorders>
            <w:vAlign w:val="center"/>
          </w:tcPr>
          <w:p w14:paraId="1DD471DF">
            <w:pPr>
              <w:spacing w:line="300" w:lineRule="exact"/>
              <w:jc w:val="center"/>
              <w:rPr>
                <w:rFonts w:ascii="宋体" w:hAnsi="宋体"/>
                <w:b/>
                <w:szCs w:val="21"/>
              </w:rPr>
            </w:pPr>
            <w:r>
              <w:rPr>
                <w:rFonts w:ascii="宋体" w:hAnsi="宋体"/>
                <w:b/>
                <w:szCs w:val="21"/>
              </w:rPr>
              <w:t>6.5.2</w:t>
            </w:r>
          </w:p>
        </w:tc>
        <w:tc>
          <w:tcPr>
            <w:tcW w:w="1248" w:type="dxa"/>
            <w:tcBorders>
              <w:top w:val="single" w:color="auto" w:sz="4" w:space="0"/>
              <w:left w:val="single" w:color="auto" w:sz="4" w:space="0"/>
              <w:bottom w:val="single" w:color="auto" w:sz="4" w:space="0"/>
              <w:right w:val="single" w:color="auto" w:sz="4" w:space="0"/>
            </w:tcBorders>
            <w:vAlign w:val="center"/>
          </w:tcPr>
          <w:p w14:paraId="7A214483">
            <w:pPr>
              <w:spacing w:line="300" w:lineRule="exact"/>
              <w:jc w:val="center"/>
              <w:rPr>
                <w:rFonts w:ascii="宋体" w:hAnsi="宋体"/>
                <w:szCs w:val="21"/>
              </w:rPr>
            </w:pPr>
            <w:r>
              <w:rPr>
                <w:rFonts w:ascii="宋体" w:hAnsi="宋体"/>
                <w:szCs w:val="21"/>
              </w:rPr>
              <w:t>成交通知书</w:t>
            </w:r>
          </w:p>
        </w:tc>
        <w:tc>
          <w:tcPr>
            <w:tcW w:w="7229" w:type="dxa"/>
            <w:tcBorders>
              <w:top w:val="single" w:color="auto" w:sz="4" w:space="0"/>
              <w:left w:val="single" w:color="auto" w:sz="4" w:space="0"/>
              <w:bottom w:val="single" w:color="auto" w:sz="4" w:space="0"/>
              <w:right w:val="single" w:color="auto" w:sz="4" w:space="0"/>
            </w:tcBorders>
            <w:vAlign w:val="center"/>
          </w:tcPr>
          <w:p w14:paraId="694E40E3">
            <w:pPr>
              <w:spacing w:line="300" w:lineRule="exact"/>
              <w:jc w:val="left"/>
              <w:rPr>
                <w:rFonts w:ascii="宋体" w:hAnsi="宋体"/>
                <w:szCs w:val="21"/>
              </w:rPr>
            </w:pPr>
            <w:r>
              <w:rPr>
                <w:rFonts w:ascii="宋体" w:hAnsi="宋体"/>
                <w:szCs w:val="21"/>
              </w:rPr>
              <w:t>采购代理机构通过广西政府采购云平台发出成交通知书。</w:t>
            </w:r>
          </w:p>
          <w:p w14:paraId="7A1C227F">
            <w:pPr>
              <w:spacing w:line="300" w:lineRule="exact"/>
              <w:jc w:val="left"/>
              <w:rPr>
                <w:rFonts w:ascii="宋体" w:hAnsi="宋体"/>
                <w:szCs w:val="21"/>
              </w:rPr>
            </w:pPr>
            <w:r>
              <w:rPr>
                <w:rFonts w:ascii="宋体" w:hAnsi="宋体"/>
                <w:szCs w:val="21"/>
              </w:rPr>
              <w:t>成交通知书在广西政府采购云平台推送之日起，视为成交供应商已收到，成交供应商自行承担未及时查收的后果。</w:t>
            </w:r>
          </w:p>
        </w:tc>
      </w:tr>
      <w:tr w14:paraId="5183154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737" w:type="dxa"/>
            <w:tcBorders>
              <w:top w:val="single" w:color="auto" w:sz="4" w:space="0"/>
              <w:left w:val="single" w:color="auto" w:sz="4" w:space="0"/>
              <w:bottom w:val="single" w:color="auto" w:sz="4" w:space="0"/>
              <w:right w:val="single" w:color="auto" w:sz="4" w:space="0"/>
            </w:tcBorders>
            <w:vAlign w:val="center"/>
          </w:tcPr>
          <w:p w14:paraId="39E11825">
            <w:pPr>
              <w:spacing w:line="300" w:lineRule="exact"/>
              <w:jc w:val="center"/>
              <w:rPr>
                <w:rFonts w:ascii="宋体" w:hAnsi="宋体"/>
                <w:b/>
                <w:szCs w:val="21"/>
              </w:rPr>
            </w:pPr>
            <w:r>
              <w:rPr>
                <w:rFonts w:ascii="宋体" w:hAnsi="宋体"/>
                <w:b/>
                <w:szCs w:val="21"/>
              </w:rPr>
              <w:t>8.1</w:t>
            </w:r>
          </w:p>
        </w:tc>
        <w:tc>
          <w:tcPr>
            <w:tcW w:w="1248" w:type="dxa"/>
            <w:tcBorders>
              <w:top w:val="single" w:color="auto" w:sz="4" w:space="0"/>
              <w:left w:val="single" w:color="auto" w:sz="4" w:space="0"/>
              <w:bottom w:val="single" w:color="auto" w:sz="4" w:space="0"/>
              <w:right w:val="single" w:color="auto" w:sz="4" w:space="0"/>
            </w:tcBorders>
            <w:vAlign w:val="center"/>
          </w:tcPr>
          <w:p w14:paraId="0B680E39">
            <w:pPr>
              <w:spacing w:line="300" w:lineRule="exact"/>
              <w:jc w:val="center"/>
              <w:rPr>
                <w:rFonts w:ascii="宋体" w:hAnsi="宋体"/>
                <w:szCs w:val="21"/>
              </w:rPr>
            </w:pPr>
            <w:r>
              <w:rPr>
                <w:rFonts w:ascii="宋体" w:hAnsi="宋体"/>
                <w:szCs w:val="21"/>
              </w:rPr>
              <w:t>质疑</w:t>
            </w:r>
          </w:p>
        </w:tc>
        <w:tc>
          <w:tcPr>
            <w:tcW w:w="7229" w:type="dxa"/>
            <w:tcBorders>
              <w:top w:val="single" w:color="auto" w:sz="4" w:space="0"/>
              <w:left w:val="single" w:color="auto" w:sz="4" w:space="0"/>
              <w:bottom w:val="single" w:color="auto" w:sz="4" w:space="0"/>
              <w:right w:val="single" w:color="auto" w:sz="4" w:space="0"/>
            </w:tcBorders>
            <w:vAlign w:val="center"/>
          </w:tcPr>
          <w:p w14:paraId="31F65ED3">
            <w:pPr>
              <w:spacing w:line="300" w:lineRule="exact"/>
              <w:jc w:val="left"/>
              <w:rPr>
                <w:rFonts w:ascii="宋体" w:hAnsi="宋体"/>
                <w:szCs w:val="21"/>
              </w:rPr>
            </w:pPr>
            <w:r>
              <w:rPr>
                <w:rFonts w:ascii="宋体" w:hAnsi="宋体"/>
                <w:szCs w:val="21"/>
              </w:rPr>
              <w:t>（1）供应商认为采购文件、采购过程、中标或者成交结果使自己的权益受到损害的，可以在知道或者应知其权益受到损害之日起7个工作日内，通过以下方式向采购人、采购代理机构提出质疑。提出质疑的供应商必须是参与本项目采购活动的供应商，并须在法定质疑期内一次性提出针对同一采购程序环节的质疑。质疑函应使用财政部发布的政府采购供应商质疑函范本，并应按照“质疑函制作说明”进行制作。</w:t>
            </w:r>
          </w:p>
          <w:p w14:paraId="53A08E62">
            <w:pPr>
              <w:spacing w:line="300" w:lineRule="exact"/>
              <w:jc w:val="left"/>
              <w:rPr>
                <w:rFonts w:ascii="宋体" w:hAnsi="宋体"/>
                <w:szCs w:val="21"/>
              </w:rPr>
            </w:pPr>
            <w:r>
              <w:rPr>
                <w:rFonts w:ascii="宋体" w:hAnsi="宋体"/>
                <w:szCs w:val="21"/>
              </w:rPr>
              <w:t>（2）本项目不接受传真、移动通信、广西政府采购云平台等方式送达的质疑材料，供应商可通过现场或邮寄方式递交书面质疑材料。供应商应于质疑有效期内将质疑函原件递交或邮寄至磋商公告中采购代理机构信息中的联系人。</w:t>
            </w:r>
          </w:p>
        </w:tc>
      </w:tr>
      <w:tr w14:paraId="6909DCB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558" w:hRule="atLeast"/>
        </w:trPr>
        <w:tc>
          <w:tcPr>
            <w:tcW w:w="737" w:type="dxa"/>
            <w:tcBorders>
              <w:top w:val="single" w:color="auto" w:sz="4" w:space="0"/>
              <w:left w:val="single" w:color="auto" w:sz="4" w:space="0"/>
              <w:bottom w:val="single" w:color="auto" w:sz="4" w:space="0"/>
              <w:right w:val="single" w:color="auto" w:sz="4" w:space="0"/>
            </w:tcBorders>
            <w:vAlign w:val="center"/>
          </w:tcPr>
          <w:p w14:paraId="2CD31550">
            <w:pPr>
              <w:spacing w:line="300" w:lineRule="exact"/>
              <w:jc w:val="center"/>
              <w:rPr>
                <w:rFonts w:ascii="宋体" w:hAnsi="宋体"/>
                <w:b/>
                <w:szCs w:val="21"/>
              </w:rPr>
            </w:pPr>
            <w:r>
              <w:rPr>
                <w:rFonts w:ascii="宋体" w:hAnsi="宋体"/>
                <w:b/>
                <w:szCs w:val="21"/>
              </w:rPr>
              <w:t>9.1</w:t>
            </w:r>
          </w:p>
        </w:tc>
        <w:tc>
          <w:tcPr>
            <w:tcW w:w="1248" w:type="dxa"/>
            <w:tcBorders>
              <w:top w:val="single" w:color="auto" w:sz="4" w:space="0"/>
              <w:left w:val="single" w:color="auto" w:sz="4" w:space="0"/>
              <w:bottom w:val="single" w:color="auto" w:sz="4" w:space="0"/>
              <w:right w:val="single" w:color="auto" w:sz="4" w:space="0"/>
            </w:tcBorders>
            <w:vAlign w:val="center"/>
          </w:tcPr>
          <w:p w14:paraId="38E56878">
            <w:pPr>
              <w:spacing w:line="300" w:lineRule="exact"/>
              <w:jc w:val="center"/>
              <w:rPr>
                <w:rFonts w:ascii="宋体" w:hAnsi="宋体"/>
                <w:szCs w:val="21"/>
              </w:rPr>
            </w:pPr>
            <w:r>
              <w:rPr>
                <w:rFonts w:ascii="宋体" w:hAnsi="宋体"/>
                <w:szCs w:val="20"/>
              </w:rPr>
              <w:t>代理服务费</w:t>
            </w:r>
          </w:p>
        </w:tc>
        <w:tc>
          <w:tcPr>
            <w:tcW w:w="7229" w:type="dxa"/>
            <w:tcBorders>
              <w:top w:val="single" w:color="auto" w:sz="4" w:space="0"/>
              <w:left w:val="single" w:color="auto" w:sz="4" w:space="0"/>
              <w:bottom w:val="single" w:color="auto" w:sz="4" w:space="0"/>
              <w:right w:val="single" w:color="auto" w:sz="4" w:space="0"/>
            </w:tcBorders>
            <w:vAlign w:val="center"/>
          </w:tcPr>
          <w:p w14:paraId="53E5853B">
            <w:pPr>
              <w:rPr>
                <w:rFonts w:ascii="宋体" w:hAnsi="宋体"/>
                <w:szCs w:val="21"/>
              </w:rPr>
            </w:pPr>
            <w:r>
              <w:rPr>
                <w:rFonts w:ascii="宋体" w:hAnsi="宋体"/>
                <w:szCs w:val="21"/>
              </w:rPr>
              <w:t>（1）</w:t>
            </w:r>
            <w:r>
              <w:rPr>
                <w:rFonts w:ascii="宋体" w:hAnsi="宋体"/>
                <w:szCs w:val="20"/>
              </w:rPr>
              <w:t>代理服务费</w:t>
            </w:r>
          </w:p>
          <w:p w14:paraId="273506C5">
            <w:pPr>
              <w:spacing w:line="300" w:lineRule="exact"/>
              <w:jc w:val="left"/>
              <w:rPr>
                <w:rFonts w:ascii="宋体" w:hAnsi="宋体"/>
                <w:szCs w:val="21"/>
              </w:rPr>
            </w:pPr>
            <w:r>
              <w:rPr>
                <w:rFonts w:ascii="宋体" w:hAnsi="宋体"/>
                <w:szCs w:val="21"/>
              </w:rPr>
              <w:sym w:font="Wingdings 2" w:char="F052"/>
            </w:r>
            <w:r>
              <w:rPr>
                <w:rFonts w:ascii="宋体" w:hAnsi="宋体"/>
                <w:szCs w:val="21"/>
              </w:rPr>
              <w:t>采购代理机构向成交供应商收取代理服务费。本项目代理服务费按照《招标代理服务费管理暂行办法》 (计价格﹝2002﹞1980号)、《国家发展改革委关于降低部分建设项目收费标准规范收费行为等有关问题的通知》(发改价格﹝2011﹞534号)的规定采用差额定率累进法下浮</w:t>
            </w:r>
            <w:r>
              <w:rPr>
                <w:rFonts w:hint="eastAsia" w:ascii="宋体" w:hAnsi="宋体"/>
                <w:szCs w:val="21"/>
              </w:rPr>
              <w:t>32</w:t>
            </w:r>
            <w:r>
              <w:rPr>
                <w:rFonts w:ascii="宋体" w:hAnsi="宋体"/>
                <w:szCs w:val="21"/>
              </w:rPr>
              <w:t>%计算。具体费率如下：</w:t>
            </w:r>
          </w:p>
          <w:p w14:paraId="38518158">
            <w:pPr>
              <w:spacing w:line="300" w:lineRule="exact"/>
              <w:jc w:val="left"/>
              <w:rPr>
                <w:rFonts w:ascii="宋体" w:hAnsi="宋体"/>
                <w:szCs w:val="21"/>
              </w:rPr>
            </w:pPr>
            <w:r>
              <w:rPr>
                <w:rFonts w:hint="eastAsia" w:ascii="宋体" w:hAnsi="宋体" w:cs="宋体"/>
                <w:szCs w:val="21"/>
              </w:rPr>
              <w:t>①</w:t>
            </w:r>
            <w:r>
              <w:rPr>
                <w:rFonts w:ascii="宋体" w:hAnsi="宋体"/>
                <w:szCs w:val="21"/>
              </w:rPr>
              <w:t>成交金额在100万元以下的：</w:t>
            </w:r>
          </w:p>
          <w:p w14:paraId="29DBD547">
            <w:pPr>
              <w:spacing w:line="300" w:lineRule="exact"/>
              <w:jc w:val="left"/>
              <w:rPr>
                <w:rFonts w:ascii="宋体" w:hAnsi="宋体"/>
                <w:szCs w:val="21"/>
              </w:rPr>
            </w:pPr>
            <w:r>
              <w:rPr>
                <w:rFonts w:ascii="宋体" w:hAnsi="宋体"/>
                <w:szCs w:val="21"/>
              </w:rPr>
              <w:t>货物1.5％；服务招标1.5％；工程招标1.0％；</w:t>
            </w:r>
          </w:p>
          <w:p w14:paraId="7191C321">
            <w:pPr>
              <w:spacing w:line="300" w:lineRule="exact"/>
              <w:jc w:val="left"/>
              <w:rPr>
                <w:rFonts w:ascii="宋体" w:hAnsi="宋体"/>
                <w:szCs w:val="21"/>
              </w:rPr>
            </w:pPr>
            <w:r>
              <w:rPr>
                <w:rFonts w:hint="eastAsia" w:ascii="宋体" w:hAnsi="宋体" w:cs="宋体"/>
                <w:szCs w:val="21"/>
              </w:rPr>
              <w:t>②</w:t>
            </w:r>
            <w:r>
              <w:rPr>
                <w:rFonts w:ascii="宋体" w:hAnsi="宋体"/>
                <w:szCs w:val="21"/>
              </w:rPr>
              <w:t>成交金额在100-500万元之间：</w:t>
            </w:r>
          </w:p>
          <w:p w14:paraId="7FF7CDFC">
            <w:pPr>
              <w:spacing w:line="300" w:lineRule="exact"/>
              <w:jc w:val="left"/>
              <w:rPr>
                <w:rFonts w:ascii="宋体" w:hAnsi="宋体"/>
                <w:szCs w:val="21"/>
              </w:rPr>
            </w:pPr>
            <w:r>
              <w:rPr>
                <w:rFonts w:ascii="宋体" w:hAnsi="宋体"/>
                <w:szCs w:val="21"/>
              </w:rPr>
              <w:t>货物1.1％；服务招标0.8％；工程招标0.7％；</w:t>
            </w:r>
          </w:p>
          <w:p w14:paraId="60A62645">
            <w:pPr>
              <w:spacing w:line="300" w:lineRule="exact"/>
              <w:jc w:val="left"/>
              <w:rPr>
                <w:rFonts w:ascii="宋体" w:hAnsi="宋体"/>
                <w:szCs w:val="21"/>
              </w:rPr>
            </w:pPr>
            <w:r>
              <w:rPr>
                <w:rFonts w:hint="eastAsia" w:ascii="宋体" w:hAnsi="宋体" w:cs="宋体"/>
                <w:szCs w:val="21"/>
              </w:rPr>
              <w:t>③</w:t>
            </w:r>
            <w:r>
              <w:rPr>
                <w:rFonts w:ascii="宋体" w:hAnsi="宋体"/>
                <w:szCs w:val="21"/>
              </w:rPr>
              <w:t>成交金额在500-1000万元之间：</w:t>
            </w:r>
          </w:p>
          <w:p w14:paraId="61170A4B">
            <w:pPr>
              <w:spacing w:line="300" w:lineRule="exact"/>
              <w:jc w:val="left"/>
              <w:rPr>
                <w:rFonts w:ascii="宋体" w:hAnsi="宋体"/>
                <w:szCs w:val="21"/>
              </w:rPr>
            </w:pPr>
            <w:r>
              <w:rPr>
                <w:rFonts w:ascii="宋体" w:hAnsi="宋体"/>
                <w:szCs w:val="21"/>
              </w:rPr>
              <w:t>货物0.8％；服务招标0.45％；工程招标0.55％；</w:t>
            </w:r>
          </w:p>
          <w:p w14:paraId="4BF2C84C">
            <w:pPr>
              <w:spacing w:line="300" w:lineRule="exact"/>
              <w:jc w:val="left"/>
              <w:rPr>
                <w:rFonts w:ascii="宋体" w:hAnsi="宋体"/>
                <w:szCs w:val="21"/>
              </w:rPr>
            </w:pPr>
            <w:r>
              <w:rPr>
                <w:rFonts w:hint="eastAsia" w:ascii="宋体" w:hAnsi="宋体" w:cs="宋体"/>
                <w:szCs w:val="21"/>
              </w:rPr>
              <w:t>④</w:t>
            </w:r>
            <w:r>
              <w:rPr>
                <w:rFonts w:ascii="宋体" w:hAnsi="宋体"/>
                <w:szCs w:val="21"/>
              </w:rPr>
              <w:t>成交金额在1000-5000万元之间：</w:t>
            </w:r>
          </w:p>
          <w:p w14:paraId="3BFAD869">
            <w:pPr>
              <w:spacing w:line="300" w:lineRule="exact"/>
              <w:jc w:val="left"/>
              <w:rPr>
                <w:rFonts w:ascii="宋体" w:hAnsi="宋体"/>
                <w:szCs w:val="21"/>
              </w:rPr>
            </w:pPr>
            <w:r>
              <w:rPr>
                <w:rFonts w:ascii="宋体" w:hAnsi="宋体"/>
                <w:szCs w:val="21"/>
              </w:rPr>
              <w:t>货物0.5％；服务招标0.25％；工程招标0.35％；</w:t>
            </w:r>
          </w:p>
          <w:p w14:paraId="214D14F4">
            <w:pPr>
              <w:spacing w:line="300" w:lineRule="exact"/>
              <w:jc w:val="left"/>
              <w:rPr>
                <w:rFonts w:ascii="宋体" w:hAnsi="宋体"/>
                <w:szCs w:val="21"/>
              </w:rPr>
            </w:pPr>
            <w:r>
              <w:rPr>
                <w:rFonts w:ascii="宋体" w:hAnsi="宋体"/>
                <w:szCs w:val="21"/>
              </w:rPr>
              <w:t>……</w:t>
            </w:r>
          </w:p>
          <w:p w14:paraId="2529A232">
            <w:pPr>
              <w:spacing w:line="300" w:lineRule="exact"/>
              <w:jc w:val="left"/>
              <w:rPr>
                <w:rFonts w:ascii="宋体" w:hAnsi="宋体"/>
                <w:szCs w:val="21"/>
              </w:rPr>
            </w:pPr>
            <w:r>
              <w:rPr>
                <w:rFonts w:ascii="宋体" w:hAnsi="宋体"/>
                <w:szCs w:val="21"/>
              </w:rPr>
              <w:t>差额定率累进法计算过程示例：</w:t>
            </w:r>
          </w:p>
          <w:p w14:paraId="49400B91">
            <w:pPr>
              <w:spacing w:line="300" w:lineRule="exact"/>
              <w:jc w:val="left"/>
              <w:rPr>
                <w:rFonts w:ascii="宋体" w:hAnsi="宋体"/>
                <w:szCs w:val="21"/>
              </w:rPr>
            </w:pPr>
            <w:r>
              <w:rPr>
                <w:rFonts w:ascii="宋体" w:hAnsi="宋体"/>
                <w:szCs w:val="21"/>
              </w:rPr>
              <w:t>例如：某货物招标代理业务成交金额为300万元，招标代理服务费金额按如下计算：</w:t>
            </w:r>
          </w:p>
          <w:p w14:paraId="39088461">
            <w:pPr>
              <w:spacing w:line="300" w:lineRule="exact"/>
              <w:jc w:val="left"/>
              <w:rPr>
                <w:rFonts w:ascii="宋体" w:hAnsi="宋体"/>
                <w:szCs w:val="21"/>
              </w:rPr>
            </w:pPr>
            <w:r>
              <w:rPr>
                <w:rFonts w:ascii="宋体" w:hAnsi="宋体"/>
                <w:szCs w:val="21"/>
              </w:rPr>
              <w:t>100万元×1.5%＝1.5万元</w:t>
            </w:r>
          </w:p>
          <w:p w14:paraId="16CB5AC0">
            <w:pPr>
              <w:spacing w:line="300" w:lineRule="exact"/>
              <w:jc w:val="left"/>
              <w:rPr>
                <w:rFonts w:ascii="宋体" w:hAnsi="宋体"/>
                <w:szCs w:val="21"/>
              </w:rPr>
            </w:pPr>
            <w:r>
              <w:rPr>
                <w:rFonts w:ascii="宋体" w:hAnsi="宋体"/>
                <w:szCs w:val="21"/>
              </w:rPr>
              <w:t>（300－100）万元×1.1%＝2.2万元</w:t>
            </w:r>
          </w:p>
          <w:p w14:paraId="1265459B">
            <w:pPr>
              <w:spacing w:line="300" w:lineRule="exact"/>
              <w:jc w:val="left"/>
              <w:rPr>
                <w:rFonts w:ascii="宋体" w:hAnsi="宋体"/>
                <w:szCs w:val="21"/>
              </w:rPr>
            </w:pPr>
            <w:r>
              <w:rPr>
                <w:rFonts w:ascii="宋体" w:hAnsi="宋体"/>
                <w:szCs w:val="21"/>
              </w:rPr>
              <w:t>合计收费＝1.5＋2.2=3.7万元</w:t>
            </w:r>
          </w:p>
          <w:p w14:paraId="522BF438">
            <w:pPr>
              <w:spacing w:line="300" w:lineRule="exact"/>
              <w:jc w:val="left"/>
              <w:rPr>
                <w:rFonts w:ascii="宋体" w:hAnsi="宋体"/>
                <w:szCs w:val="21"/>
                <w:u w:val="single"/>
              </w:rPr>
            </w:pPr>
            <w:r>
              <w:rPr>
                <w:rFonts w:ascii="宋体" w:hAnsi="宋体"/>
                <w:szCs w:val="21"/>
              </w:rPr>
              <w:sym w:font="Wingdings 2" w:char="F0A3"/>
            </w:r>
            <w:r>
              <w:rPr>
                <w:rFonts w:ascii="宋体" w:hAnsi="宋体"/>
                <w:szCs w:val="21"/>
              </w:rPr>
              <w:t>采购代理机构</w:t>
            </w:r>
            <w:r>
              <w:rPr>
                <w:rFonts w:ascii="宋体" w:hAnsi="宋体"/>
                <w:szCs w:val="20"/>
              </w:rPr>
              <w:t>向成交供应商收取代理服务费，具体金额为</w:t>
            </w:r>
            <w:r>
              <w:rPr>
                <w:rFonts w:ascii="宋体" w:hAnsi="宋体"/>
                <w:szCs w:val="20"/>
                <w:u w:val="single"/>
              </w:rPr>
              <w:t xml:space="preserve">             </w:t>
            </w:r>
            <w:r>
              <w:rPr>
                <w:rFonts w:ascii="宋体" w:hAnsi="宋体"/>
                <w:szCs w:val="20"/>
              </w:rPr>
              <w:t>。</w:t>
            </w:r>
          </w:p>
          <w:p w14:paraId="7B44E8EC">
            <w:pPr>
              <w:spacing w:line="300" w:lineRule="exact"/>
              <w:jc w:val="left"/>
              <w:rPr>
                <w:rFonts w:ascii="宋体" w:hAnsi="宋体"/>
                <w:szCs w:val="21"/>
              </w:rPr>
            </w:pPr>
            <w:r>
              <w:rPr>
                <w:rFonts w:ascii="宋体" w:hAnsi="宋体"/>
                <w:szCs w:val="21"/>
              </w:rPr>
              <w:t>（2）成交供应商在成交通知书发出前以银行转账或现金形式支付代理服务费；采购代理机构也可以从成交供应商的磋商保证金中扣除上述金额的代理服务费，余款按供应商所汇入磋商保证金的账户原路退回，如无法原路返回，则按《代理服务费承诺书》列明的账户退回。</w:t>
            </w:r>
          </w:p>
          <w:p w14:paraId="1DA8AB1C">
            <w:pPr>
              <w:spacing w:line="300" w:lineRule="exact"/>
              <w:jc w:val="left"/>
              <w:rPr>
                <w:rFonts w:ascii="宋体" w:hAnsi="宋体"/>
                <w:kern w:val="0"/>
                <w:szCs w:val="21"/>
              </w:rPr>
            </w:pPr>
            <w:r>
              <w:rPr>
                <w:rFonts w:ascii="宋体" w:hAnsi="宋体"/>
                <w:kern w:val="0"/>
                <w:szCs w:val="21"/>
              </w:rPr>
              <w:t>开户银行：广西北部湾银行南宁市金湖支行</w:t>
            </w:r>
          </w:p>
          <w:p w14:paraId="6AB910EF">
            <w:pPr>
              <w:spacing w:line="300" w:lineRule="exact"/>
              <w:jc w:val="left"/>
              <w:rPr>
                <w:rFonts w:ascii="宋体" w:hAnsi="宋体"/>
                <w:kern w:val="0"/>
                <w:szCs w:val="21"/>
              </w:rPr>
            </w:pPr>
            <w:r>
              <w:rPr>
                <w:rFonts w:ascii="宋体" w:hAnsi="宋体"/>
                <w:kern w:val="0"/>
                <w:szCs w:val="21"/>
              </w:rPr>
              <w:t>（银行地址：南宁市金湖路57号文德大厦1楼）</w:t>
            </w:r>
          </w:p>
          <w:p w14:paraId="58CB90C4">
            <w:pPr>
              <w:spacing w:line="300" w:lineRule="exact"/>
              <w:jc w:val="left"/>
              <w:rPr>
                <w:rFonts w:ascii="宋体" w:hAnsi="宋体"/>
                <w:kern w:val="0"/>
                <w:szCs w:val="21"/>
              </w:rPr>
            </w:pPr>
            <w:r>
              <w:rPr>
                <w:rFonts w:ascii="宋体" w:hAnsi="宋体"/>
                <w:kern w:val="0"/>
                <w:szCs w:val="21"/>
              </w:rPr>
              <w:t>开户名称：广西机电设备招标有限公司</w:t>
            </w:r>
          </w:p>
          <w:p w14:paraId="147D9748">
            <w:pPr>
              <w:spacing w:line="300" w:lineRule="exact"/>
              <w:jc w:val="left"/>
              <w:rPr>
                <w:rFonts w:ascii="宋体" w:hAnsi="宋体"/>
                <w:kern w:val="0"/>
                <w:szCs w:val="21"/>
              </w:rPr>
            </w:pPr>
            <w:r>
              <w:rPr>
                <w:rFonts w:ascii="宋体" w:hAnsi="宋体"/>
                <w:kern w:val="0"/>
                <w:szCs w:val="21"/>
              </w:rPr>
              <w:t>银行账号：1705012090027723 (联行号 313611017053)</w:t>
            </w:r>
          </w:p>
          <w:p w14:paraId="31216419">
            <w:pPr>
              <w:spacing w:line="300" w:lineRule="exact"/>
              <w:jc w:val="left"/>
              <w:rPr>
                <w:rFonts w:ascii="宋体" w:hAnsi="宋体"/>
                <w:kern w:val="0"/>
                <w:szCs w:val="21"/>
              </w:rPr>
            </w:pPr>
            <w:r>
              <w:rPr>
                <w:rFonts w:ascii="宋体" w:hAnsi="宋体"/>
                <w:kern w:val="0"/>
                <w:szCs w:val="21"/>
              </w:rPr>
              <w:t>财务联系人：吴茜（电话：0771-2821398）</w:t>
            </w:r>
          </w:p>
        </w:tc>
      </w:tr>
      <w:tr w14:paraId="43A927B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2" w:hRule="atLeast"/>
        </w:trPr>
        <w:tc>
          <w:tcPr>
            <w:tcW w:w="737" w:type="dxa"/>
            <w:tcBorders>
              <w:top w:val="single" w:color="auto" w:sz="4" w:space="0"/>
              <w:left w:val="single" w:color="auto" w:sz="4" w:space="0"/>
              <w:bottom w:val="single" w:color="auto" w:sz="4" w:space="0"/>
              <w:right w:val="single" w:color="auto" w:sz="4" w:space="0"/>
            </w:tcBorders>
            <w:vAlign w:val="center"/>
          </w:tcPr>
          <w:p w14:paraId="3A660757">
            <w:pPr>
              <w:spacing w:line="300" w:lineRule="exact"/>
              <w:jc w:val="center"/>
              <w:rPr>
                <w:rFonts w:ascii="宋体" w:hAnsi="宋体"/>
                <w:b/>
                <w:szCs w:val="21"/>
              </w:rPr>
            </w:pPr>
            <w:r>
              <w:rPr>
                <w:rFonts w:ascii="宋体" w:hAnsi="宋体"/>
                <w:b/>
                <w:szCs w:val="21"/>
              </w:rPr>
              <w:t>9.3</w:t>
            </w:r>
          </w:p>
        </w:tc>
        <w:tc>
          <w:tcPr>
            <w:tcW w:w="1248" w:type="dxa"/>
            <w:tcBorders>
              <w:top w:val="single" w:color="auto" w:sz="4" w:space="0"/>
              <w:left w:val="single" w:color="auto" w:sz="4" w:space="0"/>
              <w:bottom w:val="single" w:color="auto" w:sz="4" w:space="0"/>
              <w:right w:val="single" w:color="auto" w:sz="4" w:space="0"/>
            </w:tcBorders>
            <w:vAlign w:val="center"/>
          </w:tcPr>
          <w:p w14:paraId="773475C9">
            <w:pPr>
              <w:spacing w:line="300" w:lineRule="exact"/>
              <w:jc w:val="center"/>
              <w:rPr>
                <w:rFonts w:ascii="宋体" w:hAnsi="宋体"/>
                <w:szCs w:val="20"/>
              </w:rPr>
            </w:pPr>
            <w:r>
              <w:rPr>
                <w:rFonts w:ascii="宋体" w:hAnsi="宋体"/>
                <w:szCs w:val="20"/>
              </w:rPr>
              <w:t>附件</w:t>
            </w:r>
          </w:p>
        </w:tc>
        <w:tc>
          <w:tcPr>
            <w:tcW w:w="7229" w:type="dxa"/>
            <w:tcBorders>
              <w:top w:val="single" w:color="auto" w:sz="4" w:space="0"/>
              <w:left w:val="single" w:color="auto" w:sz="4" w:space="0"/>
              <w:bottom w:val="single" w:color="auto" w:sz="4" w:space="0"/>
              <w:right w:val="single" w:color="auto" w:sz="4" w:space="0"/>
            </w:tcBorders>
            <w:vAlign w:val="center"/>
          </w:tcPr>
          <w:p w14:paraId="3297906A">
            <w:pPr>
              <w:spacing w:line="276" w:lineRule="auto"/>
              <w:rPr>
                <w:rFonts w:ascii="宋体" w:hAnsi="宋体"/>
                <w:szCs w:val="21"/>
              </w:rPr>
            </w:pPr>
            <w:r>
              <w:rPr>
                <w:rFonts w:ascii="宋体" w:hAnsi="宋体"/>
                <w:sz w:val="22"/>
                <w:szCs w:val="22"/>
              </w:rPr>
              <w:sym w:font="Wingdings 2" w:char="F052"/>
            </w:r>
            <w:r>
              <w:rPr>
                <w:rFonts w:ascii="宋体" w:hAnsi="宋体"/>
                <w:szCs w:val="21"/>
              </w:rPr>
              <w:t>无</w:t>
            </w:r>
          </w:p>
          <w:p w14:paraId="7B8BF7AA">
            <w:pPr>
              <w:spacing w:line="276" w:lineRule="auto"/>
              <w:rPr>
                <w:rFonts w:ascii="宋体" w:hAnsi="宋体"/>
                <w:szCs w:val="21"/>
                <w:u w:val="single"/>
              </w:rPr>
            </w:pPr>
            <w:r>
              <w:rPr>
                <w:rFonts w:ascii="宋体" w:hAnsi="宋体"/>
                <w:szCs w:val="21"/>
              </w:rPr>
              <w:t>□有，详见：</w:t>
            </w:r>
            <w:r>
              <w:rPr>
                <w:rFonts w:ascii="宋体" w:hAnsi="宋体"/>
                <w:szCs w:val="21"/>
                <w:u w:val="single"/>
              </w:rPr>
              <w:t xml:space="preserve">          </w:t>
            </w:r>
          </w:p>
        </w:tc>
      </w:tr>
      <w:tr w14:paraId="37AAF0E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36" w:hRule="atLeast"/>
        </w:trPr>
        <w:tc>
          <w:tcPr>
            <w:tcW w:w="737" w:type="dxa"/>
            <w:tcBorders>
              <w:top w:val="single" w:color="auto" w:sz="4" w:space="0"/>
              <w:left w:val="single" w:color="auto" w:sz="4" w:space="0"/>
              <w:bottom w:val="single" w:color="auto" w:sz="4" w:space="0"/>
              <w:right w:val="single" w:color="auto" w:sz="4" w:space="0"/>
            </w:tcBorders>
            <w:vAlign w:val="center"/>
          </w:tcPr>
          <w:p w14:paraId="4B64CA14">
            <w:pPr>
              <w:spacing w:line="300" w:lineRule="exact"/>
              <w:jc w:val="center"/>
              <w:rPr>
                <w:rFonts w:ascii="宋体" w:hAnsi="宋体"/>
                <w:b/>
                <w:szCs w:val="21"/>
              </w:rPr>
            </w:pPr>
            <w:r>
              <w:rPr>
                <w:rFonts w:ascii="宋体" w:hAnsi="宋体"/>
                <w:b/>
                <w:szCs w:val="21"/>
              </w:rPr>
              <w:t>9.3</w:t>
            </w:r>
          </w:p>
        </w:tc>
        <w:tc>
          <w:tcPr>
            <w:tcW w:w="1248" w:type="dxa"/>
            <w:tcBorders>
              <w:top w:val="single" w:color="auto" w:sz="4" w:space="0"/>
              <w:left w:val="single" w:color="auto" w:sz="4" w:space="0"/>
              <w:bottom w:val="single" w:color="auto" w:sz="4" w:space="0"/>
              <w:right w:val="single" w:color="auto" w:sz="4" w:space="0"/>
            </w:tcBorders>
            <w:vAlign w:val="center"/>
          </w:tcPr>
          <w:p w14:paraId="74A9491D">
            <w:pPr>
              <w:spacing w:line="300" w:lineRule="exact"/>
              <w:jc w:val="center"/>
              <w:rPr>
                <w:rFonts w:ascii="宋体" w:hAnsi="宋体"/>
                <w:szCs w:val="20"/>
              </w:rPr>
            </w:pPr>
            <w:r>
              <w:rPr>
                <w:rFonts w:ascii="宋体" w:hAnsi="宋体"/>
                <w:szCs w:val="20"/>
              </w:rPr>
              <w:t>图纸</w:t>
            </w:r>
          </w:p>
        </w:tc>
        <w:tc>
          <w:tcPr>
            <w:tcW w:w="7229" w:type="dxa"/>
            <w:tcBorders>
              <w:top w:val="single" w:color="auto" w:sz="4" w:space="0"/>
              <w:left w:val="single" w:color="auto" w:sz="4" w:space="0"/>
              <w:bottom w:val="single" w:color="auto" w:sz="4" w:space="0"/>
              <w:right w:val="single" w:color="auto" w:sz="4" w:space="0"/>
            </w:tcBorders>
            <w:vAlign w:val="center"/>
          </w:tcPr>
          <w:p w14:paraId="1D66D44D">
            <w:pPr>
              <w:spacing w:line="276" w:lineRule="auto"/>
              <w:rPr>
                <w:rFonts w:ascii="宋体" w:hAnsi="宋体"/>
                <w:szCs w:val="21"/>
              </w:rPr>
            </w:pPr>
            <w:r>
              <w:rPr>
                <w:rFonts w:ascii="宋体" w:hAnsi="宋体"/>
                <w:sz w:val="22"/>
                <w:szCs w:val="22"/>
              </w:rPr>
              <w:sym w:font="Wingdings 2" w:char="F052"/>
            </w:r>
            <w:r>
              <w:rPr>
                <w:rFonts w:ascii="宋体" w:hAnsi="宋体"/>
                <w:szCs w:val="21"/>
              </w:rPr>
              <w:t>无</w:t>
            </w:r>
          </w:p>
          <w:p w14:paraId="0CEB3DB5">
            <w:pPr>
              <w:spacing w:line="276" w:lineRule="auto"/>
              <w:rPr>
                <w:rFonts w:ascii="宋体" w:hAnsi="宋体"/>
                <w:szCs w:val="21"/>
                <w:u w:val="single"/>
              </w:rPr>
            </w:pPr>
            <w:r>
              <w:rPr>
                <w:rFonts w:ascii="宋体" w:hAnsi="宋体"/>
                <w:szCs w:val="21"/>
              </w:rPr>
              <w:t>□有，详见：</w:t>
            </w:r>
            <w:r>
              <w:rPr>
                <w:rFonts w:ascii="宋体" w:hAnsi="宋体"/>
                <w:szCs w:val="21"/>
                <w:u w:val="single"/>
              </w:rPr>
              <w:t xml:space="preserve">             </w:t>
            </w:r>
          </w:p>
        </w:tc>
      </w:tr>
      <w:tr w14:paraId="2268EF2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3" w:hRule="atLeast"/>
        </w:trPr>
        <w:tc>
          <w:tcPr>
            <w:tcW w:w="737" w:type="dxa"/>
            <w:tcBorders>
              <w:top w:val="single" w:color="auto" w:sz="4" w:space="0"/>
              <w:left w:val="single" w:color="auto" w:sz="4" w:space="0"/>
              <w:bottom w:val="single" w:color="auto" w:sz="4" w:space="0"/>
              <w:right w:val="single" w:color="auto" w:sz="4" w:space="0"/>
            </w:tcBorders>
            <w:vAlign w:val="center"/>
          </w:tcPr>
          <w:p w14:paraId="33E928A2">
            <w:pPr>
              <w:spacing w:line="300" w:lineRule="exact"/>
              <w:jc w:val="center"/>
              <w:rPr>
                <w:rFonts w:ascii="宋体" w:hAnsi="宋体"/>
                <w:b/>
                <w:szCs w:val="21"/>
              </w:rPr>
            </w:pPr>
            <w:r>
              <w:rPr>
                <w:rFonts w:ascii="宋体" w:hAnsi="宋体"/>
                <w:b/>
                <w:szCs w:val="21"/>
              </w:rPr>
              <w:t>9.4</w:t>
            </w:r>
          </w:p>
        </w:tc>
        <w:tc>
          <w:tcPr>
            <w:tcW w:w="1248" w:type="dxa"/>
            <w:tcBorders>
              <w:top w:val="single" w:color="auto" w:sz="4" w:space="0"/>
              <w:left w:val="single" w:color="auto" w:sz="4" w:space="0"/>
              <w:bottom w:val="single" w:color="auto" w:sz="4" w:space="0"/>
              <w:right w:val="single" w:color="auto" w:sz="4" w:space="0"/>
            </w:tcBorders>
            <w:vAlign w:val="center"/>
          </w:tcPr>
          <w:p w14:paraId="12C8B0B6">
            <w:pPr>
              <w:spacing w:line="300" w:lineRule="exact"/>
              <w:jc w:val="center"/>
              <w:rPr>
                <w:rFonts w:ascii="宋体" w:hAnsi="宋体"/>
                <w:szCs w:val="20"/>
              </w:rPr>
            </w:pPr>
            <w:r>
              <w:rPr>
                <w:rFonts w:ascii="宋体" w:hAnsi="宋体"/>
                <w:szCs w:val="20"/>
              </w:rPr>
              <w:t>其他事项</w:t>
            </w:r>
          </w:p>
        </w:tc>
        <w:tc>
          <w:tcPr>
            <w:tcW w:w="7229" w:type="dxa"/>
            <w:tcBorders>
              <w:top w:val="single" w:color="auto" w:sz="4" w:space="0"/>
              <w:left w:val="single" w:color="auto" w:sz="4" w:space="0"/>
              <w:bottom w:val="single" w:color="auto" w:sz="4" w:space="0"/>
              <w:right w:val="single" w:color="auto" w:sz="4" w:space="0"/>
            </w:tcBorders>
            <w:vAlign w:val="center"/>
          </w:tcPr>
          <w:p w14:paraId="382FF223">
            <w:pPr>
              <w:spacing w:line="276" w:lineRule="auto"/>
              <w:rPr>
                <w:rFonts w:ascii="宋体" w:hAnsi="宋体"/>
                <w:sz w:val="24"/>
              </w:rPr>
            </w:pPr>
            <w:r>
              <w:rPr>
                <w:rFonts w:ascii="宋体" w:hAnsi="宋体"/>
                <w:szCs w:val="21"/>
              </w:rPr>
              <w:t>本文件中内容如有前后不一致，以在采购文件先出现的为准。</w:t>
            </w:r>
          </w:p>
        </w:tc>
      </w:tr>
    </w:tbl>
    <w:p w14:paraId="2EAB54C1">
      <w:pPr>
        <w:rPr>
          <w:rFonts w:ascii="宋体" w:hAnsi="宋体"/>
        </w:rPr>
      </w:pPr>
    </w:p>
    <w:bookmarkEnd w:id="22"/>
    <w:p w14:paraId="7DDF42AE">
      <w:pPr>
        <w:spacing w:before="120" w:line="320" w:lineRule="atLeast"/>
        <w:outlineLvl w:val="1"/>
        <w:rPr>
          <w:rFonts w:ascii="宋体" w:hAnsi="宋体"/>
          <w:b/>
          <w:bCs/>
          <w:kern w:val="0"/>
          <w:szCs w:val="21"/>
        </w:rPr>
      </w:pPr>
      <w:r>
        <w:rPr>
          <w:rFonts w:ascii="宋体" w:hAnsi="宋体"/>
          <w:szCs w:val="21"/>
        </w:rPr>
        <w:br w:type="page"/>
      </w:r>
      <w:bookmarkStart w:id="24" w:name="_Toc254970690"/>
      <w:bookmarkStart w:id="25" w:name="_Toc254970549"/>
      <w:r>
        <w:rPr>
          <w:rFonts w:ascii="宋体" w:hAnsi="宋体"/>
          <w:b/>
          <w:bCs/>
          <w:kern w:val="0"/>
          <w:szCs w:val="21"/>
        </w:rPr>
        <w:t>1．总则</w:t>
      </w:r>
    </w:p>
    <w:p w14:paraId="790E13DB">
      <w:pPr>
        <w:spacing w:before="120" w:line="320" w:lineRule="atLeast"/>
        <w:ind w:firstLine="422" w:firstLineChars="200"/>
        <w:outlineLvl w:val="2"/>
        <w:rPr>
          <w:rFonts w:ascii="宋体" w:hAnsi="宋体"/>
          <w:b/>
          <w:bCs/>
          <w:kern w:val="0"/>
          <w:szCs w:val="21"/>
        </w:rPr>
      </w:pPr>
      <w:bookmarkStart w:id="26" w:name="_Toc254970668"/>
      <w:bookmarkStart w:id="27" w:name="_Toc254970527"/>
      <w:r>
        <w:rPr>
          <w:rFonts w:ascii="宋体" w:hAnsi="宋体"/>
          <w:b/>
          <w:bCs/>
          <w:kern w:val="0"/>
          <w:szCs w:val="21"/>
        </w:rPr>
        <w:t>1.1适用范围</w:t>
      </w:r>
      <w:bookmarkEnd w:id="26"/>
      <w:bookmarkEnd w:id="27"/>
    </w:p>
    <w:p w14:paraId="2C1CA222">
      <w:pPr>
        <w:spacing w:before="120" w:line="320" w:lineRule="atLeast"/>
        <w:ind w:firstLine="420" w:firstLineChars="200"/>
        <w:rPr>
          <w:rFonts w:ascii="宋体" w:hAnsi="宋体"/>
          <w:szCs w:val="21"/>
        </w:rPr>
      </w:pPr>
      <w:r>
        <w:rPr>
          <w:rFonts w:ascii="宋体" w:hAnsi="宋体"/>
          <w:szCs w:val="21"/>
        </w:rPr>
        <w:t>本采购文件适用于供应商须知前附表所述项目的</w:t>
      </w:r>
      <w:r>
        <w:rPr>
          <w:rFonts w:hint="eastAsia" w:ascii="宋体" w:hAnsi="宋体"/>
          <w:szCs w:val="21"/>
        </w:rPr>
        <w:t>政府采购活动。</w:t>
      </w:r>
    </w:p>
    <w:p w14:paraId="6184C9A4">
      <w:pPr>
        <w:spacing w:before="120" w:line="320" w:lineRule="atLeast"/>
        <w:ind w:firstLine="422" w:firstLineChars="200"/>
        <w:outlineLvl w:val="2"/>
        <w:rPr>
          <w:rFonts w:ascii="宋体" w:hAnsi="宋体"/>
          <w:b/>
          <w:bCs/>
          <w:kern w:val="0"/>
          <w:szCs w:val="21"/>
        </w:rPr>
      </w:pPr>
      <w:bookmarkStart w:id="28" w:name="_Toc254970669"/>
      <w:bookmarkStart w:id="29" w:name="_Toc254970528"/>
      <w:r>
        <w:rPr>
          <w:rFonts w:ascii="宋体" w:hAnsi="宋体"/>
          <w:b/>
          <w:bCs/>
          <w:kern w:val="0"/>
          <w:szCs w:val="21"/>
        </w:rPr>
        <w:t>1.2定义</w:t>
      </w:r>
      <w:bookmarkEnd w:id="28"/>
      <w:bookmarkEnd w:id="29"/>
    </w:p>
    <w:p w14:paraId="3E3889DF">
      <w:pPr>
        <w:spacing w:before="120" w:line="320" w:lineRule="atLeast"/>
        <w:ind w:firstLine="420" w:firstLineChars="200"/>
        <w:rPr>
          <w:rFonts w:ascii="宋体" w:hAnsi="宋体"/>
          <w:szCs w:val="21"/>
        </w:rPr>
      </w:pPr>
      <w:r>
        <w:rPr>
          <w:rFonts w:ascii="宋体" w:hAnsi="宋体"/>
          <w:szCs w:val="21"/>
        </w:rPr>
        <w:t>1.2.1“采购人”系指依法进行政府采购的国家机关、事业单位、团体组织。</w:t>
      </w:r>
    </w:p>
    <w:p w14:paraId="1A0DFC11">
      <w:pPr>
        <w:spacing w:before="120" w:line="320" w:lineRule="atLeast"/>
        <w:ind w:firstLine="420" w:firstLineChars="200"/>
        <w:rPr>
          <w:rFonts w:ascii="宋体" w:hAnsi="宋体"/>
          <w:szCs w:val="21"/>
        </w:rPr>
      </w:pPr>
      <w:r>
        <w:rPr>
          <w:rFonts w:ascii="宋体" w:hAnsi="宋体"/>
          <w:szCs w:val="21"/>
        </w:rPr>
        <w:t>1.2.2“供应商”系</w:t>
      </w:r>
      <w:r>
        <w:rPr>
          <w:rFonts w:ascii="宋体" w:hAnsi="宋体"/>
        </w:rPr>
        <w:t>指响应招标、参加投标竞争的法人、其他组织或者自然人</w:t>
      </w:r>
      <w:r>
        <w:rPr>
          <w:rFonts w:ascii="宋体" w:hAnsi="宋体"/>
          <w:szCs w:val="21"/>
        </w:rPr>
        <w:t>。</w:t>
      </w:r>
    </w:p>
    <w:p w14:paraId="258BD9AA">
      <w:pPr>
        <w:spacing w:before="120" w:line="360" w:lineRule="auto"/>
        <w:ind w:firstLine="420" w:firstLineChars="200"/>
        <w:rPr>
          <w:rFonts w:ascii="宋体" w:hAnsi="宋体"/>
        </w:rPr>
      </w:pPr>
      <w:r>
        <w:rPr>
          <w:rFonts w:hint="eastAsia" w:ascii="宋体" w:hAnsi="宋体"/>
        </w:rPr>
        <w:t>1.2.3</w:t>
      </w:r>
      <w:r>
        <w:rPr>
          <w:rFonts w:ascii="宋体" w:hAnsi="宋体"/>
        </w:rPr>
        <w:t>本</w:t>
      </w:r>
      <w:r>
        <w:rPr>
          <w:rFonts w:hint="eastAsia" w:ascii="宋体" w:hAnsi="宋体"/>
        </w:rPr>
        <w:t>文件</w:t>
      </w:r>
      <w:r>
        <w:rPr>
          <w:rFonts w:ascii="宋体" w:hAnsi="宋体"/>
        </w:rPr>
        <w:t>中的</w:t>
      </w:r>
      <w:r>
        <w:rPr>
          <w:rFonts w:hint="eastAsia" w:ascii="宋体" w:hAnsi="宋体"/>
        </w:rPr>
        <w:t>“法定代表人”若无特别说明，当</w:t>
      </w:r>
      <w:r>
        <w:rPr>
          <w:rFonts w:ascii="宋体" w:hAnsi="宋体"/>
        </w:rPr>
        <w:t>供应商是</w:t>
      </w:r>
      <w:r>
        <w:rPr>
          <w:rFonts w:hint="eastAsia" w:ascii="宋体" w:hAnsi="宋体"/>
        </w:rPr>
        <w:t>企业的，是指企业法人营业执照上的法定代表人；当</w:t>
      </w:r>
      <w:r>
        <w:rPr>
          <w:rFonts w:ascii="宋体" w:hAnsi="宋体"/>
        </w:rPr>
        <w:t>供应商是</w:t>
      </w:r>
      <w:r>
        <w:rPr>
          <w:rFonts w:hint="eastAsia" w:ascii="宋体" w:hAnsi="宋体"/>
        </w:rPr>
        <w:t>事业单位的，是指事业单位法人证书上的法定代表人；当</w:t>
      </w:r>
      <w:r>
        <w:rPr>
          <w:rFonts w:ascii="宋体" w:hAnsi="宋体"/>
        </w:rPr>
        <w:t>供应商是</w:t>
      </w:r>
      <w:r>
        <w:rPr>
          <w:rFonts w:hint="eastAsia" w:ascii="宋体" w:hAnsi="宋体"/>
        </w:rPr>
        <w:t>社会团体、民办非企业的，是指法人登记证书中的法定代表人；当</w:t>
      </w:r>
      <w:r>
        <w:rPr>
          <w:rFonts w:ascii="宋体" w:hAnsi="宋体"/>
        </w:rPr>
        <w:t>供应商是</w:t>
      </w:r>
      <w:r>
        <w:rPr>
          <w:rFonts w:hint="eastAsia" w:ascii="宋体" w:hAnsi="宋体"/>
        </w:rPr>
        <w:t>个体工商户的，是指个体工商户营业执照上的经营者；</w:t>
      </w:r>
      <w:r>
        <w:rPr>
          <w:rFonts w:ascii="宋体" w:hAnsi="宋体"/>
        </w:rPr>
        <w:t>当供应商是自然人</w:t>
      </w:r>
      <w:r>
        <w:rPr>
          <w:rFonts w:hint="eastAsia" w:ascii="宋体" w:hAnsi="宋体"/>
        </w:rPr>
        <w:t>的，是指参与本项目响应的自然人本人。</w:t>
      </w:r>
      <w:r>
        <w:rPr>
          <w:rFonts w:ascii="宋体" w:hAnsi="宋体"/>
        </w:rPr>
        <w:br w:type="textWrapping"/>
      </w:r>
      <w:r>
        <w:rPr>
          <w:rFonts w:ascii="宋体" w:hAnsi="宋体"/>
        </w:rPr>
        <w:t xml:space="preserve">    </w:t>
      </w:r>
      <w:r>
        <w:rPr>
          <w:rFonts w:hint="eastAsia" w:ascii="宋体" w:hAnsi="宋体"/>
        </w:rPr>
        <w:t>1.2.4本文件中的“公章”是指根据我国对公章的管理规定，用供应商法定主体行为名称制作的印章，除本文件有特殊规定外，供应商的财务章、部门章、分公司章、工会章、合同章、投标专用章、业务专用章及银行的转账章、现金收讫章、现金付讫章等其他形式印章均不能代替公章。本文件中的“签章”是指电子签名的一种表现形式，利用图像处理技术将电子签名操作转化为与纸质文件盖章操作相同的可视效果，同时利用电子签名技术保障电子信息的真实性和完整性以及签名人的不可否认性。</w:t>
      </w:r>
    </w:p>
    <w:p w14:paraId="012A1F29">
      <w:pPr>
        <w:widowControl/>
        <w:spacing w:line="360" w:lineRule="auto"/>
        <w:ind w:firstLine="420" w:firstLineChars="200"/>
        <w:jc w:val="left"/>
        <w:rPr>
          <w:rFonts w:ascii="宋体" w:hAnsi="宋体"/>
          <w:szCs w:val="21"/>
        </w:rPr>
      </w:pPr>
      <w:r>
        <w:rPr>
          <w:rFonts w:ascii="宋体" w:hAnsi="宋体"/>
          <w:szCs w:val="21"/>
        </w:rPr>
        <w:t>1.2.</w:t>
      </w:r>
      <w:r>
        <w:rPr>
          <w:rFonts w:hint="eastAsia" w:ascii="宋体" w:hAnsi="宋体"/>
          <w:szCs w:val="21"/>
        </w:rPr>
        <w:t>5</w:t>
      </w:r>
      <w:r>
        <w:rPr>
          <w:rFonts w:ascii="宋体" w:hAnsi="宋体"/>
          <w:szCs w:val="21"/>
        </w:rPr>
        <w:t>“书面形式”如无特殊规定，</w:t>
      </w:r>
      <w:r>
        <w:rPr>
          <w:rFonts w:hint="eastAsia" w:ascii="宋体" w:hAnsi="宋体"/>
          <w:szCs w:val="21"/>
        </w:rPr>
        <w:t>书面形式是合同书、信件、电报、电传等可以有形地表现所载内容的形式。以电子数据交换、电子邮件等方式能够有形地表现所载内容，并可以随时调取查用的数据电文，视为书面形式。</w:t>
      </w:r>
      <w:r>
        <w:rPr>
          <w:rFonts w:ascii="宋体" w:hAnsi="宋体"/>
          <w:szCs w:val="21"/>
        </w:rPr>
        <w:t xml:space="preserve">采购文件如有特殊规定，以采购文件规定为准。 </w:t>
      </w:r>
    </w:p>
    <w:p w14:paraId="47FA178C">
      <w:pPr>
        <w:spacing w:before="120" w:line="320" w:lineRule="atLeast"/>
        <w:ind w:firstLine="420" w:firstLineChars="200"/>
        <w:rPr>
          <w:rFonts w:ascii="宋体" w:hAnsi="宋体"/>
          <w:szCs w:val="21"/>
        </w:rPr>
      </w:pPr>
      <w:r>
        <w:rPr>
          <w:rFonts w:ascii="宋体" w:hAnsi="宋体"/>
          <w:szCs w:val="21"/>
        </w:rPr>
        <w:t>1.2.</w:t>
      </w:r>
      <w:r>
        <w:rPr>
          <w:rFonts w:hint="eastAsia" w:ascii="宋体" w:hAnsi="宋体"/>
          <w:szCs w:val="21"/>
        </w:rPr>
        <w:t>6本项目的技术商务要求重要性分为“▲”（如有）、“#”（如有）和一般无标识指标。▲代表实质性要求指标，</w:t>
      </w:r>
      <w:r>
        <w:rPr>
          <w:rFonts w:hint="eastAsia" w:ascii="宋体" w:hAnsi="宋体"/>
          <w:b/>
          <w:bCs/>
          <w:szCs w:val="21"/>
        </w:rPr>
        <w:t>不满足该指标项将导致响应被否决</w:t>
      </w:r>
      <w:r>
        <w:rPr>
          <w:rFonts w:hint="eastAsia" w:ascii="宋体" w:hAnsi="宋体"/>
          <w:szCs w:val="21"/>
        </w:rPr>
        <w:t>，#代表重要指标，无标识则表示一般指标项。</w:t>
      </w:r>
    </w:p>
    <w:p w14:paraId="606643C7">
      <w:pPr>
        <w:spacing w:before="120" w:line="320" w:lineRule="atLeast"/>
        <w:ind w:firstLine="420" w:firstLineChars="200"/>
        <w:rPr>
          <w:rFonts w:ascii="宋体" w:hAnsi="宋体"/>
          <w:szCs w:val="21"/>
        </w:rPr>
      </w:pPr>
      <w:r>
        <w:rPr>
          <w:rFonts w:ascii="宋体" w:hAnsi="宋体"/>
          <w:szCs w:val="21"/>
        </w:rPr>
        <w:t>1.2.</w:t>
      </w:r>
      <w:r>
        <w:rPr>
          <w:rFonts w:hint="eastAsia" w:ascii="宋体" w:hAnsi="宋体"/>
          <w:szCs w:val="21"/>
        </w:rPr>
        <w:t>7 本</w:t>
      </w:r>
      <w:r>
        <w:rPr>
          <w:rFonts w:ascii="宋体" w:hAnsi="宋体"/>
          <w:szCs w:val="21"/>
        </w:rPr>
        <w:t>采购文件</w:t>
      </w:r>
      <w:r>
        <w:rPr>
          <w:rFonts w:hint="eastAsia" w:ascii="宋体" w:hAnsi="宋体"/>
          <w:szCs w:val="21"/>
        </w:rPr>
        <w:t>出现多种选项的条款，以“</w:t>
      </w:r>
      <w:r>
        <w:rPr>
          <w:rFonts w:ascii="宋体" w:hAnsi="宋体"/>
        </w:rPr>
        <w:sym w:font="Wingdings 2" w:char="F052"/>
      </w:r>
      <w:r>
        <w:rPr>
          <w:rFonts w:hint="eastAsia" w:ascii="宋体" w:hAnsi="宋体"/>
          <w:szCs w:val="21"/>
        </w:rPr>
        <w:t>”表示本条款所选择的方式。</w:t>
      </w:r>
    </w:p>
    <w:p w14:paraId="4E432081">
      <w:pPr>
        <w:spacing w:before="120" w:line="320" w:lineRule="atLeast"/>
        <w:ind w:firstLine="420" w:firstLineChars="200"/>
        <w:rPr>
          <w:rFonts w:ascii="宋体" w:hAnsi="宋体"/>
          <w:szCs w:val="21"/>
        </w:rPr>
      </w:pPr>
      <w:r>
        <w:rPr>
          <w:rFonts w:hint="eastAsia" w:ascii="宋体" w:hAnsi="宋体"/>
          <w:szCs w:val="21"/>
        </w:rPr>
        <w:t>1.</w:t>
      </w:r>
      <w:r>
        <w:rPr>
          <w:rFonts w:ascii="宋体" w:hAnsi="宋体"/>
          <w:szCs w:val="21"/>
        </w:rPr>
        <w:t>2</w:t>
      </w:r>
      <w:r>
        <w:rPr>
          <w:rFonts w:hint="eastAsia" w:ascii="宋体" w:hAnsi="宋体"/>
          <w:szCs w:val="21"/>
        </w:rPr>
        <w:t>.</w:t>
      </w:r>
      <w:r>
        <w:rPr>
          <w:rFonts w:ascii="宋体" w:hAnsi="宋体"/>
          <w:szCs w:val="21"/>
        </w:rPr>
        <w:t>8 “</w:t>
      </w:r>
      <w:r>
        <w:rPr>
          <w:rFonts w:hint="eastAsia" w:ascii="宋体" w:hAnsi="宋体"/>
          <w:szCs w:val="21"/>
        </w:rPr>
        <w:t>电子交易平台</w:t>
      </w:r>
      <w:r>
        <w:rPr>
          <w:rFonts w:ascii="宋体" w:hAnsi="宋体"/>
          <w:szCs w:val="21"/>
        </w:rPr>
        <w:t>”</w:t>
      </w:r>
      <w:r>
        <w:rPr>
          <w:rFonts w:hint="eastAsia" w:ascii="宋体" w:hAnsi="宋体"/>
          <w:szCs w:val="21"/>
        </w:rPr>
        <w:t>是指以数据电文形式在线完成采购活动的信息平台，本采购文件中也称</w:t>
      </w:r>
      <w:r>
        <w:rPr>
          <w:rFonts w:ascii="宋体" w:hAnsi="宋体"/>
          <w:szCs w:val="21"/>
        </w:rPr>
        <w:t>“</w:t>
      </w:r>
      <w:r>
        <w:rPr>
          <w:rFonts w:hint="eastAsia" w:ascii="宋体" w:hAnsi="宋体"/>
          <w:szCs w:val="21"/>
        </w:rPr>
        <w:t>广西政府采购云平台</w:t>
      </w:r>
      <w:r>
        <w:rPr>
          <w:rFonts w:ascii="宋体" w:hAnsi="宋体"/>
          <w:szCs w:val="21"/>
        </w:rPr>
        <w:t>”</w:t>
      </w:r>
      <w:r>
        <w:rPr>
          <w:rFonts w:hint="eastAsia" w:ascii="宋体" w:hAnsi="宋体"/>
          <w:szCs w:val="21"/>
        </w:rPr>
        <w:t>。</w:t>
      </w:r>
    </w:p>
    <w:p w14:paraId="0042CE55">
      <w:pPr>
        <w:spacing w:before="120" w:line="320" w:lineRule="atLeast"/>
        <w:ind w:firstLine="422" w:firstLineChars="200"/>
        <w:outlineLvl w:val="2"/>
        <w:rPr>
          <w:rFonts w:ascii="宋体" w:hAnsi="宋体"/>
          <w:b/>
          <w:bCs/>
          <w:kern w:val="0"/>
          <w:szCs w:val="21"/>
        </w:rPr>
      </w:pPr>
      <w:r>
        <w:rPr>
          <w:rFonts w:hint="eastAsia" w:ascii="宋体" w:hAnsi="宋体"/>
          <w:b/>
          <w:bCs/>
          <w:kern w:val="0"/>
          <w:szCs w:val="21"/>
        </w:rPr>
        <w:t>1</w:t>
      </w:r>
      <w:r>
        <w:rPr>
          <w:rFonts w:ascii="宋体" w:hAnsi="宋体"/>
          <w:b/>
          <w:bCs/>
          <w:kern w:val="0"/>
          <w:szCs w:val="21"/>
        </w:rPr>
        <w:t>.3</w:t>
      </w:r>
      <w:r>
        <w:rPr>
          <w:rFonts w:hint="eastAsia" w:ascii="宋体" w:hAnsi="宋体"/>
          <w:b/>
          <w:bCs/>
          <w:kern w:val="0"/>
          <w:szCs w:val="21"/>
        </w:rPr>
        <w:t>项目信息</w:t>
      </w:r>
    </w:p>
    <w:p w14:paraId="1DF241B6">
      <w:pPr>
        <w:spacing w:before="120" w:line="320" w:lineRule="atLeast"/>
        <w:ind w:firstLine="420" w:firstLineChars="200"/>
        <w:rPr>
          <w:rFonts w:ascii="宋体" w:hAnsi="宋体"/>
          <w:szCs w:val="21"/>
        </w:rPr>
      </w:pPr>
      <w:r>
        <w:rPr>
          <w:rFonts w:hint="eastAsia" w:ascii="宋体" w:hAnsi="宋体"/>
          <w:szCs w:val="21"/>
        </w:rPr>
        <w:t>1</w:t>
      </w:r>
      <w:r>
        <w:rPr>
          <w:rFonts w:ascii="宋体" w:hAnsi="宋体"/>
          <w:szCs w:val="21"/>
        </w:rPr>
        <w:t>.3.1</w:t>
      </w:r>
      <w:r>
        <w:rPr>
          <w:rFonts w:hint="eastAsia" w:ascii="宋体" w:hAnsi="宋体"/>
          <w:szCs w:val="21"/>
        </w:rPr>
        <w:t>项目名称及编号：详见供应商须知前附表</w:t>
      </w:r>
    </w:p>
    <w:p w14:paraId="71CFAABF">
      <w:pPr>
        <w:spacing w:before="120" w:line="320" w:lineRule="atLeast"/>
        <w:ind w:firstLine="420" w:firstLineChars="200"/>
        <w:rPr>
          <w:rFonts w:ascii="宋体" w:hAnsi="宋体"/>
          <w:szCs w:val="21"/>
        </w:rPr>
      </w:pPr>
      <w:r>
        <w:rPr>
          <w:rFonts w:hint="eastAsia" w:ascii="宋体" w:hAnsi="宋体"/>
          <w:szCs w:val="21"/>
        </w:rPr>
        <w:t>1</w:t>
      </w:r>
      <w:r>
        <w:rPr>
          <w:rFonts w:ascii="宋体" w:hAnsi="宋体"/>
          <w:szCs w:val="21"/>
        </w:rPr>
        <w:t>.3.2</w:t>
      </w:r>
      <w:r>
        <w:rPr>
          <w:rFonts w:hint="eastAsia" w:ascii="宋体" w:hAnsi="宋体"/>
          <w:szCs w:val="21"/>
        </w:rPr>
        <w:t>采购方式：详见供应商须知前附表</w:t>
      </w:r>
    </w:p>
    <w:p w14:paraId="46D6627D">
      <w:pPr>
        <w:spacing w:before="120" w:line="320" w:lineRule="atLeast"/>
        <w:ind w:firstLine="422" w:firstLineChars="200"/>
        <w:outlineLvl w:val="2"/>
        <w:rPr>
          <w:rFonts w:ascii="宋体" w:hAnsi="宋体"/>
          <w:b/>
          <w:bCs/>
          <w:kern w:val="0"/>
          <w:szCs w:val="21"/>
        </w:rPr>
      </w:pPr>
      <w:r>
        <w:rPr>
          <w:rFonts w:hint="eastAsia" w:ascii="宋体" w:hAnsi="宋体"/>
          <w:b/>
          <w:bCs/>
          <w:kern w:val="0"/>
          <w:szCs w:val="21"/>
        </w:rPr>
        <w:t>1</w:t>
      </w:r>
      <w:r>
        <w:rPr>
          <w:rFonts w:ascii="宋体" w:hAnsi="宋体"/>
          <w:b/>
          <w:bCs/>
          <w:kern w:val="0"/>
          <w:szCs w:val="21"/>
        </w:rPr>
        <w:t>.4</w:t>
      </w:r>
      <w:r>
        <w:rPr>
          <w:rFonts w:hint="eastAsia" w:ascii="宋体" w:hAnsi="宋体"/>
          <w:b/>
          <w:bCs/>
          <w:kern w:val="0"/>
          <w:szCs w:val="21"/>
        </w:rPr>
        <w:t>促进中小企业发展政策</w:t>
      </w:r>
    </w:p>
    <w:p w14:paraId="298D2E0D">
      <w:pPr>
        <w:spacing w:before="120" w:line="320" w:lineRule="atLeast"/>
        <w:ind w:left="2" w:leftChars="1" w:firstLine="420" w:firstLineChars="200"/>
        <w:rPr>
          <w:rFonts w:ascii="宋体" w:hAnsi="宋体"/>
          <w:szCs w:val="21"/>
        </w:rPr>
      </w:pPr>
      <w:r>
        <w:rPr>
          <w:rFonts w:ascii="宋体" w:hAnsi="宋体"/>
          <w:szCs w:val="21"/>
        </w:rPr>
        <w:t>1.4.1</w:t>
      </w:r>
      <w:r>
        <w:rPr>
          <w:rFonts w:hint="eastAsia" w:ascii="宋体" w:hAnsi="宋体"/>
          <w:szCs w:val="21"/>
        </w:rPr>
        <w:t>本项目落实促进中小企业发展政策措施在前附表规定。依据促进中小企业发展政策获得政府采购合同的，小微企业不得将合同分包给大中型企业，中型企业不得将合同分包给大型企业。</w:t>
      </w:r>
    </w:p>
    <w:p w14:paraId="282C7DFE">
      <w:pPr>
        <w:spacing w:before="120" w:line="320" w:lineRule="atLeast"/>
        <w:ind w:left="2" w:leftChars="1" w:firstLine="420" w:firstLineChars="200"/>
        <w:rPr>
          <w:rFonts w:ascii="宋体" w:hAnsi="宋体"/>
          <w:szCs w:val="21"/>
        </w:rPr>
      </w:pPr>
      <w:bookmarkStart w:id="30" w:name="_Hlk92205820"/>
      <w:r>
        <w:rPr>
          <w:rFonts w:hint="eastAsia" w:ascii="宋体" w:hAnsi="宋体"/>
          <w:szCs w:val="21"/>
        </w:rPr>
        <w:t>根 据《政府采购促进中小企业发展管理办法》（财库〔2020〕46号）第九条以及《广西壮族自治区财政厅 广西壮族自治区工业和信息化厅转发财政部 工业和信息化部政府采购促进中小企业发展管理办法的通知》（桂财采〔2021〕70号）规定，价格扣除比例在第四章评审方法及标准中规定，对小型企业和微型企业同等对待，不作区分。</w:t>
      </w:r>
    </w:p>
    <w:p w14:paraId="4DEA47DF">
      <w:pPr>
        <w:spacing w:before="120" w:line="320" w:lineRule="atLeast"/>
        <w:ind w:left="2" w:leftChars="1" w:firstLine="420" w:firstLineChars="200"/>
        <w:rPr>
          <w:rFonts w:ascii="宋体" w:hAnsi="宋体"/>
          <w:szCs w:val="21"/>
        </w:rPr>
      </w:pPr>
      <w:r>
        <w:rPr>
          <w:rFonts w:ascii="宋体" w:hAnsi="宋体"/>
          <w:szCs w:val="21"/>
        </w:rPr>
        <w:t>1.4.2</w:t>
      </w:r>
      <w:r>
        <w:rPr>
          <w:rFonts w:hint="eastAsia" w:ascii="宋体" w:hAnsi="宋体"/>
          <w:szCs w:val="21"/>
        </w:rPr>
        <w:t>中小企业定义</w:t>
      </w:r>
    </w:p>
    <w:p w14:paraId="2FD4249B">
      <w:pPr>
        <w:spacing w:before="120" w:line="320" w:lineRule="atLeast"/>
        <w:ind w:firstLine="420" w:firstLineChars="200"/>
        <w:rPr>
          <w:rFonts w:ascii="宋体" w:hAnsi="宋体"/>
          <w:szCs w:val="21"/>
        </w:rPr>
      </w:pPr>
      <w:r>
        <w:rPr>
          <w:rFonts w:ascii="宋体" w:hAnsi="宋体"/>
          <w:szCs w:val="21"/>
        </w:rPr>
        <w:t>1.4.2.1</w:t>
      </w:r>
      <w:r>
        <w:rPr>
          <w:rFonts w:hint="eastAsia" w:ascii="宋体" w:hAnsi="宋体"/>
          <w:szCs w:val="21"/>
        </w:rPr>
        <w:t>中小企业是指在中华人民共和国境内依法设立，依据国务院批准的中小企业划分标准确定的中型企业、小型企业和微型企业，但与大企业的负责人为同一人，或者与大企业存在直接控股、管理关系的除外。</w:t>
      </w:r>
    </w:p>
    <w:p w14:paraId="788D2C0A">
      <w:pPr>
        <w:spacing w:before="120" w:line="320" w:lineRule="atLeast"/>
        <w:ind w:left="2" w:leftChars="1" w:firstLine="420" w:firstLineChars="200"/>
        <w:rPr>
          <w:rFonts w:ascii="宋体" w:hAnsi="宋体"/>
          <w:szCs w:val="21"/>
        </w:rPr>
      </w:pPr>
      <w:r>
        <w:rPr>
          <w:rFonts w:ascii="宋体" w:hAnsi="宋体"/>
          <w:szCs w:val="21"/>
        </w:rPr>
        <w:t>1.4.2.2</w:t>
      </w:r>
      <w:r>
        <w:rPr>
          <w:rFonts w:hint="eastAsia" w:ascii="宋体" w:hAnsi="宋体"/>
          <w:szCs w:val="21"/>
        </w:rPr>
        <w:t>供应商提供的货物、工程或者服务符合下列情形的，享受本款规定的促进中小企业发展政策：</w:t>
      </w:r>
    </w:p>
    <w:p w14:paraId="5ADF84C0">
      <w:pPr>
        <w:spacing w:before="120" w:line="320" w:lineRule="atLeast"/>
        <w:ind w:left="2" w:leftChars="1" w:firstLine="420" w:firstLineChars="200"/>
        <w:rPr>
          <w:rFonts w:ascii="宋体" w:hAnsi="宋体"/>
          <w:szCs w:val="21"/>
        </w:rPr>
      </w:pPr>
      <w:r>
        <w:rPr>
          <w:rFonts w:hint="eastAsia" w:ascii="宋体" w:hAnsi="宋体"/>
          <w:szCs w:val="21"/>
        </w:rPr>
        <w:t>在货物采购项目中，货物由中小企业制造，即货物由中小企业生产且使用该中小企业商号或者注册商标；</w:t>
      </w:r>
    </w:p>
    <w:p w14:paraId="4BF4A32C">
      <w:pPr>
        <w:spacing w:before="120" w:line="320" w:lineRule="atLeast"/>
        <w:ind w:left="2" w:leftChars="1" w:firstLine="420" w:firstLineChars="200"/>
        <w:rPr>
          <w:rFonts w:ascii="宋体" w:hAnsi="宋体"/>
          <w:szCs w:val="21"/>
        </w:rPr>
      </w:pPr>
      <w:r>
        <w:rPr>
          <w:rFonts w:hint="eastAsia" w:ascii="宋体" w:hAnsi="宋体"/>
          <w:szCs w:val="21"/>
        </w:rPr>
        <w:t>在工程采购项目中，工程由中小企业承建，即工程施工单位为中小企业；</w:t>
      </w:r>
    </w:p>
    <w:p w14:paraId="0324BEA2">
      <w:pPr>
        <w:spacing w:before="120" w:line="320" w:lineRule="atLeast"/>
        <w:ind w:left="2" w:leftChars="1" w:firstLine="420" w:firstLineChars="200"/>
        <w:rPr>
          <w:rFonts w:ascii="宋体" w:hAnsi="宋体"/>
          <w:szCs w:val="21"/>
        </w:rPr>
      </w:pPr>
      <w:r>
        <w:rPr>
          <w:rFonts w:hint="eastAsia" w:ascii="宋体" w:hAnsi="宋体"/>
          <w:szCs w:val="21"/>
        </w:rPr>
        <w:t>在服务采购项目中，服务由中小企业承接，即提供服务的人员为中小企业依照《中华人民共和国劳动合同法》订立劳动合同的从业人员。</w:t>
      </w:r>
    </w:p>
    <w:p w14:paraId="33B1F2B1">
      <w:pPr>
        <w:spacing w:before="120" w:line="320" w:lineRule="atLeast"/>
        <w:ind w:left="2" w:leftChars="1" w:firstLine="420" w:firstLineChars="200"/>
        <w:rPr>
          <w:rFonts w:ascii="宋体" w:hAnsi="宋体"/>
          <w:szCs w:val="21"/>
        </w:rPr>
      </w:pPr>
      <w:r>
        <w:rPr>
          <w:rFonts w:hint="eastAsia" w:ascii="宋体" w:hAnsi="宋体"/>
          <w:szCs w:val="21"/>
        </w:rPr>
        <w:t>在货物采购项目中，供应商提供的货物既有中小企业制造货物，也有大型企业制造货物的，不享受本款规定的促进中小企业发展政策。</w:t>
      </w:r>
    </w:p>
    <w:p w14:paraId="4CB83FBA">
      <w:pPr>
        <w:spacing w:before="120" w:line="320" w:lineRule="atLeast"/>
        <w:ind w:firstLine="420" w:firstLineChars="200"/>
        <w:rPr>
          <w:rFonts w:ascii="宋体" w:hAnsi="宋体"/>
          <w:szCs w:val="21"/>
        </w:rPr>
      </w:pPr>
      <w:r>
        <w:rPr>
          <w:rFonts w:ascii="宋体" w:hAnsi="宋体"/>
          <w:szCs w:val="21"/>
        </w:rPr>
        <w:t>1.4.2</w:t>
      </w:r>
      <w:r>
        <w:rPr>
          <w:rFonts w:hint="eastAsia" w:ascii="宋体" w:hAnsi="宋体"/>
          <w:szCs w:val="21"/>
        </w:rPr>
        <w:t>.</w:t>
      </w:r>
      <w:r>
        <w:rPr>
          <w:rFonts w:ascii="宋体" w:hAnsi="宋体"/>
          <w:szCs w:val="21"/>
        </w:rPr>
        <w:t>3</w:t>
      </w:r>
      <w:r>
        <w:rPr>
          <w:rFonts w:hint="eastAsia" w:ascii="宋体" w:hAnsi="宋体"/>
          <w:szCs w:val="21"/>
        </w:rPr>
        <w:t>本项目标的所属行业在第二章采购需求中规定。供应商根据中小企业划分标准（《关于印发中小企业划型标准规定的通知》（工信部联企业〔2011〕300号）判断是否为中小企业。（见附件）</w:t>
      </w:r>
    </w:p>
    <w:p w14:paraId="5371A1BA">
      <w:pPr>
        <w:spacing w:before="120" w:line="320" w:lineRule="atLeast"/>
        <w:ind w:firstLine="420" w:firstLineChars="200"/>
        <w:rPr>
          <w:rFonts w:ascii="宋体" w:hAnsi="宋体"/>
          <w:szCs w:val="21"/>
        </w:rPr>
      </w:pPr>
      <w:r>
        <w:rPr>
          <w:rFonts w:hint="eastAsia" w:ascii="宋体" w:hAnsi="宋体"/>
          <w:szCs w:val="21"/>
        </w:rPr>
        <w:t>符合条件的货物制造商、工程施工单位、服务承接单位为中小企业的，应按采购文件规定在响应文件中提供声明函。</w:t>
      </w:r>
    </w:p>
    <w:p w14:paraId="495650A2">
      <w:pPr>
        <w:spacing w:before="120" w:line="320" w:lineRule="atLeast"/>
        <w:ind w:firstLine="420" w:firstLineChars="200"/>
        <w:rPr>
          <w:rFonts w:ascii="宋体" w:hAnsi="宋体"/>
          <w:szCs w:val="21"/>
        </w:rPr>
      </w:pPr>
      <w:r>
        <w:rPr>
          <w:rFonts w:ascii="宋体" w:hAnsi="宋体"/>
          <w:szCs w:val="21"/>
        </w:rPr>
        <w:t>1.4</w:t>
      </w:r>
      <w:r>
        <w:rPr>
          <w:rFonts w:hint="eastAsia" w:ascii="宋体" w:hAnsi="宋体"/>
          <w:szCs w:val="21"/>
        </w:rPr>
        <w:t>.</w:t>
      </w:r>
      <w:r>
        <w:rPr>
          <w:rFonts w:ascii="宋体" w:hAnsi="宋体"/>
          <w:szCs w:val="21"/>
        </w:rPr>
        <w:t>2</w:t>
      </w:r>
      <w:r>
        <w:rPr>
          <w:rFonts w:hint="eastAsia" w:ascii="宋体" w:hAnsi="宋体"/>
          <w:szCs w:val="21"/>
        </w:rPr>
        <w:t>.</w:t>
      </w:r>
      <w:r>
        <w:rPr>
          <w:rFonts w:ascii="宋体" w:hAnsi="宋体"/>
          <w:szCs w:val="21"/>
        </w:rPr>
        <w:t>4</w:t>
      </w:r>
      <w:r>
        <w:rPr>
          <w:rFonts w:hint="eastAsia" w:ascii="宋体" w:hAnsi="宋体"/>
          <w:szCs w:val="21"/>
        </w:rPr>
        <w:t>视同中小企业情形</w:t>
      </w:r>
    </w:p>
    <w:p w14:paraId="0F603E8E">
      <w:pPr>
        <w:spacing w:before="120" w:line="320" w:lineRule="atLeast"/>
        <w:ind w:firstLine="420" w:firstLineChars="200"/>
        <w:rPr>
          <w:rFonts w:ascii="宋体" w:hAnsi="宋体"/>
          <w:szCs w:val="21"/>
        </w:rPr>
      </w:pPr>
      <w:r>
        <w:rPr>
          <w:rFonts w:hint="eastAsia" w:ascii="宋体" w:hAnsi="宋体"/>
          <w:szCs w:val="21"/>
        </w:rPr>
        <w:t>（1）符合中小企业划分标准的个体工商户，视同中小企业。</w:t>
      </w:r>
    </w:p>
    <w:p w14:paraId="7A4C900B">
      <w:pPr>
        <w:spacing w:before="120" w:line="320" w:lineRule="atLeast"/>
        <w:ind w:firstLine="420" w:firstLineChars="200"/>
        <w:rPr>
          <w:rFonts w:ascii="宋体" w:hAnsi="宋体"/>
          <w:szCs w:val="21"/>
        </w:rPr>
      </w:pPr>
      <w:r>
        <w:rPr>
          <w:rFonts w:hint="eastAsia" w:ascii="宋体" w:hAnsi="宋体"/>
          <w:szCs w:val="21"/>
        </w:rPr>
        <w:t>（2）以联合体形式参加政府采购活动，联合体各方均为中小企业的，联合体视同中小企业。其中，联合体各方均为小微企业的，联合体视同小微企业。</w:t>
      </w:r>
    </w:p>
    <w:p w14:paraId="663EFA9E">
      <w:pPr>
        <w:spacing w:before="120" w:line="320" w:lineRule="atLeast"/>
        <w:ind w:firstLine="420" w:firstLineChars="200"/>
        <w:rPr>
          <w:rFonts w:ascii="宋体" w:hAnsi="宋体"/>
          <w:szCs w:val="21"/>
        </w:rPr>
      </w:pPr>
      <w:r>
        <w:rPr>
          <w:rFonts w:hint="eastAsia" w:ascii="宋体" w:hAnsi="宋体"/>
          <w:szCs w:val="21"/>
        </w:rPr>
        <w:t>（3）符合《财政部、司法部关于政府采购支持监狱企业发展有关问题的通知》（财库〔2014〕68号）规定的监狱企业，或符合《关于促进残疾人就业政府采购政策的通知》（财库〔2017〕141号）规定的残疾人福利性单位，视同小型、微型企业。</w:t>
      </w:r>
    </w:p>
    <w:p w14:paraId="19216CB9">
      <w:pPr>
        <w:spacing w:before="120" w:line="320" w:lineRule="atLeast"/>
        <w:ind w:left="2" w:leftChars="1" w:firstLine="420" w:firstLineChars="200"/>
        <w:rPr>
          <w:rFonts w:ascii="宋体" w:hAnsi="宋体"/>
          <w:szCs w:val="21"/>
        </w:rPr>
      </w:pPr>
      <w:r>
        <w:rPr>
          <w:rFonts w:hint="eastAsia" w:ascii="宋体" w:hAnsi="宋体"/>
          <w:szCs w:val="21"/>
        </w:rPr>
        <w:t>符合条件的货物制造商、工程施工单位、服务承接单位为监狱企业或残疾人福利性单位的，应按采购文件规定在响应文件中提供相关证明文件。</w:t>
      </w:r>
      <w:bookmarkEnd w:id="30"/>
    </w:p>
    <w:p w14:paraId="3254A935">
      <w:pPr>
        <w:spacing w:before="120" w:line="320" w:lineRule="atLeast"/>
        <w:ind w:firstLine="422" w:firstLineChars="200"/>
        <w:outlineLvl w:val="2"/>
        <w:rPr>
          <w:rFonts w:ascii="宋体" w:hAnsi="宋体"/>
          <w:b/>
          <w:bCs/>
          <w:kern w:val="0"/>
          <w:szCs w:val="21"/>
        </w:rPr>
      </w:pPr>
      <w:r>
        <w:rPr>
          <w:rFonts w:ascii="宋体" w:hAnsi="宋体"/>
          <w:b/>
          <w:bCs/>
          <w:kern w:val="0"/>
          <w:szCs w:val="21"/>
        </w:rPr>
        <w:t>1.5供应商资格</w:t>
      </w:r>
      <w:r>
        <w:rPr>
          <w:rFonts w:hint="eastAsia" w:ascii="宋体" w:hAnsi="宋体"/>
          <w:b/>
          <w:bCs/>
          <w:kern w:val="0"/>
          <w:szCs w:val="21"/>
        </w:rPr>
        <w:t>要求</w:t>
      </w:r>
    </w:p>
    <w:p w14:paraId="74EC3256">
      <w:pPr>
        <w:spacing w:before="120" w:line="320" w:lineRule="atLeast"/>
        <w:ind w:firstLine="420" w:firstLineChars="200"/>
        <w:rPr>
          <w:rFonts w:ascii="宋体" w:hAnsi="宋体"/>
          <w:szCs w:val="21"/>
        </w:rPr>
      </w:pPr>
      <w:r>
        <w:rPr>
          <w:rFonts w:ascii="宋体" w:hAnsi="宋体"/>
          <w:szCs w:val="21"/>
        </w:rPr>
        <w:t>1.5.1</w:t>
      </w:r>
      <w:r>
        <w:rPr>
          <w:rFonts w:hint="eastAsia" w:ascii="宋体" w:hAnsi="宋体"/>
          <w:szCs w:val="21"/>
        </w:rPr>
        <w:t>供应商资格要求：详见供应商须知前附表</w:t>
      </w:r>
    </w:p>
    <w:p w14:paraId="24541683">
      <w:pPr>
        <w:spacing w:before="120" w:line="320" w:lineRule="atLeast"/>
        <w:ind w:firstLine="420" w:firstLineChars="200"/>
        <w:rPr>
          <w:rFonts w:ascii="宋体" w:hAnsi="宋体"/>
          <w:szCs w:val="21"/>
        </w:rPr>
      </w:pPr>
      <w:r>
        <w:rPr>
          <w:rFonts w:ascii="宋体" w:hAnsi="宋体"/>
          <w:szCs w:val="21"/>
        </w:rPr>
        <w:t>1.5.2按照磋商公告的规定获得采购文件。</w:t>
      </w:r>
    </w:p>
    <w:p w14:paraId="48F07070">
      <w:pPr>
        <w:spacing w:before="120" w:line="320" w:lineRule="atLeast"/>
        <w:ind w:firstLine="420" w:firstLineChars="200"/>
        <w:rPr>
          <w:rFonts w:ascii="宋体" w:hAnsi="宋体"/>
          <w:szCs w:val="21"/>
        </w:rPr>
      </w:pPr>
      <w:r>
        <w:rPr>
          <w:rFonts w:ascii="宋体" w:hAnsi="宋体"/>
          <w:szCs w:val="21"/>
        </w:rPr>
        <w:t>1.5.3本项目是否接受联合体响应，见“供应商须知前附表”规定。</w:t>
      </w:r>
    </w:p>
    <w:p w14:paraId="4B165227">
      <w:pPr>
        <w:spacing w:before="120" w:line="320" w:lineRule="atLeast"/>
        <w:ind w:firstLine="420" w:firstLineChars="200"/>
        <w:rPr>
          <w:rFonts w:ascii="宋体" w:hAnsi="宋体"/>
          <w:szCs w:val="21"/>
        </w:rPr>
      </w:pPr>
      <w:r>
        <w:rPr>
          <w:rFonts w:hint="eastAsia" w:ascii="宋体" w:hAnsi="宋体"/>
          <w:szCs w:val="21"/>
        </w:rPr>
        <w:t xml:space="preserve">如接受联合体响应，联合体响应要求如下： </w:t>
      </w:r>
    </w:p>
    <w:p w14:paraId="325A775D">
      <w:pPr>
        <w:spacing w:before="120" w:line="320" w:lineRule="atLeast"/>
        <w:ind w:firstLine="420" w:firstLineChars="200"/>
        <w:rPr>
          <w:rFonts w:ascii="宋体" w:hAnsi="宋体"/>
          <w:szCs w:val="21"/>
        </w:rPr>
      </w:pPr>
      <w:r>
        <w:rPr>
          <w:rFonts w:hint="eastAsia" w:ascii="宋体" w:hAnsi="宋体"/>
          <w:szCs w:val="21"/>
        </w:rPr>
        <w:t>（1）供应商可以组成一个响应联合体，以一个供应商的身份共同参加响应。联合体响应的，须提供《联合体协议书》（格式后附）</w:t>
      </w:r>
    </w:p>
    <w:p w14:paraId="53A1F26A">
      <w:pPr>
        <w:spacing w:before="120" w:line="320" w:lineRule="atLeast"/>
        <w:ind w:firstLine="420" w:firstLineChars="200"/>
        <w:rPr>
          <w:rFonts w:ascii="宋体" w:hAnsi="宋体"/>
          <w:szCs w:val="21"/>
        </w:rPr>
      </w:pPr>
      <w:r>
        <w:rPr>
          <w:rFonts w:hint="eastAsia" w:ascii="宋体" w:hAnsi="宋体"/>
          <w:szCs w:val="21"/>
        </w:rPr>
        <w:t>（2）以联合体形式参加响应的，联合体各方均必须具备《中华人民共和国政府采购法》第二十二条第一款规定的基本条件。本项目有特殊要求规定供应商特定条件的，联合体各方中至少有一方必须符合采购文件规定的特定条件。</w:t>
      </w:r>
    </w:p>
    <w:p w14:paraId="06DDBF3A">
      <w:pPr>
        <w:spacing w:before="120" w:line="320" w:lineRule="atLeast"/>
        <w:ind w:firstLine="420" w:firstLineChars="200"/>
        <w:rPr>
          <w:rFonts w:ascii="宋体" w:hAnsi="宋体"/>
          <w:szCs w:val="21"/>
        </w:rPr>
      </w:pPr>
      <w:r>
        <w:rPr>
          <w:rFonts w:hint="eastAsia" w:ascii="宋体" w:hAnsi="宋体"/>
          <w:szCs w:val="21"/>
        </w:rPr>
        <w:t>（3）联合体各方之间必须签订联合体协议，协议书必须明确主体方（或者牵头方）并明确约定联合体各方承担的工作和相应的责任，并将联合响应协议放入响应文件。联合体各方必须共同与采购人签订采购合同，就采购合同约定的事项对采购人承担连带责任。</w:t>
      </w:r>
    </w:p>
    <w:p w14:paraId="03FDCB12">
      <w:pPr>
        <w:spacing w:before="120" w:line="320" w:lineRule="atLeast"/>
        <w:ind w:firstLine="420" w:firstLineChars="200"/>
        <w:rPr>
          <w:rFonts w:ascii="宋体" w:hAnsi="宋体"/>
          <w:szCs w:val="21"/>
        </w:rPr>
      </w:pPr>
      <w:r>
        <w:rPr>
          <w:rFonts w:hint="eastAsia" w:ascii="宋体" w:hAnsi="宋体"/>
          <w:szCs w:val="21"/>
        </w:rPr>
        <w:t>（4）以联合体形式参加政府采购活动的，联合体各方不得再单独参加或者与其他供应商另外组成联合体参加同一合同项下的政府采购活动。</w:t>
      </w:r>
    </w:p>
    <w:p w14:paraId="3A643174">
      <w:pPr>
        <w:spacing w:before="120" w:line="320" w:lineRule="atLeast"/>
        <w:ind w:firstLine="420" w:firstLineChars="200"/>
        <w:rPr>
          <w:rFonts w:ascii="宋体" w:hAnsi="宋体"/>
          <w:szCs w:val="21"/>
        </w:rPr>
      </w:pPr>
      <w:r>
        <w:rPr>
          <w:rFonts w:hint="eastAsia" w:ascii="宋体" w:hAnsi="宋体"/>
          <w:szCs w:val="21"/>
        </w:rPr>
        <w:t>（5）联合体中有同类资质的供应商按照联合体分工承担相同工作的，应当按照资质等级较低的供应商确定资质等级。</w:t>
      </w:r>
    </w:p>
    <w:p w14:paraId="30CA06A8">
      <w:pPr>
        <w:spacing w:before="120" w:line="320" w:lineRule="atLeast"/>
        <w:ind w:firstLine="420" w:firstLineChars="200"/>
        <w:rPr>
          <w:rFonts w:ascii="宋体" w:hAnsi="宋体"/>
          <w:szCs w:val="21"/>
        </w:rPr>
      </w:pPr>
      <w:r>
        <w:rPr>
          <w:rFonts w:hint="eastAsia" w:ascii="宋体" w:hAnsi="宋体"/>
          <w:szCs w:val="21"/>
        </w:rPr>
        <w:t>（6）联合体响应业绩、履约能力按照联合体各方其中较高的一方认定并计算（采购文件其他章节另有规定的除外）。</w:t>
      </w:r>
    </w:p>
    <w:p w14:paraId="516E3ADD">
      <w:pPr>
        <w:spacing w:before="120" w:line="320" w:lineRule="atLeast"/>
        <w:ind w:firstLine="420" w:firstLineChars="200"/>
        <w:rPr>
          <w:rFonts w:ascii="宋体" w:hAnsi="宋体"/>
          <w:szCs w:val="21"/>
        </w:rPr>
      </w:pPr>
      <w:r>
        <w:rPr>
          <w:rFonts w:hint="eastAsia" w:ascii="宋体" w:hAnsi="宋体"/>
          <w:szCs w:val="21"/>
        </w:rPr>
        <w:t>（7）供应商为联合体的，可以由联合体中的一方或者多方共同交纳磋商保证金，其交纳的保证金对联合体各方均具有约束力。</w:t>
      </w:r>
    </w:p>
    <w:p w14:paraId="0CD51657">
      <w:pPr>
        <w:spacing w:before="120" w:line="320" w:lineRule="atLeast"/>
        <w:ind w:firstLine="420" w:firstLineChars="200"/>
        <w:rPr>
          <w:rFonts w:ascii="宋体" w:hAnsi="宋体"/>
          <w:szCs w:val="21"/>
        </w:rPr>
      </w:pPr>
      <w:r>
        <w:rPr>
          <w:rFonts w:hint="eastAsia" w:ascii="宋体" w:hAnsi="宋体"/>
          <w:szCs w:val="21"/>
        </w:rPr>
        <w:t>（8）联合体各方均应按照采购文件的规定提交资格证明文件。</w:t>
      </w:r>
    </w:p>
    <w:p w14:paraId="65C6CA37">
      <w:pPr>
        <w:spacing w:before="120" w:line="320" w:lineRule="atLeast"/>
        <w:ind w:firstLine="422" w:firstLineChars="200"/>
        <w:outlineLvl w:val="2"/>
        <w:rPr>
          <w:rFonts w:ascii="宋体" w:hAnsi="宋体"/>
          <w:b/>
          <w:bCs/>
          <w:kern w:val="0"/>
          <w:szCs w:val="21"/>
        </w:rPr>
      </w:pPr>
      <w:bookmarkStart w:id="31" w:name="_Toc254970672"/>
      <w:bookmarkStart w:id="32" w:name="_Toc254970531"/>
      <w:r>
        <w:rPr>
          <w:rFonts w:ascii="宋体" w:hAnsi="宋体"/>
          <w:b/>
          <w:bCs/>
          <w:kern w:val="0"/>
          <w:szCs w:val="21"/>
        </w:rPr>
        <w:t>1.6现场踏勘及响应费用</w:t>
      </w:r>
      <w:bookmarkEnd w:id="31"/>
      <w:bookmarkEnd w:id="32"/>
    </w:p>
    <w:p w14:paraId="16488C2E">
      <w:pPr>
        <w:spacing w:before="120" w:line="320" w:lineRule="atLeast"/>
        <w:ind w:firstLine="420" w:firstLineChars="200"/>
        <w:rPr>
          <w:rFonts w:ascii="宋体" w:hAnsi="宋体"/>
          <w:szCs w:val="21"/>
        </w:rPr>
      </w:pPr>
      <w:r>
        <w:rPr>
          <w:rFonts w:ascii="宋体" w:hAnsi="宋体"/>
          <w:szCs w:val="21"/>
        </w:rPr>
        <w:t>1.6.1前附表如规定现场踏勘的，供应商应按规定时间地点参加踏勘。</w:t>
      </w:r>
    </w:p>
    <w:p w14:paraId="78367F46">
      <w:pPr>
        <w:spacing w:before="120" w:line="320" w:lineRule="atLeast"/>
        <w:ind w:firstLine="420" w:firstLineChars="200"/>
        <w:rPr>
          <w:rFonts w:ascii="宋体" w:hAnsi="宋体"/>
          <w:szCs w:val="21"/>
        </w:rPr>
      </w:pPr>
      <w:r>
        <w:rPr>
          <w:rFonts w:ascii="宋体" w:hAnsi="宋体"/>
          <w:szCs w:val="21"/>
        </w:rPr>
        <w:t>1.6.2供应商均应自行承担所有与响应有关的全部费用（采购文件有相关的规定除外）。</w:t>
      </w:r>
    </w:p>
    <w:p w14:paraId="5DBD93F8">
      <w:pPr>
        <w:spacing w:before="120" w:line="320" w:lineRule="atLeast"/>
        <w:ind w:firstLine="422" w:firstLineChars="200"/>
        <w:outlineLvl w:val="2"/>
        <w:rPr>
          <w:rFonts w:ascii="宋体" w:hAnsi="宋体"/>
          <w:b/>
          <w:bCs/>
          <w:kern w:val="0"/>
          <w:szCs w:val="21"/>
        </w:rPr>
      </w:pPr>
      <w:r>
        <w:rPr>
          <w:rFonts w:ascii="宋体" w:hAnsi="宋体"/>
          <w:b/>
          <w:bCs/>
          <w:kern w:val="0"/>
          <w:szCs w:val="21"/>
        </w:rPr>
        <w:t>1.7转包与分包</w:t>
      </w:r>
    </w:p>
    <w:p w14:paraId="4CE26E87">
      <w:pPr>
        <w:spacing w:before="120" w:line="320" w:lineRule="atLeast"/>
        <w:ind w:firstLine="420" w:firstLineChars="200"/>
        <w:rPr>
          <w:rFonts w:ascii="宋体" w:hAnsi="宋体"/>
          <w:szCs w:val="21"/>
        </w:rPr>
      </w:pPr>
      <w:r>
        <w:rPr>
          <w:rFonts w:ascii="宋体" w:hAnsi="宋体"/>
          <w:szCs w:val="21"/>
        </w:rPr>
        <w:t>1.7.1如</w:t>
      </w:r>
      <w:r>
        <w:rPr>
          <w:rFonts w:hint="eastAsia" w:ascii="宋体" w:hAnsi="宋体"/>
          <w:szCs w:val="21"/>
        </w:rPr>
        <w:t>采购文件</w:t>
      </w:r>
      <w:r>
        <w:rPr>
          <w:rFonts w:ascii="宋体" w:hAnsi="宋体"/>
          <w:szCs w:val="21"/>
        </w:rPr>
        <w:t>其他地方无特别规定</w:t>
      </w:r>
      <w:r>
        <w:rPr>
          <w:rFonts w:hint="eastAsia" w:ascii="宋体" w:hAnsi="宋体"/>
          <w:szCs w:val="21"/>
        </w:rPr>
        <w:t>，</w:t>
      </w:r>
      <w:r>
        <w:rPr>
          <w:rFonts w:ascii="宋体" w:hAnsi="宋体"/>
          <w:szCs w:val="21"/>
        </w:rPr>
        <w:t>本项目不允许转包。</w:t>
      </w:r>
    </w:p>
    <w:p w14:paraId="25B71E4A">
      <w:pPr>
        <w:spacing w:before="120" w:line="320" w:lineRule="atLeast"/>
        <w:ind w:firstLine="420" w:firstLineChars="200"/>
        <w:rPr>
          <w:rFonts w:ascii="宋体" w:hAnsi="宋体"/>
          <w:szCs w:val="21"/>
        </w:rPr>
      </w:pPr>
      <w:r>
        <w:rPr>
          <w:rFonts w:ascii="宋体" w:hAnsi="宋体"/>
          <w:szCs w:val="21"/>
        </w:rPr>
        <w:t>1.7.2</w:t>
      </w:r>
      <w:r>
        <w:rPr>
          <w:rFonts w:hint="eastAsia" w:ascii="宋体" w:hAnsi="宋体"/>
          <w:szCs w:val="21"/>
        </w:rPr>
        <w:t>本项目是否允许分包详见“供应商须知前附表”，本项目不允许违法分包。供应商根据采购文件的规定和采购项目的实际情况，拟在成交后将成交项目的非主体、非关键性工作分包的，应当在响应文件中载明分包承担主体，分包承担主体应当具备相应资质条件且不得再次分包。</w:t>
      </w:r>
    </w:p>
    <w:p w14:paraId="7D11D046">
      <w:pPr>
        <w:spacing w:before="120" w:line="276" w:lineRule="auto"/>
        <w:ind w:firstLine="422" w:firstLineChars="200"/>
        <w:outlineLvl w:val="2"/>
        <w:rPr>
          <w:rFonts w:ascii="宋体" w:hAnsi="宋体"/>
          <w:b/>
          <w:bCs/>
          <w:kern w:val="0"/>
          <w:szCs w:val="21"/>
        </w:rPr>
      </w:pPr>
      <w:bookmarkStart w:id="33" w:name="_Toc254970673"/>
      <w:bookmarkStart w:id="34" w:name="_Toc254970532"/>
      <w:r>
        <w:rPr>
          <w:rFonts w:ascii="宋体" w:hAnsi="宋体"/>
          <w:b/>
          <w:bCs/>
          <w:kern w:val="0"/>
          <w:szCs w:val="21"/>
        </w:rPr>
        <w:t>1.8特别说明</w:t>
      </w:r>
      <w:bookmarkEnd w:id="33"/>
      <w:bookmarkEnd w:id="34"/>
    </w:p>
    <w:p w14:paraId="2F701401">
      <w:pPr>
        <w:spacing w:line="276" w:lineRule="auto"/>
        <w:ind w:firstLine="420" w:firstLineChars="200"/>
        <w:rPr>
          <w:rFonts w:ascii="宋体" w:hAnsi="宋体"/>
          <w:szCs w:val="21"/>
        </w:rPr>
      </w:pPr>
      <w:r>
        <w:rPr>
          <w:rFonts w:ascii="宋体" w:hAnsi="宋体"/>
          <w:szCs w:val="21"/>
        </w:rPr>
        <w:t>1.8.1 供应商应保证其提供的联系方式（电话、传真、电子邮件）有效，以保证往来函件（澄清、修改等）能及时通知供应商，并能及时反馈，否则采购人</w:t>
      </w:r>
      <w:r>
        <w:rPr>
          <w:rFonts w:hint="eastAsia" w:ascii="宋体" w:hAnsi="宋体"/>
          <w:szCs w:val="21"/>
        </w:rPr>
        <w:t>及代理机构</w:t>
      </w:r>
      <w:r>
        <w:rPr>
          <w:rFonts w:ascii="宋体" w:hAnsi="宋体"/>
          <w:szCs w:val="21"/>
        </w:rPr>
        <w:t>不承担由此引起的一切后果。</w:t>
      </w:r>
    </w:p>
    <w:p w14:paraId="79BC2687">
      <w:pPr>
        <w:spacing w:before="120" w:line="320" w:lineRule="atLeast"/>
        <w:ind w:firstLine="420" w:firstLineChars="200"/>
        <w:rPr>
          <w:rFonts w:ascii="宋体" w:hAnsi="宋体"/>
          <w:szCs w:val="21"/>
        </w:rPr>
      </w:pPr>
      <w:r>
        <w:rPr>
          <w:rFonts w:ascii="宋体" w:hAnsi="宋体"/>
          <w:szCs w:val="21"/>
        </w:rPr>
        <w:t>1.8.2供应商应仔细阅读采购文件的所有内容，按照采购文件的要求提交响应文件，并对所提供的全部资料的真实性承担法律责任。</w:t>
      </w:r>
    </w:p>
    <w:p w14:paraId="421F03C7">
      <w:pPr>
        <w:spacing w:before="120" w:line="360" w:lineRule="auto"/>
        <w:ind w:firstLine="420" w:firstLineChars="200"/>
        <w:rPr>
          <w:rFonts w:ascii="宋体" w:hAnsi="宋体"/>
          <w:szCs w:val="21"/>
        </w:rPr>
      </w:pPr>
      <w:r>
        <w:rPr>
          <w:rFonts w:ascii="宋体" w:hAnsi="宋体"/>
          <w:szCs w:val="21"/>
        </w:rPr>
        <w:t>1.8.3供应商在响应活动中提供任何虚假材料，</w:t>
      </w:r>
      <w:r>
        <w:rPr>
          <w:rFonts w:hint="eastAsia" w:ascii="宋体" w:hAnsi="宋体"/>
          <w:szCs w:val="21"/>
        </w:rPr>
        <w:t>将</w:t>
      </w:r>
      <w:r>
        <w:rPr>
          <w:rFonts w:ascii="宋体" w:hAnsi="宋体"/>
          <w:szCs w:val="21"/>
        </w:rPr>
        <w:t xml:space="preserve">报监管部门查处； </w:t>
      </w:r>
    </w:p>
    <w:p w14:paraId="3AE0B126">
      <w:pPr>
        <w:spacing w:before="120" w:line="276" w:lineRule="auto"/>
        <w:ind w:firstLine="422" w:firstLineChars="200"/>
        <w:outlineLvl w:val="2"/>
        <w:rPr>
          <w:rFonts w:ascii="宋体" w:hAnsi="宋体"/>
          <w:b/>
          <w:bCs/>
          <w:kern w:val="0"/>
          <w:szCs w:val="21"/>
        </w:rPr>
      </w:pPr>
      <w:r>
        <w:rPr>
          <w:rFonts w:hint="eastAsia" w:ascii="宋体" w:hAnsi="宋体"/>
          <w:b/>
          <w:bCs/>
          <w:kern w:val="0"/>
          <w:szCs w:val="21"/>
        </w:rPr>
        <w:t>1</w:t>
      </w:r>
      <w:r>
        <w:rPr>
          <w:rFonts w:ascii="宋体" w:hAnsi="宋体"/>
          <w:b/>
          <w:bCs/>
          <w:kern w:val="0"/>
          <w:szCs w:val="21"/>
        </w:rPr>
        <w:t>.</w:t>
      </w:r>
      <w:r>
        <w:rPr>
          <w:rFonts w:hint="eastAsia" w:ascii="宋体" w:hAnsi="宋体"/>
          <w:b/>
          <w:bCs/>
          <w:kern w:val="0"/>
          <w:szCs w:val="21"/>
        </w:rPr>
        <w:t>9 对本国产品的支持政策</w:t>
      </w:r>
    </w:p>
    <w:p w14:paraId="58F8E00F">
      <w:pPr>
        <w:spacing w:before="120" w:line="360" w:lineRule="auto"/>
        <w:ind w:left="819" w:leftChars="190" w:hanging="420" w:hangingChars="200"/>
        <w:rPr>
          <w:rFonts w:ascii="宋体" w:hAnsi="宋体"/>
          <w:szCs w:val="21"/>
        </w:rPr>
      </w:pPr>
      <w:r>
        <w:rPr>
          <w:rFonts w:hint="eastAsia" w:ascii="宋体" w:hAnsi="宋体"/>
          <w:szCs w:val="21"/>
        </w:rPr>
        <w:t>1.9.1</w:t>
      </w:r>
      <w:r>
        <w:rPr>
          <w:rFonts w:ascii="宋体" w:hAnsi="宋体"/>
          <w:szCs w:val="21"/>
        </w:rPr>
        <w:t>本国产品标准</w:t>
      </w:r>
    </w:p>
    <w:p w14:paraId="5EB896CF">
      <w:pPr>
        <w:spacing w:line="276" w:lineRule="auto"/>
        <w:ind w:firstLine="420" w:firstLineChars="200"/>
        <w:rPr>
          <w:rFonts w:ascii="宋体" w:hAnsi="宋体"/>
          <w:szCs w:val="21"/>
        </w:rPr>
      </w:pPr>
      <w:r>
        <w:rPr>
          <w:rFonts w:hint="eastAsia" w:ascii="宋体" w:hAnsi="宋体"/>
          <w:szCs w:val="21"/>
        </w:rPr>
        <w:t>“本国产品标准的产品”是指：符合《国务院办公厅关于在政府采购中实施本国产品标准及相关政策的通知》（国办发〔2025〕34号）规定的本国产品标准的产品。</w:t>
      </w:r>
    </w:p>
    <w:p w14:paraId="6A7E6A99">
      <w:pPr>
        <w:spacing w:line="276" w:lineRule="auto"/>
        <w:ind w:firstLine="420" w:firstLineChars="200"/>
        <w:rPr>
          <w:rFonts w:ascii="宋体" w:hAnsi="宋体"/>
          <w:szCs w:val="21"/>
        </w:rPr>
      </w:pPr>
      <w:r>
        <w:rPr>
          <w:rFonts w:hint="eastAsia" w:ascii="宋体" w:hAnsi="宋体"/>
          <w:szCs w:val="21"/>
        </w:rPr>
        <w:t>本国产品标准的产品应当符合以下条件：</w:t>
      </w:r>
    </w:p>
    <w:p w14:paraId="0ECC62E6">
      <w:pPr>
        <w:spacing w:line="276" w:lineRule="auto"/>
        <w:ind w:firstLine="420" w:firstLineChars="200"/>
        <w:rPr>
          <w:rFonts w:ascii="宋体" w:hAnsi="宋体"/>
          <w:szCs w:val="21"/>
        </w:rPr>
      </w:pPr>
      <w:r>
        <w:rPr>
          <w:rFonts w:hint="eastAsia" w:ascii="宋体" w:hAnsi="宋体"/>
          <w:szCs w:val="21"/>
        </w:rPr>
        <w:t>（1）</w:t>
      </w:r>
      <w:r>
        <w:rPr>
          <w:rFonts w:ascii="宋体" w:hAnsi="宋体"/>
          <w:szCs w:val="21"/>
        </w:rPr>
        <w:t>在中国境内生产</w:t>
      </w:r>
      <w:r>
        <w:rPr>
          <w:rFonts w:hint="eastAsia" w:ascii="宋体" w:hAnsi="宋体"/>
          <w:szCs w:val="21"/>
        </w:rPr>
        <w:t>。</w:t>
      </w:r>
      <w:r>
        <w:rPr>
          <w:rFonts w:ascii="宋体" w:hAnsi="宋体"/>
          <w:szCs w:val="21"/>
        </w:rPr>
        <w:t>产品应当在中国境内生产，即在中华人民共和国关境内</w:t>
      </w:r>
      <w:r>
        <w:rPr>
          <w:rFonts w:hint="eastAsia" w:ascii="宋体" w:hAnsi="宋体"/>
          <w:szCs w:val="21"/>
        </w:rPr>
        <w:t>（含保税区、综合保税区等海关特殊监管区域）</w:t>
      </w:r>
      <w:r>
        <w:rPr>
          <w:rFonts w:ascii="宋体" w:hAnsi="宋体"/>
          <w:szCs w:val="21"/>
        </w:rPr>
        <w:t>实现从原材料、组件到产品的属性改变；属性改变是指经过制造、加工或者组装等工序，产生完全不同于原材料、组件的新产品，并具有新的名称和特征（用途），属性改变不包括以下细微操作：</w:t>
      </w:r>
    </w:p>
    <w:p w14:paraId="51FAD9EF">
      <w:pPr>
        <w:spacing w:line="276" w:lineRule="auto"/>
        <w:ind w:firstLine="420" w:firstLineChars="200"/>
        <w:rPr>
          <w:rFonts w:ascii="宋体" w:hAnsi="宋体"/>
          <w:szCs w:val="21"/>
        </w:rPr>
      </w:pPr>
      <w:r>
        <w:rPr>
          <w:rFonts w:ascii="宋体" w:hAnsi="宋体" w:cs="Cambria Math"/>
          <w:szCs w:val="21"/>
        </w:rPr>
        <w:t>①</w:t>
      </w:r>
      <w:r>
        <w:rPr>
          <w:rFonts w:ascii="宋体" w:hAnsi="宋体"/>
          <w:szCs w:val="21"/>
        </w:rPr>
        <w:t>为确保产品在运输或者储存期间保持某种状态而进行的操作；</w:t>
      </w:r>
    </w:p>
    <w:p w14:paraId="1F879180">
      <w:pPr>
        <w:spacing w:line="276" w:lineRule="auto"/>
        <w:ind w:firstLine="420" w:firstLineChars="200"/>
        <w:rPr>
          <w:rFonts w:ascii="宋体" w:hAnsi="宋体"/>
          <w:szCs w:val="21"/>
        </w:rPr>
      </w:pPr>
      <w:r>
        <w:rPr>
          <w:rFonts w:ascii="宋体" w:hAnsi="宋体" w:cs="Cambria Math"/>
          <w:szCs w:val="21"/>
        </w:rPr>
        <w:t>②</w:t>
      </w:r>
      <w:r>
        <w:rPr>
          <w:rFonts w:ascii="宋体" w:hAnsi="宋体"/>
          <w:szCs w:val="21"/>
        </w:rPr>
        <w:t>为产品运输或者销售进行的包装或者展示；</w:t>
      </w:r>
    </w:p>
    <w:p w14:paraId="2EE58FA7">
      <w:pPr>
        <w:spacing w:line="276" w:lineRule="auto"/>
        <w:ind w:firstLine="420" w:firstLineChars="200"/>
        <w:rPr>
          <w:rFonts w:ascii="宋体" w:hAnsi="宋体"/>
          <w:szCs w:val="21"/>
        </w:rPr>
      </w:pPr>
      <w:r>
        <w:rPr>
          <w:rFonts w:ascii="宋体" w:hAnsi="宋体" w:cs="Cambria Math"/>
          <w:szCs w:val="21"/>
        </w:rPr>
        <w:t>③</w:t>
      </w:r>
      <w:r>
        <w:rPr>
          <w:rFonts w:ascii="宋体" w:hAnsi="宋体"/>
          <w:szCs w:val="21"/>
        </w:rPr>
        <w:t>在产品或者其包装上粘贴或者印刷品牌、标志、标识以及其他用于区别的标记；</w:t>
      </w:r>
    </w:p>
    <w:p w14:paraId="37C4BD54">
      <w:pPr>
        <w:spacing w:line="276" w:lineRule="auto"/>
        <w:ind w:firstLine="420" w:firstLineChars="200"/>
        <w:rPr>
          <w:rFonts w:ascii="宋体" w:hAnsi="宋体"/>
          <w:szCs w:val="21"/>
        </w:rPr>
      </w:pPr>
      <w:r>
        <w:rPr>
          <w:rFonts w:ascii="宋体" w:hAnsi="宋体" w:cs="Cambria Math"/>
          <w:szCs w:val="21"/>
        </w:rPr>
        <w:t>④</w:t>
      </w:r>
      <w:r>
        <w:rPr>
          <w:rFonts w:ascii="宋体" w:hAnsi="宋体"/>
          <w:szCs w:val="21"/>
        </w:rPr>
        <w:t>简单的上漆、磨光和分装；</w:t>
      </w:r>
    </w:p>
    <w:p w14:paraId="11A01A2F">
      <w:pPr>
        <w:spacing w:line="276" w:lineRule="auto"/>
        <w:ind w:firstLine="420" w:firstLineChars="200"/>
        <w:rPr>
          <w:rFonts w:ascii="宋体" w:hAnsi="宋体"/>
          <w:szCs w:val="21"/>
        </w:rPr>
      </w:pPr>
      <w:r>
        <w:rPr>
          <w:rFonts w:ascii="宋体" w:hAnsi="宋体" w:cs="Cambria Math"/>
          <w:szCs w:val="21"/>
        </w:rPr>
        <w:t>⑤</w:t>
      </w:r>
      <w:r>
        <w:rPr>
          <w:rFonts w:ascii="宋体" w:hAnsi="宋体"/>
          <w:szCs w:val="21"/>
        </w:rPr>
        <w:t>其他不属于属性改变的情形；</w:t>
      </w:r>
    </w:p>
    <w:p w14:paraId="4619284F">
      <w:pPr>
        <w:spacing w:line="276" w:lineRule="auto"/>
        <w:ind w:firstLine="420" w:firstLineChars="200"/>
        <w:rPr>
          <w:rFonts w:ascii="宋体" w:hAnsi="宋体"/>
          <w:szCs w:val="21"/>
        </w:rPr>
      </w:pPr>
      <w:r>
        <w:rPr>
          <w:rFonts w:hint="eastAsia" w:ascii="宋体" w:hAnsi="宋体"/>
          <w:szCs w:val="21"/>
        </w:rPr>
        <w:t>（2）</w:t>
      </w:r>
      <w:r>
        <w:rPr>
          <w:rFonts w:ascii="宋体" w:hAnsi="宋体"/>
          <w:szCs w:val="21"/>
        </w:rPr>
        <w:t>中国境内生产的组件成本占比达到规定比例</w:t>
      </w:r>
      <w:r>
        <w:rPr>
          <w:rFonts w:hint="eastAsia" w:ascii="宋体" w:hAnsi="宋体"/>
          <w:szCs w:val="21"/>
        </w:rPr>
        <w:t>。</w:t>
      </w:r>
    </w:p>
    <w:p w14:paraId="4E2C311F">
      <w:pPr>
        <w:spacing w:line="276" w:lineRule="auto"/>
        <w:ind w:firstLine="420" w:firstLineChars="200"/>
        <w:rPr>
          <w:rFonts w:ascii="宋体" w:hAnsi="宋体"/>
          <w:szCs w:val="21"/>
        </w:rPr>
      </w:pPr>
      <w:r>
        <w:rPr>
          <w:rFonts w:hint="eastAsia" w:ascii="宋体" w:hAnsi="宋体"/>
          <w:szCs w:val="21"/>
        </w:rPr>
        <w:t>①产品在中国境内生产的组件成本占比应当达到规定比例，计算公式为：产品在中国境内生产的组件成本/产品总成本≥规定比例；</w:t>
      </w:r>
    </w:p>
    <w:p w14:paraId="1065449C">
      <w:pPr>
        <w:spacing w:line="276" w:lineRule="auto"/>
        <w:ind w:firstLine="420" w:firstLineChars="200"/>
        <w:rPr>
          <w:rFonts w:ascii="宋体" w:hAnsi="宋体"/>
          <w:szCs w:val="21"/>
        </w:rPr>
      </w:pPr>
      <w:r>
        <w:rPr>
          <w:rFonts w:hint="eastAsia" w:ascii="宋体" w:hAnsi="宋体"/>
          <w:szCs w:val="21"/>
        </w:rPr>
        <w:t>②产品在中国境内生产的组件成本，按照《中国境内生产的组件成本核算基本规则》计算；</w:t>
      </w:r>
    </w:p>
    <w:p w14:paraId="1805E00D">
      <w:pPr>
        <w:spacing w:line="276" w:lineRule="auto"/>
        <w:ind w:firstLine="420" w:firstLineChars="200"/>
        <w:rPr>
          <w:rFonts w:ascii="宋体" w:hAnsi="宋体"/>
          <w:szCs w:val="21"/>
        </w:rPr>
      </w:pPr>
      <w:r>
        <w:rPr>
          <w:rFonts w:hint="eastAsia" w:ascii="宋体" w:hAnsi="宋体"/>
          <w:szCs w:val="21"/>
        </w:rPr>
        <w:t>③中国境内生产的组件成本占比相关要求实施前，符合第（1）项条件的产品在政府采购活动中视同本国产品。</w:t>
      </w:r>
    </w:p>
    <w:p w14:paraId="34712239">
      <w:pPr>
        <w:spacing w:line="276" w:lineRule="auto"/>
        <w:ind w:firstLine="420" w:firstLineChars="200"/>
        <w:rPr>
          <w:rFonts w:ascii="宋体" w:hAnsi="宋体"/>
          <w:szCs w:val="21"/>
        </w:rPr>
      </w:pPr>
      <w:r>
        <w:rPr>
          <w:rFonts w:hint="eastAsia" w:ascii="宋体" w:hAnsi="宋体"/>
          <w:szCs w:val="21"/>
        </w:rPr>
        <w:t>（3）</w:t>
      </w:r>
      <w:r>
        <w:rPr>
          <w:rFonts w:ascii="宋体" w:hAnsi="宋体"/>
          <w:szCs w:val="21"/>
        </w:rPr>
        <w:t>特定产品的关键组件和工序在中国境内完成。</w:t>
      </w:r>
    </w:p>
    <w:p w14:paraId="733AB3D4">
      <w:pPr>
        <w:spacing w:line="276" w:lineRule="auto"/>
        <w:ind w:firstLine="420" w:firstLineChars="200"/>
        <w:rPr>
          <w:rFonts w:ascii="宋体" w:hAnsi="宋体"/>
          <w:szCs w:val="21"/>
        </w:rPr>
      </w:pPr>
      <w:r>
        <w:rPr>
          <w:rFonts w:hint="eastAsia" w:ascii="宋体" w:hAnsi="宋体"/>
          <w:szCs w:val="21"/>
        </w:rPr>
        <w:t>①对特定产品，在符合第（1）项和第（2）项条件的基础上，应当符合财政部会同有关行业主管部门确定的其关键组件、关键工序在中国境内生产、完成等要求；</w:t>
      </w:r>
    </w:p>
    <w:p w14:paraId="2E11C507">
      <w:pPr>
        <w:spacing w:line="276" w:lineRule="auto"/>
        <w:ind w:firstLine="420" w:firstLineChars="200"/>
        <w:rPr>
          <w:rFonts w:ascii="宋体" w:hAnsi="宋体"/>
          <w:szCs w:val="21"/>
        </w:rPr>
      </w:pPr>
      <w:r>
        <w:rPr>
          <w:rFonts w:hint="eastAsia" w:ascii="宋体" w:hAnsi="宋体"/>
          <w:szCs w:val="21"/>
        </w:rPr>
        <w:t>②特定产品的关键组件、关键工序符合相关要求实施前，符合第（1）项和第（2）项条件的产品在政府采购活动中视同本国产品。</w:t>
      </w:r>
    </w:p>
    <w:p w14:paraId="7AC05E81">
      <w:pPr>
        <w:spacing w:before="120" w:line="360" w:lineRule="auto"/>
        <w:ind w:left="819" w:leftChars="190" w:hanging="420" w:hangingChars="200"/>
        <w:rPr>
          <w:rFonts w:ascii="宋体" w:hAnsi="宋体"/>
          <w:szCs w:val="21"/>
        </w:rPr>
      </w:pPr>
      <w:r>
        <w:rPr>
          <w:rFonts w:hint="eastAsia" w:ascii="宋体" w:hAnsi="宋体"/>
          <w:szCs w:val="21"/>
        </w:rPr>
        <w:t>1.9.2 本国产品标准的适用范围</w:t>
      </w:r>
    </w:p>
    <w:p w14:paraId="40F66736">
      <w:pPr>
        <w:spacing w:line="276" w:lineRule="auto"/>
        <w:ind w:firstLine="420" w:firstLineChars="200"/>
        <w:rPr>
          <w:rFonts w:ascii="宋体" w:hAnsi="宋体"/>
          <w:szCs w:val="21"/>
        </w:rPr>
      </w:pPr>
      <w:r>
        <w:rPr>
          <w:rFonts w:ascii="宋体" w:hAnsi="宋体"/>
          <w:szCs w:val="21"/>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r>
        <w:rPr>
          <w:rFonts w:hint="eastAsia" w:ascii="宋体" w:hAnsi="宋体"/>
          <w:b/>
          <w:bCs/>
          <w:szCs w:val="21"/>
        </w:rPr>
        <w:t>本项目是否适用对本国产品的支持政策详见供应商须知前附表。</w:t>
      </w:r>
    </w:p>
    <w:p w14:paraId="47E24F45">
      <w:pPr>
        <w:spacing w:line="276" w:lineRule="auto"/>
        <w:ind w:firstLine="420" w:firstLineChars="200"/>
        <w:rPr>
          <w:rFonts w:ascii="宋体" w:hAnsi="宋体"/>
          <w:szCs w:val="21"/>
        </w:rPr>
      </w:pPr>
      <w:r>
        <w:rPr>
          <w:rFonts w:ascii="宋体" w:hAnsi="宋体"/>
          <w:szCs w:val="21"/>
        </w:rPr>
        <w:t>中华人民共和国缔结或者共同参加的国际条约、协定对政府采购中本国产品政策另有规定的，按照有关条约、协定执行。</w:t>
      </w:r>
    </w:p>
    <w:p w14:paraId="5007DCF0">
      <w:pPr>
        <w:spacing w:before="120" w:line="320" w:lineRule="atLeast"/>
        <w:ind w:firstLine="420" w:firstLineChars="200"/>
        <w:rPr>
          <w:rFonts w:ascii="宋体" w:hAnsi="宋体"/>
          <w:szCs w:val="21"/>
        </w:rPr>
      </w:pPr>
      <w:r>
        <w:rPr>
          <w:rFonts w:hint="eastAsia" w:ascii="宋体" w:hAnsi="宋体"/>
          <w:szCs w:val="21"/>
        </w:rPr>
        <w:t>1.9.3 价格评审优惠</w:t>
      </w:r>
    </w:p>
    <w:p w14:paraId="58B3B8FB">
      <w:pPr>
        <w:spacing w:before="120" w:line="320" w:lineRule="atLeast"/>
        <w:ind w:firstLine="420" w:firstLineChars="200"/>
        <w:rPr>
          <w:rFonts w:ascii="宋体" w:hAnsi="宋体"/>
          <w:szCs w:val="21"/>
        </w:rPr>
      </w:pPr>
      <w:r>
        <w:rPr>
          <w:rFonts w:hint="eastAsia" w:ascii="宋体" w:hAnsi="宋体"/>
          <w:szCs w:val="21"/>
        </w:rPr>
        <w:t>既有本国产品又有非本国产品参与竞争的，依法对本国产品给予价格评审优惠，对本国产品的报价给予20%的价格扣除，用扣除后的价格参与评审。</w:t>
      </w:r>
    </w:p>
    <w:p w14:paraId="01CC4E34">
      <w:pPr>
        <w:spacing w:before="120" w:line="320" w:lineRule="atLeast"/>
        <w:ind w:firstLine="420" w:firstLineChars="200"/>
        <w:rPr>
          <w:rFonts w:ascii="宋体" w:hAnsi="宋体"/>
          <w:szCs w:val="21"/>
        </w:rPr>
      </w:pPr>
      <w:r>
        <w:rPr>
          <w:rFonts w:hint="eastAsia" w:ascii="宋体" w:hAnsi="宋体"/>
          <w:szCs w:val="21"/>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15E0CC47">
      <w:pPr>
        <w:spacing w:before="120" w:line="320" w:lineRule="atLeast"/>
        <w:ind w:firstLine="420" w:firstLineChars="200"/>
        <w:rPr>
          <w:rFonts w:ascii="宋体" w:hAnsi="宋体"/>
          <w:szCs w:val="21"/>
        </w:rPr>
      </w:pPr>
      <w:r>
        <w:rPr>
          <w:rFonts w:hint="eastAsia" w:ascii="宋体" w:hAnsi="宋体"/>
          <w:szCs w:val="21"/>
        </w:rPr>
        <w:t>价格扣除比例在第四章评审方法及标准中规定。</w:t>
      </w:r>
    </w:p>
    <w:p w14:paraId="6C0979CA">
      <w:pPr>
        <w:spacing w:before="120" w:line="320" w:lineRule="atLeast"/>
        <w:ind w:firstLine="420" w:firstLineChars="200"/>
        <w:rPr>
          <w:rFonts w:ascii="宋体" w:hAnsi="宋体"/>
          <w:szCs w:val="21"/>
        </w:rPr>
      </w:pPr>
      <w:r>
        <w:rPr>
          <w:rFonts w:hint="eastAsia" w:ascii="宋体" w:hAnsi="宋体"/>
          <w:szCs w:val="21"/>
        </w:rPr>
        <w:t>1.9.4政策执行要求</w:t>
      </w:r>
    </w:p>
    <w:p w14:paraId="42921B7D">
      <w:pPr>
        <w:spacing w:before="120" w:line="320" w:lineRule="atLeast"/>
        <w:ind w:firstLine="420" w:firstLineChars="200"/>
        <w:rPr>
          <w:rFonts w:ascii="宋体" w:hAnsi="宋体"/>
          <w:szCs w:val="21"/>
        </w:rPr>
      </w:pPr>
      <w:r>
        <w:rPr>
          <w:rFonts w:hint="eastAsia" w:ascii="宋体" w:hAnsi="宋体"/>
          <w:szCs w:val="21"/>
        </w:rPr>
        <w:t>1.9.4.1产品在中国境内生产的组件成本核算规则：产品在中国境内生产的组件成本，按照《中国境内生产的组件成本核算基本规则》计算。</w:t>
      </w:r>
    </w:p>
    <w:p w14:paraId="7A3573D5">
      <w:pPr>
        <w:spacing w:before="120" w:line="360" w:lineRule="auto"/>
        <w:ind w:firstLine="2520" w:firstLineChars="1200"/>
        <w:rPr>
          <w:rFonts w:ascii="宋体" w:hAnsi="宋体"/>
          <w:szCs w:val="21"/>
        </w:rPr>
      </w:pPr>
      <w:r>
        <w:rPr>
          <w:rFonts w:hint="eastAsia" w:ascii="宋体" w:hAnsi="宋体"/>
          <w:szCs w:val="21"/>
        </w:rPr>
        <w:t>《中国境内生产的组件成本核算基本规则》</w:t>
      </w:r>
    </w:p>
    <w:p w14:paraId="6FA9A205">
      <w:pPr>
        <w:spacing w:before="120"/>
        <w:ind w:firstLine="420" w:firstLineChars="200"/>
        <w:rPr>
          <w:rFonts w:ascii="宋体" w:hAnsi="宋体"/>
          <w:szCs w:val="21"/>
        </w:rPr>
      </w:pPr>
      <w:r>
        <w:rPr>
          <w:rFonts w:hint="eastAsia" w:ascii="宋体" w:hAnsi="宋体"/>
          <w:szCs w:val="21"/>
        </w:rPr>
        <w:t>产品在中国境内生产的组件成本，一般按照其二级组件的相关成本进行核算。按照产品的一级组件进行成本核算能够满足中国境内生产的组件成本判定需求的，可以按照一级组件的相关成本进行核算。</w:t>
      </w:r>
    </w:p>
    <w:p w14:paraId="59B98C88">
      <w:pPr>
        <w:spacing w:before="120"/>
        <w:ind w:firstLine="420" w:firstLineChars="200"/>
        <w:rPr>
          <w:rFonts w:ascii="宋体" w:hAnsi="宋体"/>
          <w:szCs w:val="21"/>
        </w:rPr>
      </w:pPr>
      <w:r>
        <w:rPr>
          <w:rFonts w:hint="eastAsia" w:ascii="宋体" w:hAnsi="宋体"/>
          <w:szCs w:val="21"/>
        </w:rPr>
        <w:t>1.产品的一级组件是指直接组成产品的组件。产品的二级组件是指直接组成产品一级组件的组件。一级组件不可分解的，视同二级组件。</w:t>
      </w:r>
    </w:p>
    <w:p w14:paraId="3E511AD8">
      <w:pPr>
        <w:spacing w:before="120"/>
        <w:ind w:firstLine="420" w:firstLineChars="200"/>
        <w:rPr>
          <w:rFonts w:ascii="宋体" w:hAnsi="宋体"/>
          <w:szCs w:val="21"/>
        </w:rPr>
      </w:pPr>
      <w:r>
        <w:rPr>
          <w:rFonts w:hint="eastAsia" w:ascii="宋体" w:hAnsi="宋体"/>
          <w:szCs w:val="21"/>
        </w:rPr>
        <w:t>2.二级组件在中国境内生产的，其全部成本计入中国境内生产的组件成本；二级组件不在中国境内生产的，其成本不计入中国境内生产的组件成本。</w:t>
      </w:r>
    </w:p>
    <w:p w14:paraId="487F975A">
      <w:pPr>
        <w:spacing w:before="120"/>
        <w:ind w:firstLine="420" w:firstLineChars="200"/>
        <w:rPr>
          <w:rFonts w:ascii="宋体" w:hAnsi="宋体"/>
          <w:szCs w:val="21"/>
        </w:rPr>
      </w:pPr>
      <w:r>
        <w:rPr>
          <w:rFonts w:hint="eastAsia" w:ascii="宋体" w:hAnsi="宋体"/>
          <w:szCs w:val="21"/>
        </w:rPr>
        <w:t>3.产品总成本和组件成本以相关会计核算数据、采购合同、进货记录等为基础进行计算。</w:t>
      </w:r>
    </w:p>
    <w:p w14:paraId="61DE2B17">
      <w:pPr>
        <w:spacing w:before="120"/>
        <w:ind w:firstLine="420" w:firstLineChars="200"/>
        <w:rPr>
          <w:rFonts w:ascii="宋体" w:hAnsi="宋体"/>
          <w:szCs w:val="21"/>
        </w:rPr>
      </w:pPr>
      <w:r>
        <w:rPr>
          <w:rFonts w:hint="eastAsia" w:ascii="宋体" w:hAnsi="宋体"/>
          <w:szCs w:val="21"/>
        </w:rPr>
        <w:t>4.需要对成本核算规则予以进一步明确的其他有关事项，由财政部会同有关部门另行规定。</w:t>
      </w:r>
    </w:p>
    <w:p w14:paraId="2327F191">
      <w:pPr>
        <w:spacing w:before="120" w:line="320" w:lineRule="atLeast"/>
        <w:ind w:firstLine="420" w:firstLineChars="200"/>
        <w:rPr>
          <w:rFonts w:ascii="宋体" w:hAnsi="宋体"/>
          <w:szCs w:val="21"/>
        </w:rPr>
      </w:pPr>
      <w:r>
        <w:rPr>
          <w:rFonts w:hint="eastAsia" w:ascii="宋体" w:hAnsi="宋体"/>
          <w:szCs w:val="21"/>
        </w:rPr>
        <w:t>1.9.4.2证明材料提交与审查：供应商需在投标（响应）文件中对其提供的产品出具《关于符合本国产品标准的声明函》（样式见响应文件格式）或财政部会同有关部门规定的有关证明文件。</w:t>
      </w:r>
      <w:r>
        <w:rPr>
          <w:rFonts w:hint="eastAsia" w:ascii="宋体" w:hAnsi="宋体"/>
          <w:b/>
          <w:bCs/>
          <w:szCs w:val="21"/>
        </w:rPr>
        <w:t>医疗器械产品凭药品监督管理部门授予的准字号注册证直接认定属于在中国境内生产的产品。</w:t>
      </w:r>
      <w:r>
        <w:rPr>
          <w:rFonts w:hint="eastAsia" w:ascii="宋体" w:hAnsi="宋体"/>
          <w:szCs w:val="21"/>
        </w:rPr>
        <w:t>出具符合要求的《声明函》或有关证明文件的，该产品视为本国产品，采购人、采购代理机构不得再要求供应商提供其他证明材料。供应商提供虚假《声明函》、虚假证明文件谋取中标、成交的，依照《中华人民共和国政府采购法》等法律法规规定追究相应责任。采购人、采购代理机构应当随中标、成交结果同时公告中标、成交供应商提供的《声明函》或有关证明文件。</w:t>
      </w:r>
    </w:p>
    <w:p w14:paraId="4E6B03D8">
      <w:pPr>
        <w:spacing w:line="380" w:lineRule="exact"/>
        <w:ind w:firstLine="420" w:firstLineChars="200"/>
        <w:rPr>
          <w:rFonts w:ascii="宋体" w:hAnsi="宋体"/>
          <w:szCs w:val="21"/>
        </w:rPr>
      </w:pPr>
      <w:r>
        <w:rPr>
          <w:rFonts w:hint="eastAsia" w:ascii="宋体" w:hAnsi="宋体"/>
          <w:szCs w:val="21"/>
        </w:rPr>
        <w:t>评审委员会应对《声明函》的完整性、准确性进行审查，对《声明函》内容含义不明确、同类事项与投标（响应）文件表述不一致或存在明显文字错误的，应当以书面形式要求供应商澄清、说明或者补正；经澄清、说明或者补正后仍不符合要求的，不认定为本国产品。</w:t>
      </w:r>
    </w:p>
    <w:p w14:paraId="7A7F49D6">
      <w:pPr>
        <w:spacing w:line="380" w:lineRule="exact"/>
        <w:ind w:firstLine="420" w:firstLineChars="200"/>
        <w:rPr>
          <w:rFonts w:ascii="宋体" w:hAnsi="宋体"/>
          <w:szCs w:val="21"/>
        </w:rPr>
      </w:pPr>
      <w:r>
        <w:rPr>
          <w:rFonts w:hint="eastAsia" w:ascii="宋体" w:hAnsi="宋体"/>
          <w:szCs w:val="21"/>
        </w:rPr>
        <w:t>澄清补正应当按照“6.3.3澄清、说明或补正”的规定提交。</w:t>
      </w:r>
    </w:p>
    <w:p w14:paraId="004084D1">
      <w:pPr>
        <w:spacing w:line="380" w:lineRule="exact"/>
        <w:ind w:firstLine="420" w:firstLineChars="200"/>
        <w:rPr>
          <w:rFonts w:ascii="宋体" w:hAnsi="宋体"/>
          <w:szCs w:val="21"/>
        </w:rPr>
      </w:pPr>
      <w:r>
        <w:rPr>
          <w:rFonts w:hint="eastAsia" w:ascii="宋体" w:hAnsi="宋体"/>
          <w:szCs w:val="21"/>
        </w:rPr>
        <w:t>1.9.4.3成本核算与承诺</w:t>
      </w:r>
    </w:p>
    <w:p w14:paraId="4633F2F5">
      <w:pPr>
        <w:spacing w:line="380" w:lineRule="exact"/>
        <w:ind w:firstLine="420" w:firstLineChars="200"/>
        <w:rPr>
          <w:rFonts w:ascii="宋体" w:hAnsi="宋体"/>
          <w:szCs w:val="21"/>
        </w:rPr>
      </w:pPr>
      <w:r>
        <w:rPr>
          <w:rFonts w:ascii="宋体" w:hAnsi="宋体"/>
          <w:szCs w:val="21"/>
        </w:rPr>
        <w:t>供应商应依据《中国境内生产的组件成本核算基本规则》核算产品成本占比，并对核算结果负责，按要求提交《</w:t>
      </w:r>
      <w:r>
        <w:rPr>
          <w:rFonts w:hint="eastAsia" w:ascii="宋体" w:hAnsi="宋体"/>
          <w:szCs w:val="21"/>
        </w:rPr>
        <w:t>关于符合</w:t>
      </w:r>
      <w:r>
        <w:rPr>
          <w:rFonts w:ascii="宋体" w:hAnsi="宋体"/>
          <w:szCs w:val="21"/>
        </w:rPr>
        <w:t>本国产品</w:t>
      </w:r>
      <w:r>
        <w:rPr>
          <w:rFonts w:hint="eastAsia" w:ascii="宋体" w:hAnsi="宋体"/>
          <w:szCs w:val="21"/>
        </w:rPr>
        <w:t>标准的</w:t>
      </w:r>
      <w:r>
        <w:rPr>
          <w:rFonts w:ascii="宋体" w:hAnsi="宋体"/>
          <w:szCs w:val="21"/>
        </w:rPr>
        <w:t>成本占比承诺函》</w:t>
      </w:r>
      <w:r>
        <w:rPr>
          <w:rFonts w:hint="eastAsia" w:ascii="宋体" w:hAnsi="宋体"/>
          <w:szCs w:val="21"/>
        </w:rPr>
        <w:t>（如适用）</w:t>
      </w:r>
      <w:r>
        <w:rPr>
          <w:rFonts w:ascii="宋体" w:hAnsi="宋体"/>
          <w:szCs w:val="21"/>
        </w:rPr>
        <w:t>（参考模板</w:t>
      </w:r>
      <w:r>
        <w:rPr>
          <w:rFonts w:hint="eastAsia" w:ascii="宋体" w:hAnsi="宋体"/>
          <w:szCs w:val="21"/>
        </w:rPr>
        <w:t>详见响应文件格式</w:t>
      </w:r>
      <w:r>
        <w:rPr>
          <w:rFonts w:ascii="宋体" w:hAnsi="宋体"/>
          <w:szCs w:val="21"/>
        </w:rPr>
        <w:t>）。相关成本核算的原始凭证应妥善留存，以备核查。采购人可在履约验收环节对相关材料进行抽查。</w:t>
      </w:r>
    </w:p>
    <w:p w14:paraId="51FC8136">
      <w:pPr>
        <w:spacing w:before="120" w:line="320" w:lineRule="atLeast"/>
        <w:ind w:firstLine="420" w:firstLineChars="200"/>
        <w:rPr>
          <w:rFonts w:ascii="宋体" w:hAnsi="宋体"/>
          <w:szCs w:val="21"/>
        </w:rPr>
      </w:pPr>
      <w:r>
        <w:rPr>
          <w:rFonts w:hint="eastAsia" w:ascii="宋体" w:hAnsi="宋体"/>
          <w:szCs w:val="21"/>
        </w:rPr>
        <w:t>1.9.5 争议处理</w:t>
      </w:r>
    </w:p>
    <w:p w14:paraId="5EF5E588">
      <w:pPr>
        <w:spacing w:before="120" w:line="360" w:lineRule="auto"/>
        <w:ind w:firstLine="420" w:firstLineChars="200"/>
        <w:rPr>
          <w:rFonts w:ascii="宋体" w:hAnsi="宋体"/>
          <w:szCs w:val="21"/>
        </w:rPr>
      </w:pPr>
      <w:r>
        <w:rPr>
          <w:rFonts w:hint="eastAsia" w:ascii="宋体" w:hAnsi="宋体"/>
          <w:szCs w:val="21"/>
        </w:rPr>
        <w:t>政府采购投诉处理、监督检查中，相关供应商及制造商未按上述要求提供证明材料或提供的材料不足以证明产品符合本国产品标准的，不应当享受对本国产品的政府采购支持政策，由此影响或者可能影响采购结果的，财政部门按照政府采购相关法律法规规定等处理。</w:t>
      </w:r>
    </w:p>
    <w:p w14:paraId="1A738859">
      <w:pPr>
        <w:spacing w:before="120" w:line="320" w:lineRule="atLeast"/>
        <w:ind w:left="2" w:leftChars="1" w:firstLine="422" w:firstLineChars="200"/>
        <w:outlineLvl w:val="1"/>
        <w:rPr>
          <w:rFonts w:ascii="宋体" w:hAnsi="宋体"/>
          <w:b/>
          <w:bCs/>
          <w:kern w:val="0"/>
          <w:szCs w:val="21"/>
        </w:rPr>
      </w:pPr>
      <w:bookmarkStart w:id="35" w:name="_Toc254970534"/>
      <w:bookmarkStart w:id="36" w:name="_Toc254970675"/>
      <w:r>
        <w:rPr>
          <w:rFonts w:ascii="宋体" w:hAnsi="宋体"/>
          <w:b/>
          <w:bCs/>
          <w:kern w:val="0"/>
          <w:szCs w:val="21"/>
        </w:rPr>
        <w:t>2．采购文件</w:t>
      </w:r>
      <w:bookmarkEnd w:id="35"/>
      <w:bookmarkEnd w:id="36"/>
    </w:p>
    <w:p w14:paraId="5D426E0F">
      <w:pPr>
        <w:spacing w:before="120" w:line="320" w:lineRule="atLeast"/>
        <w:ind w:firstLine="422" w:firstLineChars="200"/>
        <w:outlineLvl w:val="2"/>
        <w:rPr>
          <w:rFonts w:ascii="宋体" w:hAnsi="宋体"/>
          <w:b/>
          <w:bCs/>
          <w:kern w:val="0"/>
          <w:szCs w:val="21"/>
        </w:rPr>
      </w:pPr>
      <w:r>
        <w:rPr>
          <w:rFonts w:ascii="宋体" w:hAnsi="宋体"/>
          <w:b/>
          <w:bCs/>
          <w:kern w:val="0"/>
          <w:szCs w:val="21"/>
        </w:rPr>
        <w:t>2.1采购文件的构成</w:t>
      </w:r>
    </w:p>
    <w:p w14:paraId="58852A56">
      <w:pPr>
        <w:spacing w:before="120" w:line="320" w:lineRule="atLeast"/>
        <w:ind w:firstLine="420" w:firstLineChars="200"/>
        <w:rPr>
          <w:rFonts w:ascii="宋体" w:hAnsi="宋体"/>
          <w:szCs w:val="21"/>
        </w:rPr>
      </w:pPr>
      <w:r>
        <w:rPr>
          <w:rFonts w:ascii="宋体" w:hAnsi="宋体"/>
          <w:szCs w:val="21"/>
        </w:rPr>
        <w:t>第一章 磋商公告</w:t>
      </w:r>
    </w:p>
    <w:p w14:paraId="07B60CDF">
      <w:pPr>
        <w:spacing w:before="120" w:line="320" w:lineRule="atLeast"/>
        <w:ind w:firstLine="420" w:firstLineChars="200"/>
        <w:rPr>
          <w:rFonts w:ascii="宋体" w:hAnsi="宋体"/>
          <w:szCs w:val="21"/>
        </w:rPr>
      </w:pPr>
      <w:r>
        <w:rPr>
          <w:rFonts w:ascii="宋体" w:hAnsi="宋体"/>
          <w:szCs w:val="21"/>
        </w:rPr>
        <w:t>第二章 采购需求</w:t>
      </w:r>
    </w:p>
    <w:p w14:paraId="6E188281">
      <w:pPr>
        <w:spacing w:before="120" w:line="320" w:lineRule="atLeast"/>
        <w:ind w:firstLine="420" w:firstLineChars="200"/>
        <w:rPr>
          <w:rFonts w:ascii="宋体" w:hAnsi="宋体"/>
          <w:szCs w:val="21"/>
        </w:rPr>
      </w:pPr>
      <w:r>
        <w:rPr>
          <w:rFonts w:ascii="宋体" w:hAnsi="宋体"/>
          <w:szCs w:val="21"/>
        </w:rPr>
        <w:t>第三章 供应商须知</w:t>
      </w:r>
    </w:p>
    <w:p w14:paraId="3D53713F">
      <w:pPr>
        <w:spacing w:before="120" w:line="320" w:lineRule="atLeast"/>
        <w:ind w:firstLine="420" w:firstLineChars="200"/>
        <w:rPr>
          <w:rFonts w:ascii="宋体" w:hAnsi="宋体"/>
          <w:szCs w:val="21"/>
        </w:rPr>
      </w:pPr>
      <w:r>
        <w:rPr>
          <w:rFonts w:ascii="宋体" w:hAnsi="宋体"/>
          <w:szCs w:val="21"/>
        </w:rPr>
        <w:t>第四章 评审方法及标准</w:t>
      </w:r>
    </w:p>
    <w:p w14:paraId="452C4465">
      <w:pPr>
        <w:spacing w:before="120" w:line="320" w:lineRule="atLeast"/>
        <w:ind w:firstLine="420" w:firstLineChars="200"/>
        <w:rPr>
          <w:rFonts w:ascii="宋体" w:hAnsi="宋体"/>
          <w:szCs w:val="21"/>
        </w:rPr>
      </w:pPr>
      <w:r>
        <w:rPr>
          <w:rFonts w:ascii="宋体" w:hAnsi="宋体"/>
          <w:szCs w:val="21"/>
        </w:rPr>
        <w:t>第五章 合同主要条款格式</w:t>
      </w:r>
    </w:p>
    <w:p w14:paraId="4E48AD9C">
      <w:pPr>
        <w:spacing w:before="120" w:line="320" w:lineRule="atLeast"/>
        <w:ind w:firstLine="420" w:firstLineChars="200"/>
        <w:rPr>
          <w:rFonts w:ascii="宋体" w:hAnsi="宋体"/>
          <w:szCs w:val="21"/>
        </w:rPr>
      </w:pPr>
      <w:r>
        <w:rPr>
          <w:rFonts w:ascii="宋体" w:hAnsi="宋体"/>
          <w:szCs w:val="21"/>
        </w:rPr>
        <w:t>第六章 响应文件格式</w:t>
      </w:r>
    </w:p>
    <w:p w14:paraId="5539081F">
      <w:pPr>
        <w:spacing w:before="120" w:line="320" w:lineRule="atLeast"/>
        <w:ind w:firstLine="422" w:firstLineChars="200"/>
        <w:outlineLvl w:val="2"/>
        <w:rPr>
          <w:rFonts w:ascii="宋体" w:hAnsi="宋体"/>
          <w:b/>
          <w:bCs/>
          <w:kern w:val="0"/>
          <w:szCs w:val="21"/>
        </w:rPr>
      </w:pPr>
      <w:r>
        <w:rPr>
          <w:rFonts w:ascii="宋体" w:hAnsi="宋体"/>
          <w:b/>
          <w:bCs/>
          <w:kern w:val="0"/>
          <w:szCs w:val="21"/>
        </w:rPr>
        <w:t>2.2供应商的风险</w:t>
      </w:r>
    </w:p>
    <w:p w14:paraId="07F96DEC">
      <w:pPr>
        <w:spacing w:before="120" w:line="320" w:lineRule="atLeast"/>
        <w:ind w:firstLine="420" w:firstLineChars="200"/>
        <w:rPr>
          <w:rFonts w:ascii="宋体" w:hAnsi="宋体"/>
          <w:szCs w:val="21"/>
        </w:rPr>
      </w:pPr>
      <w:r>
        <w:rPr>
          <w:rFonts w:ascii="宋体" w:hAnsi="宋体"/>
          <w:szCs w:val="21"/>
        </w:rPr>
        <w:t>供应商没有按照采购文件要求提供全部资料，或者供应商没有对采购文件在各方面作出实质性响应是供应商的风险，并可能导致其响应被否决。</w:t>
      </w:r>
    </w:p>
    <w:p w14:paraId="06FAB65A">
      <w:pPr>
        <w:spacing w:before="120" w:line="320" w:lineRule="atLeast"/>
        <w:ind w:firstLine="422" w:firstLineChars="200"/>
        <w:outlineLvl w:val="2"/>
        <w:rPr>
          <w:rFonts w:ascii="宋体" w:hAnsi="宋体"/>
          <w:b/>
          <w:szCs w:val="21"/>
        </w:rPr>
      </w:pPr>
      <w:r>
        <w:rPr>
          <w:rFonts w:ascii="宋体" w:hAnsi="宋体"/>
          <w:b/>
          <w:bCs/>
          <w:kern w:val="0"/>
          <w:szCs w:val="21"/>
        </w:rPr>
        <w:t>2.3采购文件的澄清与修改</w:t>
      </w:r>
    </w:p>
    <w:p w14:paraId="5B325656">
      <w:pPr>
        <w:spacing w:before="120" w:line="320" w:lineRule="atLeast"/>
        <w:ind w:firstLine="420" w:firstLineChars="200"/>
        <w:rPr>
          <w:rFonts w:ascii="宋体" w:hAnsi="宋体"/>
          <w:szCs w:val="21"/>
        </w:rPr>
      </w:pPr>
      <w:r>
        <w:rPr>
          <w:rFonts w:ascii="宋体" w:hAnsi="宋体"/>
          <w:szCs w:val="21"/>
        </w:rPr>
        <w:t>2.3.1</w:t>
      </w:r>
      <w:r>
        <w:rPr>
          <w:rFonts w:hint="eastAsia" w:ascii="宋体" w:hAnsi="宋体"/>
          <w:szCs w:val="21"/>
        </w:rPr>
        <w:t>任何已获得采购文件的潜在供应商，均可</w:t>
      </w:r>
      <w:r>
        <w:rPr>
          <w:rFonts w:ascii="宋体" w:hAnsi="宋体"/>
          <w:szCs w:val="21"/>
        </w:rPr>
        <w:t>以书面形式要求采购代理机构作出书面解释、澄清</w:t>
      </w:r>
      <w:r>
        <w:rPr>
          <w:rFonts w:hint="eastAsia" w:ascii="宋体" w:hAnsi="宋体"/>
          <w:szCs w:val="21"/>
        </w:rPr>
        <w:t>。</w:t>
      </w:r>
    </w:p>
    <w:p w14:paraId="35271190">
      <w:pPr>
        <w:spacing w:before="120" w:line="320" w:lineRule="atLeast"/>
        <w:ind w:firstLine="420" w:firstLineChars="200"/>
        <w:rPr>
          <w:rFonts w:ascii="宋体" w:hAnsi="宋体"/>
          <w:szCs w:val="21"/>
        </w:rPr>
      </w:pPr>
      <w:r>
        <w:rPr>
          <w:rFonts w:ascii="宋体" w:hAnsi="宋体"/>
          <w:szCs w:val="21"/>
        </w:rPr>
        <w:t>2.3.2</w:t>
      </w:r>
      <w:r>
        <w:rPr>
          <w:rFonts w:hint="eastAsia" w:ascii="宋体" w:hAnsi="宋体"/>
          <w:szCs w:val="21"/>
        </w:rPr>
        <w:t>采购人、采购代理机构可以对已发出的采购文件进行必要的澄清或者修改，澄清或者修改的内容可能影响响应文件编制的，采购人、采购代理机构应当在提交首次响应文件截止之日3个工作日前，在供应商须知前附表规定的方式通知所有获取采购文件的潜在供应商，不足3个工作日的，采购人、采购代理机构应当顺延提交首次响应文件截止时间。</w:t>
      </w:r>
      <w:r>
        <w:rPr>
          <w:rFonts w:ascii="宋体" w:hAnsi="宋体"/>
          <w:szCs w:val="21"/>
        </w:rPr>
        <w:t xml:space="preserve"> </w:t>
      </w:r>
    </w:p>
    <w:p w14:paraId="36D97F81">
      <w:pPr>
        <w:spacing w:before="120" w:line="320" w:lineRule="atLeast"/>
        <w:ind w:firstLine="420" w:firstLineChars="200"/>
        <w:rPr>
          <w:rFonts w:ascii="宋体" w:hAnsi="宋体"/>
          <w:szCs w:val="21"/>
        </w:rPr>
      </w:pPr>
      <w:r>
        <w:rPr>
          <w:rFonts w:ascii="宋体" w:hAnsi="宋体"/>
          <w:szCs w:val="21"/>
        </w:rPr>
        <w:t>2.3.3采购文件澄清、答复、修改、补充的内容为采购文件的组成部分。当采购文件与采购文件的答复、澄清、修改、补充通知就同一内容的表述不一致时，以最后发出的公告或书面文件为准。</w:t>
      </w:r>
    </w:p>
    <w:p w14:paraId="50FD488F">
      <w:pPr>
        <w:spacing w:before="120" w:line="320" w:lineRule="atLeast"/>
        <w:ind w:left="2" w:leftChars="1" w:firstLine="422" w:firstLineChars="200"/>
        <w:outlineLvl w:val="1"/>
        <w:rPr>
          <w:rFonts w:ascii="宋体" w:hAnsi="宋体"/>
          <w:b/>
          <w:bCs/>
          <w:kern w:val="0"/>
          <w:szCs w:val="21"/>
        </w:rPr>
      </w:pPr>
      <w:bookmarkStart w:id="37" w:name="_Toc254970535"/>
      <w:bookmarkStart w:id="38" w:name="_Toc254970676"/>
      <w:r>
        <w:rPr>
          <w:rFonts w:ascii="宋体" w:hAnsi="宋体"/>
          <w:b/>
          <w:bCs/>
          <w:kern w:val="0"/>
          <w:szCs w:val="21"/>
        </w:rPr>
        <w:t>3．响应文件</w:t>
      </w:r>
      <w:bookmarkEnd w:id="37"/>
      <w:bookmarkEnd w:id="38"/>
    </w:p>
    <w:p w14:paraId="1FD587D8">
      <w:pPr>
        <w:spacing w:before="120" w:line="320" w:lineRule="atLeast"/>
        <w:ind w:firstLine="422" w:firstLineChars="200"/>
        <w:outlineLvl w:val="2"/>
        <w:rPr>
          <w:rFonts w:ascii="宋体" w:hAnsi="宋体"/>
          <w:b/>
          <w:bCs/>
          <w:kern w:val="0"/>
          <w:szCs w:val="21"/>
        </w:rPr>
      </w:pPr>
      <w:bookmarkStart w:id="39" w:name="_Toc254970677"/>
      <w:bookmarkStart w:id="40" w:name="_Toc254970536"/>
      <w:r>
        <w:rPr>
          <w:rFonts w:ascii="宋体" w:hAnsi="宋体"/>
          <w:b/>
          <w:bCs/>
          <w:kern w:val="0"/>
          <w:szCs w:val="21"/>
        </w:rPr>
        <w:t>3.1响应文件的组成</w:t>
      </w:r>
      <w:bookmarkEnd w:id="39"/>
      <w:bookmarkEnd w:id="40"/>
    </w:p>
    <w:p w14:paraId="5DC9208A">
      <w:pPr>
        <w:spacing w:before="120" w:line="320" w:lineRule="atLeast"/>
        <w:ind w:firstLine="420" w:firstLineChars="200"/>
        <w:rPr>
          <w:rFonts w:ascii="宋体" w:hAnsi="宋体"/>
          <w:szCs w:val="21"/>
        </w:rPr>
      </w:pPr>
      <w:r>
        <w:rPr>
          <w:rFonts w:ascii="宋体" w:hAnsi="宋体"/>
          <w:szCs w:val="21"/>
        </w:rPr>
        <w:t>响应文件由第六章“响应文件格式”规定的</w:t>
      </w:r>
      <w:r>
        <w:rPr>
          <w:rFonts w:hint="eastAsia" w:ascii="宋体" w:hAnsi="宋体"/>
          <w:szCs w:val="21"/>
        </w:rPr>
        <w:t>内容</w:t>
      </w:r>
      <w:r>
        <w:rPr>
          <w:rFonts w:ascii="宋体" w:hAnsi="宋体"/>
          <w:szCs w:val="21"/>
        </w:rPr>
        <w:t>和供应商所作的一切有效补充、修改和承诺等文件组成</w:t>
      </w:r>
      <w:r>
        <w:rPr>
          <w:rFonts w:hint="eastAsia" w:ascii="宋体" w:hAnsi="宋体"/>
          <w:szCs w:val="21"/>
        </w:rPr>
        <w:t>。</w:t>
      </w:r>
    </w:p>
    <w:p w14:paraId="07F23B62">
      <w:pPr>
        <w:spacing w:before="120" w:line="320" w:lineRule="atLeast"/>
        <w:ind w:firstLine="422" w:firstLineChars="200"/>
        <w:outlineLvl w:val="2"/>
        <w:rPr>
          <w:rFonts w:ascii="宋体" w:hAnsi="宋体"/>
          <w:b/>
          <w:bCs/>
          <w:kern w:val="0"/>
          <w:szCs w:val="21"/>
        </w:rPr>
      </w:pPr>
      <w:bookmarkStart w:id="41" w:name="_Toc254970678"/>
      <w:bookmarkStart w:id="42" w:name="_Toc254970537"/>
      <w:r>
        <w:rPr>
          <w:rFonts w:ascii="宋体" w:hAnsi="宋体"/>
          <w:b/>
          <w:szCs w:val="21"/>
        </w:rPr>
        <w:t>3.2</w:t>
      </w:r>
      <w:r>
        <w:rPr>
          <w:rFonts w:ascii="宋体" w:hAnsi="宋体"/>
          <w:b/>
          <w:bCs/>
          <w:kern w:val="0"/>
          <w:szCs w:val="21"/>
        </w:rPr>
        <w:t>响应文件的语言及计量</w:t>
      </w:r>
      <w:bookmarkEnd w:id="41"/>
      <w:bookmarkEnd w:id="42"/>
    </w:p>
    <w:p w14:paraId="72DCCBA1">
      <w:pPr>
        <w:spacing w:before="120" w:line="320" w:lineRule="atLeast"/>
        <w:ind w:firstLine="420" w:firstLineChars="200"/>
        <w:rPr>
          <w:rFonts w:ascii="宋体" w:hAnsi="宋体"/>
          <w:szCs w:val="21"/>
        </w:rPr>
      </w:pPr>
      <w:r>
        <w:rPr>
          <w:rFonts w:ascii="宋体" w:hAnsi="宋体"/>
          <w:szCs w:val="21"/>
        </w:rPr>
        <w:t>3.2.1</w:t>
      </w:r>
      <w:r>
        <w:rPr>
          <w:rFonts w:hint="eastAsia" w:ascii="宋体" w:hAnsi="宋体"/>
          <w:szCs w:val="21"/>
        </w:rPr>
        <w:t>响应文件以及供应商与采购人就有关响应事宜的所有来往函电，均应以中文书写（除专用术语外，与招标响应有关的语言均使用中文。必要时专用术语应附有中文注释）。供应商提交的支持文件和印刷的文献可以使用别的语言，但其相应内容应同时附中文翻译文本，在解释响应文件时以中文翻译文本为主。对不同文字文本响应文件的解释发生异议的，以中文文本为准。</w:t>
      </w:r>
    </w:p>
    <w:p w14:paraId="1B7CE610">
      <w:pPr>
        <w:spacing w:before="120" w:line="320" w:lineRule="atLeast"/>
        <w:ind w:firstLine="420" w:firstLineChars="200"/>
        <w:rPr>
          <w:rFonts w:ascii="宋体" w:hAnsi="宋体"/>
          <w:szCs w:val="21"/>
        </w:rPr>
      </w:pPr>
      <w:r>
        <w:rPr>
          <w:rFonts w:ascii="宋体" w:hAnsi="宋体"/>
          <w:szCs w:val="21"/>
        </w:rPr>
        <w:t>3.2.2计量单位采购文件已有明确规定的，响应使用采购文件规定的计量单位；采购文件没有规定的，应采用中华人民共和国法定计量单位。</w:t>
      </w:r>
    </w:p>
    <w:p w14:paraId="2192AFFB">
      <w:pPr>
        <w:spacing w:before="120" w:line="320" w:lineRule="atLeast"/>
        <w:ind w:firstLine="422" w:firstLineChars="200"/>
        <w:outlineLvl w:val="2"/>
        <w:rPr>
          <w:rFonts w:ascii="宋体" w:hAnsi="宋体"/>
          <w:b/>
          <w:bCs/>
          <w:kern w:val="0"/>
          <w:szCs w:val="21"/>
        </w:rPr>
      </w:pPr>
      <w:bookmarkStart w:id="43" w:name="_Toc254970538"/>
      <w:bookmarkStart w:id="44" w:name="_Toc254970679"/>
      <w:r>
        <w:rPr>
          <w:rFonts w:ascii="宋体" w:hAnsi="宋体"/>
          <w:b/>
          <w:bCs/>
          <w:kern w:val="0"/>
          <w:szCs w:val="21"/>
        </w:rPr>
        <w:t>3.3响应报价</w:t>
      </w:r>
      <w:bookmarkEnd w:id="43"/>
      <w:bookmarkEnd w:id="44"/>
    </w:p>
    <w:p w14:paraId="1376048E">
      <w:pPr>
        <w:spacing w:before="120" w:line="320" w:lineRule="atLeast"/>
        <w:ind w:firstLine="420" w:firstLineChars="200"/>
        <w:rPr>
          <w:rFonts w:ascii="宋体" w:hAnsi="宋体"/>
          <w:szCs w:val="21"/>
        </w:rPr>
      </w:pPr>
      <w:r>
        <w:rPr>
          <w:rFonts w:ascii="宋体" w:hAnsi="宋体"/>
          <w:szCs w:val="21"/>
        </w:rPr>
        <w:t>3.3.1响应报价应按采购文件中相关附表格式填写。</w:t>
      </w:r>
    </w:p>
    <w:p w14:paraId="3199834B">
      <w:pPr>
        <w:spacing w:before="120" w:line="320" w:lineRule="atLeast"/>
        <w:ind w:firstLine="420" w:firstLineChars="200"/>
        <w:rPr>
          <w:rFonts w:ascii="宋体" w:hAnsi="宋体"/>
          <w:szCs w:val="21"/>
        </w:rPr>
      </w:pPr>
      <w:r>
        <w:rPr>
          <w:rFonts w:ascii="宋体" w:hAnsi="宋体"/>
          <w:szCs w:val="21"/>
        </w:rPr>
        <w:t>3.3.2响应文件只允许有一个报价，有选择的或有条件的报价将不予接受。</w:t>
      </w:r>
    </w:p>
    <w:p w14:paraId="694EA790">
      <w:pPr>
        <w:suppressAutoHyphens/>
        <w:spacing w:before="120" w:line="320" w:lineRule="atLeast"/>
        <w:ind w:firstLine="420" w:firstLineChars="200"/>
        <w:rPr>
          <w:rFonts w:ascii="宋体" w:hAnsi="宋体"/>
          <w:kern w:val="1"/>
          <w:szCs w:val="21"/>
        </w:rPr>
      </w:pPr>
      <w:r>
        <w:rPr>
          <w:rFonts w:ascii="宋体" w:hAnsi="宋体"/>
          <w:kern w:val="1"/>
          <w:szCs w:val="21"/>
        </w:rPr>
        <w:t>3.3.3对于本文件中未列明，而供应商认为必需的费用也需列入</w:t>
      </w:r>
      <w:r>
        <w:rPr>
          <w:rFonts w:hint="eastAsia" w:ascii="宋体" w:hAnsi="宋体"/>
          <w:kern w:val="1"/>
          <w:szCs w:val="21"/>
        </w:rPr>
        <w:t>响应报价</w:t>
      </w:r>
      <w:r>
        <w:rPr>
          <w:rFonts w:ascii="宋体" w:hAnsi="宋体"/>
          <w:kern w:val="1"/>
          <w:szCs w:val="21"/>
        </w:rPr>
        <w:t>。在合同实施时，采购人将不予支付成交供应商没有列入的项目费用，并认为此项目的费用已包括在</w:t>
      </w:r>
      <w:r>
        <w:rPr>
          <w:rFonts w:hint="eastAsia" w:ascii="宋体" w:hAnsi="宋体"/>
          <w:kern w:val="1"/>
          <w:szCs w:val="21"/>
        </w:rPr>
        <w:t>响应报价</w:t>
      </w:r>
      <w:r>
        <w:rPr>
          <w:rFonts w:ascii="宋体" w:hAnsi="宋体"/>
          <w:kern w:val="1"/>
          <w:szCs w:val="21"/>
        </w:rPr>
        <w:t>中。</w:t>
      </w:r>
    </w:p>
    <w:p w14:paraId="097F3EEB">
      <w:pPr>
        <w:suppressAutoHyphens/>
        <w:spacing w:before="120" w:line="320" w:lineRule="atLeast"/>
        <w:ind w:firstLine="420" w:firstLineChars="200"/>
        <w:rPr>
          <w:rFonts w:ascii="宋体" w:hAnsi="宋体"/>
          <w:b/>
          <w:bCs/>
          <w:kern w:val="1"/>
          <w:szCs w:val="21"/>
        </w:rPr>
      </w:pPr>
      <w:r>
        <w:rPr>
          <w:rFonts w:hint="eastAsia" w:ascii="宋体" w:hAnsi="宋体"/>
          <w:kern w:val="1"/>
          <w:szCs w:val="21"/>
        </w:rPr>
        <w:t>3</w:t>
      </w:r>
      <w:r>
        <w:rPr>
          <w:rFonts w:ascii="宋体" w:hAnsi="宋体"/>
          <w:kern w:val="1"/>
          <w:szCs w:val="21"/>
        </w:rPr>
        <w:t>.3.4</w:t>
      </w:r>
      <w:r>
        <w:rPr>
          <w:rFonts w:hint="eastAsia" w:ascii="宋体" w:hAnsi="宋体"/>
          <w:kern w:val="1"/>
          <w:szCs w:val="21"/>
        </w:rPr>
        <w:t>采购人不接受供应商给予的赠品、回扣或者与采购无关的其他商品、服务。</w:t>
      </w:r>
    </w:p>
    <w:p w14:paraId="719D7DA8">
      <w:pPr>
        <w:spacing w:before="120" w:line="320" w:lineRule="atLeast"/>
        <w:ind w:firstLine="422" w:firstLineChars="200"/>
        <w:outlineLvl w:val="2"/>
        <w:rPr>
          <w:rFonts w:ascii="宋体" w:hAnsi="宋体"/>
          <w:b/>
          <w:bCs/>
          <w:kern w:val="0"/>
          <w:szCs w:val="21"/>
        </w:rPr>
      </w:pPr>
      <w:r>
        <w:rPr>
          <w:rFonts w:ascii="宋体" w:hAnsi="宋体"/>
          <w:b/>
          <w:bCs/>
          <w:kern w:val="0"/>
          <w:szCs w:val="21"/>
        </w:rPr>
        <w:t>3.4响应有效期</w:t>
      </w:r>
    </w:p>
    <w:p w14:paraId="41EA9064">
      <w:pPr>
        <w:spacing w:before="120" w:line="320" w:lineRule="atLeast"/>
        <w:ind w:firstLine="420" w:firstLineChars="200"/>
        <w:rPr>
          <w:rFonts w:ascii="宋体" w:hAnsi="宋体"/>
          <w:szCs w:val="21"/>
        </w:rPr>
      </w:pPr>
      <w:r>
        <w:rPr>
          <w:rFonts w:ascii="宋体" w:hAnsi="宋体"/>
          <w:szCs w:val="21"/>
        </w:rPr>
        <w:t>3.4.1如采购文件其他地方无特别规定</w:t>
      </w:r>
      <w:r>
        <w:rPr>
          <w:rFonts w:hint="eastAsia" w:ascii="宋体" w:hAnsi="宋体"/>
          <w:szCs w:val="21"/>
        </w:rPr>
        <w:t>，</w:t>
      </w:r>
      <w:r>
        <w:rPr>
          <w:rFonts w:ascii="宋体" w:hAnsi="宋体"/>
          <w:szCs w:val="21"/>
        </w:rPr>
        <w:t>响应有效期则为响应截止之日起90天</w:t>
      </w:r>
      <w:r>
        <w:rPr>
          <w:rFonts w:hint="eastAsia" w:ascii="宋体" w:hAnsi="宋体"/>
          <w:szCs w:val="21"/>
        </w:rPr>
        <w:t>。</w:t>
      </w:r>
      <w:r>
        <w:rPr>
          <w:rFonts w:ascii="宋体" w:hAnsi="宋体"/>
          <w:szCs w:val="21"/>
        </w:rPr>
        <w:t>在响应有效期内响应文件应保持有效。</w:t>
      </w:r>
      <w:r>
        <w:rPr>
          <w:rFonts w:ascii="宋体" w:hAnsi="宋体"/>
          <w:b/>
          <w:bCs/>
          <w:szCs w:val="21"/>
        </w:rPr>
        <w:t>有效期不足的响应文件将被否决</w:t>
      </w:r>
      <w:r>
        <w:rPr>
          <w:rFonts w:ascii="宋体" w:hAnsi="宋体"/>
          <w:szCs w:val="21"/>
        </w:rPr>
        <w:t>。</w:t>
      </w:r>
    </w:p>
    <w:p w14:paraId="5EB217A1">
      <w:pPr>
        <w:spacing w:before="120" w:line="320" w:lineRule="atLeast"/>
        <w:ind w:firstLine="420" w:firstLineChars="200"/>
        <w:rPr>
          <w:rFonts w:ascii="宋体" w:hAnsi="宋体"/>
          <w:szCs w:val="21"/>
        </w:rPr>
      </w:pPr>
      <w:r>
        <w:rPr>
          <w:rFonts w:ascii="宋体" w:hAnsi="宋体"/>
          <w:szCs w:val="21"/>
        </w:rPr>
        <w:t>3.4.2在特殊情况下，采购人可与供应商协商延长响应文件的有效期，这种要求和答复均以书面形式进行。</w:t>
      </w:r>
    </w:p>
    <w:p w14:paraId="71416A61">
      <w:pPr>
        <w:spacing w:before="120" w:line="320" w:lineRule="atLeast"/>
        <w:ind w:firstLine="420" w:firstLineChars="200"/>
        <w:rPr>
          <w:rFonts w:ascii="宋体" w:hAnsi="宋体"/>
          <w:szCs w:val="21"/>
        </w:rPr>
      </w:pPr>
      <w:r>
        <w:rPr>
          <w:rFonts w:ascii="宋体" w:hAnsi="宋体"/>
          <w:szCs w:val="21"/>
        </w:rPr>
        <w:t>3.4.3</w:t>
      </w:r>
      <w:r>
        <w:rPr>
          <w:rFonts w:hint="eastAsia" w:ascii="宋体" w:hAnsi="宋体"/>
          <w:szCs w:val="21"/>
        </w:rPr>
        <w:t>供应商同意延长的响应有效期的，如本项目要求提交保证金则应相应延长其磋商保证金的有效期，但不得要求或被允许修改或撤销其响应文件；供应商拒绝延长的，其响应无效，但供应商有权收回其磋商保证金。</w:t>
      </w:r>
    </w:p>
    <w:p w14:paraId="759B04D8">
      <w:pPr>
        <w:spacing w:before="120" w:line="320" w:lineRule="atLeast"/>
        <w:ind w:firstLine="422" w:firstLineChars="200"/>
        <w:outlineLvl w:val="2"/>
        <w:rPr>
          <w:rFonts w:ascii="宋体" w:hAnsi="宋体"/>
          <w:b/>
          <w:bCs/>
          <w:kern w:val="0"/>
          <w:szCs w:val="21"/>
        </w:rPr>
      </w:pPr>
      <w:bookmarkStart w:id="45" w:name="_Toc254970541"/>
      <w:bookmarkStart w:id="46" w:name="_Toc254970682"/>
      <w:r>
        <w:rPr>
          <w:rFonts w:ascii="宋体" w:hAnsi="宋体"/>
          <w:b/>
          <w:bCs/>
          <w:kern w:val="0"/>
          <w:szCs w:val="21"/>
        </w:rPr>
        <w:t>3.5磋商保证金</w:t>
      </w:r>
      <w:bookmarkEnd w:id="45"/>
      <w:bookmarkEnd w:id="46"/>
    </w:p>
    <w:p w14:paraId="5715CB2D">
      <w:pPr>
        <w:spacing w:before="120" w:line="320" w:lineRule="atLeast"/>
        <w:ind w:firstLine="420" w:firstLineChars="200"/>
        <w:rPr>
          <w:rFonts w:ascii="宋体" w:hAnsi="宋体"/>
          <w:szCs w:val="21"/>
        </w:rPr>
      </w:pPr>
      <w:r>
        <w:rPr>
          <w:rFonts w:ascii="宋体" w:hAnsi="宋体"/>
          <w:szCs w:val="21"/>
        </w:rPr>
        <w:t>3.5.1供应商须按须知前附表规定提交磋商保证金，</w:t>
      </w:r>
      <w:r>
        <w:rPr>
          <w:rFonts w:ascii="宋体" w:hAnsi="宋体"/>
          <w:b/>
          <w:bCs/>
          <w:szCs w:val="21"/>
        </w:rPr>
        <w:t>否则其响应将被否决</w:t>
      </w:r>
      <w:r>
        <w:rPr>
          <w:rFonts w:ascii="宋体" w:hAnsi="宋体"/>
          <w:szCs w:val="21"/>
        </w:rPr>
        <w:t>。除采购文件规定不予退还保证金的情形外，代理机构在规定时间内退回供应商的磋商保证金（供应商自行承担因未按供应商须知前附表要求交纳导致磋商保证金无法及时退还的责任）。</w:t>
      </w:r>
    </w:p>
    <w:p w14:paraId="7A206F29">
      <w:pPr>
        <w:spacing w:before="120" w:line="320" w:lineRule="atLeast"/>
        <w:ind w:firstLine="420" w:firstLineChars="200"/>
        <w:rPr>
          <w:rFonts w:ascii="宋体" w:hAnsi="宋体"/>
          <w:szCs w:val="21"/>
        </w:rPr>
      </w:pPr>
      <w:r>
        <w:rPr>
          <w:rFonts w:ascii="宋体" w:hAnsi="宋体"/>
          <w:szCs w:val="21"/>
        </w:rPr>
        <w:t>3.5.2磋商保证金币种应与响应报价币种相同。</w:t>
      </w:r>
    </w:p>
    <w:p w14:paraId="495574BA">
      <w:pPr>
        <w:spacing w:before="120" w:line="320" w:lineRule="atLeast"/>
        <w:ind w:firstLine="420" w:firstLineChars="200"/>
        <w:rPr>
          <w:rFonts w:ascii="宋体" w:hAnsi="宋体"/>
          <w:szCs w:val="21"/>
        </w:rPr>
      </w:pPr>
      <w:r>
        <w:rPr>
          <w:rFonts w:ascii="宋体" w:hAnsi="宋体"/>
          <w:szCs w:val="21"/>
        </w:rPr>
        <w:t>3.5.3未成交供应商的磋商保证金在成交通知书发出后5个工作日内退还。成交供应商的磋商保证金在合同签订后5个工作日内退还（办理退还手续时需要向采购代理机构提供两份合同复印件）。</w:t>
      </w:r>
    </w:p>
    <w:p w14:paraId="6E6BCEB9">
      <w:pPr>
        <w:spacing w:before="120" w:line="320" w:lineRule="atLeast"/>
        <w:ind w:firstLine="420" w:firstLineChars="200"/>
        <w:rPr>
          <w:rFonts w:ascii="宋体" w:hAnsi="宋体"/>
          <w:szCs w:val="21"/>
        </w:rPr>
      </w:pPr>
      <w:r>
        <w:rPr>
          <w:rFonts w:ascii="宋体" w:hAnsi="宋体"/>
          <w:szCs w:val="21"/>
        </w:rPr>
        <w:t>3.5.4供应商有下列情形之一的，磋商保证金将不予退还：</w:t>
      </w:r>
    </w:p>
    <w:p w14:paraId="38E6702A">
      <w:pPr>
        <w:numPr>
          <w:ilvl w:val="0"/>
          <w:numId w:val="5"/>
        </w:numPr>
        <w:spacing w:before="120" w:line="320" w:lineRule="atLeast"/>
        <w:rPr>
          <w:rFonts w:ascii="宋体" w:hAnsi="宋体"/>
          <w:szCs w:val="21"/>
        </w:rPr>
      </w:pPr>
      <w:r>
        <w:rPr>
          <w:rFonts w:ascii="宋体" w:hAnsi="宋体"/>
          <w:szCs w:val="21"/>
        </w:rPr>
        <w:t>供应商在响应有效期内撤销响应文件的；</w:t>
      </w:r>
    </w:p>
    <w:p w14:paraId="7B69D6E4">
      <w:pPr>
        <w:numPr>
          <w:ilvl w:val="0"/>
          <w:numId w:val="5"/>
        </w:numPr>
        <w:spacing w:before="120" w:line="320" w:lineRule="atLeast"/>
        <w:rPr>
          <w:rFonts w:ascii="宋体" w:hAnsi="宋体"/>
          <w:szCs w:val="21"/>
        </w:rPr>
      </w:pPr>
      <w:r>
        <w:rPr>
          <w:rFonts w:ascii="宋体" w:hAnsi="宋体"/>
          <w:szCs w:val="21"/>
        </w:rPr>
        <w:t>供应商在响应过程中弄虚作假，提供虚假材料的；</w:t>
      </w:r>
    </w:p>
    <w:p w14:paraId="2665EEA7">
      <w:pPr>
        <w:numPr>
          <w:ilvl w:val="0"/>
          <w:numId w:val="5"/>
        </w:numPr>
        <w:spacing w:before="120" w:line="320" w:lineRule="atLeast"/>
        <w:rPr>
          <w:rFonts w:ascii="宋体" w:hAnsi="宋体"/>
          <w:szCs w:val="21"/>
        </w:rPr>
      </w:pPr>
      <w:r>
        <w:rPr>
          <w:rFonts w:ascii="宋体" w:hAnsi="宋体"/>
          <w:szCs w:val="21"/>
        </w:rPr>
        <w:t>成交供应商无正当理由不与采购人签订合同的；</w:t>
      </w:r>
    </w:p>
    <w:p w14:paraId="2F814008">
      <w:pPr>
        <w:numPr>
          <w:ilvl w:val="0"/>
          <w:numId w:val="5"/>
        </w:numPr>
        <w:spacing w:before="120" w:line="320" w:lineRule="atLeast"/>
        <w:rPr>
          <w:rFonts w:ascii="宋体" w:hAnsi="宋体"/>
          <w:szCs w:val="21"/>
        </w:rPr>
      </w:pPr>
      <w:r>
        <w:rPr>
          <w:rFonts w:ascii="宋体" w:hAnsi="宋体"/>
          <w:szCs w:val="21"/>
        </w:rPr>
        <w:t>将成交项目转让给他人或者在响应文件中未说明且未经采购人同意，将成交项目分包给他人的；</w:t>
      </w:r>
    </w:p>
    <w:p w14:paraId="0C8231B3">
      <w:pPr>
        <w:numPr>
          <w:ilvl w:val="0"/>
          <w:numId w:val="5"/>
        </w:numPr>
        <w:spacing w:before="120" w:line="320" w:lineRule="atLeast"/>
        <w:rPr>
          <w:rFonts w:ascii="宋体" w:hAnsi="宋体"/>
          <w:szCs w:val="21"/>
        </w:rPr>
      </w:pPr>
      <w:r>
        <w:rPr>
          <w:rFonts w:hint="eastAsia" w:ascii="宋体" w:hAnsi="宋体"/>
          <w:szCs w:val="21"/>
        </w:rPr>
        <w:t>供应商与采购人、其他供应商或者采购代理机构恶意串通的；</w:t>
      </w:r>
    </w:p>
    <w:p w14:paraId="79B95BBE">
      <w:pPr>
        <w:numPr>
          <w:ilvl w:val="0"/>
          <w:numId w:val="5"/>
        </w:numPr>
        <w:spacing w:before="120" w:line="320" w:lineRule="atLeast"/>
        <w:rPr>
          <w:rFonts w:ascii="宋体" w:hAnsi="宋体"/>
          <w:szCs w:val="21"/>
        </w:rPr>
      </w:pPr>
      <w:r>
        <w:rPr>
          <w:rFonts w:ascii="宋体" w:hAnsi="宋体"/>
          <w:szCs w:val="21"/>
        </w:rPr>
        <w:t>拒绝履行合同义务的；</w:t>
      </w:r>
    </w:p>
    <w:p w14:paraId="57017F4F">
      <w:pPr>
        <w:numPr>
          <w:ilvl w:val="0"/>
          <w:numId w:val="5"/>
        </w:numPr>
        <w:spacing w:before="120" w:line="320" w:lineRule="atLeast"/>
        <w:rPr>
          <w:rFonts w:ascii="宋体" w:hAnsi="宋体"/>
          <w:szCs w:val="21"/>
        </w:rPr>
      </w:pPr>
      <w:r>
        <w:rPr>
          <w:rFonts w:ascii="宋体" w:hAnsi="宋体"/>
          <w:szCs w:val="21"/>
        </w:rPr>
        <w:t>其他严重扰乱招</w:t>
      </w:r>
      <w:r>
        <w:rPr>
          <w:rFonts w:hint="eastAsia" w:ascii="宋体" w:hAnsi="宋体"/>
          <w:szCs w:val="21"/>
        </w:rPr>
        <w:t>投标</w:t>
      </w:r>
      <w:r>
        <w:rPr>
          <w:rFonts w:ascii="宋体" w:hAnsi="宋体"/>
          <w:szCs w:val="21"/>
        </w:rPr>
        <w:t>程序的</w:t>
      </w:r>
      <w:r>
        <w:rPr>
          <w:rFonts w:hint="eastAsia" w:ascii="宋体" w:hAnsi="宋体"/>
          <w:szCs w:val="21"/>
        </w:rPr>
        <w:t>。</w:t>
      </w:r>
    </w:p>
    <w:p w14:paraId="6F7DDA21">
      <w:pPr>
        <w:spacing w:before="120" w:line="320" w:lineRule="atLeast"/>
        <w:ind w:firstLine="422" w:firstLineChars="200"/>
        <w:outlineLvl w:val="2"/>
        <w:rPr>
          <w:rFonts w:ascii="宋体" w:hAnsi="宋体"/>
          <w:b/>
          <w:bCs/>
          <w:kern w:val="0"/>
          <w:szCs w:val="21"/>
        </w:rPr>
      </w:pPr>
      <w:bookmarkStart w:id="47" w:name="_Toc254970542"/>
      <w:bookmarkStart w:id="48" w:name="_Toc254970683"/>
      <w:r>
        <w:rPr>
          <w:rFonts w:ascii="宋体" w:hAnsi="宋体"/>
          <w:b/>
          <w:bCs/>
          <w:kern w:val="0"/>
          <w:szCs w:val="21"/>
        </w:rPr>
        <w:t>3.6响应文件的</w:t>
      </w:r>
      <w:bookmarkEnd w:id="47"/>
      <w:bookmarkEnd w:id="48"/>
      <w:r>
        <w:rPr>
          <w:rFonts w:ascii="宋体" w:hAnsi="宋体"/>
          <w:b/>
          <w:bCs/>
          <w:kern w:val="0"/>
          <w:szCs w:val="21"/>
        </w:rPr>
        <w:t>编制要求</w:t>
      </w:r>
    </w:p>
    <w:p w14:paraId="4A261B6C">
      <w:pPr>
        <w:spacing w:before="120" w:line="320" w:lineRule="atLeast"/>
        <w:ind w:firstLine="420" w:firstLineChars="200"/>
        <w:rPr>
          <w:rFonts w:ascii="宋体" w:hAnsi="宋体"/>
          <w:b/>
          <w:bCs/>
          <w:kern w:val="0"/>
          <w:szCs w:val="21"/>
        </w:rPr>
      </w:pPr>
      <w:r>
        <w:rPr>
          <w:rFonts w:hint="eastAsia" w:ascii="宋体" w:hAnsi="宋体"/>
          <w:kern w:val="0"/>
          <w:szCs w:val="21"/>
        </w:rPr>
        <w:t>3</w:t>
      </w:r>
      <w:r>
        <w:rPr>
          <w:rFonts w:ascii="宋体" w:hAnsi="宋体"/>
          <w:kern w:val="0"/>
          <w:szCs w:val="21"/>
        </w:rPr>
        <w:t>.6.1</w:t>
      </w:r>
      <w:r>
        <w:rPr>
          <w:rFonts w:hint="eastAsia" w:ascii="宋体" w:hAnsi="宋体"/>
          <w:szCs w:val="21"/>
        </w:rPr>
        <w:t>供应商应先安装广西政府采购云平台新版客户端，通过账号密码或C</w:t>
      </w:r>
      <w:r>
        <w:rPr>
          <w:rFonts w:ascii="宋体" w:hAnsi="宋体"/>
          <w:szCs w:val="21"/>
        </w:rPr>
        <w:t>A</w:t>
      </w:r>
      <w:r>
        <w:rPr>
          <w:rFonts w:hint="eastAsia" w:ascii="宋体" w:hAnsi="宋体"/>
          <w:szCs w:val="21"/>
        </w:rPr>
        <w:t>登录客户端制作响应文件。</w:t>
      </w:r>
    </w:p>
    <w:p w14:paraId="32F6ECC1">
      <w:pPr>
        <w:spacing w:before="120" w:line="320" w:lineRule="atLeast"/>
        <w:ind w:firstLine="420" w:firstLineChars="200"/>
        <w:rPr>
          <w:rFonts w:ascii="宋体" w:hAnsi="宋体"/>
          <w:szCs w:val="21"/>
        </w:rPr>
      </w:pPr>
      <w:r>
        <w:rPr>
          <w:rFonts w:ascii="宋体" w:hAnsi="宋体"/>
          <w:szCs w:val="21"/>
        </w:rPr>
        <w:t>3.6.2</w:t>
      </w:r>
      <w:r>
        <w:rPr>
          <w:rFonts w:hint="eastAsia" w:ascii="宋体" w:hAnsi="宋体"/>
          <w:szCs w:val="21"/>
        </w:rPr>
        <w:t>供应商应按本采购文件规定的格式和顺序编制响应文件并进行关联定位，以便磋商小组在评审时，点击评分项可直接定位到该评分项内容。如对采购文件的某项要求，供应商的响应文件未能关联定位提供相应的内容与其对应，则磋商小组在评审时如做出对供应商不利的评审由供应商自行承担。响应文件如内容不完整、编排混乱导致响应文件被误读、漏读，或者在按采购文件规定的部位查找不到相关内容的，由供应商自行承担。</w:t>
      </w:r>
    </w:p>
    <w:p w14:paraId="45E57EE1">
      <w:pPr>
        <w:spacing w:before="120" w:line="320" w:lineRule="atLeast"/>
        <w:ind w:firstLine="420" w:firstLineChars="200"/>
        <w:rPr>
          <w:rFonts w:ascii="宋体" w:hAnsi="宋体"/>
          <w:szCs w:val="21"/>
        </w:rPr>
      </w:pPr>
      <w:r>
        <w:rPr>
          <w:rFonts w:ascii="宋体" w:hAnsi="宋体"/>
          <w:szCs w:val="21"/>
        </w:rPr>
        <w:t xml:space="preserve">3.6.3 </w:t>
      </w:r>
      <w:r>
        <w:rPr>
          <w:rFonts w:hint="eastAsia" w:ascii="宋体" w:hAnsi="宋体"/>
          <w:szCs w:val="21"/>
        </w:rPr>
        <w:t>供应商的响应文件未按照采购文件要求签署、盖章的，其响应无效。</w:t>
      </w:r>
    </w:p>
    <w:p w14:paraId="1041649E">
      <w:pPr>
        <w:spacing w:before="120" w:line="320" w:lineRule="atLeast"/>
        <w:ind w:firstLine="420" w:firstLineChars="200"/>
        <w:rPr>
          <w:rFonts w:ascii="宋体" w:hAnsi="宋体"/>
          <w:szCs w:val="21"/>
        </w:rPr>
      </w:pPr>
      <w:r>
        <w:rPr>
          <w:rFonts w:ascii="宋体" w:hAnsi="宋体"/>
          <w:szCs w:val="21"/>
        </w:rPr>
        <w:t>3.6.4</w:t>
      </w:r>
      <w:r>
        <w:rPr>
          <w:rFonts w:hint="eastAsia" w:ascii="宋体" w:hAnsi="宋体"/>
          <w:szCs w:val="21"/>
        </w:rPr>
        <w:t>为确保网上操作合法、有效和安全，供应商应当在响应截止时间前完成在广西政府采购云平台的身份认证，确保在电子投标过程中能够对相关数据电文进行加密和使用电子签名。</w:t>
      </w:r>
    </w:p>
    <w:p w14:paraId="37BDC3F0">
      <w:pPr>
        <w:spacing w:before="120" w:line="320" w:lineRule="atLeast"/>
        <w:ind w:firstLine="420" w:firstLineChars="200"/>
        <w:rPr>
          <w:rFonts w:ascii="宋体" w:hAnsi="宋体"/>
          <w:szCs w:val="21"/>
        </w:rPr>
      </w:pPr>
      <w:r>
        <w:rPr>
          <w:rFonts w:hint="eastAsia" w:ascii="宋体" w:hAnsi="宋体"/>
          <w:szCs w:val="21"/>
        </w:rPr>
        <w:t>3</w:t>
      </w:r>
      <w:r>
        <w:rPr>
          <w:rFonts w:ascii="宋体" w:hAnsi="宋体"/>
          <w:szCs w:val="21"/>
        </w:rPr>
        <w:t>.6.5</w:t>
      </w:r>
      <w:r>
        <w:rPr>
          <w:rFonts w:hint="eastAsia" w:ascii="宋体" w:hAnsi="宋体"/>
          <w:szCs w:val="21"/>
        </w:rPr>
        <w:t>响应文件中标注的供应商名称应与主体资格证明（如营业执照、事业单位法人证书、执业许可证、个体工商户营业执照、自然人身份证等）和公章/电子签章一致，</w:t>
      </w:r>
      <w:r>
        <w:rPr>
          <w:rFonts w:hint="eastAsia" w:ascii="宋体" w:hAnsi="宋体"/>
          <w:b/>
          <w:bCs/>
          <w:szCs w:val="21"/>
        </w:rPr>
        <w:t>否则作无效响应处理。</w:t>
      </w:r>
    </w:p>
    <w:p w14:paraId="06128D0E">
      <w:pPr>
        <w:spacing w:before="120" w:line="320" w:lineRule="atLeast"/>
        <w:ind w:firstLine="422" w:firstLineChars="200"/>
        <w:outlineLvl w:val="2"/>
        <w:rPr>
          <w:rFonts w:ascii="宋体" w:hAnsi="宋体"/>
          <w:b/>
          <w:bCs/>
          <w:kern w:val="0"/>
          <w:szCs w:val="21"/>
        </w:rPr>
      </w:pPr>
      <w:r>
        <w:rPr>
          <w:rFonts w:ascii="宋体" w:hAnsi="宋体"/>
          <w:b/>
          <w:bCs/>
          <w:kern w:val="0"/>
          <w:szCs w:val="21"/>
        </w:rPr>
        <w:t>3.7响应文件的递交、修改和撤回</w:t>
      </w:r>
    </w:p>
    <w:p w14:paraId="10BA14C6">
      <w:pPr>
        <w:spacing w:before="120" w:line="320" w:lineRule="atLeast"/>
        <w:ind w:firstLine="420" w:firstLineChars="200"/>
        <w:rPr>
          <w:rFonts w:ascii="宋体" w:hAnsi="宋体"/>
          <w:szCs w:val="21"/>
        </w:rPr>
      </w:pPr>
      <w:r>
        <w:rPr>
          <w:rFonts w:ascii="宋体" w:hAnsi="宋体"/>
          <w:szCs w:val="21"/>
        </w:rPr>
        <w:t>3.7.1</w:t>
      </w:r>
      <w:r>
        <w:rPr>
          <w:rFonts w:hint="eastAsia" w:ascii="宋体" w:hAnsi="宋体"/>
          <w:szCs w:val="21"/>
        </w:rPr>
        <w:t xml:space="preserve">供应商必须在“供应商须知前附表”规定的响应文件截标时间和响应地点提交电子版响应文件。电子响应文件应在制作完成后，在响应截止时间前通过有效数字证书（CA认证锁）进行电子签章、加密，然后通过网络将加密的电子响应文件递交至广西政府采购云平台。 </w:t>
      </w:r>
    </w:p>
    <w:p w14:paraId="4DBBBCBB">
      <w:pPr>
        <w:spacing w:before="120" w:line="320" w:lineRule="atLeast"/>
        <w:ind w:firstLine="420" w:firstLineChars="200"/>
        <w:rPr>
          <w:rFonts w:ascii="宋体" w:hAnsi="宋体"/>
          <w:szCs w:val="21"/>
        </w:rPr>
      </w:pPr>
      <w:r>
        <w:rPr>
          <w:rFonts w:hint="eastAsia" w:ascii="宋体" w:hAnsi="宋体"/>
          <w:szCs w:val="21"/>
        </w:rPr>
        <w:t>3</w:t>
      </w:r>
      <w:r>
        <w:rPr>
          <w:rFonts w:ascii="宋体" w:hAnsi="宋体"/>
          <w:szCs w:val="21"/>
        </w:rPr>
        <w:t>.7.2</w:t>
      </w:r>
      <w:r>
        <w:rPr>
          <w:rFonts w:hint="eastAsia" w:ascii="宋体" w:hAnsi="宋体"/>
          <w:szCs w:val="21"/>
        </w:rPr>
        <w:t xml:space="preserve">未在规定时间内提交或者未按照采购文件要求签章、加密的电子响应文件，广西政府采购云平台将拒收。 </w:t>
      </w:r>
    </w:p>
    <w:p w14:paraId="364432BE">
      <w:pPr>
        <w:spacing w:before="120" w:line="320" w:lineRule="atLeast"/>
        <w:ind w:left="2" w:leftChars="1" w:firstLine="420" w:firstLineChars="200"/>
        <w:rPr>
          <w:rFonts w:ascii="宋体" w:hAnsi="宋体"/>
          <w:szCs w:val="21"/>
        </w:rPr>
      </w:pPr>
      <w:bookmarkStart w:id="49" w:name="_Toc254970685"/>
      <w:bookmarkStart w:id="50" w:name="_Toc254970544"/>
      <w:r>
        <w:rPr>
          <w:rFonts w:hint="eastAsia" w:ascii="宋体" w:hAnsi="宋体"/>
          <w:szCs w:val="21"/>
        </w:rPr>
        <w:t>3</w:t>
      </w:r>
      <w:r>
        <w:rPr>
          <w:rFonts w:ascii="宋体" w:hAnsi="宋体"/>
          <w:szCs w:val="21"/>
        </w:rPr>
        <w:t>.7.3</w:t>
      </w:r>
      <w:r>
        <w:rPr>
          <w:rFonts w:hint="eastAsia" w:ascii="宋体" w:hAnsi="宋体"/>
          <w:szCs w:val="21"/>
        </w:rPr>
        <w:t>供应商应当在响应截止时间前完成响应文件的传输递交，并可以补充、修改或者撤回响应文件。补充或者修改响应文件的，应当先行撤回原文件，补充、修改后重新传输递交。响应截止时间前未完成传输的，视为撤回响应文件。响应截止时间后递交的响应文件，广西政府采购云平台将拒收。</w:t>
      </w:r>
    </w:p>
    <w:p w14:paraId="715B7092">
      <w:pPr>
        <w:spacing w:before="120" w:line="320" w:lineRule="atLeast"/>
        <w:ind w:left="2" w:leftChars="1" w:firstLine="420" w:firstLineChars="200"/>
        <w:rPr>
          <w:rFonts w:ascii="宋体" w:hAnsi="宋体"/>
          <w:szCs w:val="21"/>
        </w:rPr>
      </w:pPr>
      <w:r>
        <w:rPr>
          <w:rFonts w:ascii="宋体" w:hAnsi="宋体"/>
          <w:szCs w:val="21"/>
        </w:rPr>
        <w:t>3.7.4</w:t>
      </w:r>
      <w:r>
        <w:rPr>
          <w:rFonts w:hint="eastAsia" w:ascii="宋体" w:hAnsi="宋体"/>
          <w:szCs w:val="21"/>
        </w:rPr>
        <w:t>在响应截止时间前，除供应商补充、修改或者撤回响应文件外，任何单位和个人不得解密或提取响应文件。</w:t>
      </w:r>
    </w:p>
    <w:p w14:paraId="5BFA912A">
      <w:pPr>
        <w:spacing w:before="120" w:line="320" w:lineRule="atLeast"/>
        <w:ind w:left="2" w:leftChars="1" w:firstLine="420" w:firstLineChars="200"/>
        <w:rPr>
          <w:rFonts w:ascii="宋体" w:hAnsi="宋体"/>
          <w:szCs w:val="21"/>
        </w:rPr>
      </w:pPr>
      <w:r>
        <w:rPr>
          <w:rFonts w:ascii="宋体" w:hAnsi="宋体"/>
          <w:szCs w:val="21"/>
        </w:rPr>
        <w:t>3.7.5</w:t>
      </w:r>
      <w:r>
        <w:rPr>
          <w:rFonts w:hint="eastAsia" w:ascii="宋体" w:hAnsi="宋体"/>
          <w:szCs w:val="21"/>
        </w:rPr>
        <w:t>在响应截止时间止提交电子版响应文件的供应商不足3家时，电子版响应文件由代理机构在广西政府采购云平台操作退回，除此之外采购人和采购代理机构对已提交的响应文件概不退回。</w:t>
      </w:r>
    </w:p>
    <w:p w14:paraId="369FE97A">
      <w:pPr>
        <w:spacing w:before="120" w:line="320" w:lineRule="atLeast"/>
        <w:ind w:left="2" w:leftChars="1" w:firstLine="420" w:firstLineChars="200"/>
        <w:rPr>
          <w:rFonts w:ascii="宋体" w:hAnsi="宋体"/>
          <w:szCs w:val="21"/>
        </w:rPr>
      </w:pPr>
      <w:bookmarkStart w:id="51" w:name="_Hlk93046827"/>
      <w:r>
        <w:rPr>
          <w:rFonts w:hint="eastAsia" w:ascii="宋体" w:hAnsi="宋体"/>
          <w:szCs w:val="21"/>
        </w:rPr>
        <w:t>3</w:t>
      </w:r>
      <w:r>
        <w:rPr>
          <w:rFonts w:ascii="宋体" w:hAnsi="宋体"/>
          <w:szCs w:val="21"/>
        </w:rPr>
        <w:t>.7.6</w:t>
      </w:r>
      <w:r>
        <w:rPr>
          <w:rFonts w:hint="eastAsia" w:ascii="宋体" w:hAnsi="宋体"/>
          <w:szCs w:val="21"/>
        </w:rPr>
        <w:t>采购文件</w:t>
      </w:r>
      <w:bookmarkStart w:id="52" w:name="_Hlk106638610"/>
      <w:r>
        <w:rPr>
          <w:rFonts w:hint="eastAsia" w:ascii="宋体" w:hAnsi="宋体"/>
          <w:szCs w:val="21"/>
        </w:rPr>
        <w:t>未允许同一供应商提交两个或以上不同的响应文件，但存在</w:t>
      </w:r>
      <w:r>
        <w:rPr>
          <w:rFonts w:hint="eastAsia" w:ascii="宋体" w:hAnsi="宋体"/>
        </w:rPr>
        <w:t>同</w:t>
      </w:r>
      <w:r>
        <w:rPr>
          <w:rFonts w:hint="eastAsia" w:ascii="宋体" w:hAnsi="宋体"/>
          <w:szCs w:val="21"/>
        </w:rPr>
        <w:t>一供应商提交两个或以上不同的响应文件的</w:t>
      </w:r>
      <w:bookmarkEnd w:id="52"/>
      <w:r>
        <w:rPr>
          <w:rFonts w:hint="eastAsia" w:ascii="宋体" w:hAnsi="宋体"/>
          <w:szCs w:val="21"/>
        </w:rPr>
        <w:t>，</w:t>
      </w:r>
      <w:r>
        <w:rPr>
          <w:rFonts w:hint="eastAsia" w:ascii="宋体" w:hAnsi="宋体"/>
          <w:b/>
          <w:bCs/>
          <w:szCs w:val="21"/>
        </w:rPr>
        <w:t>其响应无效。</w:t>
      </w:r>
      <w:r>
        <w:rPr>
          <w:rFonts w:hint="eastAsia" w:ascii="宋体" w:hAnsi="宋体"/>
          <w:szCs w:val="21"/>
        </w:rPr>
        <w:t>供应商在同一响应文件中对某项技术、商务要求提供有选择性的响应参数或方案等同于提交两个或以上不同的响应文件。</w:t>
      </w:r>
      <w:bookmarkEnd w:id="51"/>
    </w:p>
    <w:p w14:paraId="2FCCB268">
      <w:pPr>
        <w:spacing w:before="120" w:line="320" w:lineRule="atLeast"/>
        <w:ind w:left="2" w:leftChars="1" w:firstLine="422" w:firstLineChars="200"/>
        <w:outlineLvl w:val="1"/>
        <w:rPr>
          <w:rFonts w:ascii="宋体" w:hAnsi="宋体"/>
          <w:b/>
          <w:bCs/>
          <w:kern w:val="0"/>
          <w:szCs w:val="21"/>
        </w:rPr>
      </w:pPr>
      <w:r>
        <w:rPr>
          <w:rFonts w:ascii="宋体" w:hAnsi="宋体"/>
          <w:b/>
          <w:bCs/>
          <w:kern w:val="0"/>
          <w:szCs w:val="21"/>
        </w:rPr>
        <w:t>4．截标</w:t>
      </w:r>
      <w:bookmarkEnd w:id="49"/>
      <w:bookmarkEnd w:id="50"/>
    </w:p>
    <w:p w14:paraId="5AE50563">
      <w:pPr>
        <w:spacing w:before="120" w:line="320" w:lineRule="atLeast"/>
        <w:ind w:firstLine="422" w:firstLineChars="200"/>
        <w:outlineLvl w:val="2"/>
        <w:rPr>
          <w:rFonts w:ascii="宋体" w:hAnsi="宋体"/>
          <w:b/>
          <w:bCs/>
          <w:kern w:val="0"/>
          <w:szCs w:val="21"/>
        </w:rPr>
      </w:pPr>
      <w:r>
        <w:rPr>
          <w:rFonts w:ascii="宋体" w:hAnsi="宋体"/>
          <w:b/>
          <w:bCs/>
          <w:kern w:val="0"/>
          <w:szCs w:val="21"/>
        </w:rPr>
        <w:t>4.1截标准备</w:t>
      </w:r>
    </w:p>
    <w:p w14:paraId="1F0C9D5B">
      <w:pPr>
        <w:spacing w:before="120" w:line="276" w:lineRule="auto"/>
        <w:ind w:firstLine="420" w:firstLineChars="200"/>
        <w:rPr>
          <w:rFonts w:ascii="宋体" w:hAnsi="宋体"/>
          <w:szCs w:val="21"/>
        </w:rPr>
      </w:pPr>
      <w:r>
        <w:rPr>
          <w:rFonts w:ascii="宋体" w:hAnsi="宋体"/>
          <w:szCs w:val="21"/>
        </w:rPr>
        <w:t>本项目响应截止时间及地点见“供应商须知前附表”规定。</w:t>
      </w:r>
    </w:p>
    <w:p w14:paraId="41FD5F3C">
      <w:pPr>
        <w:autoSpaceDE w:val="0"/>
        <w:autoSpaceDN w:val="0"/>
        <w:adjustRightInd w:val="0"/>
        <w:spacing w:line="276" w:lineRule="auto"/>
        <w:ind w:firstLine="420" w:firstLineChars="200"/>
        <w:rPr>
          <w:rFonts w:ascii="宋体" w:hAnsi="宋体"/>
          <w:szCs w:val="21"/>
        </w:rPr>
      </w:pPr>
      <w:r>
        <w:rPr>
          <w:rFonts w:hint="eastAsia" w:ascii="宋体" w:hAnsi="宋体"/>
          <w:szCs w:val="21"/>
        </w:rPr>
        <w:t>全流程电子化项目没有现场递交响应文件及现场截标环节。采购代理机构将按照采购文件规定的时间通过广西政府采购云平台组织线上截标活动、开启响应文件，所有供应商均应当准时在线参加。供应商</w:t>
      </w:r>
      <w:r>
        <w:rPr>
          <w:rFonts w:ascii="宋体" w:hAnsi="宋体"/>
          <w:szCs w:val="21"/>
        </w:rPr>
        <w:t>如不</w:t>
      </w:r>
      <w:r>
        <w:rPr>
          <w:rFonts w:hint="eastAsia" w:ascii="宋体" w:hAnsi="宋体"/>
          <w:szCs w:val="21"/>
        </w:rPr>
        <w:t>参加</w:t>
      </w:r>
      <w:r>
        <w:rPr>
          <w:rFonts w:ascii="宋体" w:hAnsi="宋体"/>
          <w:szCs w:val="21"/>
        </w:rPr>
        <w:t>截标大会的，</w:t>
      </w:r>
      <w:r>
        <w:rPr>
          <w:rFonts w:hint="eastAsia" w:ascii="宋体" w:hAnsi="宋体"/>
          <w:szCs w:val="21"/>
        </w:rPr>
        <w:t>视同认可截标结果，</w:t>
      </w:r>
      <w:r>
        <w:rPr>
          <w:rFonts w:ascii="宋体" w:hAnsi="宋体"/>
          <w:szCs w:val="21"/>
        </w:rPr>
        <w:t>事后不得对采购相关人员、截标过程和截标结果提出异议</w:t>
      </w:r>
      <w:r>
        <w:rPr>
          <w:rFonts w:hint="eastAsia" w:ascii="宋体" w:hAnsi="宋体"/>
          <w:szCs w:val="21"/>
        </w:rPr>
        <w:t>，同时供应商因未在线参加截标而导致响应文件无法按时解密等一切后果由供应商自己承担。</w:t>
      </w:r>
    </w:p>
    <w:p w14:paraId="303B5CF6">
      <w:pPr>
        <w:spacing w:before="120" w:line="276" w:lineRule="auto"/>
        <w:ind w:firstLine="420" w:firstLineChars="200"/>
        <w:rPr>
          <w:rFonts w:ascii="宋体" w:hAnsi="宋体"/>
          <w:szCs w:val="21"/>
        </w:rPr>
      </w:pPr>
      <w:r>
        <w:rPr>
          <w:rFonts w:hint="eastAsia" w:ascii="宋体" w:hAnsi="宋体"/>
          <w:szCs w:val="21"/>
        </w:rPr>
        <w:t xml:space="preserve">如供应商成功解密响应文件，但未在广西政府采购云平台电子开标大厅参加截标的，视同认可截标过程和结果，由此产生的后果由供应商自行负责。 </w:t>
      </w:r>
    </w:p>
    <w:p w14:paraId="706A0CE0">
      <w:pPr>
        <w:spacing w:before="120" w:line="320" w:lineRule="atLeast"/>
        <w:ind w:firstLine="422" w:firstLineChars="200"/>
        <w:outlineLvl w:val="2"/>
        <w:rPr>
          <w:rFonts w:ascii="宋体" w:hAnsi="宋体"/>
          <w:b/>
          <w:bCs/>
          <w:kern w:val="0"/>
          <w:szCs w:val="21"/>
        </w:rPr>
      </w:pPr>
      <w:r>
        <w:rPr>
          <w:rFonts w:ascii="宋体" w:hAnsi="宋体"/>
          <w:b/>
          <w:bCs/>
          <w:kern w:val="0"/>
          <w:szCs w:val="21"/>
        </w:rPr>
        <w:t>4.2截标程序</w:t>
      </w:r>
    </w:p>
    <w:p w14:paraId="2F7CE077">
      <w:pPr>
        <w:spacing w:before="120" w:line="320" w:lineRule="atLeast"/>
        <w:ind w:firstLine="420" w:firstLineChars="200"/>
        <w:rPr>
          <w:rFonts w:ascii="宋体" w:hAnsi="宋体"/>
          <w:szCs w:val="21"/>
        </w:rPr>
      </w:pPr>
      <w:r>
        <w:rPr>
          <w:rFonts w:ascii="宋体" w:hAnsi="宋体"/>
          <w:szCs w:val="21"/>
        </w:rPr>
        <w:t>4.2.1</w:t>
      </w:r>
      <w:r>
        <w:rPr>
          <w:rFonts w:hint="eastAsia" w:ascii="宋体" w:hAnsi="宋体"/>
          <w:szCs w:val="21"/>
        </w:rPr>
        <w:t>供应商登录广西政府采购云平台进入开标大厅签到。</w:t>
      </w:r>
    </w:p>
    <w:p w14:paraId="64BC0F11">
      <w:pPr>
        <w:spacing w:before="120" w:line="320" w:lineRule="atLeast"/>
        <w:ind w:firstLine="420" w:firstLineChars="200"/>
        <w:rPr>
          <w:rFonts w:ascii="宋体" w:hAnsi="宋体"/>
          <w:szCs w:val="21"/>
        </w:rPr>
      </w:pPr>
      <w:r>
        <w:rPr>
          <w:rFonts w:hint="eastAsia" w:ascii="宋体" w:hAnsi="宋体"/>
          <w:szCs w:val="21"/>
        </w:rPr>
        <w:t>4</w:t>
      </w:r>
      <w:r>
        <w:rPr>
          <w:rFonts w:ascii="宋体" w:hAnsi="宋体"/>
          <w:szCs w:val="21"/>
        </w:rPr>
        <w:t>.2.2</w:t>
      </w:r>
      <w:r>
        <w:rPr>
          <w:rFonts w:hint="eastAsia" w:ascii="宋体" w:hAnsi="宋体"/>
          <w:szCs w:val="21"/>
        </w:rPr>
        <w:t>解密电子响应文件。广西政府采购云平台按截标时间自动提取所有响应文件。采购代理机构在广西政府采购云平台向各供应商发出电子加密响应文件开始解密通知，由供应商平台设置时间内自行进行响应文件解密。供应商须使用加密时所用的CA锁准时登录到广西政府采购云平台电子开标大厅签到并对电子响应文件解密。截标后供应商未及时进行解密的，代理机构可通知供应商。</w:t>
      </w:r>
      <w:bookmarkStart w:id="53" w:name="_Hlk106639817"/>
      <w:r>
        <w:rPr>
          <w:rFonts w:hint="eastAsia" w:ascii="宋体" w:hAnsi="宋体"/>
        </w:rPr>
        <w:t>通知后供应商仍未在上述规定时间内解密响应文件</w:t>
      </w:r>
      <w:bookmarkEnd w:id="53"/>
      <w:r>
        <w:rPr>
          <w:rFonts w:hint="eastAsia" w:ascii="宋体" w:hAnsi="宋体"/>
          <w:szCs w:val="21"/>
        </w:rPr>
        <w:t>，或者供应商没预留联系方式或预留联系方式无效导致代理机构无法联系到供应商进行解密的，均视为无效响应。</w:t>
      </w:r>
    </w:p>
    <w:p w14:paraId="1D9AF737">
      <w:pPr>
        <w:spacing w:before="120" w:line="320" w:lineRule="atLeast"/>
        <w:ind w:firstLine="420" w:firstLineChars="200"/>
        <w:rPr>
          <w:rFonts w:ascii="宋体" w:hAnsi="宋体"/>
          <w:szCs w:val="21"/>
        </w:rPr>
      </w:pPr>
      <w:r>
        <w:rPr>
          <w:rFonts w:hint="eastAsia" w:ascii="宋体" w:hAnsi="宋体"/>
          <w:szCs w:val="21"/>
        </w:rPr>
        <w:t>4</w:t>
      </w:r>
      <w:r>
        <w:rPr>
          <w:rFonts w:ascii="宋体" w:hAnsi="宋体"/>
          <w:szCs w:val="21"/>
        </w:rPr>
        <w:t>.2.3</w:t>
      </w:r>
      <w:bookmarkStart w:id="54" w:name="_Hlk106637968"/>
      <w:r>
        <w:rPr>
          <w:rFonts w:hint="eastAsia" w:ascii="宋体" w:hAnsi="宋体"/>
          <w:szCs w:val="21"/>
        </w:rPr>
        <w:t>广西政府采购云平台设置有备份响应文件功能。备份响应文件是指平台设置为接受备份响应文件时，如出现供应商上传的响应文件存在问题或其他供应商原因引起解密异常时，供应商可以在规定时间内将备份响应文件通过邮箱发送至采购代理机构，由代理机构上传备份响应文件后自动解密从而避免被视为无效响应。是否接受备份响应文件详见供应商须知前附表，如接受备份文件，供应商未在规定时间内发送备份响应文件的将视为无效响应。</w:t>
      </w:r>
    </w:p>
    <w:bookmarkEnd w:id="54"/>
    <w:p w14:paraId="5D0AAC01">
      <w:pPr>
        <w:spacing w:before="120" w:line="320" w:lineRule="atLeast"/>
        <w:ind w:firstLine="420" w:firstLineChars="200"/>
        <w:rPr>
          <w:rFonts w:ascii="宋体" w:hAnsi="宋体"/>
          <w:szCs w:val="21"/>
        </w:rPr>
      </w:pPr>
      <w:r>
        <w:rPr>
          <w:rFonts w:hint="eastAsia" w:ascii="宋体" w:hAnsi="宋体"/>
          <w:szCs w:val="21"/>
        </w:rPr>
        <w:t>4</w:t>
      </w:r>
      <w:r>
        <w:rPr>
          <w:rFonts w:ascii="宋体" w:hAnsi="宋体"/>
          <w:szCs w:val="21"/>
        </w:rPr>
        <w:t>.2.4</w:t>
      </w:r>
      <w:r>
        <w:rPr>
          <w:rFonts w:hint="eastAsia" w:ascii="宋体" w:hAnsi="宋体"/>
          <w:szCs w:val="21"/>
        </w:rPr>
        <w:t>解密异常情况处理：详见本章</w:t>
      </w:r>
      <w:r>
        <w:rPr>
          <w:rFonts w:ascii="宋体" w:hAnsi="宋体"/>
          <w:szCs w:val="21"/>
        </w:rPr>
        <w:t>9.2</w:t>
      </w:r>
      <w:r>
        <w:rPr>
          <w:rFonts w:hint="eastAsia" w:ascii="宋体" w:hAnsi="宋体"/>
          <w:szCs w:val="21"/>
        </w:rPr>
        <w:t>电子交易活动的中止。</w:t>
      </w:r>
    </w:p>
    <w:p w14:paraId="7D7596F3">
      <w:pPr>
        <w:spacing w:before="120" w:line="320" w:lineRule="atLeast"/>
        <w:ind w:firstLine="420" w:firstLineChars="200"/>
        <w:rPr>
          <w:rFonts w:ascii="宋体" w:hAnsi="宋体"/>
          <w:szCs w:val="21"/>
        </w:rPr>
      </w:pPr>
      <w:r>
        <w:rPr>
          <w:rFonts w:ascii="宋体" w:hAnsi="宋体"/>
          <w:szCs w:val="21"/>
        </w:rPr>
        <w:t>4.2.5截标结束。</w:t>
      </w:r>
    </w:p>
    <w:p w14:paraId="232CDA65">
      <w:pPr>
        <w:snapToGrid w:val="0"/>
        <w:spacing w:line="440" w:lineRule="exact"/>
        <w:ind w:firstLine="422" w:firstLineChars="200"/>
        <w:rPr>
          <w:rFonts w:hint="eastAsia" w:ascii="宋体" w:hAnsi="宋体" w:cs="Courier New"/>
          <w:szCs w:val="21"/>
        </w:rPr>
      </w:pPr>
      <w:r>
        <w:rPr>
          <w:rFonts w:hint="eastAsia" w:ascii="宋体" w:hAnsi="宋体" w:cs="Courier New"/>
          <w:b/>
          <w:bCs/>
          <w:szCs w:val="21"/>
        </w:rPr>
        <w:t>特别说明：</w:t>
      </w:r>
      <w:r>
        <w:rPr>
          <w:rFonts w:hint="eastAsia" w:ascii="宋体" w:hAnsi="宋体" w:cs="Courier New"/>
          <w:szCs w:val="21"/>
        </w:rPr>
        <w:t>如遇广西政府采购云平台电子化截标或评审程序调整的，按调整后的程序执行。</w:t>
      </w:r>
    </w:p>
    <w:p w14:paraId="0AC320BF">
      <w:pPr>
        <w:spacing w:before="120" w:line="320" w:lineRule="atLeast"/>
        <w:ind w:firstLine="422" w:firstLineChars="200"/>
        <w:outlineLvl w:val="2"/>
        <w:rPr>
          <w:rFonts w:ascii="宋体" w:hAnsi="宋体"/>
          <w:b/>
          <w:bCs/>
          <w:kern w:val="0"/>
          <w:szCs w:val="21"/>
        </w:rPr>
      </w:pPr>
      <w:r>
        <w:rPr>
          <w:rFonts w:ascii="宋体" w:hAnsi="宋体"/>
          <w:b/>
          <w:bCs/>
          <w:kern w:val="0"/>
          <w:szCs w:val="21"/>
        </w:rPr>
        <w:t>4.3演示</w:t>
      </w:r>
    </w:p>
    <w:p w14:paraId="7ACC00DF">
      <w:pPr>
        <w:spacing w:before="120" w:line="320" w:lineRule="atLeast"/>
        <w:ind w:firstLine="420" w:firstLineChars="200"/>
        <w:rPr>
          <w:rFonts w:ascii="宋体" w:hAnsi="宋体"/>
          <w:szCs w:val="21"/>
        </w:rPr>
      </w:pPr>
      <w:r>
        <w:rPr>
          <w:rFonts w:ascii="宋体" w:hAnsi="宋体"/>
          <w:szCs w:val="21"/>
        </w:rPr>
        <w:t>4.3.1“供应商须知前附表”规定在截标会议结束后进行演示的，供应商应按规定进行演示。</w:t>
      </w:r>
    </w:p>
    <w:p w14:paraId="7F4A61C5">
      <w:pPr>
        <w:spacing w:before="120" w:line="320" w:lineRule="atLeast"/>
        <w:ind w:firstLine="420" w:firstLineChars="200"/>
        <w:rPr>
          <w:rFonts w:ascii="宋体" w:hAnsi="宋体"/>
          <w:szCs w:val="21"/>
        </w:rPr>
      </w:pPr>
      <w:r>
        <w:rPr>
          <w:rFonts w:ascii="宋体" w:hAnsi="宋体"/>
          <w:szCs w:val="21"/>
        </w:rPr>
        <w:t>4.3.2未按规定时间进行演示可能引起的演示分数被计为0分或响应无效等后果由供应商自行承担。</w:t>
      </w:r>
    </w:p>
    <w:p w14:paraId="6395BF05">
      <w:pPr>
        <w:spacing w:before="120" w:line="320" w:lineRule="atLeast"/>
        <w:ind w:firstLine="422" w:firstLineChars="200"/>
        <w:outlineLvl w:val="2"/>
        <w:rPr>
          <w:rFonts w:ascii="宋体" w:hAnsi="宋体"/>
          <w:szCs w:val="21"/>
        </w:rPr>
      </w:pPr>
      <w:r>
        <w:rPr>
          <w:rFonts w:ascii="宋体" w:hAnsi="宋体"/>
          <w:b/>
          <w:bCs/>
          <w:kern w:val="0"/>
          <w:szCs w:val="21"/>
        </w:rPr>
        <w:t>4.4样品</w:t>
      </w:r>
    </w:p>
    <w:p w14:paraId="02CE17C9">
      <w:pPr>
        <w:spacing w:before="120" w:line="320" w:lineRule="atLeast"/>
        <w:ind w:firstLine="420" w:firstLineChars="200"/>
        <w:rPr>
          <w:rFonts w:ascii="宋体" w:hAnsi="宋体"/>
          <w:szCs w:val="21"/>
        </w:rPr>
      </w:pPr>
      <w:r>
        <w:rPr>
          <w:rFonts w:ascii="宋体" w:hAnsi="宋体"/>
          <w:szCs w:val="21"/>
        </w:rPr>
        <w:t>4.4.1“供应商须知前附表”规定递交样品的，供应商应按前附表规定递交样品，递交样品时应附样品递交表（格式见第六章）。</w:t>
      </w:r>
    </w:p>
    <w:p w14:paraId="37731BE3">
      <w:pPr>
        <w:spacing w:before="120" w:line="320" w:lineRule="atLeast"/>
        <w:ind w:firstLine="420" w:firstLineChars="200"/>
        <w:rPr>
          <w:rFonts w:ascii="宋体" w:hAnsi="宋体"/>
          <w:szCs w:val="21"/>
        </w:rPr>
      </w:pPr>
      <w:r>
        <w:rPr>
          <w:rFonts w:ascii="宋体" w:hAnsi="宋体"/>
          <w:szCs w:val="21"/>
        </w:rPr>
        <w:t>4.4.2未按规定时间递交样品可能引起的样品分数被计为0分或响应无效等后果由供应商自行承担。</w:t>
      </w:r>
    </w:p>
    <w:p w14:paraId="5601B134">
      <w:pPr>
        <w:spacing w:before="120" w:line="320" w:lineRule="atLeast"/>
        <w:ind w:firstLine="420" w:firstLineChars="200"/>
        <w:rPr>
          <w:rFonts w:ascii="宋体" w:hAnsi="宋体"/>
          <w:szCs w:val="21"/>
        </w:rPr>
      </w:pPr>
      <w:bookmarkStart w:id="55" w:name="_Toc254970545"/>
      <w:bookmarkStart w:id="56" w:name="_Toc254970686"/>
      <w:r>
        <w:rPr>
          <w:rFonts w:ascii="宋体" w:hAnsi="宋体"/>
          <w:szCs w:val="21"/>
        </w:rPr>
        <w:t>4.4.3样品封存或退还的说明请见第六章响应文件格式所附样品递交表。</w:t>
      </w:r>
    </w:p>
    <w:p w14:paraId="19F7EB4A">
      <w:pPr>
        <w:spacing w:before="120" w:line="320" w:lineRule="atLeast"/>
        <w:ind w:left="2" w:leftChars="1" w:firstLine="422" w:firstLineChars="200"/>
        <w:outlineLvl w:val="1"/>
        <w:rPr>
          <w:rFonts w:ascii="宋体" w:hAnsi="宋体"/>
          <w:b/>
          <w:bCs/>
          <w:kern w:val="0"/>
          <w:szCs w:val="21"/>
        </w:rPr>
      </w:pPr>
      <w:r>
        <w:rPr>
          <w:rFonts w:ascii="宋体" w:hAnsi="宋体"/>
          <w:b/>
          <w:bCs/>
          <w:kern w:val="0"/>
          <w:szCs w:val="21"/>
        </w:rPr>
        <w:t>5．</w:t>
      </w:r>
      <w:r>
        <w:rPr>
          <w:rFonts w:hint="eastAsia" w:ascii="宋体" w:hAnsi="宋体"/>
          <w:b/>
          <w:bCs/>
          <w:kern w:val="0"/>
          <w:szCs w:val="21"/>
        </w:rPr>
        <w:t>资格审查</w:t>
      </w:r>
    </w:p>
    <w:p w14:paraId="570A2FBA">
      <w:pPr>
        <w:spacing w:before="120" w:line="320" w:lineRule="atLeast"/>
        <w:ind w:left="2" w:leftChars="1" w:firstLine="420" w:firstLineChars="200"/>
        <w:outlineLvl w:val="2"/>
        <w:rPr>
          <w:rFonts w:ascii="宋体" w:hAnsi="宋体"/>
          <w:bCs/>
          <w:kern w:val="0"/>
          <w:szCs w:val="21"/>
        </w:rPr>
      </w:pPr>
      <w:r>
        <w:rPr>
          <w:rFonts w:hint="eastAsia" w:ascii="宋体" w:hAnsi="宋体"/>
          <w:bCs/>
          <w:kern w:val="0"/>
          <w:szCs w:val="21"/>
        </w:rPr>
        <w:t>5</w:t>
      </w:r>
      <w:r>
        <w:rPr>
          <w:rFonts w:ascii="宋体" w:hAnsi="宋体"/>
          <w:bCs/>
          <w:kern w:val="0"/>
          <w:szCs w:val="21"/>
        </w:rPr>
        <w:t>.1</w:t>
      </w:r>
      <w:r>
        <w:rPr>
          <w:rFonts w:hint="eastAsia" w:ascii="宋体" w:hAnsi="宋体"/>
          <w:bCs/>
          <w:kern w:val="0"/>
          <w:szCs w:val="21"/>
        </w:rPr>
        <w:t>截标</w:t>
      </w:r>
      <w:r>
        <w:rPr>
          <w:rFonts w:ascii="宋体" w:hAnsi="宋体"/>
          <w:bCs/>
          <w:szCs w:val="21"/>
        </w:rPr>
        <w:t>后，</w:t>
      </w:r>
      <w:r>
        <w:rPr>
          <w:rFonts w:hint="eastAsia" w:ascii="宋体" w:hAnsi="宋体"/>
          <w:bCs/>
          <w:szCs w:val="21"/>
        </w:rPr>
        <w:t>磋商小组通过电子交易平台</w:t>
      </w:r>
      <w:r>
        <w:rPr>
          <w:rFonts w:ascii="宋体" w:hAnsi="宋体"/>
          <w:bCs/>
          <w:szCs w:val="21"/>
        </w:rPr>
        <w:t>对供应商的资格进行审查。</w:t>
      </w:r>
      <w:r>
        <w:rPr>
          <w:rFonts w:hint="eastAsia" w:ascii="宋体" w:hAnsi="宋体"/>
          <w:bCs/>
          <w:szCs w:val="21"/>
        </w:rPr>
        <w:t>资格审查</w:t>
      </w:r>
      <w:r>
        <w:rPr>
          <w:rFonts w:hint="eastAsia" w:ascii="宋体" w:hAnsi="宋体"/>
          <w:bCs/>
          <w:kern w:val="0"/>
          <w:szCs w:val="21"/>
        </w:rPr>
        <w:t>是根据法律法规和采购文件的规定，对供应商的基本资格条件、特定资格条件进行审查。</w:t>
      </w:r>
    </w:p>
    <w:p w14:paraId="3CD5D51A">
      <w:pPr>
        <w:spacing w:before="120" w:line="320" w:lineRule="atLeast"/>
        <w:ind w:left="2" w:leftChars="1" w:firstLine="420" w:firstLineChars="200"/>
        <w:outlineLvl w:val="2"/>
        <w:rPr>
          <w:rFonts w:ascii="宋体" w:hAnsi="宋体"/>
          <w:bCs/>
          <w:kern w:val="0"/>
          <w:szCs w:val="21"/>
        </w:rPr>
      </w:pPr>
      <w:r>
        <w:rPr>
          <w:rFonts w:hint="eastAsia" w:ascii="宋体" w:hAnsi="宋体"/>
          <w:bCs/>
          <w:kern w:val="0"/>
          <w:szCs w:val="21"/>
        </w:rPr>
        <w:t>5.</w:t>
      </w:r>
      <w:r>
        <w:rPr>
          <w:rFonts w:ascii="宋体" w:hAnsi="宋体"/>
          <w:bCs/>
          <w:kern w:val="0"/>
          <w:szCs w:val="21"/>
        </w:rPr>
        <w:t>2</w:t>
      </w:r>
      <w:r>
        <w:rPr>
          <w:rFonts w:hint="eastAsia" w:ascii="宋体" w:hAnsi="宋体"/>
          <w:bCs/>
          <w:kern w:val="0"/>
          <w:szCs w:val="21"/>
        </w:rPr>
        <w:t>资格审查标准在第四章评审方法及标准中规定，符合资格审查标准要求的供应商即为资格审查合格。</w:t>
      </w:r>
    </w:p>
    <w:p w14:paraId="725D1AD0">
      <w:pPr>
        <w:spacing w:before="120" w:line="276" w:lineRule="auto"/>
        <w:ind w:left="2" w:leftChars="1" w:firstLine="420" w:firstLineChars="200"/>
        <w:outlineLvl w:val="2"/>
        <w:rPr>
          <w:rFonts w:ascii="宋体" w:hAnsi="宋体"/>
          <w:bCs/>
          <w:kern w:val="0"/>
          <w:szCs w:val="21"/>
        </w:rPr>
      </w:pPr>
      <w:r>
        <w:rPr>
          <w:rFonts w:ascii="宋体" w:hAnsi="宋体"/>
          <w:bCs/>
          <w:kern w:val="0"/>
          <w:szCs w:val="21"/>
        </w:rPr>
        <w:t>5.3</w:t>
      </w:r>
      <w:r>
        <w:rPr>
          <w:rFonts w:hint="eastAsia" w:ascii="宋体" w:hAnsi="宋体"/>
          <w:bCs/>
          <w:kern w:val="0"/>
          <w:szCs w:val="21"/>
        </w:rPr>
        <w:t>供应商有下列情形之一的，资格审查不合格，作无效响应处理：</w:t>
      </w:r>
    </w:p>
    <w:p w14:paraId="78DA8BA1">
      <w:pPr>
        <w:spacing w:line="276" w:lineRule="auto"/>
        <w:ind w:firstLine="420" w:firstLineChars="200"/>
        <w:rPr>
          <w:rFonts w:hint="eastAsia" w:ascii="宋体" w:hAnsi="宋体"/>
          <w:szCs w:val="21"/>
        </w:rPr>
      </w:pPr>
      <w:r>
        <w:rPr>
          <w:rFonts w:hint="eastAsia" w:ascii="宋体" w:hAnsi="宋体"/>
          <w:szCs w:val="21"/>
        </w:rPr>
        <w:t>5</w:t>
      </w:r>
      <w:r>
        <w:rPr>
          <w:rFonts w:ascii="宋体" w:hAnsi="宋体"/>
          <w:szCs w:val="21"/>
        </w:rPr>
        <w:t>.3.1</w:t>
      </w:r>
      <w:r>
        <w:rPr>
          <w:rFonts w:hint="eastAsia" w:ascii="宋体" w:hAnsi="宋体"/>
          <w:szCs w:val="21"/>
        </w:rPr>
        <w:t>不具备招标文件中规定的资格要求或资格条件的； （注：其中信用查询规则见“供应商须知前附表”，广西政府采购云平台已与“信用中国”平台做接口，可直接在线查询）</w:t>
      </w:r>
    </w:p>
    <w:p w14:paraId="732B993E">
      <w:pPr>
        <w:spacing w:before="120" w:line="276" w:lineRule="auto"/>
        <w:ind w:firstLine="420" w:firstLineChars="200"/>
        <w:rPr>
          <w:rFonts w:ascii="宋体" w:hAnsi="宋体"/>
          <w:szCs w:val="21"/>
        </w:rPr>
      </w:pPr>
      <w:r>
        <w:rPr>
          <w:rFonts w:hint="eastAsia" w:ascii="宋体" w:hAnsi="宋体"/>
          <w:szCs w:val="21"/>
        </w:rPr>
        <w:t>5</w:t>
      </w:r>
      <w:r>
        <w:rPr>
          <w:rFonts w:ascii="宋体" w:hAnsi="宋体"/>
          <w:szCs w:val="21"/>
        </w:rPr>
        <w:t>.3.2</w:t>
      </w:r>
      <w:r>
        <w:rPr>
          <w:rFonts w:hint="eastAsia" w:ascii="宋体" w:hAnsi="宋体"/>
          <w:szCs w:val="21"/>
        </w:rPr>
        <w:t>响应文件缺少任何一项资格证明文件或不符合第四章评审方法及标准中资格审查标准规定的评审内容的。</w:t>
      </w:r>
    </w:p>
    <w:p w14:paraId="6AA2E62B">
      <w:pPr>
        <w:spacing w:before="120" w:line="320" w:lineRule="atLeast"/>
        <w:ind w:left="2" w:leftChars="1" w:firstLine="422" w:firstLineChars="200"/>
        <w:outlineLvl w:val="1"/>
        <w:rPr>
          <w:rFonts w:ascii="宋体" w:hAnsi="宋体"/>
          <w:b/>
          <w:bCs/>
          <w:kern w:val="0"/>
          <w:szCs w:val="21"/>
        </w:rPr>
      </w:pPr>
      <w:r>
        <w:rPr>
          <w:rFonts w:ascii="宋体" w:hAnsi="宋体"/>
          <w:b/>
          <w:bCs/>
          <w:kern w:val="0"/>
          <w:szCs w:val="21"/>
        </w:rPr>
        <w:t>6．评审</w:t>
      </w:r>
    </w:p>
    <w:bookmarkEnd w:id="55"/>
    <w:bookmarkEnd w:id="56"/>
    <w:p w14:paraId="0664E933">
      <w:pPr>
        <w:spacing w:before="120" w:line="320" w:lineRule="atLeast"/>
        <w:ind w:firstLine="422" w:firstLineChars="200"/>
        <w:outlineLvl w:val="2"/>
        <w:rPr>
          <w:rFonts w:ascii="宋体" w:hAnsi="宋体"/>
          <w:b/>
          <w:bCs/>
          <w:kern w:val="0"/>
          <w:szCs w:val="21"/>
        </w:rPr>
      </w:pPr>
      <w:r>
        <w:rPr>
          <w:rFonts w:ascii="宋体" w:hAnsi="宋体"/>
          <w:b/>
          <w:bCs/>
          <w:kern w:val="0"/>
          <w:szCs w:val="21"/>
        </w:rPr>
        <w:t>6.1组建磋商小组</w:t>
      </w:r>
    </w:p>
    <w:p w14:paraId="6852FA61">
      <w:pPr>
        <w:spacing w:before="120" w:line="320" w:lineRule="atLeast"/>
        <w:ind w:firstLine="420" w:firstLineChars="200"/>
        <w:rPr>
          <w:rFonts w:ascii="宋体" w:hAnsi="宋体"/>
          <w:szCs w:val="21"/>
        </w:rPr>
      </w:pPr>
      <w:r>
        <w:rPr>
          <w:rFonts w:hint="eastAsia" w:ascii="宋体" w:hAnsi="宋体"/>
          <w:szCs w:val="21"/>
        </w:rPr>
        <w:t>6.1.1</w:t>
      </w:r>
      <w:r>
        <w:rPr>
          <w:rFonts w:ascii="宋体" w:hAnsi="宋体"/>
          <w:szCs w:val="21"/>
        </w:rPr>
        <w:t>本项目</w:t>
      </w:r>
      <w:r>
        <w:rPr>
          <w:rFonts w:hint="eastAsia" w:ascii="宋体" w:hAnsi="宋体"/>
          <w:szCs w:val="21"/>
        </w:rPr>
        <w:t>评审工作由</w:t>
      </w:r>
      <w:r>
        <w:rPr>
          <w:rFonts w:ascii="宋体" w:hAnsi="宋体"/>
          <w:szCs w:val="21"/>
        </w:rPr>
        <w:t>磋商小组</w:t>
      </w:r>
      <w:r>
        <w:rPr>
          <w:rFonts w:hint="eastAsia" w:ascii="宋体" w:hAnsi="宋体"/>
          <w:szCs w:val="21"/>
        </w:rPr>
        <w:t>负责，磋商小组</w:t>
      </w:r>
      <w:r>
        <w:rPr>
          <w:rFonts w:ascii="宋体" w:hAnsi="宋体"/>
          <w:szCs w:val="21"/>
        </w:rPr>
        <w:t>由</w:t>
      </w:r>
      <w:r>
        <w:rPr>
          <w:rFonts w:hint="eastAsia" w:ascii="宋体" w:hAnsi="宋体"/>
          <w:szCs w:val="21"/>
        </w:rPr>
        <w:t>评审专家</w:t>
      </w:r>
      <w:r>
        <w:rPr>
          <w:rFonts w:ascii="宋体" w:hAnsi="宋体"/>
          <w:szCs w:val="21"/>
        </w:rPr>
        <w:t>和采购人代表</w:t>
      </w:r>
      <w:r>
        <w:rPr>
          <w:rFonts w:hint="eastAsia" w:ascii="宋体" w:hAnsi="宋体"/>
          <w:szCs w:val="21"/>
        </w:rPr>
        <w:t>（如有）</w:t>
      </w:r>
      <w:r>
        <w:rPr>
          <w:rFonts w:ascii="宋体" w:hAnsi="宋体"/>
          <w:szCs w:val="21"/>
        </w:rPr>
        <w:t>组成。</w:t>
      </w:r>
      <w:r>
        <w:rPr>
          <w:rFonts w:hint="eastAsia" w:ascii="宋体" w:hAnsi="宋体"/>
          <w:szCs w:val="21"/>
        </w:rPr>
        <w:t>磋商小组评审时必须公平、公正、客观，不带任何倾向性和启发性；不得向外界透露任何与评审有关的内容；任何单位和个人不得干扰、影响评标的正常进行；磋商小组及有关工作人员不得私下与供应商接触，不得收受利害关系人的财物或者其他好处；</w:t>
      </w:r>
      <w:r>
        <w:rPr>
          <w:rFonts w:ascii="宋体" w:hAnsi="宋体"/>
          <w:szCs w:val="21"/>
        </w:rPr>
        <w:t>评审专家发现本人与参加采购活动的供应商有利害关系的，应当主动提出回避</w:t>
      </w:r>
      <w:r>
        <w:rPr>
          <w:rFonts w:hint="eastAsia" w:ascii="宋体" w:hAnsi="宋体"/>
          <w:szCs w:val="21"/>
        </w:rPr>
        <w:t>。</w:t>
      </w:r>
    </w:p>
    <w:p w14:paraId="525C4590">
      <w:pPr>
        <w:spacing w:before="120" w:line="320" w:lineRule="atLeast"/>
        <w:ind w:firstLine="420" w:firstLineChars="200"/>
        <w:rPr>
          <w:rFonts w:ascii="宋体" w:hAnsi="宋体"/>
          <w:szCs w:val="21"/>
        </w:rPr>
      </w:pPr>
      <w:r>
        <w:rPr>
          <w:rFonts w:hint="eastAsia" w:ascii="宋体" w:hAnsi="宋体"/>
          <w:szCs w:val="21"/>
        </w:rPr>
        <w:t>6.1.2磋商小组成员应当通过电子交易平台进行独立评审，磋商小组成员对需要共同认定的事项存在争议的，应当按照少数服从多数的原则作出结论。持不同意见的磋商小组成员应当在评审报告上签署不同意见及理由，否则视为同意评审报告。如果在评审过程中出现法律法规和采购文件均没有明确规定的情形时，由磋商小组现场协商确定，协商不一致的，由全体磋商小组成员投票表决，应当按照少数服从多数的原则作出结论并记录在评审报告中。</w:t>
      </w:r>
    </w:p>
    <w:p w14:paraId="38E5757D">
      <w:pPr>
        <w:spacing w:before="120" w:line="320" w:lineRule="atLeast"/>
        <w:ind w:firstLine="420" w:firstLineChars="200"/>
        <w:rPr>
          <w:rFonts w:ascii="宋体" w:hAnsi="宋体"/>
          <w:szCs w:val="21"/>
        </w:rPr>
      </w:pPr>
      <w:r>
        <w:rPr>
          <w:rFonts w:hint="eastAsia" w:ascii="宋体" w:hAnsi="宋体"/>
          <w:szCs w:val="21"/>
        </w:rPr>
        <w:t>6.1.3采购人、采购代理机构应当采取必要措施，保证评审在严格保密（封闭式评审）的情况下进行。除采购人代表、评审现场组织人员外，采购人的其他工作人员以及与评审工作无关的人员不得进入评审现场。有关人员对评审情况以及在评审过程中获悉的国家秘密、商业秘密负有保密责任。</w:t>
      </w:r>
    </w:p>
    <w:p w14:paraId="55D8FD86">
      <w:pPr>
        <w:spacing w:before="120" w:line="320" w:lineRule="atLeast"/>
        <w:ind w:firstLine="420" w:firstLineChars="200"/>
        <w:rPr>
          <w:rFonts w:ascii="宋体" w:hAnsi="宋体"/>
          <w:szCs w:val="21"/>
        </w:rPr>
      </w:pPr>
      <w:r>
        <w:rPr>
          <w:rFonts w:hint="eastAsia" w:ascii="宋体" w:hAnsi="宋体"/>
          <w:szCs w:val="21"/>
        </w:rPr>
        <w:t>6.1.4本项目评审过程实行全程网上留痕及录音、录像监控，供应商在评审过程中所进行的试图影响评审结果的不公正活动，可能导致其响应按无效处理。</w:t>
      </w:r>
    </w:p>
    <w:p w14:paraId="0082D19B">
      <w:pPr>
        <w:spacing w:before="120" w:line="320" w:lineRule="atLeast"/>
        <w:ind w:firstLine="422" w:firstLineChars="200"/>
        <w:outlineLvl w:val="2"/>
        <w:rPr>
          <w:rFonts w:ascii="宋体" w:hAnsi="宋体"/>
          <w:b/>
          <w:bCs/>
          <w:kern w:val="0"/>
          <w:szCs w:val="21"/>
        </w:rPr>
      </w:pPr>
      <w:r>
        <w:rPr>
          <w:rFonts w:ascii="宋体" w:hAnsi="宋体"/>
          <w:b/>
          <w:bCs/>
          <w:kern w:val="0"/>
          <w:szCs w:val="21"/>
        </w:rPr>
        <w:t>6.2</w:t>
      </w:r>
      <w:r>
        <w:rPr>
          <w:rFonts w:hint="eastAsia" w:ascii="宋体" w:hAnsi="宋体"/>
          <w:b/>
          <w:bCs/>
          <w:kern w:val="0"/>
          <w:szCs w:val="21"/>
        </w:rPr>
        <w:t>评审方法及依据</w:t>
      </w:r>
    </w:p>
    <w:p w14:paraId="35AFC535">
      <w:pPr>
        <w:spacing w:before="120" w:line="320" w:lineRule="atLeast"/>
        <w:ind w:firstLine="420" w:firstLineChars="200"/>
        <w:rPr>
          <w:rFonts w:ascii="宋体" w:hAnsi="宋体"/>
          <w:bCs/>
          <w:kern w:val="0"/>
          <w:szCs w:val="21"/>
        </w:rPr>
      </w:pPr>
      <w:r>
        <w:rPr>
          <w:rFonts w:ascii="宋体" w:hAnsi="宋体"/>
          <w:bCs/>
          <w:kern w:val="0"/>
          <w:szCs w:val="21"/>
        </w:rPr>
        <w:t>6.2.1</w:t>
      </w:r>
      <w:r>
        <w:rPr>
          <w:rFonts w:hint="eastAsia" w:ascii="宋体" w:hAnsi="宋体"/>
          <w:bCs/>
          <w:kern w:val="0"/>
          <w:szCs w:val="21"/>
        </w:rPr>
        <w:t>本项目采用第四章评审方法及标准规定的方法进行评审。</w:t>
      </w:r>
    </w:p>
    <w:p w14:paraId="332D47F1">
      <w:pPr>
        <w:suppressAutoHyphens/>
        <w:spacing w:before="120" w:line="320" w:lineRule="atLeast"/>
        <w:ind w:firstLine="420" w:firstLineChars="200"/>
        <w:rPr>
          <w:rFonts w:ascii="宋体" w:hAnsi="宋体"/>
          <w:bCs/>
          <w:kern w:val="0"/>
          <w:szCs w:val="21"/>
        </w:rPr>
      </w:pPr>
      <w:r>
        <w:rPr>
          <w:rFonts w:ascii="宋体" w:hAnsi="宋体"/>
          <w:bCs/>
          <w:kern w:val="0"/>
          <w:szCs w:val="21"/>
        </w:rPr>
        <w:t>6.2.2</w:t>
      </w:r>
      <w:r>
        <w:rPr>
          <w:rFonts w:hint="eastAsia" w:ascii="宋体" w:hAnsi="宋体"/>
          <w:bCs/>
          <w:kern w:val="0"/>
          <w:szCs w:val="21"/>
        </w:rPr>
        <w:t>磋商小组</w:t>
      </w:r>
      <w:r>
        <w:rPr>
          <w:rFonts w:ascii="宋体" w:hAnsi="宋体"/>
        </w:rPr>
        <w:t>以</w:t>
      </w:r>
      <w:r>
        <w:rPr>
          <w:rFonts w:hint="eastAsia" w:ascii="宋体" w:hAnsi="宋体"/>
        </w:rPr>
        <w:t>采购</w:t>
      </w:r>
      <w:r>
        <w:rPr>
          <w:rFonts w:ascii="宋体" w:hAnsi="宋体"/>
        </w:rPr>
        <w:t>文件、补充文件、</w:t>
      </w:r>
      <w:r>
        <w:rPr>
          <w:rFonts w:hint="eastAsia" w:ascii="宋体" w:hAnsi="宋体"/>
        </w:rPr>
        <w:t>响应</w:t>
      </w:r>
      <w:r>
        <w:rPr>
          <w:rFonts w:ascii="宋体" w:hAnsi="宋体"/>
        </w:rPr>
        <w:t>文件、澄清及答复为评审依据</w:t>
      </w:r>
      <w:r>
        <w:rPr>
          <w:rFonts w:hint="eastAsia" w:ascii="宋体" w:hAnsi="宋体"/>
        </w:rPr>
        <w:t>，</w:t>
      </w:r>
      <w:r>
        <w:rPr>
          <w:rFonts w:hint="eastAsia" w:ascii="宋体" w:hAnsi="宋体"/>
          <w:bCs/>
          <w:kern w:val="0"/>
          <w:szCs w:val="21"/>
        </w:rPr>
        <w:t>第四章评审方法及标准没有规定的评审方法、标准及因素，不得作为评审依据。</w:t>
      </w:r>
    </w:p>
    <w:p w14:paraId="6B2DA4A4">
      <w:pPr>
        <w:spacing w:before="120" w:line="320" w:lineRule="atLeast"/>
        <w:ind w:firstLine="422" w:firstLineChars="200"/>
        <w:outlineLvl w:val="2"/>
        <w:rPr>
          <w:rFonts w:ascii="宋体" w:hAnsi="宋体"/>
          <w:b/>
          <w:bCs/>
          <w:kern w:val="0"/>
          <w:szCs w:val="21"/>
        </w:rPr>
      </w:pPr>
      <w:r>
        <w:rPr>
          <w:rFonts w:ascii="宋体" w:hAnsi="宋体"/>
          <w:b/>
          <w:bCs/>
          <w:kern w:val="0"/>
          <w:szCs w:val="21"/>
        </w:rPr>
        <w:t>6.3评审</w:t>
      </w:r>
      <w:r>
        <w:rPr>
          <w:rFonts w:hint="eastAsia" w:ascii="宋体" w:hAnsi="宋体"/>
          <w:b/>
          <w:bCs/>
          <w:kern w:val="0"/>
          <w:szCs w:val="21"/>
        </w:rPr>
        <w:t>程序</w:t>
      </w:r>
    </w:p>
    <w:p w14:paraId="51121B57">
      <w:pPr>
        <w:spacing w:before="120" w:line="320" w:lineRule="atLeast"/>
        <w:ind w:firstLine="420" w:firstLineChars="200"/>
        <w:rPr>
          <w:rFonts w:ascii="宋体" w:hAnsi="宋体"/>
        </w:rPr>
      </w:pPr>
      <w:r>
        <w:rPr>
          <w:rFonts w:ascii="宋体" w:hAnsi="宋体"/>
        </w:rPr>
        <w:t>6.</w:t>
      </w:r>
      <w:bookmarkStart w:id="57" w:name="_Hlk80956880"/>
      <w:bookmarkStart w:id="58" w:name="_Hlk19175507"/>
      <w:r>
        <w:rPr>
          <w:rFonts w:ascii="宋体" w:hAnsi="宋体"/>
        </w:rPr>
        <w:t>3.1</w:t>
      </w:r>
      <w:r>
        <w:rPr>
          <w:rFonts w:hint="eastAsia" w:ascii="宋体" w:hAnsi="宋体"/>
        </w:rPr>
        <w:t>符合性审查</w:t>
      </w:r>
    </w:p>
    <w:p w14:paraId="3EAFCADF">
      <w:pPr>
        <w:spacing w:before="120" w:line="320" w:lineRule="atLeast"/>
        <w:ind w:firstLine="420" w:firstLineChars="200"/>
        <w:rPr>
          <w:rFonts w:ascii="宋体" w:hAnsi="宋体"/>
          <w:szCs w:val="21"/>
        </w:rPr>
      </w:pPr>
      <w:r>
        <w:rPr>
          <w:rFonts w:ascii="宋体" w:hAnsi="宋体"/>
          <w:bCs/>
          <w:kern w:val="1"/>
          <w:szCs w:val="21"/>
        </w:rPr>
        <w:t>资格审查结束后，</w:t>
      </w:r>
      <w:r>
        <w:rPr>
          <w:rFonts w:hint="eastAsia" w:ascii="宋体" w:hAnsi="宋体"/>
        </w:rPr>
        <w:t>磋商小组对</w:t>
      </w:r>
      <w:r>
        <w:rPr>
          <w:rFonts w:ascii="宋体" w:hAnsi="宋体"/>
        </w:rPr>
        <w:t>通过资格审查的供应商</w:t>
      </w:r>
      <w:r>
        <w:rPr>
          <w:rFonts w:hint="eastAsia" w:ascii="宋体" w:hAnsi="宋体"/>
        </w:rPr>
        <w:t>的响应文件报价、商务资信、技术等方面实质性内容进行符合性审查，</w:t>
      </w:r>
      <w:r>
        <w:rPr>
          <w:rFonts w:hint="eastAsia" w:ascii="宋体" w:hAnsi="宋体"/>
          <w:szCs w:val="21"/>
        </w:rPr>
        <w:t>符合性审查标准</w:t>
      </w:r>
      <w:r>
        <w:rPr>
          <w:rFonts w:ascii="宋体" w:hAnsi="宋体"/>
          <w:szCs w:val="21"/>
        </w:rPr>
        <w:t>详见第四章评审方法及标准。</w:t>
      </w:r>
    </w:p>
    <w:bookmarkEnd w:id="57"/>
    <w:bookmarkEnd w:id="58"/>
    <w:p w14:paraId="7906A6EC">
      <w:pPr>
        <w:spacing w:before="120" w:line="320" w:lineRule="atLeast"/>
        <w:ind w:firstLine="420" w:firstLineChars="200"/>
        <w:rPr>
          <w:rFonts w:ascii="宋体" w:hAnsi="宋体"/>
          <w:szCs w:val="21"/>
        </w:rPr>
      </w:pPr>
      <w:r>
        <w:rPr>
          <w:rFonts w:hint="eastAsia" w:ascii="宋体" w:hAnsi="宋体"/>
          <w:szCs w:val="21"/>
        </w:rPr>
        <w:t>6</w:t>
      </w:r>
      <w:r>
        <w:rPr>
          <w:rFonts w:ascii="宋体" w:hAnsi="宋体"/>
          <w:szCs w:val="21"/>
        </w:rPr>
        <w:t>.3.2</w:t>
      </w:r>
      <w:r>
        <w:rPr>
          <w:rFonts w:ascii="宋体" w:hAnsi="宋体"/>
        </w:rPr>
        <w:t>强制性</w:t>
      </w:r>
      <w:r>
        <w:rPr>
          <w:rFonts w:ascii="宋体" w:hAnsi="宋体"/>
          <w:szCs w:val="21"/>
        </w:rPr>
        <w:t>采购要求</w:t>
      </w:r>
      <w:r>
        <w:rPr>
          <w:rFonts w:hint="eastAsia" w:ascii="宋体" w:hAnsi="宋体"/>
          <w:szCs w:val="21"/>
        </w:rPr>
        <w:t>（仅适用于货物采购项目）</w:t>
      </w:r>
    </w:p>
    <w:p w14:paraId="0F3EAABE">
      <w:pPr>
        <w:suppressAutoHyphens/>
        <w:spacing w:before="120" w:line="320" w:lineRule="atLeast"/>
        <w:ind w:firstLine="422" w:firstLineChars="201"/>
        <w:rPr>
          <w:rFonts w:ascii="宋体" w:hAnsi="宋体"/>
          <w:szCs w:val="21"/>
        </w:rPr>
      </w:pPr>
      <w:bookmarkStart w:id="59" w:name="_Hlk47714684"/>
      <w:r>
        <w:rPr>
          <w:rFonts w:hint="eastAsia" w:ascii="宋体" w:hAnsi="宋体"/>
          <w:szCs w:val="21"/>
        </w:rPr>
        <w:t>（1）</w:t>
      </w:r>
      <w:bookmarkEnd w:id="59"/>
      <w:r>
        <w:rPr>
          <w:rFonts w:hint="eastAsia" w:ascii="宋体" w:hAnsi="宋体"/>
          <w:szCs w:val="21"/>
        </w:rPr>
        <w:t>根据《财政部 发展改革委 生态环境部 市场监管总局关于调整优化节能产品、环境标志产品政府采购执行机制的通知》（财库〔2019〕9号）和《关于印发节能产品政府采购品目清单的通知》（财库〔2019〕19号）规定，本项目采购需求中的产品属于节能产品政府采购品目清单内标注“★”的，供应商的响应货物必须使用政府强制采购的节能产品，否则响应文件作无效处理；属于品目清单内非标注“★”的产品时，应优先采购。</w:t>
      </w:r>
    </w:p>
    <w:p w14:paraId="7228EA00">
      <w:pPr>
        <w:spacing w:before="120" w:line="276" w:lineRule="auto"/>
        <w:ind w:firstLine="420" w:firstLineChars="200"/>
        <w:rPr>
          <w:rFonts w:ascii="宋体" w:hAnsi="宋体"/>
          <w:szCs w:val="21"/>
        </w:rPr>
      </w:pPr>
      <w:bookmarkStart w:id="60" w:name="_Hlk19176155"/>
      <w:r>
        <w:rPr>
          <w:rFonts w:hint="eastAsia" w:ascii="宋体" w:hAnsi="宋体"/>
          <w:szCs w:val="21"/>
        </w:rPr>
        <w:t>（2）根据《关于调整网络安全专用产品安全管理有关事项的公告》（2023年1号）及关于调整《网络关键设备和网络安全专用产品目录》（2023年2号）的公告规定，本项目采购需求中的产品如果包括《网络关键设备和网络安全专用产品目录》的网络安全专用产品，投标人在投标文件中应主动列明供货范围中属于网络安全专用产品的投标产品，并提供由中共中央网络安全和信息化委员会办公室网站最新发布的《网络关键设备和网络安全专用产品安全认证和安全检测结果》截图证明材料，不在《网络关键设备和网络安全专用产品安全认证和安全检测结果》中或不在有效期内或未提供有效的《计算机信息系统安全专用产品销售许可证》的，投标无效。</w:t>
      </w:r>
    </w:p>
    <w:p w14:paraId="26A5FDEF">
      <w:pPr>
        <w:spacing w:before="120" w:line="276" w:lineRule="auto"/>
        <w:ind w:firstLine="420" w:firstLineChars="200"/>
        <w:rPr>
          <w:rFonts w:ascii="宋体" w:hAnsi="宋体"/>
          <w:szCs w:val="21"/>
        </w:rPr>
      </w:pPr>
      <w:r>
        <w:rPr>
          <w:rFonts w:hint="eastAsia" w:ascii="宋体" w:hAnsi="宋体"/>
          <w:szCs w:val="21"/>
        </w:rPr>
        <w:t>注：网络安全专用产品在中共中央网络安全和信息化委员会办公室网站上发布的《网络关键设备和网络安全专用产品目录》中查询。</w:t>
      </w:r>
      <w:r>
        <w:rPr>
          <w:rFonts w:ascii="宋体" w:hAnsi="宋体"/>
          <w:szCs w:val="21"/>
        </w:rPr>
        <w:t xml:space="preserve"> </w:t>
      </w:r>
      <w:r>
        <w:rPr>
          <w:rFonts w:hint="eastAsia" w:ascii="宋体" w:hAnsi="宋体"/>
          <w:szCs w:val="21"/>
        </w:rPr>
        <w:t>“网络安全专用产品”内“产品类别”共34类：数据备份与恢复产品、防火墙、入侵检测系统（I</w:t>
      </w:r>
      <w:r>
        <w:rPr>
          <w:rFonts w:ascii="宋体" w:hAnsi="宋体"/>
          <w:szCs w:val="21"/>
        </w:rPr>
        <w:t>DS</w:t>
      </w:r>
      <w:r>
        <w:rPr>
          <w:rFonts w:hint="eastAsia" w:ascii="宋体" w:hAnsi="宋体"/>
          <w:szCs w:val="21"/>
        </w:rPr>
        <w:t>）、入侵防御系统（</w:t>
      </w:r>
      <w:r>
        <w:rPr>
          <w:rFonts w:ascii="宋体" w:hAnsi="宋体"/>
          <w:szCs w:val="21"/>
        </w:rPr>
        <w:t>IPS</w:t>
      </w:r>
      <w:r>
        <w:rPr>
          <w:rFonts w:hint="eastAsia" w:ascii="宋体" w:hAnsi="宋体"/>
          <w:szCs w:val="21"/>
        </w:rPr>
        <w:t>）、网络和终端隔离产品、反垃圾邮件产品、网络综合审计产品、网络脆弱性扫描产品、安全数据库系统、网站恢复产品、虚拟专用网产品、防病毒网关、统一威胁管理产品（UTM）、病毒防治产品、安全操作系统、安全网络存储、公钥基础设施、网络安全态势感知产品、信息系统安全管理平台、网络型流量控制产品、负载均衡产品、信息过滤产品、抗拒绝服务攻击产品、终端接入控制产品、USB移动存储介质管理系统、文件加密产品、数据泄露防护产品、数据销毁软件产品、安全配置检查产品、运维安全管理产品、日志分析产品、身份鉴别产品、终端安全监护产品、电子文档安全管理产品。</w:t>
      </w:r>
    </w:p>
    <w:p w14:paraId="490B7E15">
      <w:pPr>
        <w:spacing w:before="120" w:line="320" w:lineRule="atLeast"/>
        <w:ind w:firstLine="420" w:firstLineChars="200"/>
        <w:rPr>
          <w:rFonts w:ascii="宋体" w:hAnsi="宋体"/>
        </w:rPr>
      </w:pPr>
      <w:r>
        <w:rPr>
          <w:rFonts w:ascii="宋体" w:hAnsi="宋体"/>
        </w:rPr>
        <w:t>6.3.3澄清、说明或补正</w:t>
      </w:r>
    </w:p>
    <w:p w14:paraId="58F0D7AD">
      <w:pPr>
        <w:spacing w:before="120" w:line="320" w:lineRule="atLeast"/>
        <w:ind w:firstLine="420" w:firstLineChars="200"/>
        <w:rPr>
          <w:rFonts w:ascii="宋体" w:hAnsi="宋体"/>
        </w:rPr>
      </w:pPr>
      <w:r>
        <w:rPr>
          <w:rFonts w:hint="eastAsia" w:ascii="宋体" w:hAnsi="宋体"/>
        </w:rPr>
        <w:t>（1）对响应文件中含义不明确、同类问题表述不一致或者有明显文字和计算错误的内容，磋商小组应在广西政府采购云平台发布电子澄清函，要求供应商在平台设置的时间内作出必要的澄清、说明或者补正。供应商在广西政府采购云平台接收到电子澄清函后根据澄清函内容直接在线编辑或上传PDF格式回函，电子澄清答复函使用CA证书加盖单位电子签章后提交至磋商小组。供应商的澄清、说明或者补正不得超出响应文件的范围或者改变响应文件的实质性内容。供应商未在规定时间内进行澄清、说明或者补正的，按无效响应处理。</w:t>
      </w:r>
    </w:p>
    <w:p w14:paraId="2A8EDED7">
      <w:pPr>
        <w:spacing w:before="120" w:line="320" w:lineRule="atLeast"/>
        <w:ind w:firstLine="420" w:firstLineChars="200"/>
        <w:rPr>
          <w:rFonts w:ascii="宋体" w:hAnsi="宋体"/>
        </w:rPr>
      </w:pPr>
      <w:r>
        <w:rPr>
          <w:rFonts w:hint="eastAsia" w:ascii="宋体" w:hAnsi="宋体"/>
        </w:rPr>
        <w:t>（2）异常情况处理：如遇无法正常使用线上发送澄清函的情况，将以书面形式执行。磋商小组以书面形式要求供应商在规定时间内作出必要的澄清、说明或者补正。供应商的澄清、说明或者补正必须采用书面形式，并加盖公章或者由法定代表人或者其授权的代表签字。</w:t>
      </w:r>
    </w:p>
    <w:p w14:paraId="4607B386">
      <w:pPr>
        <w:spacing w:before="120" w:line="320" w:lineRule="atLeast"/>
        <w:ind w:firstLine="420" w:firstLineChars="200"/>
        <w:rPr>
          <w:rFonts w:ascii="宋体" w:hAnsi="宋体"/>
        </w:rPr>
      </w:pPr>
      <w:r>
        <w:rPr>
          <w:rFonts w:ascii="宋体" w:hAnsi="宋体"/>
        </w:rPr>
        <w:t>6.3.4</w:t>
      </w:r>
      <w:r>
        <w:rPr>
          <w:rFonts w:hint="eastAsia" w:ascii="宋体" w:hAnsi="宋体"/>
        </w:rPr>
        <w:t>报价</w:t>
      </w:r>
      <w:r>
        <w:rPr>
          <w:rFonts w:ascii="宋体" w:hAnsi="宋体"/>
        </w:rPr>
        <w:t>修正</w:t>
      </w:r>
    </w:p>
    <w:p w14:paraId="307EF838">
      <w:pPr>
        <w:spacing w:before="120" w:line="320" w:lineRule="atLeast"/>
        <w:ind w:firstLine="420" w:firstLineChars="200"/>
        <w:rPr>
          <w:rFonts w:ascii="宋体" w:hAnsi="宋体"/>
        </w:rPr>
      </w:pPr>
      <w:r>
        <w:rPr>
          <w:rFonts w:hint="eastAsia" w:ascii="宋体" w:hAnsi="宋体"/>
        </w:rPr>
        <w:t>（1）报价出现前后不一致的，按照下列规定修正：</w:t>
      </w:r>
    </w:p>
    <w:p w14:paraId="12053C56">
      <w:pPr>
        <w:spacing w:before="120" w:line="320" w:lineRule="atLeast"/>
        <w:ind w:firstLine="420" w:firstLineChars="200"/>
        <w:rPr>
          <w:rFonts w:ascii="宋体" w:hAnsi="宋体"/>
          <w:szCs w:val="21"/>
        </w:rPr>
      </w:pPr>
      <w:r>
        <w:rPr>
          <w:rFonts w:hint="eastAsia" w:ascii="宋体" w:hAnsi="宋体"/>
          <w:szCs w:val="21"/>
        </w:rPr>
        <w:t>①</w:t>
      </w:r>
      <w:r>
        <w:rPr>
          <w:rFonts w:ascii="宋体" w:hAnsi="宋体"/>
          <w:szCs w:val="21"/>
        </w:rPr>
        <w:t>响应文件中开标一览表（报价表）内容与响应文件中相应内容不一致的，以开标一览表（报价表）为准；</w:t>
      </w:r>
    </w:p>
    <w:p w14:paraId="6DE8675C">
      <w:pPr>
        <w:spacing w:before="120" w:line="320" w:lineRule="atLeast"/>
        <w:ind w:firstLine="420" w:firstLineChars="200"/>
        <w:rPr>
          <w:rFonts w:ascii="宋体" w:hAnsi="宋体"/>
          <w:szCs w:val="21"/>
        </w:rPr>
      </w:pPr>
      <w:r>
        <w:rPr>
          <w:rFonts w:ascii="宋体" w:hAnsi="宋体"/>
          <w:szCs w:val="21"/>
        </w:rPr>
        <w:t>②大写金额和小写金额不一致的，以大写金额为准；</w:t>
      </w:r>
    </w:p>
    <w:p w14:paraId="07D23680">
      <w:pPr>
        <w:spacing w:before="120" w:line="320" w:lineRule="atLeast"/>
        <w:ind w:firstLine="420" w:firstLineChars="200"/>
        <w:rPr>
          <w:rFonts w:ascii="宋体" w:hAnsi="宋体"/>
          <w:szCs w:val="21"/>
        </w:rPr>
      </w:pPr>
      <w:r>
        <w:rPr>
          <w:rFonts w:hint="eastAsia" w:ascii="宋体" w:hAnsi="宋体"/>
          <w:szCs w:val="21"/>
        </w:rPr>
        <w:t>③</w:t>
      </w:r>
      <w:r>
        <w:rPr>
          <w:rFonts w:ascii="宋体" w:hAnsi="宋体"/>
          <w:szCs w:val="21"/>
        </w:rPr>
        <w:t>单价金额小数点或者百分比有明显错位的，以开标一览表的总价为准，并修改单价；</w:t>
      </w:r>
    </w:p>
    <w:p w14:paraId="26818C91">
      <w:pPr>
        <w:spacing w:before="120" w:line="320" w:lineRule="atLeast"/>
        <w:ind w:firstLine="420" w:firstLineChars="200"/>
        <w:rPr>
          <w:rFonts w:ascii="宋体" w:hAnsi="宋体"/>
          <w:szCs w:val="21"/>
        </w:rPr>
      </w:pPr>
      <w:r>
        <w:rPr>
          <w:rFonts w:hint="eastAsia" w:ascii="宋体" w:hAnsi="宋体"/>
          <w:szCs w:val="21"/>
        </w:rPr>
        <w:t>④</w:t>
      </w:r>
      <w:r>
        <w:rPr>
          <w:rFonts w:ascii="宋体" w:hAnsi="宋体"/>
          <w:szCs w:val="21"/>
        </w:rPr>
        <w:t>总价金额与按单价汇总金额不一致的，以单价金额计算结果为准</w:t>
      </w:r>
      <w:r>
        <w:rPr>
          <w:rFonts w:hint="eastAsia" w:ascii="宋体" w:hAnsi="宋体"/>
          <w:szCs w:val="21"/>
        </w:rPr>
        <w:t>。</w:t>
      </w:r>
    </w:p>
    <w:p w14:paraId="52FA55C4">
      <w:pPr>
        <w:spacing w:before="120" w:line="320" w:lineRule="atLeast"/>
        <w:ind w:firstLine="420" w:firstLineChars="200"/>
        <w:rPr>
          <w:rFonts w:ascii="宋体" w:hAnsi="宋体"/>
          <w:szCs w:val="21"/>
        </w:rPr>
      </w:pPr>
      <w:r>
        <w:rPr>
          <w:rFonts w:hint="eastAsia" w:ascii="宋体" w:hAnsi="宋体"/>
          <w:szCs w:val="21"/>
        </w:rPr>
        <w:t>同时出现两种以上不一致的，按照上述①-④顺序修正。修正后的报价按照上述“</w:t>
      </w:r>
      <w:r>
        <w:rPr>
          <w:rFonts w:ascii="宋体" w:hAnsi="宋体"/>
          <w:szCs w:val="21"/>
        </w:rPr>
        <w:t>6.3.3</w:t>
      </w:r>
      <w:r>
        <w:rPr>
          <w:rFonts w:hint="eastAsia" w:ascii="宋体" w:hAnsi="宋体"/>
          <w:szCs w:val="21"/>
        </w:rPr>
        <w:t>澄清、说明或补正”的规定经供应商确认后产生约束力，供应商不确认的，其响应无效。</w:t>
      </w:r>
    </w:p>
    <w:p w14:paraId="68B917CB">
      <w:pPr>
        <w:spacing w:before="120" w:line="320" w:lineRule="atLeast"/>
        <w:ind w:firstLine="420" w:firstLineChars="200"/>
        <w:rPr>
          <w:rFonts w:ascii="宋体" w:hAnsi="宋体"/>
          <w:szCs w:val="21"/>
        </w:rPr>
      </w:pPr>
      <w:r>
        <w:rPr>
          <w:rFonts w:hint="eastAsia" w:ascii="宋体" w:hAnsi="宋体"/>
          <w:szCs w:val="21"/>
        </w:rPr>
        <w:t>（</w:t>
      </w:r>
      <w:r>
        <w:rPr>
          <w:rFonts w:ascii="宋体" w:hAnsi="宋体"/>
          <w:szCs w:val="21"/>
        </w:rPr>
        <w:t>2</w:t>
      </w:r>
      <w:r>
        <w:rPr>
          <w:rFonts w:hint="eastAsia" w:ascii="宋体" w:hAnsi="宋体"/>
          <w:szCs w:val="21"/>
        </w:rPr>
        <w:t>）经供应商确认修正后的报价若超过采购预算金额或者最高限价，其响应文件作无效响应处理。</w:t>
      </w:r>
    </w:p>
    <w:p w14:paraId="1FD2AD8D">
      <w:pPr>
        <w:spacing w:before="120" w:line="320" w:lineRule="atLeast"/>
        <w:ind w:firstLine="420" w:firstLineChars="200"/>
        <w:rPr>
          <w:rFonts w:ascii="宋体" w:hAnsi="宋体"/>
          <w:szCs w:val="21"/>
        </w:rPr>
      </w:pPr>
      <w:r>
        <w:rPr>
          <w:rFonts w:hint="eastAsia" w:ascii="宋体" w:hAnsi="宋体"/>
          <w:szCs w:val="21"/>
        </w:rPr>
        <w:t>（</w:t>
      </w:r>
      <w:r>
        <w:rPr>
          <w:rFonts w:ascii="宋体" w:hAnsi="宋体"/>
          <w:szCs w:val="21"/>
        </w:rPr>
        <w:t>3</w:t>
      </w:r>
      <w:r>
        <w:rPr>
          <w:rFonts w:hint="eastAsia" w:ascii="宋体" w:hAnsi="宋体"/>
          <w:szCs w:val="21"/>
        </w:rPr>
        <w:t>）经供应商确认修正后的报价作为签订合同的依据，并以此报价计算价格分。</w:t>
      </w:r>
    </w:p>
    <w:p w14:paraId="7058B5CA">
      <w:pPr>
        <w:spacing w:before="120" w:line="320" w:lineRule="atLeast"/>
        <w:ind w:firstLine="420" w:firstLineChars="200"/>
        <w:rPr>
          <w:rFonts w:ascii="宋体" w:hAnsi="宋体"/>
          <w:szCs w:val="21"/>
        </w:rPr>
      </w:pPr>
      <w:r>
        <w:rPr>
          <w:rFonts w:hint="eastAsia" w:ascii="宋体" w:hAnsi="宋体"/>
          <w:szCs w:val="21"/>
        </w:rPr>
        <w:t>（</w:t>
      </w:r>
      <w:r>
        <w:rPr>
          <w:rFonts w:ascii="宋体" w:hAnsi="宋体"/>
          <w:szCs w:val="21"/>
        </w:rPr>
        <w:t>4</w:t>
      </w:r>
      <w:r>
        <w:rPr>
          <w:rFonts w:hint="eastAsia" w:ascii="宋体" w:hAnsi="宋体"/>
          <w:szCs w:val="21"/>
        </w:rPr>
        <w:t>）如磋商过程中有多轮报价的，磋商小组在每一轮报价均应按上述规则修正报价。</w:t>
      </w:r>
    </w:p>
    <w:p w14:paraId="1642EFBC">
      <w:pPr>
        <w:spacing w:before="120" w:line="320" w:lineRule="atLeast"/>
        <w:ind w:firstLine="420" w:firstLineChars="200"/>
        <w:rPr>
          <w:rFonts w:ascii="宋体" w:hAnsi="宋体"/>
          <w:szCs w:val="21"/>
        </w:rPr>
      </w:pPr>
      <w:r>
        <w:rPr>
          <w:rFonts w:hint="eastAsia" w:ascii="宋体" w:hAnsi="宋体"/>
          <w:szCs w:val="21"/>
        </w:rPr>
        <w:t>6.3.5异常低价审查</w:t>
      </w:r>
    </w:p>
    <w:p w14:paraId="20F3C1C3">
      <w:pPr>
        <w:spacing w:before="120" w:line="320" w:lineRule="atLeast"/>
        <w:ind w:firstLine="420" w:firstLineChars="200"/>
        <w:rPr>
          <w:rFonts w:ascii="宋体" w:hAnsi="宋体"/>
          <w:szCs w:val="21"/>
        </w:rPr>
      </w:pPr>
      <w:r>
        <w:rPr>
          <w:rFonts w:ascii="宋体" w:hAnsi="宋体"/>
          <w:szCs w:val="21"/>
        </w:rPr>
        <w:t>本项目</w:t>
      </w:r>
      <w:r>
        <w:rPr>
          <w:rFonts w:hint="eastAsia" w:ascii="宋体" w:hAnsi="宋体"/>
          <w:szCs w:val="21"/>
        </w:rPr>
        <w:t>异常低价审查情形见</w:t>
      </w:r>
      <w:r>
        <w:rPr>
          <w:rFonts w:ascii="宋体" w:hAnsi="宋体"/>
          <w:szCs w:val="21"/>
        </w:rPr>
        <w:t>“</w:t>
      </w:r>
      <w:r>
        <w:rPr>
          <w:rFonts w:hint="eastAsia" w:ascii="宋体" w:hAnsi="宋体"/>
          <w:szCs w:val="21"/>
        </w:rPr>
        <w:t>供应商须知</w:t>
      </w:r>
      <w:r>
        <w:rPr>
          <w:rFonts w:ascii="宋体" w:hAnsi="宋体"/>
          <w:szCs w:val="21"/>
        </w:rPr>
        <w:t>前附表”规定。</w:t>
      </w:r>
    </w:p>
    <w:p w14:paraId="425D0DBD">
      <w:pPr>
        <w:spacing w:before="120" w:line="320" w:lineRule="atLeast"/>
        <w:ind w:firstLine="420" w:firstLineChars="200"/>
        <w:rPr>
          <w:rFonts w:ascii="宋体" w:hAnsi="宋体"/>
          <w:szCs w:val="21"/>
        </w:rPr>
      </w:pPr>
      <w:r>
        <w:rPr>
          <w:rFonts w:hint="eastAsia" w:ascii="宋体" w:hAnsi="宋体"/>
          <w:szCs w:val="21"/>
        </w:rPr>
        <w:t>评审委员会启动异常低价投标审查后，属于前述第1项至第4项情形的，应当要求相关供应商在评审现场合理的时间内对投标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06E4D279">
      <w:pPr>
        <w:spacing w:before="120" w:line="320" w:lineRule="atLeast"/>
        <w:ind w:firstLine="420" w:firstLineChars="200"/>
        <w:rPr>
          <w:rFonts w:ascii="宋体" w:hAnsi="宋体"/>
          <w:strike/>
          <w:szCs w:val="21"/>
        </w:rPr>
      </w:pPr>
      <w:r>
        <w:rPr>
          <w:rFonts w:hint="eastAsia" w:ascii="宋体" w:hAnsi="宋体"/>
          <w:szCs w:val="21"/>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136B1206">
      <w:pPr>
        <w:spacing w:before="120" w:line="320" w:lineRule="atLeast"/>
        <w:ind w:firstLine="420" w:firstLineChars="200"/>
        <w:rPr>
          <w:rFonts w:ascii="宋体" w:hAnsi="宋体"/>
          <w:szCs w:val="21"/>
        </w:rPr>
      </w:pPr>
      <w:r>
        <w:rPr>
          <w:rFonts w:hint="eastAsia" w:ascii="宋体" w:hAnsi="宋体"/>
          <w:szCs w:val="21"/>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14:paraId="0D9F2E26">
      <w:pPr>
        <w:spacing w:before="120" w:line="320" w:lineRule="atLeast"/>
        <w:ind w:firstLine="420" w:firstLineChars="200"/>
        <w:rPr>
          <w:rFonts w:ascii="宋体" w:hAnsi="宋体"/>
          <w:szCs w:val="21"/>
        </w:rPr>
      </w:pPr>
      <w:r>
        <w:rPr>
          <w:rFonts w:hint="eastAsia" w:ascii="宋体" w:hAnsi="宋体"/>
          <w:szCs w:val="21"/>
        </w:rPr>
        <w:t>异常低价投标审查的启动原因、审查意见和审查结果应当在评审报告中记录，并随供应商提供的相关书面说明及证明材料，以及评审委员会有关互联网浏览、查询历史一并归档。</w:t>
      </w:r>
    </w:p>
    <w:p w14:paraId="2EBA2399">
      <w:pPr>
        <w:spacing w:before="120" w:line="320" w:lineRule="atLeast"/>
        <w:ind w:firstLine="420" w:firstLineChars="200"/>
        <w:rPr>
          <w:rFonts w:ascii="宋体" w:hAnsi="宋体"/>
          <w:szCs w:val="21"/>
        </w:rPr>
      </w:pPr>
      <w:r>
        <w:rPr>
          <w:rFonts w:hint="eastAsia" w:ascii="宋体" w:hAnsi="宋体"/>
          <w:szCs w:val="21"/>
        </w:rPr>
        <w:t>书面证明应当按照上述“</w:t>
      </w:r>
      <w:r>
        <w:rPr>
          <w:rFonts w:ascii="宋体" w:hAnsi="宋体"/>
          <w:szCs w:val="21"/>
        </w:rPr>
        <w:t>6.3.3</w:t>
      </w:r>
      <w:r>
        <w:rPr>
          <w:rFonts w:hint="eastAsia" w:ascii="宋体" w:hAnsi="宋体"/>
          <w:szCs w:val="21"/>
        </w:rPr>
        <w:t>澄清、说明或补正”的规定提交。</w:t>
      </w:r>
    </w:p>
    <w:p w14:paraId="35F47C79">
      <w:pPr>
        <w:spacing w:before="120" w:line="320" w:lineRule="atLeast"/>
        <w:ind w:firstLine="420" w:firstLineChars="200"/>
        <w:rPr>
          <w:rFonts w:ascii="宋体" w:hAnsi="宋体"/>
          <w:szCs w:val="21"/>
        </w:rPr>
      </w:pPr>
      <w:r>
        <w:rPr>
          <w:rFonts w:hint="eastAsia" w:ascii="宋体" w:hAnsi="宋体"/>
          <w:szCs w:val="21"/>
        </w:rPr>
        <w:t>6</w:t>
      </w:r>
      <w:r>
        <w:rPr>
          <w:rFonts w:ascii="宋体" w:hAnsi="宋体"/>
          <w:szCs w:val="21"/>
        </w:rPr>
        <w:t>.3.</w:t>
      </w:r>
      <w:r>
        <w:rPr>
          <w:rFonts w:hint="eastAsia" w:ascii="宋体" w:hAnsi="宋体"/>
          <w:szCs w:val="21"/>
        </w:rPr>
        <w:t>6相同品牌认定（仅适用于货物采购项目）</w:t>
      </w:r>
    </w:p>
    <w:p w14:paraId="7F580A44">
      <w:pPr>
        <w:spacing w:before="120" w:line="320" w:lineRule="atLeast"/>
        <w:ind w:firstLine="420" w:firstLineChars="200"/>
        <w:rPr>
          <w:rFonts w:ascii="宋体" w:hAnsi="宋体"/>
          <w:szCs w:val="21"/>
        </w:rPr>
      </w:pPr>
      <w:r>
        <w:rPr>
          <w:rFonts w:hint="eastAsia" w:ascii="宋体" w:hAnsi="宋体"/>
          <w:szCs w:val="21"/>
        </w:rPr>
        <w:t>（1）单一产品采购项目，</w:t>
      </w:r>
      <w:r>
        <w:rPr>
          <w:rFonts w:ascii="宋体" w:hAnsi="宋体"/>
        </w:rPr>
        <w:t>不同供应商提供的产品品牌相同时，</w:t>
      </w:r>
      <w:r>
        <w:rPr>
          <w:rFonts w:hint="eastAsia" w:ascii="宋体" w:hAnsi="宋体"/>
        </w:rPr>
        <w:t>按以下</w:t>
      </w:r>
      <w:r>
        <w:rPr>
          <w:rFonts w:ascii="宋体" w:hAnsi="宋体"/>
        </w:rPr>
        <w:t>规定</w:t>
      </w:r>
      <w:r>
        <w:rPr>
          <w:rFonts w:hint="eastAsia" w:ascii="宋体" w:hAnsi="宋体"/>
        </w:rPr>
        <w:t>确定</w:t>
      </w:r>
      <w:r>
        <w:rPr>
          <w:rFonts w:ascii="宋体" w:hAnsi="宋体"/>
          <w:bCs/>
          <w:kern w:val="0"/>
          <w:szCs w:val="21"/>
        </w:rPr>
        <w:t>相同品牌的响应有效性</w:t>
      </w:r>
      <w:r>
        <w:rPr>
          <w:rFonts w:ascii="宋体" w:hAnsi="宋体"/>
        </w:rPr>
        <w:t>。</w:t>
      </w:r>
    </w:p>
    <w:bookmarkEnd w:id="60"/>
    <w:p w14:paraId="6F8ECA83">
      <w:pPr>
        <w:spacing w:before="120" w:line="320" w:lineRule="atLeast"/>
        <w:ind w:firstLine="420" w:firstLineChars="200"/>
        <w:rPr>
          <w:rFonts w:ascii="宋体" w:hAnsi="宋体"/>
          <w:szCs w:val="21"/>
        </w:rPr>
      </w:pPr>
      <w:r>
        <w:rPr>
          <w:rFonts w:hint="eastAsia" w:ascii="宋体" w:hAnsi="宋体"/>
          <w:szCs w:val="21"/>
        </w:rPr>
        <w:t>提供相同品牌产品且通过资格审查、符合性审查的不同供应商参加同一合同项下响应的，按一家供应商计算，评审后得分最高的同品牌供应商获得中标人推荐资格；评审得分相同的，由采购人或者采购人委托磋商小组按照采购文件规定的方式确定一个供应商获得成交供应商推荐资格，采购文件未规定的采取随机抽取方式确定，其他同品牌供应商不作为成交候选人。</w:t>
      </w:r>
    </w:p>
    <w:p w14:paraId="53FBEE83">
      <w:pPr>
        <w:spacing w:before="120" w:line="320" w:lineRule="atLeast"/>
        <w:ind w:firstLine="420" w:firstLineChars="200"/>
        <w:rPr>
          <w:rFonts w:ascii="宋体" w:hAnsi="宋体"/>
          <w:szCs w:val="21"/>
        </w:rPr>
      </w:pPr>
      <w:r>
        <w:rPr>
          <w:rFonts w:hint="eastAsia" w:ascii="宋体" w:hAnsi="宋体"/>
          <w:szCs w:val="21"/>
        </w:rPr>
        <w:t>（2）非单一产品采购项目，</w:t>
      </w:r>
      <w:r>
        <w:rPr>
          <w:rFonts w:ascii="宋体" w:hAnsi="宋体"/>
          <w:szCs w:val="21"/>
        </w:rPr>
        <w:t>采购人应当确定核心产品，并在采购文件中载明。</w:t>
      </w:r>
      <w:r>
        <w:rPr>
          <w:rFonts w:hint="eastAsia" w:ascii="宋体" w:hAnsi="宋体"/>
          <w:szCs w:val="21"/>
        </w:rPr>
        <w:t>不同</w:t>
      </w:r>
      <w:r>
        <w:rPr>
          <w:rFonts w:ascii="宋体" w:hAnsi="宋体"/>
          <w:szCs w:val="21"/>
        </w:rPr>
        <w:t>供应商提供的核心产品品牌相同的，按上述规定处理。核心产品</w:t>
      </w:r>
      <w:r>
        <w:rPr>
          <w:rFonts w:hint="eastAsia" w:ascii="宋体" w:hAnsi="宋体"/>
          <w:szCs w:val="21"/>
        </w:rPr>
        <w:t>在第二章</w:t>
      </w:r>
      <w:r>
        <w:rPr>
          <w:rFonts w:ascii="宋体" w:hAnsi="宋体"/>
          <w:szCs w:val="21"/>
        </w:rPr>
        <w:t>采购需求规定。</w:t>
      </w:r>
    </w:p>
    <w:p w14:paraId="02F9F93A">
      <w:pPr>
        <w:spacing w:before="120" w:line="320" w:lineRule="atLeast"/>
        <w:ind w:firstLine="420" w:firstLineChars="200"/>
        <w:rPr>
          <w:rFonts w:ascii="宋体" w:hAnsi="宋体"/>
        </w:rPr>
      </w:pPr>
      <w:r>
        <w:rPr>
          <w:rFonts w:ascii="宋体" w:hAnsi="宋体"/>
        </w:rPr>
        <w:t>6.3.</w:t>
      </w:r>
      <w:r>
        <w:rPr>
          <w:rFonts w:hint="eastAsia" w:ascii="宋体" w:hAnsi="宋体"/>
        </w:rPr>
        <w:t>7磋商</w:t>
      </w:r>
    </w:p>
    <w:p w14:paraId="4ADACD2F">
      <w:pPr>
        <w:spacing w:before="120" w:line="320" w:lineRule="atLeast"/>
        <w:ind w:firstLine="420" w:firstLineChars="200"/>
        <w:rPr>
          <w:rFonts w:ascii="宋体" w:hAnsi="宋体"/>
        </w:rPr>
      </w:pPr>
      <w:r>
        <w:rPr>
          <w:rFonts w:hint="eastAsia" w:ascii="宋体" w:hAnsi="宋体"/>
        </w:rPr>
        <w:t>（1）磋商小组按照“供应商须知前附表” 确定的顺序，集中与单一供应商分别进行磋商，并给予所有参加磋商的供应商平等的磋商机会。符合磋商资格的供应商必须在接到磋商通知后规定时间内参加磋商，未在规定时间内参加磋商的视同放弃参加磋商权利，其响应文件按无效响应处理。</w:t>
      </w:r>
    </w:p>
    <w:p w14:paraId="46FE56DF">
      <w:pPr>
        <w:spacing w:before="120" w:line="320" w:lineRule="atLeast"/>
        <w:ind w:firstLine="420" w:firstLineChars="200"/>
        <w:rPr>
          <w:rFonts w:ascii="宋体" w:hAnsi="宋体"/>
        </w:rPr>
      </w:pPr>
      <w:r>
        <w:rPr>
          <w:rFonts w:hint="eastAsia" w:ascii="宋体" w:hAnsi="宋体"/>
        </w:rPr>
        <w:t>（2）在磋商过程中，磋商小组可以根据采购文件和磋商情况实质性变动采购需求中的技术、服务要求以及合同草案条款，但不得变动采购文件中的其他内容。实质性变动的内容，须经采购人代表确认。</w:t>
      </w:r>
    </w:p>
    <w:p w14:paraId="26578ED7">
      <w:pPr>
        <w:spacing w:before="120" w:line="320" w:lineRule="atLeast"/>
        <w:ind w:firstLine="420" w:firstLineChars="200"/>
        <w:rPr>
          <w:rFonts w:ascii="宋体" w:hAnsi="宋体"/>
        </w:rPr>
      </w:pPr>
      <w:r>
        <w:rPr>
          <w:rFonts w:hint="eastAsia" w:ascii="宋体" w:hAnsi="宋体"/>
        </w:rPr>
        <w:t>对采购文件作出的实质性变动是采购文件的有效组成部分，由磋商小组通过广西政府采购云平台以书面形式同时通知所有参加磋商的供应商。</w:t>
      </w:r>
    </w:p>
    <w:p w14:paraId="080FA22E">
      <w:pPr>
        <w:spacing w:before="120" w:line="320" w:lineRule="atLeast"/>
        <w:ind w:firstLine="420" w:firstLineChars="200"/>
        <w:rPr>
          <w:rFonts w:ascii="宋体" w:hAnsi="宋体"/>
        </w:rPr>
      </w:pPr>
      <w:r>
        <w:rPr>
          <w:rFonts w:hint="eastAsia" w:ascii="宋体" w:hAnsi="宋体"/>
        </w:rPr>
        <w:t>（3）供应商必须按照采购文件的变动情况和磋商小组的要求重新提交响应文件，并在广西政府采购云平台在线编辑或上传PDF格式，使用电子签章后提交至磋商小组。参加磋商的供应商未在规定时间内重新提交响应文件的，视同退出磋商。</w:t>
      </w:r>
    </w:p>
    <w:p w14:paraId="5ACD6A8B">
      <w:pPr>
        <w:spacing w:before="120" w:line="320" w:lineRule="atLeast"/>
        <w:ind w:firstLine="420" w:firstLineChars="200"/>
        <w:rPr>
          <w:rFonts w:ascii="宋体" w:hAnsi="宋体"/>
        </w:rPr>
      </w:pPr>
      <w:r>
        <w:rPr>
          <w:rFonts w:hint="eastAsia" w:ascii="宋体" w:hAnsi="宋体"/>
        </w:rPr>
        <w:t>（4）供应商的法定代表人或其授权代表无须到现场参加磋商，提问及回答/响应均通过广西政府采购云平台进行。磋商过程中使用的电子签章应为供应商上传响应文件的同一签章。</w:t>
      </w:r>
    </w:p>
    <w:p w14:paraId="157D3A4E">
      <w:pPr>
        <w:spacing w:before="120" w:line="320" w:lineRule="atLeast"/>
        <w:ind w:firstLine="420" w:firstLineChars="200"/>
        <w:rPr>
          <w:rFonts w:ascii="宋体" w:hAnsi="宋体"/>
        </w:rPr>
      </w:pPr>
      <w:r>
        <w:rPr>
          <w:rFonts w:hint="eastAsia" w:ascii="宋体" w:hAnsi="宋体"/>
        </w:rPr>
        <w:t>6</w:t>
      </w:r>
      <w:r>
        <w:rPr>
          <w:rFonts w:ascii="宋体" w:hAnsi="宋体"/>
        </w:rPr>
        <w:t>.3.</w:t>
      </w:r>
      <w:r>
        <w:rPr>
          <w:rFonts w:hint="eastAsia" w:ascii="宋体" w:hAnsi="宋体"/>
        </w:rPr>
        <w:t>8最后报价</w:t>
      </w:r>
    </w:p>
    <w:p w14:paraId="003273B8">
      <w:pPr>
        <w:spacing w:before="120" w:line="320" w:lineRule="atLeast"/>
        <w:ind w:firstLine="420" w:firstLineChars="200"/>
        <w:rPr>
          <w:rFonts w:ascii="宋体" w:hAnsi="宋体"/>
        </w:rPr>
      </w:pPr>
      <w:r>
        <w:rPr>
          <w:rFonts w:hint="eastAsia" w:ascii="宋体" w:hAnsi="宋体"/>
        </w:rPr>
        <w:t xml:space="preserve">（1）采购文件能够详细列明采购标的的技术、服务要求的，磋商结束后，磋商小组应当要求所有实质性响应的供应商在规定时间内提交最后报价，提交最后报价的供应商不得少于3家。 </w:t>
      </w:r>
    </w:p>
    <w:p w14:paraId="2A8E01DB">
      <w:pPr>
        <w:spacing w:before="120" w:line="320" w:lineRule="atLeast"/>
        <w:ind w:firstLine="420" w:firstLineChars="200"/>
        <w:rPr>
          <w:rFonts w:ascii="宋体" w:hAnsi="宋体"/>
        </w:rPr>
      </w:pPr>
      <w:r>
        <w:rPr>
          <w:rFonts w:hint="eastAsia" w:ascii="宋体" w:hAnsi="宋体"/>
        </w:rPr>
        <w:t>采购文件不能详细列明采购标的的技术、服务要求，需经磋商由供应商提供最终设计方案或解决方案的，磋商结束后，磋商小组应当按照少数服从多数的原则投票推荐3家以上供应商的设计方案或者解决方案，并要求其在规定时间内提交最后报价。</w:t>
      </w:r>
    </w:p>
    <w:p w14:paraId="24EA0840">
      <w:pPr>
        <w:spacing w:before="120" w:line="320" w:lineRule="atLeast"/>
        <w:ind w:firstLine="420" w:firstLineChars="200"/>
        <w:rPr>
          <w:rFonts w:ascii="宋体" w:hAnsi="宋体"/>
        </w:rPr>
      </w:pPr>
      <w:r>
        <w:rPr>
          <w:rFonts w:hint="eastAsia" w:ascii="宋体" w:hAnsi="宋体"/>
        </w:rPr>
        <w:t>最后报价是供应商响应文件的有效组成部分。</w:t>
      </w:r>
    </w:p>
    <w:p w14:paraId="414B515F">
      <w:pPr>
        <w:spacing w:before="120" w:line="320" w:lineRule="atLeast"/>
        <w:ind w:firstLine="420" w:firstLineChars="200"/>
        <w:rPr>
          <w:rFonts w:ascii="宋体" w:hAnsi="宋体"/>
        </w:rPr>
      </w:pPr>
      <w:r>
        <w:rPr>
          <w:rFonts w:hint="eastAsia" w:ascii="宋体" w:hAnsi="宋体"/>
        </w:rPr>
        <w:t>（2）如符合“市场竞争不充分的科研项目、需要扶持的科技成果转化项目、政府购买服务项目（含政府和社会资本合作项目）的，提交最后报价的供应商可以为2家。</w:t>
      </w:r>
    </w:p>
    <w:p w14:paraId="017D865A">
      <w:pPr>
        <w:spacing w:before="120" w:line="320" w:lineRule="atLeast"/>
        <w:ind w:firstLine="420" w:firstLineChars="200"/>
        <w:rPr>
          <w:rFonts w:ascii="宋体" w:hAnsi="宋体"/>
        </w:rPr>
      </w:pPr>
      <w:r>
        <w:rPr>
          <w:rFonts w:hint="eastAsia" w:ascii="宋体" w:hAnsi="宋体"/>
        </w:rPr>
        <w:t>（3）最后报价要求通过广西政府采购云平台发出，供应商需在广西政府采购云平台设置的时间内报价，最后报价不得超过采购预算金额且具有唯一性，否则否决其响应。</w:t>
      </w:r>
    </w:p>
    <w:p w14:paraId="4797E032">
      <w:pPr>
        <w:spacing w:before="120" w:line="320" w:lineRule="atLeast"/>
        <w:ind w:firstLine="420" w:firstLineChars="200"/>
        <w:rPr>
          <w:rFonts w:ascii="宋体" w:hAnsi="宋体"/>
        </w:rPr>
      </w:pPr>
      <w:r>
        <w:rPr>
          <w:rFonts w:hint="eastAsia" w:ascii="宋体" w:hAnsi="宋体"/>
        </w:rPr>
        <w:t>（4）已提交响应文件的供应商，在提交最后报价之前，可以根据磋商情况退出磋商，退出磋商的供应商的响应文件无效。退出磋商的说明须经签字扫描后以电子邮件方式发送至采购代理机构，并及时通知项目负责人。磋商小组在评审报告中注明退出磋商的供应商名单。采购人、采购代理机构应当退还退出磋商的供应商的磋商保证金。</w:t>
      </w:r>
    </w:p>
    <w:p w14:paraId="2880AC2B">
      <w:pPr>
        <w:spacing w:before="120" w:line="320" w:lineRule="atLeast"/>
        <w:ind w:firstLine="420" w:firstLineChars="200"/>
        <w:rPr>
          <w:rFonts w:ascii="宋体" w:hAnsi="宋体"/>
        </w:rPr>
      </w:pPr>
      <w:r>
        <w:rPr>
          <w:rFonts w:hint="eastAsia" w:ascii="宋体" w:hAnsi="宋体"/>
        </w:rPr>
        <w:t>（5）供应商未在规定时间内提交最后报价的，视同退出磋商。</w:t>
      </w:r>
    </w:p>
    <w:p w14:paraId="6B59AFEE">
      <w:pPr>
        <w:spacing w:before="120" w:line="320" w:lineRule="atLeast"/>
        <w:ind w:firstLine="420" w:firstLineChars="200"/>
        <w:rPr>
          <w:rFonts w:ascii="宋体" w:hAnsi="宋体"/>
        </w:rPr>
      </w:pPr>
      <w:r>
        <w:rPr>
          <w:rFonts w:hint="eastAsia" w:ascii="宋体" w:hAnsi="宋体"/>
        </w:rPr>
        <w:t>（6）最后报价结束后，磋商小组不得再与供应商进行任何形式的商谈。</w:t>
      </w:r>
    </w:p>
    <w:p w14:paraId="6ABF3425">
      <w:pPr>
        <w:spacing w:before="120" w:line="320" w:lineRule="atLeast"/>
        <w:ind w:firstLine="420" w:firstLineChars="200"/>
        <w:rPr>
          <w:rFonts w:ascii="宋体" w:hAnsi="宋体"/>
          <w:szCs w:val="21"/>
        </w:rPr>
      </w:pPr>
      <w:r>
        <w:rPr>
          <w:rFonts w:ascii="宋体" w:hAnsi="宋体"/>
          <w:szCs w:val="21"/>
        </w:rPr>
        <w:t>6.3.</w:t>
      </w:r>
      <w:r>
        <w:rPr>
          <w:rFonts w:hint="eastAsia" w:ascii="宋体" w:hAnsi="宋体"/>
          <w:szCs w:val="21"/>
        </w:rPr>
        <w:t>9</w:t>
      </w:r>
      <w:r>
        <w:rPr>
          <w:rFonts w:ascii="宋体" w:hAnsi="宋体"/>
          <w:szCs w:val="21"/>
        </w:rPr>
        <w:t>串通投标认定</w:t>
      </w:r>
    </w:p>
    <w:p w14:paraId="444064DB">
      <w:pPr>
        <w:spacing w:before="120" w:line="320" w:lineRule="atLeast"/>
        <w:ind w:firstLine="420" w:firstLineChars="200"/>
        <w:rPr>
          <w:rFonts w:ascii="宋体" w:hAnsi="宋体"/>
        </w:rPr>
      </w:pPr>
      <w:r>
        <w:rPr>
          <w:rFonts w:ascii="宋体" w:hAnsi="宋体"/>
          <w:szCs w:val="21"/>
        </w:rPr>
        <w:t>磋商小组须根据</w:t>
      </w:r>
      <w:r>
        <w:rPr>
          <w:rFonts w:hint="eastAsia" w:ascii="宋体" w:hAnsi="宋体"/>
          <w:szCs w:val="21"/>
        </w:rPr>
        <w:t>以下</w:t>
      </w:r>
      <w:r>
        <w:rPr>
          <w:rFonts w:ascii="宋体" w:hAnsi="宋体"/>
          <w:szCs w:val="21"/>
        </w:rPr>
        <w:t>规定</w:t>
      </w:r>
      <w:r>
        <w:rPr>
          <w:rFonts w:hint="eastAsia" w:ascii="宋体" w:hAnsi="宋体"/>
          <w:szCs w:val="21"/>
        </w:rPr>
        <w:t>认定</w:t>
      </w:r>
      <w:r>
        <w:rPr>
          <w:rFonts w:ascii="宋体" w:hAnsi="宋体"/>
          <w:szCs w:val="21"/>
        </w:rPr>
        <w:t>供应商是否有</w:t>
      </w:r>
      <w:r>
        <w:rPr>
          <w:rFonts w:ascii="宋体" w:hAnsi="宋体"/>
          <w:bCs/>
          <w:kern w:val="0"/>
          <w:szCs w:val="21"/>
        </w:rPr>
        <w:t>串通投标的行为</w:t>
      </w:r>
      <w:r>
        <w:rPr>
          <w:rFonts w:ascii="宋体" w:hAnsi="宋体"/>
        </w:rPr>
        <w:t>。</w:t>
      </w:r>
    </w:p>
    <w:p w14:paraId="7569F13C">
      <w:pPr>
        <w:spacing w:before="120" w:line="320" w:lineRule="atLeast"/>
        <w:ind w:firstLine="420" w:firstLineChars="200"/>
        <w:rPr>
          <w:rFonts w:ascii="宋体" w:hAnsi="宋体"/>
          <w:szCs w:val="21"/>
        </w:rPr>
      </w:pPr>
      <w:bookmarkStart w:id="61" w:name="_Hlk19122026"/>
      <w:r>
        <w:rPr>
          <w:rFonts w:hint="eastAsia" w:ascii="宋体" w:hAnsi="宋体"/>
          <w:szCs w:val="21"/>
        </w:rPr>
        <w:t>（1）</w:t>
      </w:r>
      <w:bookmarkEnd w:id="61"/>
      <w:r>
        <w:rPr>
          <w:rFonts w:ascii="宋体" w:hAnsi="宋体"/>
          <w:szCs w:val="21"/>
        </w:rPr>
        <w:t>根据《关于防治政府采购招标中串通投标行为的通知》</w:t>
      </w:r>
      <w:r>
        <w:rPr>
          <w:rFonts w:hint="eastAsia" w:ascii="宋体" w:hAnsi="宋体"/>
          <w:szCs w:val="21"/>
        </w:rPr>
        <w:t>（</w:t>
      </w:r>
      <w:r>
        <w:rPr>
          <w:rFonts w:ascii="宋体" w:hAnsi="宋体"/>
          <w:szCs w:val="21"/>
        </w:rPr>
        <w:t>桂财采</w:t>
      </w:r>
      <w:r>
        <w:rPr>
          <w:rFonts w:hint="eastAsia" w:ascii="宋体" w:hAnsi="宋体"/>
          <w:szCs w:val="21"/>
        </w:rPr>
        <w:t>〔2016〕42号）</w:t>
      </w:r>
      <w:r>
        <w:rPr>
          <w:rFonts w:ascii="宋体" w:hAnsi="宋体"/>
          <w:szCs w:val="21"/>
        </w:rPr>
        <w:t>规定，出现下述情况的，相关供应商的投标作无效投标处理。</w:t>
      </w:r>
    </w:p>
    <w:p w14:paraId="7C58762A">
      <w:pPr>
        <w:spacing w:before="120" w:line="320" w:lineRule="atLeast"/>
        <w:ind w:firstLine="420" w:firstLineChars="200"/>
        <w:rPr>
          <w:rFonts w:ascii="宋体" w:hAnsi="宋体"/>
          <w:szCs w:val="21"/>
        </w:rPr>
      </w:pPr>
      <w:bookmarkStart w:id="62" w:name="_Hlk19122039"/>
      <w:r>
        <w:rPr>
          <w:rFonts w:hint="eastAsia" w:ascii="宋体" w:hAnsi="宋体" w:cs="宋体"/>
          <w:szCs w:val="21"/>
        </w:rPr>
        <w:t>①</w:t>
      </w:r>
      <w:r>
        <w:rPr>
          <w:rFonts w:ascii="宋体" w:hAnsi="宋体"/>
          <w:szCs w:val="21"/>
        </w:rPr>
        <w:t>单位负责人为同一人或者存在直接控股、管理关系，参加同一合同项下政府采购活动的不同供应商。</w:t>
      </w:r>
    </w:p>
    <w:p w14:paraId="68BA34B2">
      <w:pPr>
        <w:spacing w:before="120" w:line="320" w:lineRule="atLeast"/>
        <w:ind w:firstLine="420" w:firstLineChars="200"/>
        <w:rPr>
          <w:rFonts w:ascii="宋体" w:hAnsi="宋体"/>
          <w:szCs w:val="21"/>
        </w:rPr>
      </w:pPr>
      <w:r>
        <w:rPr>
          <w:rFonts w:hint="eastAsia" w:ascii="宋体" w:hAnsi="宋体"/>
          <w:szCs w:val="21"/>
        </w:rPr>
        <w:t>②</w:t>
      </w:r>
      <w:r>
        <w:rPr>
          <w:rFonts w:ascii="宋体" w:hAnsi="宋体"/>
          <w:szCs w:val="21"/>
        </w:rPr>
        <w:t>授权给供应商后参加同一合同项（分标、分包）投标的生产厂商。</w:t>
      </w:r>
    </w:p>
    <w:p w14:paraId="4A849237">
      <w:pPr>
        <w:spacing w:before="120" w:line="320" w:lineRule="atLeast"/>
        <w:ind w:firstLine="420" w:firstLineChars="200"/>
        <w:rPr>
          <w:rFonts w:ascii="宋体" w:hAnsi="宋体"/>
          <w:szCs w:val="21"/>
        </w:rPr>
      </w:pPr>
      <w:r>
        <w:rPr>
          <w:rFonts w:hint="eastAsia" w:ascii="宋体" w:hAnsi="宋体"/>
          <w:szCs w:val="21"/>
        </w:rPr>
        <w:t>③</w:t>
      </w:r>
      <w:r>
        <w:rPr>
          <w:rFonts w:ascii="宋体" w:hAnsi="宋体"/>
          <w:szCs w:val="21"/>
        </w:rPr>
        <w:t>视为或被认定为串通投标的相关供应商。</w:t>
      </w:r>
    </w:p>
    <w:bookmarkEnd w:id="62"/>
    <w:p w14:paraId="5AEA23FE">
      <w:pPr>
        <w:spacing w:before="120" w:line="320" w:lineRule="atLeast"/>
        <w:ind w:firstLine="420" w:firstLineChars="200"/>
        <w:rPr>
          <w:rFonts w:ascii="宋体" w:hAnsi="宋体"/>
          <w:szCs w:val="21"/>
        </w:rPr>
      </w:pPr>
      <w:bookmarkStart w:id="63" w:name="_Hlk19122058"/>
      <w:r>
        <w:rPr>
          <w:rFonts w:hint="eastAsia" w:ascii="宋体" w:hAnsi="宋体"/>
          <w:szCs w:val="21"/>
        </w:rPr>
        <w:t>（2）</w:t>
      </w:r>
      <w:bookmarkEnd w:id="63"/>
      <w:r>
        <w:rPr>
          <w:rFonts w:ascii="宋体" w:hAnsi="宋体"/>
          <w:szCs w:val="21"/>
        </w:rPr>
        <w:t>根据《关于防治政府采购招标中串通投标行为的通知》</w:t>
      </w:r>
      <w:r>
        <w:rPr>
          <w:rFonts w:hint="eastAsia" w:ascii="宋体" w:hAnsi="宋体"/>
          <w:szCs w:val="21"/>
        </w:rPr>
        <w:t>（</w:t>
      </w:r>
      <w:r>
        <w:rPr>
          <w:rFonts w:ascii="宋体" w:hAnsi="宋体"/>
          <w:szCs w:val="21"/>
        </w:rPr>
        <w:t>桂财采</w:t>
      </w:r>
      <w:r>
        <w:rPr>
          <w:rFonts w:hint="eastAsia" w:ascii="宋体" w:hAnsi="宋体"/>
          <w:szCs w:val="21"/>
        </w:rPr>
        <w:t>〔2016〕42号）</w:t>
      </w:r>
      <w:r>
        <w:rPr>
          <w:rFonts w:ascii="宋体" w:hAnsi="宋体"/>
          <w:szCs w:val="21"/>
        </w:rPr>
        <w:t>规定，有下列情形之一的视为供应商相互串通投标，响应文件将被视为无效。</w:t>
      </w:r>
    </w:p>
    <w:p w14:paraId="6373A335">
      <w:pPr>
        <w:spacing w:before="120" w:line="320" w:lineRule="atLeast"/>
        <w:ind w:firstLine="420" w:firstLineChars="200"/>
        <w:rPr>
          <w:rFonts w:ascii="宋体" w:hAnsi="宋体"/>
          <w:szCs w:val="21"/>
        </w:rPr>
      </w:pPr>
      <w:bookmarkStart w:id="64" w:name="_Hlk19122048"/>
      <w:r>
        <w:rPr>
          <w:rFonts w:hint="eastAsia" w:ascii="宋体" w:hAnsi="宋体" w:cs="宋体"/>
          <w:szCs w:val="21"/>
        </w:rPr>
        <w:t>①</w:t>
      </w:r>
      <w:r>
        <w:rPr>
          <w:rFonts w:ascii="宋体" w:hAnsi="宋体"/>
          <w:szCs w:val="21"/>
        </w:rPr>
        <w:t>不同供应商的响应文件由同一单位或者个人编制；或不同供应商报名的IP地址一致的；</w:t>
      </w:r>
    </w:p>
    <w:p w14:paraId="66492395">
      <w:pPr>
        <w:spacing w:before="120" w:line="320" w:lineRule="atLeast"/>
        <w:ind w:firstLine="420" w:firstLineChars="200"/>
        <w:rPr>
          <w:rFonts w:ascii="宋体" w:hAnsi="宋体"/>
          <w:szCs w:val="21"/>
        </w:rPr>
      </w:pPr>
      <w:r>
        <w:rPr>
          <w:rFonts w:hint="eastAsia" w:ascii="宋体" w:hAnsi="宋体"/>
          <w:szCs w:val="21"/>
        </w:rPr>
        <w:t>②</w:t>
      </w:r>
      <w:r>
        <w:rPr>
          <w:rFonts w:ascii="宋体" w:hAnsi="宋体"/>
          <w:szCs w:val="21"/>
        </w:rPr>
        <w:t>不同供应商委托同一单位或者个人办理投标事宜；</w:t>
      </w:r>
    </w:p>
    <w:p w14:paraId="1EE70A96">
      <w:pPr>
        <w:spacing w:before="120" w:line="320" w:lineRule="atLeast"/>
        <w:ind w:firstLine="420" w:firstLineChars="200"/>
        <w:rPr>
          <w:rFonts w:ascii="宋体" w:hAnsi="宋体"/>
          <w:szCs w:val="21"/>
        </w:rPr>
      </w:pPr>
      <w:r>
        <w:rPr>
          <w:rFonts w:hint="eastAsia" w:ascii="宋体" w:hAnsi="宋体"/>
          <w:szCs w:val="21"/>
        </w:rPr>
        <w:t>③</w:t>
      </w:r>
      <w:r>
        <w:rPr>
          <w:rFonts w:ascii="宋体" w:hAnsi="宋体"/>
          <w:szCs w:val="21"/>
        </w:rPr>
        <w:t>不同的供应商的响应文件载明的项目管理员为同一个人；</w:t>
      </w:r>
    </w:p>
    <w:p w14:paraId="208DCED9">
      <w:pPr>
        <w:spacing w:before="120" w:line="320" w:lineRule="atLeast"/>
        <w:ind w:firstLine="420" w:firstLineChars="200"/>
        <w:rPr>
          <w:rFonts w:ascii="宋体" w:hAnsi="宋体"/>
          <w:szCs w:val="21"/>
        </w:rPr>
      </w:pPr>
      <w:r>
        <w:rPr>
          <w:rFonts w:hint="eastAsia" w:ascii="宋体" w:hAnsi="宋体"/>
          <w:szCs w:val="21"/>
        </w:rPr>
        <w:t>④</w:t>
      </w:r>
      <w:r>
        <w:rPr>
          <w:rFonts w:ascii="宋体" w:hAnsi="宋体"/>
          <w:szCs w:val="21"/>
        </w:rPr>
        <w:t>不同供应商的响应文件异常一致或投标报价呈规律性差异；</w:t>
      </w:r>
    </w:p>
    <w:p w14:paraId="7B4510B4">
      <w:pPr>
        <w:spacing w:before="120" w:line="320" w:lineRule="atLeast"/>
        <w:ind w:firstLine="420" w:firstLineChars="200"/>
        <w:rPr>
          <w:rFonts w:ascii="宋体" w:hAnsi="宋体"/>
          <w:szCs w:val="21"/>
        </w:rPr>
      </w:pPr>
      <w:r>
        <w:rPr>
          <w:rFonts w:hint="eastAsia" w:ascii="宋体" w:hAnsi="宋体"/>
          <w:szCs w:val="21"/>
        </w:rPr>
        <w:t>⑤</w:t>
      </w:r>
      <w:r>
        <w:rPr>
          <w:rFonts w:ascii="宋体" w:hAnsi="宋体"/>
          <w:szCs w:val="21"/>
        </w:rPr>
        <w:t>不同供应商的响应文件相互混装；</w:t>
      </w:r>
    </w:p>
    <w:p w14:paraId="239EBA3C">
      <w:pPr>
        <w:spacing w:before="120" w:line="320" w:lineRule="atLeast"/>
        <w:ind w:firstLine="420" w:firstLineChars="200"/>
        <w:rPr>
          <w:rFonts w:ascii="宋体" w:hAnsi="宋体"/>
          <w:szCs w:val="21"/>
        </w:rPr>
      </w:pPr>
      <w:r>
        <w:rPr>
          <w:rFonts w:hint="eastAsia" w:ascii="宋体" w:hAnsi="宋体"/>
          <w:szCs w:val="21"/>
        </w:rPr>
        <w:t>⑥</w:t>
      </w:r>
      <w:r>
        <w:rPr>
          <w:rFonts w:ascii="宋体" w:hAnsi="宋体"/>
          <w:szCs w:val="21"/>
        </w:rPr>
        <w:t>不同供应商的保证金从同一单位或者个人账户转出。</w:t>
      </w:r>
    </w:p>
    <w:bookmarkEnd w:id="64"/>
    <w:p w14:paraId="1B5B588E">
      <w:pPr>
        <w:spacing w:before="120" w:line="320" w:lineRule="atLeast"/>
        <w:ind w:firstLine="420" w:firstLineChars="200"/>
        <w:rPr>
          <w:rFonts w:ascii="宋体" w:hAnsi="宋体"/>
          <w:szCs w:val="21"/>
        </w:rPr>
      </w:pPr>
      <w:bookmarkStart w:id="65" w:name="_Hlk19122102"/>
      <w:r>
        <w:rPr>
          <w:rFonts w:hint="eastAsia" w:ascii="宋体" w:hAnsi="宋体"/>
          <w:szCs w:val="21"/>
        </w:rPr>
        <w:t>（3）</w:t>
      </w:r>
      <w:bookmarkEnd w:id="65"/>
      <w:r>
        <w:rPr>
          <w:rFonts w:ascii="宋体" w:hAnsi="宋体"/>
          <w:szCs w:val="21"/>
        </w:rPr>
        <w:t>根据《关于防治政府采购招标中串通投标行为的通知》</w:t>
      </w:r>
      <w:r>
        <w:rPr>
          <w:rFonts w:hint="eastAsia" w:ascii="宋体" w:hAnsi="宋体"/>
          <w:szCs w:val="21"/>
        </w:rPr>
        <w:t>（</w:t>
      </w:r>
      <w:r>
        <w:rPr>
          <w:rFonts w:ascii="宋体" w:hAnsi="宋体"/>
          <w:szCs w:val="21"/>
        </w:rPr>
        <w:t>桂财采</w:t>
      </w:r>
      <w:r>
        <w:rPr>
          <w:rFonts w:hint="eastAsia" w:ascii="宋体" w:hAnsi="宋体"/>
          <w:szCs w:val="21"/>
        </w:rPr>
        <w:t>〔2016〕42号）</w:t>
      </w:r>
      <w:r>
        <w:rPr>
          <w:rFonts w:ascii="宋体" w:hAnsi="宋体"/>
          <w:szCs w:val="21"/>
        </w:rPr>
        <w:t>规定，供应商有下列情形之一的，属于恶意串通行为，响应文件将被视为无效。</w:t>
      </w:r>
    </w:p>
    <w:p w14:paraId="1A610160">
      <w:pPr>
        <w:spacing w:before="120" w:line="320" w:lineRule="atLeast"/>
        <w:ind w:firstLine="420" w:firstLineChars="200"/>
        <w:rPr>
          <w:rFonts w:ascii="宋体" w:hAnsi="宋体"/>
          <w:szCs w:val="21"/>
        </w:rPr>
      </w:pPr>
      <w:bookmarkStart w:id="66" w:name="_Hlk19122095"/>
      <w:r>
        <w:rPr>
          <w:rFonts w:hint="eastAsia" w:ascii="宋体" w:hAnsi="宋体"/>
          <w:szCs w:val="21"/>
        </w:rPr>
        <w:t>①</w:t>
      </w:r>
      <w:r>
        <w:rPr>
          <w:rFonts w:ascii="宋体" w:hAnsi="宋体"/>
          <w:szCs w:val="21"/>
        </w:rPr>
        <w:t>供应商直接或者间接从采购人或者采购代理机构处获得其他供应商的相关信息并修改其响应文件或者响应文件；</w:t>
      </w:r>
    </w:p>
    <w:p w14:paraId="167E85C9">
      <w:pPr>
        <w:spacing w:before="120" w:line="320" w:lineRule="atLeast"/>
        <w:ind w:firstLine="420" w:firstLineChars="200"/>
        <w:rPr>
          <w:rFonts w:ascii="宋体" w:hAnsi="宋体"/>
          <w:szCs w:val="21"/>
        </w:rPr>
      </w:pPr>
      <w:r>
        <w:rPr>
          <w:rFonts w:hint="eastAsia" w:ascii="宋体" w:hAnsi="宋体"/>
          <w:szCs w:val="21"/>
        </w:rPr>
        <w:t>②</w:t>
      </w:r>
      <w:r>
        <w:rPr>
          <w:rFonts w:ascii="宋体" w:hAnsi="宋体"/>
          <w:szCs w:val="21"/>
        </w:rPr>
        <w:t>供应商按照采购人或者采购代理机构的授意撤换、修改响应文件或者响应文件</w:t>
      </w:r>
      <w:r>
        <w:rPr>
          <w:rFonts w:hint="eastAsia" w:ascii="宋体" w:hAnsi="宋体"/>
          <w:szCs w:val="21"/>
        </w:rPr>
        <w:t>;</w:t>
      </w:r>
    </w:p>
    <w:p w14:paraId="0EDF358E">
      <w:pPr>
        <w:spacing w:before="120" w:line="320" w:lineRule="atLeast"/>
        <w:ind w:firstLine="420" w:firstLineChars="200"/>
        <w:rPr>
          <w:rFonts w:ascii="宋体" w:hAnsi="宋体"/>
          <w:szCs w:val="21"/>
        </w:rPr>
      </w:pPr>
      <w:r>
        <w:rPr>
          <w:rFonts w:hint="eastAsia" w:ascii="宋体" w:hAnsi="宋体"/>
          <w:szCs w:val="21"/>
        </w:rPr>
        <w:t>③</w:t>
      </w:r>
      <w:r>
        <w:rPr>
          <w:rFonts w:ascii="宋体" w:hAnsi="宋体"/>
          <w:szCs w:val="21"/>
        </w:rPr>
        <w:t>供应商之间协商报价、技术方案等响应文件或者响应文件的实质性内容；</w:t>
      </w:r>
    </w:p>
    <w:p w14:paraId="241651A5">
      <w:pPr>
        <w:spacing w:before="120" w:line="320" w:lineRule="atLeast"/>
        <w:ind w:firstLine="420" w:firstLineChars="200"/>
        <w:rPr>
          <w:rFonts w:ascii="宋体" w:hAnsi="宋体"/>
          <w:szCs w:val="21"/>
        </w:rPr>
      </w:pPr>
      <w:r>
        <w:rPr>
          <w:rFonts w:hint="eastAsia" w:ascii="宋体" w:hAnsi="宋体"/>
          <w:szCs w:val="21"/>
        </w:rPr>
        <w:t>④</w:t>
      </w:r>
      <w:r>
        <w:rPr>
          <w:rFonts w:ascii="宋体" w:hAnsi="宋体"/>
          <w:szCs w:val="21"/>
        </w:rPr>
        <w:t>属于同一集团、协会、商会等组织成员的供应商按照该组织要求协同参加政府采购活动；</w:t>
      </w:r>
    </w:p>
    <w:p w14:paraId="0746DE3E">
      <w:pPr>
        <w:spacing w:before="120" w:line="320" w:lineRule="atLeast"/>
        <w:ind w:firstLine="420" w:firstLineChars="200"/>
        <w:rPr>
          <w:rFonts w:ascii="宋体" w:hAnsi="宋体"/>
          <w:szCs w:val="21"/>
        </w:rPr>
      </w:pPr>
      <w:r>
        <w:rPr>
          <w:rFonts w:hint="eastAsia" w:ascii="宋体" w:hAnsi="宋体"/>
          <w:szCs w:val="21"/>
        </w:rPr>
        <w:t>⑤</w:t>
      </w:r>
      <w:r>
        <w:rPr>
          <w:rFonts w:ascii="宋体" w:hAnsi="宋体"/>
          <w:szCs w:val="21"/>
        </w:rPr>
        <w:t>供应商之间事先约定一致抬高或者压低投标报价，或者在招标项目中事先约定轮流以高价位或者低价位中标，或者事先约定由某一特定供应商中标，然后再参加投标；</w:t>
      </w:r>
    </w:p>
    <w:p w14:paraId="44C8A5F3">
      <w:pPr>
        <w:spacing w:before="120" w:line="320" w:lineRule="atLeast"/>
        <w:ind w:firstLine="420" w:firstLineChars="200"/>
        <w:rPr>
          <w:rFonts w:ascii="宋体" w:hAnsi="宋体"/>
          <w:szCs w:val="21"/>
        </w:rPr>
      </w:pPr>
      <w:r>
        <w:rPr>
          <w:rFonts w:hint="eastAsia" w:ascii="宋体" w:hAnsi="宋体"/>
          <w:szCs w:val="21"/>
        </w:rPr>
        <w:t>⑥</w:t>
      </w:r>
      <w:r>
        <w:rPr>
          <w:rFonts w:ascii="宋体" w:hAnsi="宋体"/>
          <w:szCs w:val="21"/>
        </w:rPr>
        <w:t>供应商之间商定部分供应商放弃参加政府采购活动或者放弃中标；</w:t>
      </w:r>
    </w:p>
    <w:p w14:paraId="6093224F">
      <w:pPr>
        <w:spacing w:before="120" w:line="320" w:lineRule="atLeast"/>
        <w:ind w:firstLine="420" w:firstLineChars="200"/>
        <w:rPr>
          <w:rFonts w:ascii="宋体" w:hAnsi="宋体"/>
          <w:szCs w:val="21"/>
        </w:rPr>
      </w:pPr>
      <w:r>
        <w:rPr>
          <w:rFonts w:hint="eastAsia" w:ascii="宋体" w:hAnsi="宋体"/>
          <w:szCs w:val="21"/>
        </w:rPr>
        <w:t>⑦</w:t>
      </w:r>
      <w:r>
        <w:rPr>
          <w:rFonts w:ascii="宋体" w:hAnsi="宋体"/>
          <w:szCs w:val="21"/>
        </w:rPr>
        <w:t>供应商与采购人或者采购代理机构之间、供应商相互之间，为谋求特定供应商中标或者排斥其他供应商的其他串通行为。</w:t>
      </w:r>
    </w:p>
    <w:bookmarkEnd w:id="66"/>
    <w:p w14:paraId="07981209">
      <w:pPr>
        <w:spacing w:before="120" w:line="320" w:lineRule="atLeast"/>
        <w:ind w:firstLine="420" w:firstLineChars="200"/>
        <w:rPr>
          <w:rFonts w:ascii="宋体" w:hAnsi="宋体"/>
          <w:szCs w:val="21"/>
        </w:rPr>
      </w:pPr>
      <w:r>
        <w:rPr>
          <w:rFonts w:ascii="宋体" w:hAnsi="宋体"/>
          <w:szCs w:val="21"/>
        </w:rPr>
        <w:t>6.3.</w:t>
      </w:r>
      <w:r>
        <w:rPr>
          <w:rFonts w:hint="eastAsia" w:ascii="宋体" w:hAnsi="宋体"/>
          <w:szCs w:val="21"/>
        </w:rPr>
        <w:t>10</w:t>
      </w:r>
      <w:r>
        <w:rPr>
          <w:rFonts w:ascii="宋体" w:hAnsi="宋体"/>
          <w:szCs w:val="21"/>
        </w:rPr>
        <w:t>响应</w:t>
      </w:r>
      <w:r>
        <w:rPr>
          <w:rFonts w:hint="eastAsia" w:ascii="宋体" w:hAnsi="宋体"/>
          <w:szCs w:val="21"/>
        </w:rPr>
        <w:t>无效</w:t>
      </w:r>
      <w:r>
        <w:rPr>
          <w:rFonts w:ascii="宋体" w:hAnsi="宋体"/>
          <w:szCs w:val="21"/>
        </w:rPr>
        <w:t>认定</w:t>
      </w:r>
    </w:p>
    <w:p w14:paraId="6FF894DF">
      <w:pPr>
        <w:spacing w:before="120" w:line="320" w:lineRule="atLeast"/>
        <w:ind w:firstLine="420" w:firstLineChars="200"/>
        <w:rPr>
          <w:rFonts w:ascii="宋体" w:hAnsi="宋体"/>
          <w:szCs w:val="21"/>
        </w:rPr>
      </w:pPr>
      <w:r>
        <w:rPr>
          <w:rFonts w:hint="eastAsia" w:ascii="宋体" w:hAnsi="宋体"/>
          <w:szCs w:val="21"/>
        </w:rPr>
        <w:t>（</w:t>
      </w:r>
      <w:r>
        <w:rPr>
          <w:rFonts w:ascii="宋体" w:hAnsi="宋体"/>
          <w:szCs w:val="21"/>
        </w:rPr>
        <w:t>1）在</w:t>
      </w:r>
      <w:r>
        <w:rPr>
          <w:rFonts w:hint="eastAsia" w:ascii="宋体" w:hAnsi="宋体"/>
          <w:szCs w:val="21"/>
        </w:rPr>
        <w:t>评审过程中</w:t>
      </w:r>
      <w:r>
        <w:rPr>
          <w:rFonts w:ascii="宋体" w:hAnsi="宋体"/>
          <w:szCs w:val="21"/>
        </w:rPr>
        <w:t>如发现下列情形之一的，响应文件将被视为无效：</w:t>
      </w:r>
    </w:p>
    <w:p w14:paraId="2E74124B">
      <w:pPr>
        <w:spacing w:before="120" w:line="320" w:lineRule="atLeast"/>
        <w:ind w:firstLine="420" w:firstLineChars="200"/>
        <w:rPr>
          <w:rFonts w:ascii="宋体" w:hAnsi="宋体"/>
        </w:rPr>
      </w:pPr>
      <w:r>
        <w:rPr>
          <w:rFonts w:hint="eastAsia" w:ascii="宋体" w:hAnsi="宋体"/>
          <w:szCs w:val="21"/>
        </w:rPr>
        <w:t>①</w:t>
      </w:r>
      <w:r>
        <w:rPr>
          <w:rFonts w:ascii="宋体" w:hAnsi="宋体"/>
          <w:szCs w:val="21"/>
        </w:rPr>
        <w:t>响应文件</w:t>
      </w:r>
      <w:r>
        <w:rPr>
          <w:rFonts w:hint="eastAsia" w:ascii="宋体" w:hAnsi="宋体"/>
          <w:szCs w:val="21"/>
        </w:rPr>
        <w:t>存在法律、法规及监督部门有关文件规定的无效情形</w:t>
      </w:r>
      <w:r>
        <w:rPr>
          <w:rFonts w:ascii="宋体" w:hAnsi="宋体"/>
          <w:szCs w:val="21"/>
        </w:rPr>
        <w:t>。</w:t>
      </w:r>
    </w:p>
    <w:p w14:paraId="35EE94A6">
      <w:pPr>
        <w:spacing w:before="120" w:line="320" w:lineRule="atLeast"/>
        <w:ind w:firstLine="420" w:firstLineChars="200"/>
        <w:rPr>
          <w:rFonts w:ascii="宋体" w:hAnsi="宋体"/>
          <w:szCs w:val="21"/>
        </w:rPr>
      </w:pPr>
      <w:r>
        <w:rPr>
          <w:rFonts w:hint="eastAsia" w:ascii="宋体" w:hAnsi="宋体"/>
          <w:szCs w:val="21"/>
        </w:rPr>
        <w:t>②</w:t>
      </w:r>
      <w:r>
        <w:rPr>
          <w:rFonts w:ascii="宋体" w:hAnsi="宋体"/>
          <w:szCs w:val="21"/>
        </w:rPr>
        <w:t>响应文件</w:t>
      </w:r>
      <w:r>
        <w:rPr>
          <w:rFonts w:hint="eastAsia" w:ascii="宋体" w:hAnsi="宋体"/>
          <w:szCs w:val="21"/>
        </w:rPr>
        <w:t>存在采购文件规定的无效情形。</w:t>
      </w:r>
    </w:p>
    <w:p w14:paraId="1CC97022">
      <w:pPr>
        <w:spacing w:before="120" w:line="320" w:lineRule="atLeast"/>
        <w:ind w:firstLine="420" w:firstLineChars="200"/>
        <w:rPr>
          <w:rFonts w:ascii="宋体" w:hAnsi="宋体"/>
          <w:szCs w:val="21"/>
        </w:rPr>
      </w:pPr>
      <w:bookmarkStart w:id="67" w:name="_Hlk19113313"/>
      <w:r>
        <w:rPr>
          <w:rFonts w:hint="eastAsia" w:ascii="宋体" w:hAnsi="宋体"/>
          <w:szCs w:val="21"/>
        </w:rPr>
        <w:t>（2）根据</w:t>
      </w:r>
      <w:r>
        <w:rPr>
          <w:rFonts w:ascii="宋体" w:hAnsi="宋体"/>
          <w:szCs w:val="21"/>
        </w:rPr>
        <w:t>财库</w:t>
      </w:r>
      <w:r>
        <w:rPr>
          <w:rFonts w:hint="eastAsia" w:ascii="宋体" w:hAnsi="宋体"/>
          <w:szCs w:val="21"/>
        </w:rPr>
        <w:t>《</w:t>
      </w:r>
      <w:r>
        <w:rPr>
          <w:rFonts w:ascii="宋体" w:hAnsi="宋体"/>
          <w:szCs w:val="21"/>
        </w:rPr>
        <w:t>关于促进政府采购公平竞争优化营商环境的通知</w:t>
      </w:r>
      <w:r>
        <w:rPr>
          <w:rFonts w:hint="eastAsia" w:ascii="宋体" w:hAnsi="宋体"/>
          <w:szCs w:val="21"/>
        </w:rPr>
        <w:t>》（</w:t>
      </w:r>
      <w:r>
        <w:rPr>
          <w:rFonts w:ascii="宋体" w:hAnsi="宋体"/>
          <w:szCs w:val="21"/>
        </w:rPr>
        <w:t>〔2019〕38号</w:t>
      </w:r>
      <w:r>
        <w:rPr>
          <w:rFonts w:hint="eastAsia" w:ascii="宋体" w:hAnsi="宋体"/>
          <w:szCs w:val="21"/>
        </w:rPr>
        <w:t>）以及《广西壮族自治区财政厅转发财政部关于促进政府采购公平竞争优化营商环境的通知》（桂财采〔2019〕41号）规定，磋商小组不得因装订、纸张、文件排序等非实质性的格式、形式问题认定投标无效或否决投标，从而限制和影响供应商投标（响应）。</w:t>
      </w:r>
    </w:p>
    <w:bookmarkEnd w:id="67"/>
    <w:p w14:paraId="76DF9B4B">
      <w:pPr>
        <w:spacing w:before="120" w:line="320" w:lineRule="atLeast"/>
        <w:ind w:firstLine="420" w:firstLineChars="200"/>
        <w:rPr>
          <w:rFonts w:ascii="宋体" w:hAnsi="宋体"/>
          <w:szCs w:val="21"/>
        </w:rPr>
      </w:pPr>
      <w:bookmarkStart w:id="68" w:name="_Hlk19113363"/>
      <w:r>
        <w:rPr>
          <w:rFonts w:ascii="宋体" w:hAnsi="宋体"/>
          <w:szCs w:val="21"/>
        </w:rPr>
        <w:t>6.3.1</w:t>
      </w:r>
      <w:r>
        <w:rPr>
          <w:rFonts w:hint="eastAsia" w:ascii="宋体" w:hAnsi="宋体"/>
          <w:szCs w:val="21"/>
        </w:rPr>
        <w:t>1</w:t>
      </w:r>
      <w:r>
        <w:rPr>
          <w:rFonts w:ascii="宋体" w:hAnsi="宋体"/>
          <w:szCs w:val="21"/>
        </w:rPr>
        <w:t>比较与评价</w:t>
      </w:r>
    </w:p>
    <w:p w14:paraId="7B558F5E">
      <w:pPr>
        <w:spacing w:before="120" w:line="320" w:lineRule="atLeast"/>
        <w:ind w:firstLine="420" w:firstLineChars="200"/>
        <w:rPr>
          <w:rFonts w:ascii="宋体" w:hAnsi="宋体"/>
          <w:szCs w:val="21"/>
        </w:rPr>
      </w:pPr>
      <w:r>
        <w:rPr>
          <w:rFonts w:hint="eastAsia" w:ascii="宋体" w:hAnsi="宋体"/>
          <w:szCs w:val="21"/>
        </w:rPr>
        <w:t>（1）磋商小组</w:t>
      </w:r>
      <w:r>
        <w:rPr>
          <w:rFonts w:ascii="宋体" w:hAnsi="宋体"/>
          <w:szCs w:val="21"/>
        </w:rPr>
        <w:t>按采购文件中规定的评审方法和标准，</w:t>
      </w:r>
      <w:r>
        <w:rPr>
          <w:rFonts w:hint="eastAsia" w:ascii="宋体" w:hAnsi="宋体"/>
          <w:szCs w:val="21"/>
        </w:rPr>
        <w:t>对提交最后报价的供应商的响应文件和最后报价进行综合评分。</w:t>
      </w:r>
    </w:p>
    <w:p w14:paraId="1C6A048F">
      <w:pPr>
        <w:spacing w:before="120" w:line="320" w:lineRule="atLeast"/>
        <w:ind w:firstLine="420" w:firstLineChars="200"/>
        <w:rPr>
          <w:rFonts w:ascii="宋体" w:hAnsi="宋体"/>
          <w:szCs w:val="21"/>
        </w:rPr>
      </w:pPr>
      <w:r>
        <w:rPr>
          <w:rFonts w:hint="eastAsia" w:ascii="宋体" w:hAnsi="宋体"/>
          <w:szCs w:val="21"/>
        </w:rPr>
        <w:t>（2）</w:t>
      </w:r>
      <w:r>
        <w:rPr>
          <w:rFonts w:ascii="宋体" w:hAnsi="宋体"/>
          <w:szCs w:val="21"/>
        </w:rPr>
        <w:t>磋商小组各成员独立对每个有效供应商的响应文件进行评价</w:t>
      </w:r>
      <w:r>
        <w:rPr>
          <w:rFonts w:hint="eastAsia" w:ascii="宋体" w:hAnsi="宋体"/>
          <w:szCs w:val="21"/>
        </w:rPr>
        <w:t>、打分。评价打分</w:t>
      </w:r>
      <w:r>
        <w:rPr>
          <w:rFonts w:ascii="宋体" w:hAnsi="宋体"/>
          <w:szCs w:val="21"/>
        </w:rPr>
        <w:t>有误的应及时进行修正。</w:t>
      </w:r>
      <w:r>
        <w:rPr>
          <w:rFonts w:hint="eastAsia" w:ascii="宋体" w:hAnsi="宋体"/>
          <w:szCs w:val="21"/>
        </w:rPr>
        <w:t>评分</w:t>
      </w:r>
      <w:r>
        <w:rPr>
          <w:rFonts w:ascii="宋体" w:hAnsi="宋体"/>
          <w:szCs w:val="21"/>
        </w:rPr>
        <w:t>标准如有客观分定义，磋商小组所有成员的客观分</w:t>
      </w:r>
      <w:r>
        <w:rPr>
          <w:rFonts w:hint="eastAsia" w:ascii="宋体" w:hAnsi="宋体"/>
          <w:szCs w:val="21"/>
        </w:rPr>
        <w:t>评分分值</w:t>
      </w:r>
      <w:r>
        <w:rPr>
          <w:rFonts w:ascii="宋体" w:hAnsi="宋体"/>
          <w:szCs w:val="21"/>
        </w:rPr>
        <w:t>应当一致。</w:t>
      </w:r>
    </w:p>
    <w:p w14:paraId="2A3D9BB8">
      <w:pPr>
        <w:spacing w:before="120" w:line="320" w:lineRule="atLeast"/>
        <w:ind w:firstLine="420" w:firstLineChars="200"/>
        <w:rPr>
          <w:rFonts w:ascii="宋体" w:hAnsi="宋体"/>
          <w:szCs w:val="21"/>
        </w:rPr>
      </w:pPr>
      <w:r>
        <w:rPr>
          <w:rFonts w:hint="eastAsia" w:ascii="宋体" w:hAnsi="宋体"/>
          <w:szCs w:val="21"/>
        </w:rPr>
        <w:t>（3）磋商小组按综合评分由高到低的排列顺序推荐</w:t>
      </w:r>
      <w:r>
        <w:rPr>
          <w:rFonts w:ascii="宋体" w:hAnsi="宋体"/>
          <w:szCs w:val="21"/>
        </w:rPr>
        <w:t>3</w:t>
      </w:r>
      <w:r>
        <w:rPr>
          <w:rFonts w:hint="eastAsia" w:ascii="宋体" w:hAnsi="宋体"/>
          <w:szCs w:val="21"/>
        </w:rPr>
        <w:t>名以上成交候选供应商，排名第一的为第一成交候选供应商。</w:t>
      </w:r>
      <w:r>
        <w:rPr>
          <w:rFonts w:ascii="宋体" w:hAnsi="宋体"/>
          <w:szCs w:val="21"/>
        </w:rPr>
        <w:t>若</w:t>
      </w:r>
      <w:r>
        <w:rPr>
          <w:rFonts w:hint="eastAsia" w:ascii="宋体" w:hAnsi="宋体"/>
          <w:szCs w:val="21"/>
        </w:rPr>
        <w:t>成交</w:t>
      </w:r>
      <w:r>
        <w:rPr>
          <w:rFonts w:ascii="宋体" w:hAnsi="宋体"/>
          <w:szCs w:val="21"/>
        </w:rPr>
        <w:t>候选人综合</w:t>
      </w:r>
      <w:r>
        <w:rPr>
          <w:rFonts w:hint="eastAsia" w:ascii="宋体" w:hAnsi="宋体"/>
          <w:szCs w:val="21"/>
        </w:rPr>
        <w:t>评</w:t>
      </w:r>
      <w:r>
        <w:rPr>
          <w:rFonts w:ascii="宋体" w:hAnsi="宋体"/>
          <w:szCs w:val="21"/>
        </w:rPr>
        <w:t>分相同的，按</w:t>
      </w:r>
      <w:r>
        <w:rPr>
          <w:rFonts w:hint="eastAsia" w:ascii="宋体" w:hAnsi="宋体"/>
          <w:szCs w:val="21"/>
        </w:rPr>
        <w:t>最后</w:t>
      </w:r>
      <w:r>
        <w:rPr>
          <w:rFonts w:ascii="宋体" w:hAnsi="宋体"/>
          <w:szCs w:val="21"/>
        </w:rPr>
        <w:t>报价由低到高顺序排列；综合</w:t>
      </w:r>
      <w:r>
        <w:rPr>
          <w:rFonts w:hint="eastAsia" w:ascii="宋体" w:hAnsi="宋体"/>
          <w:szCs w:val="21"/>
        </w:rPr>
        <w:t>评</w:t>
      </w:r>
      <w:r>
        <w:rPr>
          <w:rFonts w:ascii="宋体" w:hAnsi="宋体"/>
          <w:szCs w:val="21"/>
        </w:rPr>
        <w:t>分且</w:t>
      </w:r>
      <w:r>
        <w:rPr>
          <w:rFonts w:hint="eastAsia" w:ascii="宋体" w:hAnsi="宋体"/>
          <w:szCs w:val="21"/>
        </w:rPr>
        <w:t>最后</w:t>
      </w:r>
      <w:r>
        <w:rPr>
          <w:rFonts w:ascii="宋体" w:hAnsi="宋体"/>
          <w:szCs w:val="21"/>
        </w:rPr>
        <w:t>报价相同的</w:t>
      </w:r>
      <w:r>
        <w:rPr>
          <w:rFonts w:ascii="宋体" w:hAnsi="宋体"/>
        </w:rPr>
        <w:t>并列</w:t>
      </w:r>
      <w:r>
        <w:rPr>
          <w:rFonts w:ascii="宋体" w:hAnsi="宋体"/>
          <w:szCs w:val="21"/>
        </w:rPr>
        <w:t>；</w:t>
      </w:r>
      <w:r>
        <w:rPr>
          <w:rFonts w:hint="eastAsia" w:ascii="宋体" w:hAnsi="宋体"/>
          <w:szCs w:val="21"/>
        </w:rPr>
        <w:t>成交</w:t>
      </w:r>
      <w:r>
        <w:rPr>
          <w:rFonts w:ascii="宋体" w:hAnsi="宋体"/>
          <w:szCs w:val="21"/>
        </w:rPr>
        <w:t>候选人并列的，按技术部分</w:t>
      </w:r>
      <w:r>
        <w:rPr>
          <w:rFonts w:hint="eastAsia" w:ascii="宋体" w:hAnsi="宋体"/>
          <w:szCs w:val="21"/>
        </w:rPr>
        <w:t>评</w:t>
      </w:r>
      <w:r>
        <w:rPr>
          <w:rFonts w:ascii="宋体" w:hAnsi="宋体"/>
          <w:szCs w:val="21"/>
        </w:rPr>
        <w:t>分由高到低顺序排列，若综合评分、</w:t>
      </w:r>
      <w:r>
        <w:rPr>
          <w:rFonts w:hint="eastAsia" w:ascii="宋体" w:hAnsi="宋体"/>
          <w:szCs w:val="21"/>
        </w:rPr>
        <w:t>最后</w:t>
      </w:r>
      <w:r>
        <w:rPr>
          <w:rFonts w:ascii="宋体" w:hAnsi="宋体"/>
          <w:szCs w:val="21"/>
        </w:rPr>
        <w:t>报价、技术部分</w:t>
      </w:r>
      <w:r>
        <w:rPr>
          <w:rFonts w:hint="eastAsia" w:ascii="宋体" w:hAnsi="宋体"/>
          <w:szCs w:val="21"/>
        </w:rPr>
        <w:t>评分</w:t>
      </w:r>
      <w:r>
        <w:rPr>
          <w:rFonts w:ascii="宋体" w:hAnsi="宋体"/>
          <w:szCs w:val="21"/>
        </w:rPr>
        <w:t>均相同的，按商务</w:t>
      </w:r>
      <w:r>
        <w:rPr>
          <w:rFonts w:hint="eastAsia" w:ascii="宋体" w:hAnsi="宋体"/>
          <w:szCs w:val="21"/>
        </w:rPr>
        <w:t>资信</w:t>
      </w:r>
      <w:r>
        <w:rPr>
          <w:rFonts w:ascii="宋体" w:hAnsi="宋体"/>
          <w:szCs w:val="21"/>
        </w:rPr>
        <w:t>部分</w:t>
      </w:r>
      <w:r>
        <w:rPr>
          <w:rFonts w:hint="eastAsia" w:ascii="宋体" w:hAnsi="宋体"/>
          <w:szCs w:val="21"/>
        </w:rPr>
        <w:t>评</w:t>
      </w:r>
      <w:r>
        <w:rPr>
          <w:rFonts w:ascii="宋体" w:hAnsi="宋体"/>
          <w:szCs w:val="21"/>
        </w:rPr>
        <w:t>分由高到低顺序排列。</w:t>
      </w:r>
      <w:r>
        <w:rPr>
          <w:rFonts w:hint="eastAsia" w:ascii="宋体" w:hAnsi="宋体"/>
          <w:szCs w:val="21"/>
        </w:rPr>
        <w:t>若综合评分、最后报价、技术部分评分、商务资信部分评分均相同的，由采购人自行决定。</w:t>
      </w:r>
    </w:p>
    <w:p w14:paraId="188BBD69">
      <w:pPr>
        <w:spacing w:before="120" w:line="320" w:lineRule="atLeast"/>
        <w:ind w:firstLine="420" w:firstLineChars="200"/>
        <w:rPr>
          <w:rFonts w:ascii="宋体" w:hAnsi="宋体"/>
        </w:rPr>
      </w:pPr>
      <w:r>
        <w:rPr>
          <w:rFonts w:hint="eastAsia" w:ascii="宋体" w:hAnsi="宋体"/>
          <w:szCs w:val="21"/>
        </w:rPr>
        <w:t>（</w:t>
      </w:r>
      <w:r>
        <w:rPr>
          <w:rFonts w:ascii="宋体" w:hAnsi="宋体"/>
          <w:szCs w:val="21"/>
        </w:rPr>
        <w:t>4</w:t>
      </w:r>
      <w:r>
        <w:rPr>
          <w:rFonts w:hint="eastAsia" w:ascii="宋体" w:hAnsi="宋体"/>
          <w:szCs w:val="21"/>
        </w:rPr>
        <w:t>）磋商小组根据评审记录及评审结果编写评审报告，磋商小组成员均应当在评审报告上签字，对自己的评审意见承担法律责任。</w:t>
      </w:r>
      <w:r>
        <w:rPr>
          <w:rFonts w:ascii="宋体" w:hAnsi="宋体"/>
        </w:rPr>
        <w:t>评审报告签署前，经复核发现存在以</w:t>
      </w:r>
      <w:r>
        <w:rPr>
          <w:rFonts w:hint="eastAsia" w:ascii="宋体" w:hAnsi="宋体"/>
        </w:rPr>
        <w:t>下</w:t>
      </w:r>
      <w:r>
        <w:rPr>
          <w:rFonts w:ascii="宋体" w:hAnsi="宋体"/>
        </w:rPr>
        <w:t>情形之一的，磋商小组应当当场修改评审结果，并在评审报告中记载；评审报告签署后，采购人或者采购代理机构发现存在以</w:t>
      </w:r>
      <w:r>
        <w:rPr>
          <w:rFonts w:hint="eastAsia" w:ascii="宋体" w:hAnsi="宋体"/>
        </w:rPr>
        <w:t>下</w:t>
      </w:r>
      <w:r>
        <w:rPr>
          <w:rFonts w:ascii="宋体" w:hAnsi="宋体"/>
        </w:rPr>
        <w:t>情形之一的，应当组织原磋商小组进行重新评审。</w:t>
      </w:r>
    </w:p>
    <w:p w14:paraId="43EE1746">
      <w:pPr>
        <w:spacing w:before="120" w:line="320" w:lineRule="atLeast"/>
        <w:ind w:firstLine="420" w:firstLineChars="200"/>
        <w:rPr>
          <w:rFonts w:ascii="宋体" w:hAnsi="宋体"/>
        </w:rPr>
      </w:pPr>
      <w:r>
        <w:rPr>
          <w:rFonts w:hint="eastAsia" w:ascii="宋体" w:hAnsi="宋体"/>
        </w:rPr>
        <w:t>资格性检查认定错误、分值汇总计算错误、分项评分超出评分标准范围、客观分评分不一致、经磋商小组一致认定评分畸高、畸低。</w:t>
      </w:r>
    </w:p>
    <w:bookmarkEnd w:id="68"/>
    <w:p w14:paraId="1FFF9FC4">
      <w:pPr>
        <w:spacing w:before="120" w:line="320" w:lineRule="atLeast"/>
        <w:ind w:firstLine="422" w:firstLineChars="200"/>
        <w:outlineLvl w:val="2"/>
        <w:rPr>
          <w:rFonts w:ascii="宋体" w:hAnsi="宋体"/>
          <w:b/>
          <w:bCs/>
          <w:kern w:val="0"/>
          <w:szCs w:val="21"/>
        </w:rPr>
      </w:pPr>
      <w:r>
        <w:rPr>
          <w:rFonts w:ascii="宋体" w:hAnsi="宋体"/>
          <w:b/>
          <w:bCs/>
          <w:kern w:val="0"/>
          <w:szCs w:val="21"/>
        </w:rPr>
        <w:t>6.4确定成交供应商</w:t>
      </w:r>
    </w:p>
    <w:p w14:paraId="2CA0D2AF">
      <w:pPr>
        <w:spacing w:before="120" w:line="276" w:lineRule="auto"/>
        <w:ind w:firstLine="420" w:firstLineChars="200"/>
        <w:rPr>
          <w:rFonts w:ascii="宋体" w:hAnsi="宋体"/>
          <w:szCs w:val="21"/>
        </w:rPr>
      </w:pPr>
      <w:r>
        <w:rPr>
          <w:rFonts w:hint="eastAsia" w:ascii="宋体" w:hAnsi="宋体"/>
          <w:szCs w:val="21"/>
        </w:rPr>
        <w:t>6.4</w:t>
      </w:r>
      <w:r>
        <w:rPr>
          <w:rFonts w:ascii="宋体" w:hAnsi="宋体"/>
          <w:szCs w:val="21"/>
        </w:rPr>
        <w:t>.1采购代理机构在评审结束后2个工作日内将评审报告送采购人，采购人在5个工作日内按照评审报告中推荐的成交候选供应商顺序确定成交供应商。</w:t>
      </w:r>
    </w:p>
    <w:p w14:paraId="30BF4B0F">
      <w:pPr>
        <w:spacing w:before="120" w:line="276" w:lineRule="auto"/>
        <w:ind w:firstLine="420" w:firstLineChars="200"/>
        <w:rPr>
          <w:rFonts w:ascii="宋体" w:hAnsi="宋体"/>
          <w:szCs w:val="21"/>
        </w:rPr>
      </w:pPr>
      <w:r>
        <w:rPr>
          <w:rFonts w:ascii="宋体" w:hAnsi="宋体"/>
          <w:szCs w:val="21"/>
        </w:rPr>
        <w:t>6.4.2</w:t>
      </w:r>
      <w:r>
        <w:rPr>
          <w:rFonts w:hint="eastAsia" w:ascii="宋体" w:hAnsi="宋体"/>
          <w:szCs w:val="21"/>
        </w:rPr>
        <w:t>采购人、采购代理机构认为供应商对采购过程、成交结果提出的质疑成立且影响或者可能影响成交结果的，合格供应商符合法定数量时，可以从合格的成交候选供应商中另行确定成交供应商的，应当依法另行确定成交供应商；否则应当重新开展采购活动。</w:t>
      </w:r>
    </w:p>
    <w:p w14:paraId="35AF3CDE">
      <w:pPr>
        <w:spacing w:before="120" w:line="320" w:lineRule="atLeast"/>
        <w:ind w:firstLine="422" w:firstLineChars="200"/>
        <w:outlineLvl w:val="2"/>
        <w:rPr>
          <w:rFonts w:ascii="宋体" w:hAnsi="宋体"/>
          <w:b/>
          <w:bCs/>
          <w:kern w:val="0"/>
          <w:szCs w:val="21"/>
        </w:rPr>
      </w:pPr>
      <w:r>
        <w:rPr>
          <w:rFonts w:ascii="宋体" w:hAnsi="宋体"/>
          <w:b/>
          <w:bCs/>
          <w:kern w:val="0"/>
          <w:szCs w:val="21"/>
        </w:rPr>
        <w:t>6.5</w:t>
      </w:r>
      <w:r>
        <w:rPr>
          <w:rFonts w:hint="eastAsia" w:ascii="宋体" w:hAnsi="宋体"/>
          <w:b/>
          <w:bCs/>
          <w:kern w:val="0"/>
          <w:szCs w:val="21"/>
        </w:rPr>
        <w:t>结果公告</w:t>
      </w:r>
    </w:p>
    <w:p w14:paraId="1EBECFE4">
      <w:pPr>
        <w:spacing w:before="120" w:line="320" w:lineRule="atLeast"/>
        <w:ind w:firstLine="420" w:firstLineChars="200"/>
        <w:rPr>
          <w:rFonts w:ascii="宋体" w:hAnsi="宋体"/>
          <w:szCs w:val="21"/>
        </w:rPr>
      </w:pPr>
      <w:r>
        <w:rPr>
          <w:rFonts w:hint="eastAsia" w:ascii="宋体" w:hAnsi="宋体"/>
          <w:szCs w:val="21"/>
        </w:rPr>
        <w:t>6</w:t>
      </w:r>
      <w:r>
        <w:rPr>
          <w:rFonts w:ascii="宋体" w:hAnsi="宋体"/>
          <w:szCs w:val="21"/>
        </w:rPr>
        <w:t>.5.1自成交供应商确定后2个工作日内，采购代理机构</w:t>
      </w:r>
      <w:r>
        <w:rPr>
          <w:rFonts w:hint="eastAsia" w:ascii="宋体" w:hAnsi="宋体"/>
          <w:szCs w:val="21"/>
        </w:rPr>
        <w:t>按照供应商须知</w:t>
      </w:r>
      <w:r>
        <w:rPr>
          <w:rFonts w:hint="eastAsia" w:ascii="宋体" w:hAnsi="宋体"/>
          <w:kern w:val="0"/>
          <w:szCs w:val="21"/>
        </w:rPr>
        <w:t>前附表的规定</w:t>
      </w:r>
      <w:r>
        <w:rPr>
          <w:rFonts w:ascii="宋体" w:hAnsi="宋体"/>
          <w:kern w:val="0"/>
          <w:szCs w:val="21"/>
        </w:rPr>
        <w:t>公告</w:t>
      </w:r>
      <w:r>
        <w:rPr>
          <w:rFonts w:ascii="宋体" w:hAnsi="宋体"/>
          <w:szCs w:val="21"/>
        </w:rPr>
        <w:t>成交结果</w:t>
      </w:r>
      <w:r>
        <w:rPr>
          <w:rFonts w:hint="eastAsia" w:ascii="宋体" w:hAnsi="宋体"/>
          <w:szCs w:val="21"/>
        </w:rPr>
        <w:t>，成交结果公告期限为1个工作日，发布成交结果公告的同时向成交供应商发出成交通知书。采购代理机构发出成交通知书前，应当对成交供应商信用进行核实，对列入失信被执行人、重大税收违法案件当事人名单、政府采购严重违法失信行为记录名单及其他不符合《中华人民共和国政府采购法》第二十二条规定条件的供应商，取消其成交资格，并确定排名第二的成交候选人为成交供应商。排名第二的成交候选人因前款规定的同样原因被取消成交资格的，采购人可以确定排名第三的成交候选人为成交供应商，以此类推。以上信息查询记录及相关证据与采购文件一并保存。</w:t>
      </w:r>
    </w:p>
    <w:p w14:paraId="193A1CFF">
      <w:pPr>
        <w:spacing w:before="120" w:line="320" w:lineRule="atLeast"/>
        <w:ind w:firstLine="420" w:firstLineChars="200"/>
        <w:rPr>
          <w:rFonts w:ascii="宋体" w:hAnsi="宋体"/>
          <w:szCs w:val="21"/>
        </w:rPr>
      </w:pPr>
      <w:r>
        <w:rPr>
          <w:rFonts w:hint="eastAsia" w:ascii="宋体" w:hAnsi="宋体"/>
          <w:szCs w:val="21"/>
        </w:rPr>
        <w:t>6</w:t>
      </w:r>
      <w:r>
        <w:rPr>
          <w:rFonts w:ascii="宋体" w:hAnsi="宋体"/>
          <w:szCs w:val="21"/>
        </w:rPr>
        <w:t>.5.2在发布</w:t>
      </w:r>
      <w:r>
        <w:rPr>
          <w:rFonts w:hint="eastAsia" w:ascii="宋体" w:hAnsi="宋体"/>
          <w:szCs w:val="21"/>
        </w:rPr>
        <w:t>结果</w:t>
      </w:r>
      <w:r>
        <w:rPr>
          <w:rFonts w:ascii="宋体" w:hAnsi="宋体"/>
          <w:szCs w:val="21"/>
        </w:rPr>
        <w:t>公告的同时，采购代理机构以供应商须知前附表规定的形式向成交供应商发出成交通知书。成交通知书发出后，采购人改变成交结果，或者成交供应商放弃成交，应当承担相应的法律责任。</w:t>
      </w:r>
    </w:p>
    <w:p w14:paraId="65771AD5">
      <w:pPr>
        <w:suppressAutoHyphens/>
        <w:spacing w:before="120" w:line="320" w:lineRule="atLeast"/>
        <w:ind w:firstLine="422" w:firstLineChars="200"/>
        <w:outlineLvl w:val="2"/>
        <w:rPr>
          <w:rFonts w:ascii="宋体" w:hAnsi="宋体"/>
          <w:b/>
          <w:bCs/>
          <w:kern w:val="0"/>
          <w:szCs w:val="21"/>
        </w:rPr>
      </w:pPr>
      <w:r>
        <w:rPr>
          <w:rFonts w:ascii="宋体" w:hAnsi="宋体"/>
          <w:b/>
          <w:bCs/>
          <w:kern w:val="0"/>
          <w:szCs w:val="21"/>
        </w:rPr>
        <w:t>6.6</w:t>
      </w:r>
      <w:r>
        <w:rPr>
          <w:rFonts w:hint="eastAsia" w:ascii="宋体" w:hAnsi="宋体"/>
          <w:b/>
          <w:bCs/>
          <w:kern w:val="0"/>
          <w:szCs w:val="21"/>
        </w:rPr>
        <w:t>废标</w:t>
      </w:r>
    </w:p>
    <w:p w14:paraId="254D4010">
      <w:pPr>
        <w:spacing w:before="120" w:line="320" w:lineRule="atLeast"/>
        <w:ind w:firstLine="420" w:firstLineChars="200"/>
        <w:rPr>
          <w:rFonts w:ascii="宋体" w:hAnsi="宋体"/>
          <w:kern w:val="1"/>
          <w:szCs w:val="21"/>
        </w:rPr>
      </w:pPr>
      <w:r>
        <w:rPr>
          <w:rFonts w:ascii="宋体" w:hAnsi="宋体"/>
          <w:kern w:val="1"/>
          <w:szCs w:val="21"/>
        </w:rPr>
        <w:t>6.6.1</w:t>
      </w:r>
      <w:r>
        <w:rPr>
          <w:rFonts w:hint="eastAsia" w:ascii="宋体" w:hAnsi="宋体"/>
          <w:kern w:val="1"/>
          <w:szCs w:val="21"/>
        </w:rPr>
        <w:t xml:space="preserve">出现下列情形之一，将导致项目废标： </w:t>
      </w:r>
    </w:p>
    <w:p w14:paraId="1F9F61C2">
      <w:pPr>
        <w:spacing w:before="120" w:line="320" w:lineRule="atLeast"/>
        <w:ind w:firstLine="420" w:firstLineChars="200"/>
        <w:rPr>
          <w:rFonts w:ascii="宋体" w:hAnsi="宋体"/>
          <w:szCs w:val="21"/>
        </w:rPr>
      </w:pPr>
      <w:r>
        <w:rPr>
          <w:rFonts w:hint="eastAsia" w:ascii="宋体" w:hAnsi="宋体"/>
          <w:kern w:val="1"/>
          <w:szCs w:val="21"/>
        </w:rPr>
        <w:t>（1</w:t>
      </w:r>
      <w:r>
        <w:rPr>
          <w:rFonts w:hint="eastAsia" w:ascii="宋体" w:hAnsi="宋体"/>
          <w:szCs w:val="21"/>
        </w:rPr>
        <w:t>）符合专业条件的供应商或者对采购文件做实质性响应的供应商不足三家；</w:t>
      </w:r>
    </w:p>
    <w:p w14:paraId="40760EF1">
      <w:pPr>
        <w:spacing w:before="120" w:line="320" w:lineRule="atLeast"/>
        <w:ind w:firstLine="420" w:firstLineChars="200"/>
        <w:rPr>
          <w:rFonts w:ascii="宋体" w:hAnsi="宋体"/>
          <w:szCs w:val="21"/>
        </w:rPr>
      </w:pPr>
      <w:r>
        <w:rPr>
          <w:rFonts w:hint="eastAsia" w:ascii="宋体" w:hAnsi="宋体"/>
          <w:szCs w:val="21"/>
        </w:rPr>
        <w:t>（2）出现影响采购公正的违法、违规行为的；</w:t>
      </w:r>
    </w:p>
    <w:p w14:paraId="0C2807A0">
      <w:pPr>
        <w:spacing w:before="120" w:line="320" w:lineRule="atLeast"/>
        <w:ind w:firstLine="420" w:firstLineChars="200"/>
        <w:rPr>
          <w:rFonts w:ascii="宋体" w:hAnsi="宋体"/>
          <w:szCs w:val="21"/>
        </w:rPr>
      </w:pPr>
      <w:r>
        <w:rPr>
          <w:rFonts w:hint="eastAsia" w:ascii="宋体" w:hAnsi="宋体"/>
          <w:szCs w:val="21"/>
        </w:rPr>
        <w:t>（3）供应商的报价均超过了采购预算，采购人不能支付的；</w:t>
      </w:r>
    </w:p>
    <w:p w14:paraId="76B930F4">
      <w:pPr>
        <w:spacing w:before="120" w:line="320" w:lineRule="atLeast"/>
        <w:ind w:firstLine="420" w:firstLineChars="200"/>
        <w:rPr>
          <w:rFonts w:ascii="宋体" w:hAnsi="宋体"/>
        </w:rPr>
      </w:pPr>
      <w:r>
        <w:rPr>
          <w:rFonts w:hint="eastAsia" w:ascii="宋体" w:hAnsi="宋体"/>
          <w:szCs w:val="21"/>
        </w:rPr>
        <w:t>（4）</w:t>
      </w:r>
      <w:r>
        <w:rPr>
          <w:rFonts w:hint="eastAsia" w:ascii="宋体" w:hAnsi="宋体"/>
        </w:rPr>
        <w:t>因发生重大变故或采购任务取消的。</w:t>
      </w:r>
    </w:p>
    <w:p w14:paraId="39980ACF">
      <w:pPr>
        <w:spacing w:before="120" w:line="320" w:lineRule="atLeast"/>
        <w:ind w:firstLine="420" w:firstLineChars="200"/>
        <w:rPr>
          <w:rFonts w:ascii="宋体" w:hAnsi="宋体"/>
          <w:szCs w:val="21"/>
        </w:rPr>
      </w:pPr>
      <w:r>
        <w:rPr>
          <w:rFonts w:ascii="宋体" w:hAnsi="宋体"/>
          <w:kern w:val="1"/>
          <w:szCs w:val="21"/>
        </w:rPr>
        <w:t>6.6.2</w:t>
      </w:r>
      <w:r>
        <w:rPr>
          <w:rFonts w:hint="eastAsia" w:ascii="宋体" w:hAnsi="宋体"/>
          <w:kern w:val="1"/>
          <w:szCs w:val="21"/>
        </w:rPr>
        <w:t>废标后</w:t>
      </w:r>
      <w:r>
        <w:rPr>
          <w:rFonts w:hint="eastAsia" w:ascii="宋体" w:hAnsi="宋体"/>
          <w:szCs w:val="21"/>
        </w:rPr>
        <w:t>采购</w:t>
      </w:r>
      <w:r>
        <w:rPr>
          <w:rFonts w:hint="eastAsia" w:ascii="宋体" w:hAnsi="宋体"/>
          <w:kern w:val="1"/>
          <w:szCs w:val="21"/>
        </w:rPr>
        <w:t>代理机构将发布废标公告通知供应商。</w:t>
      </w:r>
    </w:p>
    <w:p w14:paraId="18E37EF1">
      <w:pPr>
        <w:spacing w:before="120" w:line="320" w:lineRule="atLeast"/>
        <w:ind w:left="2" w:leftChars="1" w:firstLine="422" w:firstLineChars="200"/>
        <w:outlineLvl w:val="1"/>
        <w:rPr>
          <w:rFonts w:ascii="宋体" w:hAnsi="宋体"/>
          <w:b/>
          <w:bCs/>
          <w:kern w:val="0"/>
          <w:szCs w:val="21"/>
        </w:rPr>
      </w:pPr>
      <w:r>
        <w:rPr>
          <w:rFonts w:ascii="宋体" w:hAnsi="宋体"/>
          <w:b/>
          <w:bCs/>
          <w:kern w:val="0"/>
          <w:szCs w:val="21"/>
        </w:rPr>
        <w:t>7．合同</w:t>
      </w:r>
    </w:p>
    <w:p w14:paraId="6A89B1EC">
      <w:pPr>
        <w:spacing w:before="120" w:line="320" w:lineRule="atLeast"/>
        <w:ind w:firstLine="422" w:firstLineChars="200"/>
        <w:outlineLvl w:val="2"/>
        <w:rPr>
          <w:rFonts w:ascii="宋体" w:hAnsi="宋体"/>
          <w:b/>
          <w:bCs/>
          <w:kern w:val="0"/>
          <w:szCs w:val="21"/>
        </w:rPr>
      </w:pPr>
      <w:r>
        <w:rPr>
          <w:rFonts w:ascii="宋体" w:hAnsi="宋体"/>
          <w:b/>
          <w:bCs/>
          <w:kern w:val="0"/>
          <w:szCs w:val="21"/>
        </w:rPr>
        <w:t>7.1合同授予标准</w:t>
      </w:r>
    </w:p>
    <w:p w14:paraId="3F7BAACA">
      <w:pPr>
        <w:spacing w:before="120" w:line="320" w:lineRule="atLeast"/>
        <w:ind w:firstLine="420" w:firstLineChars="200"/>
        <w:rPr>
          <w:rFonts w:ascii="宋体" w:hAnsi="宋体"/>
          <w:szCs w:val="21"/>
        </w:rPr>
      </w:pPr>
      <w:r>
        <w:rPr>
          <w:rFonts w:ascii="宋体" w:hAnsi="宋体"/>
          <w:szCs w:val="21"/>
        </w:rPr>
        <w:t>合同将授予被确定实质上响应采购文件要求，具备履行合同能力，综合评分排名第一的供应商。在</w:t>
      </w:r>
      <w:r>
        <w:rPr>
          <w:rFonts w:hint="eastAsia" w:ascii="宋体" w:hAnsi="宋体"/>
          <w:szCs w:val="21"/>
        </w:rPr>
        <w:t>成交通知书</w:t>
      </w:r>
      <w:r>
        <w:rPr>
          <w:rFonts w:ascii="宋体" w:hAnsi="宋体"/>
          <w:szCs w:val="21"/>
        </w:rPr>
        <w:t>发出前或签订合同前，如果</w:t>
      </w:r>
      <w:r>
        <w:rPr>
          <w:rFonts w:hint="eastAsia" w:ascii="宋体" w:hAnsi="宋体"/>
          <w:szCs w:val="21"/>
        </w:rPr>
        <w:t>成交供应商</w:t>
      </w:r>
      <w:r>
        <w:rPr>
          <w:rFonts w:ascii="宋体" w:hAnsi="宋体"/>
          <w:szCs w:val="21"/>
        </w:rPr>
        <w:t>的组织机构</w:t>
      </w:r>
      <w:r>
        <w:rPr>
          <w:rFonts w:hint="eastAsia" w:ascii="宋体" w:hAnsi="宋体"/>
          <w:szCs w:val="21"/>
        </w:rPr>
        <w:t>、</w:t>
      </w:r>
      <w:r>
        <w:rPr>
          <w:rFonts w:ascii="宋体" w:hAnsi="宋体"/>
          <w:szCs w:val="21"/>
        </w:rPr>
        <w:t>经营、财务状况发生较大变化，可能造成不能履行合同、无法按照</w:t>
      </w:r>
      <w:r>
        <w:rPr>
          <w:rFonts w:hint="eastAsia" w:ascii="宋体" w:hAnsi="宋体"/>
          <w:szCs w:val="21"/>
        </w:rPr>
        <w:t>采购文件</w:t>
      </w:r>
      <w:r>
        <w:rPr>
          <w:rFonts w:ascii="宋体" w:hAnsi="宋体"/>
          <w:szCs w:val="21"/>
        </w:rPr>
        <w:t>要求提交履约保证金等情形，不符合成交条件或不满足供应商资格条件要求 ，应在</w:t>
      </w:r>
      <w:r>
        <w:rPr>
          <w:rFonts w:hint="eastAsia" w:ascii="宋体" w:hAnsi="宋体"/>
          <w:szCs w:val="21"/>
        </w:rPr>
        <w:t>成交通知书</w:t>
      </w:r>
      <w:r>
        <w:rPr>
          <w:rFonts w:ascii="宋体" w:hAnsi="宋体"/>
          <w:szCs w:val="21"/>
        </w:rPr>
        <w:t>发出前或签订合同前及时书面告知采购人</w:t>
      </w:r>
      <w:r>
        <w:rPr>
          <w:rFonts w:hint="eastAsia" w:ascii="宋体" w:hAnsi="宋体"/>
          <w:szCs w:val="21"/>
        </w:rPr>
        <w:t>，</w:t>
      </w:r>
      <w:r>
        <w:rPr>
          <w:rFonts w:ascii="宋体" w:hAnsi="宋体"/>
          <w:szCs w:val="21"/>
        </w:rPr>
        <w:t>未主动告知</w:t>
      </w:r>
      <w:r>
        <w:rPr>
          <w:rFonts w:hint="eastAsia" w:ascii="宋体" w:hAnsi="宋体"/>
          <w:szCs w:val="21"/>
        </w:rPr>
        <w:t>，</w:t>
      </w:r>
      <w:r>
        <w:rPr>
          <w:rFonts w:ascii="宋体" w:hAnsi="宋体"/>
          <w:szCs w:val="21"/>
        </w:rPr>
        <w:t>给采购人造成损失的</w:t>
      </w:r>
      <w:r>
        <w:rPr>
          <w:rFonts w:hint="eastAsia" w:ascii="宋体" w:hAnsi="宋体"/>
          <w:szCs w:val="21"/>
        </w:rPr>
        <w:t>，</w:t>
      </w:r>
      <w:r>
        <w:rPr>
          <w:rFonts w:ascii="宋体" w:hAnsi="宋体"/>
          <w:szCs w:val="21"/>
        </w:rPr>
        <w:t>采购人有权</w:t>
      </w:r>
      <w:r>
        <w:rPr>
          <w:rFonts w:hint="eastAsia" w:ascii="宋体" w:hAnsi="宋体"/>
          <w:szCs w:val="21"/>
        </w:rPr>
        <w:t>取消其成交资格并</w:t>
      </w:r>
      <w:r>
        <w:rPr>
          <w:rFonts w:ascii="宋体" w:hAnsi="宋体"/>
          <w:szCs w:val="21"/>
        </w:rPr>
        <w:t>没收磋商保证金</w:t>
      </w:r>
      <w:r>
        <w:rPr>
          <w:rFonts w:hint="eastAsia" w:ascii="宋体" w:hAnsi="宋体"/>
          <w:szCs w:val="21"/>
        </w:rPr>
        <w:t>。</w:t>
      </w:r>
    </w:p>
    <w:p w14:paraId="0653CB1F">
      <w:pPr>
        <w:spacing w:before="120" w:line="320" w:lineRule="atLeast"/>
        <w:ind w:firstLine="422" w:firstLineChars="200"/>
        <w:outlineLvl w:val="2"/>
        <w:rPr>
          <w:rFonts w:ascii="宋体" w:hAnsi="宋体"/>
          <w:b/>
          <w:bCs/>
          <w:kern w:val="0"/>
          <w:szCs w:val="21"/>
        </w:rPr>
      </w:pPr>
      <w:r>
        <w:rPr>
          <w:rFonts w:ascii="宋体" w:hAnsi="宋体"/>
          <w:b/>
          <w:bCs/>
          <w:kern w:val="0"/>
          <w:szCs w:val="21"/>
        </w:rPr>
        <w:t>7.2签订合同</w:t>
      </w:r>
    </w:p>
    <w:p w14:paraId="57A41F87">
      <w:pPr>
        <w:spacing w:before="120" w:line="320" w:lineRule="atLeast"/>
        <w:ind w:firstLine="420" w:firstLineChars="200"/>
        <w:rPr>
          <w:rFonts w:ascii="宋体" w:hAnsi="宋体"/>
          <w:szCs w:val="21"/>
        </w:rPr>
      </w:pPr>
      <w:r>
        <w:rPr>
          <w:rFonts w:ascii="宋体" w:hAnsi="宋体"/>
          <w:szCs w:val="21"/>
        </w:rPr>
        <w:t>7.2.1如</w:t>
      </w:r>
      <w:r>
        <w:rPr>
          <w:rFonts w:hint="eastAsia" w:ascii="宋体" w:hAnsi="宋体"/>
          <w:szCs w:val="21"/>
        </w:rPr>
        <w:t>采购文件</w:t>
      </w:r>
      <w:r>
        <w:rPr>
          <w:rFonts w:ascii="宋体" w:hAnsi="宋体"/>
          <w:szCs w:val="21"/>
        </w:rPr>
        <w:t>无</w:t>
      </w:r>
      <w:r>
        <w:rPr>
          <w:rFonts w:hint="eastAsia" w:ascii="宋体" w:hAnsi="宋体"/>
          <w:szCs w:val="21"/>
        </w:rPr>
        <w:t>特别</w:t>
      </w:r>
      <w:r>
        <w:rPr>
          <w:rFonts w:ascii="宋体" w:hAnsi="宋体"/>
          <w:szCs w:val="21"/>
        </w:rPr>
        <w:t>规定，</w:t>
      </w:r>
      <w:r>
        <w:rPr>
          <w:rFonts w:hint="eastAsia" w:ascii="宋体" w:hAnsi="宋体"/>
          <w:szCs w:val="21"/>
        </w:rPr>
        <w:t>成交供应商按采购文件确定的事项签订政府采购合同。</w:t>
      </w:r>
    </w:p>
    <w:p w14:paraId="4E5A71E2">
      <w:pPr>
        <w:spacing w:before="120" w:line="320" w:lineRule="atLeast"/>
        <w:ind w:firstLine="420" w:firstLineChars="200"/>
        <w:rPr>
          <w:rFonts w:ascii="宋体" w:hAnsi="宋体"/>
          <w:szCs w:val="21"/>
        </w:rPr>
      </w:pPr>
      <w:r>
        <w:rPr>
          <w:rFonts w:ascii="宋体" w:hAnsi="宋体"/>
          <w:szCs w:val="21"/>
        </w:rPr>
        <w:t>7.2.2</w:t>
      </w:r>
      <w:r>
        <w:rPr>
          <w:rFonts w:hint="eastAsia" w:ascii="宋体" w:hAnsi="宋体"/>
          <w:szCs w:val="21"/>
        </w:rPr>
        <w:t>政府采购合同应当包括采购人与成交供应商的名称和住所、标的、数量、质量、价款或者报酬、履行期限及地点和方式、验收要求、违约责任、解决争议的方法等内容。</w:t>
      </w:r>
      <w:r>
        <w:rPr>
          <w:rFonts w:ascii="宋体" w:hAnsi="宋体"/>
          <w:szCs w:val="21"/>
        </w:rPr>
        <w:t>采购文件、成交供应商的响应文件及澄清文件等，均为签订政府采购合同的依据。</w:t>
      </w:r>
    </w:p>
    <w:p w14:paraId="7ECFBDE5">
      <w:pPr>
        <w:spacing w:before="120" w:line="320" w:lineRule="atLeast"/>
        <w:ind w:firstLine="420" w:firstLineChars="200"/>
        <w:rPr>
          <w:rFonts w:ascii="宋体" w:hAnsi="宋体"/>
          <w:szCs w:val="21"/>
        </w:rPr>
      </w:pPr>
      <w:r>
        <w:rPr>
          <w:rFonts w:ascii="宋体" w:hAnsi="宋体"/>
          <w:szCs w:val="21"/>
        </w:rPr>
        <w:t>7.2.3如成交供应商不按成交通知书的规定签订合同，</w:t>
      </w:r>
      <w:r>
        <w:rPr>
          <w:rFonts w:hint="eastAsia" w:ascii="宋体" w:hAnsi="宋体"/>
          <w:szCs w:val="21"/>
        </w:rPr>
        <w:t>其磋商保证金将不予退还，并报由同级政府采购监督管理部门处理。</w:t>
      </w:r>
    </w:p>
    <w:p w14:paraId="02B4EF62">
      <w:pPr>
        <w:spacing w:before="120" w:line="320" w:lineRule="atLeast"/>
        <w:ind w:firstLine="420" w:firstLineChars="200"/>
        <w:rPr>
          <w:rFonts w:ascii="宋体" w:hAnsi="宋体"/>
          <w:szCs w:val="21"/>
        </w:rPr>
      </w:pPr>
      <w:r>
        <w:rPr>
          <w:rFonts w:hint="eastAsia" w:ascii="宋体" w:hAnsi="宋体"/>
          <w:szCs w:val="21"/>
        </w:rPr>
        <w:t>7</w:t>
      </w:r>
      <w:r>
        <w:rPr>
          <w:rFonts w:ascii="宋体" w:hAnsi="宋体"/>
          <w:szCs w:val="21"/>
        </w:rPr>
        <w:t>.2.4</w:t>
      </w:r>
      <w:r>
        <w:rPr>
          <w:rFonts w:hint="eastAsia" w:ascii="宋体" w:hAnsi="宋体"/>
          <w:szCs w:val="21"/>
        </w:rPr>
        <w:t>成交供应商拒绝与采购人签订合同的，采购人可以按照评审报告推荐的成交候选人名单排序，确定下一候选人为成交供应商，也可以重新开展政府采购活动。</w:t>
      </w:r>
    </w:p>
    <w:p w14:paraId="7250395F">
      <w:pPr>
        <w:spacing w:before="120" w:line="320" w:lineRule="atLeast"/>
        <w:ind w:firstLine="420" w:firstLineChars="200"/>
        <w:rPr>
          <w:rFonts w:ascii="宋体" w:hAnsi="宋体"/>
          <w:szCs w:val="21"/>
        </w:rPr>
      </w:pPr>
      <w:bookmarkStart w:id="69" w:name="_Hlk155170999"/>
      <w:r>
        <w:rPr>
          <w:rFonts w:hint="eastAsia" w:ascii="宋体" w:hAnsi="宋体"/>
          <w:szCs w:val="21"/>
        </w:rPr>
        <w:t>7</w:t>
      </w:r>
      <w:r>
        <w:rPr>
          <w:rFonts w:ascii="宋体" w:hAnsi="宋体"/>
          <w:szCs w:val="21"/>
        </w:rPr>
        <w:t>.2.5</w:t>
      </w:r>
      <w:r>
        <w:rPr>
          <w:rFonts w:hint="eastAsia" w:ascii="宋体" w:hAnsi="宋体"/>
          <w:szCs w:val="21"/>
        </w:rPr>
        <w:t>采购人因不可抗力原因迟延签订合同的，应当自不可抗力事由消除之日起5个工作日内完成合同签订事宜。</w:t>
      </w:r>
      <w:bookmarkEnd w:id="69"/>
    </w:p>
    <w:p w14:paraId="0AB5E941">
      <w:pPr>
        <w:spacing w:before="120" w:line="320" w:lineRule="atLeast"/>
        <w:ind w:firstLine="422" w:firstLineChars="200"/>
        <w:outlineLvl w:val="2"/>
        <w:rPr>
          <w:rFonts w:ascii="宋体" w:hAnsi="宋体"/>
          <w:b/>
          <w:bCs/>
          <w:kern w:val="0"/>
          <w:szCs w:val="21"/>
        </w:rPr>
      </w:pPr>
      <w:r>
        <w:rPr>
          <w:rFonts w:ascii="宋体" w:hAnsi="宋体"/>
          <w:b/>
          <w:bCs/>
          <w:kern w:val="0"/>
          <w:szCs w:val="21"/>
        </w:rPr>
        <w:t>7.3合同公告</w:t>
      </w:r>
    </w:p>
    <w:p w14:paraId="7FC210D7">
      <w:pPr>
        <w:spacing w:before="120" w:line="320" w:lineRule="atLeast"/>
        <w:ind w:firstLine="420" w:firstLineChars="200"/>
        <w:rPr>
          <w:rFonts w:ascii="宋体" w:hAnsi="宋体"/>
          <w:szCs w:val="21"/>
        </w:rPr>
      </w:pPr>
      <w:r>
        <w:rPr>
          <w:rFonts w:ascii="宋体" w:hAnsi="宋体"/>
          <w:szCs w:val="21"/>
        </w:rPr>
        <w:t>7.3.1如</w:t>
      </w:r>
      <w:r>
        <w:rPr>
          <w:rFonts w:hint="eastAsia" w:ascii="宋体" w:hAnsi="宋体"/>
          <w:szCs w:val="21"/>
        </w:rPr>
        <w:t>采购文件</w:t>
      </w:r>
      <w:r>
        <w:rPr>
          <w:rFonts w:ascii="宋体" w:hAnsi="宋体"/>
          <w:szCs w:val="21"/>
        </w:rPr>
        <w:t>无特殊规定</w:t>
      </w:r>
      <w:r>
        <w:rPr>
          <w:rFonts w:hint="eastAsia" w:ascii="宋体" w:hAnsi="宋体"/>
          <w:szCs w:val="21"/>
        </w:rPr>
        <w:t>，</w:t>
      </w:r>
      <w:r>
        <w:rPr>
          <w:rFonts w:ascii="宋体" w:hAnsi="宋体"/>
          <w:szCs w:val="21"/>
        </w:rPr>
        <w:t>成交供应商应在签订合同后1个工作日内，将政府采购合同副本送采购代理机构</w:t>
      </w:r>
      <w:r>
        <w:rPr>
          <w:rFonts w:hint="eastAsia" w:ascii="宋体" w:hAnsi="宋体"/>
          <w:szCs w:val="21"/>
        </w:rPr>
        <w:t>存档</w:t>
      </w:r>
      <w:r>
        <w:rPr>
          <w:rFonts w:ascii="宋体" w:hAnsi="宋体"/>
          <w:szCs w:val="21"/>
        </w:rPr>
        <w:t>。</w:t>
      </w:r>
    </w:p>
    <w:p w14:paraId="530D0B14">
      <w:pPr>
        <w:spacing w:before="120" w:line="320" w:lineRule="atLeast"/>
        <w:ind w:firstLine="420" w:firstLineChars="200"/>
        <w:rPr>
          <w:rFonts w:ascii="宋体" w:hAnsi="宋体"/>
          <w:szCs w:val="21"/>
        </w:rPr>
      </w:pPr>
      <w:r>
        <w:rPr>
          <w:rFonts w:ascii="宋体" w:hAnsi="宋体"/>
          <w:szCs w:val="21"/>
        </w:rPr>
        <w:t>7.3.2采购人应当自政府采购合同签订之日起2个工作日内，将政府采购合同在省级以上人民政府财政部门指定的媒体上公告，但政府采购合同中涉及国家秘密、商业秘密的内容除外。</w:t>
      </w:r>
    </w:p>
    <w:p w14:paraId="366EEB96">
      <w:pPr>
        <w:spacing w:before="120" w:line="320" w:lineRule="atLeast"/>
        <w:ind w:firstLine="420" w:firstLineChars="200"/>
        <w:rPr>
          <w:rFonts w:ascii="宋体" w:hAnsi="宋体"/>
          <w:szCs w:val="21"/>
        </w:rPr>
      </w:pPr>
      <w:bookmarkStart w:id="70" w:name="_Hlk155171014"/>
      <w:r>
        <w:rPr>
          <w:rFonts w:hint="eastAsia" w:ascii="宋体" w:hAnsi="宋体"/>
          <w:szCs w:val="21"/>
        </w:rPr>
        <w:t>7</w:t>
      </w:r>
      <w:r>
        <w:rPr>
          <w:rFonts w:ascii="宋体" w:hAnsi="宋体"/>
          <w:szCs w:val="21"/>
        </w:rPr>
        <w:t xml:space="preserve">.3.3 </w:t>
      </w:r>
      <w:r>
        <w:rPr>
          <w:rFonts w:hint="eastAsia" w:ascii="宋体" w:hAnsi="宋体"/>
          <w:szCs w:val="21"/>
        </w:rPr>
        <w:t>政府采购合同双方不得擅自变更合同，依照政府采购法确需变更政府采购合同内容的，采购人应当自合同变更之日起2个工作日内在省级以上财政部门指定的媒体上发布政府采购合同变更公告，但涉及国家秘密、商业秘密的信息和其他依法不得公开的信息除外。</w:t>
      </w:r>
      <w:bookmarkEnd w:id="70"/>
    </w:p>
    <w:p w14:paraId="5850B3DB">
      <w:pPr>
        <w:spacing w:before="120" w:line="320" w:lineRule="atLeast"/>
        <w:ind w:firstLine="422" w:firstLineChars="200"/>
        <w:outlineLvl w:val="2"/>
        <w:rPr>
          <w:rFonts w:ascii="宋体" w:hAnsi="宋体"/>
          <w:b/>
          <w:bCs/>
          <w:kern w:val="0"/>
          <w:szCs w:val="21"/>
        </w:rPr>
      </w:pPr>
      <w:r>
        <w:rPr>
          <w:rFonts w:ascii="宋体" w:hAnsi="宋体"/>
          <w:b/>
          <w:bCs/>
          <w:kern w:val="0"/>
          <w:szCs w:val="21"/>
        </w:rPr>
        <w:t>7.4 履行合同</w:t>
      </w:r>
    </w:p>
    <w:p w14:paraId="2B10B4A6">
      <w:pPr>
        <w:spacing w:before="120" w:line="320" w:lineRule="atLeast"/>
        <w:ind w:firstLine="420" w:firstLineChars="200"/>
        <w:rPr>
          <w:rFonts w:ascii="宋体" w:hAnsi="宋体"/>
          <w:szCs w:val="21"/>
        </w:rPr>
      </w:pPr>
      <w:bookmarkStart w:id="71" w:name="_Toc308164814"/>
      <w:bookmarkStart w:id="72" w:name="_Toc217446070"/>
      <w:r>
        <w:rPr>
          <w:rFonts w:ascii="宋体" w:hAnsi="宋体"/>
          <w:szCs w:val="21"/>
        </w:rPr>
        <w:t>7.4.1</w:t>
      </w:r>
      <w:r>
        <w:rPr>
          <w:rFonts w:hint="eastAsia" w:ascii="宋体" w:hAnsi="宋体"/>
          <w:szCs w:val="21"/>
        </w:rPr>
        <w:t>采购人与成交供应商签订合同后，政府采购合同的履行、违约责任和解决争议的方法等适用《中华人民共和国民法典》。合同双方应严格执行合同条款，履行合同规定的义务，保证合同的顺利完成。双方均不得擅自变更、中止或者终止政府采购合同。</w:t>
      </w:r>
    </w:p>
    <w:p w14:paraId="3AEF00D9">
      <w:pPr>
        <w:spacing w:before="120" w:line="320" w:lineRule="atLeast"/>
        <w:ind w:firstLine="422" w:firstLineChars="200"/>
        <w:rPr>
          <w:rFonts w:ascii="宋体" w:hAnsi="宋体"/>
          <w:b/>
          <w:bCs/>
          <w:kern w:val="0"/>
          <w:szCs w:val="21"/>
        </w:rPr>
      </w:pPr>
      <w:r>
        <w:rPr>
          <w:rFonts w:ascii="宋体" w:hAnsi="宋体"/>
          <w:b/>
          <w:bCs/>
          <w:kern w:val="0"/>
          <w:szCs w:val="21"/>
        </w:rPr>
        <w:t>7.5履约验收</w:t>
      </w:r>
      <w:bookmarkEnd w:id="71"/>
      <w:bookmarkEnd w:id="72"/>
    </w:p>
    <w:p w14:paraId="7E0055AD">
      <w:pPr>
        <w:spacing w:before="120" w:line="320" w:lineRule="atLeast"/>
        <w:ind w:firstLine="420" w:firstLineChars="200"/>
        <w:rPr>
          <w:rFonts w:ascii="宋体" w:hAnsi="宋体"/>
          <w:szCs w:val="21"/>
        </w:rPr>
      </w:pPr>
      <w:r>
        <w:rPr>
          <w:rFonts w:ascii="宋体" w:hAnsi="宋体"/>
          <w:szCs w:val="21"/>
        </w:rPr>
        <w:t>7.5.1采购人可以根据政府采购项目具体情况自行组织验收，或者委托政府采购代理机构、国家认可的质量检测机构开展采购项目履约验收工作。</w:t>
      </w:r>
    </w:p>
    <w:p w14:paraId="6DE3CDAC">
      <w:pPr>
        <w:spacing w:before="120" w:line="320" w:lineRule="atLeast"/>
        <w:ind w:firstLine="420" w:firstLineChars="200"/>
        <w:rPr>
          <w:rFonts w:ascii="宋体" w:hAnsi="宋体"/>
          <w:szCs w:val="21"/>
        </w:rPr>
      </w:pPr>
      <w:r>
        <w:rPr>
          <w:rFonts w:ascii="宋体" w:hAnsi="宋体"/>
          <w:szCs w:val="21"/>
        </w:rPr>
        <w:t>7.5.2验收结果合格的，成交供应商可向采购人申请办理履约保证金（如有）的退付手续；验收结果不合格的，履约保证金（如有）将不予退还，并按合同约定处理，还可能会报告本项目同级财政部门并按照政府采购法律法规及有关规定给予行政处罚或者以失信行为记入诚信档案。</w:t>
      </w:r>
    </w:p>
    <w:p w14:paraId="57563B31">
      <w:pPr>
        <w:spacing w:before="120" w:line="320" w:lineRule="atLeast"/>
        <w:ind w:firstLine="420" w:firstLineChars="200"/>
        <w:rPr>
          <w:rFonts w:ascii="宋体" w:hAnsi="宋体"/>
          <w:szCs w:val="21"/>
        </w:rPr>
      </w:pPr>
      <w:r>
        <w:rPr>
          <w:rFonts w:ascii="宋体" w:hAnsi="宋体"/>
          <w:szCs w:val="21"/>
        </w:rPr>
        <w:t>7.5.3采购合同项目完成验收后，采购人应当将验收原始记录、验收书等资料作为该采购项目档案妥善保管，不得伪造、变造、隐匿或者销毁，验收资料保存期为采购结束之日起至少保存15年。</w:t>
      </w:r>
    </w:p>
    <w:p w14:paraId="22299C72">
      <w:pPr>
        <w:spacing w:before="120" w:line="320" w:lineRule="atLeast"/>
        <w:ind w:firstLine="420" w:firstLineChars="200"/>
        <w:rPr>
          <w:rFonts w:ascii="宋体" w:hAnsi="宋体"/>
          <w:szCs w:val="21"/>
        </w:rPr>
      </w:pPr>
      <w:r>
        <w:rPr>
          <w:rFonts w:ascii="宋体" w:hAnsi="宋体"/>
          <w:szCs w:val="21"/>
        </w:rPr>
        <w:t>7.5.4本项目将严格按照本采购文件及合同有关规定进行合同履约验收。采购文件或合同未规定的按财政部关于进一步加强政府采购需求和履约验收管理的指导意见（财库〔2016〕205号）以及《广西壮族自治区政府采购项目履约验收管理办法》（桂财采〔2015〕22号）的规定执行。</w:t>
      </w:r>
    </w:p>
    <w:p w14:paraId="31638C7E">
      <w:pPr>
        <w:spacing w:before="120" w:line="320" w:lineRule="atLeast"/>
        <w:ind w:left="2" w:leftChars="1" w:firstLine="422" w:firstLineChars="200"/>
        <w:outlineLvl w:val="1"/>
        <w:rPr>
          <w:rFonts w:ascii="宋体" w:hAnsi="宋体"/>
          <w:b/>
          <w:bCs/>
          <w:kern w:val="0"/>
          <w:szCs w:val="21"/>
        </w:rPr>
      </w:pPr>
      <w:bookmarkStart w:id="73" w:name="_Toc254970533"/>
      <w:bookmarkStart w:id="74" w:name="_Toc254970674"/>
      <w:r>
        <w:rPr>
          <w:rFonts w:ascii="宋体" w:hAnsi="宋体"/>
          <w:b/>
          <w:bCs/>
          <w:kern w:val="0"/>
          <w:szCs w:val="21"/>
        </w:rPr>
        <w:t>8．质疑和投诉</w:t>
      </w:r>
      <w:bookmarkEnd w:id="73"/>
      <w:bookmarkEnd w:id="74"/>
    </w:p>
    <w:p w14:paraId="531197C3">
      <w:pPr>
        <w:spacing w:before="120" w:line="320" w:lineRule="atLeast"/>
        <w:ind w:firstLine="422" w:firstLineChars="200"/>
        <w:outlineLvl w:val="2"/>
        <w:rPr>
          <w:rFonts w:ascii="宋体" w:hAnsi="宋体"/>
          <w:b/>
          <w:bCs/>
          <w:kern w:val="0"/>
          <w:szCs w:val="21"/>
        </w:rPr>
      </w:pPr>
      <w:r>
        <w:rPr>
          <w:rFonts w:ascii="宋体" w:hAnsi="宋体"/>
          <w:b/>
          <w:bCs/>
          <w:kern w:val="0"/>
          <w:szCs w:val="21"/>
        </w:rPr>
        <w:t>8.1质疑</w:t>
      </w:r>
    </w:p>
    <w:p w14:paraId="64F7F372">
      <w:pPr>
        <w:spacing w:before="120" w:line="320" w:lineRule="atLeast"/>
        <w:ind w:firstLine="420" w:firstLineChars="200"/>
        <w:rPr>
          <w:rFonts w:ascii="宋体" w:hAnsi="宋体"/>
          <w:szCs w:val="21"/>
        </w:rPr>
      </w:pPr>
      <w:r>
        <w:rPr>
          <w:rFonts w:ascii="宋体" w:hAnsi="宋体"/>
          <w:szCs w:val="21"/>
        </w:rPr>
        <w:t>8.1.1质疑内容、时限</w:t>
      </w:r>
    </w:p>
    <w:p w14:paraId="174353ED">
      <w:pPr>
        <w:spacing w:before="120" w:line="320" w:lineRule="atLeast"/>
        <w:ind w:firstLine="420" w:firstLineChars="200"/>
        <w:rPr>
          <w:rFonts w:ascii="宋体" w:hAnsi="宋体"/>
          <w:szCs w:val="21"/>
        </w:rPr>
      </w:pPr>
      <w:r>
        <w:rPr>
          <w:rFonts w:hint="eastAsia" w:ascii="宋体" w:hAnsi="宋体"/>
          <w:szCs w:val="21"/>
        </w:rPr>
        <w:t>（1）供应商对政府采购活动有疑问的，可以向采购人或采购代理机构提出询问。采购人或者采购代理机构应当在3个工作日内对供应商依法提出的询问作出答复。</w:t>
      </w:r>
    </w:p>
    <w:p w14:paraId="0CF77A13">
      <w:pPr>
        <w:spacing w:before="120" w:line="320" w:lineRule="atLeast"/>
        <w:ind w:firstLine="420" w:firstLineChars="200"/>
        <w:rPr>
          <w:rFonts w:ascii="宋体" w:hAnsi="宋体"/>
          <w:szCs w:val="21"/>
        </w:rPr>
      </w:pPr>
      <w:r>
        <w:rPr>
          <w:rFonts w:hint="eastAsia" w:ascii="宋体" w:hAnsi="宋体"/>
          <w:szCs w:val="21"/>
        </w:rPr>
        <w:t>（2）供应商认为采购文件、采购过程、中标或者成交结果使自己的权益受到损害的，可以在知道或者应知其权益受到损害之日起7个工作日内向采购人或采购代理机构提出质疑。采购人或</w:t>
      </w:r>
      <w:r>
        <w:rPr>
          <w:rFonts w:ascii="宋体" w:hAnsi="宋体"/>
          <w:szCs w:val="21"/>
        </w:rPr>
        <w:t>采购代理机构在收到供应商书面质疑后7个工作日内，对质疑内容作出答复。</w:t>
      </w:r>
    </w:p>
    <w:p w14:paraId="0D12EF9D">
      <w:pPr>
        <w:spacing w:before="120" w:line="320" w:lineRule="atLeast"/>
        <w:ind w:firstLine="420" w:firstLineChars="200"/>
        <w:rPr>
          <w:rFonts w:ascii="宋体" w:hAnsi="宋体"/>
          <w:szCs w:val="21"/>
        </w:rPr>
      </w:pPr>
      <w:r>
        <w:rPr>
          <w:rFonts w:ascii="宋体" w:hAnsi="宋体"/>
          <w:szCs w:val="21"/>
        </w:rPr>
        <w:t>8.1.2质疑形式</w:t>
      </w:r>
    </w:p>
    <w:p w14:paraId="2A7F232B">
      <w:pPr>
        <w:spacing w:before="120" w:line="320" w:lineRule="atLeast"/>
        <w:ind w:firstLine="420" w:firstLineChars="200"/>
        <w:rPr>
          <w:rFonts w:ascii="宋体" w:hAnsi="宋体"/>
          <w:szCs w:val="21"/>
        </w:rPr>
      </w:pPr>
      <w:r>
        <w:rPr>
          <w:rFonts w:ascii="宋体" w:hAnsi="宋体"/>
          <w:szCs w:val="21"/>
        </w:rPr>
        <w:t>质疑应当采用</w:t>
      </w:r>
      <w:r>
        <w:rPr>
          <w:rFonts w:hint="eastAsia" w:ascii="宋体" w:hAnsi="宋体"/>
          <w:szCs w:val="21"/>
        </w:rPr>
        <w:t>供应商</w:t>
      </w:r>
      <w:r>
        <w:rPr>
          <w:rFonts w:ascii="宋体" w:hAnsi="宋体"/>
          <w:szCs w:val="21"/>
        </w:rPr>
        <w:t>须知前附表所规定的形式，质疑书应明确阐述</w:t>
      </w:r>
      <w:r>
        <w:rPr>
          <w:rFonts w:hint="eastAsia" w:ascii="宋体" w:hAnsi="宋体"/>
          <w:szCs w:val="21"/>
        </w:rPr>
        <w:t>采购文件</w:t>
      </w:r>
      <w:r>
        <w:rPr>
          <w:rFonts w:ascii="宋体" w:hAnsi="宋体"/>
          <w:szCs w:val="21"/>
        </w:rPr>
        <w:t>、</w:t>
      </w:r>
      <w:r>
        <w:rPr>
          <w:rFonts w:hint="eastAsia" w:ascii="宋体" w:hAnsi="宋体"/>
          <w:szCs w:val="21"/>
        </w:rPr>
        <w:t>采购</w:t>
      </w:r>
      <w:r>
        <w:rPr>
          <w:rFonts w:ascii="宋体" w:hAnsi="宋体"/>
          <w:szCs w:val="21"/>
        </w:rPr>
        <w:t>过程或成交结果中使自己合法权益受到损害的实质性内容，提供相关事实、依据和证据及其来源或线索，便于有关单位调查、答复和处理。</w:t>
      </w:r>
    </w:p>
    <w:p w14:paraId="6A74E6E2">
      <w:pPr>
        <w:spacing w:before="120" w:line="320" w:lineRule="atLeast"/>
        <w:ind w:firstLine="420" w:firstLineChars="200"/>
        <w:rPr>
          <w:rFonts w:ascii="宋体" w:hAnsi="宋体"/>
          <w:szCs w:val="21"/>
        </w:rPr>
      </w:pPr>
      <w:r>
        <w:rPr>
          <w:rFonts w:hint="eastAsia" w:ascii="宋体" w:hAnsi="宋体"/>
          <w:szCs w:val="21"/>
        </w:rPr>
        <w:t>8</w:t>
      </w:r>
      <w:r>
        <w:rPr>
          <w:rFonts w:ascii="宋体" w:hAnsi="宋体"/>
          <w:szCs w:val="21"/>
        </w:rPr>
        <w:t>.1.3</w:t>
      </w:r>
      <w:r>
        <w:rPr>
          <w:rFonts w:hint="eastAsia" w:ascii="宋体" w:hAnsi="宋体"/>
        </w:rPr>
        <w:t xml:space="preserve"> </w:t>
      </w:r>
      <w:r>
        <w:rPr>
          <w:rFonts w:hint="eastAsia" w:ascii="宋体" w:hAnsi="宋体"/>
          <w:szCs w:val="21"/>
        </w:rPr>
        <w:t>供应商提出质疑应当提交质疑函和必要的证明材料。质疑函应当包括下列内容：</w:t>
      </w:r>
    </w:p>
    <w:p w14:paraId="21CA6A22">
      <w:pPr>
        <w:spacing w:before="120" w:line="320" w:lineRule="atLeast"/>
        <w:ind w:firstLine="420" w:firstLineChars="200"/>
        <w:rPr>
          <w:rFonts w:ascii="宋体" w:hAnsi="宋体"/>
          <w:szCs w:val="21"/>
        </w:rPr>
      </w:pPr>
      <w:r>
        <w:rPr>
          <w:rFonts w:hint="eastAsia" w:ascii="宋体" w:hAnsi="宋体"/>
          <w:szCs w:val="21"/>
        </w:rPr>
        <w:t>（1）</w:t>
      </w:r>
      <w:r>
        <w:rPr>
          <w:rFonts w:hint="eastAsia" w:ascii="宋体" w:hAnsi="宋体"/>
          <w:szCs w:val="21"/>
        </w:rPr>
        <w:tab/>
      </w:r>
      <w:r>
        <w:rPr>
          <w:rFonts w:hint="eastAsia" w:ascii="宋体" w:hAnsi="宋体"/>
          <w:szCs w:val="21"/>
        </w:rPr>
        <w:t>供应商的姓名或者名称、地址、邮编、联系人及联系电话；</w:t>
      </w:r>
    </w:p>
    <w:p w14:paraId="6D5661C1">
      <w:pPr>
        <w:spacing w:before="120" w:line="320" w:lineRule="atLeast"/>
        <w:ind w:firstLine="420" w:firstLineChars="200"/>
        <w:rPr>
          <w:rFonts w:ascii="宋体" w:hAnsi="宋体"/>
          <w:szCs w:val="21"/>
        </w:rPr>
      </w:pPr>
      <w:r>
        <w:rPr>
          <w:rFonts w:hint="eastAsia" w:ascii="宋体" w:hAnsi="宋体"/>
          <w:szCs w:val="21"/>
        </w:rPr>
        <w:t>（2）</w:t>
      </w:r>
      <w:r>
        <w:rPr>
          <w:rFonts w:hint="eastAsia" w:ascii="宋体" w:hAnsi="宋体"/>
          <w:szCs w:val="21"/>
        </w:rPr>
        <w:tab/>
      </w:r>
      <w:r>
        <w:rPr>
          <w:rFonts w:hint="eastAsia" w:ascii="宋体" w:hAnsi="宋体"/>
          <w:szCs w:val="21"/>
        </w:rPr>
        <w:t>质疑项目的名称、编号；</w:t>
      </w:r>
    </w:p>
    <w:p w14:paraId="25F12D4A">
      <w:pPr>
        <w:spacing w:before="120" w:line="320" w:lineRule="atLeast"/>
        <w:ind w:firstLine="420" w:firstLineChars="200"/>
        <w:rPr>
          <w:rFonts w:ascii="宋体" w:hAnsi="宋体"/>
          <w:szCs w:val="21"/>
        </w:rPr>
      </w:pPr>
      <w:r>
        <w:rPr>
          <w:rFonts w:hint="eastAsia" w:ascii="宋体" w:hAnsi="宋体"/>
          <w:szCs w:val="21"/>
        </w:rPr>
        <w:t>（3）</w:t>
      </w:r>
      <w:r>
        <w:rPr>
          <w:rFonts w:hint="eastAsia" w:ascii="宋体" w:hAnsi="宋体"/>
          <w:szCs w:val="21"/>
        </w:rPr>
        <w:tab/>
      </w:r>
      <w:r>
        <w:rPr>
          <w:rFonts w:hint="eastAsia" w:ascii="宋体" w:hAnsi="宋体"/>
          <w:szCs w:val="21"/>
        </w:rPr>
        <w:t>具体、明确的质疑事项和与质疑事项相关的请求；</w:t>
      </w:r>
    </w:p>
    <w:p w14:paraId="3063333F">
      <w:pPr>
        <w:spacing w:before="120" w:line="320" w:lineRule="atLeast"/>
        <w:ind w:firstLine="420" w:firstLineChars="200"/>
        <w:rPr>
          <w:rFonts w:ascii="宋体" w:hAnsi="宋体"/>
          <w:szCs w:val="21"/>
        </w:rPr>
      </w:pPr>
      <w:r>
        <w:rPr>
          <w:rFonts w:hint="eastAsia" w:ascii="宋体" w:hAnsi="宋体"/>
          <w:szCs w:val="21"/>
        </w:rPr>
        <w:t>（4）</w:t>
      </w:r>
      <w:r>
        <w:rPr>
          <w:rFonts w:hint="eastAsia" w:ascii="宋体" w:hAnsi="宋体"/>
          <w:szCs w:val="21"/>
        </w:rPr>
        <w:tab/>
      </w:r>
      <w:r>
        <w:rPr>
          <w:rFonts w:hint="eastAsia" w:ascii="宋体" w:hAnsi="宋体"/>
          <w:szCs w:val="21"/>
        </w:rPr>
        <w:t>事实依据；</w:t>
      </w:r>
    </w:p>
    <w:p w14:paraId="68B1B6AD">
      <w:pPr>
        <w:spacing w:before="120" w:line="320" w:lineRule="atLeast"/>
        <w:ind w:firstLine="420" w:firstLineChars="200"/>
        <w:rPr>
          <w:rFonts w:ascii="宋体" w:hAnsi="宋体"/>
          <w:szCs w:val="21"/>
        </w:rPr>
      </w:pPr>
      <w:r>
        <w:rPr>
          <w:rFonts w:hint="eastAsia" w:ascii="宋体" w:hAnsi="宋体"/>
          <w:szCs w:val="21"/>
        </w:rPr>
        <w:t>（5）</w:t>
      </w:r>
      <w:r>
        <w:rPr>
          <w:rFonts w:hint="eastAsia" w:ascii="宋体" w:hAnsi="宋体"/>
          <w:szCs w:val="21"/>
        </w:rPr>
        <w:tab/>
      </w:r>
      <w:r>
        <w:rPr>
          <w:rFonts w:hint="eastAsia" w:ascii="宋体" w:hAnsi="宋体"/>
          <w:szCs w:val="21"/>
        </w:rPr>
        <w:t>必要的法律依据；</w:t>
      </w:r>
    </w:p>
    <w:p w14:paraId="04B9ECEF">
      <w:pPr>
        <w:spacing w:before="120" w:line="320" w:lineRule="atLeast"/>
        <w:ind w:firstLine="420" w:firstLineChars="200"/>
        <w:rPr>
          <w:rFonts w:ascii="宋体" w:hAnsi="宋体"/>
          <w:szCs w:val="21"/>
        </w:rPr>
      </w:pPr>
      <w:r>
        <w:rPr>
          <w:rFonts w:hint="eastAsia" w:ascii="宋体" w:hAnsi="宋体"/>
          <w:szCs w:val="21"/>
        </w:rPr>
        <w:t>（6）</w:t>
      </w:r>
      <w:r>
        <w:rPr>
          <w:rFonts w:hint="eastAsia" w:ascii="宋体" w:hAnsi="宋体"/>
          <w:szCs w:val="21"/>
        </w:rPr>
        <w:tab/>
      </w:r>
      <w:r>
        <w:rPr>
          <w:rFonts w:hint="eastAsia" w:ascii="宋体" w:hAnsi="宋体"/>
          <w:szCs w:val="21"/>
        </w:rPr>
        <w:t>提出质疑的日期。</w:t>
      </w:r>
    </w:p>
    <w:p w14:paraId="6BC33762">
      <w:pPr>
        <w:spacing w:before="120" w:line="320" w:lineRule="atLeast"/>
        <w:ind w:firstLine="420" w:firstLineChars="200"/>
        <w:rPr>
          <w:rFonts w:ascii="宋体" w:hAnsi="宋体"/>
          <w:szCs w:val="21"/>
        </w:rPr>
      </w:pPr>
      <w:r>
        <w:rPr>
          <w:rFonts w:hint="eastAsia" w:ascii="宋体" w:hAnsi="宋体"/>
          <w:szCs w:val="21"/>
        </w:rPr>
        <w:t>供应商为自然人的，应当由本人签字；供应商为法人或者其他组织的，应当由法定代表人、主要负责人，或者其授权代表签字或者盖章，并加盖公章。</w:t>
      </w:r>
      <w:r>
        <w:rPr>
          <w:rFonts w:ascii="宋体" w:hAnsi="宋体"/>
          <w:szCs w:val="21"/>
        </w:rPr>
        <w:t xml:space="preserve"> </w:t>
      </w:r>
    </w:p>
    <w:p w14:paraId="3B308B09">
      <w:pPr>
        <w:spacing w:before="120" w:line="320" w:lineRule="atLeast"/>
        <w:ind w:firstLine="422" w:firstLineChars="200"/>
        <w:outlineLvl w:val="2"/>
        <w:rPr>
          <w:rFonts w:ascii="宋体" w:hAnsi="宋体"/>
          <w:b/>
          <w:bCs/>
          <w:kern w:val="0"/>
          <w:szCs w:val="21"/>
        </w:rPr>
      </w:pPr>
      <w:r>
        <w:rPr>
          <w:rFonts w:ascii="宋体" w:hAnsi="宋体"/>
          <w:b/>
          <w:bCs/>
          <w:kern w:val="0"/>
          <w:szCs w:val="21"/>
        </w:rPr>
        <w:t>8.2投诉</w:t>
      </w:r>
    </w:p>
    <w:p w14:paraId="5052A96B">
      <w:pPr>
        <w:spacing w:before="120" w:line="320" w:lineRule="atLeast"/>
        <w:ind w:firstLine="420" w:firstLineChars="200"/>
        <w:rPr>
          <w:rFonts w:ascii="宋体" w:hAnsi="宋体"/>
          <w:szCs w:val="21"/>
        </w:rPr>
      </w:pPr>
      <w:r>
        <w:rPr>
          <w:rFonts w:ascii="宋体" w:hAnsi="宋体"/>
          <w:szCs w:val="21"/>
        </w:rPr>
        <w:t>8.2.1供应商对采购人、采购代理机构的答复不满意，或者采购人、采购代理机构未在规定时间内答复的，可在答复期满后15个工作日内按有关规定，向同级财政部门投诉。</w:t>
      </w:r>
    </w:p>
    <w:p w14:paraId="0E3A3CD9">
      <w:pPr>
        <w:spacing w:before="120" w:line="320" w:lineRule="atLeast"/>
        <w:ind w:firstLine="420" w:firstLineChars="200"/>
        <w:rPr>
          <w:rFonts w:ascii="宋体" w:hAnsi="宋体"/>
          <w:szCs w:val="21"/>
        </w:rPr>
      </w:pPr>
      <w:r>
        <w:rPr>
          <w:rFonts w:ascii="宋体" w:hAnsi="宋体"/>
          <w:szCs w:val="21"/>
        </w:rPr>
        <w:t>8.2.</w:t>
      </w:r>
      <w:r>
        <w:rPr>
          <w:rFonts w:hint="eastAsia" w:ascii="宋体" w:hAnsi="宋体"/>
          <w:szCs w:val="21"/>
        </w:rPr>
        <w:t>2投诉</w:t>
      </w:r>
      <w:r>
        <w:rPr>
          <w:rFonts w:ascii="宋体" w:hAnsi="宋体"/>
          <w:szCs w:val="21"/>
        </w:rPr>
        <w:t>书应使用财政部发布的</w:t>
      </w:r>
      <w:r>
        <w:rPr>
          <w:rFonts w:hint="eastAsia" w:ascii="宋体" w:hAnsi="宋体"/>
          <w:szCs w:val="21"/>
        </w:rPr>
        <w:t>政府采购供应投诉书范本，并应按照“投诉书制作说明”进行编写。</w:t>
      </w:r>
    </w:p>
    <w:p w14:paraId="6B3D158A">
      <w:pPr>
        <w:spacing w:before="120" w:line="320" w:lineRule="atLeast"/>
        <w:ind w:firstLine="422" w:firstLineChars="200"/>
        <w:outlineLvl w:val="1"/>
        <w:rPr>
          <w:rFonts w:ascii="宋体" w:hAnsi="宋体"/>
          <w:b/>
          <w:bCs/>
          <w:kern w:val="0"/>
          <w:szCs w:val="21"/>
        </w:rPr>
      </w:pPr>
      <w:r>
        <w:rPr>
          <w:rFonts w:ascii="宋体" w:hAnsi="宋体"/>
          <w:b/>
          <w:bCs/>
          <w:kern w:val="0"/>
          <w:szCs w:val="21"/>
        </w:rPr>
        <w:t>9．其他事项</w:t>
      </w:r>
    </w:p>
    <w:p w14:paraId="21703EA1">
      <w:pPr>
        <w:spacing w:before="120" w:line="320" w:lineRule="atLeast"/>
        <w:ind w:firstLine="420" w:firstLineChars="200"/>
        <w:rPr>
          <w:rFonts w:ascii="宋体" w:hAnsi="宋体"/>
          <w:szCs w:val="21"/>
        </w:rPr>
      </w:pPr>
      <w:r>
        <w:rPr>
          <w:rFonts w:ascii="宋体" w:hAnsi="宋体"/>
          <w:szCs w:val="21"/>
        </w:rPr>
        <w:t>9.1代理服务收费由采购代理机构向成交供应商收取。签订合同前，成交供应商应向采购代理机构一次付清代理服务费。</w:t>
      </w:r>
    </w:p>
    <w:p w14:paraId="6A1F64C0">
      <w:pPr>
        <w:spacing w:before="120" w:line="276" w:lineRule="auto"/>
        <w:ind w:firstLine="420" w:firstLineChars="200"/>
        <w:rPr>
          <w:rFonts w:ascii="宋体" w:hAnsi="宋体"/>
          <w:szCs w:val="21"/>
        </w:rPr>
      </w:pPr>
      <w:r>
        <w:rPr>
          <w:rFonts w:ascii="宋体" w:hAnsi="宋体"/>
          <w:szCs w:val="21"/>
        </w:rPr>
        <w:t>9.2</w:t>
      </w:r>
      <w:r>
        <w:rPr>
          <w:rFonts w:hint="eastAsia" w:ascii="宋体" w:hAnsi="宋体"/>
          <w:szCs w:val="21"/>
        </w:rPr>
        <w:t>电子交易活动的中止。采购过程中出现以下情形，导致电子交易平台无法正常运行，或者无法保证电子交易的公平、公正和安全时，采购机构可中止电子交易活动：</w:t>
      </w:r>
    </w:p>
    <w:p w14:paraId="516917C7">
      <w:pPr>
        <w:spacing w:before="120" w:line="276" w:lineRule="auto"/>
        <w:ind w:firstLine="420" w:firstLineChars="200"/>
        <w:rPr>
          <w:rFonts w:ascii="宋体" w:hAnsi="宋体"/>
          <w:szCs w:val="21"/>
        </w:rPr>
      </w:pPr>
      <w:r>
        <w:rPr>
          <w:rFonts w:hint="eastAsia" w:ascii="宋体" w:hAnsi="宋体"/>
          <w:szCs w:val="21"/>
        </w:rPr>
        <w:t xml:space="preserve">（1）电子交易平台发生故障而无法登录访问的； </w:t>
      </w:r>
    </w:p>
    <w:p w14:paraId="47C21B10">
      <w:pPr>
        <w:spacing w:before="120" w:line="276" w:lineRule="auto"/>
        <w:ind w:firstLine="420" w:firstLineChars="200"/>
        <w:rPr>
          <w:rFonts w:ascii="宋体" w:hAnsi="宋体"/>
          <w:szCs w:val="21"/>
        </w:rPr>
      </w:pPr>
      <w:r>
        <w:rPr>
          <w:rFonts w:hint="eastAsia" w:ascii="宋体" w:hAnsi="宋体"/>
          <w:szCs w:val="21"/>
        </w:rPr>
        <w:t>（2）电子交易平台应用或数据库出现错误，不能进行正常操作的；</w:t>
      </w:r>
    </w:p>
    <w:p w14:paraId="7C95129F">
      <w:pPr>
        <w:spacing w:before="120" w:line="276" w:lineRule="auto"/>
        <w:ind w:firstLine="420" w:firstLineChars="200"/>
        <w:rPr>
          <w:rFonts w:ascii="宋体" w:hAnsi="宋体"/>
          <w:szCs w:val="21"/>
        </w:rPr>
      </w:pPr>
      <w:r>
        <w:rPr>
          <w:rFonts w:hint="eastAsia" w:ascii="宋体" w:hAnsi="宋体"/>
          <w:szCs w:val="21"/>
        </w:rPr>
        <w:t>（3）电子交易平台发现严重安全漏洞，有潜在泄密危险的；</w:t>
      </w:r>
    </w:p>
    <w:p w14:paraId="7DF8477B">
      <w:pPr>
        <w:spacing w:before="120" w:line="276" w:lineRule="auto"/>
        <w:ind w:firstLine="420" w:firstLineChars="200"/>
        <w:rPr>
          <w:rFonts w:ascii="宋体" w:hAnsi="宋体"/>
          <w:szCs w:val="21"/>
        </w:rPr>
      </w:pPr>
      <w:r>
        <w:rPr>
          <w:rFonts w:hint="eastAsia" w:ascii="宋体" w:hAnsi="宋体"/>
          <w:szCs w:val="21"/>
        </w:rPr>
        <w:t xml:space="preserve">（4）病毒发作导致不能进行正常操作的； </w:t>
      </w:r>
    </w:p>
    <w:p w14:paraId="38DB4547">
      <w:pPr>
        <w:spacing w:before="120" w:line="276" w:lineRule="auto"/>
        <w:ind w:firstLine="420" w:firstLineChars="200"/>
        <w:rPr>
          <w:rFonts w:ascii="宋体" w:hAnsi="宋体"/>
          <w:szCs w:val="21"/>
        </w:rPr>
      </w:pPr>
      <w:r>
        <w:rPr>
          <w:rFonts w:hint="eastAsia" w:ascii="宋体" w:hAnsi="宋体"/>
          <w:szCs w:val="21"/>
        </w:rPr>
        <w:t>（</w:t>
      </w:r>
      <w:r>
        <w:rPr>
          <w:rFonts w:ascii="宋体" w:hAnsi="宋体"/>
          <w:szCs w:val="21"/>
        </w:rPr>
        <w:t>5</w:t>
      </w:r>
      <w:r>
        <w:rPr>
          <w:rFonts w:hint="eastAsia" w:ascii="宋体" w:hAnsi="宋体"/>
          <w:szCs w:val="21"/>
        </w:rPr>
        <w:t>）其他无法保证电子交易的公平、公正和安全的情况。</w:t>
      </w:r>
    </w:p>
    <w:p w14:paraId="4EFD778E">
      <w:pPr>
        <w:tabs>
          <w:tab w:val="left" w:pos="4820"/>
        </w:tabs>
        <w:spacing w:before="120" w:line="360" w:lineRule="auto"/>
        <w:ind w:firstLine="420" w:firstLineChars="200"/>
        <w:rPr>
          <w:rFonts w:ascii="宋体" w:hAnsi="宋体"/>
          <w:szCs w:val="21"/>
        </w:rPr>
      </w:pPr>
      <w:r>
        <w:rPr>
          <w:rFonts w:hint="eastAsia" w:ascii="宋体" w:hAnsi="宋体"/>
          <w:szCs w:val="21"/>
        </w:rPr>
        <w:t>出现以上情形，不影响采购公平、公正性的，采购组织机构可以待上述情形消除后继续组织电子交易活动；影响或可能影响采购公平、公正性的，经采购代理机构确认后，应当重新采购。采购代理机构必须对原有的资料及信息作出妥善保密处理，并报财政部门备案。</w:t>
      </w:r>
      <w:r>
        <w:rPr>
          <w:rFonts w:ascii="宋体" w:hAnsi="宋体"/>
          <w:szCs w:val="21"/>
        </w:rPr>
        <w:t xml:space="preserve"> </w:t>
      </w:r>
    </w:p>
    <w:p w14:paraId="6CE0565A">
      <w:pPr>
        <w:spacing w:line="360" w:lineRule="auto"/>
        <w:ind w:firstLine="420"/>
        <w:rPr>
          <w:rFonts w:ascii="宋体" w:hAnsi="宋体"/>
          <w:szCs w:val="21"/>
        </w:rPr>
      </w:pPr>
      <w:r>
        <w:rPr>
          <w:rFonts w:ascii="宋体" w:hAnsi="宋体"/>
          <w:szCs w:val="21"/>
        </w:rPr>
        <w:t>9.3</w:t>
      </w:r>
      <w:r>
        <w:rPr>
          <w:rFonts w:hint="eastAsia" w:ascii="宋体" w:hAnsi="宋体"/>
          <w:szCs w:val="21"/>
        </w:rPr>
        <w:t>本项目的附件及图纸</w:t>
      </w:r>
      <w:r>
        <w:rPr>
          <w:rFonts w:ascii="宋体" w:hAnsi="宋体"/>
          <w:szCs w:val="21"/>
        </w:rPr>
        <w:t>详见供应商须知前附表</w:t>
      </w:r>
      <w:r>
        <w:rPr>
          <w:rFonts w:hint="eastAsia" w:ascii="宋体" w:hAnsi="宋体"/>
          <w:szCs w:val="21"/>
        </w:rPr>
        <w:t>。</w:t>
      </w:r>
    </w:p>
    <w:p w14:paraId="755DBDBE">
      <w:pPr>
        <w:spacing w:line="360" w:lineRule="auto"/>
        <w:ind w:firstLine="420"/>
        <w:rPr>
          <w:rFonts w:ascii="宋体" w:hAnsi="宋体"/>
          <w:szCs w:val="21"/>
        </w:rPr>
      </w:pPr>
      <w:r>
        <w:rPr>
          <w:rFonts w:ascii="宋体" w:hAnsi="宋体"/>
          <w:szCs w:val="21"/>
        </w:rPr>
        <w:t>9.4</w:t>
      </w:r>
      <w:r>
        <w:rPr>
          <w:rFonts w:hint="eastAsia" w:ascii="宋体" w:hAnsi="宋体"/>
          <w:szCs w:val="21"/>
        </w:rPr>
        <w:t>本项目的其他事项</w:t>
      </w:r>
      <w:r>
        <w:rPr>
          <w:rFonts w:ascii="宋体" w:hAnsi="宋体"/>
          <w:szCs w:val="21"/>
        </w:rPr>
        <w:t>详见供应商须知前附表</w:t>
      </w:r>
      <w:r>
        <w:rPr>
          <w:rFonts w:hint="eastAsia" w:ascii="宋体" w:hAnsi="宋体"/>
          <w:szCs w:val="21"/>
        </w:rPr>
        <w:t>。</w:t>
      </w:r>
    </w:p>
    <w:p w14:paraId="28451664">
      <w:pPr>
        <w:spacing w:before="120" w:line="320" w:lineRule="atLeast"/>
        <w:ind w:left="2" w:leftChars="1" w:firstLine="422" w:firstLineChars="200"/>
        <w:outlineLvl w:val="1"/>
        <w:rPr>
          <w:rFonts w:ascii="宋体" w:hAnsi="宋体"/>
          <w:b/>
          <w:bCs/>
          <w:kern w:val="0"/>
          <w:szCs w:val="21"/>
        </w:rPr>
      </w:pPr>
      <w:r>
        <w:rPr>
          <w:rFonts w:ascii="宋体" w:hAnsi="宋体"/>
          <w:b/>
          <w:bCs/>
          <w:kern w:val="0"/>
          <w:szCs w:val="21"/>
        </w:rPr>
        <w:t>10．</w:t>
      </w:r>
      <w:r>
        <w:rPr>
          <w:rFonts w:hint="eastAsia" w:ascii="宋体" w:hAnsi="宋体"/>
          <w:b/>
          <w:bCs/>
          <w:kern w:val="0"/>
          <w:szCs w:val="21"/>
        </w:rPr>
        <w:t>其他说明</w:t>
      </w:r>
    </w:p>
    <w:p w14:paraId="7D78B13F">
      <w:pPr>
        <w:spacing w:before="120" w:line="320" w:lineRule="atLeast"/>
        <w:ind w:left="2" w:leftChars="1" w:firstLine="422" w:firstLineChars="200"/>
        <w:outlineLvl w:val="1"/>
        <w:rPr>
          <w:rFonts w:ascii="宋体" w:hAnsi="宋体"/>
          <w:kern w:val="0"/>
          <w:szCs w:val="21"/>
        </w:rPr>
      </w:pPr>
      <w:r>
        <w:rPr>
          <w:rFonts w:hint="eastAsia" w:ascii="宋体" w:hAnsi="宋体"/>
          <w:b/>
          <w:bCs/>
          <w:kern w:val="0"/>
          <w:szCs w:val="21"/>
        </w:rPr>
        <w:t>1</w:t>
      </w:r>
      <w:r>
        <w:rPr>
          <w:rFonts w:ascii="宋体" w:hAnsi="宋体"/>
          <w:b/>
          <w:bCs/>
          <w:kern w:val="0"/>
          <w:szCs w:val="21"/>
        </w:rPr>
        <w:t>0.1</w:t>
      </w:r>
      <w:r>
        <w:rPr>
          <w:rFonts w:hint="eastAsia" w:ascii="宋体" w:hAnsi="宋体"/>
          <w:kern w:val="0"/>
          <w:szCs w:val="21"/>
        </w:rPr>
        <w:t>其余未尽事宜按</w:t>
      </w:r>
      <w:r>
        <w:rPr>
          <w:rFonts w:ascii="宋体" w:hAnsi="宋体"/>
          <w:kern w:val="0"/>
          <w:szCs w:val="21"/>
        </w:rPr>
        <w:t>《中华人民共和国政府采购法》、《中华人民共和国政府采购法实施条例》</w:t>
      </w:r>
      <w:r>
        <w:rPr>
          <w:rFonts w:hint="eastAsia" w:ascii="宋体" w:hAnsi="宋体"/>
          <w:kern w:val="0"/>
          <w:szCs w:val="21"/>
        </w:rPr>
        <w:t>的相关规定执行。</w:t>
      </w:r>
    </w:p>
    <w:p w14:paraId="1A34C390">
      <w:pPr>
        <w:spacing w:before="120" w:line="320" w:lineRule="atLeast"/>
        <w:outlineLvl w:val="1"/>
        <w:rPr>
          <w:rFonts w:ascii="宋体" w:hAnsi="宋体"/>
        </w:rPr>
        <w:sectPr>
          <w:headerReference r:id="rId15" w:type="default"/>
          <w:pgSz w:w="11906" w:h="16838"/>
          <w:pgMar w:top="1418" w:right="1418" w:bottom="1246" w:left="1418" w:header="851" w:footer="992" w:gutter="0"/>
          <w:pgNumType w:fmt="decimal"/>
          <w:cols w:space="720" w:num="1"/>
          <w:docGrid w:linePitch="312" w:charSpace="0"/>
        </w:sectPr>
      </w:pPr>
      <w:r>
        <w:rPr>
          <w:rFonts w:ascii="宋体" w:hAnsi="宋体"/>
          <w:b/>
          <w:bCs/>
          <w:kern w:val="0"/>
          <w:szCs w:val="21"/>
        </w:rPr>
        <w:t>10.2</w:t>
      </w:r>
      <w:r>
        <w:rPr>
          <w:rFonts w:hint="eastAsia" w:ascii="宋体" w:hAnsi="宋体"/>
        </w:rPr>
        <w:t>本</w:t>
      </w:r>
      <w:r>
        <w:rPr>
          <w:rFonts w:ascii="宋体" w:hAnsi="宋体"/>
        </w:rPr>
        <w:t>采购文件是根据国家有关法律及有关政策、法规和参照国际惯例编制，解释权属采购代理机构</w:t>
      </w:r>
    </w:p>
    <w:p w14:paraId="753F2095">
      <w:pPr>
        <w:pStyle w:val="26"/>
        <w:snapToGrid w:val="0"/>
        <w:spacing w:before="120" w:after="120" w:line="320" w:lineRule="exact"/>
        <w:jc w:val="center"/>
        <w:outlineLvl w:val="0"/>
        <w:rPr>
          <w:rFonts w:hAnsi="宋体" w:cs="Times New Roman"/>
          <w:sz w:val="32"/>
          <w:szCs w:val="32"/>
        </w:rPr>
      </w:pPr>
      <w:bookmarkStart w:id="75" w:name="_Toc2674"/>
      <w:r>
        <w:rPr>
          <w:rFonts w:hAnsi="宋体" w:cs="Times New Roman"/>
          <w:sz w:val="32"/>
          <w:szCs w:val="32"/>
        </w:rPr>
        <w:t>第四章  评审方法及标准</w:t>
      </w:r>
      <w:bookmarkEnd w:id="75"/>
    </w:p>
    <w:p w14:paraId="11D1F9F4">
      <w:pPr>
        <w:spacing w:before="120" w:line="320" w:lineRule="atLeast"/>
        <w:ind w:firstLine="413" w:firstLineChars="196"/>
        <w:outlineLvl w:val="1"/>
        <w:rPr>
          <w:rFonts w:ascii="宋体" w:hAnsi="宋体"/>
          <w:b/>
          <w:bCs/>
          <w:kern w:val="0"/>
          <w:szCs w:val="21"/>
        </w:rPr>
      </w:pPr>
      <w:r>
        <w:rPr>
          <w:rFonts w:hint="eastAsia" w:ascii="宋体" w:hAnsi="宋体"/>
          <w:b/>
          <w:bCs/>
          <w:kern w:val="0"/>
          <w:szCs w:val="21"/>
        </w:rPr>
        <w:t>1.</w:t>
      </w:r>
      <w:r>
        <w:rPr>
          <w:rFonts w:ascii="宋体" w:hAnsi="宋体"/>
          <w:b/>
          <w:bCs/>
          <w:kern w:val="0"/>
          <w:szCs w:val="21"/>
        </w:rPr>
        <w:t>评审</w:t>
      </w:r>
      <w:r>
        <w:rPr>
          <w:rFonts w:hint="eastAsia" w:ascii="宋体" w:hAnsi="宋体"/>
          <w:b/>
          <w:bCs/>
          <w:kern w:val="0"/>
          <w:szCs w:val="21"/>
        </w:rPr>
        <w:t>方法</w:t>
      </w:r>
    </w:p>
    <w:p w14:paraId="3F6EC900">
      <w:pPr>
        <w:suppressAutoHyphens/>
        <w:spacing w:before="120" w:line="320" w:lineRule="atLeast"/>
        <w:ind w:firstLine="420" w:firstLineChars="200"/>
        <w:rPr>
          <w:rFonts w:ascii="宋体" w:hAnsi="宋体"/>
          <w:kern w:val="1"/>
          <w:szCs w:val="21"/>
        </w:rPr>
      </w:pPr>
      <w:r>
        <w:rPr>
          <w:rFonts w:ascii="宋体" w:hAnsi="宋体"/>
          <w:szCs w:val="21"/>
        </w:rPr>
        <w:t>本项目采用</w:t>
      </w:r>
      <w:r>
        <w:rPr>
          <w:rFonts w:ascii="宋体" w:hAnsi="宋体"/>
          <w:bCs/>
          <w:kern w:val="1"/>
          <w:szCs w:val="21"/>
        </w:rPr>
        <w:t>综合评分法</w:t>
      </w:r>
      <w:r>
        <w:rPr>
          <w:rFonts w:ascii="宋体" w:hAnsi="宋体"/>
          <w:szCs w:val="21"/>
        </w:rPr>
        <w:t>进行评审</w:t>
      </w:r>
      <w:r>
        <w:rPr>
          <w:rFonts w:ascii="宋体" w:hAnsi="宋体"/>
          <w:bCs/>
          <w:kern w:val="1"/>
          <w:szCs w:val="21"/>
        </w:rPr>
        <w:t>。</w:t>
      </w:r>
      <w:r>
        <w:rPr>
          <w:rFonts w:ascii="宋体" w:hAnsi="宋体"/>
          <w:szCs w:val="21"/>
        </w:rPr>
        <w:t>综合评分法，是指响应文件满足采购文件全部实质性要求且按照评审因素的量化指标评审得分最高的</w:t>
      </w:r>
      <w:r>
        <w:rPr>
          <w:rFonts w:hint="eastAsia" w:ascii="宋体" w:hAnsi="宋体"/>
          <w:szCs w:val="21"/>
        </w:rPr>
        <w:t>供应商</w:t>
      </w:r>
      <w:r>
        <w:rPr>
          <w:rFonts w:ascii="宋体" w:hAnsi="宋体"/>
          <w:szCs w:val="21"/>
        </w:rPr>
        <w:t>为</w:t>
      </w:r>
      <w:r>
        <w:rPr>
          <w:rFonts w:hint="eastAsia" w:ascii="宋体" w:hAnsi="宋体"/>
          <w:szCs w:val="21"/>
        </w:rPr>
        <w:t>成交</w:t>
      </w:r>
      <w:r>
        <w:rPr>
          <w:rFonts w:ascii="宋体" w:hAnsi="宋体"/>
          <w:szCs w:val="21"/>
        </w:rPr>
        <w:t>候选人的评审方法。</w:t>
      </w:r>
    </w:p>
    <w:p w14:paraId="1821EA28">
      <w:pPr>
        <w:suppressAutoHyphens/>
        <w:spacing w:before="120" w:line="320" w:lineRule="atLeast"/>
        <w:ind w:firstLine="420" w:firstLineChars="200"/>
        <w:rPr>
          <w:rFonts w:ascii="宋体" w:hAnsi="宋体"/>
          <w:kern w:val="1"/>
          <w:szCs w:val="21"/>
        </w:rPr>
      </w:pPr>
      <w:r>
        <w:rPr>
          <w:rFonts w:hint="eastAsia" w:ascii="宋体" w:hAnsi="宋体"/>
          <w:kern w:val="1"/>
          <w:szCs w:val="21"/>
        </w:rPr>
        <w:t>本项目评审的其他详细规定在第三章供应商须知中规定。</w:t>
      </w:r>
    </w:p>
    <w:p w14:paraId="6820BC3F">
      <w:pPr>
        <w:spacing w:before="120" w:line="320" w:lineRule="atLeast"/>
        <w:ind w:firstLine="413" w:firstLineChars="196"/>
        <w:outlineLvl w:val="1"/>
        <w:rPr>
          <w:rFonts w:ascii="宋体" w:hAnsi="宋体"/>
          <w:b/>
          <w:kern w:val="0"/>
          <w:szCs w:val="21"/>
        </w:rPr>
      </w:pPr>
      <w:r>
        <w:rPr>
          <w:rFonts w:ascii="宋体" w:hAnsi="宋体"/>
          <w:b/>
          <w:kern w:val="0"/>
          <w:szCs w:val="21"/>
        </w:rPr>
        <w:t>2</w:t>
      </w:r>
      <w:r>
        <w:rPr>
          <w:rFonts w:hint="eastAsia" w:ascii="宋体" w:hAnsi="宋体"/>
          <w:b/>
          <w:kern w:val="0"/>
          <w:szCs w:val="21"/>
        </w:rPr>
        <w:t>.资格审查标准</w:t>
      </w:r>
      <w:r>
        <w:rPr>
          <w:rFonts w:hint="eastAsia" w:ascii="宋体" w:hAnsi="宋体"/>
          <w:b/>
          <w:bCs/>
          <w:kern w:val="0"/>
          <w:szCs w:val="21"/>
        </w:rPr>
        <w:t>（不满足任何一项审查内容要求，资格审查即为不合格；</w:t>
      </w:r>
      <w:bookmarkStart w:id="76" w:name="_Hlk160525103"/>
      <w:r>
        <w:rPr>
          <w:rFonts w:hint="eastAsia" w:ascii="宋体" w:hAnsi="宋体"/>
          <w:b/>
          <w:bCs/>
          <w:kern w:val="0"/>
          <w:szCs w:val="21"/>
        </w:rPr>
        <w:t>联合体投标的，联合体各方均应提交第一项基本资格要求的资格证明文件）</w:t>
      </w:r>
      <w:bookmarkEnd w:id="76"/>
    </w:p>
    <w:tbl>
      <w:tblPr>
        <w:tblStyle w:val="51"/>
        <w:tblW w:w="8931"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1843"/>
        <w:gridCol w:w="6242"/>
      </w:tblGrid>
      <w:tr w14:paraId="55D09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846" w:type="dxa"/>
            <w:vAlign w:val="center"/>
          </w:tcPr>
          <w:p w14:paraId="4AE2B42C">
            <w:pPr>
              <w:spacing w:line="240" w:lineRule="exact"/>
              <w:jc w:val="center"/>
              <w:rPr>
                <w:rFonts w:ascii="宋体" w:hAnsi="宋体"/>
                <w:b/>
                <w:kern w:val="0"/>
                <w:szCs w:val="21"/>
              </w:rPr>
            </w:pPr>
            <w:r>
              <w:rPr>
                <w:rFonts w:hint="eastAsia" w:ascii="宋体" w:hAnsi="宋体"/>
                <w:b/>
                <w:kern w:val="0"/>
                <w:szCs w:val="21"/>
              </w:rPr>
              <w:t>审查</w:t>
            </w:r>
            <w:r>
              <w:rPr>
                <w:rFonts w:ascii="宋体" w:hAnsi="宋体"/>
                <w:b/>
                <w:kern w:val="0"/>
                <w:szCs w:val="21"/>
              </w:rPr>
              <w:t>因素</w:t>
            </w:r>
          </w:p>
        </w:tc>
        <w:tc>
          <w:tcPr>
            <w:tcW w:w="1843" w:type="dxa"/>
            <w:vAlign w:val="center"/>
          </w:tcPr>
          <w:p w14:paraId="7626DC6A">
            <w:pPr>
              <w:spacing w:line="240" w:lineRule="exact"/>
              <w:jc w:val="center"/>
              <w:rPr>
                <w:rFonts w:ascii="宋体" w:hAnsi="宋体"/>
                <w:b/>
                <w:kern w:val="0"/>
                <w:szCs w:val="21"/>
              </w:rPr>
            </w:pPr>
            <w:r>
              <w:rPr>
                <w:rFonts w:hint="eastAsia" w:ascii="宋体" w:hAnsi="宋体"/>
                <w:b/>
                <w:kern w:val="0"/>
                <w:szCs w:val="21"/>
              </w:rPr>
              <w:t>审查</w:t>
            </w:r>
            <w:r>
              <w:rPr>
                <w:rFonts w:ascii="宋体" w:hAnsi="宋体"/>
                <w:b/>
                <w:kern w:val="0"/>
                <w:szCs w:val="21"/>
              </w:rPr>
              <w:t>内容</w:t>
            </w:r>
          </w:p>
        </w:tc>
        <w:tc>
          <w:tcPr>
            <w:tcW w:w="6242" w:type="dxa"/>
            <w:vAlign w:val="center"/>
          </w:tcPr>
          <w:p w14:paraId="4BE2C5F1">
            <w:pPr>
              <w:spacing w:line="240" w:lineRule="exact"/>
              <w:jc w:val="center"/>
              <w:rPr>
                <w:rFonts w:ascii="宋体" w:hAnsi="宋体"/>
                <w:b/>
                <w:kern w:val="0"/>
                <w:szCs w:val="21"/>
              </w:rPr>
            </w:pPr>
            <w:r>
              <w:rPr>
                <w:rFonts w:hint="eastAsia" w:ascii="宋体" w:hAnsi="宋体"/>
                <w:b/>
                <w:kern w:val="0"/>
                <w:szCs w:val="21"/>
              </w:rPr>
              <w:t>说明</w:t>
            </w:r>
          </w:p>
        </w:tc>
      </w:tr>
      <w:tr w14:paraId="5A5C1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0" w:hRule="atLeast"/>
        </w:trPr>
        <w:tc>
          <w:tcPr>
            <w:tcW w:w="846" w:type="dxa"/>
            <w:vMerge w:val="restart"/>
            <w:vAlign w:val="center"/>
          </w:tcPr>
          <w:p w14:paraId="3F26924E">
            <w:pPr>
              <w:spacing w:line="240" w:lineRule="exact"/>
              <w:rPr>
                <w:rFonts w:ascii="宋体" w:hAnsi="宋体"/>
                <w:szCs w:val="21"/>
                <w:lang w:val="zh-CN"/>
              </w:rPr>
            </w:pPr>
            <w:r>
              <w:rPr>
                <w:rFonts w:ascii="宋体" w:hAnsi="宋体"/>
                <w:szCs w:val="21"/>
                <w:lang w:val="zh-CN"/>
              </w:rPr>
              <w:t>供应商应符合的</w:t>
            </w:r>
            <w:r>
              <w:rPr>
                <w:rFonts w:hint="eastAsia" w:ascii="宋体" w:hAnsi="宋体"/>
                <w:szCs w:val="21"/>
                <w:lang w:val="zh-CN"/>
              </w:rPr>
              <w:t>基本</w:t>
            </w:r>
            <w:r>
              <w:rPr>
                <w:rFonts w:ascii="宋体" w:hAnsi="宋体"/>
                <w:szCs w:val="21"/>
              </w:rPr>
              <w:t>资格</w:t>
            </w:r>
            <w:r>
              <w:rPr>
                <w:rFonts w:hint="eastAsia" w:ascii="宋体" w:hAnsi="宋体"/>
                <w:szCs w:val="21"/>
              </w:rPr>
              <w:t>要求</w:t>
            </w:r>
          </w:p>
        </w:tc>
        <w:tc>
          <w:tcPr>
            <w:tcW w:w="1843" w:type="dxa"/>
            <w:vAlign w:val="center"/>
          </w:tcPr>
          <w:p w14:paraId="45C7A136">
            <w:pPr>
              <w:spacing w:line="240" w:lineRule="exact"/>
              <w:jc w:val="left"/>
              <w:rPr>
                <w:rFonts w:ascii="宋体" w:hAnsi="宋体"/>
                <w:szCs w:val="21"/>
              </w:rPr>
            </w:pPr>
            <w:r>
              <w:rPr>
                <w:rFonts w:ascii="宋体" w:hAnsi="宋体"/>
                <w:szCs w:val="21"/>
              </w:rPr>
              <w:t>（1）具有独立承担民事责任的能力</w:t>
            </w:r>
          </w:p>
        </w:tc>
        <w:tc>
          <w:tcPr>
            <w:tcW w:w="6242" w:type="dxa"/>
          </w:tcPr>
          <w:p w14:paraId="16807D85">
            <w:pPr>
              <w:spacing w:line="240" w:lineRule="exact"/>
              <w:rPr>
                <w:rFonts w:ascii="宋体" w:hAnsi="宋体"/>
                <w:szCs w:val="21"/>
              </w:rPr>
            </w:pPr>
            <w:r>
              <w:rPr>
                <w:rFonts w:hint="eastAsia" w:ascii="宋体" w:hAnsi="宋体"/>
                <w:szCs w:val="21"/>
              </w:rPr>
              <w:t>审查供应商为法人或者其他组织的，提供营业执照等证明文件（如营业执照或者事业单位法人证书或者执业许可证等），供应商为自然人的，提供身份证复印件</w:t>
            </w:r>
          </w:p>
        </w:tc>
      </w:tr>
      <w:tr w14:paraId="7A30C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846" w:type="dxa"/>
            <w:vMerge w:val="continue"/>
            <w:vAlign w:val="center"/>
          </w:tcPr>
          <w:p w14:paraId="19CBCBC3">
            <w:pPr>
              <w:spacing w:line="240" w:lineRule="exact"/>
              <w:rPr>
                <w:rFonts w:ascii="宋体" w:hAnsi="宋体"/>
                <w:szCs w:val="21"/>
                <w:lang w:val="zh-CN"/>
              </w:rPr>
            </w:pPr>
          </w:p>
        </w:tc>
        <w:tc>
          <w:tcPr>
            <w:tcW w:w="1843" w:type="dxa"/>
            <w:vAlign w:val="center"/>
          </w:tcPr>
          <w:p w14:paraId="3A54C4A4">
            <w:pPr>
              <w:spacing w:line="240" w:lineRule="exact"/>
              <w:jc w:val="left"/>
              <w:rPr>
                <w:rFonts w:ascii="宋体" w:hAnsi="宋体"/>
                <w:szCs w:val="21"/>
              </w:rPr>
            </w:pPr>
            <w:r>
              <w:rPr>
                <w:rFonts w:ascii="宋体" w:hAnsi="宋体"/>
                <w:szCs w:val="21"/>
                <w:lang w:val="zh-CN"/>
              </w:rPr>
              <w:t>（2）</w:t>
            </w:r>
            <w:r>
              <w:rPr>
                <w:rFonts w:ascii="宋体" w:hAnsi="宋体"/>
                <w:szCs w:val="21"/>
              </w:rPr>
              <w:t>具有良好的商业信誉和健全的财务会计制度</w:t>
            </w:r>
          </w:p>
        </w:tc>
        <w:tc>
          <w:tcPr>
            <w:tcW w:w="6242" w:type="dxa"/>
          </w:tcPr>
          <w:p w14:paraId="6108A862">
            <w:pPr>
              <w:spacing w:line="240" w:lineRule="exact"/>
              <w:jc w:val="left"/>
              <w:rPr>
                <w:rFonts w:ascii="宋体" w:hAnsi="宋体"/>
                <w:szCs w:val="21"/>
              </w:rPr>
            </w:pPr>
            <w:r>
              <w:rPr>
                <w:rFonts w:hint="eastAsia" w:ascii="宋体" w:hAnsi="宋体" w:cs="宋体"/>
                <w:szCs w:val="21"/>
              </w:rPr>
              <w:t>①</w:t>
            </w:r>
            <w:r>
              <w:rPr>
                <w:rFonts w:ascii="宋体" w:hAnsi="宋体"/>
                <w:szCs w:val="21"/>
              </w:rPr>
              <w:t>审查商业信誉声明。须提供，格式见第六章</w:t>
            </w:r>
            <w:r>
              <w:rPr>
                <w:rFonts w:hint="eastAsia" w:ascii="宋体" w:hAnsi="宋体"/>
                <w:szCs w:val="21"/>
              </w:rPr>
              <w:t>响应</w:t>
            </w:r>
            <w:r>
              <w:rPr>
                <w:rFonts w:ascii="宋体" w:hAnsi="宋体"/>
                <w:szCs w:val="21"/>
              </w:rPr>
              <w:t>文件格式“</w:t>
            </w:r>
            <w:r>
              <w:rPr>
                <w:rFonts w:hint="eastAsia" w:ascii="宋体" w:hAnsi="宋体"/>
                <w:szCs w:val="21"/>
              </w:rPr>
              <w:t>响应</w:t>
            </w:r>
            <w:r>
              <w:rPr>
                <w:rFonts w:ascii="宋体" w:hAnsi="宋体"/>
                <w:szCs w:val="21"/>
              </w:rPr>
              <w:t>声明书”。</w:t>
            </w:r>
          </w:p>
          <w:p w14:paraId="2430AB85">
            <w:pPr>
              <w:spacing w:line="240" w:lineRule="exact"/>
              <w:jc w:val="left"/>
              <w:rPr>
                <w:rFonts w:ascii="宋体" w:hAnsi="宋体"/>
                <w:szCs w:val="21"/>
              </w:rPr>
            </w:pPr>
            <w:r>
              <w:rPr>
                <w:rFonts w:hint="eastAsia" w:ascii="宋体" w:hAnsi="宋体" w:cs="宋体"/>
                <w:szCs w:val="21"/>
              </w:rPr>
              <w:t>②</w:t>
            </w:r>
            <w:r>
              <w:rPr>
                <w:rFonts w:ascii="宋体" w:hAnsi="宋体"/>
                <w:szCs w:val="21"/>
              </w:rPr>
              <w:t>审查</w:t>
            </w:r>
            <w:r>
              <w:rPr>
                <w:rFonts w:hint="eastAsia" w:ascii="宋体" w:hAnsi="宋体"/>
                <w:szCs w:val="21"/>
              </w:rPr>
              <w:t>2025年</w:t>
            </w:r>
            <w:r>
              <w:rPr>
                <w:rFonts w:ascii="宋体" w:hAnsi="宋体"/>
                <w:szCs w:val="21"/>
              </w:rPr>
              <w:t>度财务状况报告（表）复印件或银行出具的资信证明复印件，</w:t>
            </w:r>
            <w:r>
              <w:rPr>
                <w:rFonts w:ascii="宋体" w:hAnsi="宋体"/>
              </w:rPr>
              <w:t>对于从取得营业执照时间起到响应文件递交截止时间为止不足1年的供应商，只需提交</w:t>
            </w:r>
            <w:r>
              <w:rPr>
                <w:rFonts w:hint="eastAsia" w:ascii="宋体" w:hAnsi="宋体"/>
                <w:szCs w:val="21"/>
              </w:rPr>
              <w:t>响应</w:t>
            </w:r>
            <w:r>
              <w:rPr>
                <w:rFonts w:ascii="宋体" w:hAnsi="宋体"/>
                <w:szCs w:val="21"/>
              </w:rPr>
              <w:t>文件递交截止时间前一个月的财务状况报告（表）复印件。</w:t>
            </w:r>
          </w:p>
        </w:tc>
      </w:tr>
      <w:tr w14:paraId="303DE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846" w:type="dxa"/>
            <w:vMerge w:val="continue"/>
            <w:vAlign w:val="center"/>
          </w:tcPr>
          <w:p w14:paraId="3B5E1D8C">
            <w:pPr>
              <w:spacing w:line="240" w:lineRule="exact"/>
              <w:rPr>
                <w:rFonts w:ascii="宋体" w:hAnsi="宋体"/>
                <w:szCs w:val="21"/>
                <w:lang w:val="zh-CN"/>
              </w:rPr>
            </w:pPr>
          </w:p>
        </w:tc>
        <w:tc>
          <w:tcPr>
            <w:tcW w:w="1843" w:type="dxa"/>
            <w:vAlign w:val="center"/>
          </w:tcPr>
          <w:p w14:paraId="24A06172">
            <w:pPr>
              <w:spacing w:line="240" w:lineRule="exact"/>
              <w:jc w:val="left"/>
              <w:rPr>
                <w:rFonts w:ascii="宋体" w:hAnsi="宋体"/>
                <w:szCs w:val="21"/>
              </w:rPr>
            </w:pPr>
            <w:r>
              <w:rPr>
                <w:rFonts w:ascii="宋体" w:hAnsi="宋体"/>
                <w:szCs w:val="21"/>
                <w:lang w:val="zh-CN"/>
              </w:rPr>
              <w:t>（3）具有履行合同所必需的设备和专业技术能力</w:t>
            </w:r>
          </w:p>
        </w:tc>
        <w:tc>
          <w:tcPr>
            <w:tcW w:w="6242" w:type="dxa"/>
          </w:tcPr>
          <w:p w14:paraId="37C7273C">
            <w:pPr>
              <w:spacing w:line="240" w:lineRule="exact"/>
              <w:jc w:val="left"/>
              <w:rPr>
                <w:rFonts w:ascii="宋体" w:hAnsi="宋体"/>
                <w:szCs w:val="21"/>
              </w:rPr>
            </w:pPr>
            <w:r>
              <w:rPr>
                <w:rFonts w:hint="eastAsia" w:ascii="宋体" w:hAnsi="宋体" w:cs="宋体"/>
                <w:szCs w:val="21"/>
              </w:rPr>
              <w:t>①</w:t>
            </w:r>
            <w:r>
              <w:rPr>
                <w:rFonts w:ascii="宋体" w:hAnsi="宋体"/>
                <w:szCs w:val="21"/>
              </w:rPr>
              <w:t xml:space="preserve">审查供应商营业执照，须有效； </w:t>
            </w:r>
          </w:p>
          <w:p w14:paraId="6E38F3F3">
            <w:pPr>
              <w:spacing w:line="240" w:lineRule="exact"/>
              <w:jc w:val="left"/>
              <w:rPr>
                <w:rFonts w:ascii="宋体" w:hAnsi="宋体"/>
                <w:szCs w:val="21"/>
              </w:rPr>
            </w:pPr>
            <w:r>
              <w:rPr>
                <w:rFonts w:hint="eastAsia" w:ascii="宋体" w:hAnsi="宋体" w:cs="宋体"/>
                <w:szCs w:val="21"/>
              </w:rPr>
              <w:t>②</w:t>
            </w:r>
            <w:r>
              <w:rPr>
                <w:rFonts w:ascii="宋体" w:hAnsi="宋体"/>
                <w:szCs w:val="21"/>
              </w:rPr>
              <w:t>审查书面声明。须提供，格式见第六章</w:t>
            </w:r>
            <w:r>
              <w:rPr>
                <w:rFonts w:hint="eastAsia" w:ascii="宋体" w:hAnsi="宋体"/>
                <w:szCs w:val="21"/>
              </w:rPr>
              <w:t>响应</w:t>
            </w:r>
            <w:r>
              <w:rPr>
                <w:rFonts w:ascii="宋体" w:hAnsi="宋体"/>
                <w:szCs w:val="21"/>
              </w:rPr>
              <w:t>文件格式“</w:t>
            </w:r>
            <w:r>
              <w:rPr>
                <w:rFonts w:hint="eastAsia" w:ascii="宋体" w:hAnsi="宋体"/>
                <w:szCs w:val="21"/>
              </w:rPr>
              <w:t>响应</w:t>
            </w:r>
            <w:r>
              <w:rPr>
                <w:rFonts w:ascii="宋体" w:hAnsi="宋体"/>
              </w:rPr>
              <w:t>声明书</w:t>
            </w:r>
            <w:r>
              <w:rPr>
                <w:rFonts w:ascii="宋体" w:hAnsi="宋体"/>
                <w:szCs w:val="21"/>
              </w:rPr>
              <w:t>”。</w:t>
            </w:r>
          </w:p>
          <w:p w14:paraId="19F3923D">
            <w:pPr>
              <w:spacing w:line="240" w:lineRule="exact"/>
              <w:jc w:val="left"/>
              <w:rPr>
                <w:rFonts w:ascii="宋体" w:hAnsi="宋体"/>
                <w:szCs w:val="21"/>
              </w:rPr>
            </w:pPr>
            <w:r>
              <w:rPr>
                <w:rFonts w:ascii="宋体" w:hAnsi="宋体"/>
                <w:szCs w:val="21"/>
              </w:rPr>
              <w:t>审查</w:t>
            </w:r>
            <w:r>
              <w:rPr>
                <w:rFonts w:hint="eastAsia" w:ascii="宋体" w:hAnsi="宋体" w:cs="宋体"/>
                <w:szCs w:val="21"/>
              </w:rPr>
              <w:t>①</w:t>
            </w:r>
            <w:r>
              <w:rPr>
                <w:rFonts w:ascii="宋体" w:hAnsi="宋体"/>
                <w:szCs w:val="21"/>
              </w:rPr>
              <w:t>或</w:t>
            </w:r>
            <w:r>
              <w:rPr>
                <w:rFonts w:hint="eastAsia" w:ascii="宋体" w:hAnsi="宋体" w:cs="宋体"/>
                <w:szCs w:val="21"/>
              </w:rPr>
              <w:t>②</w:t>
            </w:r>
            <w:r>
              <w:rPr>
                <w:rFonts w:ascii="宋体" w:hAnsi="宋体"/>
                <w:szCs w:val="21"/>
              </w:rPr>
              <w:t>，满足其一，即为符合要求。</w:t>
            </w:r>
          </w:p>
        </w:tc>
      </w:tr>
      <w:tr w14:paraId="5D9D3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846" w:type="dxa"/>
            <w:vMerge w:val="continue"/>
            <w:vAlign w:val="center"/>
          </w:tcPr>
          <w:p w14:paraId="514AF8C8">
            <w:pPr>
              <w:spacing w:line="240" w:lineRule="exact"/>
              <w:rPr>
                <w:rFonts w:ascii="宋体" w:hAnsi="宋体"/>
                <w:szCs w:val="21"/>
                <w:lang w:val="zh-CN"/>
              </w:rPr>
            </w:pPr>
          </w:p>
        </w:tc>
        <w:tc>
          <w:tcPr>
            <w:tcW w:w="1843" w:type="dxa"/>
            <w:vAlign w:val="center"/>
          </w:tcPr>
          <w:p w14:paraId="4436FA3B">
            <w:pPr>
              <w:spacing w:line="240" w:lineRule="exact"/>
              <w:jc w:val="left"/>
              <w:rPr>
                <w:rFonts w:ascii="宋体" w:hAnsi="宋体"/>
                <w:szCs w:val="21"/>
              </w:rPr>
            </w:pPr>
            <w:r>
              <w:rPr>
                <w:rFonts w:ascii="宋体" w:hAnsi="宋体"/>
                <w:szCs w:val="21"/>
                <w:lang w:val="zh-CN"/>
              </w:rPr>
              <w:t>（4）有依法缴纳税收和社会保障金的良好记录</w:t>
            </w:r>
          </w:p>
        </w:tc>
        <w:tc>
          <w:tcPr>
            <w:tcW w:w="6242" w:type="dxa"/>
          </w:tcPr>
          <w:p w14:paraId="0C2A80A7">
            <w:pPr>
              <w:spacing w:line="240" w:lineRule="exact"/>
              <w:jc w:val="left"/>
              <w:rPr>
                <w:rFonts w:ascii="宋体" w:hAnsi="宋体"/>
                <w:szCs w:val="21"/>
              </w:rPr>
            </w:pPr>
            <w:r>
              <w:rPr>
                <w:rFonts w:hint="eastAsia" w:ascii="宋体" w:hAnsi="宋体" w:cs="宋体"/>
                <w:szCs w:val="21"/>
              </w:rPr>
              <w:t>①</w:t>
            </w:r>
            <w:r>
              <w:rPr>
                <w:rFonts w:ascii="宋体" w:hAnsi="宋体"/>
                <w:szCs w:val="21"/>
              </w:rPr>
              <w:t>审查</w:t>
            </w:r>
            <w:r>
              <w:rPr>
                <w:rFonts w:hint="eastAsia" w:ascii="宋体" w:hAnsi="宋体"/>
                <w:szCs w:val="21"/>
              </w:rPr>
              <w:t>响应</w:t>
            </w:r>
            <w:r>
              <w:rPr>
                <w:rFonts w:ascii="宋体" w:hAnsi="宋体"/>
                <w:szCs w:val="21"/>
              </w:rPr>
              <w:t>截止时间前6个月内，</w:t>
            </w:r>
            <w:r>
              <w:rPr>
                <w:rFonts w:hint="eastAsia" w:ascii="宋体" w:hAnsi="宋体"/>
              </w:rPr>
              <w:t>供应商</w:t>
            </w:r>
            <w:r>
              <w:rPr>
                <w:rFonts w:ascii="宋体" w:hAnsi="宋体"/>
              </w:rPr>
              <w:t>任意</w:t>
            </w:r>
            <w:r>
              <w:rPr>
                <w:rFonts w:hint="eastAsia" w:ascii="宋体" w:hAnsi="宋体"/>
              </w:rPr>
              <w:t>1个月</w:t>
            </w:r>
            <w:r>
              <w:rPr>
                <w:rFonts w:ascii="宋体" w:hAnsi="宋体"/>
                <w:szCs w:val="21"/>
              </w:rPr>
              <w:t>依法缴纳税费证明复印件加盖供应商</w:t>
            </w:r>
            <w:r>
              <w:rPr>
                <w:rFonts w:hint="eastAsia" w:ascii="宋体" w:hAnsi="宋体"/>
                <w:szCs w:val="21"/>
              </w:rPr>
              <w:t>电子签章</w:t>
            </w:r>
            <w:r>
              <w:rPr>
                <w:rFonts w:ascii="宋体" w:hAnsi="宋体"/>
                <w:szCs w:val="21"/>
              </w:rPr>
              <w:t>。</w:t>
            </w:r>
          </w:p>
          <w:p w14:paraId="55964AA0">
            <w:pPr>
              <w:spacing w:line="240" w:lineRule="exact"/>
              <w:jc w:val="left"/>
              <w:rPr>
                <w:rFonts w:ascii="宋体" w:hAnsi="宋体"/>
                <w:szCs w:val="21"/>
              </w:rPr>
            </w:pPr>
            <w:r>
              <w:rPr>
                <w:rFonts w:hint="eastAsia" w:ascii="宋体" w:hAnsi="宋体" w:cs="宋体"/>
                <w:szCs w:val="21"/>
              </w:rPr>
              <w:t>②</w:t>
            </w:r>
            <w:r>
              <w:rPr>
                <w:rFonts w:ascii="宋体" w:hAnsi="宋体"/>
                <w:szCs w:val="21"/>
              </w:rPr>
              <w:t>审查</w:t>
            </w:r>
            <w:r>
              <w:rPr>
                <w:rFonts w:hint="eastAsia" w:ascii="宋体" w:hAnsi="宋体"/>
                <w:szCs w:val="21"/>
              </w:rPr>
              <w:t>响应</w:t>
            </w:r>
            <w:r>
              <w:rPr>
                <w:rFonts w:ascii="宋体" w:hAnsi="宋体"/>
                <w:szCs w:val="21"/>
              </w:rPr>
              <w:t>截止时间前6个月内，</w:t>
            </w:r>
            <w:r>
              <w:rPr>
                <w:rFonts w:hint="eastAsia" w:ascii="宋体" w:hAnsi="宋体"/>
              </w:rPr>
              <w:t>供应商</w:t>
            </w:r>
            <w:r>
              <w:rPr>
                <w:rFonts w:ascii="宋体" w:hAnsi="宋体"/>
              </w:rPr>
              <w:t>任意</w:t>
            </w:r>
            <w:r>
              <w:rPr>
                <w:rFonts w:hint="eastAsia" w:ascii="宋体" w:hAnsi="宋体"/>
              </w:rPr>
              <w:t>1个月</w:t>
            </w:r>
            <w:r>
              <w:rPr>
                <w:rFonts w:ascii="宋体" w:hAnsi="宋体"/>
                <w:szCs w:val="21"/>
              </w:rPr>
              <w:t>的社保缴费证明记录复印件加盖供应商</w:t>
            </w:r>
            <w:r>
              <w:rPr>
                <w:rFonts w:hint="eastAsia" w:ascii="宋体" w:hAnsi="宋体"/>
                <w:szCs w:val="21"/>
              </w:rPr>
              <w:t>电子签章</w:t>
            </w:r>
            <w:r>
              <w:rPr>
                <w:rFonts w:ascii="宋体" w:hAnsi="宋体"/>
                <w:szCs w:val="21"/>
              </w:rPr>
              <w:t>。</w:t>
            </w:r>
          </w:p>
          <w:p w14:paraId="01B9D2AA">
            <w:pPr>
              <w:spacing w:line="240" w:lineRule="exact"/>
              <w:jc w:val="left"/>
              <w:rPr>
                <w:rFonts w:ascii="宋体" w:hAnsi="宋体"/>
                <w:szCs w:val="21"/>
              </w:rPr>
            </w:pPr>
            <w:r>
              <w:rPr>
                <w:rFonts w:ascii="宋体" w:hAnsi="宋体"/>
                <w:szCs w:val="21"/>
              </w:rPr>
              <w:t>供应商成立不足</w:t>
            </w:r>
            <w:r>
              <w:rPr>
                <w:rFonts w:hint="eastAsia" w:ascii="宋体" w:hAnsi="宋体"/>
                <w:szCs w:val="21"/>
              </w:rPr>
              <w:t>1个月的，无须提供</w:t>
            </w:r>
            <w:r>
              <w:rPr>
                <w:rFonts w:ascii="宋体" w:hAnsi="宋体"/>
                <w:szCs w:val="21"/>
              </w:rPr>
              <w:t>缴纳税费证明及社保缴费证明加盖供应商电子签章</w:t>
            </w:r>
            <w:r>
              <w:rPr>
                <w:rFonts w:hint="eastAsia" w:ascii="宋体" w:hAnsi="宋体"/>
                <w:szCs w:val="21"/>
              </w:rPr>
              <w:t>。</w:t>
            </w:r>
          </w:p>
          <w:p w14:paraId="50D384DF">
            <w:pPr>
              <w:spacing w:line="240" w:lineRule="exact"/>
              <w:jc w:val="left"/>
              <w:rPr>
                <w:rFonts w:ascii="宋体" w:hAnsi="宋体"/>
                <w:szCs w:val="21"/>
              </w:rPr>
            </w:pPr>
            <w:r>
              <w:rPr>
                <w:rFonts w:ascii="宋体" w:hAnsi="宋体"/>
                <w:szCs w:val="21"/>
              </w:rPr>
              <w:t>依法免税或不需要缴纳社会保障资金的供应商，须提供相应文件证明其依法免税或不需要缴纳社会保障资金。</w:t>
            </w:r>
          </w:p>
        </w:tc>
      </w:tr>
      <w:tr w14:paraId="30B40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846" w:type="dxa"/>
            <w:vMerge w:val="continue"/>
            <w:vAlign w:val="center"/>
          </w:tcPr>
          <w:p w14:paraId="72B7D616">
            <w:pPr>
              <w:spacing w:line="240" w:lineRule="exact"/>
              <w:rPr>
                <w:rFonts w:ascii="宋体" w:hAnsi="宋体"/>
                <w:szCs w:val="21"/>
                <w:lang w:val="zh-CN"/>
              </w:rPr>
            </w:pPr>
          </w:p>
        </w:tc>
        <w:tc>
          <w:tcPr>
            <w:tcW w:w="1843" w:type="dxa"/>
            <w:vAlign w:val="center"/>
          </w:tcPr>
          <w:p w14:paraId="119CECFA">
            <w:pPr>
              <w:spacing w:line="240" w:lineRule="exact"/>
              <w:jc w:val="left"/>
              <w:rPr>
                <w:rFonts w:ascii="宋体" w:hAnsi="宋体"/>
                <w:szCs w:val="21"/>
              </w:rPr>
            </w:pPr>
            <w:r>
              <w:rPr>
                <w:rFonts w:ascii="宋体" w:hAnsi="宋体"/>
                <w:szCs w:val="21"/>
              </w:rPr>
              <w:t>（5）参加政府采购活动前三年内，在经营活动中没有重大违法记录</w:t>
            </w:r>
          </w:p>
        </w:tc>
        <w:tc>
          <w:tcPr>
            <w:tcW w:w="6242" w:type="dxa"/>
            <w:vAlign w:val="center"/>
          </w:tcPr>
          <w:p w14:paraId="4C3BE459">
            <w:pPr>
              <w:spacing w:line="240" w:lineRule="exact"/>
              <w:jc w:val="left"/>
              <w:rPr>
                <w:rFonts w:ascii="宋体" w:hAnsi="宋体"/>
                <w:szCs w:val="21"/>
              </w:rPr>
            </w:pPr>
            <w:r>
              <w:rPr>
                <w:rFonts w:ascii="宋体" w:hAnsi="宋体"/>
                <w:szCs w:val="21"/>
              </w:rPr>
              <w:t>审查无重大违法记录声明。须提供，格式见第六章</w:t>
            </w:r>
            <w:r>
              <w:rPr>
                <w:rFonts w:hint="eastAsia" w:ascii="宋体" w:hAnsi="宋体"/>
                <w:szCs w:val="21"/>
              </w:rPr>
              <w:t>响应</w:t>
            </w:r>
            <w:r>
              <w:rPr>
                <w:rFonts w:ascii="宋体" w:hAnsi="宋体"/>
                <w:szCs w:val="21"/>
              </w:rPr>
              <w:t>文件格式“</w:t>
            </w:r>
            <w:r>
              <w:rPr>
                <w:rFonts w:hint="eastAsia" w:ascii="宋体" w:hAnsi="宋体"/>
                <w:szCs w:val="21"/>
              </w:rPr>
              <w:t>响应</w:t>
            </w:r>
            <w:r>
              <w:rPr>
                <w:rFonts w:ascii="宋体" w:hAnsi="宋体"/>
                <w:szCs w:val="21"/>
              </w:rPr>
              <w:t xml:space="preserve">声明书”。 </w:t>
            </w:r>
          </w:p>
        </w:tc>
      </w:tr>
      <w:tr w14:paraId="67352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846" w:type="dxa"/>
            <w:vMerge w:val="continue"/>
            <w:vAlign w:val="center"/>
          </w:tcPr>
          <w:p w14:paraId="056FB964">
            <w:pPr>
              <w:spacing w:line="240" w:lineRule="exact"/>
              <w:rPr>
                <w:rFonts w:ascii="宋体" w:hAnsi="宋体"/>
                <w:szCs w:val="21"/>
                <w:lang w:val="zh-CN"/>
              </w:rPr>
            </w:pPr>
          </w:p>
        </w:tc>
        <w:tc>
          <w:tcPr>
            <w:tcW w:w="1843" w:type="dxa"/>
            <w:vAlign w:val="center"/>
          </w:tcPr>
          <w:p w14:paraId="2A27F5D0">
            <w:pPr>
              <w:spacing w:line="240" w:lineRule="exact"/>
              <w:jc w:val="left"/>
              <w:rPr>
                <w:rFonts w:ascii="宋体" w:hAnsi="宋体"/>
                <w:szCs w:val="21"/>
              </w:rPr>
            </w:pPr>
            <w:r>
              <w:rPr>
                <w:rFonts w:ascii="宋体" w:hAnsi="宋体"/>
                <w:szCs w:val="21"/>
              </w:rPr>
              <w:t>（6）具备法律、行政法规规定的其他要求</w:t>
            </w:r>
          </w:p>
        </w:tc>
        <w:tc>
          <w:tcPr>
            <w:tcW w:w="6242" w:type="dxa"/>
            <w:vAlign w:val="center"/>
          </w:tcPr>
          <w:p w14:paraId="5A0E0726">
            <w:pPr>
              <w:spacing w:line="240" w:lineRule="exact"/>
              <w:jc w:val="left"/>
              <w:rPr>
                <w:rFonts w:ascii="宋体" w:hAnsi="宋体"/>
                <w:szCs w:val="21"/>
              </w:rPr>
            </w:pPr>
            <w:r>
              <w:rPr>
                <w:rFonts w:ascii="宋体" w:hAnsi="宋体"/>
                <w:szCs w:val="21"/>
              </w:rPr>
              <w:t>无。</w:t>
            </w:r>
          </w:p>
        </w:tc>
      </w:tr>
      <w:tr w14:paraId="5E11E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846" w:type="dxa"/>
            <w:vAlign w:val="center"/>
          </w:tcPr>
          <w:p w14:paraId="7E2AC1A6">
            <w:pPr>
              <w:spacing w:line="240" w:lineRule="exact"/>
              <w:rPr>
                <w:rFonts w:ascii="宋体" w:hAnsi="宋体"/>
                <w:szCs w:val="21"/>
                <w:lang w:val="zh-CN"/>
              </w:rPr>
            </w:pPr>
            <w:r>
              <w:rPr>
                <w:rFonts w:hint="eastAsia" w:ascii="宋体" w:hAnsi="宋体"/>
                <w:kern w:val="0"/>
                <w:szCs w:val="21"/>
              </w:rPr>
              <w:t>采购政策</w:t>
            </w:r>
          </w:p>
        </w:tc>
        <w:tc>
          <w:tcPr>
            <w:tcW w:w="1843" w:type="dxa"/>
            <w:vAlign w:val="center"/>
          </w:tcPr>
          <w:p w14:paraId="4953F5A4">
            <w:pPr>
              <w:spacing w:line="240" w:lineRule="exact"/>
              <w:jc w:val="left"/>
              <w:rPr>
                <w:rFonts w:ascii="宋体" w:hAnsi="宋体"/>
                <w:szCs w:val="21"/>
              </w:rPr>
            </w:pPr>
            <w:r>
              <w:rPr>
                <w:rFonts w:hint="eastAsia" w:ascii="宋体" w:hAnsi="宋体"/>
                <w:szCs w:val="21"/>
              </w:rPr>
              <w:t>落实政府采购政策需满足的资格要求</w:t>
            </w:r>
          </w:p>
        </w:tc>
        <w:tc>
          <w:tcPr>
            <w:tcW w:w="6242" w:type="dxa"/>
            <w:vAlign w:val="center"/>
          </w:tcPr>
          <w:p w14:paraId="350363A1">
            <w:pPr>
              <w:spacing w:line="240" w:lineRule="exact"/>
              <w:rPr>
                <w:rFonts w:ascii="宋体" w:hAnsi="宋体"/>
                <w:szCs w:val="21"/>
              </w:rPr>
            </w:pPr>
            <w:r>
              <w:rPr>
                <w:rFonts w:hint="eastAsia" w:ascii="宋体" w:hAnsi="宋体"/>
                <w:szCs w:val="21"/>
              </w:rPr>
              <w:t>无。</w:t>
            </w:r>
          </w:p>
        </w:tc>
      </w:tr>
      <w:tr w14:paraId="74D41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4" w:hRule="atLeast"/>
        </w:trPr>
        <w:tc>
          <w:tcPr>
            <w:tcW w:w="846" w:type="dxa"/>
            <w:vMerge w:val="restart"/>
            <w:vAlign w:val="center"/>
          </w:tcPr>
          <w:p w14:paraId="6F44ADA1">
            <w:pPr>
              <w:spacing w:line="240" w:lineRule="exact"/>
              <w:rPr>
                <w:rFonts w:ascii="宋体" w:hAnsi="宋体"/>
                <w:szCs w:val="21"/>
              </w:rPr>
            </w:pPr>
            <w:r>
              <w:rPr>
                <w:rFonts w:ascii="宋体" w:hAnsi="宋体"/>
                <w:szCs w:val="21"/>
                <w:lang w:val="zh-CN"/>
              </w:rPr>
              <w:t>供应商应符合的</w:t>
            </w:r>
            <w:r>
              <w:rPr>
                <w:rFonts w:ascii="宋体" w:hAnsi="宋体"/>
                <w:szCs w:val="21"/>
              </w:rPr>
              <w:t>特定资格</w:t>
            </w:r>
            <w:r>
              <w:rPr>
                <w:rFonts w:hint="eastAsia" w:ascii="宋体" w:hAnsi="宋体"/>
                <w:szCs w:val="21"/>
              </w:rPr>
              <w:t>要求</w:t>
            </w:r>
          </w:p>
        </w:tc>
        <w:tc>
          <w:tcPr>
            <w:tcW w:w="1843" w:type="dxa"/>
            <w:vAlign w:val="center"/>
          </w:tcPr>
          <w:p w14:paraId="38C5DE7E">
            <w:pPr>
              <w:spacing w:line="240" w:lineRule="exact"/>
              <w:jc w:val="left"/>
              <w:rPr>
                <w:rFonts w:ascii="宋体" w:hAnsi="宋体"/>
                <w:szCs w:val="21"/>
              </w:rPr>
            </w:pPr>
            <w:r>
              <w:rPr>
                <w:rFonts w:ascii="宋体" w:hAnsi="宋体"/>
                <w:szCs w:val="21"/>
              </w:rPr>
              <w:t>（1）资质</w:t>
            </w:r>
            <w:r>
              <w:rPr>
                <w:rFonts w:hint="eastAsia" w:ascii="宋体" w:hAnsi="宋体"/>
                <w:szCs w:val="21"/>
              </w:rPr>
              <w:t>要求</w:t>
            </w:r>
          </w:p>
        </w:tc>
        <w:tc>
          <w:tcPr>
            <w:tcW w:w="6242" w:type="dxa"/>
            <w:vAlign w:val="center"/>
          </w:tcPr>
          <w:p w14:paraId="19F55BEC">
            <w:pPr>
              <w:spacing w:line="240" w:lineRule="exact"/>
              <w:jc w:val="left"/>
              <w:rPr>
                <w:rFonts w:ascii="宋体" w:hAnsi="宋体"/>
                <w:szCs w:val="21"/>
              </w:rPr>
            </w:pPr>
            <w:r>
              <w:rPr>
                <w:rFonts w:ascii="宋体" w:hAnsi="宋体"/>
                <w:szCs w:val="21"/>
              </w:rPr>
              <w:t>须符合</w:t>
            </w:r>
            <w:r>
              <w:rPr>
                <w:rFonts w:hint="eastAsia" w:ascii="宋体" w:hAnsi="宋体"/>
                <w:szCs w:val="21"/>
              </w:rPr>
              <w:t>“磋商公告”</w:t>
            </w:r>
            <w:r>
              <w:rPr>
                <w:rFonts w:ascii="宋体" w:hAnsi="宋体"/>
                <w:szCs w:val="21"/>
              </w:rPr>
              <w:t>的要求</w:t>
            </w:r>
          </w:p>
        </w:tc>
      </w:tr>
      <w:tr w14:paraId="3ED72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846" w:type="dxa"/>
            <w:vMerge w:val="continue"/>
            <w:vAlign w:val="center"/>
          </w:tcPr>
          <w:p w14:paraId="08CAAA75">
            <w:pPr>
              <w:spacing w:line="240" w:lineRule="exact"/>
              <w:rPr>
                <w:rFonts w:ascii="宋体" w:hAnsi="宋体"/>
                <w:szCs w:val="21"/>
              </w:rPr>
            </w:pPr>
          </w:p>
        </w:tc>
        <w:tc>
          <w:tcPr>
            <w:tcW w:w="1843" w:type="dxa"/>
            <w:vAlign w:val="center"/>
          </w:tcPr>
          <w:p w14:paraId="61F9FC54">
            <w:pPr>
              <w:spacing w:line="240" w:lineRule="exact"/>
              <w:jc w:val="left"/>
              <w:rPr>
                <w:rFonts w:ascii="宋体" w:hAnsi="宋体"/>
                <w:szCs w:val="21"/>
              </w:rPr>
            </w:pPr>
            <w:r>
              <w:rPr>
                <w:rFonts w:ascii="宋体" w:hAnsi="宋体"/>
                <w:szCs w:val="21"/>
              </w:rPr>
              <w:t>（2）业绩要求</w:t>
            </w:r>
          </w:p>
        </w:tc>
        <w:tc>
          <w:tcPr>
            <w:tcW w:w="6242" w:type="dxa"/>
            <w:vAlign w:val="center"/>
          </w:tcPr>
          <w:p w14:paraId="4E521AB3">
            <w:pPr>
              <w:spacing w:line="240" w:lineRule="exact"/>
              <w:jc w:val="left"/>
              <w:rPr>
                <w:rFonts w:ascii="宋体" w:hAnsi="宋体"/>
                <w:szCs w:val="21"/>
              </w:rPr>
            </w:pPr>
            <w:r>
              <w:rPr>
                <w:rFonts w:ascii="宋体" w:hAnsi="宋体"/>
                <w:szCs w:val="21"/>
              </w:rPr>
              <w:t>须符合</w:t>
            </w:r>
            <w:r>
              <w:rPr>
                <w:rFonts w:hint="eastAsia" w:ascii="宋体" w:hAnsi="宋体"/>
                <w:szCs w:val="21"/>
              </w:rPr>
              <w:t>“磋商公告”</w:t>
            </w:r>
            <w:r>
              <w:rPr>
                <w:rFonts w:ascii="宋体" w:hAnsi="宋体"/>
                <w:szCs w:val="21"/>
              </w:rPr>
              <w:t>的要求</w:t>
            </w:r>
          </w:p>
        </w:tc>
      </w:tr>
      <w:tr w14:paraId="45F99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64" w:hRule="atLeast"/>
        </w:trPr>
        <w:tc>
          <w:tcPr>
            <w:tcW w:w="846" w:type="dxa"/>
            <w:vMerge w:val="continue"/>
            <w:vAlign w:val="center"/>
          </w:tcPr>
          <w:p w14:paraId="5FCD650A">
            <w:pPr>
              <w:spacing w:line="240" w:lineRule="exact"/>
              <w:jc w:val="left"/>
              <w:rPr>
                <w:rFonts w:ascii="宋体" w:hAnsi="宋体"/>
                <w:szCs w:val="21"/>
              </w:rPr>
            </w:pPr>
          </w:p>
        </w:tc>
        <w:tc>
          <w:tcPr>
            <w:tcW w:w="1843" w:type="dxa"/>
            <w:vAlign w:val="center"/>
          </w:tcPr>
          <w:p w14:paraId="65AA237F">
            <w:pPr>
              <w:spacing w:line="240" w:lineRule="exact"/>
              <w:jc w:val="left"/>
              <w:rPr>
                <w:rFonts w:ascii="宋体" w:hAnsi="宋体"/>
                <w:szCs w:val="21"/>
              </w:rPr>
            </w:pPr>
            <w:r>
              <w:rPr>
                <w:rFonts w:hint="eastAsia" w:ascii="宋体" w:hAnsi="宋体"/>
                <w:szCs w:val="21"/>
              </w:rPr>
              <w:t>（</w:t>
            </w:r>
            <w:r>
              <w:rPr>
                <w:rFonts w:ascii="宋体" w:hAnsi="宋体"/>
                <w:szCs w:val="21"/>
              </w:rPr>
              <w:t>3</w:t>
            </w:r>
            <w:r>
              <w:rPr>
                <w:rFonts w:hint="eastAsia" w:ascii="宋体" w:hAnsi="宋体"/>
                <w:szCs w:val="21"/>
              </w:rPr>
              <w:t>）供应商不得参加响应的情形</w:t>
            </w:r>
          </w:p>
        </w:tc>
        <w:tc>
          <w:tcPr>
            <w:tcW w:w="6242" w:type="dxa"/>
            <w:vAlign w:val="center"/>
          </w:tcPr>
          <w:p w14:paraId="4B20AA6F">
            <w:pPr>
              <w:spacing w:line="240" w:lineRule="exact"/>
              <w:jc w:val="left"/>
              <w:rPr>
                <w:rFonts w:ascii="宋体" w:hAnsi="宋体"/>
                <w:kern w:val="0"/>
                <w:szCs w:val="21"/>
              </w:rPr>
            </w:pPr>
            <w:r>
              <w:rPr>
                <w:rFonts w:ascii="宋体" w:hAnsi="宋体"/>
                <w:kern w:val="0"/>
                <w:szCs w:val="21"/>
              </w:rPr>
              <w:t>单位负责人为同一人或者存在直接控股、管理关系的不同供应商，不得参加本项目同一合同项下的政府采购活动。为本项目提供整体设计、规范编制或者项目管理、监理、检测等服务的供应商，不得再参加</w:t>
            </w:r>
            <w:r>
              <w:rPr>
                <w:rFonts w:hint="eastAsia" w:ascii="宋体" w:hAnsi="宋体"/>
                <w:kern w:val="0"/>
                <w:szCs w:val="21"/>
              </w:rPr>
              <w:t>本</w:t>
            </w:r>
            <w:r>
              <w:rPr>
                <w:rFonts w:ascii="宋体" w:hAnsi="宋体"/>
                <w:kern w:val="0"/>
                <w:szCs w:val="21"/>
              </w:rPr>
              <w:t>项目的采购活动。</w:t>
            </w:r>
          </w:p>
          <w:p w14:paraId="3F37425C">
            <w:pPr>
              <w:spacing w:line="240" w:lineRule="exact"/>
              <w:jc w:val="left"/>
              <w:rPr>
                <w:rFonts w:ascii="宋体" w:hAnsi="宋体"/>
                <w:szCs w:val="21"/>
              </w:rPr>
            </w:pPr>
            <w:r>
              <w:rPr>
                <w:rFonts w:ascii="宋体" w:hAnsi="宋体"/>
                <w:szCs w:val="21"/>
              </w:rPr>
              <w:t>须提供，格式见第六章</w:t>
            </w:r>
            <w:r>
              <w:rPr>
                <w:rFonts w:hint="eastAsia" w:ascii="宋体" w:hAnsi="宋体"/>
                <w:szCs w:val="21"/>
              </w:rPr>
              <w:t>响应</w:t>
            </w:r>
            <w:r>
              <w:rPr>
                <w:rFonts w:ascii="宋体" w:hAnsi="宋体"/>
                <w:szCs w:val="21"/>
              </w:rPr>
              <w:t>文件格式“</w:t>
            </w:r>
            <w:r>
              <w:rPr>
                <w:rFonts w:hint="eastAsia" w:ascii="宋体" w:hAnsi="宋体"/>
                <w:szCs w:val="21"/>
              </w:rPr>
              <w:t>供应商直接控股股东、管理关系信息表</w:t>
            </w:r>
            <w:r>
              <w:rPr>
                <w:rFonts w:ascii="宋体" w:hAnsi="宋体"/>
                <w:szCs w:val="21"/>
              </w:rPr>
              <w:t>”。</w:t>
            </w:r>
          </w:p>
        </w:tc>
      </w:tr>
      <w:tr w14:paraId="3611F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846" w:type="dxa"/>
            <w:vMerge w:val="continue"/>
            <w:vAlign w:val="center"/>
          </w:tcPr>
          <w:p w14:paraId="13D687BB">
            <w:pPr>
              <w:spacing w:line="240" w:lineRule="exact"/>
              <w:jc w:val="left"/>
              <w:rPr>
                <w:rFonts w:ascii="宋体" w:hAnsi="宋体"/>
                <w:kern w:val="0"/>
                <w:szCs w:val="21"/>
              </w:rPr>
            </w:pPr>
          </w:p>
        </w:tc>
        <w:tc>
          <w:tcPr>
            <w:tcW w:w="1843" w:type="dxa"/>
            <w:vAlign w:val="center"/>
          </w:tcPr>
          <w:p w14:paraId="2821CDC7">
            <w:pPr>
              <w:spacing w:line="240" w:lineRule="exact"/>
              <w:jc w:val="left"/>
              <w:rPr>
                <w:rFonts w:ascii="宋体" w:hAnsi="宋体"/>
                <w:kern w:val="0"/>
                <w:szCs w:val="21"/>
              </w:rPr>
            </w:pPr>
            <w:r>
              <w:rPr>
                <w:rFonts w:hint="eastAsia" w:ascii="宋体" w:hAnsi="宋体"/>
                <w:szCs w:val="21"/>
              </w:rPr>
              <w:t>（</w:t>
            </w:r>
            <w:r>
              <w:rPr>
                <w:rFonts w:ascii="宋体" w:hAnsi="宋体"/>
                <w:szCs w:val="21"/>
              </w:rPr>
              <w:t>4</w:t>
            </w:r>
            <w:r>
              <w:rPr>
                <w:rFonts w:hint="eastAsia" w:ascii="宋体" w:hAnsi="宋体"/>
                <w:szCs w:val="21"/>
              </w:rPr>
              <w:t>）诚信要求</w:t>
            </w:r>
          </w:p>
        </w:tc>
        <w:tc>
          <w:tcPr>
            <w:tcW w:w="6242" w:type="dxa"/>
          </w:tcPr>
          <w:p w14:paraId="33E011A7">
            <w:pPr>
              <w:spacing w:line="240" w:lineRule="exact"/>
              <w:jc w:val="left"/>
              <w:rPr>
                <w:rFonts w:ascii="宋体" w:hAnsi="宋体"/>
                <w:kern w:val="0"/>
                <w:szCs w:val="21"/>
              </w:rPr>
            </w:pPr>
            <w:r>
              <w:rPr>
                <w:rFonts w:hint="eastAsia" w:ascii="宋体" w:hAnsi="宋体"/>
                <w:szCs w:val="21"/>
              </w:rPr>
              <w:t>未被列入失信被执行人、</w:t>
            </w:r>
            <w:r>
              <w:rPr>
                <w:rFonts w:ascii="宋体" w:hAnsi="宋体"/>
                <w:szCs w:val="21"/>
              </w:rPr>
              <w:t>重大税收违法失信主体、政府采购严重违法失信行为记录名单</w:t>
            </w:r>
            <w:r>
              <w:rPr>
                <w:rFonts w:hint="eastAsia" w:ascii="宋体" w:hAnsi="宋体"/>
                <w:szCs w:val="21"/>
              </w:rPr>
              <w:t>。</w:t>
            </w:r>
          </w:p>
        </w:tc>
      </w:tr>
      <w:tr w14:paraId="56635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846" w:type="dxa"/>
            <w:vMerge w:val="continue"/>
            <w:vAlign w:val="center"/>
          </w:tcPr>
          <w:p w14:paraId="6B1642FF">
            <w:pPr>
              <w:spacing w:line="240" w:lineRule="exact"/>
              <w:jc w:val="left"/>
              <w:rPr>
                <w:rFonts w:ascii="宋体" w:hAnsi="宋体"/>
                <w:kern w:val="0"/>
                <w:szCs w:val="21"/>
              </w:rPr>
            </w:pPr>
          </w:p>
        </w:tc>
        <w:tc>
          <w:tcPr>
            <w:tcW w:w="1843" w:type="dxa"/>
            <w:vAlign w:val="center"/>
          </w:tcPr>
          <w:p w14:paraId="5015108B">
            <w:pPr>
              <w:spacing w:line="240" w:lineRule="exact"/>
              <w:jc w:val="left"/>
              <w:rPr>
                <w:rFonts w:ascii="宋体" w:hAnsi="宋体"/>
                <w:szCs w:val="21"/>
              </w:rPr>
            </w:pPr>
            <w:r>
              <w:rPr>
                <w:rFonts w:hint="eastAsia" w:ascii="宋体" w:hAnsi="宋体"/>
                <w:szCs w:val="21"/>
              </w:rPr>
              <w:t>（5）分公司</w:t>
            </w:r>
          </w:p>
        </w:tc>
        <w:tc>
          <w:tcPr>
            <w:tcW w:w="6242" w:type="dxa"/>
            <w:vAlign w:val="center"/>
          </w:tcPr>
          <w:p w14:paraId="53289184">
            <w:pPr>
              <w:spacing w:line="240" w:lineRule="exact"/>
              <w:rPr>
                <w:rFonts w:ascii="宋体" w:hAnsi="宋体"/>
                <w:szCs w:val="21"/>
              </w:rPr>
            </w:pPr>
            <w:r>
              <w:rPr>
                <w:rFonts w:hint="eastAsia" w:ascii="宋体" w:hAnsi="宋体"/>
                <w:szCs w:val="21"/>
              </w:rPr>
              <w:t>允许分公司参与响应的，供应商须提供总公司出具的授权其参与本项目的授权文件或制度。</w:t>
            </w:r>
          </w:p>
        </w:tc>
      </w:tr>
      <w:tr w14:paraId="3156F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846" w:type="dxa"/>
            <w:vMerge w:val="continue"/>
            <w:vAlign w:val="center"/>
          </w:tcPr>
          <w:p w14:paraId="3C792068">
            <w:pPr>
              <w:spacing w:line="240" w:lineRule="exact"/>
              <w:jc w:val="left"/>
              <w:rPr>
                <w:rFonts w:ascii="宋体" w:hAnsi="宋体"/>
                <w:kern w:val="0"/>
                <w:szCs w:val="21"/>
              </w:rPr>
            </w:pPr>
          </w:p>
        </w:tc>
        <w:tc>
          <w:tcPr>
            <w:tcW w:w="1843" w:type="dxa"/>
            <w:vAlign w:val="center"/>
          </w:tcPr>
          <w:p w14:paraId="0DDD1731">
            <w:pPr>
              <w:spacing w:line="240" w:lineRule="exact"/>
              <w:jc w:val="left"/>
              <w:rPr>
                <w:rFonts w:ascii="宋体" w:hAnsi="宋体"/>
                <w:szCs w:val="21"/>
              </w:rPr>
            </w:pPr>
            <w:r>
              <w:rPr>
                <w:rFonts w:hint="eastAsia" w:ascii="宋体" w:hAnsi="宋体"/>
                <w:szCs w:val="21"/>
              </w:rPr>
              <w:t>（</w:t>
            </w:r>
            <w:r>
              <w:rPr>
                <w:rFonts w:ascii="宋体" w:hAnsi="宋体"/>
                <w:szCs w:val="21"/>
              </w:rPr>
              <w:t>6</w:t>
            </w:r>
            <w:r>
              <w:rPr>
                <w:rFonts w:hint="eastAsia" w:ascii="宋体" w:hAnsi="宋体"/>
                <w:szCs w:val="21"/>
              </w:rPr>
              <w:t>）分包</w:t>
            </w:r>
          </w:p>
        </w:tc>
        <w:tc>
          <w:tcPr>
            <w:tcW w:w="6242" w:type="dxa"/>
            <w:vAlign w:val="center"/>
          </w:tcPr>
          <w:p w14:paraId="75CF6B5E">
            <w:pPr>
              <w:spacing w:line="240" w:lineRule="exact"/>
              <w:rPr>
                <w:rFonts w:ascii="宋体" w:hAnsi="宋体"/>
                <w:szCs w:val="21"/>
                <w:lang w:val="zh-CN"/>
              </w:rPr>
            </w:pPr>
            <w:r>
              <w:rPr>
                <w:rFonts w:ascii="宋体" w:hAnsi="宋体"/>
                <w:szCs w:val="21"/>
              </w:rPr>
              <w:t>须符合</w:t>
            </w:r>
            <w:r>
              <w:rPr>
                <w:rFonts w:hint="eastAsia" w:ascii="宋体" w:hAnsi="宋体"/>
                <w:szCs w:val="21"/>
              </w:rPr>
              <w:t>“磋商公告”</w:t>
            </w:r>
            <w:r>
              <w:rPr>
                <w:rFonts w:ascii="宋体" w:hAnsi="宋体"/>
                <w:szCs w:val="21"/>
              </w:rPr>
              <w:t>的要求</w:t>
            </w:r>
          </w:p>
        </w:tc>
      </w:tr>
      <w:tr w14:paraId="0A83E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846" w:type="dxa"/>
            <w:vMerge w:val="continue"/>
            <w:vAlign w:val="center"/>
          </w:tcPr>
          <w:p w14:paraId="70DB6655">
            <w:pPr>
              <w:spacing w:line="240" w:lineRule="exact"/>
              <w:jc w:val="left"/>
              <w:rPr>
                <w:rFonts w:ascii="宋体" w:hAnsi="宋体"/>
                <w:kern w:val="0"/>
                <w:szCs w:val="21"/>
              </w:rPr>
            </w:pPr>
          </w:p>
        </w:tc>
        <w:tc>
          <w:tcPr>
            <w:tcW w:w="1843" w:type="dxa"/>
            <w:vAlign w:val="center"/>
          </w:tcPr>
          <w:p w14:paraId="2BF1C085">
            <w:pPr>
              <w:spacing w:line="240" w:lineRule="exact"/>
              <w:jc w:val="left"/>
              <w:rPr>
                <w:rFonts w:ascii="宋体" w:hAnsi="宋体"/>
                <w:szCs w:val="21"/>
              </w:rPr>
            </w:pPr>
            <w:r>
              <w:rPr>
                <w:rFonts w:hint="eastAsia" w:ascii="宋体" w:hAnsi="宋体"/>
                <w:szCs w:val="21"/>
              </w:rPr>
              <w:t>（</w:t>
            </w:r>
            <w:r>
              <w:rPr>
                <w:rFonts w:ascii="宋体" w:hAnsi="宋体"/>
                <w:szCs w:val="21"/>
              </w:rPr>
              <w:t>7</w:t>
            </w:r>
            <w:r>
              <w:rPr>
                <w:rFonts w:hint="eastAsia" w:ascii="宋体" w:hAnsi="宋体"/>
                <w:szCs w:val="21"/>
              </w:rPr>
              <w:t>）联合体</w:t>
            </w:r>
          </w:p>
        </w:tc>
        <w:tc>
          <w:tcPr>
            <w:tcW w:w="6242" w:type="dxa"/>
            <w:vAlign w:val="center"/>
          </w:tcPr>
          <w:p w14:paraId="747368AF">
            <w:pPr>
              <w:spacing w:line="240" w:lineRule="exact"/>
              <w:rPr>
                <w:rFonts w:ascii="宋体" w:hAnsi="宋体"/>
                <w:szCs w:val="21"/>
              </w:rPr>
            </w:pPr>
            <w:r>
              <w:rPr>
                <w:rFonts w:hint="eastAsia" w:ascii="宋体" w:hAnsi="宋体"/>
                <w:szCs w:val="21"/>
                <w:lang w:val="zh-CN"/>
              </w:rPr>
              <w:t>须符合“磋商公告”的要求</w:t>
            </w:r>
          </w:p>
        </w:tc>
      </w:tr>
      <w:tr w14:paraId="76515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846" w:type="dxa"/>
            <w:vMerge w:val="continue"/>
            <w:vAlign w:val="center"/>
          </w:tcPr>
          <w:p w14:paraId="0262425B">
            <w:pPr>
              <w:spacing w:line="240" w:lineRule="exact"/>
              <w:jc w:val="left"/>
              <w:rPr>
                <w:rFonts w:ascii="宋体" w:hAnsi="宋体"/>
                <w:kern w:val="0"/>
                <w:szCs w:val="21"/>
              </w:rPr>
            </w:pPr>
          </w:p>
        </w:tc>
        <w:tc>
          <w:tcPr>
            <w:tcW w:w="1843" w:type="dxa"/>
            <w:vAlign w:val="center"/>
          </w:tcPr>
          <w:p w14:paraId="0E984EF7">
            <w:pPr>
              <w:spacing w:line="240" w:lineRule="exact"/>
              <w:jc w:val="left"/>
              <w:rPr>
                <w:rFonts w:ascii="宋体" w:hAnsi="宋体"/>
                <w:szCs w:val="21"/>
              </w:rPr>
            </w:pPr>
            <w:r>
              <w:rPr>
                <w:rFonts w:hint="eastAsia" w:ascii="宋体" w:hAnsi="宋体"/>
                <w:szCs w:val="21"/>
              </w:rPr>
              <w:t>（</w:t>
            </w:r>
            <w:r>
              <w:rPr>
                <w:rFonts w:ascii="宋体" w:hAnsi="宋体"/>
                <w:szCs w:val="21"/>
              </w:rPr>
              <w:t>8</w:t>
            </w:r>
            <w:r>
              <w:rPr>
                <w:rFonts w:hint="eastAsia" w:ascii="宋体" w:hAnsi="宋体"/>
                <w:szCs w:val="21"/>
              </w:rPr>
              <w:t>）其他要求</w:t>
            </w:r>
          </w:p>
        </w:tc>
        <w:tc>
          <w:tcPr>
            <w:tcW w:w="6242" w:type="dxa"/>
          </w:tcPr>
          <w:p w14:paraId="041A0C2A">
            <w:pPr>
              <w:spacing w:line="312" w:lineRule="auto"/>
              <w:jc w:val="left"/>
              <w:rPr>
                <w:rFonts w:ascii="宋体" w:hAnsi="宋体"/>
                <w:kern w:val="0"/>
                <w:szCs w:val="21"/>
              </w:rPr>
            </w:pPr>
            <w:r>
              <w:rPr>
                <w:rFonts w:hint="eastAsia" w:ascii="宋体" w:hAnsi="宋体"/>
                <w:kern w:val="0"/>
                <w:szCs w:val="21"/>
              </w:rPr>
              <w:t>按</w:t>
            </w:r>
            <w:r>
              <w:rPr>
                <w:rFonts w:ascii="宋体" w:hAnsi="宋体"/>
                <w:kern w:val="0"/>
                <w:szCs w:val="21"/>
              </w:rPr>
              <w:t>照</w:t>
            </w:r>
            <w:r>
              <w:rPr>
                <w:rFonts w:hint="eastAsia" w:ascii="宋体" w:hAnsi="宋体"/>
                <w:kern w:val="0"/>
                <w:szCs w:val="21"/>
              </w:rPr>
              <w:t>磋商</w:t>
            </w:r>
            <w:r>
              <w:rPr>
                <w:rFonts w:ascii="宋体" w:hAnsi="宋体"/>
                <w:kern w:val="0"/>
                <w:szCs w:val="21"/>
              </w:rPr>
              <w:t>公告规定获得</w:t>
            </w:r>
            <w:r>
              <w:rPr>
                <w:rFonts w:hint="eastAsia" w:ascii="宋体" w:hAnsi="宋体"/>
                <w:kern w:val="0"/>
                <w:szCs w:val="21"/>
              </w:rPr>
              <w:t>采购</w:t>
            </w:r>
            <w:r>
              <w:rPr>
                <w:rFonts w:ascii="宋体" w:hAnsi="宋体"/>
                <w:kern w:val="0"/>
                <w:szCs w:val="21"/>
              </w:rPr>
              <w:t>文件。</w:t>
            </w:r>
            <w:r>
              <w:rPr>
                <w:rFonts w:hint="eastAsia" w:ascii="宋体" w:hAnsi="宋体"/>
                <w:kern w:val="0"/>
                <w:szCs w:val="21"/>
              </w:rPr>
              <w:t>足额、及时缴纳磋商保证金。</w:t>
            </w:r>
          </w:p>
        </w:tc>
      </w:tr>
    </w:tbl>
    <w:p w14:paraId="292CBA51">
      <w:pPr>
        <w:spacing w:before="120" w:line="320" w:lineRule="atLeast"/>
        <w:ind w:firstLine="413" w:firstLineChars="196"/>
        <w:outlineLvl w:val="1"/>
        <w:rPr>
          <w:rFonts w:ascii="宋体" w:hAnsi="宋体"/>
          <w:szCs w:val="21"/>
        </w:rPr>
      </w:pPr>
      <w:r>
        <w:rPr>
          <w:rFonts w:ascii="宋体" w:hAnsi="宋体"/>
          <w:b/>
          <w:bCs/>
          <w:kern w:val="0"/>
          <w:szCs w:val="21"/>
        </w:rPr>
        <w:t>3</w:t>
      </w:r>
      <w:r>
        <w:rPr>
          <w:rFonts w:hint="eastAsia" w:ascii="宋体" w:hAnsi="宋体"/>
          <w:b/>
          <w:bCs/>
          <w:kern w:val="0"/>
          <w:szCs w:val="21"/>
        </w:rPr>
        <w:t>.</w:t>
      </w:r>
      <w:r>
        <w:rPr>
          <w:rFonts w:ascii="宋体" w:hAnsi="宋体"/>
          <w:b/>
          <w:bCs/>
          <w:kern w:val="0"/>
          <w:szCs w:val="21"/>
        </w:rPr>
        <w:t>符合性审查</w:t>
      </w:r>
      <w:r>
        <w:rPr>
          <w:rFonts w:hint="eastAsia" w:ascii="宋体" w:hAnsi="宋体"/>
          <w:b/>
          <w:bCs/>
          <w:kern w:val="0"/>
          <w:szCs w:val="21"/>
        </w:rPr>
        <w:t>标准（不满足任何一项审查内容要求，符合性审查即为不合格）</w:t>
      </w:r>
    </w:p>
    <w:tbl>
      <w:tblPr>
        <w:tblStyle w:val="51"/>
        <w:tblW w:w="8930"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2"/>
        <w:gridCol w:w="2333"/>
        <w:gridCol w:w="5085"/>
      </w:tblGrid>
      <w:tr w14:paraId="5DEF4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1512" w:type="dxa"/>
            <w:vAlign w:val="center"/>
          </w:tcPr>
          <w:p w14:paraId="33F47F62">
            <w:pPr>
              <w:spacing w:line="240" w:lineRule="exact"/>
              <w:jc w:val="center"/>
              <w:rPr>
                <w:rFonts w:ascii="宋体" w:hAnsi="宋体"/>
                <w:b/>
                <w:kern w:val="0"/>
                <w:szCs w:val="21"/>
              </w:rPr>
            </w:pPr>
            <w:bookmarkStart w:id="77" w:name="_Hlk20388968"/>
            <w:bookmarkStart w:id="78" w:name="_Hlk48146640"/>
            <w:r>
              <w:rPr>
                <w:rFonts w:hint="eastAsia" w:ascii="宋体" w:hAnsi="宋体"/>
                <w:b/>
                <w:kern w:val="0"/>
                <w:szCs w:val="21"/>
              </w:rPr>
              <w:t>审查</w:t>
            </w:r>
            <w:r>
              <w:rPr>
                <w:rFonts w:ascii="宋体" w:hAnsi="宋体"/>
                <w:b/>
                <w:kern w:val="0"/>
                <w:szCs w:val="21"/>
              </w:rPr>
              <w:t>因素</w:t>
            </w:r>
          </w:p>
        </w:tc>
        <w:tc>
          <w:tcPr>
            <w:tcW w:w="2333" w:type="dxa"/>
            <w:vAlign w:val="center"/>
          </w:tcPr>
          <w:p w14:paraId="45C790CB">
            <w:pPr>
              <w:spacing w:line="240" w:lineRule="exact"/>
              <w:jc w:val="center"/>
              <w:rPr>
                <w:rFonts w:ascii="宋体" w:hAnsi="宋体"/>
                <w:b/>
                <w:kern w:val="0"/>
                <w:szCs w:val="21"/>
              </w:rPr>
            </w:pPr>
            <w:r>
              <w:rPr>
                <w:rFonts w:hint="eastAsia" w:ascii="宋体" w:hAnsi="宋体"/>
                <w:b/>
                <w:kern w:val="0"/>
                <w:szCs w:val="21"/>
              </w:rPr>
              <w:t>审查内容</w:t>
            </w:r>
          </w:p>
        </w:tc>
        <w:tc>
          <w:tcPr>
            <w:tcW w:w="5085" w:type="dxa"/>
          </w:tcPr>
          <w:p w14:paraId="140A8C72">
            <w:pPr>
              <w:spacing w:line="240" w:lineRule="exact"/>
              <w:jc w:val="center"/>
              <w:rPr>
                <w:rFonts w:ascii="宋体" w:hAnsi="宋体"/>
                <w:b/>
                <w:kern w:val="0"/>
                <w:szCs w:val="21"/>
              </w:rPr>
            </w:pPr>
          </w:p>
          <w:p w14:paraId="73BABCF0">
            <w:pPr>
              <w:spacing w:line="240" w:lineRule="exact"/>
              <w:jc w:val="center"/>
              <w:rPr>
                <w:rFonts w:ascii="宋体" w:hAnsi="宋体"/>
                <w:b/>
                <w:kern w:val="0"/>
                <w:szCs w:val="21"/>
              </w:rPr>
            </w:pPr>
            <w:r>
              <w:rPr>
                <w:rFonts w:hint="eastAsia" w:ascii="宋体" w:hAnsi="宋体"/>
                <w:b/>
                <w:kern w:val="0"/>
                <w:szCs w:val="21"/>
              </w:rPr>
              <w:t>说明</w:t>
            </w:r>
          </w:p>
        </w:tc>
      </w:tr>
      <w:tr w14:paraId="4E302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7" w:hRule="atLeast"/>
        </w:trPr>
        <w:tc>
          <w:tcPr>
            <w:tcW w:w="1512" w:type="dxa"/>
            <w:vMerge w:val="restart"/>
            <w:vAlign w:val="center"/>
          </w:tcPr>
          <w:p w14:paraId="3F831EDE">
            <w:pPr>
              <w:spacing w:line="240" w:lineRule="exact"/>
              <w:jc w:val="center"/>
              <w:rPr>
                <w:rFonts w:ascii="宋体" w:hAnsi="宋体"/>
                <w:kern w:val="0"/>
                <w:szCs w:val="21"/>
              </w:rPr>
            </w:pPr>
            <w:r>
              <w:rPr>
                <w:rFonts w:hint="eastAsia" w:ascii="宋体" w:hAnsi="宋体"/>
                <w:kern w:val="0"/>
                <w:szCs w:val="21"/>
              </w:rPr>
              <w:t>商务资信</w:t>
            </w:r>
          </w:p>
        </w:tc>
        <w:tc>
          <w:tcPr>
            <w:tcW w:w="2333" w:type="dxa"/>
            <w:vAlign w:val="center"/>
          </w:tcPr>
          <w:p w14:paraId="24440504">
            <w:pPr>
              <w:spacing w:line="240" w:lineRule="exact"/>
              <w:rPr>
                <w:rFonts w:ascii="宋体" w:hAnsi="宋体"/>
              </w:rPr>
            </w:pPr>
            <w:r>
              <w:rPr>
                <w:rFonts w:hint="eastAsia" w:ascii="宋体" w:hAnsi="宋体"/>
              </w:rPr>
              <w:t>法定代表人身份证明及授权委托书</w:t>
            </w:r>
          </w:p>
        </w:tc>
        <w:tc>
          <w:tcPr>
            <w:tcW w:w="5085" w:type="dxa"/>
            <w:vAlign w:val="center"/>
          </w:tcPr>
          <w:p w14:paraId="6081202D">
            <w:pPr>
              <w:spacing w:line="240" w:lineRule="exact"/>
              <w:rPr>
                <w:rFonts w:ascii="宋体" w:hAnsi="宋体"/>
                <w:szCs w:val="21"/>
              </w:rPr>
            </w:pPr>
            <w:r>
              <w:rPr>
                <w:rFonts w:hint="eastAsia" w:ascii="宋体" w:hAnsi="宋体"/>
                <w:szCs w:val="21"/>
              </w:rPr>
              <w:t>授权</w:t>
            </w:r>
            <w:r>
              <w:rPr>
                <w:rFonts w:ascii="宋体" w:hAnsi="宋体"/>
                <w:szCs w:val="21"/>
              </w:rPr>
              <w:t>代表</w:t>
            </w:r>
            <w:r>
              <w:rPr>
                <w:rFonts w:hint="eastAsia" w:ascii="宋体" w:hAnsi="宋体"/>
                <w:szCs w:val="21"/>
              </w:rPr>
              <w:t>参加响应</w:t>
            </w:r>
            <w:r>
              <w:rPr>
                <w:rFonts w:ascii="宋体" w:hAnsi="宋体"/>
                <w:szCs w:val="21"/>
              </w:rPr>
              <w:t>时审查</w:t>
            </w:r>
            <w:r>
              <w:rPr>
                <w:rFonts w:ascii="宋体" w:hAnsi="宋体"/>
              </w:rPr>
              <w:t>：</w:t>
            </w:r>
            <w:r>
              <w:rPr>
                <w:rFonts w:ascii="宋体" w:hAnsi="宋体"/>
                <w:szCs w:val="21"/>
              </w:rPr>
              <w:t xml:space="preserve">法定代表人授权委托书及附件 </w:t>
            </w:r>
          </w:p>
          <w:p w14:paraId="54BC4141">
            <w:pPr>
              <w:spacing w:line="240" w:lineRule="exact"/>
              <w:rPr>
                <w:rFonts w:hint="eastAsia" w:ascii="宋体" w:hAnsi="宋体"/>
                <w:szCs w:val="21"/>
              </w:rPr>
            </w:pPr>
            <w:r>
              <w:rPr>
                <w:rFonts w:hint="eastAsia" w:ascii="宋体" w:hAnsi="宋体"/>
                <w:szCs w:val="21"/>
              </w:rPr>
              <w:t>法定代表人直接参加响应</w:t>
            </w:r>
            <w:r>
              <w:rPr>
                <w:rFonts w:ascii="宋体" w:hAnsi="宋体"/>
                <w:szCs w:val="21"/>
              </w:rPr>
              <w:t>时审查</w:t>
            </w:r>
            <w:r>
              <w:rPr>
                <w:rFonts w:ascii="宋体" w:hAnsi="宋体"/>
              </w:rPr>
              <w:t>：</w:t>
            </w:r>
            <w:r>
              <w:rPr>
                <w:rFonts w:ascii="宋体" w:hAnsi="宋体"/>
                <w:szCs w:val="21"/>
              </w:rPr>
              <w:t>法定代表人身份证明</w:t>
            </w:r>
            <w:r>
              <w:rPr>
                <w:rFonts w:hint="eastAsia" w:ascii="宋体" w:hAnsi="宋体"/>
                <w:szCs w:val="21"/>
              </w:rPr>
              <w:t>及</w:t>
            </w:r>
            <w:r>
              <w:rPr>
                <w:rFonts w:ascii="宋体" w:hAnsi="宋体"/>
                <w:szCs w:val="21"/>
              </w:rPr>
              <w:t>附件</w:t>
            </w:r>
          </w:p>
          <w:p w14:paraId="55202B76">
            <w:pPr>
              <w:spacing w:line="240" w:lineRule="exact"/>
              <w:rPr>
                <w:rFonts w:ascii="宋体" w:hAnsi="宋体"/>
              </w:rPr>
            </w:pPr>
            <w:r>
              <w:rPr>
                <w:rFonts w:ascii="宋体" w:hAnsi="宋体"/>
                <w:szCs w:val="21"/>
              </w:rPr>
              <w:t>格式及附件见第六章响应文件格式要求</w:t>
            </w:r>
          </w:p>
        </w:tc>
      </w:tr>
      <w:tr w14:paraId="7D9A5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1512" w:type="dxa"/>
            <w:vMerge w:val="continue"/>
            <w:vAlign w:val="center"/>
          </w:tcPr>
          <w:p w14:paraId="2861BD13">
            <w:pPr>
              <w:spacing w:line="240" w:lineRule="exact"/>
              <w:jc w:val="center"/>
              <w:rPr>
                <w:rFonts w:ascii="宋体" w:hAnsi="宋体"/>
                <w:kern w:val="0"/>
                <w:szCs w:val="21"/>
              </w:rPr>
            </w:pPr>
          </w:p>
        </w:tc>
        <w:tc>
          <w:tcPr>
            <w:tcW w:w="2333" w:type="dxa"/>
            <w:vAlign w:val="center"/>
          </w:tcPr>
          <w:p w14:paraId="489F4989">
            <w:pPr>
              <w:spacing w:line="240" w:lineRule="exact"/>
              <w:rPr>
                <w:rFonts w:ascii="宋体" w:hAnsi="宋体"/>
                <w:szCs w:val="21"/>
              </w:rPr>
            </w:pPr>
            <w:r>
              <w:rPr>
                <w:rFonts w:hint="eastAsia" w:ascii="宋体" w:hAnsi="宋体"/>
                <w:szCs w:val="21"/>
              </w:rPr>
              <w:t>实质性条款响应</w:t>
            </w:r>
          </w:p>
        </w:tc>
        <w:tc>
          <w:tcPr>
            <w:tcW w:w="5085" w:type="dxa"/>
            <w:vAlign w:val="center"/>
          </w:tcPr>
          <w:p w14:paraId="21D4D920">
            <w:pPr>
              <w:spacing w:line="240" w:lineRule="exact"/>
              <w:rPr>
                <w:rFonts w:ascii="宋体" w:hAnsi="宋体"/>
                <w:szCs w:val="21"/>
              </w:rPr>
            </w:pPr>
            <w:r>
              <w:rPr>
                <w:rFonts w:hint="eastAsia" w:ascii="宋体" w:hAnsi="宋体"/>
                <w:szCs w:val="21"/>
              </w:rPr>
              <w:t>采购文件实质性要求响应均无负偏离</w:t>
            </w:r>
          </w:p>
        </w:tc>
      </w:tr>
      <w:tr w14:paraId="69376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1512" w:type="dxa"/>
            <w:vMerge w:val="continue"/>
            <w:vAlign w:val="center"/>
          </w:tcPr>
          <w:p w14:paraId="2520550A">
            <w:pPr>
              <w:spacing w:line="240" w:lineRule="exact"/>
              <w:jc w:val="center"/>
              <w:rPr>
                <w:rFonts w:ascii="宋体" w:hAnsi="宋体"/>
                <w:kern w:val="0"/>
                <w:szCs w:val="21"/>
              </w:rPr>
            </w:pPr>
          </w:p>
        </w:tc>
        <w:tc>
          <w:tcPr>
            <w:tcW w:w="2333" w:type="dxa"/>
            <w:vAlign w:val="center"/>
          </w:tcPr>
          <w:p w14:paraId="646B3839">
            <w:pPr>
              <w:spacing w:line="240" w:lineRule="exact"/>
              <w:rPr>
                <w:rFonts w:ascii="宋体" w:hAnsi="宋体"/>
                <w:szCs w:val="21"/>
              </w:rPr>
            </w:pPr>
            <w:r>
              <w:rPr>
                <w:rFonts w:hint="eastAsia" w:ascii="宋体" w:hAnsi="宋体"/>
                <w:szCs w:val="21"/>
              </w:rPr>
              <w:t>串通投标</w:t>
            </w:r>
          </w:p>
        </w:tc>
        <w:tc>
          <w:tcPr>
            <w:tcW w:w="5085" w:type="dxa"/>
            <w:vAlign w:val="center"/>
          </w:tcPr>
          <w:p w14:paraId="0058C983">
            <w:pPr>
              <w:spacing w:line="240" w:lineRule="exact"/>
              <w:rPr>
                <w:rFonts w:ascii="宋体" w:hAnsi="宋体"/>
                <w:szCs w:val="21"/>
              </w:rPr>
            </w:pPr>
            <w:r>
              <w:rPr>
                <w:rFonts w:hint="eastAsia" w:ascii="宋体" w:hAnsi="宋体"/>
                <w:szCs w:val="21"/>
              </w:rPr>
              <w:t>不属于供应商须知正文第</w:t>
            </w:r>
            <w:r>
              <w:rPr>
                <w:rFonts w:ascii="宋体" w:hAnsi="宋体"/>
                <w:szCs w:val="21"/>
              </w:rPr>
              <w:t>6</w:t>
            </w:r>
            <w:r>
              <w:rPr>
                <w:rFonts w:hint="eastAsia" w:ascii="宋体" w:hAnsi="宋体"/>
                <w:szCs w:val="21"/>
              </w:rPr>
              <w:t>.</w:t>
            </w:r>
            <w:r>
              <w:rPr>
                <w:rFonts w:ascii="宋体" w:hAnsi="宋体"/>
                <w:szCs w:val="21"/>
              </w:rPr>
              <w:t>3</w:t>
            </w:r>
            <w:r>
              <w:rPr>
                <w:rFonts w:hint="eastAsia" w:ascii="宋体" w:hAnsi="宋体"/>
                <w:szCs w:val="21"/>
              </w:rPr>
              <w:t>.9规定的串通投标情形，见</w:t>
            </w:r>
            <w:r>
              <w:rPr>
                <w:rFonts w:ascii="宋体" w:hAnsi="宋体"/>
                <w:szCs w:val="21"/>
              </w:rPr>
              <w:t>第六章响应文件格式要求</w:t>
            </w:r>
          </w:p>
        </w:tc>
      </w:tr>
      <w:tr w14:paraId="2F0BF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trPr>
        <w:tc>
          <w:tcPr>
            <w:tcW w:w="1512" w:type="dxa"/>
            <w:vMerge w:val="restart"/>
            <w:vAlign w:val="center"/>
          </w:tcPr>
          <w:p w14:paraId="0CBD81E3">
            <w:pPr>
              <w:spacing w:line="240" w:lineRule="exact"/>
              <w:jc w:val="center"/>
              <w:rPr>
                <w:rFonts w:ascii="宋体" w:hAnsi="宋体"/>
                <w:kern w:val="0"/>
                <w:szCs w:val="21"/>
              </w:rPr>
            </w:pPr>
            <w:r>
              <w:rPr>
                <w:rFonts w:hint="eastAsia" w:ascii="宋体" w:hAnsi="宋体"/>
                <w:kern w:val="0"/>
                <w:szCs w:val="21"/>
              </w:rPr>
              <w:t>报价</w:t>
            </w:r>
          </w:p>
        </w:tc>
        <w:tc>
          <w:tcPr>
            <w:tcW w:w="2333" w:type="dxa"/>
            <w:vAlign w:val="center"/>
          </w:tcPr>
          <w:p w14:paraId="5D2C8BCC">
            <w:pPr>
              <w:spacing w:line="240" w:lineRule="exact"/>
              <w:rPr>
                <w:rFonts w:ascii="宋体" w:hAnsi="宋体"/>
                <w:szCs w:val="21"/>
              </w:rPr>
            </w:pPr>
            <w:r>
              <w:rPr>
                <w:rFonts w:hint="eastAsia" w:ascii="宋体" w:hAnsi="宋体"/>
                <w:szCs w:val="21"/>
              </w:rPr>
              <w:t>有效报价</w:t>
            </w:r>
          </w:p>
        </w:tc>
        <w:tc>
          <w:tcPr>
            <w:tcW w:w="5085" w:type="dxa"/>
            <w:vAlign w:val="center"/>
          </w:tcPr>
          <w:p w14:paraId="10FC0301">
            <w:pPr>
              <w:spacing w:line="240" w:lineRule="exact"/>
              <w:rPr>
                <w:rFonts w:ascii="宋体" w:hAnsi="宋体"/>
                <w:bCs/>
                <w:kern w:val="0"/>
                <w:szCs w:val="21"/>
              </w:rPr>
            </w:pPr>
            <w:r>
              <w:rPr>
                <w:rFonts w:hint="eastAsia" w:ascii="宋体" w:hAnsi="宋体"/>
              </w:rPr>
              <w:t>报价未超出采购预算金额，也未超出最高限价（如有）</w:t>
            </w:r>
          </w:p>
        </w:tc>
      </w:tr>
      <w:tr w14:paraId="4385B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trPr>
        <w:tc>
          <w:tcPr>
            <w:tcW w:w="1512" w:type="dxa"/>
            <w:vMerge w:val="continue"/>
            <w:vAlign w:val="center"/>
          </w:tcPr>
          <w:p w14:paraId="78AD3391">
            <w:pPr>
              <w:spacing w:line="240" w:lineRule="exact"/>
              <w:jc w:val="center"/>
              <w:rPr>
                <w:rFonts w:ascii="宋体" w:hAnsi="宋体"/>
                <w:kern w:val="0"/>
                <w:szCs w:val="21"/>
              </w:rPr>
            </w:pPr>
          </w:p>
        </w:tc>
        <w:tc>
          <w:tcPr>
            <w:tcW w:w="2333" w:type="dxa"/>
            <w:vAlign w:val="center"/>
          </w:tcPr>
          <w:p w14:paraId="27A03B70">
            <w:pPr>
              <w:spacing w:line="240" w:lineRule="exact"/>
              <w:rPr>
                <w:rFonts w:ascii="宋体" w:hAnsi="宋体"/>
                <w:bCs/>
                <w:kern w:val="0"/>
                <w:szCs w:val="21"/>
              </w:rPr>
            </w:pPr>
            <w:r>
              <w:rPr>
                <w:rFonts w:hint="eastAsia" w:ascii="宋体" w:hAnsi="宋体"/>
                <w:bCs/>
                <w:kern w:val="0"/>
                <w:szCs w:val="21"/>
              </w:rPr>
              <w:t>漏项报价</w:t>
            </w:r>
          </w:p>
        </w:tc>
        <w:tc>
          <w:tcPr>
            <w:tcW w:w="5085" w:type="dxa"/>
            <w:vAlign w:val="center"/>
          </w:tcPr>
          <w:p w14:paraId="4914F19B">
            <w:pPr>
              <w:spacing w:line="240" w:lineRule="exact"/>
              <w:rPr>
                <w:rFonts w:hint="eastAsia" w:ascii="宋体" w:hAnsi="宋体"/>
                <w:szCs w:val="21"/>
              </w:rPr>
            </w:pPr>
            <w:r>
              <w:rPr>
                <w:rFonts w:hint="eastAsia" w:ascii="宋体" w:hAnsi="宋体"/>
                <w:szCs w:val="21"/>
              </w:rPr>
              <w:t>不存在未就所投分标进行报价或者漏项报价的情形；</w:t>
            </w:r>
          </w:p>
        </w:tc>
      </w:tr>
      <w:tr w14:paraId="3558B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trPr>
        <w:tc>
          <w:tcPr>
            <w:tcW w:w="1512" w:type="dxa"/>
            <w:vMerge w:val="continue"/>
            <w:vAlign w:val="center"/>
          </w:tcPr>
          <w:p w14:paraId="7ADCC572">
            <w:pPr>
              <w:spacing w:line="240" w:lineRule="exact"/>
              <w:jc w:val="center"/>
              <w:rPr>
                <w:rFonts w:ascii="宋体" w:hAnsi="宋体"/>
                <w:kern w:val="0"/>
                <w:szCs w:val="21"/>
              </w:rPr>
            </w:pPr>
          </w:p>
        </w:tc>
        <w:tc>
          <w:tcPr>
            <w:tcW w:w="2333" w:type="dxa"/>
            <w:vAlign w:val="center"/>
          </w:tcPr>
          <w:p w14:paraId="028F94DD">
            <w:pPr>
              <w:spacing w:line="240" w:lineRule="exact"/>
              <w:rPr>
                <w:rFonts w:hint="eastAsia" w:ascii="宋体" w:hAnsi="宋体"/>
                <w:szCs w:val="21"/>
              </w:rPr>
            </w:pPr>
            <w:r>
              <w:rPr>
                <w:rFonts w:hint="eastAsia" w:ascii="宋体" w:hAnsi="宋体"/>
                <w:szCs w:val="21"/>
              </w:rPr>
              <w:t>响应报价唯一性</w:t>
            </w:r>
          </w:p>
        </w:tc>
        <w:tc>
          <w:tcPr>
            <w:tcW w:w="5085" w:type="dxa"/>
            <w:vAlign w:val="center"/>
          </w:tcPr>
          <w:p w14:paraId="594E8BDF">
            <w:pPr>
              <w:spacing w:line="240" w:lineRule="exact"/>
              <w:rPr>
                <w:rFonts w:ascii="宋体" w:hAnsi="宋体"/>
                <w:szCs w:val="21"/>
              </w:rPr>
            </w:pPr>
            <w:r>
              <w:rPr>
                <w:rFonts w:hint="eastAsia" w:ascii="宋体" w:hAnsi="宋体"/>
                <w:szCs w:val="21"/>
              </w:rPr>
              <w:t>不存在有选择、有条件的最后报价（采购文件允许有备选方案或者其他约定的除外）</w:t>
            </w:r>
          </w:p>
        </w:tc>
      </w:tr>
      <w:tr w14:paraId="2E6B7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trPr>
        <w:tc>
          <w:tcPr>
            <w:tcW w:w="1512" w:type="dxa"/>
            <w:vMerge w:val="continue"/>
            <w:vAlign w:val="center"/>
          </w:tcPr>
          <w:p w14:paraId="2847976B">
            <w:pPr>
              <w:spacing w:line="240" w:lineRule="exact"/>
              <w:jc w:val="center"/>
              <w:rPr>
                <w:rFonts w:ascii="宋体" w:hAnsi="宋体"/>
                <w:kern w:val="0"/>
                <w:szCs w:val="21"/>
              </w:rPr>
            </w:pPr>
          </w:p>
        </w:tc>
        <w:tc>
          <w:tcPr>
            <w:tcW w:w="2333" w:type="dxa"/>
            <w:vAlign w:val="center"/>
          </w:tcPr>
          <w:p w14:paraId="5D889DF0">
            <w:pPr>
              <w:spacing w:line="240" w:lineRule="exact"/>
              <w:rPr>
                <w:rFonts w:ascii="宋体" w:hAnsi="宋体"/>
                <w:lang w:val="zh-CN"/>
              </w:rPr>
            </w:pPr>
            <w:r>
              <w:rPr>
                <w:rFonts w:hint="eastAsia" w:ascii="宋体" w:hAnsi="宋体"/>
                <w:szCs w:val="21"/>
                <w:lang w:val="zh-CN"/>
              </w:rPr>
              <w:t>过低报价合理性</w:t>
            </w:r>
          </w:p>
        </w:tc>
        <w:tc>
          <w:tcPr>
            <w:tcW w:w="5085" w:type="dxa"/>
            <w:vAlign w:val="center"/>
          </w:tcPr>
          <w:p w14:paraId="5D1FF79F">
            <w:pPr>
              <w:spacing w:line="240" w:lineRule="exact"/>
              <w:rPr>
                <w:rFonts w:ascii="宋体" w:hAnsi="宋体"/>
              </w:rPr>
            </w:pPr>
            <w:r>
              <w:rPr>
                <w:rFonts w:hint="eastAsia" w:ascii="宋体" w:hAnsi="宋体"/>
              </w:rPr>
              <w:t>供应商的报价存在异常低价问题的情形，评审委员会</w:t>
            </w:r>
            <w:r>
              <w:rPr>
                <w:rFonts w:hint="eastAsia" w:ascii="宋体" w:hAnsi="宋体"/>
                <w:szCs w:val="21"/>
              </w:rPr>
              <w:t>应当要求其在评标现场合理的时间内提供报价合理性相关的书面说明及必要的证明材料。</w:t>
            </w:r>
            <w:r>
              <w:rPr>
                <w:rFonts w:hint="eastAsia" w:ascii="宋体" w:hAnsi="宋体"/>
              </w:rPr>
              <w:t>供应商不能证明其报价合理性的，评审委员会应当将其作为无效投标处理。</w:t>
            </w:r>
          </w:p>
        </w:tc>
      </w:tr>
      <w:tr w14:paraId="25840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trPr>
        <w:tc>
          <w:tcPr>
            <w:tcW w:w="1512" w:type="dxa"/>
            <w:vMerge w:val="continue"/>
            <w:vAlign w:val="center"/>
          </w:tcPr>
          <w:p w14:paraId="6CAC4A2E">
            <w:pPr>
              <w:spacing w:line="240" w:lineRule="exact"/>
              <w:jc w:val="center"/>
              <w:rPr>
                <w:rFonts w:ascii="宋体" w:hAnsi="宋体"/>
                <w:kern w:val="0"/>
                <w:szCs w:val="21"/>
              </w:rPr>
            </w:pPr>
          </w:p>
        </w:tc>
        <w:tc>
          <w:tcPr>
            <w:tcW w:w="2333" w:type="dxa"/>
            <w:vAlign w:val="center"/>
          </w:tcPr>
          <w:p w14:paraId="28A6B5D5">
            <w:pPr>
              <w:spacing w:line="240" w:lineRule="exact"/>
              <w:rPr>
                <w:rFonts w:hint="eastAsia" w:ascii="宋体" w:hAnsi="宋体"/>
                <w:szCs w:val="21"/>
              </w:rPr>
            </w:pPr>
            <w:r>
              <w:rPr>
                <w:rFonts w:hint="eastAsia" w:ascii="宋体" w:hAnsi="宋体"/>
                <w:szCs w:val="21"/>
              </w:rPr>
              <w:t>响应有效期</w:t>
            </w:r>
          </w:p>
        </w:tc>
        <w:tc>
          <w:tcPr>
            <w:tcW w:w="5085" w:type="dxa"/>
            <w:vAlign w:val="center"/>
          </w:tcPr>
          <w:p w14:paraId="1E9A6E3E">
            <w:pPr>
              <w:spacing w:line="240" w:lineRule="exact"/>
              <w:rPr>
                <w:rFonts w:ascii="宋体" w:hAnsi="宋体"/>
                <w:szCs w:val="21"/>
              </w:rPr>
            </w:pPr>
            <w:r>
              <w:rPr>
                <w:rFonts w:hint="eastAsia" w:ascii="宋体" w:hAnsi="宋体"/>
                <w:szCs w:val="21"/>
              </w:rPr>
              <w:t>满足采购文件规定</w:t>
            </w:r>
          </w:p>
        </w:tc>
      </w:tr>
      <w:bookmarkEnd w:id="77"/>
      <w:bookmarkEnd w:id="78"/>
    </w:tbl>
    <w:p w14:paraId="5602E9D4">
      <w:pPr>
        <w:spacing w:before="120" w:line="320" w:lineRule="atLeast"/>
        <w:rPr>
          <w:rFonts w:ascii="宋体" w:hAnsi="宋体"/>
        </w:rPr>
      </w:pPr>
    </w:p>
    <w:p w14:paraId="48D159CF">
      <w:pPr>
        <w:spacing w:before="120" w:line="320" w:lineRule="atLeast"/>
        <w:rPr>
          <w:rFonts w:ascii="宋体" w:hAnsi="宋体"/>
        </w:rPr>
      </w:pPr>
    </w:p>
    <w:p w14:paraId="226F3457">
      <w:pPr>
        <w:tabs>
          <w:tab w:val="left" w:pos="1950"/>
        </w:tabs>
        <w:spacing w:before="120" w:line="320" w:lineRule="atLeast"/>
        <w:jc w:val="left"/>
        <w:outlineLvl w:val="1"/>
        <w:rPr>
          <w:rFonts w:ascii="宋体" w:hAnsi="宋体"/>
          <w:b/>
          <w:bCs/>
          <w:kern w:val="0"/>
          <w:szCs w:val="21"/>
        </w:rPr>
      </w:pPr>
      <w:r>
        <w:rPr>
          <w:rFonts w:ascii="宋体" w:hAnsi="宋体"/>
          <w:b/>
          <w:bCs/>
          <w:kern w:val="0"/>
        </w:rPr>
        <w:br w:type="page"/>
      </w:r>
      <w:r>
        <w:rPr>
          <w:rFonts w:ascii="宋体" w:hAnsi="宋体"/>
          <w:b/>
          <w:bCs/>
          <w:kern w:val="0"/>
          <w:szCs w:val="21"/>
        </w:rPr>
        <w:t>4.评审标准</w:t>
      </w:r>
    </w:p>
    <w:tbl>
      <w:tblPr>
        <w:tblStyle w:val="51"/>
        <w:tblW w:w="97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
        <w:gridCol w:w="709"/>
        <w:gridCol w:w="828"/>
        <w:gridCol w:w="709"/>
        <w:gridCol w:w="5267"/>
        <w:gridCol w:w="1821"/>
      </w:tblGrid>
      <w:tr w14:paraId="495D3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dxa"/>
            <w:vAlign w:val="center"/>
          </w:tcPr>
          <w:p w14:paraId="1F37B4CA">
            <w:pPr>
              <w:jc w:val="center"/>
              <w:rPr>
                <w:rFonts w:ascii="宋体" w:hAnsi="宋体"/>
                <w:b/>
                <w:szCs w:val="21"/>
              </w:rPr>
            </w:pPr>
            <w:r>
              <w:rPr>
                <w:rFonts w:ascii="宋体" w:hAnsi="宋体"/>
                <w:b/>
                <w:szCs w:val="21"/>
              </w:rPr>
              <w:t>序号</w:t>
            </w:r>
          </w:p>
        </w:tc>
        <w:tc>
          <w:tcPr>
            <w:tcW w:w="1537" w:type="dxa"/>
            <w:gridSpan w:val="2"/>
            <w:vAlign w:val="center"/>
          </w:tcPr>
          <w:p w14:paraId="371F724A">
            <w:pPr>
              <w:jc w:val="center"/>
              <w:rPr>
                <w:rFonts w:ascii="宋体" w:hAnsi="宋体"/>
                <w:b/>
                <w:szCs w:val="21"/>
              </w:rPr>
            </w:pPr>
            <w:r>
              <w:rPr>
                <w:rFonts w:ascii="宋体" w:hAnsi="宋体"/>
                <w:b/>
                <w:szCs w:val="21"/>
              </w:rPr>
              <w:t>评审因素及分值</w:t>
            </w:r>
          </w:p>
        </w:tc>
        <w:tc>
          <w:tcPr>
            <w:tcW w:w="709" w:type="dxa"/>
            <w:vAlign w:val="center"/>
          </w:tcPr>
          <w:p w14:paraId="4C70509B">
            <w:pPr>
              <w:jc w:val="center"/>
              <w:rPr>
                <w:rFonts w:ascii="宋体" w:hAnsi="宋体"/>
                <w:b/>
                <w:szCs w:val="21"/>
              </w:rPr>
            </w:pPr>
            <w:r>
              <w:rPr>
                <w:rFonts w:ascii="宋体" w:hAnsi="宋体"/>
                <w:b/>
                <w:szCs w:val="21"/>
              </w:rPr>
              <w:t>分值</w:t>
            </w:r>
          </w:p>
          <w:p w14:paraId="0BD12E57">
            <w:pPr>
              <w:jc w:val="center"/>
              <w:rPr>
                <w:rFonts w:ascii="宋体" w:hAnsi="宋体"/>
                <w:b/>
                <w:szCs w:val="21"/>
              </w:rPr>
            </w:pPr>
            <w:r>
              <w:rPr>
                <w:rFonts w:ascii="宋体" w:hAnsi="宋体"/>
                <w:b/>
                <w:szCs w:val="21"/>
              </w:rPr>
              <w:t>属性</w:t>
            </w:r>
          </w:p>
        </w:tc>
        <w:tc>
          <w:tcPr>
            <w:tcW w:w="5267" w:type="dxa"/>
            <w:vAlign w:val="center"/>
          </w:tcPr>
          <w:p w14:paraId="72EB85E3">
            <w:pPr>
              <w:jc w:val="center"/>
              <w:rPr>
                <w:rFonts w:ascii="宋体" w:hAnsi="宋体"/>
                <w:b/>
                <w:szCs w:val="21"/>
              </w:rPr>
            </w:pPr>
            <w:r>
              <w:rPr>
                <w:rFonts w:ascii="宋体" w:hAnsi="宋体"/>
                <w:b/>
                <w:szCs w:val="21"/>
              </w:rPr>
              <w:t>评审标准</w:t>
            </w:r>
          </w:p>
        </w:tc>
        <w:tc>
          <w:tcPr>
            <w:tcW w:w="1821" w:type="dxa"/>
            <w:vAlign w:val="center"/>
          </w:tcPr>
          <w:p w14:paraId="507C3DD7">
            <w:pPr>
              <w:jc w:val="center"/>
              <w:rPr>
                <w:rFonts w:ascii="宋体" w:hAnsi="宋体"/>
                <w:b/>
                <w:szCs w:val="21"/>
              </w:rPr>
            </w:pPr>
            <w:r>
              <w:rPr>
                <w:rFonts w:ascii="宋体" w:hAnsi="宋体"/>
                <w:b/>
                <w:szCs w:val="21"/>
              </w:rPr>
              <w:t>说明</w:t>
            </w:r>
          </w:p>
        </w:tc>
      </w:tr>
      <w:tr w14:paraId="4381F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dxa"/>
            <w:vMerge w:val="restart"/>
            <w:vAlign w:val="center"/>
          </w:tcPr>
          <w:p w14:paraId="18D365C7">
            <w:pPr>
              <w:jc w:val="center"/>
              <w:rPr>
                <w:rFonts w:ascii="宋体" w:hAnsi="宋体"/>
                <w:szCs w:val="21"/>
              </w:rPr>
            </w:pPr>
            <w:r>
              <w:rPr>
                <w:rFonts w:ascii="宋体" w:hAnsi="宋体"/>
                <w:szCs w:val="21"/>
              </w:rPr>
              <w:t>1</w:t>
            </w:r>
          </w:p>
        </w:tc>
        <w:tc>
          <w:tcPr>
            <w:tcW w:w="709" w:type="dxa"/>
            <w:vMerge w:val="restart"/>
            <w:vAlign w:val="center"/>
          </w:tcPr>
          <w:p w14:paraId="00F4495B">
            <w:pPr>
              <w:jc w:val="center"/>
              <w:rPr>
                <w:rFonts w:ascii="宋体" w:hAnsi="宋体"/>
                <w:szCs w:val="21"/>
              </w:rPr>
            </w:pPr>
            <w:r>
              <w:rPr>
                <w:rFonts w:ascii="宋体" w:hAnsi="宋体"/>
              </w:rPr>
              <w:t>商务部分（60分）</w:t>
            </w:r>
          </w:p>
        </w:tc>
        <w:tc>
          <w:tcPr>
            <w:tcW w:w="828" w:type="dxa"/>
            <w:vAlign w:val="center"/>
          </w:tcPr>
          <w:p w14:paraId="36AED52B">
            <w:pPr>
              <w:jc w:val="center"/>
              <w:rPr>
                <w:rFonts w:ascii="宋体" w:hAnsi="宋体"/>
                <w:szCs w:val="21"/>
              </w:rPr>
            </w:pPr>
            <w:r>
              <w:rPr>
                <w:rFonts w:ascii="宋体" w:hAnsi="宋体"/>
                <w:szCs w:val="21"/>
              </w:rPr>
              <w:t>业绩（8分）</w:t>
            </w:r>
          </w:p>
        </w:tc>
        <w:tc>
          <w:tcPr>
            <w:tcW w:w="709" w:type="dxa"/>
            <w:vAlign w:val="center"/>
          </w:tcPr>
          <w:p w14:paraId="6C34936F">
            <w:pPr>
              <w:jc w:val="center"/>
              <w:rPr>
                <w:rFonts w:ascii="宋体" w:hAnsi="宋体"/>
                <w:szCs w:val="21"/>
              </w:rPr>
            </w:pPr>
            <w:r>
              <w:rPr>
                <w:rFonts w:ascii="宋体" w:hAnsi="宋体"/>
                <w:szCs w:val="21"/>
              </w:rPr>
              <w:t>客观分</w:t>
            </w:r>
          </w:p>
        </w:tc>
        <w:tc>
          <w:tcPr>
            <w:tcW w:w="5267" w:type="dxa"/>
            <w:vAlign w:val="center"/>
          </w:tcPr>
          <w:p w14:paraId="3808F333">
            <w:pPr>
              <w:rPr>
                <w:rFonts w:ascii="宋体" w:hAnsi="宋体"/>
              </w:rPr>
            </w:pPr>
            <w:r>
              <w:rPr>
                <w:rFonts w:ascii="宋体" w:hAnsi="宋体"/>
              </w:rPr>
              <w:t>磋商供应商自2021年1月1日以来完成过国家级会议</w:t>
            </w:r>
            <w:r>
              <w:rPr>
                <w:rFonts w:hint="eastAsia" w:ascii="宋体" w:hAnsi="宋体"/>
              </w:rPr>
              <w:t>、活动</w:t>
            </w:r>
            <w:r>
              <w:rPr>
                <w:rFonts w:ascii="宋体" w:hAnsi="宋体"/>
              </w:rPr>
              <w:t>或展览的车辆服务项目业绩的，每项得2分，满分8分。</w:t>
            </w:r>
          </w:p>
        </w:tc>
        <w:tc>
          <w:tcPr>
            <w:tcW w:w="1821" w:type="dxa"/>
            <w:vAlign w:val="center"/>
          </w:tcPr>
          <w:p w14:paraId="4A66B854">
            <w:pPr>
              <w:rPr>
                <w:rFonts w:ascii="宋体" w:hAnsi="宋体"/>
              </w:rPr>
            </w:pPr>
            <w:r>
              <w:rPr>
                <w:rFonts w:ascii="宋体" w:hAnsi="宋体"/>
              </w:rPr>
              <w:t>（1）必须提供证明材料。</w:t>
            </w:r>
          </w:p>
          <w:p w14:paraId="61BA4F52">
            <w:pPr>
              <w:rPr>
                <w:rFonts w:ascii="宋体" w:hAnsi="宋体"/>
                <w:szCs w:val="21"/>
              </w:rPr>
            </w:pPr>
            <w:r>
              <w:rPr>
                <w:rFonts w:ascii="宋体" w:hAnsi="宋体"/>
              </w:rPr>
              <w:t>（2）以中标（成交）通知书或销售合同复印件为准。</w:t>
            </w:r>
          </w:p>
        </w:tc>
      </w:tr>
      <w:tr w14:paraId="1E426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dxa"/>
            <w:vMerge w:val="continue"/>
            <w:vAlign w:val="center"/>
          </w:tcPr>
          <w:p w14:paraId="6AFC0327">
            <w:pPr>
              <w:jc w:val="center"/>
              <w:rPr>
                <w:rFonts w:ascii="宋体" w:hAnsi="宋体"/>
                <w:szCs w:val="21"/>
              </w:rPr>
            </w:pPr>
          </w:p>
        </w:tc>
        <w:tc>
          <w:tcPr>
            <w:tcW w:w="709" w:type="dxa"/>
            <w:vMerge w:val="continue"/>
            <w:vAlign w:val="center"/>
          </w:tcPr>
          <w:p w14:paraId="6111E03C">
            <w:pPr>
              <w:jc w:val="center"/>
              <w:rPr>
                <w:rFonts w:ascii="宋体" w:hAnsi="宋体"/>
              </w:rPr>
            </w:pPr>
          </w:p>
        </w:tc>
        <w:tc>
          <w:tcPr>
            <w:tcW w:w="828" w:type="dxa"/>
            <w:vMerge w:val="restart"/>
            <w:vAlign w:val="center"/>
          </w:tcPr>
          <w:p w14:paraId="05D43B63">
            <w:pPr>
              <w:jc w:val="center"/>
              <w:rPr>
                <w:rFonts w:ascii="宋体" w:hAnsi="宋体"/>
              </w:rPr>
            </w:pPr>
            <w:r>
              <w:rPr>
                <w:rFonts w:ascii="宋体" w:hAnsi="宋体"/>
              </w:rPr>
              <w:t>信誉分（7分）</w:t>
            </w:r>
          </w:p>
        </w:tc>
        <w:tc>
          <w:tcPr>
            <w:tcW w:w="709" w:type="dxa"/>
            <w:tcBorders>
              <w:top w:val="single" w:color="auto" w:sz="4" w:space="0"/>
              <w:right w:val="single" w:color="auto" w:sz="4" w:space="0"/>
            </w:tcBorders>
            <w:vAlign w:val="center"/>
          </w:tcPr>
          <w:p w14:paraId="39F6F36C">
            <w:pPr>
              <w:jc w:val="center"/>
              <w:rPr>
                <w:rFonts w:ascii="宋体" w:hAnsi="宋体"/>
                <w:szCs w:val="21"/>
              </w:rPr>
            </w:pPr>
            <w:r>
              <w:rPr>
                <w:rFonts w:ascii="宋体" w:hAnsi="宋体"/>
                <w:szCs w:val="21"/>
              </w:rPr>
              <w:t>客观分</w:t>
            </w:r>
          </w:p>
        </w:tc>
        <w:tc>
          <w:tcPr>
            <w:tcW w:w="5267" w:type="dxa"/>
            <w:tcBorders>
              <w:top w:val="single" w:color="auto" w:sz="4" w:space="0"/>
              <w:left w:val="single" w:color="auto" w:sz="4" w:space="0"/>
              <w:right w:val="single" w:color="auto" w:sz="4" w:space="0"/>
            </w:tcBorders>
            <w:vAlign w:val="center"/>
          </w:tcPr>
          <w:p w14:paraId="51E54163">
            <w:pPr>
              <w:rPr>
                <w:rFonts w:ascii="宋体" w:hAnsi="宋体"/>
                <w:szCs w:val="21"/>
              </w:rPr>
            </w:pPr>
            <w:r>
              <w:rPr>
                <w:rFonts w:ascii="宋体" w:hAnsi="宋体"/>
                <w:szCs w:val="21"/>
              </w:rPr>
              <w:t>（1）磋商供应商自2021年1月1日以来获得与企业生产经营或服务质量有关的荣誉奖项或质量认证，每项得1分，满分4分（须在响应文件中提供有效证明材料复印件并加盖单位公章，否则不计分）。</w:t>
            </w:r>
          </w:p>
        </w:tc>
        <w:tc>
          <w:tcPr>
            <w:tcW w:w="1821" w:type="dxa"/>
            <w:tcBorders>
              <w:top w:val="single" w:color="auto" w:sz="4" w:space="0"/>
              <w:left w:val="single" w:color="auto" w:sz="4" w:space="0"/>
              <w:right w:val="single" w:color="auto" w:sz="4" w:space="0"/>
            </w:tcBorders>
            <w:vAlign w:val="center"/>
          </w:tcPr>
          <w:p w14:paraId="630A53EC">
            <w:pPr>
              <w:rPr>
                <w:rFonts w:ascii="宋体" w:hAnsi="宋体"/>
                <w:szCs w:val="21"/>
              </w:rPr>
            </w:pPr>
          </w:p>
        </w:tc>
      </w:tr>
      <w:tr w14:paraId="07260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dxa"/>
            <w:vMerge w:val="continue"/>
            <w:vAlign w:val="center"/>
          </w:tcPr>
          <w:p w14:paraId="73723C3A">
            <w:pPr>
              <w:jc w:val="center"/>
              <w:rPr>
                <w:rFonts w:ascii="宋体" w:hAnsi="宋体"/>
                <w:szCs w:val="21"/>
              </w:rPr>
            </w:pPr>
          </w:p>
        </w:tc>
        <w:tc>
          <w:tcPr>
            <w:tcW w:w="709" w:type="dxa"/>
            <w:vMerge w:val="continue"/>
            <w:vAlign w:val="center"/>
          </w:tcPr>
          <w:p w14:paraId="007D6EE4">
            <w:pPr>
              <w:jc w:val="center"/>
              <w:rPr>
                <w:rFonts w:ascii="宋体" w:hAnsi="宋体"/>
              </w:rPr>
            </w:pPr>
          </w:p>
        </w:tc>
        <w:tc>
          <w:tcPr>
            <w:tcW w:w="828" w:type="dxa"/>
            <w:vMerge w:val="continue"/>
            <w:vAlign w:val="center"/>
          </w:tcPr>
          <w:p w14:paraId="6713D101">
            <w:pPr>
              <w:jc w:val="center"/>
              <w:rPr>
                <w:rFonts w:ascii="宋体" w:hAnsi="宋体"/>
              </w:rPr>
            </w:pPr>
          </w:p>
        </w:tc>
        <w:tc>
          <w:tcPr>
            <w:tcW w:w="709" w:type="dxa"/>
            <w:tcBorders>
              <w:top w:val="single" w:color="auto" w:sz="4" w:space="0"/>
              <w:right w:val="single" w:color="auto" w:sz="4" w:space="0"/>
            </w:tcBorders>
            <w:vAlign w:val="center"/>
          </w:tcPr>
          <w:p w14:paraId="7E460BB2">
            <w:pPr>
              <w:jc w:val="center"/>
              <w:rPr>
                <w:rFonts w:ascii="宋体" w:hAnsi="宋体"/>
                <w:szCs w:val="21"/>
              </w:rPr>
            </w:pPr>
            <w:r>
              <w:rPr>
                <w:rFonts w:ascii="宋体" w:hAnsi="宋体"/>
                <w:szCs w:val="21"/>
              </w:rPr>
              <w:t>客观分</w:t>
            </w:r>
          </w:p>
        </w:tc>
        <w:tc>
          <w:tcPr>
            <w:tcW w:w="5267" w:type="dxa"/>
            <w:tcBorders>
              <w:top w:val="single" w:color="auto" w:sz="4" w:space="0"/>
              <w:left w:val="single" w:color="auto" w:sz="4" w:space="0"/>
              <w:right w:val="single" w:color="auto" w:sz="4" w:space="0"/>
            </w:tcBorders>
            <w:vAlign w:val="center"/>
          </w:tcPr>
          <w:p w14:paraId="603BAC64">
            <w:pPr>
              <w:rPr>
                <w:rFonts w:ascii="宋体" w:hAnsi="宋体"/>
                <w:szCs w:val="21"/>
              </w:rPr>
            </w:pPr>
            <w:r>
              <w:rPr>
                <w:rFonts w:ascii="宋体" w:hAnsi="宋体"/>
                <w:szCs w:val="21"/>
              </w:rPr>
              <w:t>（2）供应商通过 ISO 体系认证（如 9001、14001、45001 等），响应文件中提供证书复印件，每份得 1 分，满分3分。</w:t>
            </w:r>
          </w:p>
        </w:tc>
        <w:tc>
          <w:tcPr>
            <w:tcW w:w="1821" w:type="dxa"/>
            <w:tcBorders>
              <w:top w:val="single" w:color="auto" w:sz="4" w:space="0"/>
              <w:left w:val="single" w:color="auto" w:sz="4" w:space="0"/>
              <w:right w:val="single" w:color="auto" w:sz="4" w:space="0"/>
            </w:tcBorders>
            <w:vAlign w:val="center"/>
          </w:tcPr>
          <w:p w14:paraId="6C515490">
            <w:pPr>
              <w:rPr>
                <w:rFonts w:ascii="宋体" w:hAnsi="宋体"/>
                <w:szCs w:val="21"/>
              </w:rPr>
            </w:pPr>
            <w:r>
              <w:rPr>
                <w:rFonts w:ascii="宋体" w:hAnsi="宋体"/>
                <w:szCs w:val="21"/>
              </w:rPr>
              <w:t>提供有效证明材料复印件并加盖单位公章，否则不计分</w:t>
            </w:r>
          </w:p>
        </w:tc>
      </w:tr>
      <w:tr w14:paraId="23F1C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dxa"/>
            <w:vMerge w:val="continue"/>
            <w:vAlign w:val="center"/>
          </w:tcPr>
          <w:p w14:paraId="593A0C49">
            <w:pPr>
              <w:jc w:val="center"/>
              <w:rPr>
                <w:rFonts w:ascii="宋体" w:hAnsi="宋体"/>
                <w:szCs w:val="21"/>
              </w:rPr>
            </w:pPr>
          </w:p>
        </w:tc>
        <w:tc>
          <w:tcPr>
            <w:tcW w:w="709" w:type="dxa"/>
            <w:vMerge w:val="continue"/>
            <w:vAlign w:val="center"/>
          </w:tcPr>
          <w:p w14:paraId="22F634AC">
            <w:pPr>
              <w:jc w:val="center"/>
              <w:rPr>
                <w:rFonts w:ascii="宋体" w:hAnsi="宋体"/>
              </w:rPr>
            </w:pPr>
          </w:p>
        </w:tc>
        <w:tc>
          <w:tcPr>
            <w:tcW w:w="828" w:type="dxa"/>
            <w:vMerge w:val="restart"/>
            <w:vAlign w:val="center"/>
          </w:tcPr>
          <w:p w14:paraId="5A4F7064">
            <w:pPr>
              <w:jc w:val="center"/>
              <w:rPr>
                <w:rFonts w:ascii="宋体" w:hAnsi="宋体"/>
              </w:rPr>
            </w:pPr>
            <w:r>
              <w:rPr>
                <w:rFonts w:ascii="宋体" w:hAnsi="宋体"/>
              </w:rPr>
              <w:t>履约能力</w:t>
            </w:r>
          </w:p>
          <w:p w14:paraId="3497983A">
            <w:pPr>
              <w:jc w:val="center"/>
              <w:rPr>
                <w:rFonts w:ascii="宋体" w:hAnsi="宋体"/>
              </w:rPr>
            </w:pPr>
            <w:r>
              <w:rPr>
                <w:rFonts w:ascii="宋体" w:hAnsi="宋体"/>
              </w:rPr>
              <w:t>（45分）</w:t>
            </w:r>
          </w:p>
        </w:tc>
        <w:tc>
          <w:tcPr>
            <w:tcW w:w="709" w:type="dxa"/>
            <w:tcBorders>
              <w:top w:val="single" w:color="auto" w:sz="4" w:space="0"/>
              <w:right w:val="single" w:color="auto" w:sz="4" w:space="0"/>
            </w:tcBorders>
            <w:vAlign w:val="center"/>
          </w:tcPr>
          <w:p w14:paraId="36B7B220">
            <w:pPr>
              <w:jc w:val="center"/>
              <w:rPr>
                <w:rFonts w:ascii="宋体" w:hAnsi="宋体"/>
                <w:szCs w:val="21"/>
              </w:rPr>
            </w:pPr>
            <w:r>
              <w:rPr>
                <w:rFonts w:ascii="宋体" w:hAnsi="宋体"/>
                <w:szCs w:val="21"/>
              </w:rPr>
              <w:t>客观分</w:t>
            </w:r>
          </w:p>
        </w:tc>
        <w:tc>
          <w:tcPr>
            <w:tcW w:w="5267" w:type="dxa"/>
            <w:tcBorders>
              <w:top w:val="single" w:color="auto" w:sz="4" w:space="0"/>
              <w:left w:val="single" w:color="auto" w:sz="4" w:space="0"/>
              <w:right w:val="single" w:color="auto" w:sz="4" w:space="0"/>
            </w:tcBorders>
            <w:vAlign w:val="center"/>
          </w:tcPr>
          <w:p w14:paraId="40395349">
            <w:pPr>
              <w:rPr>
                <w:rFonts w:ascii="宋体" w:hAnsi="宋体"/>
                <w:szCs w:val="21"/>
              </w:rPr>
            </w:pPr>
            <w:r>
              <w:rPr>
                <w:rFonts w:hint="eastAsia" w:ascii="宋体" w:hAnsi="宋体"/>
                <w:szCs w:val="21"/>
              </w:rPr>
              <w:t>（1）</w:t>
            </w:r>
            <w:r>
              <w:rPr>
                <w:rFonts w:ascii="宋体" w:hAnsi="宋体"/>
                <w:szCs w:val="21"/>
              </w:rPr>
              <w:t>承诺提供车辆数量分（满分12分）</w:t>
            </w:r>
          </w:p>
          <w:p w14:paraId="723CF34E">
            <w:pPr>
              <w:rPr>
                <w:rFonts w:ascii="宋体" w:hAnsi="宋体"/>
                <w:szCs w:val="21"/>
              </w:rPr>
            </w:pPr>
            <w:r>
              <w:rPr>
                <w:rFonts w:hint="eastAsia" w:ascii="宋体" w:hAnsi="宋体" w:cs="宋体"/>
                <w:szCs w:val="21"/>
              </w:rPr>
              <w:t>一档：</w:t>
            </w:r>
            <w:r>
              <w:rPr>
                <w:rFonts w:ascii="宋体" w:hAnsi="宋体"/>
                <w:szCs w:val="21"/>
              </w:rPr>
              <w:t>供应商提供可调配的每个类别车型数量及配套驾驶员全部达到或超过预估需求量的，每类得2分，</w:t>
            </w:r>
            <w:r>
              <w:rPr>
                <w:rFonts w:hint="eastAsia" w:ascii="宋体" w:hAnsi="宋体"/>
                <w:szCs w:val="21"/>
              </w:rPr>
              <w:t>最高</w:t>
            </w:r>
            <w:r>
              <w:rPr>
                <w:rFonts w:ascii="宋体" w:hAnsi="宋体"/>
                <w:szCs w:val="21"/>
              </w:rPr>
              <w:t>12分。（按高级轿车、中级轿车、商务车、轻客、中型客车、大型客车共6类）。</w:t>
            </w:r>
          </w:p>
          <w:p w14:paraId="274EE4BC">
            <w:pPr>
              <w:rPr>
                <w:rFonts w:ascii="宋体" w:hAnsi="宋体"/>
                <w:szCs w:val="21"/>
              </w:rPr>
            </w:pPr>
            <w:r>
              <w:rPr>
                <w:rFonts w:hint="eastAsia" w:ascii="宋体" w:hAnsi="宋体" w:cs="宋体"/>
                <w:szCs w:val="21"/>
              </w:rPr>
              <w:t>二档：</w:t>
            </w:r>
            <w:r>
              <w:rPr>
                <w:rFonts w:ascii="宋体" w:hAnsi="宋体"/>
                <w:szCs w:val="21"/>
              </w:rPr>
              <w:t>供应商提供可调配的每个类别车型数量及配套驾驶员在99%～80%的，每类得1分，</w:t>
            </w:r>
            <w:r>
              <w:rPr>
                <w:rFonts w:hint="eastAsia" w:ascii="宋体" w:hAnsi="宋体"/>
                <w:szCs w:val="21"/>
              </w:rPr>
              <w:t>最高</w:t>
            </w:r>
            <w:r>
              <w:rPr>
                <w:rFonts w:ascii="宋体" w:hAnsi="宋体"/>
                <w:szCs w:val="21"/>
              </w:rPr>
              <w:t>6分(按高级轿车、中级轿车、商务车、轻客、中型客车、大型客车共6类）</w:t>
            </w:r>
          </w:p>
          <w:p w14:paraId="18A9BB45">
            <w:pPr>
              <w:rPr>
                <w:rFonts w:ascii="宋体" w:hAnsi="宋体"/>
                <w:szCs w:val="21"/>
              </w:rPr>
            </w:pPr>
            <w:r>
              <w:rPr>
                <w:rFonts w:hint="eastAsia" w:ascii="宋体" w:hAnsi="宋体" w:cs="宋体"/>
                <w:szCs w:val="21"/>
              </w:rPr>
              <w:t>三档：</w:t>
            </w:r>
            <w:r>
              <w:rPr>
                <w:rFonts w:ascii="宋体" w:hAnsi="宋体"/>
                <w:szCs w:val="21"/>
              </w:rPr>
              <w:t>供应商提供可调配的每个类别车型数量及配套驾驶员在79%～50%的，每类得0.5分，</w:t>
            </w:r>
            <w:r>
              <w:rPr>
                <w:rFonts w:hint="eastAsia" w:ascii="宋体" w:hAnsi="宋体"/>
                <w:szCs w:val="21"/>
              </w:rPr>
              <w:t>最高</w:t>
            </w:r>
            <w:r>
              <w:rPr>
                <w:rFonts w:ascii="宋体" w:hAnsi="宋体"/>
                <w:szCs w:val="21"/>
              </w:rPr>
              <w:t>3分(按高级轿车、中级轿车、商务车、轻客、中型客车、大型客车共6类）</w:t>
            </w:r>
          </w:p>
          <w:p w14:paraId="4281F7AB">
            <w:pPr>
              <w:rPr>
                <w:rFonts w:hint="eastAsia" w:ascii="宋体" w:hAnsi="宋体"/>
                <w:szCs w:val="21"/>
              </w:rPr>
            </w:pPr>
            <w:r>
              <w:rPr>
                <w:rFonts w:hint="eastAsia" w:ascii="宋体" w:hAnsi="宋体" w:cs="宋体"/>
                <w:szCs w:val="21"/>
              </w:rPr>
              <w:t>四档：</w:t>
            </w:r>
            <w:r>
              <w:rPr>
                <w:rFonts w:ascii="宋体" w:hAnsi="宋体"/>
                <w:szCs w:val="21"/>
              </w:rPr>
              <w:t>供应商提提供可调配的每个类别车型数量及配套驾驶员低于50%（不含50%）的，得0分。(按高级轿车、中级轿车、商务车、轻客、中型客车、大型客车共6类）</w:t>
            </w:r>
          </w:p>
        </w:tc>
        <w:tc>
          <w:tcPr>
            <w:tcW w:w="1821" w:type="dxa"/>
            <w:tcBorders>
              <w:top w:val="single" w:color="auto" w:sz="4" w:space="0"/>
              <w:left w:val="single" w:color="auto" w:sz="4" w:space="0"/>
              <w:right w:val="single" w:color="auto" w:sz="4" w:space="0"/>
            </w:tcBorders>
            <w:vAlign w:val="center"/>
          </w:tcPr>
          <w:p w14:paraId="0F073E68">
            <w:pPr>
              <w:rPr>
                <w:rFonts w:ascii="宋体" w:hAnsi="宋体"/>
                <w:szCs w:val="21"/>
              </w:rPr>
            </w:pPr>
            <w:r>
              <w:rPr>
                <w:rFonts w:ascii="宋体" w:hAnsi="宋体"/>
                <w:szCs w:val="21"/>
              </w:rPr>
              <w:t>响应文件中提供车辆信息表、驾驶员信息表、相关车辆和驾驶员的相关证明，包括：车牌号、车辆行驶证正、副本（年审有效期限页，注册年限在6年以内的车辆年审期限页除外）扫描件、车辆外观及内饰图片等；驾驶证扫描件、驾驶员姓名、身份证号、联系电话等。以上相关证明材料须加盖单位公章，否则不计分。</w:t>
            </w:r>
          </w:p>
        </w:tc>
      </w:tr>
      <w:tr w14:paraId="5A35C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dxa"/>
            <w:vMerge w:val="continue"/>
            <w:vAlign w:val="center"/>
          </w:tcPr>
          <w:p w14:paraId="0CC8DE40">
            <w:pPr>
              <w:jc w:val="center"/>
              <w:rPr>
                <w:rFonts w:ascii="宋体" w:hAnsi="宋体"/>
                <w:szCs w:val="21"/>
              </w:rPr>
            </w:pPr>
          </w:p>
        </w:tc>
        <w:tc>
          <w:tcPr>
            <w:tcW w:w="709" w:type="dxa"/>
            <w:vMerge w:val="continue"/>
            <w:vAlign w:val="center"/>
          </w:tcPr>
          <w:p w14:paraId="1102EDF5">
            <w:pPr>
              <w:jc w:val="center"/>
              <w:rPr>
                <w:rFonts w:ascii="宋体" w:hAnsi="宋体"/>
              </w:rPr>
            </w:pPr>
          </w:p>
        </w:tc>
        <w:tc>
          <w:tcPr>
            <w:tcW w:w="828" w:type="dxa"/>
            <w:vMerge w:val="continue"/>
            <w:vAlign w:val="center"/>
          </w:tcPr>
          <w:p w14:paraId="386F8607">
            <w:pPr>
              <w:jc w:val="center"/>
              <w:rPr>
                <w:rFonts w:ascii="宋体" w:hAnsi="宋体"/>
              </w:rPr>
            </w:pPr>
          </w:p>
        </w:tc>
        <w:tc>
          <w:tcPr>
            <w:tcW w:w="709" w:type="dxa"/>
            <w:tcBorders>
              <w:top w:val="single" w:color="auto" w:sz="4" w:space="0"/>
              <w:right w:val="single" w:color="auto" w:sz="4" w:space="0"/>
            </w:tcBorders>
            <w:vAlign w:val="center"/>
          </w:tcPr>
          <w:p w14:paraId="297592F6">
            <w:pPr>
              <w:jc w:val="center"/>
              <w:rPr>
                <w:rFonts w:ascii="宋体" w:hAnsi="宋体"/>
                <w:szCs w:val="21"/>
              </w:rPr>
            </w:pPr>
            <w:r>
              <w:rPr>
                <w:rFonts w:ascii="宋体" w:hAnsi="宋体"/>
                <w:szCs w:val="21"/>
              </w:rPr>
              <w:t>客观分</w:t>
            </w:r>
          </w:p>
        </w:tc>
        <w:tc>
          <w:tcPr>
            <w:tcW w:w="5267" w:type="dxa"/>
            <w:tcBorders>
              <w:top w:val="single" w:color="auto" w:sz="4" w:space="0"/>
              <w:left w:val="single" w:color="auto" w:sz="4" w:space="0"/>
              <w:right w:val="single" w:color="auto" w:sz="4" w:space="0"/>
            </w:tcBorders>
            <w:vAlign w:val="center"/>
          </w:tcPr>
          <w:p w14:paraId="1E93A7BC">
            <w:pPr>
              <w:rPr>
                <w:rFonts w:ascii="宋体" w:hAnsi="宋体"/>
                <w:szCs w:val="21"/>
              </w:rPr>
            </w:pPr>
            <w:r>
              <w:rPr>
                <w:rFonts w:ascii="宋体" w:hAnsi="宋体"/>
                <w:szCs w:val="21"/>
              </w:rPr>
              <w:t>（2）主要车型注册年限分（满分12分）</w:t>
            </w:r>
          </w:p>
          <w:p w14:paraId="21968BE6">
            <w:pPr>
              <w:rPr>
                <w:rFonts w:ascii="宋体" w:hAnsi="宋体"/>
                <w:szCs w:val="21"/>
              </w:rPr>
            </w:pPr>
            <w:r>
              <w:rPr>
                <w:rFonts w:hint="eastAsia" w:ascii="宋体" w:hAnsi="宋体" w:cs="宋体"/>
                <w:szCs w:val="21"/>
              </w:rPr>
              <w:t>一档（1</w:t>
            </w:r>
            <w:r>
              <w:rPr>
                <w:rFonts w:ascii="宋体" w:hAnsi="宋体" w:cs="宋体"/>
                <w:szCs w:val="21"/>
              </w:rPr>
              <w:t>2</w:t>
            </w:r>
            <w:r>
              <w:rPr>
                <w:rFonts w:hint="eastAsia" w:ascii="宋体" w:hAnsi="宋体" w:cs="宋体"/>
                <w:szCs w:val="21"/>
              </w:rPr>
              <w:t>分）：</w:t>
            </w:r>
            <w:r>
              <w:rPr>
                <w:rFonts w:ascii="宋体" w:hAnsi="宋体"/>
                <w:szCs w:val="21"/>
              </w:rPr>
              <w:t>供应商提供高级轿车、中级轿车、商务车的注册年限全部在6年之内的，得12分。</w:t>
            </w:r>
          </w:p>
          <w:p w14:paraId="2781BDAA">
            <w:pPr>
              <w:rPr>
                <w:rFonts w:ascii="宋体" w:hAnsi="宋体"/>
                <w:szCs w:val="21"/>
              </w:rPr>
            </w:pPr>
            <w:r>
              <w:rPr>
                <w:rFonts w:hint="eastAsia" w:ascii="宋体" w:hAnsi="宋体" w:cs="宋体"/>
                <w:szCs w:val="21"/>
              </w:rPr>
              <w:t>二档（</w:t>
            </w:r>
            <w:r>
              <w:rPr>
                <w:rFonts w:ascii="宋体" w:hAnsi="宋体"/>
                <w:szCs w:val="21"/>
              </w:rPr>
              <w:t>9分</w:t>
            </w:r>
            <w:r>
              <w:rPr>
                <w:rFonts w:hint="eastAsia" w:ascii="宋体" w:hAnsi="宋体" w:cs="宋体"/>
                <w:szCs w:val="21"/>
              </w:rPr>
              <w:t>）：</w:t>
            </w:r>
            <w:r>
              <w:rPr>
                <w:rFonts w:ascii="宋体" w:hAnsi="宋体"/>
                <w:szCs w:val="21"/>
              </w:rPr>
              <w:t>供应商提供高级轿车、中级轿车、商务车的注册年限在6年之内的车辆数量在99%～80%的，得9分。</w:t>
            </w:r>
          </w:p>
          <w:p w14:paraId="3755E4B2">
            <w:pPr>
              <w:rPr>
                <w:rFonts w:ascii="宋体" w:hAnsi="宋体"/>
                <w:szCs w:val="21"/>
              </w:rPr>
            </w:pPr>
            <w:r>
              <w:rPr>
                <w:rFonts w:hint="eastAsia" w:ascii="宋体" w:hAnsi="宋体" w:cs="宋体"/>
                <w:szCs w:val="21"/>
              </w:rPr>
              <w:t>三档（</w:t>
            </w:r>
            <w:r>
              <w:rPr>
                <w:rFonts w:ascii="宋体" w:hAnsi="宋体"/>
                <w:szCs w:val="21"/>
              </w:rPr>
              <w:t>6分</w:t>
            </w:r>
            <w:r>
              <w:rPr>
                <w:rFonts w:hint="eastAsia" w:ascii="宋体" w:hAnsi="宋体" w:cs="宋体"/>
                <w:szCs w:val="21"/>
              </w:rPr>
              <w:t>）：</w:t>
            </w:r>
            <w:r>
              <w:rPr>
                <w:rFonts w:ascii="宋体" w:hAnsi="宋体"/>
                <w:szCs w:val="21"/>
              </w:rPr>
              <w:t>供应商提供高级轿车、中级轿车、商务车的注册年限在6年之内的车辆数量在79%～50%的，得6分。</w:t>
            </w:r>
          </w:p>
          <w:p w14:paraId="75335482">
            <w:pPr>
              <w:rPr>
                <w:rFonts w:ascii="宋体" w:hAnsi="宋体"/>
                <w:szCs w:val="21"/>
              </w:rPr>
            </w:pPr>
            <w:r>
              <w:rPr>
                <w:rFonts w:hint="eastAsia" w:ascii="宋体" w:hAnsi="宋体" w:cs="宋体"/>
                <w:szCs w:val="21"/>
              </w:rPr>
              <w:t>四档（</w:t>
            </w:r>
            <w:r>
              <w:rPr>
                <w:rFonts w:ascii="宋体" w:hAnsi="宋体"/>
                <w:szCs w:val="21"/>
              </w:rPr>
              <w:t>3分</w:t>
            </w:r>
            <w:r>
              <w:rPr>
                <w:rFonts w:hint="eastAsia" w:ascii="宋体" w:hAnsi="宋体" w:cs="宋体"/>
                <w:szCs w:val="21"/>
              </w:rPr>
              <w:t>）：</w:t>
            </w:r>
            <w:r>
              <w:rPr>
                <w:rFonts w:ascii="宋体" w:hAnsi="宋体"/>
                <w:szCs w:val="21"/>
              </w:rPr>
              <w:t>供应商提供中高级轿车、中级轿车、商务车的注册年限在6年之内的车辆数量低于50%（不含50%）的，得3分。</w:t>
            </w:r>
          </w:p>
        </w:tc>
        <w:tc>
          <w:tcPr>
            <w:tcW w:w="1821" w:type="dxa"/>
            <w:tcBorders>
              <w:top w:val="single" w:color="auto" w:sz="4" w:space="0"/>
              <w:left w:val="single" w:color="auto" w:sz="4" w:space="0"/>
              <w:right w:val="single" w:color="auto" w:sz="4" w:space="0"/>
            </w:tcBorders>
            <w:vAlign w:val="center"/>
          </w:tcPr>
          <w:p w14:paraId="4D3DE2E1">
            <w:pPr>
              <w:rPr>
                <w:rFonts w:ascii="宋体" w:hAnsi="宋体"/>
                <w:szCs w:val="21"/>
              </w:rPr>
            </w:pPr>
            <w:r>
              <w:rPr>
                <w:rFonts w:ascii="宋体" w:hAnsi="宋体"/>
                <w:szCs w:val="21"/>
              </w:rPr>
              <w:t>响应文件中提供相关车辆的相关证明，包括：车辆行驶证正、副本（年审有效期限页，注册年限在6年以内的车辆年审期限页除外）扫描件，以上相关证明材料须加盖单位公章，否则不计分。</w:t>
            </w:r>
          </w:p>
        </w:tc>
      </w:tr>
      <w:tr w14:paraId="42CDA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dxa"/>
            <w:vMerge w:val="continue"/>
            <w:vAlign w:val="center"/>
          </w:tcPr>
          <w:p w14:paraId="5B6277A3">
            <w:pPr>
              <w:jc w:val="center"/>
              <w:rPr>
                <w:rFonts w:ascii="宋体" w:hAnsi="宋体"/>
                <w:szCs w:val="21"/>
              </w:rPr>
            </w:pPr>
          </w:p>
        </w:tc>
        <w:tc>
          <w:tcPr>
            <w:tcW w:w="709" w:type="dxa"/>
            <w:vMerge w:val="continue"/>
            <w:vAlign w:val="center"/>
          </w:tcPr>
          <w:p w14:paraId="6B949F46">
            <w:pPr>
              <w:jc w:val="center"/>
              <w:rPr>
                <w:rFonts w:ascii="宋体" w:hAnsi="宋体"/>
              </w:rPr>
            </w:pPr>
          </w:p>
        </w:tc>
        <w:tc>
          <w:tcPr>
            <w:tcW w:w="828" w:type="dxa"/>
            <w:vMerge w:val="continue"/>
            <w:vAlign w:val="center"/>
          </w:tcPr>
          <w:p w14:paraId="3FAF3252">
            <w:pPr>
              <w:jc w:val="center"/>
              <w:rPr>
                <w:rFonts w:ascii="宋体" w:hAnsi="宋体"/>
              </w:rPr>
            </w:pPr>
          </w:p>
        </w:tc>
        <w:tc>
          <w:tcPr>
            <w:tcW w:w="709" w:type="dxa"/>
            <w:tcBorders>
              <w:top w:val="single" w:color="auto" w:sz="4" w:space="0"/>
              <w:right w:val="single" w:color="auto" w:sz="4" w:space="0"/>
            </w:tcBorders>
            <w:vAlign w:val="center"/>
          </w:tcPr>
          <w:p w14:paraId="3F2A513A">
            <w:pPr>
              <w:jc w:val="center"/>
              <w:rPr>
                <w:rFonts w:ascii="宋体" w:hAnsi="宋体"/>
                <w:szCs w:val="21"/>
              </w:rPr>
            </w:pPr>
            <w:r>
              <w:rPr>
                <w:rFonts w:ascii="宋体" w:hAnsi="宋体"/>
                <w:szCs w:val="21"/>
              </w:rPr>
              <w:t>客观分</w:t>
            </w:r>
          </w:p>
        </w:tc>
        <w:tc>
          <w:tcPr>
            <w:tcW w:w="5267" w:type="dxa"/>
            <w:tcBorders>
              <w:top w:val="single" w:color="auto" w:sz="4" w:space="0"/>
              <w:left w:val="single" w:color="auto" w:sz="4" w:space="0"/>
              <w:right w:val="single" w:color="auto" w:sz="4" w:space="0"/>
            </w:tcBorders>
            <w:vAlign w:val="center"/>
          </w:tcPr>
          <w:p w14:paraId="557AE4F4">
            <w:pPr>
              <w:rPr>
                <w:rFonts w:ascii="宋体" w:hAnsi="宋体"/>
                <w:szCs w:val="21"/>
              </w:rPr>
            </w:pPr>
            <w:r>
              <w:rPr>
                <w:rFonts w:ascii="宋体" w:hAnsi="宋体"/>
                <w:szCs w:val="21"/>
              </w:rPr>
              <w:t>（3）承诺提供代驾驾驶员专项服务数量分（满分9分）：</w:t>
            </w:r>
          </w:p>
          <w:p w14:paraId="66AE3809">
            <w:pPr>
              <w:rPr>
                <w:rFonts w:ascii="宋体" w:hAnsi="宋体"/>
                <w:szCs w:val="21"/>
              </w:rPr>
            </w:pPr>
            <w:r>
              <w:rPr>
                <w:rFonts w:ascii="宋体" w:hAnsi="宋体"/>
                <w:szCs w:val="21"/>
              </w:rPr>
              <w:t>一档（9分）：供应商承诺提供合格代驾驾驶员的数量为</w:t>
            </w:r>
            <w:r>
              <w:rPr>
                <w:rFonts w:hint="eastAsia" w:ascii="宋体" w:hAnsi="宋体"/>
                <w:szCs w:val="21"/>
              </w:rPr>
              <w:t>20</w:t>
            </w:r>
            <w:r>
              <w:rPr>
                <w:rFonts w:ascii="宋体" w:hAnsi="宋体"/>
                <w:szCs w:val="21"/>
              </w:rPr>
              <w:t>（含</w:t>
            </w:r>
            <w:r>
              <w:rPr>
                <w:rFonts w:hint="eastAsia" w:ascii="宋体" w:hAnsi="宋体"/>
                <w:szCs w:val="21"/>
              </w:rPr>
              <w:t>20</w:t>
            </w:r>
            <w:r>
              <w:rPr>
                <w:rFonts w:ascii="宋体" w:hAnsi="宋体"/>
                <w:szCs w:val="21"/>
              </w:rPr>
              <w:t>）人以上。</w:t>
            </w:r>
          </w:p>
          <w:p w14:paraId="44A8917A">
            <w:pPr>
              <w:rPr>
                <w:rFonts w:ascii="宋体" w:hAnsi="宋体"/>
                <w:szCs w:val="21"/>
              </w:rPr>
            </w:pPr>
            <w:r>
              <w:rPr>
                <w:rFonts w:ascii="宋体" w:hAnsi="宋体"/>
                <w:szCs w:val="21"/>
              </w:rPr>
              <w:t>二档（6分）：供应商承诺提供合格代驾驾驶员的数量为</w:t>
            </w:r>
            <w:r>
              <w:rPr>
                <w:rFonts w:hint="eastAsia" w:ascii="宋体" w:hAnsi="宋体"/>
                <w:szCs w:val="21"/>
              </w:rPr>
              <w:t>15</w:t>
            </w:r>
            <w:r>
              <w:rPr>
                <w:rFonts w:ascii="宋体" w:hAnsi="宋体"/>
                <w:szCs w:val="21"/>
              </w:rPr>
              <w:t>～</w:t>
            </w:r>
            <w:r>
              <w:rPr>
                <w:rFonts w:hint="eastAsia" w:ascii="宋体" w:hAnsi="宋体"/>
                <w:szCs w:val="21"/>
              </w:rPr>
              <w:t>19</w:t>
            </w:r>
            <w:r>
              <w:rPr>
                <w:rFonts w:ascii="宋体" w:hAnsi="宋体"/>
                <w:szCs w:val="21"/>
              </w:rPr>
              <w:t>人。</w:t>
            </w:r>
          </w:p>
          <w:p w14:paraId="11E1D7DB">
            <w:pPr>
              <w:rPr>
                <w:rFonts w:ascii="宋体" w:hAnsi="宋体"/>
                <w:szCs w:val="21"/>
              </w:rPr>
            </w:pPr>
            <w:r>
              <w:rPr>
                <w:rFonts w:ascii="宋体" w:hAnsi="宋体"/>
                <w:szCs w:val="21"/>
              </w:rPr>
              <w:t>三档（3分）：供应商承诺提供合格代驾驾驶员的数量为</w:t>
            </w:r>
            <w:r>
              <w:rPr>
                <w:rFonts w:hint="eastAsia" w:ascii="宋体" w:hAnsi="宋体"/>
                <w:szCs w:val="21"/>
              </w:rPr>
              <w:t>10</w:t>
            </w:r>
            <w:r>
              <w:rPr>
                <w:rFonts w:ascii="宋体" w:hAnsi="宋体"/>
                <w:szCs w:val="21"/>
              </w:rPr>
              <w:t>～</w:t>
            </w:r>
            <w:r>
              <w:rPr>
                <w:rFonts w:hint="eastAsia" w:ascii="宋体" w:hAnsi="宋体"/>
                <w:szCs w:val="21"/>
              </w:rPr>
              <w:t>14</w:t>
            </w:r>
            <w:r>
              <w:rPr>
                <w:rFonts w:ascii="宋体" w:hAnsi="宋体"/>
                <w:szCs w:val="21"/>
              </w:rPr>
              <w:t>人。</w:t>
            </w:r>
          </w:p>
          <w:p w14:paraId="20229A91">
            <w:pPr>
              <w:rPr>
                <w:rFonts w:ascii="宋体" w:hAnsi="宋体"/>
                <w:szCs w:val="21"/>
              </w:rPr>
            </w:pPr>
            <w:r>
              <w:rPr>
                <w:rFonts w:ascii="宋体" w:hAnsi="宋体"/>
                <w:szCs w:val="21"/>
              </w:rPr>
              <w:t>四档（0分）：供应商承诺提供合格代驾驾驶员的数量低于</w:t>
            </w:r>
            <w:r>
              <w:rPr>
                <w:rFonts w:hint="eastAsia" w:ascii="宋体" w:hAnsi="宋体"/>
                <w:szCs w:val="21"/>
              </w:rPr>
              <w:t>10</w:t>
            </w:r>
            <w:r>
              <w:rPr>
                <w:rFonts w:ascii="宋体" w:hAnsi="宋体"/>
                <w:szCs w:val="21"/>
              </w:rPr>
              <w:t>（不含</w:t>
            </w:r>
            <w:r>
              <w:rPr>
                <w:rFonts w:hint="eastAsia" w:ascii="宋体" w:hAnsi="宋体"/>
                <w:szCs w:val="21"/>
              </w:rPr>
              <w:t>10</w:t>
            </w:r>
            <w:r>
              <w:rPr>
                <w:rFonts w:ascii="宋体" w:hAnsi="宋体"/>
                <w:szCs w:val="21"/>
              </w:rPr>
              <w:t>）人。</w:t>
            </w:r>
          </w:p>
        </w:tc>
        <w:tc>
          <w:tcPr>
            <w:tcW w:w="1821" w:type="dxa"/>
            <w:tcBorders>
              <w:top w:val="single" w:color="auto" w:sz="4" w:space="0"/>
              <w:left w:val="single" w:color="auto" w:sz="4" w:space="0"/>
              <w:right w:val="single" w:color="auto" w:sz="4" w:space="0"/>
            </w:tcBorders>
            <w:vAlign w:val="center"/>
          </w:tcPr>
          <w:p w14:paraId="6A907461">
            <w:pPr>
              <w:rPr>
                <w:rFonts w:ascii="宋体" w:hAnsi="宋体"/>
                <w:szCs w:val="21"/>
              </w:rPr>
            </w:pPr>
          </w:p>
        </w:tc>
      </w:tr>
      <w:tr w14:paraId="1F82D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dxa"/>
            <w:vMerge w:val="continue"/>
            <w:vAlign w:val="center"/>
          </w:tcPr>
          <w:p w14:paraId="668984F9">
            <w:pPr>
              <w:jc w:val="center"/>
              <w:rPr>
                <w:rFonts w:ascii="宋体" w:hAnsi="宋体"/>
                <w:szCs w:val="21"/>
              </w:rPr>
            </w:pPr>
          </w:p>
        </w:tc>
        <w:tc>
          <w:tcPr>
            <w:tcW w:w="709" w:type="dxa"/>
            <w:vMerge w:val="continue"/>
            <w:vAlign w:val="center"/>
          </w:tcPr>
          <w:p w14:paraId="44BF2B1C">
            <w:pPr>
              <w:jc w:val="center"/>
              <w:rPr>
                <w:rFonts w:ascii="宋体" w:hAnsi="宋体"/>
              </w:rPr>
            </w:pPr>
          </w:p>
        </w:tc>
        <w:tc>
          <w:tcPr>
            <w:tcW w:w="828" w:type="dxa"/>
            <w:vMerge w:val="continue"/>
            <w:vAlign w:val="center"/>
          </w:tcPr>
          <w:p w14:paraId="74E5A52A">
            <w:pPr>
              <w:jc w:val="center"/>
              <w:rPr>
                <w:rFonts w:ascii="宋体" w:hAnsi="宋体"/>
              </w:rPr>
            </w:pPr>
          </w:p>
        </w:tc>
        <w:tc>
          <w:tcPr>
            <w:tcW w:w="709" w:type="dxa"/>
            <w:tcBorders>
              <w:top w:val="single" w:color="auto" w:sz="4" w:space="0"/>
              <w:right w:val="single" w:color="auto" w:sz="4" w:space="0"/>
            </w:tcBorders>
            <w:vAlign w:val="center"/>
          </w:tcPr>
          <w:p w14:paraId="28FE2DDA">
            <w:pPr>
              <w:jc w:val="center"/>
              <w:rPr>
                <w:rFonts w:ascii="宋体" w:hAnsi="宋体"/>
                <w:szCs w:val="21"/>
              </w:rPr>
            </w:pPr>
            <w:r>
              <w:rPr>
                <w:rFonts w:ascii="宋体" w:hAnsi="宋体"/>
                <w:szCs w:val="21"/>
              </w:rPr>
              <w:t>客观分</w:t>
            </w:r>
          </w:p>
        </w:tc>
        <w:tc>
          <w:tcPr>
            <w:tcW w:w="5267" w:type="dxa"/>
            <w:tcBorders>
              <w:top w:val="single" w:color="auto" w:sz="4" w:space="0"/>
              <w:left w:val="single" w:color="auto" w:sz="4" w:space="0"/>
              <w:right w:val="single" w:color="auto" w:sz="4" w:space="0"/>
            </w:tcBorders>
            <w:vAlign w:val="center"/>
          </w:tcPr>
          <w:p w14:paraId="3A31C5C2">
            <w:pPr>
              <w:rPr>
                <w:rFonts w:ascii="宋体" w:hAnsi="宋体"/>
                <w:szCs w:val="21"/>
              </w:rPr>
            </w:pPr>
            <w:r>
              <w:rPr>
                <w:rFonts w:ascii="宋体" w:hAnsi="宋体"/>
                <w:szCs w:val="21"/>
              </w:rPr>
              <w:t>（4）承诺提供车辆调配服务分（满分12</w:t>
            </w:r>
            <w:r>
              <w:rPr>
                <w:rFonts w:hint="eastAsia" w:ascii="宋体" w:hAnsi="宋体"/>
                <w:szCs w:val="21"/>
              </w:rPr>
              <w:t>分</w:t>
            </w:r>
            <w:r>
              <w:rPr>
                <w:rFonts w:ascii="宋体" w:hAnsi="宋体"/>
                <w:szCs w:val="21"/>
              </w:rPr>
              <w:t>）</w:t>
            </w:r>
          </w:p>
          <w:p w14:paraId="227C7AD8">
            <w:pPr>
              <w:rPr>
                <w:rFonts w:ascii="宋体" w:hAnsi="宋体"/>
                <w:szCs w:val="21"/>
              </w:rPr>
            </w:pPr>
            <w:r>
              <w:rPr>
                <w:rFonts w:ascii="宋体" w:hAnsi="宋体"/>
                <w:szCs w:val="21"/>
              </w:rPr>
              <w:t>一档（12分）：供应商承诺提供服务满足采购服务要求和服务时限，且按要求提供驻点工作人员和车辆调度管理员（</w:t>
            </w:r>
            <w:r>
              <w:rPr>
                <w:rFonts w:hint="eastAsia" w:ascii="宋体" w:hAnsi="宋体"/>
                <w:szCs w:val="21"/>
              </w:rPr>
              <w:t>22</w:t>
            </w:r>
            <w:r>
              <w:rPr>
                <w:rFonts w:ascii="宋体" w:hAnsi="宋体"/>
                <w:szCs w:val="21"/>
              </w:rPr>
              <w:t>人</w:t>
            </w:r>
            <w:r>
              <w:rPr>
                <w:rFonts w:hint="eastAsia" w:ascii="宋体" w:hAnsi="宋体"/>
                <w:szCs w:val="21"/>
              </w:rPr>
              <w:t>或以上</w:t>
            </w:r>
            <w:r>
              <w:rPr>
                <w:rFonts w:ascii="宋体" w:hAnsi="宋体"/>
                <w:szCs w:val="21"/>
              </w:rPr>
              <w:t>）的；</w:t>
            </w:r>
          </w:p>
          <w:p w14:paraId="1C81825E">
            <w:pPr>
              <w:rPr>
                <w:rFonts w:ascii="宋体" w:hAnsi="宋体"/>
                <w:szCs w:val="21"/>
              </w:rPr>
            </w:pPr>
            <w:r>
              <w:rPr>
                <w:rFonts w:ascii="宋体" w:hAnsi="宋体"/>
                <w:szCs w:val="21"/>
              </w:rPr>
              <w:t>二档（9分）：供应商承诺提供服务满足采购服务要求和服务时限，但提供驻点工作人员和车辆调度管理员数量为100%-80%（2</w:t>
            </w:r>
            <w:r>
              <w:rPr>
                <w:rFonts w:hint="eastAsia" w:ascii="宋体" w:hAnsi="宋体"/>
                <w:szCs w:val="21"/>
              </w:rPr>
              <w:t>1</w:t>
            </w:r>
            <w:r>
              <w:rPr>
                <w:rFonts w:ascii="宋体" w:hAnsi="宋体"/>
                <w:szCs w:val="21"/>
              </w:rPr>
              <w:t xml:space="preserve">-17人）的； </w:t>
            </w:r>
          </w:p>
          <w:p w14:paraId="2F731815">
            <w:pPr>
              <w:rPr>
                <w:rFonts w:ascii="宋体" w:hAnsi="宋体"/>
                <w:szCs w:val="21"/>
              </w:rPr>
            </w:pPr>
            <w:r>
              <w:rPr>
                <w:rFonts w:ascii="宋体" w:hAnsi="宋体"/>
                <w:szCs w:val="21"/>
              </w:rPr>
              <w:t>三档（6分）：供应商承诺提供服务满足采购服务要求和服务时限，但提供驻点工作人员和车辆调度管理员数量为80%-60%（16-13人）的；</w:t>
            </w:r>
          </w:p>
          <w:p w14:paraId="6D6F9F7D">
            <w:pPr>
              <w:rPr>
                <w:rFonts w:ascii="宋体" w:hAnsi="宋体"/>
                <w:szCs w:val="21"/>
              </w:rPr>
            </w:pPr>
            <w:r>
              <w:rPr>
                <w:rFonts w:ascii="宋体" w:hAnsi="宋体"/>
                <w:szCs w:val="21"/>
              </w:rPr>
              <w:t>四档（0分）：供应商承诺提供服务未满足服务要求和服务时限，或提供驻点工作人员和车辆调度管理员数量低于60%（13人以下）的。</w:t>
            </w:r>
          </w:p>
        </w:tc>
        <w:tc>
          <w:tcPr>
            <w:tcW w:w="1821" w:type="dxa"/>
            <w:tcBorders>
              <w:top w:val="single" w:color="auto" w:sz="4" w:space="0"/>
              <w:left w:val="single" w:color="auto" w:sz="4" w:space="0"/>
              <w:right w:val="single" w:color="auto" w:sz="4" w:space="0"/>
            </w:tcBorders>
            <w:vAlign w:val="center"/>
          </w:tcPr>
          <w:p w14:paraId="6E4671A6">
            <w:pPr>
              <w:rPr>
                <w:rFonts w:ascii="宋体" w:hAnsi="宋体"/>
                <w:szCs w:val="21"/>
              </w:rPr>
            </w:pPr>
          </w:p>
        </w:tc>
      </w:tr>
      <w:tr w14:paraId="427F1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dxa"/>
            <w:vMerge w:val="restart"/>
            <w:vAlign w:val="center"/>
          </w:tcPr>
          <w:p w14:paraId="793B0FDF">
            <w:pPr>
              <w:jc w:val="center"/>
              <w:rPr>
                <w:rFonts w:ascii="宋体" w:hAnsi="宋体"/>
                <w:szCs w:val="21"/>
              </w:rPr>
            </w:pPr>
            <w:r>
              <w:rPr>
                <w:rFonts w:ascii="宋体" w:hAnsi="宋体"/>
                <w:szCs w:val="21"/>
              </w:rPr>
              <w:t>2</w:t>
            </w:r>
          </w:p>
        </w:tc>
        <w:tc>
          <w:tcPr>
            <w:tcW w:w="709" w:type="dxa"/>
            <w:vMerge w:val="restart"/>
            <w:vAlign w:val="center"/>
          </w:tcPr>
          <w:p w14:paraId="69DCDD3D">
            <w:pPr>
              <w:jc w:val="center"/>
              <w:rPr>
                <w:rFonts w:ascii="宋体" w:hAnsi="宋体"/>
                <w:szCs w:val="21"/>
              </w:rPr>
            </w:pPr>
            <w:r>
              <w:rPr>
                <w:rFonts w:ascii="宋体" w:hAnsi="宋体"/>
              </w:rPr>
              <w:t>技术部分（30分）</w:t>
            </w:r>
          </w:p>
        </w:tc>
        <w:tc>
          <w:tcPr>
            <w:tcW w:w="828" w:type="dxa"/>
            <w:vAlign w:val="center"/>
          </w:tcPr>
          <w:p w14:paraId="5920577B">
            <w:pPr>
              <w:jc w:val="center"/>
              <w:rPr>
                <w:rFonts w:ascii="宋体" w:hAnsi="宋体"/>
              </w:rPr>
            </w:pPr>
            <w:r>
              <w:rPr>
                <w:rFonts w:ascii="宋体" w:hAnsi="宋体"/>
              </w:rPr>
              <w:t>服务方案（15分）</w:t>
            </w:r>
          </w:p>
        </w:tc>
        <w:tc>
          <w:tcPr>
            <w:tcW w:w="709" w:type="dxa"/>
            <w:tcBorders>
              <w:top w:val="single" w:color="auto" w:sz="4" w:space="0"/>
              <w:right w:val="single" w:color="auto" w:sz="4" w:space="0"/>
            </w:tcBorders>
            <w:vAlign w:val="center"/>
          </w:tcPr>
          <w:p w14:paraId="48C90038">
            <w:pPr>
              <w:jc w:val="center"/>
              <w:rPr>
                <w:rFonts w:ascii="宋体" w:hAnsi="宋体"/>
                <w:szCs w:val="21"/>
              </w:rPr>
            </w:pPr>
            <w:r>
              <w:rPr>
                <w:rFonts w:ascii="宋体" w:hAnsi="宋体"/>
                <w:szCs w:val="21"/>
              </w:rPr>
              <w:t>主观分</w:t>
            </w:r>
          </w:p>
        </w:tc>
        <w:tc>
          <w:tcPr>
            <w:tcW w:w="5267" w:type="dxa"/>
            <w:tcBorders>
              <w:top w:val="single" w:color="auto" w:sz="4" w:space="0"/>
              <w:left w:val="single" w:color="auto" w:sz="4" w:space="0"/>
              <w:right w:val="single" w:color="auto" w:sz="4" w:space="0"/>
            </w:tcBorders>
            <w:vAlign w:val="center"/>
          </w:tcPr>
          <w:p w14:paraId="621A4BD1">
            <w:pPr>
              <w:jc w:val="left"/>
              <w:rPr>
                <w:rFonts w:ascii="宋体" w:hAnsi="宋体"/>
                <w:szCs w:val="21"/>
              </w:rPr>
            </w:pPr>
            <w:r>
              <w:rPr>
                <w:rFonts w:ascii="宋体" w:hAnsi="宋体"/>
                <w:szCs w:val="21"/>
              </w:rPr>
              <w:t>一档（5分）：有服务方案及安全管理措施，方案内容包括针对本项目用车服务管理制度、服务周期内人员及车辆调度记录管理、服务措施及流程、质量安全保证措施等。</w:t>
            </w:r>
          </w:p>
          <w:p w14:paraId="25DB8B36">
            <w:pPr>
              <w:jc w:val="left"/>
              <w:rPr>
                <w:rFonts w:ascii="宋体" w:hAnsi="宋体"/>
                <w:szCs w:val="21"/>
              </w:rPr>
            </w:pPr>
            <w:r>
              <w:rPr>
                <w:rFonts w:ascii="宋体" w:hAnsi="宋体"/>
                <w:szCs w:val="21"/>
              </w:rPr>
              <w:t>二档（10分）：满足一档要求，服务管理制度能进一步有具体措施描述（含企业内部考核机制，奖惩制度、考勤制度等）、质量安全保证措施有针对性并切合项目服务特点、现有车辆及驾驶员状况有具体详细信息。</w:t>
            </w:r>
          </w:p>
          <w:p w14:paraId="72785AE0">
            <w:pPr>
              <w:jc w:val="left"/>
              <w:rPr>
                <w:rFonts w:ascii="宋体" w:hAnsi="宋体"/>
                <w:szCs w:val="21"/>
              </w:rPr>
            </w:pPr>
            <w:r>
              <w:rPr>
                <w:rFonts w:ascii="宋体" w:hAnsi="宋体"/>
                <w:szCs w:val="21"/>
              </w:rPr>
              <w:t>三档（15分）：满足二档要求，服务项目实施方案优于采购项目工作要求，并进一步提供人员培训方案、人员管理措施方案等、能提供现有车辆、驾驶员和驻点人员详细信息，且数量达到并保障采购项目工作要求。方案各项目内容阐述或陈述完整、清晰、齐全、具体、详细，有明确具体的承诺，符合实际。完全满足本项目采购需求，并能充分保证采购人服务计划顺利实施。</w:t>
            </w:r>
          </w:p>
        </w:tc>
        <w:tc>
          <w:tcPr>
            <w:tcW w:w="1821" w:type="dxa"/>
            <w:tcBorders>
              <w:top w:val="single" w:color="auto" w:sz="4" w:space="0"/>
              <w:left w:val="single" w:color="auto" w:sz="4" w:space="0"/>
              <w:right w:val="single" w:color="auto" w:sz="4" w:space="0"/>
            </w:tcBorders>
            <w:vAlign w:val="center"/>
          </w:tcPr>
          <w:p w14:paraId="0E432F6D">
            <w:pPr>
              <w:rPr>
                <w:rFonts w:ascii="宋体" w:hAnsi="宋体"/>
              </w:rPr>
            </w:pPr>
            <w:r>
              <w:rPr>
                <w:rFonts w:ascii="宋体" w:hAnsi="宋体"/>
                <w:szCs w:val="21"/>
              </w:rPr>
              <w:t>未提供此项内容得0分</w:t>
            </w:r>
          </w:p>
        </w:tc>
      </w:tr>
      <w:tr w14:paraId="7C313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dxa"/>
            <w:vMerge w:val="continue"/>
            <w:vAlign w:val="center"/>
          </w:tcPr>
          <w:p w14:paraId="20FD5B3B">
            <w:pPr>
              <w:jc w:val="center"/>
              <w:rPr>
                <w:rFonts w:ascii="宋体" w:hAnsi="宋体"/>
                <w:szCs w:val="21"/>
              </w:rPr>
            </w:pPr>
          </w:p>
        </w:tc>
        <w:tc>
          <w:tcPr>
            <w:tcW w:w="709" w:type="dxa"/>
            <w:vMerge w:val="continue"/>
            <w:vAlign w:val="center"/>
          </w:tcPr>
          <w:p w14:paraId="32A1BABB">
            <w:pPr>
              <w:jc w:val="center"/>
              <w:rPr>
                <w:rFonts w:ascii="宋体" w:hAnsi="宋体"/>
                <w:szCs w:val="21"/>
              </w:rPr>
            </w:pPr>
          </w:p>
        </w:tc>
        <w:tc>
          <w:tcPr>
            <w:tcW w:w="828" w:type="dxa"/>
            <w:vAlign w:val="center"/>
          </w:tcPr>
          <w:p w14:paraId="018558AD">
            <w:pPr>
              <w:jc w:val="center"/>
              <w:rPr>
                <w:rFonts w:ascii="宋体" w:hAnsi="宋体"/>
              </w:rPr>
            </w:pPr>
            <w:r>
              <w:rPr>
                <w:rFonts w:ascii="宋体" w:hAnsi="宋体"/>
              </w:rPr>
              <w:t>服务保障及应急方案(15分）</w:t>
            </w:r>
          </w:p>
        </w:tc>
        <w:tc>
          <w:tcPr>
            <w:tcW w:w="709" w:type="dxa"/>
            <w:tcBorders>
              <w:right w:val="single" w:color="auto" w:sz="4" w:space="0"/>
            </w:tcBorders>
            <w:vAlign w:val="center"/>
          </w:tcPr>
          <w:p w14:paraId="73A795EC">
            <w:pPr>
              <w:jc w:val="center"/>
              <w:rPr>
                <w:rFonts w:ascii="宋体" w:hAnsi="宋体"/>
                <w:szCs w:val="21"/>
              </w:rPr>
            </w:pPr>
            <w:r>
              <w:rPr>
                <w:rFonts w:ascii="宋体" w:hAnsi="宋体"/>
                <w:szCs w:val="21"/>
              </w:rPr>
              <w:t>主观分</w:t>
            </w:r>
          </w:p>
        </w:tc>
        <w:tc>
          <w:tcPr>
            <w:tcW w:w="5267" w:type="dxa"/>
            <w:tcBorders>
              <w:left w:val="single" w:color="auto" w:sz="4" w:space="0"/>
            </w:tcBorders>
            <w:vAlign w:val="center"/>
          </w:tcPr>
          <w:p w14:paraId="7F2F7DF6">
            <w:pPr>
              <w:rPr>
                <w:rFonts w:ascii="宋体" w:hAnsi="宋体"/>
                <w:szCs w:val="21"/>
              </w:rPr>
            </w:pPr>
            <w:r>
              <w:rPr>
                <w:rFonts w:ascii="宋体" w:hAnsi="宋体"/>
                <w:szCs w:val="21"/>
              </w:rPr>
              <w:t>一档（5分）：有服务保障及应急方案，且方案明确、内容具体；</w:t>
            </w:r>
          </w:p>
          <w:p w14:paraId="5C003C14">
            <w:pPr>
              <w:rPr>
                <w:rFonts w:ascii="宋体" w:hAnsi="宋体"/>
                <w:szCs w:val="21"/>
              </w:rPr>
            </w:pPr>
            <w:r>
              <w:rPr>
                <w:rFonts w:ascii="宋体" w:hAnsi="宋体"/>
                <w:szCs w:val="21"/>
              </w:rPr>
              <w:t>二档（10分）：满足一档要求，服务保障及应急方案详细、全面，内容包括故障解决方案；车辆定点维护；服务监督和回访管理、台账管理、突发事件的应急预案，并具有有效的服务保障措施及本地化服务保障能力；</w:t>
            </w:r>
          </w:p>
          <w:p w14:paraId="100DB2E5">
            <w:pPr>
              <w:rPr>
                <w:rFonts w:ascii="宋体" w:hAnsi="宋体"/>
                <w:szCs w:val="21"/>
              </w:rPr>
            </w:pPr>
            <w:r>
              <w:rPr>
                <w:rFonts w:ascii="宋体" w:hAnsi="宋体"/>
                <w:szCs w:val="21"/>
              </w:rPr>
              <w:t>三档（15分）：满足二档要求，服务保障及应急方案科学、合理、有针对性、切实可行，内容包括故障解决方案（含解决故障的方法以及实现的方式）；车辆定点维护（保养）措施（含持续检测车辆稳定性和安全性，对车辆存在潜在风险及时修理、调整、排除）等，安全事故控制得力、应急预案能够保障应急处置车辆故障。</w:t>
            </w:r>
          </w:p>
        </w:tc>
        <w:tc>
          <w:tcPr>
            <w:tcW w:w="1821" w:type="dxa"/>
            <w:vAlign w:val="center"/>
          </w:tcPr>
          <w:p w14:paraId="7894B6AE">
            <w:pPr>
              <w:rPr>
                <w:rFonts w:ascii="宋体" w:hAnsi="宋体"/>
                <w:szCs w:val="21"/>
              </w:rPr>
            </w:pPr>
            <w:r>
              <w:rPr>
                <w:rFonts w:ascii="宋体" w:hAnsi="宋体"/>
                <w:szCs w:val="21"/>
              </w:rPr>
              <w:t>未提供此项内容得0分</w:t>
            </w:r>
          </w:p>
        </w:tc>
      </w:tr>
      <w:tr w14:paraId="071DA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dxa"/>
            <w:tcBorders>
              <w:top w:val="single" w:color="auto" w:sz="4" w:space="0"/>
              <w:left w:val="single" w:color="auto" w:sz="4" w:space="0"/>
              <w:bottom w:val="single" w:color="auto" w:sz="4" w:space="0"/>
              <w:right w:val="single" w:color="auto" w:sz="4" w:space="0"/>
            </w:tcBorders>
            <w:vAlign w:val="center"/>
          </w:tcPr>
          <w:p w14:paraId="07893284">
            <w:pPr>
              <w:jc w:val="center"/>
              <w:rPr>
                <w:rFonts w:ascii="宋体" w:hAnsi="宋体"/>
                <w:szCs w:val="21"/>
              </w:rPr>
            </w:pPr>
            <w:r>
              <w:rPr>
                <w:rFonts w:ascii="宋体" w:hAnsi="宋体"/>
                <w:szCs w:val="21"/>
              </w:rPr>
              <w:t>3</w:t>
            </w:r>
          </w:p>
        </w:tc>
        <w:tc>
          <w:tcPr>
            <w:tcW w:w="1537" w:type="dxa"/>
            <w:gridSpan w:val="2"/>
            <w:tcBorders>
              <w:top w:val="single" w:color="auto" w:sz="4" w:space="0"/>
              <w:left w:val="single" w:color="auto" w:sz="4" w:space="0"/>
              <w:bottom w:val="single" w:color="auto" w:sz="4" w:space="0"/>
              <w:right w:val="single" w:color="auto" w:sz="4" w:space="0"/>
            </w:tcBorders>
            <w:vAlign w:val="center"/>
          </w:tcPr>
          <w:p w14:paraId="3563A295">
            <w:pPr>
              <w:jc w:val="center"/>
              <w:rPr>
                <w:rFonts w:ascii="宋体" w:hAnsi="宋体"/>
                <w:szCs w:val="21"/>
              </w:rPr>
            </w:pPr>
            <w:r>
              <w:rPr>
                <w:rFonts w:ascii="宋体" w:hAnsi="宋体"/>
                <w:szCs w:val="21"/>
              </w:rPr>
              <w:t>响应报价分（10分）</w:t>
            </w:r>
          </w:p>
        </w:tc>
        <w:tc>
          <w:tcPr>
            <w:tcW w:w="709" w:type="dxa"/>
            <w:tcBorders>
              <w:top w:val="single" w:color="auto" w:sz="4" w:space="0"/>
              <w:left w:val="single" w:color="auto" w:sz="4" w:space="0"/>
              <w:bottom w:val="single" w:color="auto" w:sz="4" w:space="0"/>
              <w:right w:val="single" w:color="auto" w:sz="4" w:space="0"/>
            </w:tcBorders>
            <w:vAlign w:val="center"/>
          </w:tcPr>
          <w:p w14:paraId="4A61038C">
            <w:pPr>
              <w:jc w:val="center"/>
              <w:rPr>
                <w:rFonts w:ascii="宋体" w:hAnsi="宋体"/>
                <w:szCs w:val="21"/>
              </w:rPr>
            </w:pPr>
            <w:r>
              <w:rPr>
                <w:rFonts w:ascii="宋体" w:hAnsi="宋体"/>
                <w:szCs w:val="21"/>
              </w:rPr>
              <w:t>客观分</w:t>
            </w:r>
          </w:p>
        </w:tc>
        <w:tc>
          <w:tcPr>
            <w:tcW w:w="5267" w:type="dxa"/>
            <w:tcBorders>
              <w:top w:val="single" w:color="auto" w:sz="4" w:space="0"/>
              <w:left w:val="single" w:color="auto" w:sz="4" w:space="0"/>
              <w:bottom w:val="single" w:color="auto" w:sz="4" w:space="0"/>
            </w:tcBorders>
            <w:vAlign w:val="center"/>
          </w:tcPr>
          <w:p w14:paraId="06D1EE66">
            <w:pPr>
              <w:ind w:firstLine="210" w:firstLineChars="100"/>
              <w:rPr>
                <w:rFonts w:ascii="宋体" w:hAnsi="宋体"/>
                <w:szCs w:val="21"/>
              </w:rPr>
            </w:pPr>
            <w:r>
              <w:rPr>
                <w:rFonts w:ascii="宋体" w:hAnsi="宋体"/>
                <w:szCs w:val="21"/>
              </w:rPr>
              <w:t>以满足采购文件要求且响应价格最低的响应报价为评审基准价，其价格分为满分。其他供应商的价格分统一按照下列公式计算：响应报价得分=（评审基准价/响应报价）×响应报价分满分分值。</w:t>
            </w:r>
          </w:p>
        </w:tc>
        <w:tc>
          <w:tcPr>
            <w:tcW w:w="1821" w:type="dxa"/>
            <w:tcBorders>
              <w:top w:val="single" w:color="auto" w:sz="4" w:space="0"/>
              <w:left w:val="single" w:color="auto" w:sz="4" w:space="0"/>
              <w:bottom w:val="single" w:color="auto" w:sz="4" w:space="0"/>
            </w:tcBorders>
            <w:vAlign w:val="center"/>
          </w:tcPr>
          <w:p w14:paraId="3EB37F0B">
            <w:pPr>
              <w:rPr>
                <w:rFonts w:ascii="宋体" w:hAnsi="宋体"/>
                <w:szCs w:val="21"/>
              </w:rPr>
            </w:pPr>
            <w:r>
              <w:rPr>
                <w:rFonts w:ascii="宋体" w:hAnsi="宋体"/>
                <w:szCs w:val="21"/>
              </w:rPr>
              <w:t>响应报价计算时均为供应商的实际响应报价进行政策性扣除后的价格，最终成交金额＝响应报价。政策性扣除计算方法见后。</w:t>
            </w:r>
          </w:p>
        </w:tc>
      </w:tr>
      <w:tr w14:paraId="4CBE8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dxa"/>
            <w:tcBorders>
              <w:top w:val="single" w:color="auto" w:sz="4" w:space="0"/>
              <w:left w:val="single" w:color="auto" w:sz="4" w:space="0"/>
              <w:bottom w:val="single" w:color="auto" w:sz="4" w:space="0"/>
              <w:right w:val="single" w:color="auto" w:sz="4" w:space="0"/>
            </w:tcBorders>
            <w:vAlign w:val="center"/>
          </w:tcPr>
          <w:p w14:paraId="17AEF566">
            <w:pPr>
              <w:jc w:val="center"/>
              <w:rPr>
                <w:rFonts w:ascii="宋体" w:hAnsi="宋体"/>
                <w:szCs w:val="21"/>
              </w:rPr>
            </w:pPr>
            <w:r>
              <w:rPr>
                <w:rFonts w:ascii="宋体" w:hAnsi="宋体"/>
                <w:szCs w:val="21"/>
              </w:rPr>
              <w:t>4</w:t>
            </w:r>
          </w:p>
        </w:tc>
        <w:tc>
          <w:tcPr>
            <w:tcW w:w="1537" w:type="dxa"/>
            <w:gridSpan w:val="2"/>
            <w:tcBorders>
              <w:top w:val="single" w:color="auto" w:sz="4" w:space="0"/>
              <w:left w:val="single" w:color="auto" w:sz="4" w:space="0"/>
              <w:bottom w:val="single" w:color="auto" w:sz="4" w:space="0"/>
              <w:right w:val="single" w:color="auto" w:sz="4" w:space="0"/>
            </w:tcBorders>
            <w:vAlign w:val="center"/>
          </w:tcPr>
          <w:p w14:paraId="2E090A1F">
            <w:pPr>
              <w:jc w:val="center"/>
              <w:rPr>
                <w:rFonts w:ascii="宋体" w:hAnsi="宋体"/>
                <w:szCs w:val="21"/>
              </w:rPr>
            </w:pPr>
            <w:r>
              <w:rPr>
                <w:rFonts w:ascii="宋体" w:hAnsi="宋体"/>
                <w:szCs w:val="21"/>
              </w:rPr>
              <w:t>综合得分</w:t>
            </w:r>
          </w:p>
        </w:tc>
        <w:tc>
          <w:tcPr>
            <w:tcW w:w="7797" w:type="dxa"/>
            <w:gridSpan w:val="3"/>
            <w:tcBorders>
              <w:top w:val="single" w:color="auto" w:sz="4" w:space="0"/>
              <w:left w:val="single" w:color="auto" w:sz="4" w:space="0"/>
              <w:bottom w:val="single" w:color="auto" w:sz="4" w:space="0"/>
            </w:tcBorders>
            <w:vAlign w:val="center"/>
          </w:tcPr>
          <w:p w14:paraId="2BD6065A">
            <w:pPr>
              <w:rPr>
                <w:rFonts w:ascii="宋体" w:hAnsi="宋体"/>
                <w:szCs w:val="21"/>
              </w:rPr>
            </w:pPr>
            <w:r>
              <w:rPr>
                <w:rFonts w:ascii="宋体" w:hAnsi="宋体"/>
                <w:szCs w:val="21"/>
              </w:rPr>
              <w:t>=1+2+3（各项评分分值计算保留小数点后两位，小数点后第三位“四舍五入”）</w:t>
            </w:r>
          </w:p>
        </w:tc>
      </w:tr>
    </w:tbl>
    <w:p w14:paraId="43991152">
      <w:pPr>
        <w:spacing w:before="120" w:line="320" w:lineRule="atLeast"/>
        <w:ind w:firstLine="316" w:firstLineChars="150"/>
        <w:rPr>
          <w:rFonts w:ascii="宋体" w:hAnsi="宋体"/>
          <w:b/>
          <w:bCs/>
          <w:kern w:val="0"/>
          <w:szCs w:val="21"/>
        </w:rPr>
      </w:pPr>
      <w:r>
        <w:rPr>
          <w:rFonts w:ascii="宋体" w:hAnsi="宋体"/>
          <w:b/>
          <w:bCs/>
          <w:kern w:val="0"/>
          <w:szCs w:val="21"/>
        </w:rPr>
        <w:t>注：政策性扣除计算方法</w:t>
      </w:r>
    </w:p>
    <w:p w14:paraId="623A58B8">
      <w:pPr>
        <w:spacing w:before="120" w:line="320" w:lineRule="atLeast"/>
        <w:ind w:firstLine="420" w:firstLineChars="200"/>
        <w:rPr>
          <w:rFonts w:ascii="宋体" w:hAnsi="宋体"/>
          <w:szCs w:val="21"/>
        </w:rPr>
      </w:pPr>
      <w:r>
        <w:rPr>
          <w:rFonts w:ascii="宋体" w:hAnsi="宋体"/>
          <w:szCs w:val="21"/>
        </w:rPr>
        <w:t>供应商响应报价将按相应比例进行扣除，用扣除后的价格参与评审（计算价格分），价格扣除比例分别如下：</w:t>
      </w:r>
    </w:p>
    <w:tbl>
      <w:tblPr>
        <w:tblStyle w:val="51"/>
        <w:tblW w:w="0" w:type="auto"/>
        <w:tblInd w:w="-3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78"/>
        <w:gridCol w:w="5187"/>
        <w:gridCol w:w="2513"/>
      </w:tblGrid>
      <w:tr w14:paraId="10DEA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2" w:type="dxa"/>
          </w:tcPr>
          <w:p w14:paraId="736A7431">
            <w:pPr>
              <w:spacing w:before="120" w:line="320" w:lineRule="atLeast"/>
              <w:jc w:val="center"/>
              <w:rPr>
                <w:rFonts w:ascii="宋体" w:hAnsi="宋体"/>
                <w:szCs w:val="21"/>
              </w:rPr>
            </w:pPr>
            <w:r>
              <w:rPr>
                <w:rFonts w:ascii="宋体" w:hAnsi="宋体"/>
                <w:szCs w:val="21"/>
              </w:rPr>
              <w:t>独立响应</w:t>
            </w:r>
          </w:p>
        </w:tc>
        <w:tc>
          <w:tcPr>
            <w:tcW w:w="5274" w:type="dxa"/>
          </w:tcPr>
          <w:p w14:paraId="55F86479">
            <w:pPr>
              <w:spacing w:before="120" w:line="320" w:lineRule="atLeast"/>
              <w:rPr>
                <w:rFonts w:ascii="宋体" w:hAnsi="宋体"/>
                <w:szCs w:val="21"/>
              </w:rPr>
            </w:pPr>
            <w:r>
              <w:rPr>
                <w:rFonts w:ascii="宋体" w:hAnsi="宋体"/>
                <w:szCs w:val="21"/>
              </w:rPr>
              <w:t>供应商均为所列企业之一（小型企业、微型企业、残疾人福利企业、监狱企业）</w:t>
            </w:r>
          </w:p>
        </w:tc>
        <w:tc>
          <w:tcPr>
            <w:tcW w:w="2551" w:type="dxa"/>
          </w:tcPr>
          <w:p w14:paraId="35336CB8">
            <w:pPr>
              <w:spacing w:before="120" w:line="320" w:lineRule="atLeast"/>
              <w:rPr>
                <w:rFonts w:ascii="宋体" w:hAnsi="宋体"/>
                <w:szCs w:val="21"/>
              </w:rPr>
            </w:pPr>
            <w:r>
              <w:rPr>
                <w:rFonts w:ascii="宋体" w:hAnsi="宋体"/>
                <w:szCs w:val="21"/>
              </w:rPr>
              <w:t>价格扣除响应报价的10%</w:t>
            </w:r>
          </w:p>
        </w:tc>
      </w:tr>
      <w:tr w14:paraId="28F14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2" w:type="dxa"/>
            <w:vMerge w:val="restart"/>
          </w:tcPr>
          <w:p w14:paraId="486779D7">
            <w:pPr>
              <w:spacing w:before="120" w:line="320" w:lineRule="atLeast"/>
              <w:jc w:val="center"/>
              <w:rPr>
                <w:rFonts w:ascii="宋体" w:hAnsi="宋体"/>
                <w:szCs w:val="21"/>
              </w:rPr>
            </w:pPr>
            <w:r>
              <w:rPr>
                <w:rFonts w:ascii="宋体" w:hAnsi="宋体"/>
                <w:szCs w:val="21"/>
              </w:rPr>
              <w:t>联合体或</w:t>
            </w:r>
          </w:p>
          <w:p w14:paraId="44BA18DA">
            <w:pPr>
              <w:spacing w:before="120" w:line="320" w:lineRule="atLeast"/>
              <w:jc w:val="center"/>
              <w:rPr>
                <w:rFonts w:ascii="宋体" w:hAnsi="宋体"/>
                <w:szCs w:val="21"/>
              </w:rPr>
            </w:pPr>
            <w:r>
              <w:rPr>
                <w:rFonts w:ascii="宋体" w:hAnsi="宋体"/>
                <w:szCs w:val="21"/>
              </w:rPr>
              <w:t>分包</w:t>
            </w:r>
          </w:p>
        </w:tc>
        <w:tc>
          <w:tcPr>
            <w:tcW w:w="5274" w:type="dxa"/>
          </w:tcPr>
          <w:p w14:paraId="325844AE">
            <w:pPr>
              <w:spacing w:before="120" w:line="320" w:lineRule="atLeast"/>
              <w:rPr>
                <w:rFonts w:ascii="宋体" w:hAnsi="宋体"/>
                <w:szCs w:val="21"/>
              </w:rPr>
            </w:pPr>
            <w:r>
              <w:rPr>
                <w:rFonts w:ascii="宋体" w:hAnsi="宋体"/>
                <w:szCs w:val="21"/>
              </w:rPr>
              <w:t>小微企业承接的金额比例为100%</w:t>
            </w:r>
          </w:p>
        </w:tc>
        <w:tc>
          <w:tcPr>
            <w:tcW w:w="2551" w:type="dxa"/>
          </w:tcPr>
          <w:p w14:paraId="7F4F86BF">
            <w:pPr>
              <w:spacing w:before="120" w:line="320" w:lineRule="atLeast"/>
              <w:rPr>
                <w:rFonts w:ascii="宋体" w:hAnsi="宋体"/>
                <w:szCs w:val="21"/>
              </w:rPr>
            </w:pPr>
            <w:r>
              <w:rPr>
                <w:rFonts w:ascii="宋体" w:hAnsi="宋体"/>
                <w:szCs w:val="21"/>
              </w:rPr>
              <w:t>价格扣除响应报价的10%</w:t>
            </w:r>
          </w:p>
        </w:tc>
      </w:tr>
      <w:tr w14:paraId="37462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2" w:type="dxa"/>
            <w:vMerge w:val="continue"/>
          </w:tcPr>
          <w:p w14:paraId="4C686988">
            <w:pPr>
              <w:spacing w:before="120" w:line="320" w:lineRule="atLeast"/>
              <w:rPr>
                <w:rFonts w:ascii="宋体" w:hAnsi="宋体"/>
                <w:szCs w:val="21"/>
              </w:rPr>
            </w:pPr>
          </w:p>
        </w:tc>
        <w:tc>
          <w:tcPr>
            <w:tcW w:w="5274" w:type="dxa"/>
          </w:tcPr>
          <w:p w14:paraId="5CA5718D">
            <w:pPr>
              <w:spacing w:before="120" w:line="320" w:lineRule="atLeast"/>
              <w:rPr>
                <w:rFonts w:ascii="宋体" w:hAnsi="宋体"/>
                <w:szCs w:val="21"/>
              </w:rPr>
            </w:pPr>
            <w:r>
              <w:rPr>
                <w:rFonts w:ascii="宋体" w:hAnsi="宋体"/>
                <w:szCs w:val="21"/>
              </w:rPr>
              <w:t>小微企业承接的金额比例达到合同总金额30%以上</w:t>
            </w:r>
          </w:p>
        </w:tc>
        <w:tc>
          <w:tcPr>
            <w:tcW w:w="2551" w:type="dxa"/>
          </w:tcPr>
          <w:p w14:paraId="520224AF">
            <w:pPr>
              <w:spacing w:before="120" w:line="320" w:lineRule="atLeast"/>
              <w:rPr>
                <w:rFonts w:ascii="宋体" w:hAnsi="宋体"/>
                <w:szCs w:val="21"/>
              </w:rPr>
            </w:pPr>
            <w:r>
              <w:rPr>
                <w:rFonts w:ascii="宋体" w:hAnsi="宋体"/>
                <w:szCs w:val="21"/>
              </w:rPr>
              <w:t>价格扣除响应报价的4%</w:t>
            </w:r>
          </w:p>
        </w:tc>
      </w:tr>
      <w:tr w14:paraId="57939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27" w:type="dxa"/>
            <w:gridSpan w:val="3"/>
          </w:tcPr>
          <w:p w14:paraId="1A62B3AC">
            <w:pPr>
              <w:spacing w:before="120" w:line="320" w:lineRule="atLeast"/>
              <w:rPr>
                <w:rFonts w:ascii="宋体" w:hAnsi="宋体"/>
                <w:szCs w:val="21"/>
              </w:rPr>
            </w:pPr>
            <w:r>
              <w:rPr>
                <w:rFonts w:ascii="宋体" w:hAnsi="宋体"/>
                <w:szCs w:val="21"/>
              </w:rPr>
              <w:t>注：未提供《中小企业声明函》、《分包意向协议书》或《联合体协议书》或不符合条件的，不享受价格扣除优惠。</w:t>
            </w:r>
          </w:p>
        </w:tc>
      </w:tr>
    </w:tbl>
    <w:p w14:paraId="533CB2B7">
      <w:pPr>
        <w:rPr>
          <w:rFonts w:ascii="宋体" w:hAnsi="宋体"/>
          <w:szCs w:val="21"/>
        </w:rPr>
      </w:pPr>
    </w:p>
    <w:p w14:paraId="5AA10214">
      <w:pPr>
        <w:rPr>
          <w:rFonts w:ascii="宋体" w:hAnsi="宋体"/>
          <w:szCs w:val="21"/>
        </w:rPr>
      </w:pPr>
    </w:p>
    <w:p w14:paraId="6DD98CCF">
      <w:pPr>
        <w:rPr>
          <w:rFonts w:ascii="宋体" w:hAnsi="宋体"/>
          <w:szCs w:val="21"/>
        </w:rPr>
      </w:pPr>
    </w:p>
    <w:p w14:paraId="4DFBCF58">
      <w:pPr>
        <w:rPr>
          <w:rFonts w:ascii="宋体" w:hAnsi="宋体"/>
        </w:rPr>
      </w:pPr>
    </w:p>
    <w:p w14:paraId="504E3D68">
      <w:pPr>
        <w:rPr>
          <w:rFonts w:ascii="宋体" w:hAnsi="宋体"/>
        </w:rPr>
      </w:pPr>
    </w:p>
    <w:p w14:paraId="6496A1D6">
      <w:pPr>
        <w:ind w:firstLine="315" w:firstLineChars="150"/>
        <w:rPr>
          <w:rFonts w:ascii="宋体" w:hAnsi="宋体"/>
        </w:rPr>
      </w:pPr>
    </w:p>
    <w:p w14:paraId="01CB6D88">
      <w:pPr>
        <w:pStyle w:val="26"/>
        <w:snapToGrid w:val="0"/>
        <w:spacing w:before="120" w:after="120" w:line="320" w:lineRule="exact"/>
        <w:jc w:val="center"/>
        <w:outlineLvl w:val="0"/>
        <w:rPr>
          <w:rFonts w:hAnsi="宋体" w:cs="Times New Roman"/>
          <w:sz w:val="32"/>
          <w:szCs w:val="32"/>
        </w:rPr>
        <w:sectPr>
          <w:pgSz w:w="11906" w:h="16838"/>
          <w:pgMar w:top="1418" w:right="1418" w:bottom="1246" w:left="1418" w:header="851" w:footer="992" w:gutter="0"/>
          <w:pgNumType w:fmt="decimal"/>
          <w:cols w:space="720" w:num="1"/>
          <w:docGrid w:linePitch="312" w:charSpace="0"/>
        </w:sectPr>
      </w:pPr>
    </w:p>
    <w:p w14:paraId="7435A543">
      <w:pPr>
        <w:pStyle w:val="26"/>
        <w:snapToGrid w:val="0"/>
        <w:spacing w:before="120" w:after="120" w:line="320" w:lineRule="exact"/>
        <w:jc w:val="center"/>
        <w:outlineLvl w:val="0"/>
        <w:rPr>
          <w:rFonts w:hAnsi="宋体" w:cs="Times New Roman"/>
          <w:sz w:val="32"/>
          <w:szCs w:val="32"/>
        </w:rPr>
      </w:pPr>
      <w:bookmarkStart w:id="79" w:name="_Toc11747"/>
      <w:r>
        <w:rPr>
          <w:rFonts w:hAnsi="宋体" w:cs="Times New Roman"/>
          <w:sz w:val="32"/>
          <w:szCs w:val="32"/>
        </w:rPr>
        <w:t>第五章  合同主要条款格式</w:t>
      </w:r>
      <w:bookmarkEnd w:id="79"/>
    </w:p>
    <w:p w14:paraId="4911F7A6">
      <w:pPr>
        <w:pStyle w:val="26"/>
        <w:snapToGrid w:val="0"/>
        <w:jc w:val="center"/>
        <w:rPr>
          <w:rFonts w:hAnsi="宋体" w:cs="Times New Roman"/>
          <w:b/>
          <w:sz w:val="24"/>
          <w:szCs w:val="24"/>
        </w:rPr>
      </w:pPr>
    </w:p>
    <w:p w14:paraId="515672E5">
      <w:pPr>
        <w:spacing w:before="120" w:line="320" w:lineRule="atLeast"/>
        <w:ind w:firstLine="422" w:firstLineChars="200"/>
        <w:jc w:val="center"/>
        <w:outlineLvl w:val="1"/>
        <w:rPr>
          <w:rFonts w:ascii="宋体" w:hAnsi="宋体"/>
          <w:b/>
          <w:bCs/>
          <w:kern w:val="0"/>
          <w:szCs w:val="21"/>
        </w:rPr>
      </w:pPr>
      <w:r>
        <w:rPr>
          <w:rFonts w:ascii="宋体" w:hAnsi="宋体"/>
          <w:b/>
          <w:bCs/>
          <w:kern w:val="0"/>
          <w:szCs w:val="21"/>
        </w:rPr>
        <w:t>广西壮族自治区政府采购合同</w:t>
      </w:r>
    </w:p>
    <w:tbl>
      <w:tblPr>
        <w:tblStyle w:val="51"/>
        <w:tblW w:w="0" w:type="auto"/>
        <w:tblInd w:w="0" w:type="dxa"/>
        <w:tblLayout w:type="autofit"/>
        <w:tblCellMar>
          <w:top w:w="0" w:type="dxa"/>
          <w:left w:w="108" w:type="dxa"/>
          <w:bottom w:w="0" w:type="dxa"/>
          <w:right w:w="108" w:type="dxa"/>
        </w:tblCellMar>
      </w:tblPr>
      <w:tblGrid>
        <w:gridCol w:w="2285"/>
        <w:gridCol w:w="2249"/>
        <w:gridCol w:w="2286"/>
        <w:gridCol w:w="2250"/>
      </w:tblGrid>
      <w:tr w14:paraId="1EDE26F5">
        <w:tblPrEx>
          <w:tblCellMar>
            <w:top w:w="0" w:type="dxa"/>
            <w:left w:w="108" w:type="dxa"/>
            <w:bottom w:w="0" w:type="dxa"/>
            <w:right w:w="108" w:type="dxa"/>
          </w:tblCellMar>
        </w:tblPrEx>
        <w:tc>
          <w:tcPr>
            <w:tcW w:w="2336" w:type="dxa"/>
          </w:tcPr>
          <w:p w14:paraId="7C82A1FD">
            <w:pPr>
              <w:snapToGrid w:val="0"/>
              <w:spacing w:line="360" w:lineRule="exact"/>
              <w:ind w:right="480"/>
              <w:jc w:val="left"/>
              <w:rPr>
                <w:rFonts w:ascii="宋体" w:hAnsi="宋体"/>
                <w:bCs/>
                <w:szCs w:val="21"/>
              </w:rPr>
            </w:pPr>
            <w:r>
              <w:rPr>
                <w:rFonts w:ascii="宋体" w:hAnsi="宋体"/>
                <w:bCs/>
                <w:szCs w:val="21"/>
              </w:rPr>
              <w:t>合同编号：</w:t>
            </w:r>
          </w:p>
        </w:tc>
        <w:tc>
          <w:tcPr>
            <w:tcW w:w="2336" w:type="dxa"/>
          </w:tcPr>
          <w:p w14:paraId="3A8D6F35">
            <w:pPr>
              <w:snapToGrid w:val="0"/>
              <w:spacing w:line="360" w:lineRule="exact"/>
              <w:ind w:right="480"/>
              <w:jc w:val="left"/>
              <w:rPr>
                <w:rFonts w:ascii="宋体" w:hAnsi="宋体"/>
                <w:bCs/>
                <w:szCs w:val="21"/>
              </w:rPr>
            </w:pPr>
          </w:p>
        </w:tc>
        <w:tc>
          <w:tcPr>
            <w:tcW w:w="2336" w:type="dxa"/>
          </w:tcPr>
          <w:p w14:paraId="5EF00750">
            <w:pPr>
              <w:snapToGrid w:val="0"/>
              <w:spacing w:line="360" w:lineRule="exact"/>
              <w:ind w:right="480"/>
              <w:jc w:val="left"/>
              <w:rPr>
                <w:rFonts w:ascii="宋体" w:hAnsi="宋体"/>
                <w:bCs/>
                <w:szCs w:val="21"/>
              </w:rPr>
            </w:pPr>
            <w:r>
              <w:rPr>
                <w:rFonts w:ascii="宋体" w:hAnsi="宋体"/>
                <w:bCs/>
                <w:szCs w:val="21"/>
              </w:rPr>
              <w:t>采购计划号：</w:t>
            </w:r>
          </w:p>
        </w:tc>
        <w:tc>
          <w:tcPr>
            <w:tcW w:w="2337" w:type="dxa"/>
          </w:tcPr>
          <w:p w14:paraId="395577B5">
            <w:pPr>
              <w:snapToGrid w:val="0"/>
              <w:spacing w:line="360" w:lineRule="exact"/>
              <w:ind w:right="480"/>
              <w:jc w:val="left"/>
              <w:rPr>
                <w:rFonts w:ascii="宋体" w:hAnsi="宋体"/>
                <w:bCs/>
                <w:szCs w:val="21"/>
              </w:rPr>
            </w:pPr>
          </w:p>
        </w:tc>
      </w:tr>
      <w:tr w14:paraId="7E54747D">
        <w:tblPrEx>
          <w:tblCellMar>
            <w:top w:w="0" w:type="dxa"/>
            <w:left w:w="108" w:type="dxa"/>
            <w:bottom w:w="0" w:type="dxa"/>
            <w:right w:w="108" w:type="dxa"/>
          </w:tblCellMar>
        </w:tblPrEx>
        <w:tc>
          <w:tcPr>
            <w:tcW w:w="2336" w:type="dxa"/>
          </w:tcPr>
          <w:p w14:paraId="4B89546D">
            <w:pPr>
              <w:snapToGrid w:val="0"/>
              <w:spacing w:line="360" w:lineRule="exact"/>
              <w:ind w:right="480"/>
              <w:jc w:val="left"/>
              <w:rPr>
                <w:rFonts w:ascii="宋体" w:hAnsi="宋体"/>
                <w:bCs/>
                <w:szCs w:val="21"/>
              </w:rPr>
            </w:pPr>
            <w:r>
              <w:rPr>
                <w:rFonts w:ascii="宋体" w:hAnsi="宋体"/>
                <w:bCs/>
                <w:szCs w:val="21"/>
              </w:rPr>
              <w:t>项目名称：</w:t>
            </w:r>
          </w:p>
        </w:tc>
        <w:tc>
          <w:tcPr>
            <w:tcW w:w="2336" w:type="dxa"/>
          </w:tcPr>
          <w:p w14:paraId="6E78C81D">
            <w:pPr>
              <w:snapToGrid w:val="0"/>
              <w:spacing w:line="360" w:lineRule="exact"/>
              <w:ind w:right="480"/>
              <w:jc w:val="left"/>
              <w:rPr>
                <w:rFonts w:ascii="宋体" w:hAnsi="宋体"/>
                <w:bCs/>
                <w:szCs w:val="21"/>
              </w:rPr>
            </w:pPr>
          </w:p>
        </w:tc>
        <w:tc>
          <w:tcPr>
            <w:tcW w:w="2336" w:type="dxa"/>
          </w:tcPr>
          <w:p w14:paraId="2AA1FDAB">
            <w:pPr>
              <w:snapToGrid w:val="0"/>
              <w:spacing w:line="360" w:lineRule="exact"/>
              <w:ind w:right="480"/>
              <w:jc w:val="left"/>
              <w:rPr>
                <w:rFonts w:ascii="宋体" w:hAnsi="宋体"/>
                <w:bCs/>
                <w:szCs w:val="21"/>
              </w:rPr>
            </w:pPr>
            <w:r>
              <w:rPr>
                <w:rFonts w:ascii="宋体" w:hAnsi="宋体"/>
                <w:bCs/>
                <w:szCs w:val="21"/>
              </w:rPr>
              <w:t>项目编号：</w:t>
            </w:r>
          </w:p>
        </w:tc>
        <w:tc>
          <w:tcPr>
            <w:tcW w:w="2337" w:type="dxa"/>
          </w:tcPr>
          <w:p w14:paraId="238D49C9">
            <w:pPr>
              <w:snapToGrid w:val="0"/>
              <w:spacing w:line="360" w:lineRule="exact"/>
              <w:ind w:right="480"/>
              <w:jc w:val="left"/>
              <w:rPr>
                <w:rFonts w:ascii="宋体" w:hAnsi="宋体"/>
                <w:bCs/>
                <w:szCs w:val="21"/>
              </w:rPr>
            </w:pPr>
          </w:p>
        </w:tc>
      </w:tr>
      <w:tr w14:paraId="6EE7AE92">
        <w:tblPrEx>
          <w:tblCellMar>
            <w:top w:w="0" w:type="dxa"/>
            <w:left w:w="108" w:type="dxa"/>
            <w:bottom w:w="0" w:type="dxa"/>
            <w:right w:w="108" w:type="dxa"/>
          </w:tblCellMar>
        </w:tblPrEx>
        <w:tc>
          <w:tcPr>
            <w:tcW w:w="2336" w:type="dxa"/>
          </w:tcPr>
          <w:p w14:paraId="0905E2C3">
            <w:pPr>
              <w:snapToGrid w:val="0"/>
              <w:spacing w:line="360" w:lineRule="exact"/>
              <w:jc w:val="left"/>
              <w:rPr>
                <w:rFonts w:ascii="宋体" w:hAnsi="宋体"/>
                <w:bCs/>
                <w:szCs w:val="21"/>
              </w:rPr>
            </w:pPr>
            <w:r>
              <w:rPr>
                <w:rFonts w:ascii="宋体" w:hAnsi="宋体"/>
                <w:bCs/>
                <w:szCs w:val="21"/>
              </w:rPr>
              <w:t>采购人（甲方）：</w:t>
            </w:r>
          </w:p>
        </w:tc>
        <w:tc>
          <w:tcPr>
            <w:tcW w:w="2336" w:type="dxa"/>
          </w:tcPr>
          <w:p w14:paraId="41D9165A">
            <w:pPr>
              <w:snapToGrid w:val="0"/>
              <w:spacing w:line="360" w:lineRule="exact"/>
              <w:ind w:right="480"/>
              <w:jc w:val="left"/>
              <w:rPr>
                <w:rFonts w:ascii="宋体" w:hAnsi="宋体"/>
                <w:bCs/>
                <w:szCs w:val="21"/>
              </w:rPr>
            </w:pPr>
          </w:p>
        </w:tc>
        <w:tc>
          <w:tcPr>
            <w:tcW w:w="2336" w:type="dxa"/>
          </w:tcPr>
          <w:p w14:paraId="403B476C">
            <w:pPr>
              <w:snapToGrid w:val="0"/>
              <w:spacing w:line="360" w:lineRule="exact"/>
              <w:jc w:val="left"/>
              <w:rPr>
                <w:rFonts w:ascii="宋体" w:hAnsi="宋体"/>
                <w:bCs/>
                <w:szCs w:val="21"/>
              </w:rPr>
            </w:pPr>
            <w:r>
              <w:rPr>
                <w:rFonts w:ascii="宋体" w:hAnsi="宋体"/>
                <w:bCs/>
                <w:szCs w:val="21"/>
              </w:rPr>
              <w:t>供应商（乙方）：</w:t>
            </w:r>
          </w:p>
        </w:tc>
        <w:tc>
          <w:tcPr>
            <w:tcW w:w="2337" w:type="dxa"/>
          </w:tcPr>
          <w:p w14:paraId="3D2FD413">
            <w:pPr>
              <w:snapToGrid w:val="0"/>
              <w:spacing w:line="360" w:lineRule="exact"/>
              <w:ind w:right="480"/>
              <w:jc w:val="left"/>
              <w:rPr>
                <w:rFonts w:ascii="宋体" w:hAnsi="宋体"/>
                <w:bCs/>
                <w:szCs w:val="21"/>
              </w:rPr>
            </w:pPr>
          </w:p>
        </w:tc>
      </w:tr>
      <w:tr w14:paraId="56F97E4D">
        <w:tblPrEx>
          <w:tblCellMar>
            <w:top w:w="0" w:type="dxa"/>
            <w:left w:w="108" w:type="dxa"/>
            <w:bottom w:w="0" w:type="dxa"/>
            <w:right w:w="108" w:type="dxa"/>
          </w:tblCellMar>
        </w:tblPrEx>
        <w:tc>
          <w:tcPr>
            <w:tcW w:w="2336" w:type="dxa"/>
          </w:tcPr>
          <w:p w14:paraId="492116CB">
            <w:pPr>
              <w:snapToGrid w:val="0"/>
              <w:spacing w:line="360" w:lineRule="exact"/>
              <w:ind w:right="480"/>
              <w:jc w:val="left"/>
              <w:rPr>
                <w:rFonts w:ascii="宋体" w:hAnsi="宋体"/>
                <w:bCs/>
                <w:szCs w:val="21"/>
              </w:rPr>
            </w:pPr>
            <w:r>
              <w:rPr>
                <w:rFonts w:ascii="宋体" w:hAnsi="宋体"/>
                <w:bCs/>
                <w:szCs w:val="21"/>
              </w:rPr>
              <w:t>签订地点：</w:t>
            </w:r>
          </w:p>
        </w:tc>
        <w:tc>
          <w:tcPr>
            <w:tcW w:w="2336" w:type="dxa"/>
          </w:tcPr>
          <w:p w14:paraId="1574380D">
            <w:pPr>
              <w:snapToGrid w:val="0"/>
              <w:spacing w:line="360" w:lineRule="exact"/>
              <w:ind w:right="480"/>
              <w:jc w:val="left"/>
              <w:rPr>
                <w:rFonts w:ascii="宋体" w:hAnsi="宋体"/>
                <w:bCs/>
                <w:szCs w:val="21"/>
              </w:rPr>
            </w:pPr>
          </w:p>
        </w:tc>
        <w:tc>
          <w:tcPr>
            <w:tcW w:w="2336" w:type="dxa"/>
          </w:tcPr>
          <w:p w14:paraId="2696F715">
            <w:pPr>
              <w:snapToGrid w:val="0"/>
              <w:spacing w:line="360" w:lineRule="exact"/>
              <w:ind w:right="480"/>
              <w:jc w:val="left"/>
              <w:rPr>
                <w:rFonts w:ascii="宋体" w:hAnsi="宋体"/>
                <w:bCs/>
                <w:szCs w:val="21"/>
              </w:rPr>
            </w:pPr>
            <w:r>
              <w:rPr>
                <w:rFonts w:ascii="宋体" w:hAnsi="宋体"/>
                <w:bCs/>
                <w:szCs w:val="21"/>
              </w:rPr>
              <w:t>签订时间：</w:t>
            </w:r>
          </w:p>
        </w:tc>
        <w:tc>
          <w:tcPr>
            <w:tcW w:w="2337" w:type="dxa"/>
          </w:tcPr>
          <w:p w14:paraId="0891A87D">
            <w:pPr>
              <w:snapToGrid w:val="0"/>
              <w:spacing w:line="360" w:lineRule="exact"/>
              <w:ind w:right="480"/>
              <w:jc w:val="left"/>
              <w:rPr>
                <w:rFonts w:ascii="宋体" w:hAnsi="宋体"/>
                <w:bCs/>
                <w:szCs w:val="21"/>
              </w:rPr>
            </w:pPr>
          </w:p>
        </w:tc>
      </w:tr>
    </w:tbl>
    <w:p w14:paraId="3C6F4755">
      <w:pPr>
        <w:snapToGrid w:val="0"/>
        <w:spacing w:line="360" w:lineRule="exact"/>
        <w:ind w:right="480" w:firstLine="5985" w:firstLineChars="2850"/>
        <w:rPr>
          <w:rFonts w:ascii="宋体" w:hAnsi="宋体"/>
          <w:bCs/>
          <w:szCs w:val="21"/>
        </w:rPr>
      </w:pPr>
    </w:p>
    <w:p w14:paraId="14106F48">
      <w:pPr>
        <w:pStyle w:val="26"/>
        <w:spacing w:line="400" w:lineRule="exact"/>
        <w:ind w:firstLine="420" w:firstLineChars="200"/>
        <w:rPr>
          <w:rFonts w:hAnsi="宋体" w:cs="Times New Roman"/>
        </w:rPr>
      </w:pPr>
      <w:r>
        <w:rPr>
          <w:rFonts w:hAnsi="宋体" w:cs="Times New Roman"/>
        </w:rPr>
        <w:t>根据《中华人民共和国政府采购法》、《中华人民共和国政府采购法实施条例》等法律、法规规定，按照采购文件规定、乙方响应文件及其承诺和成交通知书，甲乙双方签订本合同。</w:t>
      </w:r>
    </w:p>
    <w:p w14:paraId="5589EA1B">
      <w:pPr>
        <w:tabs>
          <w:tab w:val="left" w:pos="8280"/>
        </w:tabs>
        <w:snapToGrid w:val="0"/>
        <w:spacing w:line="400" w:lineRule="exact"/>
        <w:ind w:firstLine="422" w:firstLineChars="200"/>
        <w:rPr>
          <w:rFonts w:ascii="宋体" w:hAnsi="宋体"/>
          <w:b/>
          <w:szCs w:val="21"/>
        </w:rPr>
      </w:pPr>
      <w:r>
        <w:rPr>
          <w:rFonts w:ascii="宋体" w:hAnsi="宋体"/>
          <w:b/>
          <w:szCs w:val="21"/>
        </w:rPr>
        <w:t>第一条　 合同标的价格</w:t>
      </w:r>
    </w:p>
    <w:p w14:paraId="26E6FC8E">
      <w:pPr>
        <w:tabs>
          <w:tab w:val="left" w:pos="8280"/>
        </w:tabs>
        <w:snapToGrid w:val="0"/>
        <w:spacing w:line="400" w:lineRule="exact"/>
        <w:ind w:firstLine="420" w:firstLineChars="200"/>
        <w:rPr>
          <w:rFonts w:ascii="宋体" w:hAnsi="宋体"/>
          <w:szCs w:val="21"/>
        </w:rPr>
      </w:pPr>
      <w:r>
        <w:rPr>
          <w:rFonts w:ascii="宋体" w:hAnsi="宋体"/>
          <w:szCs w:val="21"/>
        </w:rPr>
        <w:t>1.服务项目</w:t>
      </w:r>
    </w:p>
    <w:p w14:paraId="067398E6">
      <w:pPr>
        <w:tabs>
          <w:tab w:val="left" w:pos="8280"/>
        </w:tabs>
        <w:snapToGrid w:val="0"/>
        <w:spacing w:line="400" w:lineRule="exact"/>
        <w:ind w:firstLine="420" w:firstLineChars="200"/>
        <w:rPr>
          <w:rFonts w:ascii="宋体" w:hAnsi="宋体"/>
          <w:szCs w:val="21"/>
        </w:rPr>
      </w:pPr>
      <w:r>
        <w:rPr>
          <w:rFonts w:ascii="宋体" w:hAnsi="宋体"/>
          <w:szCs w:val="21"/>
        </w:rPr>
        <w:t>乙方接受甲方委托，承担《</w:t>
      </w:r>
      <w:r>
        <w:rPr>
          <w:rFonts w:ascii="宋体" w:hAnsi="宋体"/>
          <w:szCs w:val="21"/>
          <w:u w:val="single"/>
        </w:rPr>
        <w:t xml:space="preserve">     </w:t>
      </w:r>
      <w:r>
        <w:rPr>
          <w:rFonts w:ascii="宋体" w:hAnsi="宋体"/>
          <w:szCs w:val="21"/>
        </w:rPr>
        <w:t>》项目实施工作，合同具体价格如下：</w:t>
      </w:r>
    </w:p>
    <w:p w14:paraId="1BBD63B5">
      <w:pPr>
        <w:pStyle w:val="49"/>
        <w:spacing w:line="400" w:lineRule="exact"/>
        <w:ind w:firstLine="422" w:firstLineChars="200"/>
        <w:rPr>
          <w:rFonts w:hint="eastAsia" w:ascii="宋体" w:hAnsi="宋体"/>
          <w:szCs w:val="21"/>
        </w:rPr>
      </w:pPr>
      <w:r>
        <w:rPr>
          <w:rFonts w:ascii="宋体" w:hAnsi="宋体"/>
          <w:b/>
          <w:szCs w:val="21"/>
        </w:rPr>
        <w:t>1.1车辆租赁协议价格及乙方承诺提供车辆数量</w:t>
      </w:r>
      <w:r>
        <w:rPr>
          <w:rFonts w:hint="eastAsia" w:ascii="宋体" w:hAnsi="宋体"/>
          <w:b/>
          <w:szCs w:val="21"/>
        </w:rPr>
        <w:t>（含裸车）</w:t>
      </w:r>
    </w:p>
    <w:tbl>
      <w:tblPr>
        <w:tblStyle w:val="51"/>
        <w:tblW w:w="0" w:type="auto"/>
        <w:tblInd w:w="53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810"/>
        <w:gridCol w:w="1381"/>
        <w:gridCol w:w="1298"/>
        <w:gridCol w:w="1299"/>
        <w:gridCol w:w="1369"/>
        <w:gridCol w:w="1369"/>
      </w:tblGrid>
      <w:tr w14:paraId="5B15EF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3" w:hRule="atLeast"/>
        </w:trPr>
        <w:tc>
          <w:tcPr>
            <w:tcW w:w="8752" w:type="dxa"/>
            <w:gridSpan w:val="6"/>
            <w:shd w:val="clear" w:color="auto" w:fill="EBF1DE"/>
            <w:vAlign w:val="center"/>
          </w:tcPr>
          <w:p w14:paraId="4BA6DA6A">
            <w:pPr>
              <w:spacing w:line="400" w:lineRule="exact"/>
              <w:jc w:val="left"/>
              <w:rPr>
                <w:rFonts w:ascii="宋体" w:hAnsi="宋体"/>
                <w:b/>
                <w:szCs w:val="21"/>
              </w:rPr>
            </w:pPr>
            <w:r>
              <w:rPr>
                <w:rFonts w:hint="eastAsia" w:ascii="宋体" w:hAnsi="宋体"/>
                <w:b/>
                <w:szCs w:val="21"/>
              </w:rPr>
              <w:t>1.1.1按天租赁</w:t>
            </w:r>
          </w:p>
        </w:tc>
      </w:tr>
      <w:tr w14:paraId="6CC0E0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871" w:type="dxa"/>
            <w:vAlign w:val="center"/>
          </w:tcPr>
          <w:p w14:paraId="73853C94">
            <w:pPr>
              <w:spacing w:line="300" w:lineRule="exact"/>
              <w:jc w:val="center"/>
              <w:rPr>
                <w:rFonts w:ascii="宋体" w:hAnsi="宋体"/>
                <w:b/>
                <w:szCs w:val="21"/>
              </w:rPr>
            </w:pPr>
            <w:r>
              <w:rPr>
                <w:rFonts w:ascii="宋体" w:hAnsi="宋体"/>
                <w:b/>
                <w:szCs w:val="21"/>
              </w:rPr>
              <w:t>车辆类别</w:t>
            </w:r>
          </w:p>
        </w:tc>
        <w:tc>
          <w:tcPr>
            <w:tcW w:w="1436" w:type="dxa"/>
            <w:vAlign w:val="center"/>
          </w:tcPr>
          <w:p w14:paraId="5971F28C">
            <w:pPr>
              <w:spacing w:line="300" w:lineRule="exact"/>
              <w:jc w:val="center"/>
              <w:rPr>
                <w:rFonts w:ascii="宋体" w:hAnsi="宋体"/>
                <w:b/>
                <w:szCs w:val="21"/>
              </w:rPr>
            </w:pPr>
            <w:r>
              <w:rPr>
                <w:rFonts w:ascii="宋体" w:hAnsi="宋体"/>
                <w:b/>
                <w:szCs w:val="21"/>
              </w:rPr>
              <w:t>承诺提供数量(辆)</w:t>
            </w:r>
          </w:p>
        </w:tc>
        <w:tc>
          <w:tcPr>
            <w:tcW w:w="2605" w:type="dxa"/>
            <w:gridSpan w:val="2"/>
            <w:vAlign w:val="center"/>
          </w:tcPr>
          <w:p w14:paraId="0372DD93">
            <w:pPr>
              <w:spacing w:line="300" w:lineRule="exact"/>
              <w:jc w:val="center"/>
              <w:rPr>
                <w:rFonts w:hint="eastAsia" w:ascii="宋体" w:hAnsi="宋体"/>
                <w:b/>
                <w:szCs w:val="21"/>
              </w:rPr>
            </w:pPr>
            <w:r>
              <w:rPr>
                <w:rFonts w:hint="eastAsia" w:ascii="宋体" w:hAnsi="宋体"/>
                <w:b/>
                <w:szCs w:val="21"/>
              </w:rPr>
              <w:t>按天租赁含税</w:t>
            </w:r>
            <w:r>
              <w:rPr>
                <w:rFonts w:ascii="宋体" w:hAnsi="宋体"/>
                <w:b/>
                <w:szCs w:val="21"/>
              </w:rPr>
              <w:t>价格（元/辆·天）</w:t>
            </w:r>
          </w:p>
        </w:tc>
        <w:tc>
          <w:tcPr>
            <w:tcW w:w="1420" w:type="dxa"/>
            <w:vAlign w:val="center"/>
          </w:tcPr>
          <w:p w14:paraId="68AAF56A">
            <w:pPr>
              <w:spacing w:line="300" w:lineRule="exact"/>
              <w:jc w:val="center"/>
              <w:rPr>
                <w:rFonts w:ascii="宋体" w:hAnsi="宋体"/>
                <w:b/>
                <w:szCs w:val="21"/>
              </w:rPr>
            </w:pPr>
            <w:r>
              <w:rPr>
                <w:rFonts w:ascii="宋体" w:hAnsi="宋体"/>
                <w:b/>
                <w:szCs w:val="21"/>
              </w:rPr>
              <w:t>车型</w:t>
            </w:r>
          </w:p>
        </w:tc>
        <w:tc>
          <w:tcPr>
            <w:tcW w:w="1420" w:type="dxa"/>
            <w:vAlign w:val="center"/>
          </w:tcPr>
          <w:p w14:paraId="0195D960">
            <w:pPr>
              <w:spacing w:line="300" w:lineRule="exact"/>
              <w:jc w:val="center"/>
              <w:rPr>
                <w:rFonts w:ascii="宋体" w:hAnsi="宋体"/>
                <w:b/>
                <w:szCs w:val="21"/>
              </w:rPr>
            </w:pPr>
            <w:r>
              <w:rPr>
                <w:rFonts w:ascii="宋体" w:hAnsi="宋体"/>
                <w:b/>
                <w:szCs w:val="21"/>
              </w:rPr>
              <w:t>备注</w:t>
            </w:r>
          </w:p>
        </w:tc>
      </w:tr>
      <w:tr w14:paraId="4A7034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03" w:hRule="atLeast"/>
        </w:trPr>
        <w:tc>
          <w:tcPr>
            <w:tcW w:w="1871" w:type="dxa"/>
            <w:vAlign w:val="center"/>
          </w:tcPr>
          <w:p w14:paraId="3E769FDD">
            <w:pPr>
              <w:spacing w:line="300" w:lineRule="exact"/>
              <w:jc w:val="center"/>
              <w:rPr>
                <w:rFonts w:ascii="宋体" w:hAnsi="宋体"/>
                <w:szCs w:val="21"/>
              </w:rPr>
            </w:pPr>
            <w:r>
              <w:rPr>
                <w:rFonts w:hint="eastAsia" w:ascii="宋体" w:hAnsi="宋体"/>
                <w:szCs w:val="21"/>
              </w:rPr>
              <w:t>高级轿车（国宾用车，5座）</w:t>
            </w:r>
          </w:p>
        </w:tc>
        <w:tc>
          <w:tcPr>
            <w:tcW w:w="1436" w:type="dxa"/>
            <w:vAlign w:val="center"/>
          </w:tcPr>
          <w:p w14:paraId="67DFADC9">
            <w:pPr>
              <w:spacing w:line="300" w:lineRule="exact"/>
              <w:jc w:val="center"/>
              <w:rPr>
                <w:rFonts w:ascii="宋体" w:hAnsi="宋体"/>
                <w:szCs w:val="21"/>
              </w:rPr>
            </w:pPr>
            <w:r>
              <w:rPr>
                <w:rFonts w:hint="eastAsia" w:ascii="宋体" w:hAnsi="宋体"/>
                <w:szCs w:val="21"/>
                <w:u w:val="single"/>
              </w:rPr>
              <w:t xml:space="preserve">  辆（含裸车  辆）</w:t>
            </w:r>
          </w:p>
        </w:tc>
        <w:tc>
          <w:tcPr>
            <w:tcW w:w="2605" w:type="dxa"/>
            <w:gridSpan w:val="2"/>
            <w:vAlign w:val="center"/>
          </w:tcPr>
          <w:p w14:paraId="0B1AE352">
            <w:pPr>
              <w:spacing w:line="300" w:lineRule="exact"/>
              <w:jc w:val="center"/>
              <w:rPr>
                <w:rFonts w:hint="eastAsia" w:ascii="宋体" w:hAnsi="宋体"/>
                <w:szCs w:val="21"/>
              </w:rPr>
            </w:pPr>
          </w:p>
        </w:tc>
        <w:tc>
          <w:tcPr>
            <w:tcW w:w="1420" w:type="dxa"/>
            <w:vAlign w:val="center"/>
          </w:tcPr>
          <w:p w14:paraId="218F7877">
            <w:pPr>
              <w:spacing w:line="300" w:lineRule="exact"/>
              <w:jc w:val="center"/>
              <w:rPr>
                <w:rFonts w:ascii="宋体" w:hAnsi="宋体"/>
                <w:szCs w:val="21"/>
              </w:rPr>
            </w:pPr>
            <w:r>
              <w:rPr>
                <w:rFonts w:hint="eastAsia" w:ascii="宋体" w:hAnsi="宋体"/>
                <w:szCs w:val="21"/>
              </w:rPr>
              <w:t>红旗H9</w:t>
            </w:r>
          </w:p>
        </w:tc>
        <w:tc>
          <w:tcPr>
            <w:tcW w:w="1420" w:type="dxa"/>
            <w:vAlign w:val="center"/>
          </w:tcPr>
          <w:p w14:paraId="180D1F23">
            <w:pPr>
              <w:spacing w:line="300" w:lineRule="exact"/>
              <w:jc w:val="left"/>
              <w:rPr>
                <w:rFonts w:ascii="宋体" w:hAnsi="宋体"/>
                <w:szCs w:val="21"/>
              </w:rPr>
            </w:pPr>
            <w:r>
              <w:rPr>
                <w:rFonts w:hint="eastAsia"/>
                <w:szCs w:val="21"/>
              </w:rPr>
              <w:t>裸车，</w:t>
            </w:r>
            <w:r>
              <w:rPr>
                <w:szCs w:val="21"/>
              </w:rPr>
              <w:t>注册年限</w:t>
            </w:r>
            <w:r>
              <w:rPr>
                <w:rFonts w:hint="eastAsia"/>
                <w:szCs w:val="21"/>
              </w:rPr>
              <w:t>3</w:t>
            </w:r>
            <w:r>
              <w:rPr>
                <w:szCs w:val="21"/>
              </w:rPr>
              <w:t>年内</w:t>
            </w:r>
            <w:r>
              <w:rPr>
                <w:rFonts w:hint="eastAsia"/>
                <w:szCs w:val="21"/>
              </w:rPr>
              <w:t>，含车辆专项检测费、异地运输费、专项技术支持费等</w:t>
            </w:r>
          </w:p>
        </w:tc>
      </w:tr>
      <w:tr w14:paraId="6C3334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871" w:type="dxa"/>
            <w:vAlign w:val="center"/>
          </w:tcPr>
          <w:p w14:paraId="4D8D2C48">
            <w:pPr>
              <w:spacing w:line="300" w:lineRule="exact"/>
              <w:jc w:val="center"/>
              <w:rPr>
                <w:rFonts w:ascii="宋体" w:hAnsi="宋体"/>
                <w:szCs w:val="21"/>
              </w:rPr>
            </w:pPr>
            <w:r>
              <w:rPr>
                <w:rFonts w:ascii="宋体" w:hAnsi="宋体"/>
                <w:szCs w:val="21"/>
              </w:rPr>
              <w:t>高级轿车(5座)</w:t>
            </w:r>
          </w:p>
        </w:tc>
        <w:tc>
          <w:tcPr>
            <w:tcW w:w="1436" w:type="dxa"/>
            <w:vAlign w:val="center"/>
          </w:tcPr>
          <w:p w14:paraId="3BE8B2E1">
            <w:pPr>
              <w:spacing w:line="300" w:lineRule="exact"/>
              <w:jc w:val="left"/>
              <w:rPr>
                <w:rFonts w:ascii="宋体" w:hAnsi="宋体"/>
                <w:szCs w:val="21"/>
                <w:u w:val="single"/>
              </w:rPr>
            </w:pPr>
            <w:r>
              <w:rPr>
                <w:rFonts w:hint="eastAsia" w:ascii="宋体" w:hAnsi="宋体"/>
                <w:szCs w:val="21"/>
                <w:u w:val="single"/>
              </w:rPr>
              <w:t xml:space="preserve">  辆（含裸车  辆）</w:t>
            </w:r>
          </w:p>
        </w:tc>
        <w:tc>
          <w:tcPr>
            <w:tcW w:w="2605" w:type="dxa"/>
            <w:gridSpan w:val="2"/>
            <w:vAlign w:val="center"/>
          </w:tcPr>
          <w:p w14:paraId="69232AB7">
            <w:pPr>
              <w:spacing w:line="300" w:lineRule="exact"/>
              <w:jc w:val="center"/>
              <w:rPr>
                <w:rFonts w:ascii="宋体" w:hAnsi="宋体"/>
                <w:szCs w:val="21"/>
              </w:rPr>
            </w:pPr>
          </w:p>
        </w:tc>
        <w:tc>
          <w:tcPr>
            <w:tcW w:w="1420" w:type="dxa"/>
            <w:vAlign w:val="center"/>
          </w:tcPr>
          <w:p w14:paraId="052AAB8A">
            <w:pPr>
              <w:spacing w:line="300" w:lineRule="exact"/>
              <w:jc w:val="center"/>
              <w:rPr>
                <w:rFonts w:ascii="宋体" w:hAnsi="宋体"/>
                <w:szCs w:val="21"/>
              </w:rPr>
            </w:pPr>
            <w:r>
              <w:rPr>
                <w:rFonts w:ascii="宋体" w:hAnsi="宋体"/>
                <w:szCs w:val="21"/>
              </w:rPr>
              <w:t>奥迪A6、奔驰E系列</w:t>
            </w:r>
            <w:r>
              <w:rPr>
                <w:rFonts w:hint="eastAsia" w:ascii="宋体" w:hAnsi="宋体"/>
                <w:szCs w:val="21"/>
              </w:rPr>
              <w:t>及同类车型</w:t>
            </w:r>
          </w:p>
        </w:tc>
        <w:tc>
          <w:tcPr>
            <w:tcW w:w="1420" w:type="dxa"/>
            <w:vAlign w:val="center"/>
          </w:tcPr>
          <w:p w14:paraId="510386AD">
            <w:pPr>
              <w:spacing w:line="300" w:lineRule="exact"/>
              <w:jc w:val="center"/>
              <w:rPr>
                <w:rFonts w:ascii="宋体" w:hAnsi="宋体"/>
                <w:szCs w:val="21"/>
              </w:rPr>
            </w:pPr>
            <w:r>
              <w:rPr>
                <w:rFonts w:ascii="宋体" w:hAnsi="宋体"/>
                <w:szCs w:val="21"/>
              </w:rPr>
              <w:t>注册年限6年内</w:t>
            </w:r>
          </w:p>
          <w:p w14:paraId="0F5287DF">
            <w:pPr>
              <w:spacing w:line="300" w:lineRule="exact"/>
              <w:jc w:val="center"/>
              <w:rPr>
                <w:rFonts w:ascii="宋体" w:hAnsi="宋体"/>
                <w:szCs w:val="21"/>
              </w:rPr>
            </w:pPr>
            <w:r>
              <w:rPr>
                <w:rFonts w:ascii="宋体" w:hAnsi="宋体"/>
                <w:szCs w:val="21"/>
              </w:rPr>
              <w:t>达到营运标准</w:t>
            </w:r>
          </w:p>
        </w:tc>
      </w:tr>
      <w:tr w14:paraId="09A7DC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871" w:type="dxa"/>
            <w:vAlign w:val="center"/>
          </w:tcPr>
          <w:p w14:paraId="0371FF13">
            <w:pPr>
              <w:spacing w:line="300" w:lineRule="exact"/>
              <w:jc w:val="center"/>
              <w:rPr>
                <w:rFonts w:ascii="宋体" w:hAnsi="宋体"/>
                <w:szCs w:val="21"/>
              </w:rPr>
            </w:pPr>
            <w:r>
              <w:rPr>
                <w:rFonts w:ascii="宋体" w:hAnsi="宋体"/>
                <w:szCs w:val="21"/>
              </w:rPr>
              <w:t>中级轿车</w:t>
            </w:r>
          </w:p>
          <w:p w14:paraId="47533705">
            <w:pPr>
              <w:spacing w:line="300" w:lineRule="exact"/>
              <w:jc w:val="center"/>
              <w:rPr>
                <w:rFonts w:ascii="宋体" w:hAnsi="宋体"/>
                <w:szCs w:val="21"/>
              </w:rPr>
            </w:pPr>
            <w:r>
              <w:rPr>
                <w:rFonts w:ascii="宋体" w:hAnsi="宋体"/>
                <w:szCs w:val="21"/>
              </w:rPr>
              <w:t>(5座)</w:t>
            </w:r>
          </w:p>
        </w:tc>
        <w:tc>
          <w:tcPr>
            <w:tcW w:w="1436" w:type="dxa"/>
            <w:vAlign w:val="center"/>
          </w:tcPr>
          <w:p w14:paraId="5E72A0B8">
            <w:pPr>
              <w:spacing w:line="300" w:lineRule="exact"/>
              <w:jc w:val="center"/>
              <w:rPr>
                <w:rFonts w:ascii="宋体" w:hAnsi="宋体"/>
                <w:szCs w:val="21"/>
              </w:rPr>
            </w:pPr>
            <w:r>
              <w:rPr>
                <w:rFonts w:hint="eastAsia" w:ascii="宋体" w:hAnsi="宋体"/>
                <w:szCs w:val="21"/>
                <w:u w:val="single"/>
              </w:rPr>
              <w:t xml:space="preserve">  辆（含裸车  辆）</w:t>
            </w:r>
          </w:p>
        </w:tc>
        <w:tc>
          <w:tcPr>
            <w:tcW w:w="2605" w:type="dxa"/>
            <w:gridSpan w:val="2"/>
            <w:vAlign w:val="center"/>
          </w:tcPr>
          <w:p w14:paraId="6E8C8DE1">
            <w:pPr>
              <w:spacing w:line="300" w:lineRule="exact"/>
              <w:jc w:val="center"/>
              <w:rPr>
                <w:rFonts w:ascii="宋体" w:hAnsi="宋体"/>
                <w:szCs w:val="21"/>
              </w:rPr>
            </w:pPr>
          </w:p>
        </w:tc>
        <w:tc>
          <w:tcPr>
            <w:tcW w:w="1420" w:type="dxa"/>
            <w:vAlign w:val="center"/>
          </w:tcPr>
          <w:p w14:paraId="212BE52E">
            <w:pPr>
              <w:spacing w:line="300" w:lineRule="exact"/>
              <w:jc w:val="center"/>
              <w:rPr>
                <w:rFonts w:ascii="宋体" w:hAnsi="宋体"/>
                <w:szCs w:val="21"/>
              </w:rPr>
            </w:pPr>
            <w:r>
              <w:rPr>
                <w:rFonts w:ascii="宋体" w:hAnsi="宋体"/>
                <w:szCs w:val="21"/>
              </w:rPr>
              <w:t>帕萨特、凯美瑞、天籁</w:t>
            </w:r>
            <w:r>
              <w:rPr>
                <w:rFonts w:hint="eastAsia" w:ascii="宋体" w:hAnsi="宋体"/>
                <w:szCs w:val="21"/>
              </w:rPr>
              <w:t>及同类车型</w:t>
            </w:r>
          </w:p>
        </w:tc>
        <w:tc>
          <w:tcPr>
            <w:tcW w:w="1420" w:type="dxa"/>
            <w:vAlign w:val="center"/>
          </w:tcPr>
          <w:p w14:paraId="2C03D3AE">
            <w:pPr>
              <w:spacing w:line="300" w:lineRule="exact"/>
              <w:jc w:val="center"/>
              <w:rPr>
                <w:rFonts w:ascii="宋体" w:hAnsi="宋体"/>
                <w:szCs w:val="21"/>
              </w:rPr>
            </w:pPr>
            <w:r>
              <w:rPr>
                <w:rFonts w:ascii="宋体" w:hAnsi="宋体"/>
                <w:szCs w:val="21"/>
              </w:rPr>
              <w:t>注册年限6年内</w:t>
            </w:r>
          </w:p>
          <w:p w14:paraId="29DC7601">
            <w:pPr>
              <w:spacing w:line="300" w:lineRule="exact"/>
              <w:jc w:val="center"/>
              <w:rPr>
                <w:rFonts w:ascii="宋体" w:hAnsi="宋体"/>
                <w:szCs w:val="21"/>
              </w:rPr>
            </w:pPr>
            <w:r>
              <w:rPr>
                <w:rFonts w:ascii="宋体" w:hAnsi="宋体"/>
                <w:szCs w:val="21"/>
              </w:rPr>
              <w:t>达到营运标准</w:t>
            </w:r>
          </w:p>
        </w:tc>
      </w:tr>
      <w:tr w14:paraId="358EEE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871" w:type="dxa"/>
            <w:vAlign w:val="center"/>
          </w:tcPr>
          <w:p w14:paraId="07B985EE">
            <w:pPr>
              <w:spacing w:line="300" w:lineRule="exact"/>
              <w:jc w:val="center"/>
              <w:rPr>
                <w:rFonts w:ascii="宋体" w:hAnsi="宋体"/>
                <w:szCs w:val="21"/>
              </w:rPr>
            </w:pPr>
            <w:r>
              <w:rPr>
                <w:rFonts w:ascii="宋体" w:hAnsi="宋体"/>
                <w:szCs w:val="21"/>
              </w:rPr>
              <w:t>商务车</w:t>
            </w:r>
          </w:p>
          <w:p w14:paraId="7353A68B">
            <w:pPr>
              <w:spacing w:line="300" w:lineRule="exact"/>
              <w:jc w:val="center"/>
              <w:rPr>
                <w:rFonts w:ascii="宋体" w:hAnsi="宋体"/>
                <w:szCs w:val="21"/>
              </w:rPr>
            </w:pPr>
            <w:r>
              <w:rPr>
                <w:rFonts w:ascii="宋体" w:hAnsi="宋体"/>
                <w:szCs w:val="21"/>
              </w:rPr>
              <w:t>(7座)</w:t>
            </w:r>
          </w:p>
        </w:tc>
        <w:tc>
          <w:tcPr>
            <w:tcW w:w="1436" w:type="dxa"/>
            <w:vAlign w:val="center"/>
          </w:tcPr>
          <w:p w14:paraId="6B290D57">
            <w:pPr>
              <w:spacing w:line="300" w:lineRule="exact"/>
              <w:jc w:val="center"/>
              <w:rPr>
                <w:rFonts w:ascii="宋体" w:hAnsi="宋体"/>
                <w:szCs w:val="21"/>
              </w:rPr>
            </w:pPr>
            <w:r>
              <w:rPr>
                <w:rFonts w:hint="eastAsia" w:ascii="宋体" w:hAnsi="宋体"/>
                <w:szCs w:val="21"/>
                <w:u w:val="single"/>
              </w:rPr>
              <w:t xml:space="preserve">  辆（含裸车  辆）</w:t>
            </w:r>
          </w:p>
        </w:tc>
        <w:tc>
          <w:tcPr>
            <w:tcW w:w="2605" w:type="dxa"/>
            <w:gridSpan w:val="2"/>
            <w:vAlign w:val="center"/>
          </w:tcPr>
          <w:p w14:paraId="20F1C3B6">
            <w:pPr>
              <w:spacing w:line="300" w:lineRule="exact"/>
              <w:jc w:val="center"/>
              <w:rPr>
                <w:rFonts w:ascii="宋体" w:hAnsi="宋体"/>
                <w:szCs w:val="21"/>
              </w:rPr>
            </w:pPr>
          </w:p>
        </w:tc>
        <w:tc>
          <w:tcPr>
            <w:tcW w:w="1420" w:type="dxa"/>
            <w:vAlign w:val="center"/>
          </w:tcPr>
          <w:p w14:paraId="75EDCF64">
            <w:pPr>
              <w:spacing w:line="300" w:lineRule="exact"/>
              <w:jc w:val="center"/>
              <w:rPr>
                <w:rFonts w:ascii="宋体" w:hAnsi="宋体"/>
                <w:szCs w:val="21"/>
              </w:rPr>
            </w:pPr>
            <w:r>
              <w:rPr>
                <w:rFonts w:ascii="宋体" w:hAnsi="宋体"/>
                <w:szCs w:val="21"/>
              </w:rPr>
              <w:t>别克GL8</w:t>
            </w:r>
            <w:r>
              <w:rPr>
                <w:rFonts w:hint="eastAsia" w:ascii="宋体" w:hAnsi="宋体"/>
                <w:szCs w:val="21"/>
              </w:rPr>
              <w:t>及同类车型</w:t>
            </w:r>
          </w:p>
        </w:tc>
        <w:tc>
          <w:tcPr>
            <w:tcW w:w="1420" w:type="dxa"/>
            <w:vAlign w:val="center"/>
          </w:tcPr>
          <w:p w14:paraId="3F3A2AF6">
            <w:pPr>
              <w:spacing w:line="300" w:lineRule="exact"/>
              <w:jc w:val="center"/>
              <w:rPr>
                <w:rFonts w:ascii="宋体" w:hAnsi="宋体"/>
                <w:szCs w:val="21"/>
              </w:rPr>
            </w:pPr>
            <w:r>
              <w:rPr>
                <w:rFonts w:ascii="宋体" w:hAnsi="宋体"/>
                <w:szCs w:val="21"/>
              </w:rPr>
              <w:t>达到营运标准</w:t>
            </w:r>
          </w:p>
        </w:tc>
      </w:tr>
      <w:tr w14:paraId="100201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trPr>
        <w:tc>
          <w:tcPr>
            <w:tcW w:w="1871" w:type="dxa"/>
            <w:vAlign w:val="center"/>
          </w:tcPr>
          <w:p w14:paraId="4751CB11">
            <w:pPr>
              <w:spacing w:line="300" w:lineRule="exact"/>
              <w:jc w:val="center"/>
              <w:rPr>
                <w:rFonts w:ascii="宋体" w:hAnsi="宋体"/>
                <w:szCs w:val="21"/>
              </w:rPr>
            </w:pPr>
            <w:r>
              <w:rPr>
                <w:rFonts w:ascii="宋体" w:hAnsi="宋体"/>
                <w:szCs w:val="21"/>
              </w:rPr>
              <w:t>轻客</w:t>
            </w:r>
          </w:p>
          <w:p w14:paraId="27E820AC">
            <w:pPr>
              <w:spacing w:line="300" w:lineRule="exact"/>
              <w:jc w:val="center"/>
              <w:rPr>
                <w:rFonts w:ascii="宋体" w:hAnsi="宋体"/>
                <w:szCs w:val="21"/>
              </w:rPr>
            </w:pPr>
            <w:r>
              <w:rPr>
                <w:rFonts w:ascii="宋体" w:hAnsi="宋体"/>
                <w:szCs w:val="21"/>
              </w:rPr>
              <w:t>(8-1</w:t>
            </w:r>
            <w:r>
              <w:rPr>
                <w:rFonts w:hint="eastAsia" w:ascii="宋体" w:hAnsi="宋体"/>
                <w:szCs w:val="21"/>
              </w:rPr>
              <w:t>3</w:t>
            </w:r>
            <w:r>
              <w:rPr>
                <w:rFonts w:ascii="宋体" w:hAnsi="宋体"/>
                <w:szCs w:val="21"/>
              </w:rPr>
              <w:t>座)</w:t>
            </w:r>
          </w:p>
        </w:tc>
        <w:tc>
          <w:tcPr>
            <w:tcW w:w="1436" w:type="dxa"/>
            <w:vAlign w:val="center"/>
          </w:tcPr>
          <w:p w14:paraId="0F3A23A1">
            <w:pPr>
              <w:spacing w:line="300" w:lineRule="exact"/>
              <w:jc w:val="center"/>
              <w:rPr>
                <w:rFonts w:ascii="宋体" w:hAnsi="宋体"/>
                <w:szCs w:val="21"/>
              </w:rPr>
            </w:pPr>
            <w:r>
              <w:rPr>
                <w:rFonts w:hint="eastAsia" w:ascii="宋体" w:hAnsi="宋体"/>
                <w:szCs w:val="21"/>
                <w:u w:val="single"/>
              </w:rPr>
              <w:t xml:space="preserve">  辆（含裸车  辆）</w:t>
            </w:r>
          </w:p>
        </w:tc>
        <w:tc>
          <w:tcPr>
            <w:tcW w:w="2605" w:type="dxa"/>
            <w:gridSpan w:val="2"/>
            <w:vAlign w:val="center"/>
          </w:tcPr>
          <w:p w14:paraId="4475935B">
            <w:pPr>
              <w:spacing w:line="300" w:lineRule="exact"/>
              <w:jc w:val="center"/>
              <w:rPr>
                <w:rFonts w:ascii="宋体" w:hAnsi="宋体"/>
                <w:szCs w:val="21"/>
              </w:rPr>
            </w:pPr>
          </w:p>
        </w:tc>
        <w:tc>
          <w:tcPr>
            <w:tcW w:w="1420" w:type="dxa"/>
            <w:vAlign w:val="center"/>
          </w:tcPr>
          <w:p w14:paraId="6DA2E8EA">
            <w:pPr>
              <w:spacing w:line="300" w:lineRule="exact"/>
              <w:jc w:val="center"/>
              <w:rPr>
                <w:rFonts w:ascii="宋体" w:hAnsi="宋体"/>
                <w:szCs w:val="21"/>
              </w:rPr>
            </w:pPr>
            <w:r>
              <w:rPr>
                <w:rFonts w:ascii="宋体" w:hAnsi="宋体"/>
                <w:szCs w:val="21"/>
              </w:rPr>
              <w:t>海狮</w:t>
            </w:r>
            <w:r>
              <w:rPr>
                <w:rFonts w:hint="eastAsia" w:ascii="宋体" w:hAnsi="宋体"/>
                <w:szCs w:val="21"/>
              </w:rPr>
              <w:t>及同类车型</w:t>
            </w:r>
          </w:p>
        </w:tc>
        <w:tc>
          <w:tcPr>
            <w:tcW w:w="1420" w:type="dxa"/>
            <w:vAlign w:val="center"/>
          </w:tcPr>
          <w:p w14:paraId="1DCE5790">
            <w:pPr>
              <w:spacing w:line="300" w:lineRule="exact"/>
              <w:jc w:val="center"/>
              <w:rPr>
                <w:rFonts w:ascii="宋体" w:hAnsi="宋体"/>
                <w:szCs w:val="21"/>
              </w:rPr>
            </w:pPr>
            <w:r>
              <w:rPr>
                <w:rFonts w:ascii="宋体" w:hAnsi="宋体"/>
                <w:szCs w:val="21"/>
              </w:rPr>
              <w:t>达到客车营运标准</w:t>
            </w:r>
          </w:p>
        </w:tc>
      </w:tr>
      <w:tr w14:paraId="42210C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trPr>
        <w:tc>
          <w:tcPr>
            <w:tcW w:w="1871" w:type="dxa"/>
            <w:vAlign w:val="center"/>
          </w:tcPr>
          <w:p w14:paraId="37F53C8D">
            <w:pPr>
              <w:spacing w:line="300" w:lineRule="exact"/>
              <w:jc w:val="center"/>
              <w:rPr>
                <w:rFonts w:ascii="宋体" w:hAnsi="宋体"/>
                <w:szCs w:val="21"/>
              </w:rPr>
            </w:pPr>
            <w:r>
              <w:rPr>
                <w:rFonts w:ascii="宋体" w:hAnsi="宋体"/>
                <w:szCs w:val="21"/>
              </w:rPr>
              <w:t>中型客车(15-</w:t>
            </w:r>
            <w:r>
              <w:rPr>
                <w:rFonts w:hint="eastAsia" w:ascii="宋体" w:hAnsi="宋体"/>
                <w:szCs w:val="21"/>
              </w:rPr>
              <w:t>23</w:t>
            </w:r>
            <w:r>
              <w:rPr>
                <w:rFonts w:ascii="宋体" w:hAnsi="宋体"/>
                <w:szCs w:val="21"/>
              </w:rPr>
              <w:t>座)</w:t>
            </w:r>
          </w:p>
        </w:tc>
        <w:tc>
          <w:tcPr>
            <w:tcW w:w="1436" w:type="dxa"/>
            <w:vAlign w:val="center"/>
          </w:tcPr>
          <w:p w14:paraId="5620AF15">
            <w:pPr>
              <w:spacing w:line="300" w:lineRule="exact"/>
              <w:jc w:val="center"/>
              <w:rPr>
                <w:rFonts w:ascii="宋体" w:hAnsi="宋体"/>
                <w:szCs w:val="21"/>
              </w:rPr>
            </w:pPr>
            <w:r>
              <w:rPr>
                <w:rFonts w:hint="eastAsia" w:ascii="宋体" w:hAnsi="宋体"/>
                <w:szCs w:val="21"/>
                <w:u w:val="single"/>
              </w:rPr>
              <w:t xml:space="preserve">  辆（含裸车  辆）</w:t>
            </w:r>
          </w:p>
        </w:tc>
        <w:tc>
          <w:tcPr>
            <w:tcW w:w="2605" w:type="dxa"/>
            <w:gridSpan w:val="2"/>
            <w:vAlign w:val="center"/>
          </w:tcPr>
          <w:p w14:paraId="3EE9ABDE">
            <w:pPr>
              <w:spacing w:line="300" w:lineRule="exact"/>
              <w:jc w:val="center"/>
              <w:rPr>
                <w:rFonts w:ascii="宋体" w:hAnsi="宋体"/>
                <w:szCs w:val="21"/>
              </w:rPr>
            </w:pPr>
          </w:p>
        </w:tc>
        <w:tc>
          <w:tcPr>
            <w:tcW w:w="1420" w:type="dxa"/>
            <w:vAlign w:val="center"/>
          </w:tcPr>
          <w:p w14:paraId="25734B6D">
            <w:pPr>
              <w:spacing w:line="300" w:lineRule="exact"/>
              <w:jc w:val="center"/>
              <w:rPr>
                <w:rFonts w:ascii="宋体" w:hAnsi="宋体"/>
                <w:szCs w:val="21"/>
              </w:rPr>
            </w:pPr>
            <w:r>
              <w:rPr>
                <w:rFonts w:ascii="宋体" w:hAnsi="宋体"/>
                <w:szCs w:val="21"/>
              </w:rPr>
              <w:t>考斯特</w:t>
            </w:r>
            <w:r>
              <w:rPr>
                <w:rFonts w:hint="eastAsia" w:ascii="宋体" w:hAnsi="宋体"/>
                <w:szCs w:val="21"/>
              </w:rPr>
              <w:t>及同类车型</w:t>
            </w:r>
          </w:p>
        </w:tc>
        <w:tc>
          <w:tcPr>
            <w:tcW w:w="1420" w:type="dxa"/>
            <w:vAlign w:val="center"/>
          </w:tcPr>
          <w:p w14:paraId="53215E07">
            <w:pPr>
              <w:spacing w:line="300" w:lineRule="exact"/>
              <w:jc w:val="center"/>
              <w:rPr>
                <w:rFonts w:ascii="宋体" w:hAnsi="宋体"/>
                <w:szCs w:val="21"/>
              </w:rPr>
            </w:pPr>
            <w:r>
              <w:rPr>
                <w:rFonts w:ascii="宋体" w:hAnsi="宋体"/>
                <w:szCs w:val="21"/>
              </w:rPr>
              <w:t>达到客车营运标准</w:t>
            </w:r>
          </w:p>
        </w:tc>
      </w:tr>
      <w:tr w14:paraId="6E59DE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trPr>
        <w:tc>
          <w:tcPr>
            <w:tcW w:w="1871" w:type="dxa"/>
            <w:vAlign w:val="center"/>
          </w:tcPr>
          <w:p w14:paraId="08F05CC3">
            <w:pPr>
              <w:spacing w:line="300" w:lineRule="exact"/>
              <w:jc w:val="center"/>
              <w:rPr>
                <w:rFonts w:ascii="宋体" w:hAnsi="宋体"/>
                <w:szCs w:val="21"/>
              </w:rPr>
            </w:pPr>
            <w:r>
              <w:rPr>
                <w:rFonts w:ascii="宋体" w:hAnsi="宋体"/>
                <w:szCs w:val="21"/>
              </w:rPr>
              <w:t>大型客车（35座</w:t>
            </w:r>
            <w:r>
              <w:rPr>
                <w:rFonts w:hint="eastAsia" w:ascii="宋体" w:hAnsi="宋体"/>
                <w:szCs w:val="21"/>
              </w:rPr>
              <w:t>及</w:t>
            </w:r>
            <w:r>
              <w:rPr>
                <w:rFonts w:ascii="宋体" w:hAnsi="宋体"/>
                <w:szCs w:val="21"/>
              </w:rPr>
              <w:t>以上）</w:t>
            </w:r>
          </w:p>
        </w:tc>
        <w:tc>
          <w:tcPr>
            <w:tcW w:w="1436" w:type="dxa"/>
            <w:vAlign w:val="center"/>
          </w:tcPr>
          <w:p w14:paraId="08234763">
            <w:pPr>
              <w:spacing w:line="300" w:lineRule="exact"/>
              <w:jc w:val="center"/>
              <w:rPr>
                <w:rFonts w:ascii="宋体" w:hAnsi="宋体"/>
                <w:szCs w:val="21"/>
              </w:rPr>
            </w:pPr>
            <w:r>
              <w:rPr>
                <w:rFonts w:hint="eastAsia" w:ascii="宋体" w:hAnsi="宋体"/>
                <w:szCs w:val="21"/>
                <w:u w:val="single"/>
              </w:rPr>
              <w:t xml:space="preserve">  辆（含裸车  辆）</w:t>
            </w:r>
          </w:p>
        </w:tc>
        <w:tc>
          <w:tcPr>
            <w:tcW w:w="2605" w:type="dxa"/>
            <w:gridSpan w:val="2"/>
            <w:vAlign w:val="center"/>
          </w:tcPr>
          <w:p w14:paraId="4C764A53">
            <w:pPr>
              <w:spacing w:line="300" w:lineRule="exact"/>
              <w:jc w:val="center"/>
              <w:rPr>
                <w:rFonts w:ascii="宋体" w:hAnsi="宋体"/>
                <w:szCs w:val="21"/>
              </w:rPr>
            </w:pPr>
          </w:p>
        </w:tc>
        <w:tc>
          <w:tcPr>
            <w:tcW w:w="1420" w:type="dxa"/>
            <w:vAlign w:val="center"/>
          </w:tcPr>
          <w:p w14:paraId="710E362E">
            <w:pPr>
              <w:spacing w:line="300" w:lineRule="exact"/>
              <w:jc w:val="center"/>
              <w:rPr>
                <w:rFonts w:ascii="宋体" w:hAnsi="宋体"/>
                <w:szCs w:val="21"/>
              </w:rPr>
            </w:pPr>
            <w:r>
              <w:rPr>
                <w:rFonts w:ascii="宋体" w:hAnsi="宋体"/>
                <w:szCs w:val="21"/>
              </w:rPr>
              <w:t>宇通</w:t>
            </w:r>
            <w:r>
              <w:rPr>
                <w:rFonts w:hint="eastAsia" w:ascii="宋体" w:hAnsi="宋体"/>
                <w:szCs w:val="21"/>
              </w:rPr>
              <w:t>及同类车型</w:t>
            </w:r>
          </w:p>
        </w:tc>
        <w:tc>
          <w:tcPr>
            <w:tcW w:w="1420" w:type="dxa"/>
            <w:vAlign w:val="center"/>
          </w:tcPr>
          <w:p w14:paraId="49416F5B">
            <w:pPr>
              <w:spacing w:line="300" w:lineRule="exact"/>
              <w:jc w:val="center"/>
              <w:rPr>
                <w:rFonts w:ascii="宋体" w:hAnsi="宋体"/>
                <w:szCs w:val="21"/>
              </w:rPr>
            </w:pPr>
            <w:r>
              <w:rPr>
                <w:rFonts w:ascii="宋体" w:hAnsi="宋体"/>
                <w:szCs w:val="21"/>
              </w:rPr>
              <w:t>达到客车营运标准</w:t>
            </w:r>
          </w:p>
        </w:tc>
      </w:tr>
      <w:tr w14:paraId="5158A9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65" w:hRule="atLeast"/>
        </w:trPr>
        <w:tc>
          <w:tcPr>
            <w:tcW w:w="8752" w:type="dxa"/>
            <w:gridSpan w:val="6"/>
            <w:shd w:val="clear" w:color="auto" w:fill="EBF1DE"/>
            <w:vAlign w:val="center"/>
          </w:tcPr>
          <w:p w14:paraId="08BCE2E2">
            <w:pPr>
              <w:spacing w:line="400" w:lineRule="exact"/>
              <w:rPr>
                <w:rFonts w:ascii="宋体" w:hAnsi="宋体"/>
                <w:szCs w:val="21"/>
              </w:rPr>
            </w:pPr>
            <w:r>
              <w:rPr>
                <w:rFonts w:hint="eastAsia" w:ascii="宋体" w:hAnsi="宋体"/>
                <w:b/>
                <w:bCs/>
                <w:szCs w:val="21"/>
              </w:rPr>
              <w:t>1.1.2按次租赁</w:t>
            </w:r>
          </w:p>
        </w:tc>
      </w:tr>
      <w:tr w14:paraId="7F390E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871" w:type="dxa"/>
            <w:vAlign w:val="center"/>
          </w:tcPr>
          <w:p w14:paraId="515F2293">
            <w:pPr>
              <w:spacing w:line="300" w:lineRule="exact"/>
              <w:jc w:val="center"/>
              <w:rPr>
                <w:rFonts w:ascii="宋体" w:hAnsi="宋体"/>
                <w:b/>
                <w:szCs w:val="21"/>
              </w:rPr>
            </w:pPr>
            <w:r>
              <w:rPr>
                <w:rFonts w:ascii="宋体" w:hAnsi="宋体"/>
                <w:b/>
                <w:szCs w:val="21"/>
              </w:rPr>
              <w:t>车辆类别</w:t>
            </w:r>
          </w:p>
        </w:tc>
        <w:tc>
          <w:tcPr>
            <w:tcW w:w="1436" w:type="dxa"/>
            <w:vAlign w:val="center"/>
          </w:tcPr>
          <w:p w14:paraId="49BE4B93">
            <w:pPr>
              <w:spacing w:line="300" w:lineRule="exact"/>
              <w:jc w:val="center"/>
              <w:rPr>
                <w:rFonts w:hint="eastAsia" w:ascii="宋体" w:hAnsi="宋体"/>
                <w:b/>
                <w:szCs w:val="21"/>
              </w:rPr>
            </w:pPr>
            <w:r>
              <w:rPr>
                <w:rFonts w:ascii="宋体" w:hAnsi="宋体"/>
                <w:b/>
                <w:szCs w:val="21"/>
              </w:rPr>
              <w:t>承诺提供数量(辆)</w:t>
            </w:r>
          </w:p>
        </w:tc>
        <w:tc>
          <w:tcPr>
            <w:tcW w:w="1302" w:type="dxa"/>
            <w:vAlign w:val="center"/>
          </w:tcPr>
          <w:p w14:paraId="24662F01">
            <w:pPr>
              <w:spacing w:line="300" w:lineRule="exact"/>
              <w:jc w:val="center"/>
              <w:rPr>
                <w:rFonts w:ascii="宋体" w:hAnsi="宋体"/>
                <w:b/>
                <w:szCs w:val="21"/>
              </w:rPr>
            </w:pPr>
            <w:r>
              <w:rPr>
                <w:rFonts w:hint="eastAsia" w:ascii="宋体" w:hAnsi="宋体"/>
                <w:b/>
                <w:szCs w:val="21"/>
              </w:rPr>
              <w:t>按次租赁含税</w:t>
            </w:r>
            <w:r>
              <w:rPr>
                <w:rFonts w:ascii="宋体" w:hAnsi="宋体"/>
                <w:b/>
                <w:szCs w:val="21"/>
              </w:rPr>
              <w:t>价格</w:t>
            </w:r>
            <w:r>
              <w:rPr>
                <w:rFonts w:hint="eastAsia" w:ascii="宋体" w:hAnsi="宋体"/>
                <w:b/>
                <w:szCs w:val="21"/>
              </w:rPr>
              <w:t>（用车时长≤2小时）</w:t>
            </w:r>
          </w:p>
        </w:tc>
        <w:tc>
          <w:tcPr>
            <w:tcW w:w="1303" w:type="dxa"/>
            <w:vAlign w:val="center"/>
          </w:tcPr>
          <w:p w14:paraId="7F2602B7">
            <w:pPr>
              <w:spacing w:line="300" w:lineRule="exact"/>
              <w:jc w:val="center"/>
              <w:rPr>
                <w:rFonts w:hint="eastAsia" w:ascii="宋体" w:hAnsi="宋体"/>
                <w:b/>
                <w:szCs w:val="21"/>
              </w:rPr>
            </w:pPr>
            <w:r>
              <w:rPr>
                <w:rFonts w:hint="eastAsia" w:ascii="宋体" w:hAnsi="宋体"/>
                <w:b/>
                <w:szCs w:val="21"/>
              </w:rPr>
              <w:t>按次租赁含税</w:t>
            </w:r>
            <w:r>
              <w:rPr>
                <w:rFonts w:ascii="宋体" w:hAnsi="宋体"/>
                <w:b/>
                <w:szCs w:val="21"/>
              </w:rPr>
              <w:t>价格</w:t>
            </w:r>
            <w:r>
              <w:rPr>
                <w:rFonts w:hint="eastAsia" w:ascii="宋体" w:hAnsi="宋体"/>
                <w:b/>
                <w:szCs w:val="21"/>
              </w:rPr>
              <w:t>（2小时＜用车时长≤5小时）</w:t>
            </w:r>
          </w:p>
        </w:tc>
        <w:tc>
          <w:tcPr>
            <w:tcW w:w="1420" w:type="dxa"/>
            <w:vAlign w:val="center"/>
          </w:tcPr>
          <w:p w14:paraId="70432003">
            <w:pPr>
              <w:spacing w:line="300" w:lineRule="exact"/>
              <w:jc w:val="center"/>
              <w:rPr>
                <w:rFonts w:ascii="宋体" w:hAnsi="宋体"/>
                <w:b/>
                <w:szCs w:val="21"/>
              </w:rPr>
            </w:pPr>
            <w:r>
              <w:rPr>
                <w:rFonts w:ascii="宋体" w:hAnsi="宋体"/>
                <w:b/>
                <w:szCs w:val="21"/>
              </w:rPr>
              <w:t>车型</w:t>
            </w:r>
          </w:p>
        </w:tc>
        <w:tc>
          <w:tcPr>
            <w:tcW w:w="1420" w:type="dxa"/>
            <w:vAlign w:val="center"/>
          </w:tcPr>
          <w:p w14:paraId="5A3004E8">
            <w:pPr>
              <w:spacing w:line="300" w:lineRule="exact"/>
              <w:jc w:val="center"/>
              <w:rPr>
                <w:rFonts w:ascii="宋体" w:hAnsi="宋体"/>
                <w:b/>
                <w:szCs w:val="21"/>
              </w:rPr>
            </w:pPr>
            <w:r>
              <w:rPr>
                <w:rFonts w:ascii="宋体" w:hAnsi="宋体"/>
                <w:b/>
                <w:szCs w:val="21"/>
              </w:rPr>
              <w:t>备注</w:t>
            </w:r>
          </w:p>
        </w:tc>
      </w:tr>
      <w:tr w14:paraId="16D108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871" w:type="dxa"/>
            <w:vAlign w:val="center"/>
          </w:tcPr>
          <w:p w14:paraId="4AFA86A0">
            <w:pPr>
              <w:spacing w:line="300" w:lineRule="exact"/>
              <w:jc w:val="center"/>
              <w:rPr>
                <w:rFonts w:ascii="宋体" w:hAnsi="宋体"/>
                <w:szCs w:val="21"/>
              </w:rPr>
            </w:pPr>
            <w:r>
              <w:rPr>
                <w:rFonts w:hint="eastAsia" w:ascii="宋体" w:hAnsi="宋体"/>
                <w:szCs w:val="21"/>
              </w:rPr>
              <w:t>高级轿车（国宾用车，5座）</w:t>
            </w:r>
          </w:p>
        </w:tc>
        <w:tc>
          <w:tcPr>
            <w:tcW w:w="1436" w:type="dxa"/>
            <w:vAlign w:val="center"/>
          </w:tcPr>
          <w:p w14:paraId="080B772E">
            <w:pPr>
              <w:spacing w:line="300" w:lineRule="exact"/>
              <w:jc w:val="center"/>
              <w:rPr>
                <w:rFonts w:hint="eastAsia" w:ascii="宋体" w:hAnsi="宋体"/>
                <w:szCs w:val="21"/>
              </w:rPr>
            </w:pPr>
            <w:r>
              <w:rPr>
                <w:rFonts w:hint="eastAsia" w:ascii="宋体" w:hAnsi="宋体"/>
                <w:szCs w:val="21"/>
                <w:u w:val="single"/>
              </w:rPr>
              <w:t xml:space="preserve">  辆（含裸车  辆）</w:t>
            </w:r>
          </w:p>
        </w:tc>
        <w:tc>
          <w:tcPr>
            <w:tcW w:w="1302" w:type="dxa"/>
            <w:vAlign w:val="center"/>
          </w:tcPr>
          <w:p w14:paraId="3AE7C507">
            <w:pPr>
              <w:spacing w:line="300" w:lineRule="exact"/>
              <w:jc w:val="center"/>
              <w:rPr>
                <w:rFonts w:ascii="宋体" w:hAnsi="宋体"/>
                <w:szCs w:val="21"/>
              </w:rPr>
            </w:pPr>
            <w:r>
              <w:rPr>
                <w:rFonts w:hint="eastAsia" w:ascii="宋体" w:hAnsi="宋体"/>
                <w:szCs w:val="21"/>
              </w:rPr>
              <w:t>/</w:t>
            </w:r>
          </w:p>
        </w:tc>
        <w:tc>
          <w:tcPr>
            <w:tcW w:w="1303" w:type="dxa"/>
            <w:vAlign w:val="center"/>
          </w:tcPr>
          <w:p w14:paraId="687E628D">
            <w:pPr>
              <w:spacing w:line="300" w:lineRule="exact"/>
              <w:jc w:val="center"/>
              <w:rPr>
                <w:rFonts w:ascii="宋体" w:hAnsi="宋体"/>
                <w:szCs w:val="21"/>
              </w:rPr>
            </w:pPr>
            <w:r>
              <w:rPr>
                <w:rFonts w:hint="eastAsia" w:ascii="宋体" w:hAnsi="宋体"/>
                <w:szCs w:val="21"/>
              </w:rPr>
              <w:t>/</w:t>
            </w:r>
          </w:p>
        </w:tc>
        <w:tc>
          <w:tcPr>
            <w:tcW w:w="1420" w:type="dxa"/>
            <w:vAlign w:val="center"/>
          </w:tcPr>
          <w:p w14:paraId="5397A03A">
            <w:pPr>
              <w:spacing w:line="300" w:lineRule="exact"/>
              <w:jc w:val="center"/>
              <w:rPr>
                <w:rFonts w:ascii="宋体" w:hAnsi="宋体"/>
                <w:szCs w:val="21"/>
              </w:rPr>
            </w:pPr>
            <w:r>
              <w:rPr>
                <w:rFonts w:hint="eastAsia" w:ascii="宋体" w:hAnsi="宋体"/>
                <w:szCs w:val="21"/>
              </w:rPr>
              <w:t>红旗H9</w:t>
            </w:r>
          </w:p>
        </w:tc>
        <w:tc>
          <w:tcPr>
            <w:tcW w:w="1420" w:type="dxa"/>
            <w:vAlign w:val="center"/>
          </w:tcPr>
          <w:p w14:paraId="7AEAA536">
            <w:pPr>
              <w:spacing w:line="300" w:lineRule="exact"/>
              <w:jc w:val="left"/>
              <w:rPr>
                <w:rFonts w:ascii="宋体" w:hAnsi="宋体"/>
                <w:szCs w:val="21"/>
              </w:rPr>
            </w:pPr>
            <w:r>
              <w:rPr>
                <w:rFonts w:hint="eastAsia"/>
                <w:szCs w:val="21"/>
              </w:rPr>
              <w:t>裸车，</w:t>
            </w:r>
            <w:r>
              <w:rPr>
                <w:szCs w:val="21"/>
              </w:rPr>
              <w:t>注册年限</w:t>
            </w:r>
            <w:r>
              <w:rPr>
                <w:rFonts w:hint="eastAsia"/>
                <w:szCs w:val="21"/>
              </w:rPr>
              <w:t>3</w:t>
            </w:r>
            <w:r>
              <w:rPr>
                <w:szCs w:val="21"/>
              </w:rPr>
              <w:t>年内</w:t>
            </w:r>
            <w:r>
              <w:rPr>
                <w:rFonts w:hint="eastAsia"/>
                <w:szCs w:val="21"/>
              </w:rPr>
              <w:t>，含车辆专项检测费、异地运输费、专项技术支持费等</w:t>
            </w:r>
          </w:p>
        </w:tc>
      </w:tr>
      <w:tr w14:paraId="0239A3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871" w:type="dxa"/>
            <w:vAlign w:val="center"/>
          </w:tcPr>
          <w:p w14:paraId="6C325346">
            <w:pPr>
              <w:spacing w:line="300" w:lineRule="exact"/>
              <w:jc w:val="center"/>
              <w:rPr>
                <w:rFonts w:ascii="宋体" w:hAnsi="宋体"/>
                <w:szCs w:val="21"/>
              </w:rPr>
            </w:pPr>
            <w:r>
              <w:rPr>
                <w:rFonts w:ascii="宋体" w:hAnsi="宋体"/>
                <w:szCs w:val="21"/>
              </w:rPr>
              <w:t>高级轿车(5座)</w:t>
            </w:r>
          </w:p>
        </w:tc>
        <w:tc>
          <w:tcPr>
            <w:tcW w:w="1436" w:type="dxa"/>
            <w:vAlign w:val="center"/>
          </w:tcPr>
          <w:p w14:paraId="61B18A7B">
            <w:pPr>
              <w:spacing w:line="300" w:lineRule="exact"/>
              <w:jc w:val="left"/>
              <w:rPr>
                <w:rFonts w:hint="eastAsia" w:ascii="宋体" w:hAnsi="宋体"/>
                <w:szCs w:val="21"/>
                <w:u w:val="single"/>
              </w:rPr>
            </w:pPr>
            <w:r>
              <w:rPr>
                <w:rFonts w:hint="eastAsia" w:ascii="宋体" w:hAnsi="宋体"/>
                <w:szCs w:val="21"/>
                <w:u w:val="single"/>
              </w:rPr>
              <w:t xml:space="preserve">  辆（含裸车  辆）</w:t>
            </w:r>
          </w:p>
        </w:tc>
        <w:tc>
          <w:tcPr>
            <w:tcW w:w="1302" w:type="dxa"/>
            <w:vAlign w:val="center"/>
          </w:tcPr>
          <w:p w14:paraId="731A79CE">
            <w:pPr>
              <w:spacing w:line="300" w:lineRule="exact"/>
              <w:jc w:val="center"/>
              <w:rPr>
                <w:rFonts w:ascii="宋体" w:hAnsi="宋体"/>
                <w:szCs w:val="21"/>
              </w:rPr>
            </w:pPr>
          </w:p>
        </w:tc>
        <w:tc>
          <w:tcPr>
            <w:tcW w:w="1303" w:type="dxa"/>
            <w:vAlign w:val="center"/>
          </w:tcPr>
          <w:p w14:paraId="59BFCDF8">
            <w:pPr>
              <w:spacing w:line="300" w:lineRule="exact"/>
              <w:jc w:val="center"/>
              <w:rPr>
                <w:rFonts w:ascii="宋体" w:hAnsi="宋体"/>
                <w:szCs w:val="21"/>
              </w:rPr>
            </w:pPr>
          </w:p>
        </w:tc>
        <w:tc>
          <w:tcPr>
            <w:tcW w:w="1420" w:type="dxa"/>
            <w:vAlign w:val="center"/>
          </w:tcPr>
          <w:p w14:paraId="2E4D7FEE">
            <w:pPr>
              <w:spacing w:line="300" w:lineRule="exact"/>
              <w:jc w:val="center"/>
              <w:rPr>
                <w:rFonts w:ascii="宋体" w:hAnsi="宋体"/>
                <w:szCs w:val="21"/>
              </w:rPr>
            </w:pPr>
            <w:r>
              <w:rPr>
                <w:rFonts w:ascii="宋体" w:hAnsi="宋体"/>
                <w:szCs w:val="21"/>
              </w:rPr>
              <w:t>奥迪A6、奔驰E系列</w:t>
            </w:r>
            <w:r>
              <w:rPr>
                <w:rFonts w:hint="eastAsia" w:ascii="宋体" w:hAnsi="宋体"/>
                <w:szCs w:val="21"/>
              </w:rPr>
              <w:t>及同类车型</w:t>
            </w:r>
          </w:p>
        </w:tc>
        <w:tc>
          <w:tcPr>
            <w:tcW w:w="1420" w:type="dxa"/>
            <w:vAlign w:val="center"/>
          </w:tcPr>
          <w:p w14:paraId="6E31A952">
            <w:pPr>
              <w:spacing w:line="300" w:lineRule="exact"/>
              <w:jc w:val="center"/>
              <w:rPr>
                <w:rFonts w:ascii="宋体" w:hAnsi="宋体"/>
                <w:szCs w:val="21"/>
              </w:rPr>
            </w:pPr>
            <w:r>
              <w:rPr>
                <w:rFonts w:ascii="宋体" w:hAnsi="宋体"/>
                <w:szCs w:val="21"/>
              </w:rPr>
              <w:t>注册年限6年内</w:t>
            </w:r>
            <w:r>
              <w:rPr>
                <w:rFonts w:hint="eastAsia" w:ascii="宋体" w:hAnsi="宋体"/>
                <w:szCs w:val="21"/>
              </w:rPr>
              <w:t>，</w:t>
            </w:r>
            <w:r>
              <w:rPr>
                <w:rFonts w:ascii="宋体" w:hAnsi="宋体"/>
                <w:szCs w:val="21"/>
              </w:rPr>
              <w:t>达到营运标准</w:t>
            </w:r>
          </w:p>
        </w:tc>
      </w:tr>
      <w:tr w14:paraId="7BA11A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871" w:type="dxa"/>
            <w:vAlign w:val="center"/>
          </w:tcPr>
          <w:p w14:paraId="7834EC73">
            <w:pPr>
              <w:spacing w:line="300" w:lineRule="exact"/>
              <w:jc w:val="center"/>
              <w:rPr>
                <w:rFonts w:ascii="宋体" w:hAnsi="宋体"/>
                <w:szCs w:val="21"/>
              </w:rPr>
            </w:pPr>
            <w:r>
              <w:rPr>
                <w:rFonts w:ascii="宋体" w:hAnsi="宋体"/>
                <w:szCs w:val="21"/>
              </w:rPr>
              <w:t>中级轿车</w:t>
            </w:r>
          </w:p>
          <w:p w14:paraId="215FFD74">
            <w:pPr>
              <w:spacing w:line="300" w:lineRule="exact"/>
              <w:jc w:val="center"/>
              <w:rPr>
                <w:rFonts w:ascii="宋体" w:hAnsi="宋体"/>
                <w:szCs w:val="21"/>
              </w:rPr>
            </w:pPr>
            <w:r>
              <w:rPr>
                <w:rFonts w:ascii="宋体" w:hAnsi="宋体"/>
                <w:szCs w:val="21"/>
              </w:rPr>
              <w:t>(5座)</w:t>
            </w:r>
          </w:p>
        </w:tc>
        <w:tc>
          <w:tcPr>
            <w:tcW w:w="1436" w:type="dxa"/>
            <w:vAlign w:val="center"/>
          </w:tcPr>
          <w:p w14:paraId="7A8B177D">
            <w:pPr>
              <w:spacing w:line="300" w:lineRule="exact"/>
              <w:jc w:val="center"/>
              <w:rPr>
                <w:rFonts w:hint="eastAsia" w:ascii="宋体" w:hAnsi="宋体"/>
                <w:szCs w:val="21"/>
              </w:rPr>
            </w:pPr>
            <w:r>
              <w:rPr>
                <w:rFonts w:hint="eastAsia" w:ascii="宋体" w:hAnsi="宋体"/>
                <w:szCs w:val="21"/>
                <w:u w:val="single"/>
              </w:rPr>
              <w:t xml:space="preserve">  辆（含裸车  辆）</w:t>
            </w:r>
          </w:p>
        </w:tc>
        <w:tc>
          <w:tcPr>
            <w:tcW w:w="1302" w:type="dxa"/>
            <w:vAlign w:val="center"/>
          </w:tcPr>
          <w:p w14:paraId="45111A22">
            <w:pPr>
              <w:spacing w:line="300" w:lineRule="exact"/>
              <w:jc w:val="center"/>
              <w:rPr>
                <w:rFonts w:ascii="宋体" w:hAnsi="宋体"/>
                <w:szCs w:val="21"/>
              </w:rPr>
            </w:pPr>
          </w:p>
        </w:tc>
        <w:tc>
          <w:tcPr>
            <w:tcW w:w="1303" w:type="dxa"/>
            <w:vAlign w:val="center"/>
          </w:tcPr>
          <w:p w14:paraId="3C2470C7">
            <w:pPr>
              <w:spacing w:line="300" w:lineRule="exact"/>
              <w:jc w:val="center"/>
              <w:rPr>
                <w:rFonts w:ascii="宋体" w:hAnsi="宋体"/>
                <w:szCs w:val="21"/>
              </w:rPr>
            </w:pPr>
          </w:p>
        </w:tc>
        <w:tc>
          <w:tcPr>
            <w:tcW w:w="1420" w:type="dxa"/>
            <w:vAlign w:val="center"/>
          </w:tcPr>
          <w:p w14:paraId="5D0767BF">
            <w:pPr>
              <w:spacing w:line="300" w:lineRule="exact"/>
              <w:jc w:val="center"/>
              <w:rPr>
                <w:rFonts w:ascii="宋体" w:hAnsi="宋体"/>
                <w:szCs w:val="21"/>
              </w:rPr>
            </w:pPr>
            <w:r>
              <w:rPr>
                <w:rFonts w:ascii="宋体" w:hAnsi="宋体"/>
                <w:szCs w:val="21"/>
              </w:rPr>
              <w:t>帕萨特、凯美瑞、天籁</w:t>
            </w:r>
            <w:r>
              <w:rPr>
                <w:rFonts w:hint="eastAsia" w:ascii="宋体" w:hAnsi="宋体"/>
                <w:szCs w:val="21"/>
              </w:rPr>
              <w:t>及同类车型</w:t>
            </w:r>
          </w:p>
        </w:tc>
        <w:tc>
          <w:tcPr>
            <w:tcW w:w="1420" w:type="dxa"/>
            <w:vAlign w:val="center"/>
          </w:tcPr>
          <w:p w14:paraId="0023E1FB">
            <w:pPr>
              <w:spacing w:line="300" w:lineRule="exact"/>
              <w:jc w:val="center"/>
              <w:rPr>
                <w:rFonts w:ascii="宋体" w:hAnsi="宋体"/>
                <w:szCs w:val="21"/>
              </w:rPr>
            </w:pPr>
            <w:r>
              <w:rPr>
                <w:rFonts w:ascii="宋体" w:hAnsi="宋体"/>
                <w:szCs w:val="21"/>
              </w:rPr>
              <w:t>注册年限6年内</w:t>
            </w:r>
            <w:r>
              <w:rPr>
                <w:rFonts w:hint="eastAsia" w:ascii="宋体" w:hAnsi="宋体"/>
                <w:szCs w:val="21"/>
              </w:rPr>
              <w:t>，</w:t>
            </w:r>
            <w:r>
              <w:rPr>
                <w:rFonts w:ascii="宋体" w:hAnsi="宋体"/>
                <w:szCs w:val="21"/>
              </w:rPr>
              <w:t>达到营运标准</w:t>
            </w:r>
          </w:p>
        </w:tc>
      </w:tr>
      <w:tr w14:paraId="5906FF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871" w:type="dxa"/>
            <w:vAlign w:val="center"/>
          </w:tcPr>
          <w:p w14:paraId="6E8727B1">
            <w:pPr>
              <w:spacing w:line="300" w:lineRule="exact"/>
              <w:jc w:val="center"/>
              <w:rPr>
                <w:rFonts w:ascii="宋体" w:hAnsi="宋体"/>
                <w:szCs w:val="21"/>
              </w:rPr>
            </w:pPr>
            <w:r>
              <w:rPr>
                <w:rFonts w:ascii="宋体" w:hAnsi="宋体"/>
                <w:szCs w:val="21"/>
              </w:rPr>
              <w:t>商务车</w:t>
            </w:r>
          </w:p>
          <w:p w14:paraId="520AA91C">
            <w:pPr>
              <w:spacing w:line="300" w:lineRule="exact"/>
              <w:jc w:val="center"/>
              <w:rPr>
                <w:rFonts w:ascii="宋体" w:hAnsi="宋体"/>
                <w:szCs w:val="21"/>
              </w:rPr>
            </w:pPr>
            <w:r>
              <w:rPr>
                <w:rFonts w:ascii="宋体" w:hAnsi="宋体"/>
                <w:szCs w:val="21"/>
              </w:rPr>
              <w:t>(7座)</w:t>
            </w:r>
          </w:p>
        </w:tc>
        <w:tc>
          <w:tcPr>
            <w:tcW w:w="1436" w:type="dxa"/>
            <w:vAlign w:val="center"/>
          </w:tcPr>
          <w:p w14:paraId="7E068217">
            <w:pPr>
              <w:spacing w:line="300" w:lineRule="exact"/>
              <w:jc w:val="center"/>
              <w:rPr>
                <w:rFonts w:hint="eastAsia" w:ascii="宋体" w:hAnsi="宋体"/>
                <w:szCs w:val="21"/>
              </w:rPr>
            </w:pPr>
            <w:r>
              <w:rPr>
                <w:rFonts w:hint="eastAsia" w:ascii="宋体" w:hAnsi="宋体"/>
                <w:szCs w:val="21"/>
                <w:u w:val="single"/>
              </w:rPr>
              <w:t xml:space="preserve">  辆（含裸车  辆）</w:t>
            </w:r>
          </w:p>
        </w:tc>
        <w:tc>
          <w:tcPr>
            <w:tcW w:w="1302" w:type="dxa"/>
            <w:vAlign w:val="center"/>
          </w:tcPr>
          <w:p w14:paraId="5AB9B446">
            <w:pPr>
              <w:spacing w:line="300" w:lineRule="exact"/>
              <w:jc w:val="center"/>
              <w:rPr>
                <w:rFonts w:ascii="宋体" w:hAnsi="宋体"/>
                <w:szCs w:val="21"/>
              </w:rPr>
            </w:pPr>
          </w:p>
        </w:tc>
        <w:tc>
          <w:tcPr>
            <w:tcW w:w="1303" w:type="dxa"/>
            <w:vAlign w:val="center"/>
          </w:tcPr>
          <w:p w14:paraId="2145CE74">
            <w:pPr>
              <w:spacing w:line="300" w:lineRule="exact"/>
              <w:jc w:val="center"/>
              <w:rPr>
                <w:rFonts w:ascii="宋体" w:hAnsi="宋体"/>
                <w:szCs w:val="21"/>
              </w:rPr>
            </w:pPr>
          </w:p>
        </w:tc>
        <w:tc>
          <w:tcPr>
            <w:tcW w:w="1420" w:type="dxa"/>
            <w:vAlign w:val="center"/>
          </w:tcPr>
          <w:p w14:paraId="0E0DF6A2">
            <w:pPr>
              <w:spacing w:line="300" w:lineRule="exact"/>
              <w:jc w:val="center"/>
              <w:rPr>
                <w:rFonts w:ascii="宋体" w:hAnsi="宋体"/>
                <w:szCs w:val="21"/>
              </w:rPr>
            </w:pPr>
            <w:r>
              <w:rPr>
                <w:rFonts w:ascii="宋体" w:hAnsi="宋体"/>
                <w:szCs w:val="21"/>
              </w:rPr>
              <w:t>别克GL8</w:t>
            </w:r>
            <w:r>
              <w:rPr>
                <w:rFonts w:hint="eastAsia" w:ascii="宋体" w:hAnsi="宋体"/>
                <w:szCs w:val="21"/>
              </w:rPr>
              <w:t>及同类车型</w:t>
            </w:r>
          </w:p>
        </w:tc>
        <w:tc>
          <w:tcPr>
            <w:tcW w:w="1420" w:type="dxa"/>
            <w:vAlign w:val="center"/>
          </w:tcPr>
          <w:p w14:paraId="48BB6B0F">
            <w:pPr>
              <w:spacing w:line="300" w:lineRule="exact"/>
              <w:jc w:val="center"/>
              <w:rPr>
                <w:rFonts w:ascii="宋体" w:hAnsi="宋体"/>
                <w:szCs w:val="21"/>
              </w:rPr>
            </w:pPr>
            <w:r>
              <w:rPr>
                <w:rFonts w:ascii="宋体" w:hAnsi="宋体"/>
                <w:szCs w:val="21"/>
              </w:rPr>
              <w:t>达到营运标准</w:t>
            </w:r>
          </w:p>
        </w:tc>
      </w:tr>
      <w:tr w14:paraId="48B12A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trPr>
        <w:tc>
          <w:tcPr>
            <w:tcW w:w="1871" w:type="dxa"/>
            <w:vAlign w:val="center"/>
          </w:tcPr>
          <w:p w14:paraId="7C92537D">
            <w:pPr>
              <w:spacing w:line="300" w:lineRule="exact"/>
              <w:jc w:val="center"/>
              <w:rPr>
                <w:rFonts w:ascii="宋体" w:hAnsi="宋体"/>
                <w:szCs w:val="21"/>
              </w:rPr>
            </w:pPr>
            <w:r>
              <w:rPr>
                <w:rFonts w:ascii="宋体" w:hAnsi="宋体"/>
                <w:szCs w:val="21"/>
              </w:rPr>
              <w:t>轻客</w:t>
            </w:r>
          </w:p>
          <w:p w14:paraId="1499E7EF">
            <w:pPr>
              <w:spacing w:line="300" w:lineRule="exact"/>
              <w:jc w:val="center"/>
              <w:rPr>
                <w:rFonts w:ascii="宋体" w:hAnsi="宋体"/>
                <w:szCs w:val="21"/>
              </w:rPr>
            </w:pPr>
            <w:r>
              <w:rPr>
                <w:rFonts w:ascii="宋体" w:hAnsi="宋体"/>
                <w:szCs w:val="21"/>
              </w:rPr>
              <w:t>(8-1</w:t>
            </w:r>
            <w:r>
              <w:rPr>
                <w:rFonts w:hint="eastAsia" w:ascii="宋体" w:hAnsi="宋体"/>
                <w:szCs w:val="21"/>
              </w:rPr>
              <w:t>3</w:t>
            </w:r>
            <w:r>
              <w:rPr>
                <w:rFonts w:ascii="宋体" w:hAnsi="宋体"/>
                <w:szCs w:val="21"/>
              </w:rPr>
              <w:t>座)</w:t>
            </w:r>
          </w:p>
        </w:tc>
        <w:tc>
          <w:tcPr>
            <w:tcW w:w="1436" w:type="dxa"/>
            <w:vAlign w:val="center"/>
          </w:tcPr>
          <w:p w14:paraId="6F6389AC">
            <w:pPr>
              <w:spacing w:line="300" w:lineRule="exact"/>
              <w:jc w:val="center"/>
              <w:rPr>
                <w:rFonts w:hint="eastAsia" w:ascii="宋体" w:hAnsi="宋体"/>
                <w:szCs w:val="21"/>
              </w:rPr>
            </w:pPr>
            <w:r>
              <w:rPr>
                <w:rFonts w:hint="eastAsia" w:ascii="宋体" w:hAnsi="宋体"/>
                <w:szCs w:val="21"/>
                <w:u w:val="single"/>
              </w:rPr>
              <w:t xml:space="preserve">  辆（含裸车  辆）</w:t>
            </w:r>
          </w:p>
        </w:tc>
        <w:tc>
          <w:tcPr>
            <w:tcW w:w="1302" w:type="dxa"/>
            <w:vAlign w:val="center"/>
          </w:tcPr>
          <w:p w14:paraId="58A5811F">
            <w:pPr>
              <w:spacing w:line="300" w:lineRule="exact"/>
              <w:jc w:val="center"/>
              <w:rPr>
                <w:rFonts w:ascii="宋体" w:hAnsi="宋体"/>
                <w:szCs w:val="21"/>
              </w:rPr>
            </w:pPr>
          </w:p>
        </w:tc>
        <w:tc>
          <w:tcPr>
            <w:tcW w:w="1303" w:type="dxa"/>
            <w:vAlign w:val="center"/>
          </w:tcPr>
          <w:p w14:paraId="605762FE">
            <w:pPr>
              <w:spacing w:line="300" w:lineRule="exact"/>
              <w:jc w:val="center"/>
              <w:rPr>
                <w:rFonts w:ascii="宋体" w:hAnsi="宋体"/>
                <w:szCs w:val="21"/>
              </w:rPr>
            </w:pPr>
          </w:p>
        </w:tc>
        <w:tc>
          <w:tcPr>
            <w:tcW w:w="1420" w:type="dxa"/>
            <w:vAlign w:val="center"/>
          </w:tcPr>
          <w:p w14:paraId="137D9739">
            <w:pPr>
              <w:spacing w:line="300" w:lineRule="exact"/>
              <w:jc w:val="center"/>
              <w:rPr>
                <w:rFonts w:ascii="宋体" w:hAnsi="宋体"/>
                <w:szCs w:val="21"/>
              </w:rPr>
            </w:pPr>
            <w:r>
              <w:rPr>
                <w:rFonts w:ascii="宋体" w:hAnsi="宋体"/>
                <w:szCs w:val="21"/>
              </w:rPr>
              <w:t>海狮</w:t>
            </w:r>
            <w:r>
              <w:rPr>
                <w:rFonts w:hint="eastAsia" w:ascii="宋体" w:hAnsi="宋体"/>
                <w:szCs w:val="21"/>
              </w:rPr>
              <w:t>及同类车型</w:t>
            </w:r>
          </w:p>
        </w:tc>
        <w:tc>
          <w:tcPr>
            <w:tcW w:w="1420" w:type="dxa"/>
            <w:vAlign w:val="center"/>
          </w:tcPr>
          <w:p w14:paraId="541F1D3A">
            <w:pPr>
              <w:spacing w:line="300" w:lineRule="exact"/>
              <w:jc w:val="center"/>
              <w:rPr>
                <w:rFonts w:ascii="宋体" w:hAnsi="宋体"/>
                <w:szCs w:val="21"/>
              </w:rPr>
            </w:pPr>
            <w:r>
              <w:rPr>
                <w:rFonts w:ascii="宋体" w:hAnsi="宋体"/>
                <w:szCs w:val="21"/>
              </w:rPr>
              <w:t>达到客车营运标准</w:t>
            </w:r>
          </w:p>
        </w:tc>
      </w:tr>
      <w:tr w14:paraId="2C150C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trPr>
        <w:tc>
          <w:tcPr>
            <w:tcW w:w="1871" w:type="dxa"/>
            <w:vAlign w:val="center"/>
          </w:tcPr>
          <w:p w14:paraId="4FC25BDF">
            <w:pPr>
              <w:spacing w:line="300" w:lineRule="exact"/>
              <w:jc w:val="center"/>
              <w:rPr>
                <w:rFonts w:ascii="宋体" w:hAnsi="宋体"/>
                <w:szCs w:val="21"/>
              </w:rPr>
            </w:pPr>
            <w:r>
              <w:rPr>
                <w:rFonts w:ascii="宋体" w:hAnsi="宋体"/>
                <w:szCs w:val="21"/>
              </w:rPr>
              <w:t>中型客车(15-</w:t>
            </w:r>
            <w:r>
              <w:rPr>
                <w:rFonts w:hint="eastAsia" w:ascii="宋体" w:hAnsi="宋体"/>
                <w:szCs w:val="21"/>
              </w:rPr>
              <w:t>23</w:t>
            </w:r>
            <w:r>
              <w:rPr>
                <w:rFonts w:ascii="宋体" w:hAnsi="宋体"/>
                <w:szCs w:val="21"/>
              </w:rPr>
              <w:t>座)</w:t>
            </w:r>
          </w:p>
        </w:tc>
        <w:tc>
          <w:tcPr>
            <w:tcW w:w="1436" w:type="dxa"/>
            <w:vAlign w:val="center"/>
          </w:tcPr>
          <w:p w14:paraId="6E4B5C77">
            <w:pPr>
              <w:spacing w:line="300" w:lineRule="exact"/>
              <w:jc w:val="center"/>
              <w:rPr>
                <w:rFonts w:hint="eastAsia" w:ascii="宋体" w:hAnsi="宋体"/>
                <w:szCs w:val="21"/>
              </w:rPr>
            </w:pPr>
            <w:r>
              <w:rPr>
                <w:rFonts w:hint="eastAsia" w:ascii="宋体" w:hAnsi="宋体"/>
                <w:szCs w:val="21"/>
                <w:u w:val="single"/>
              </w:rPr>
              <w:t xml:space="preserve">  辆（含裸车  辆）</w:t>
            </w:r>
          </w:p>
        </w:tc>
        <w:tc>
          <w:tcPr>
            <w:tcW w:w="1302" w:type="dxa"/>
            <w:vAlign w:val="center"/>
          </w:tcPr>
          <w:p w14:paraId="5C2734FE">
            <w:pPr>
              <w:spacing w:line="300" w:lineRule="exact"/>
              <w:jc w:val="center"/>
              <w:rPr>
                <w:rFonts w:ascii="宋体" w:hAnsi="宋体"/>
                <w:szCs w:val="21"/>
              </w:rPr>
            </w:pPr>
          </w:p>
        </w:tc>
        <w:tc>
          <w:tcPr>
            <w:tcW w:w="1303" w:type="dxa"/>
            <w:vAlign w:val="center"/>
          </w:tcPr>
          <w:p w14:paraId="6728E689">
            <w:pPr>
              <w:spacing w:line="300" w:lineRule="exact"/>
              <w:jc w:val="center"/>
              <w:rPr>
                <w:rFonts w:ascii="宋体" w:hAnsi="宋体"/>
                <w:szCs w:val="21"/>
              </w:rPr>
            </w:pPr>
          </w:p>
        </w:tc>
        <w:tc>
          <w:tcPr>
            <w:tcW w:w="1420" w:type="dxa"/>
            <w:vAlign w:val="center"/>
          </w:tcPr>
          <w:p w14:paraId="2721160C">
            <w:pPr>
              <w:spacing w:line="300" w:lineRule="exact"/>
              <w:jc w:val="center"/>
              <w:rPr>
                <w:rFonts w:ascii="宋体" w:hAnsi="宋体"/>
                <w:szCs w:val="21"/>
              </w:rPr>
            </w:pPr>
            <w:r>
              <w:rPr>
                <w:rFonts w:ascii="宋体" w:hAnsi="宋体"/>
                <w:szCs w:val="21"/>
              </w:rPr>
              <w:t>考斯特</w:t>
            </w:r>
            <w:r>
              <w:rPr>
                <w:rFonts w:hint="eastAsia" w:ascii="宋体" w:hAnsi="宋体"/>
                <w:szCs w:val="21"/>
              </w:rPr>
              <w:t>及同类车型</w:t>
            </w:r>
          </w:p>
        </w:tc>
        <w:tc>
          <w:tcPr>
            <w:tcW w:w="1420" w:type="dxa"/>
            <w:vAlign w:val="center"/>
          </w:tcPr>
          <w:p w14:paraId="3B57A300">
            <w:pPr>
              <w:spacing w:line="300" w:lineRule="exact"/>
              <w:jc w:val="center"/>
              <w:rPr>
                <w:rFonts w:ascii="宋体" w:hAnsi="宋体"/>
                <w:szCs w:val="21"/>
              </w:rPr>
            </w:pPr>
            <w:r>
              <w:rPr>
                <w:rFonts w:ascii="宋体" w:hAnsi="宋体"/>
                <w:szCs w:val="21"/>
              </w:rPr>
              <w:t>达到客车营运标准</w:t>
            </w:r>
          </w:p>
        </w:tc>
      </w:tr>
      <w:tr w14:paraId="72ED04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trPr>
        <w:tc>
          <w:tcPr>
            <w:tcW w:w="1871" w:type="dxa"/>
            <w:vAlign w:val="center"/>
          </w:tcPr>
          <w:p w14:paraId="3E8481AB">
            <w:pPr>
              <w:spacing w:line="300" w:lineRule="exact"/>
              <w:jc w:val="center"/>
              <w:rPr>
                <w:rFonts w:ascii="宋体" w:hAnsi="宋体"/>
                <w:szCs w:val="21"/>
              </w:rPr>
            </w:pPr>
            <w:r>
              <w:rPr>
                <w:rFonts w:ascii="宋体" w:hAnsi="宋体"/>
                <w:szCs w:val="21"/>
              </w:rPr>
              <w:t>大型客车（35座</w:t>
            </w:r>
            <w:r>
              <w:rPr>
                <w:rFonts w:hint="eastAsia" w:ascii="宋体" w:hAnsi="宋体"/>
                <w:szCs w:val="21"/>
              </w:rPr>
              <w:t>及</w:t>
            </w:r>
            <w:r>
              <w:rPr>
                <w:rFonts w:ascii="宋体" w:hAnsi="宋体"/>
                <w:szCs w:val="21"/>
              </w:rPr>
              <w:t>以上）</w:t>
            </w:r>
          </w:p>
        </w:tc>
        <w:tc>
          <w:tcPr>
            <w:tcW w:w="1436" w:type="dxa"/>
            <w:vAlign w:val="center"/>
          </w:tcPr>
          <w:p w14:paraId="7C6F4559">
            <w:pPr>
              <w:spacing w:line="300" w:lineRule="exact"/>
              <w:jc w:val="center"/>
              <w:rPr>
                <w:rFonts w:hint="eastAsia" w:ascii="宋体" w:hAnsi="宋体"/>
                <w:szCs w:val="21"/>
              </w:rPr>
            </w:pPr>
            <w:r>
              <w:rPr>
                <w:rFonts w:hint="eastAsia" w:ascii="宋体" w:hAnsi="宋体"/>
                <w:szCs w:val="21"/>
                <w:u w:val="single"/>
              </w:rPr>
              <w:t xml:space="preserve">  辆（含裸车  辆）</w:t>
            </w:r>
          </w:p>
        </w:tc>
        <w:tc>
          <w:tcPr>
            <w:tcW w:w="1302" w:type="dxa"/>
            <w:vAlign w:val="center"/>
          </w:tcPr>
          <w:p w14:paraId="53C46B6E">
            <w:pPr>
              <w:spacing w:line="300" w:lineRule="exact"/>
              <w:jc w:val="center"/>
              <w:rPr>
                <w:rFonts w:ascii="宋体" w:hAnsi="宋体"/>
                <w:szCs w:val="21"/>
              </w:rPr>
            </w:pPr>
          </w:p>
        </w:tc>
        <w:tc>
          <w:tcPr>
            <w:tcW w:w="1303" w:type="dxa"/>
            <w:vAlign w:val="center"/>
          </w:tcPr>
          <w:p w14:paraId="315A3DCB">
            <w:pPr>
              <w:spacing w:line="300" w:lineRule="exact"/>
              <w:jc w:val="center"/>
              <w:rPr>
                <w:rFonts w:ascii="宋体" w:hAnsi="宋体"/>
                <w:szCs w:val="21"/>
              </w:rPr>
            </w:pPr>
          </w:p>
        </w:tc>
        <w:tc>
          <w:tcPr>
            <w:tcW w:w="1420" w:type="dxa"/>
            <w:vAlign w:val="center"/>
          </w:tcPr>
          <w:p w14:paraId="6E015E9F">
            <w:pPr>
              <w:spacing w:line="300" w:lineRule="exact"/>
              <w:jc w:val="center"/>
              <w:rPr>
                <w:rFonts w:ascii="宋体" w:hAnsi="宋体"/>
                <w:szCs w:val="21"/>
              </w:rPr>
            </w:pPr>
            <w:r>
              <w:rPr>
                <w:rFonts w:ascii="宋体" w:hAnsi="宋体"/>
                <w:szCs w:val="21"/>
              </w:rPr>
              <w:t>宇通</w:t>
            </w:r>
            <w:r>
              <w:rPr>
                <w:rFonts w:hint="eastAsia" w:ascii="宋体" w:hAnsi="宋体"/>
                <w:szCs w:val="21"/>
              </w:rPr>
              <w:t>及同类车型</w:t>
            </w:r>
          </w:p>
        </w:tc>
        <w:tc>
          <w:tcPr>
            <w:tcW w:w="1420" w:type="dxa"/>
            <w:vAlign w:val="center"/>
          </w:tcPr>
          <w:p w14:paraId="4597FDB6">
            <w:pPr>
              <w:spacing w:line="300" w:lineRule="exact"/>
              <w:jc w:val="center"/>
              <w:rPr>
                <w:rFonts w:ascii="宋体" w:hAnsi="宋体"/>
                <w:szCs w:val="21"/>
              </w:rPr>
            </w:pPr>
            <w:r>
              <w:rPr>
                <w:rFonts w:ascii="宋体" w:hAnsi="宋体"/>
                <w:szCs w:val="21"/>
              </w:rPr>
              <w:t>达到客车营运标准</w:t>
            </w:r>
          </w:p>
        </w:tc>
      </w:tr>
      <w:tr w14:paraId="600FDE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42" w:hRule="atLeast"/>
        </w:trPr>
        <w:tc>
          <w:tcPr>
            <w:tcW w:w="0" w:type="auto"/>
            <w:gridSpan w:val="6"/>
            <w:vAlign w:val="center"/>
          </w:tcPr>
          <w:p w14:paraId="09BFB937">
            <w:pPr>
              <w:pStyle w:val="178"/>
              <w:rPr>
                <w:rFonts w:ascii="宋体" w:hAnsi="宋体"/>
                <w:b/>
                <w:bCs/>
                <w:color w:val="auto"/>
                <w:sz w:val="21"/>
                <w:szCs w:val="21"/>
              </w:rPr>
            </w:pPr>
            <w:r>
              <w:rPr>
                <w:rFonts w:ascii="宋体" w:hAnsi="宋体"/>
                <w:b/>
                <w:bCs/>
                <w:color w:val="auto"/>
                <w:sz w:val="21"/>
                <w:szCs w:val="21"/>
              </w:rPr>
              <w:t>备注：</w:t>
            </w:r>
          </w:p>
          <w:p w14:paraId="1B312975">
            <w:pPr>
              <w:pStyle w:val="178"/>
              <w:spacing w:line="300" w:lineRule="exact"/>
              <w:jc w:val="both"/>
              <w:rPr>
                <w:rFonts w:hint="eastAsia" w:ascii="宋体" w:hAnsi="宋体"/>
                <w:b/>
                <w:bCs/>
                <w:color w:val="auto"/>
                <w:sz w:val="21"/>
                <w:szCs w:val="21"/>
              </w:rPr>
            </w:pPr>
            <w:r>
              <w:rPr>
                <w:rFonts w:hint="eastAsia" w:ascii="宋体" w:hAnsi="宋体" w:cs="Times New Roman"/>
                <w:b/>
                <w:bCs/>
                <w:color w:val="auto"/>
                <w:spacing w:val="-6"/>
                <w:sz w:val="21"/>
                <w:szCs w:val="21"/>
              </w:rPr>
              <w:t>1.上述车辆租赁服务均</w:t>
            </w:r>
            <w:r>
              <w:rPr>
                <w:rFonts w:ascii="宋体" w:hAnsi="宋体" w:cs="Times New Roman"/>
                <w:b/>
                <w:bCs/>
                <w:color w:val="auto"/>
                <w:spacing w:val="-6"/>
                <w:sz w:val="21"/>
                <w:szCs w:val="21"/>
              </w:rPr>
              <w:t>按实际租赁</w:t>
            </w:r>
            <w:r>
              <w:rPr>
                <w:rFonts w:hint="eastAsia" w:ascii="宋体" w:hAnsi="宋体" w:cs="Times New Roman"/>
                <w:b/>
                <w:bCs/>
                <w:color w:val="auto"/>
                <w:spacing w:val="-6"/>
                <w:sz w:val="21"/>
                <w:szCs w:val="21"/>
              </w:rPr>
              <w:t>车型、</w:t>
            </w:r>
            <w:r>
              <w:rPr>
                <w:rFonts w:ascii="宋体" w:hAnsi="宋体" w:cs="Times New Roman"/>
                <w:b/>
                <w:bCs/>
                <w:color w:val="auto"/>
                <w:spacing w:val="-6"/>
                <w:sz w:val="21"/>
                <w:szCs w:val="21"/>
              </w:rPr>
              <w:t>数量、使用天数</w:t>
            </w:r>
            <w:r>
              <w:rPr>
                <w:rFonts w:hint="eastAsia" w:ascii="宋体" w:hAnsi="宋体" w:cs="Times New Roman"/>
                <w:b/>
                <w:bCs/>
                <w:color w:val="auto"/>
                <w:spacing w:val="-6"/>
                <w:sz w:val="21"/>
                <w:szCs w:val="21"/>
              </w:rPr>
              <w:t>或次数、</w:t>
            </w:r>
            <w:r>
              <w:rPr>
                <w:rFonts w:ascii="宋体" w:hAnsi="宋体" w:cs="Times New Roman"/>
                <w:b/>
                <w:bCs/>
                <w:color w:val="auto"/>
                <w:spacing w:val="-6"/>
                <w:sz w:val="21"/>
                <w:szCs w:val="21"/>
              </w:rPr>
              <w:t>及</w:t>
            </w:r>
            <w:r>
              <w:rPr>
                <w:rFonts w:hint="eastAsia" w:ascii="宋体" w:hAnsi="宋体" w:cs="Times New Roman"/>
                <w:b/>
                <w:bCs/>
                <w:color w:val="auto"/>
                <w:spacing w:val="-6"/>
                <w:sz w:val="21"/>
                <w:szCs w:val="21"/>
              </w:rPr>
              <w:t>合同约定</w:t>
            </w:r>
            <w:r>
              <w:rPr>
                <w:rFonts w:ascii="宋体" w:hAnsi="宋体" w:cs="Times New Roman"/>
                <w:b/>
                <w:bCs/>
                <w:color w:val="auto"/>
                <w:spacing w:val="-6"/>
                <w:sz w:val="21"/>
                <w:szCs w:val="21"/>
              </w:rPr>
              <w:t>单价据实结算。</w:t>
            </w:r>
          </w:p>
          <w:p w14:paraId="48102301">
            <w:pPr>
              <w:widowControl/>
              <w:textAlignment w:val="baseline"/>
              <w:rPr>
                <w:rFonts w:hint="eastAsia" w:ascii="汉仪书宋二S" w:hAnsi="汉仪书宋二S" w:eastAsia="汉仪书宋二S" w:cs="汉仪书宋二S"/>
                <w:b/>
                <w:bCs/>
                <w:kern w:val="0"/>
                <w:szCs w:val="21"/>
              </w:rPr>
            </w:pPr>
            <w:r>
              <w:rPr>
                <w:rFonts w:hint="eastAsia" w:ascii="汉仪书宋二S" w:hAnsi="汉仪书宋二S" w:eastAsia="汉仪书宋二S" w:cs="汉仪书宋二S"/>
                <w:b/>
                <w:bCs/>
                <w:kern w:val="0"/>
                <w:szCs w:val="21"/>
              </w:rPr>
              <w:t>2.甲方按次租用的车辆，如当日按次租赁同一车辆费用超过按天租赁单价，则采用按天租赁单价结算；如按次租赁采购车辆当日未实现租赁使用的，由甲方按200元/辆/天标准向成交人支付车辆空置费。</w:t>
            </w:r>
          </w:p>
          <w:p w14:paraId="2E1BAB5D">
            <w:pPr>
              <w:widowControl/>
              <w:textAlignment w:val="baseline"/>
              <w:rPr>
                <w:rFonts w:hint="eastAsia" w:ascii="汉仪书宋二S" w:hAnsi="汉仪书宋二S" w:eastAsia="汉仪书宋二S" w:cs="汉仪书宋二S"/>
                <w:b/>
                <w:bCs/>
                <w:kern w:val="0"/>
                <w:szCs w:val="21"/>
              </w:rPr>
            </w:pPr>
            <w:r>
              <w:rPr>
                <w:rFonts w:hint="eastAsia" w:ascii="汉仪书宋二S" w:hAnsi="汉仪书宋二S" w:eastAsia="汉仪书宋二S" w:cs="汉仪书宋二S"/>
                <w:b/>
                <w:bCs/>
                <w:kern w:val="0"/>
                <w:szCs w:val="21"/>
              </w:rPr>
              <w:t>3.甲方推荐东博会参会贵宾团组按次或按天租用车辆，相关租赁费用由参会贵宾团组与乙方自行结算。</w:t>
            </w:r>
          </w:p>
          <w:p w14:paraId="7689EBFE">
            <w:pPr>
              <w:pStyle w:val="178"/>
              <w:spacing w:line="300" w:lineRule="exact"/>
              <w:jc w:val="both"/>
              <w:rPr>
                <w:rFonts w:ascii="宋体" w:hAnsi="宋体" w:cs="Times New Roman"/>
                <w:color w:val="auto"/>
                <w:spacing w:val="-6"/>
                <w:sz w:val="21"/>
                <w:szCs w:val="21"/>
              </w:rPr>
            </w:pPr>
            <w:r>
              <w:rPr>
                <w:rFonts w:hint="eastAsia" w:ascii="宋体" w:hAnsi="宋体" w:cs="Times New Roman"/>
                <w:color w:val="auto"/>
                <w:spacing w:val="-6"/>
                <w:sz w:val="21"/>
                <w:szCs w:val="21"/>
              </w:rPr>
              <w:t>4.租赁车辆超公里运行专项费用。</w:t>
            </w:r>
            <w:r>
              <w:rPr>
                <w:rFonts w:ascii="宋体" w:hAnsi="宋体" w:cs="Times New Roman"/>
                <w:color w:val="auto"/>
                <w:spacing w:val="-6"/>
                <w:sz w:val="21"/>
                <w:szCs w:val="21"/>
              </w:rPr>
              <w:t>租赁车辆超过100公里/辆·天里程的部分，按中级轿车3.5元/公里、商务车和高级轿车4.5元/公里、轻客5元/公里、中型客车7元/公里、大型客车8元/公里计价。价格包含车辆超里程费用、高速公路过路费、燃油费等相关费用，价格含税。</w:t>
            </w:r>
          </w:p>
          <w:p w14:paraId="242F6DFB">
            <w:pPr>
              <w:pStyle w:val="178"/>
              <w:spacing w:line="300" w:lineRule="exact"/>
              <w:jc w:val="both"/>
              <w:rPr>
                <w:rFonts w:ascii="宋体" w:hAnsi="宋体" w:cs="Times New Roman"/>
                <w:color w:val="auto"/>
                <w:spacing w:val="-6"/>
                <w:sz w:val="21"/>
                <w:szCs w:val="21"/>
              </w:rPr>
            </w:pPr>
            <w:r>
              <w:rPr>
                <w:rFonts w:hint="eastAsia" w:ascii="宋体" w:hAnsi="宋体" w:cs="Times New Roman"/>
                <w:color w:val="auto"/>
                <w:spacing w:val="-6"/>
                <w:sz w:val="21"/>
                <w:szCs w:val="21"/>
              </w:rPr>
              <w:t>5</w:t>
            </w:r>
            <w:r>
              <w:rPr>
                <w:rFonts w:ascii="宋体" w:hAnsi="宋体" w:cs="Times New Roman"/>
                <w:color w:val="auto"/>
                <w:spacing w:val="-6"/>
                <w:sz w:val="21"/>
                <w:szCs w:val="21"/>
              </w:rPr>
              <w:t>.裸车指租赁车辆不包含驾驶服务、燃油费、停车费、洗车费、过路费等使用车辆期间所产生的费用。裸车租赁上限价格按租赁车辆对应车型的半价计，价格含税。</w:t>
            </w:r>
          </w:p>
          <w:p w14:paraId="4A9AEFA7">
            <w:pPr>
              <w:pStyle w:val="178"/>
              <w:spacing w:line="300" w:lineRule="exact"/>
              <w:jc w:val="both"/>
              <w:rPr>
                <w:rFonts w:ascii="宋体" w:hAnsi="宋体" w:cs="Times New Roman"/>
                <w:color w:val="auto"/>
                <w:spacing w:val="-6"/>
                <w:sz w:val="21"/>
                <w:szCs w:val="21"/>
              </w:rPr>
            </w:pPr>
            <w:r>
              <w:rPr>
                <w:rFonts w:hint="eastAsia" w:ascii="宋体" w:hAnsi="宋体" w:cs="Times New Roman"/>
                <w:color w:val="auto"/>
                <w:spacing w:val="-6"/>
                <w:sz w:val="21"/>
                <w:szCs w:val="21"/>
              </w:rPr>
              <w:t>6</w:t>
            </w:r>
            <w:r>
              <w:rPr>
                <w:rFonts w:ascii="宋体" w:hAnsi="宋体" w:cs="Times New Roman"/>
                <w:color w:val="auto"/>
                <w:spacing w:val="-6"/>
                <w:sz w:val="21"/>
                <w:szCs w:val="21"/>
              </w:rPr>
              <w:t>.租用裸车所产生的油料费、洗车费、检车费、过路费、抽调驾驶员补助费、聘请驾驶员费用、擦车毛巾费、车标、手册资料费（含驾驶员手册记录用笔）及规定内的后勤保障费用据实结算。其中，燃油以绑定车辆加油卡的形式进行核算。</w:t>
            </w:r>
          </w:p>
          <w:p w14:paraId="34E8BFB9">
            <w:pPr>
              <w:pStyle w:val="178"/>
              <w:spacing w:line="300" w:lineRule="exact"/>
              <w:jc w:val="both"/>
              <w:rPr>
                <w:rFonts w:ascii="宋体" w:hAnsi="宋体" w:cs="Times New Roman"/>
                <w:color w:val="auto"/>
                <w:sz w:val="21"/>
                <w:szCs w:val="21"/>
              </w:rPr>
            </w:pPr>
            <w:r>
              <w:rPr>
                <w:rFonts w:hint="eastAsia" w:ascii="宋体" w:hAnsi="宋体" w:cs="Times New Roman"/>
                <w:color w:val="auto"/>
                <w:spacing w:val="-6"/>
                <w:sz w:val="21"/>
                <w:szCs w:val="21"/>
              </w:rPr>
              <w:t>7.</w:t>
            </w:r>
            <w:r>
              <w:rPr>
                <w:rFonts w:ascii="宋体" w:hAnsi="宋体" w:cs="Times New Roman"/>
                <w:color w:val="auto"/>
                <w:spacing w:val="-6"/>
                <w:sz w:val="21"/>
                <w:szCs w:val="21"/>
              </w:rPr>
              <w:t>实际使用车型及数量具有不确定性，但须保证满足</w:t>
            </w:r>
            <w:r>
              <w:rPr>
                <w:rFonts w:hint="eastAsia" w:ascii="宋体" w:hAnsi="宋体" w:cs="Times New Roman"/>
                <w:color w:val="auto"/>
                <w:spacing w:val="-6"/>
                <w:sz w:val="21"/>
                <w:szCs w:val="21"/>
              </w:rPr>
              <w:t>甲方</w:t>
            </w:r>
            <w:r>
              <w:rPr>
                <w:rFonts w:ascii="宋体" w:hAnsi="宋体" w:cs="Times New Roman"/>
                <w:color w:val="auto"/>
                <w:spacing w:val="-6"/>
                <w:sz w:val="21"/>
                <w:szCs w:val="21"/>
              </w:rPr>
              <w:t>需要。</w:t>
            </w:r>
          </w:p>
        </w:tc>
      </w:tr>
    </w:tbl>
    <w:p w14:paraId="5BE3E41F">
      <w:pPr>
        <w:spacing w:before="120" w:beforeLines="50" w:after="120" w:afterLines="50" w:line="400" w:lineRule="exact"/>
        <w:ind w:firstLine="422" w:firstLineChars="200"/>
        <w:rPr>
          <w:rFonts w:ascii="宋体" w:hAnsi="宋体"/>
          <w:b/>
          <w:szCs w:val="21"/>
        </w:rPr>
      </w:pPr>
      <w:r>
        <w:rPr>
          <w:rFonts w:ascii="宋体" w:hAnsi="宋体"/>
          <w:b/>
          <w:szCs w:val="21"/>
        </w:rPr>
        <w:t>1.</w:t>
      </w:r>
      <w:r>
        <w:rPr>
          <w:rFonts w:hint="eastAsia" w:ascii="宋体" w:hAnsi="宋体"/>
          <w:b/>
          <w:szCs w:val="21"/>
        </w:rPr>
        <w:t>2</w:t>
      </w:r>
      <w:r>
        <w:rPr>
          <w:rFonts w:ascii="宋体" w:hAnsi="宋体"/>
          <w:b/>
          <w:szCs w:val="21"/>
        </w:rPr>
        <w:t>驾驶员服务协议价格及乙方承诺提供数量</w:t>
      </w:r>
    </w:p>
    <w:tbl>
      <w:tblPr>
        <w:tblStyle w:val="51"/>
        <w:tblW w:w="0" w:type="auto"/>
        <w:tblInd w:w="5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17"/>
        <w:gridCol w:w="3842"/>
        <w:gridCol w:w="3467"/>
      </w:tblGrid>
      <w:tr w14:paraId="21268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150" w:type="dxa"/>
            <w:shd w:val="clear" w:color="auto" w:fill="EBF1DE"/>
            <w:vAlign w:val="center"/>
          </w:tcPr>
          <w:p w14:paraId="50B35E30">
            <w:pPr>
              <w:pStyle w:val="26"/>
              <w:spacing w:line="400" w:lineRule="exact"/>
              <w:jc w:val="center"/>
              <w:rPr>
                <w:rFonts w:hAnsi="宋体" w:cs="Times New Roman"/>
                <w:b/>
              </w:rPr>
            </w:pPr>
            <w:r>
              <w:rPr>
                <w:rFonts w:hAnsi="宋体" w:cs="Times New Roman"/>
                <w:b/>
              </w:rPr>
              <w:t>标的名称</w:t>
            </w:r>
          </w:p>
        </w:tc>
        <w:tc>
          <w:tcPr>
            <w:tcW w:w="3892" w:type="dxa"/>
            <w:shd w:val="clear" w:color="auto" w:fill="EBF1DE"/>
            <w:vAlign w:val="center"/>
          </w:tcPr>
          <w:p w14:paraId="0C314AFB">
            <w:pPr>
              <w:pStyle w:val="26"/>
              <w:spacing w:line="400" w:lineRule="exact"/>
              <w:jc w:val="center"/>
              <w:rPr>
                <w:rFonts w:hAnsi="宋体" w:cs="Times New Roman"/>
                <w:b/>
              </w:rPr>
            </w:pPr>
            <w:r>
              <w:rPr>
                <w:rFonts w:hAnsi="宋体" w:cs="Times New Roman"/>
                <w:b/>
              </w:rPr>
              <w:t>价格（元/辆·天）</w:t>
            </w:r>
          </w:p>
        </w:tc>
        <w:tc>
          <w:tcPr>
            <w:tcW w:w="3710" w:type="dxa"/>
            <w:shd w:val="clear" w:color="auto" w:fill="EBF1DE"/>
            <w:vAlign w:val="center"/>
          </w:tcPr>
          <w:p w14:paraId="5A16361B">
            <w:pPr>
              <w:pStyle w:val="26"/>
              <w:spacing w:line="400" w:lineRule="exact"/>
              <w:jc w:val="center"/>
              <w:rPr>
                <w:rFonts w:hAnsi="宋体" w:cs="Times New Roman"/>
                <w:b/>
              </w:rPr>
            </w:pPr>
            <w:r>
              <w:rPr>
                <w:rFonts w:hAnsi="宋体" w:cs="Times New Roman"/>
                <w:b/>
              </w:rPr>
              <w:t>备注</w:t>
            </w:r>
          </w:p>
        </w:tc>
      </w:tr>
      <w:tr w14:paraId="6B5AF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50" w:type="dxa"/>
            <w:vAlign w:val="center"/>
          </w:tcPr>
          <w:p w14:paraId="5E671F89">
            <w:pPr>
              <w:pStyle w:val="26"/>
              <w:spacing w:line="400" w:lineRule="exact"/>
              <w:jc w:val="center"/>
              <w:rPr>
                <w:rFonts w:hAnsi="宋体" w:cs="Times New Roman"/>
              </w:rPr>
            </w:pPr>
            <w:r>
              <w:rPr>
                <w:rFonts w:hAnsi="宋体" w:cs="Times New Roman"/>
              </w:rPr>
              <w:t>代驾服务</w:t>
            </w:r>
          </w:p>
        </w:tc>
        <w:tc>
          <w:tcPr>
            <w:tcW w:w="3892" w:type="dxa"/>
            <w:vAlign w:val="center"/>
          </w:tcPr>
          <w:p w14:paraId="3531AA3B">
            <w:pPr>
              <w:pStyle w:val="26"/>
              <w:spacing w:line="400" w:lineRule="exact"/>
              <w:jc w:val="center"/>
              <w:rPr>
                <w:rFonts w:hAnsi="宋体" w:cs="Times New Roman"/>
              </w:rPr>
            </w:pPr>
            <w:r>
              <w:rPr>
                <w:rFonts w:hAnsi="宋体" w:cs="Times New Roman"/>
              </w:rPr>
              <w:t>单价报价：</w:t>
            </w:r>
            <w:r>
              <w:rPr>
                <w:rFonts w:hAnsi="宋体" w:cs="Times New Roman"/>
                <w:u w:val="single"/>
              </w:rPr>
              <w:t xml:space="preserve">    </w:t>
            </w:r>
            <w:r>
              <w:rPr>
                <w:rFonts w:hAnsi="宋体" w:cs="Times New Roman"/>
              </w:rPr>
              <w:t>元/人·天（含税价）</w:t>
            </w:r>
          </w:p>
        </w:tc>
        <w:tc>
          <w:tcPr>
            <w:tcW w:w="3710" w:type="dxa"/>
            <w:vAlign w:val="center"/>
          </w:tcPr>
          <w:p w14:paraId="4D5C5CA5">
            <w:pPr>
              <w:pStyle w:val="26"/>
              <w:spacing w:line="400" w:lineRule="exact"/>
              <w:jc w:val="left"/>
              <w:rPr>
                <w:rFonts w:hAnsi="宋体" w:cs="Times New Roman"/>
              </w:rPr>
            </w:pPr>
            <w:r>
              <w:rPr>
                <w:rFonts w:hAnsi="宋体" w:cs="Times New Roman"/>
              </w:rPr>
              <w:t>预估需求量约为</w:t>
            </w:r>
            <w:r>
              <w:rPr>
                <w:rFonts w:hint="eastAsia" w:hAnsi="宋体" w:cs="Times New Roman"/>
              </w:rPr>
              <w:t>10-20</w:t>
            </w:r>
            <w:r>
              <w:rPr>
                <w:rFonts w:hAnsi="宋体" w:cs="Times New Roman"/>
              </w:rPr>
              <w:t>人，具体实际使用驾驶员数量和天数具有不确定性，以采购人实际需求为准。</w:t>
            </w:r>
          </w:p>
        </w:tc>
      </w:tr>
      <w:tr w14:paraId="53B88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7" w:hRule="atLeast"/>
        </w:trPr>
        <w:tc>
          <w:tcPr>
            <w:tcW w:w="1150" w:type="dxa"/>
            <w:vAlign w:val="center"/>
          </w:tcPr>
          <w:p w14:paraId="1CAED1DB">
            <w:pPr>
              <w:pStyle w:val="26"/>
              <w:spacing w:line="400" w:lineRule="exact"/>
              <w:jc w:val="center"/>
              <w:rPr>
                <w:rFonts w:hint="eastAsia" w:hAnsi="宋体" w:cs="Times New Roman"/>
              </w:rPr>
            </w:pPr>
            <w:r>
              <w:rPr>
                <w:rFonts w:hint="eastAsia" w:hAnsi="宋体" w:cs="Times New Roman"/>
              </w:rPr>
              <w:t>加班费</w:t>
            </w:r>
          </w:p>
        </w:tc>
        <w:tc>
          <w:tcPr>
            <w:tcW w:w="3892" w:type="dxa"/>
            <w:vAlign w:val="center"/>
          </w:tcPr>
          <w:p w14:paraId="79B58ECE">
            <w:pPr>
              <w:rPr>
                <w:rFonts w:hint="eastAsia" w:ascii="宋体" w:hAnsi="宋体" w:cs="宋体"/>
                <w:kern w:val="0"/>
                <w:szCs w:val="21"/>
              </w:rPr>
            </w:pPr>
            <w:r>
              <w:rPr>
                <w:rFonts w:hint="eastAsia" w:ascii="宋体" w:hAnsi="宋体" w:cs="宋体"/>
                <w:kern w:val="0"/>
                <w:szCs w:val="21"/>
              </w:rPr>
              <w:t>大型客车：</w:t>
            </w:r>
            <w:r>
              <w:rPr>
                <w:rFonts w:hint="eastAsia" w:ascii="宋体" w:hAnsi="宋体" w:cs="宋体"/>
                <w:kern w:val="0"/>
                <w:szCs w:val="21"/>
                <w:u w:val="single"/>
              </w:rPr>
              <w:t xml:space="preserve">   </w:t>
            </w:r>
            <w:r>
              <w:rPr>
                <w:rFonts w:hint="eastAsia" w:ascii="宋体" w:hAnsi="宋体" w:cs="宋体"/>
                <w:kern w:val="0"/>
                <w:szCs w:val="21"/>
              </w:rPr>
              <w:t>元/小时·人次</w:t>
            </w:r>
            <w:r>
              <w:rPr>
                <w:rFonts w:ascii="宋体" w:hAnsi="宋体"/>
              </w:rPr>
              <w:t>（含税价）</w:t>
            </w:r>
          </w:p>
          <w:p w14:paraId="45346348">
            <w:pPr>
              <w:pStyle w:val="26"/>
              <w:spacing w:line="400" w:lineRule="exact"/>
              <w:rPr>
                <w:rFonts w:hAnsi="宋体" w:cs="Times New Roman"/>
              </w:rPr>
            </w:pPr>
            <w:r>
              <w:rPr>
                <w:rFonts w:hint="eastAsia" w:hAnsi="宋体" w:cs="宋体"/>
                <w:kern w:val="0"/>
              </w:rPr>
              <w:t>其它车型：</w:t>
            </w:r>
            <w:r>
              <w:rPr>
                <w:rFonts w:hint="eastAsia" w:hAnsi="宋体" w:cs="宋体"/>
                <w:kern w:val="0"/>
                <w:u w:val="single"/>
              </w:rPr>
              <w:t xml:space="preserve">   </w:t>
            </w:r>
            <w:r>
              <w:rPr>
                <w:rFonts w:hint="eastAsia" w:hAnsi="宋体" w:cs="宋体"/>
                <w:kern w:val="0"/>
              </w:rPr>
              <w:t>元/小时·人次</w:t>
            </w:r>
            <w:r>
              <w:rPr>
                <w:rFonts w:hAnsi="宋体" w:cs="Times New Roman"/>
              </w:rPr>
              <w:t>（含税价）</w:t>
            </w:r>
          </w:p>
        </w:tc>
        <w:tc>
          <w:tcPr>
            <w:tcW w:w="3710" w:type="dxa"/>
            <w:vAlign w:val="center"/>
          </w:tcPr>
          <w:p w14:paraId="05D1911C">
            <w:pPr>
              <w:pStyle w:val="26"/>
              <w:spacing w:line="400" w:lineRule="exact"/>
              <w:jc w:val="center"/>
              <w:rPr>
                <w:rFonts w:hint="eastAsia" w:hAnsi="宋体" w:cs="Times New Roman"/>
              </w:rPr>
            </w:pPr>
            <w:r>
              <w:rPr>
                <w:rFonts w:hint="eastAsia" w:hAnsi="宋体" w:cs="Times New Roman"/>
              </w:rPr>
              <w:t>据实结算</w:t>
            </w:r>
          </w:p>
        </w:tc>
      </w:tr>
      <w:tr w14:paraId="71D33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gridSpan w:val="3"/>
            <w:vAlign w:val="center"/>
          </w:tcPr>
          <w:p w14:paraId="69C7E885">
            <w:pPr>
              <w:spacing w:line="400" w:lineRule="exact"/>
              <w:rPr>
                <w:rFonts w:ascii="宋体" w:hAnsi="宋体"/>
                <w:b/>
                <w:bCs/>
                <w:szCs w:val="21"/>
              </w:rPr>
            </w:pPr>
            <w:r>
              <w:rPr>
                <w:rFonts w:ascii="宋体" w:hAnsi="宋体"/>
                <w:b/>
                <w:bCs/>
                <w:szCs w:val="21"/>
              </w:rPr>
              <w:t>备注：</w:t>
            </w:r>
          </w:p>
          <w:p w14:paraId="35301FD1">
            <w:pPr>
              <w:spacing w:line="400" w:lineRule="exact"/>
              <w:rPr>
                <w:rFonts w:ascii="宋体" w:hAnsi="宋体"/>
                <w:szCs w:val="21"/>
                <w:lang w:val="en"/>
              </w:rPr>
            </w:pPr>
            <w:r>
              <w:rPr>
                <w:rFonts w:ascii="宋体" w:hAnsi="宋体"/>
                <w:szCs w:val="21"/>
              </w:rPr>
              <w:t>1.根据</w:t>
            </w:r>
            <w:r>
              <w:rPr>
                <w:rFonts w:ascii="宋体" w:hAnsi="宋体"/>
                <w:szCs w:val="21"/>
                <w:lang w:val="en"/>
              </w:rPr>
              <w:t>驾驶员人数和实际服务天数，</w:t>
            </w:r>
            <w:r>
              <w:rPr>
                <w:rFonts w:ascii="宋体" w:hAnsi="宋体"/>
                <w:szCs w:val="21"/>
              </w:rPr>
              <w:t>按采购成交单价</w:t>
            </w:r>
            <w:r>
              <w:rPr>
                <w:rFonts w:ascii="宋体" w:hAnsi="宋体"/>
                <w:szCs w:val="21"/>
                <w:lang w:val="en"/>
              </w:rPr>
              <w:t>据实结算。</w:t>
            </w:r>
          </w:p>
          <w:p w14:paraId="1241652D">
            <w:pPr>
              <w:spacing w:line="400" w:lineRule="exact"/>
              <w:rPr>
                <w:rFonts w:ascii="宋体" w:hAnsi="宋体"/>
                <w:szCs w:val="21"/>
              </w:rPr>
            </w:pPr>
            <w:r>
              <w:rPr>
                <w:rFonts w:ascii="宋体" w:hAnsi="宋体"/>
                <w:szCs w:val="21"/>
              </w:rPr>
              <w:t>2.驾驶员加班费用：按照会期每天工作10小时标准，超出10小时为超时工作，按超时给予计算加班费。具体为：大型客车按80元/小时·人次计算，其它车型（高级轿车5座、中级轿车5座、商务车7座、轻客9-13座、中型客车15-23座）按50元/小时·人次计算。</w:t>
            </w:r>
          </w:p>
        </w:tc>
      </w:tr>
    </w:tbl>
    <w:p w14:paraId="4F0246C2">
      <w:pPr>
        <w:spacing w:before="120" w:beforeLines="50" w:after="120" w:afterLines="50" w:line="400" w:lineRule="exact"/>
        <w:ind w:firstLine="422" w:firstLineChars="200"/>
        <w:rPr>
          <w:rFonts w:ascii="宋体" w:hAnsi="宋体"/>
          <w:b/>
          <w:szCs w:val="21"/>
        </w:rPr>
      </w:pPr>
      <w:r>
        <w:rPr>
          <w:rFonts w:ascii="宋体" w:hAnsi="宋体"/>
          <w:b/>
          <w:szCs w:val="21"/>
        </w:rPr>
        <w:t>1.</w:t>
      </w:r>
      <w:r>
        <w:rPr>
          <w:rFonts w:hint="eastAsia" w:ascii="宋体" w:hAnsi="宋体"/>
          <w:b/>
          <w:szCs w:val="21"/>
        </w:rPr>
        <w:t>3</w:t>
      </w:r>
      <w:r>
        <w:rPr>
          <w:rFonts w:ascii="宋体" w:hAnsi="宋体"/>
          <w:b/>
          <w:szCs w:val="21"/>
        </w:rPr>
        <w:t>项目最终成交价格不高于预算审定金额。</w:t>
      </w:r>
    </w:p>
    <w:p w14:paraId="25616B8D">
      <w:pPr>
        <w:spacing w:before="120" w:beforeLines="50" w:after="120" w:afterLines="50" w:line="400" w:lineRule="exact"/>
        <w:ind w:firstLine="422" w:firstLineChars="200"/>
        <w:rPr>
          <w:rFonts w:ascii="宋体" w:hAnsi="宋体"/>
          <w:b/>
          <w:szCs w:val="21"/>
        </w:rPr>
      </w:pPr>
      <w:r>
        <w:rPr>
          <w:rFonts w:ascii="宋体" w:hAnsi="宋体"/>
          <w:b/>
          <w:szCs w:val="21"/>
        </w:rPr>
        <w:t>1.</w:t>
      </w:r>
      <w:r>
        <w:rPr>
          <w:rFonts w:hint="eastAsia" w:ascii="宋体" w:hAnsi="宋体"/>
          <w:b/>
          <w:szCs w:val="21"/>
        </w:rPr>
        <w:t>4</w:t>
      </w:r>
      <w:r>
        <w:rPr>
          <w:rFonts w:ascii="宋体" w:hAnsi="宋体"/>
          <w:b/>
          <w:szCs w:val="21"/>
        </w:rPr>
        <w:t>车辆调配资源小组驻点时间及工作要求</w:t>
      </w:r>
    </w:p>
    <w:p w14:paraId="2567C95B">
      <w:pPr>
        <w:pStyle w:val="178"/>
        <w:spacing w:line="400" w:lineRule="exact"/>
        <w:ind w:firstLine="420"/>
        <w:rPr>
          <w:rFonts w:ascii="宋体" w:hAnsi="宋体" w:cs="Times New Roman"/>
          <w:color w:val="auto"/>
          <w:sz w:val="21"/>
          <w:szCs w:val="21"/>
        </w:rPr>
      </w:pPr>
      <w:r>
        <w:rPr>
          <w:rFonts w:ascii="宋体" w:hAnsi="宋体" w:cs="Times New Roman"/>
          <w:color w:val="auto"/>
          <w:sz w:val="21"/>
          <w:szCs w:val="21"/>
        </w:rPr>
        <w:t>按照采购人要求，配齐配好驻点工作人员并提供相应服务。</w:t>
      </w:r>
    </w:p>
    <w:p w14:paraId="19A46654">
      <w:pPr>
        <w:pStyle w:val="178"/>
        <w:spacing w:line="400" w:lineRule="exact"/>
        <w:ind w:firstLine="420"/>
        <w:jc w:val="both"/>
        <w:rPr>
          <w:rFonts w:ascii="宋体" w:hAnsi="宋体" w:cs="Times New Roman"/>
          <w:b/>
          <w:bCs/>
          <w:color w:val="auto"/>
          <w:sz w:val="21"/>
          <w:szCs w:val="21"/>
        </w:rPr>
      </w:pPr>
      <w:r>
        <w:rPr>
          <w:rFonts w:ascii="宋体" w:hAnsi="宋体" w:cs="Times New Roman"/>
          <w:b/>
          <w:bCs/>
          <w:color w:val="auto"/>
          <w:sz w:val="21"/>
          <w:szCs w:val="21"/>
        </w:rPr>
        <w:t>1.</w:t>
      </w:r>
      <w:r>
        <w:rPr>
          <w:rFonts w:hint="eastAsia" w:ascii="宋体" w:hAnsi="宋体" w:cs="Times New Roman"/>
          <w:b/>
          <w:bCs/>
          <w:color w:val="auto"/>
          <w:sz w:val="21"/>
          <w:szCs w:val="21"/>
        </w:rPr>
        <w:t>4</w:t>
      </w:r>
      <w:r>
        <w:rPr>
          <w:rFonts w:ascii="宋体" w:hAnsi="宋体" w:cs="Times New Roman"/>
          <w:b/>
          <w:bCs/>
          <w:color w:val="auto"/>
          <w:sz w:val="21"/>
          <w:szCs w:val="21"/>
        </w:rPr>
        <w:t>.1车辆资源调配小组</w:t>
      </w:r>
      <w:r>
        <w:rPr>
          <w:rFonts w:ascii="宋体" w:hAnsi="宋体" w:cs="Times New Roman"/>
          <w:color w:val="auto"/>
          <w:sz w:val="21"/>
          <w:szCs w:val="21"/>
        </w:rPr>
        <w:t>：</w:t>
      </w:r>
      <w:r>
        <w:rPr>
          <w:rFonts w:hint="eastAsia" w:ascii="宋体" w:hAnsi="宋体" w:cs="Times New Roman"/>
          <w:color w:val="auto"/>
          <w:sz w:val="21"/>
          <w:szCs w:val="21"/>
        </w:rPr>
        <w:t>9</w:t>
      </w:r>
      <w:r>
        <w:rPr>
          <w:rFonts w:ascii="宋体" w:hAnsi="宋体" w:cs="Times New Roman"/>
          <w:color w:val="auto"/>
          <w:sz w:val="21"/>
          <w:szCs w:val="21"/>
        </w:rPr>
        <w:t>人。含供应商公司负责人1人，中层领导或干部1人，工作人员</w:t>
      </w:r>
      <w:r>
        <w:rPr>
          <w:rFonts w:hint="eastAsia" w:ascii="宋体" w:hAnsi="宋体" w:cs="Times New Roman"/>
          <w:color w:val="auto"/>
          <w:sz w:val="21"/>
          <w:szCs w:val="21"/>
        </w:rPr>
        <w:t>3</w:t>
      </w:r>
      <w:r>
        <w:rPr>
          <w:rFonts w:ascii="宋体" w:hAnsi="宋体" w:cs="Times New Roman"/>
          <w:color w:val="auto"/>
          <w:sz w:val="21"/>
          <w:szCs w:val="21"/>
        </w:rPr>
        <w:t>名，实习生4名（由甲方协助供应商招聘，供应商使用并支付实习生薪酬）。</w:t>
      </w:r>
    </w:p>
    <w:p w14:paraId="52F655D1">
      <w:pPr>
        <w:pStyle w:val="178"/>
        <w:spacing w:line="400" w:lineRule="exact"/>
        <w:ind w:firstLine="420" w:firstLineChars="200"/>
        <w:jc w:val="both"/>
        <w:rPr>
          <w:rFonts w:ascii="宋体" w:hAnsi="宋体" w:cs="Times New Roman"/>
          <w:color w:val="auto"/>
          <w:sz w:val="21"/>
          <w:szCs w:val="21"/>
        </w:rPr>
      </w:pPr>
      <w:r>
        <w:rPr>
          <w:rFonts w:ascii="宋体" w:hAnsi="宋体" w:cs="Times New Roman"/>
          <w:color w:val="auto"/>
          <w:sz w:val="21"/>
          <w:szCs w:val="21"/>
        </w:rPr>
        <w:t>（1）驻点时间：签订合同之日起至项目结算完毕，负责人及工作人员进驻时间不少于3个月。原则上需全脱产投入东博会委托业务工作。</w:t>
      </w:r>
    </w:p>
    <w:p w14:paraId="4F4720B2">
      <w:pPr>
        <w:pStyle w:val="178"/>
        <w:spacing w:line="400" w:lineRule="exact"/>
        <w:ind w:firstLine="420" w:firstLineChars="200"/>
        <w:jc w:val="both"/>
        <w:rPr>
          <w:rFonts w:ascii="宋体" w:hAnsi="宋体" w:cs="Times New Roman"/>
          <w:color w:val="auto"/>
          <w:sz w:val="21"/>
          <w:szCs w:val="21"/>
        </w:rPr>
      </w:pPr>
      <w:r>
        <w:rPr>
          <w:rFonts w:ascii="宋体" w:hAnsi="宋体" w:cs="Times New Roman"/>
          <w:color w:val="auto"/>
          <w:sz w:val="21"/>
          <w:szCs w:val="21"/>
        </w:rPr>
        <w:t>（2）能力要求：要求有大型活动接待车辆统筹调度经验，有较强的理解能力、执行力和写作能力，电脑操作熟练。</w:t>
      </w:r>
    </w:p>
    <w:p w14:paraId="76BE2A79">
      <w:pPr>
        <w:pStyle w:val="178"/>
        <w:spacing w:line="400" w:lineRule="exact"/>
        <w:ind w:firstLine="420" w:firstLineChars="200"/>
        <w:jc w:val="both"/>
        <w:rPr>
          <w:rFonts w:ascii="宋体" w:hAnsi="宋体" w:cs="Times New Roman"/>
          <w:color w:val="auto"/>
          <w:sz w:val="21"/>
          <w:szCs w:val="21"/>
        </w:rPr>
      </w:pPr>
      <w:r>
        <w:rPr>
          <w:rFonts w:ascii="宋体" w:hAnsi="宋体" w:cs="Times New Roman"/>
          <w:color w:val="auto"/>
          <w:sz w:val="21"/>
          <w:szCs w:val="21"/>
        </w:rPr>
        <w:t>（3）服务要求：</w:t>
      </w:r>
    </w:p>
    <w:p w14:paraId="78704DAE">
      <w:pPr>
        <w:pStyle w:val="178"/>
        <w:spacing w:line="400" w:lineRule="exact"/>
        <w:ind w:firstLine="420"/>
        <w:jc w:val="both"/>
        <w:rPr>
          <w:rFonts w:ascii="宋体" w:hAnsi="宋体" w:cs="Times New Roman"/>
          <w:color w:val="auto"/>
          <w:sz w:val="21"/>
          <w:szCs w:val="21"/>
        </w:rPr>
      </w:pPr>
      <w:r>
        <w:rPr>
          <w:rFonts w:hint="eastAsia" w:ascii="宋体" w:hAnsi="宋体"/>
          <w:color w:val="auto"/>
          <w:sz w:val="21"/>
          <w:szCs w:val="21"/>
        </w:rPr>
        <w:t>①</w:t>
      </w:r>
      <w:r>
        <w:rPr>
          <w:rFonts w:ascii="宋体" w:hAnsi="宋体" w:cs="Times New Roman"/>
          <w:color w:val="auto"/>
          <w:sz w:val="21"/>
          <w:szCs w:val="21"/>
        </w:rPr>
        <w:t>协助组建</w:t>
      </w:r>
      <w:r>
        <w:rPr>
          <w:rFonts w:hint="eastAsia" w:ascii="宋体" w:hAnsi="宋体" w:cs="Times New Roman"/>
          <w:color w:val="auto"/>
          <w:sz w:val="21"/>
          <w:szCs w:val="21"/>
        </w:rPr>
        <w:t>指挥中心</w:t>
      </w:r>
      <w:r>
        <w:rPr>
          <w:rFonts w:ascii="宋体" w:hAnsi="宋体" w:cs="Times New Roman"/>
          <w:color w:val="auto"/>
          <w:sz w:val="21"/>
          <w:szCs w:val="21"/>
        </w:rPr>
        <w:t>接待工作部车辆资源调配小组；</w:t>
      </w:r>
    </w:p>
    <w:p w14:paraId="0760F171">
      <w:pPr>
        <w:pStyle w:val="178"/>
        <w:spacing w:line="400" w:lineRule="exact"/>
        <w:ind w:firstLine="420" w:firstLineChars="200"/>
        <w:jc w:val="both"/>
        <w:rPr>
          <w:rFonts w:ascii="宋体" w:hAnsi="宋体" w:cs="Times New Roman"/>
          <w:color w:val="auto"/>
          <w:sz w:val="21"/>
          <w:szCs w:val="21"/>
        </w:rPr>
      </w:pPr>
      <w:r>
        <w:rPr>
          <w:rFonts w:hint="eastAsia" w:ascii="宋体" w:hAnsi="宋体"/>
          <w:color w:val="auto"/>
          <w:sz w:val="21"/>
          <w:szCs w:val="21"/>
        </w:rPr>
        <w:t>②</w:t>
      </w:r>
      <w:r>
        <w:rPr>
          <w:rFonts w:ascii="宋体" w:hAnsi="宋体" w:cs="Times New Roman"/>
          <w:color w:val="auto"/>
          <w:sz w:val="21"/>
          <w:szCs w:val="21"/>
        </w:rPr>
        <w:t>负责车辆资源调配小组的工作方案及手册制定、文电收发、文书处理、档案资料管理、文印及接待系统使用工作；</w:t>
      </w:r>
    </w:p>
    <w:p w14:paraId="2D1B3ED0">
      <w:pPr>
        <w:pStyle w:val="178"/>
        <w:spacing w:line="400" w:lineRule="exact"/>
        <w:ind w:firstLine="420"/>
        <w:jc w:val="both"/>
        <w:rPr>
          <w:rFonts w:ascii="宋体" w:hAnsi="宋体" w:cs="Times New Roman"/>
          <w:color w:val="auto"/>
          <w:sz w:val="21"/>
          <w:szCs w:val="21"/>
        </w:rPr>
      </w:pPr>
      <w:r>
        <w:rPr>
          <w:rFonts w:hint="eastAsia" w:ascii="宋体" w:hAnsi="宋体"/>
          <w:color w:val="auto"/>
          <w:sz w:val="21"/>
          <w:szCs w:val="21"/>
        </w:rPr>
        <w:t>③</w:t>
      </w:r>
      <w:r>
        <w:rPr>
          <w:rFonts w:ascii="宋体" w:hAnsi="宋体" w:cs="Times New Roman"/>
          <w:color w:val="auto"/>
          <w:sz w:val="21"/>
          <w:szCs w:val="21"/>
        </w:rPr>
        <w:t>负责接待车辆车源组织、管理调配、安全检查</w:t>
      </w:r>
      <w:r>
        <w:rPr>
          <w:rFonts w:hint="eastAsia" w:ascii="宋体" w:hAnsi="宋体"/>
          <w:color w:val="auto"/>
          <w:sz w:val="21"/>
          <w:szCs w:val="21"/>
        </w:rPr>
        <w:t>、用车登记台账建立</w:t>
      </w:r>
      <w:r>
        <w:rPr>
          <w:rFonts w:ascii="宋体" w:hAnsi="宋体" w:cs="Times New Roman"/>
          <w:color w:val="auto"/>
          <w:sz w:val="21"/>
          <w:szCs w:val="21"/>
        </w:rPr>
        <w:t>等工作；</w:t>
      </w:r>
    </w:p>
    <w:p w14:paraId="09458556">
      <w:pPr>
        <w:pStyle w:val="178"/>
        <w:spacing w:line="400" w:lineRule="exact"/>
        <w:ind w:firstLine="420"/>
        <w:jc w:val="both"/>
        <w:rPr>
          <w:rFonts w:ascii="宋体" w:hAnsi="宋体" w:cs="Times New Roman"/>
          <w:color w:val="auto"/>
          <w:sz w:val="21"/>
          <w:szCs w:val="21"/>
        </w:rPr>
      </w:pPr>
      <w:r>
        <w:rPr>
          <w:rFonts w:hint="eastAsia" w:ascii="宋体" w:hAnsi="宋体"/>
          <w:color w:val="auto"/>
          <w:sz w:val="21"/>
          <w:szCs w:val="21"/>
        </w:rPr>
        <w:t>④</w:t>
      </w:r>
      <w:r>
        <w:rPr>
          <w:rFonts w:ascii="宋体" w:hAnsi="宋体" w:cs="Times New Roman"/>
          <w:color w:val="auto"/>
          <w:sz w:val="21"/>
          <w:szCs w:val="21"/>
        </w:rPr>
        <w:t>负责落实和调配会期“点对点”</w:t>
      </w:r>
      <w:r>
        <w:rPr>
          <w:rFonts w:hint="eastAsia" w:ascii="宋体" w:hAnsi="宋体" w:cs="Times New Roman"/>
          <w:color w:val="auto"/>
          <w:sz w:val="21"/>
          <w:szCs w:val="21"/>
        </w:rPr>
        <w:t>巴士</w:t>
      </w:r>
      <w:r>
        <w:rPr>
          <w:rFonts w:ascii="宋体" w:hAnsi="宋体" w:cs="Times New Roman"/>
          <w:color w:val="auto"/>
          <w:sz w:val="21"/>
          <w:szCs w:val="21"/>
        </w:rPr>
        <w:t>工作；</w:t>
      </w:r>
    </w:p>
    <w:p w14:paraId="4B18EA91">
      <w:pPr>
        <w:pStyle w:val="178"/>
        <w:spacing w:line="400" w:lineRule="exact"/>
        <w:ind w:firstLine="420" w:firstLineChars="200"/>
        <w:jc w:val="both"/>
        <w:rPr>
          <w:rFonts w:ascii="宋体" w:hAnsi="宋体" w:cs="Times New Roman"/>
          <w:color w:val="auto"/>
          <w:sz w:val="21"/>
          <w:szCs w:val="21"/>
        </w:rPr>
      </w:pPr>
      <w:r>
        <w:rPr>
          <w:rFonts w:hint="eastAsia" w:ascii="宋体" w:hAnsi="宋体"/>
          <w:color w:val="auto"/>
          <w:sz w:val="21"/>
          <w:szCs w:val="21"/>
        </w:rPr>
        <w:t>⑤</w:t>
      </w:r>
      <w:r>
        <w:rPr>
          <w:rFonts w:ascii="宋体" w:hAnsi="宋体" w:cs="Times New Roman"/>
          <w:color w:val="auto"/>
          <w:sz w:val="21"/>
          <w:szCs w:val="21"/>
        </w:rPr>
        <w:t>负责车辆资源调配小组工作人员、驾驶员及接待车辆的东博会证件申办、发放和管理；</w:t>
      </w:r>
      <w:r>
        <w:rPr>
          <w:rFonts w:hint="eastAsia" w:ascii="宋体" w:hAnsi="宋体"/>
          <w:color w:val="auto"/>
          <w:sz w:val="21"/>
          <w:szCs w:val="21"/>
        </w:rPr>
        <w:t>协助供应商、赞助商做好裸车、赞助用车临时车牌的办理。</w:t>
      </w:r>
    </w:p>
    <w:p w14:paraId="15EB8A9B">
      <w:pPr>
        <w:pStyle w:val="178"/>
        <w:spacing w:line="400" w:lineRule="exact"/>
        <w:ind w:firstLine="420" w:firstLineChars="200"/>
        <w:jc w:val="both"/>
        <w:rPr>
          <w:rFonts w:ascii="宋体" w:hAnsi="宋体" w:cs="Times New Roman"/>
          <w:color w:val="auto"/>
          <w:sz w:val="21"/>
          <w:szCs w:val="21"/>
        </w:rPr>
      </w:pPr>
      <w:r>
        <w:rPr>
          <w:rFonts w:hint="eastAsia" w:ascii="宋体" w:hAnsi="宋体"/>
          <w:color w:val="auto"/>
          <w:sz w:val="21"/>
          <w:szCs w:val="21"/>
        </w:rPr>
        <w:t>⑥</w:t>
      </w:r>
      <w:r>
        <w:rPr>
          <w:rFonts w:ascii="宋体" w:hAnsi="宋体" w:cs="Times New Roman"/>
          <w:color w:val="auto"/>
          <w:sz w:val="21"/>
          <w:szCs w:val="21"/>
        </w:rPr>
        <w:t>负责协助做好车辆资源调配小组与各相关各部门、各执行小组的沟通协调工作。</w:t>
      </w:r>
    </w:p>
    <w:p w14:paraId="08310C31">
      <w:pPr>
        <w:pStyle w:val="178"/>
        <w:spacing w:line="400" w:lineRule="exact"/>
        <w:ind w:firstLine="420" w:firstLineChars="200"/>
        <w:jc w:val="both"/>
        <w:rPr>
          <w:rFonts w:hint="eastAsia" w:ascii="宋体" w:hAnsi="宋体"/>
          <w:color w:val="auto"/>
          <w:sz w:val="21"/>
          <w:szCs w:val="21"/>
        </w:rPr>
      </w:pPr>
      <w:r>
        <w:rPr>
          <w:rFonts w:hint="eastAsia" w:ascii="宋体" w:hAnsi="宋体"/>
          <w:color w:val="auto"/>
          <w:sz w:val="21"/>
          <w:szCs w:val="21"/>
        </w:rPr>
        <w:t>⑦负责做好本组抽调人员、实习生、志愿者及驾驶员组织、培训与管理，包含但不限于做好主动提醒接待对象按公务差旅标准缴纳交通费等内容的培训；</w:t>
      </w:r>
    </w:p>
    <w:p w14:paraId="5CAD69E6">
      <w:pPr>
        <w:pStyle w:val="178"/>
        <w:spacing w:line="400" w:lineRule="exact"/>
        <w:ind w:firstLine="420" w:firstLineChars="200"/>
        <w:jc w:val="both"/>
        <w:rPr>
          <w:rFonts w:hint="eastAsia" w:ascii="宋体" w:hAnsi="宋体"/>
          <w:color w:val="auto"/>
          <w:sz w:val="21"/>
          <w:szCs w:val="21"/>
        </w:rPr>
      </w:pPr>
      <w:r>
        <w:rPr>
          <w:rFonts w:hint="eastAsia" w:ascii="宋体" w:hAnsi="宋体"/>
          <w:color w:val="auto"/>
          <w:sz w:val="21"/>
          <w:szCs w:val="21"/>
        </w:rPr>
        <w:t>⑧负责车辆资源调配小组办公场地布置、后勤保障、物资保管及使用调配管理;</w:t>
      </w:r>
    </w:p>
    <w:p w14:paraId="03C47BF1">
      <w:pPr>
        <w:pStyle w:val="178"/>
        <w:spacing w:line="400" w:lineRule="exact"/>
        <w:ind w:firstLine="420" w:firstLineChars="200"/>
        <w:rPr>
          <w:rFonts w:hint="eastAsia" w:ascii="宋体" w:hAnsi="宋体"/>
          <w:color w:val="auto"/>
          <w:sz w:val="21"/>
          <w:szCs w:val="21"/>
        </w:rPr>
      </w:pPr>
      <w:r>
        <w:rPr>
          <w:rFonts w:hint="eastAsia" w:ascii="宋体" w:hAnsi="宋体"/>
          <w:color w:val="auto"/>
          <w:sz w:val="21"/>
          <w:szCs w:val="21"/>
        </w:rPr>
        <w:t>⑨负责按规定主动提醒享有接待用车服务、并需按公务差旅标准缴纳交通费用的境内宾客，按每人每天80元标准支付交通费。负责设计制作收费二维码、温馨提示牌并放置在内部接待场所、接待车辆内醒目位置。负责向宾客开具发票并保留收款凭证备查。乙方收取的交通费直接冲抵甲方需支付的车辆租赁费，并负责接待车辆相关费用统计、结算及报销工作；</w:t>
      </w:r>
    </w:p>
    <w:p w14:paraId="23D388CC">
      <w:pPr>
        <w:pStyle w:val="178"/>
        <w:spacing w:line="400" w:lineRule="exact"/>
        <w:ind w:firstLine="420" w:firstLineChars="200"/>
        <w:rPr>
          <w:rFonts w:ascii="宋体" w:hAnsi="宋体" w:cs="Times New Roman"/>
          <w:color w:val="auto"/>
          <w:sz w:val="21"/>
          <w:szCs w:val="21"/>
        </w:rPr>
      </w:pPr>
      <w:r>
        <w:rPr>
          <w:rFonts w:hint="eastAsia" w:ascii="宋体" w:hAnsi="宋体"/>
          <w:color w:val="auto"/>
          <w:sz w:val="21"/>
          <w:szCs w:val="21"/>
        </w:rPr>
        <w:t>⑩</w:t>
      </w:r>
      <w:r>
        <w:rPr>
          <w:rFonts w:ascii="宋体" w:hAnsi="宋体" w:cs="Times New Roman"/>
          <w:color w:val="auto"/>
          <w:sz w:val="21"/>
          <w:szCs w:val="21"/>
        </w:rPr>
        <w:t xml:space="preserve">负责承办接待工作部下达的其他任务。 </w:t>
      </w:r>
    </w:p>
    <w:p w14:paraId="0533AF16">
      <w:pPr>
        <w:pStyle w:val="49"/>
        <w:spacing w:line="400" w:lineRule="exact"/>
        <w:ind w:firstLine="422" w:firstLineChars="200"/>
        <w:rPr>
          <w:rFonts w:ascii="宋体" w:hAnsi="宋体"/>
          <w:szCs w:val="21"/>
        </w:rPr>
      </w:pPr>
      <w:r>
        <w:rPr>
          <w:rFonts w:ascii="宋体" w:hAnsi="宋体"/>
          <w:b/>
          <w:bCs/>
          <w:kern w:val="0"/>
          <w:szCs w:val="21"/>
        </w:rPr>
        <w:t>1.</w:t>
      </w:r>
      <w:r>
        <w:rPr>
          <w:rFonts w:hint="eastAsia" w:ascii="宋体" w:hAnsi="宋体"/>
          <w:b/>
          <w:bCs/>
          <w:kern w:val="0"/>
          <w:szCs w:val="21"/>
        </w:rPr>
        <w:t>4.2</w:t>
      </w:r>
      <w:r>
        <w:rPr>
          <w:rFonts w:ascii="宋体" w:hAnsi="宋体"/>
          <w:b/>
          <w:bCs/>
          <w:kern w:val="0"/>
          <w:szCs w:val="21"/>
        </w:rPr>
        <w:t>各接待组车辆调度管理驻点时间及工作要求</w:t>
      </w:r>
    </w:p>
    <w:p w14:paraId="2AD0A294">
      <w:pPr>
        <w:pStyle w:val="49"/>
        <w:spacing w:line="400" w:lineRule="exact"/>
        <w:ind w:firstLineChars="200"/>
        <w:rPr>
          <w:rFonts w:ascii="宋体" w:hAnsi="宋体"/>
          <w:szCs w:val="21"/>
        </w:rPr>
      </w:pPr>
      <w:r>
        <w:rPr>
          <w:rFonts w:ascii="宋体" w:hAnsi="宋体"/>
          <w:kern w:val="0"/>
          <w:szCs w:val="21"/>
        </w:rPr>
        <w:t>按照甲方要求，</w:t>
      </w:r>
      <w:r>
        <w:rPr>
          <w:rFonts w:ascii="宋体" w:hAnsi="宋体"/>
          <w:szCs w:val="21"/>
        </w:rPr>
        <w:t>各接待组需派驻人员安排如下：外宾接待一组2人、外宾接待二组3人、内宾接待一组2人、内宾接待二组2人、台湾宾客接待组1人、港澳宾客接待组1人、新闻记者接待组2人。驻点时间及工作要求如下：</w:t>
      </w:r>
    </w:p>
    <w:p w14:paraId="20F9DB76">
      <w:pPr>
        <w:pStyle w:val="178"/>
        <w:spacing w:line="400" w:lineRule="exact"/>
        <w:ind w:left="420"/>
        <w:jc w:val="both"/>
        <w:rPr>
          <w:rFonts w:ascii="宋体" w:hAnsi="宋体" w:cs="Times New Roman"/>
          <w:color w:val="auto"/>
          <w:sz w:val="21"/>
          <w:szCs w:val="21"/>
        </w:rPr>
      </w:pPr>
      <w:r>
        <w:rPr>
          <w:rFonts w:ascii="宋体" w:hAnsi="宋体" w:cs="Times New Roman"/>
          <w:color w:val="auto"/>
          <w:sz w:val="21"/>
          <w:szCs w:val="21"/>
        </w:rPr>
        <w:t>（1）驻点时间：202</w:t>
      </w:r>
      <w:r>
        <w:rPr>
          <w:rFonts w:hint="eastAsia" w:ascii="宋体" w:hAnsi="宋体" w:cs="Times New Roman"/>
          <w:color w:val="auto"/>
          <w:sz w:val="21"/>
          <w:szCs w:val="21"/>
        </w:rPr>
        <w:t>6</w:t>
      </w:r>
      <w:r>
        <w:rPr>
          <w:rFonts w:ascii="宋体" w:hAnsi="宋体" w:cs="Times New Roman"/>
          <w:color w:val="auto"/>
          <w:sz w:val="21"/>
          <w:szCs w:val="21"/>
        </w:rPr>
        <w:t>年</w:t>
      </w:r>
      <w:r>
        <w:rPr>
          <w:rFonts w:hint="eastAsia" w:ascii="宋体" w:hAnsi="宋体" w:cs="Times New Roman"/>
          <w:color w:val="auto"/>
          <w:sz w:val="21"/>
          <w:szCs w:val="21"/>
        </w:rPr>
        <w:t>8</w:t>
      </w:r>
      <w:r>
        <w:rPr>
          <w:rFonts w:ascii="宋体" w:hAnsi="宋体" w:cs="Times New Roman"/>
          <w:color w:val="auto"/>
          <w:sz w:val="21"/>
          <w:szCs w:val="21"/>
        </w:rPr>
        <w:t>月</w:t>
      </w:r>
      <w:r>
        <w:rPr>
          <w:rFonts w:hint="eastAsia" w:ascii="宋体" w:hAnsi="宋体" w:cs="Times New Roman"/>
          <w:color w:val="auto"/>
          <w:sz w:val="21"/>
          <w:szCs w:val="21"/>
        </w:rPr>
        <w:t>1</w:t>
      </w:r>
      <w:r>
        <w:rPr>
          <w:rFonts w:ascii="宋体" w:hAnsi="宋体" w:cs="Times New Roman"/>
          <w:color w:val="auto"/>
          <w:sz w:val="21"/>
          <w:szCs w:val="21"/>
        </w:rPr>
        <w:t>日至9月</w:t>
      </w:r>
      <w:r>
        <w:rPr>
          <w:rFonts w:hint="eastAsia" w:ascii="宋体" w:hAnsi="宋体" w:cs="Times New Roman"/>
          <w:color w:val="auto"/>
          <w:sz w:val="21"/>
          <w:szCs w:val="21"/>
        </w:rPr>
        <w:t>30</w:t>
      </w:r>
      <w:r>
        <w:rPr>
          <w:rFonts w:ascii="宋体" w:hAnsi="宋体" w:cs="Times New Roman"/>
          <w:color w:val="auto"/>
          <w:sz w:val="21"/>
          <w:szCs w:val="21"/>
        </w:rPr>
        <w:t>日。</w:t>
      </w:r>
    </w:p>
    <w:p w14:paraId="2C651396">
      <w:pPr>
        <w:pStyle w:val="178"/>
        <w:spacing w:line="400" w:lineRule="exact"/>
        <w:ind w:left="420"/>
        <w:jc w:val="both"/>
        <w:rPr>
          <w:rFonts w:ascii="宋体" w:hAnsi="宋体" w:cs="Times New Roman"/>
          <w:color w:val="auto"/>
          <w:sz w:val="21"/>
          <w:szCs w:val="21"/>
        </w:rPr>
      </w:pPr>
      <w:r>
        <w:rPr>
          <w:rFonts w:ascii="宋体" w:hAnsi="宋体" w:cs="Times New Roman"/>
          <w:color w:val="auto"/>
          <w:sz w:val="21"/>
          <w:szCs w:val="21"/>
        </w:rPr>
        <w:t>（2）能力要求：有车辆调度和驾驶员管理工作经验， 有较强的统筹协调能力，电脑操作熟练。</w:t>
      </w:r>
    </w:p>
    <w:p w14:paraId="3CAD338A">
      <w:pPr>
        <w:pStyle w:val="178"/>
        <w:spacing w:line="400" w:lineRule="exact"/>
        <w:ind w:left="420"/>
        <w:jc w:val="both"/>
        <w:rPr>
          <w:rFonts w:ascii="宋体" w:hAnsi="宋体" w:cs="Times New Roman"/>
          <w:color w:val="auto"/>
          <w:sz w:val="21"/>
          <w:szCs w:val="21"/>
        </w:rPr>
      </w:pPr>
      <w:r>
        <w:rPr>
          <w:rFonts w:ascii="宋体" w:hAnsi="宋体" w:cs="Times New Roman"/>
          <w:color w:val="auto"/>
          <w:sz w:val="21"/>
          <w:szCs w:val="21"/>
        </w:rPr>
        <w:t>（3）服务要求：</w:t>
      </w:r>
    </w:p>
    <w:p w14:paraId="5B9F0B00">
      <w:pPr>
        <w:pStyle w:val="178"/>
        <w:spacing w:line="400" w:lineRule="exact"/>
        <w:ind w:firstLine="420" w:firstLineChars="200"/>
        <w:jc w:val="both"/>
        <w:rPr>
          <w:rFonts w:ascii="宋体" w:hAnsi="宋体" w:cs="Times New Roman"/>
          <w:color w:val="auto"/>
          <w:sz w:val="21"/>
          <w:szCs w:val="21"/>
        </w:rPr>
      </w:pPr>
      <w:r>
        <w:rPr>
          <w:rFonts w:hint="eastAsia" w:ascii="宋体" w:hAnsi="宋体"/>
          <w:color w:val="auto"/>
          <w:sz w:val="21"/>
          <w:szCs w:val="21"/>
        </w:rPr>
        <w:t>①</w:t>
      </w:r>
      <w:r>
        <w:rPr>
          <w:rFonts w:ascii="宋体" w:hAnsi="宋体" w:cs="Times New Roman"/>
          <w:color w:val="auto"/>
          <w:sz w:val="21"/>
          <w:szCs w:val="21"/>
        </w:rPr>
        <w:t>协助本接待组接待车辆的申领、管理和调配；</w:t>
      </w:r>
    </w:p>
    <w:p w14:paraId="7F75DEFB">
      <w:pPr>
        <w:pStyle w:val="178"/>
        <w:spacing w:line="400" w:lineRule="exact"/>
        <w:ind w:firstLine="420"/>
        <w:jc w:val="both"/>
        <w:rPr>
          <w:rFonts w:ascii="宋体" w:hAnsi="宋体" w:cs="Times New Roman"/>
          <w:color w:val="auto"/>
          <w:sz w:val="21"/>
          <w:szCs w:val="21"/>
        </w:rPr>
      </w:pPr>
      <w:r>
        <w:rPr>
          <w:rFonts w:hint="eastAsia" w:ascii="宋体" w:hAnsi="宋体"/>
          <w:color w:val="auto"/>
          <w:sz w:val="21"/>
          <w:szCs w:val="21"/>
        </w:rPr>
        <w:t>②</w:t>
      </w:r>
      <w:r>
        <w:rPr>
          <w:rFonts w:ascii="宋体" w:hAnsi="宋体" w:cs="Times New Roman"/>
          <w:color w:val="auto"/>
          <w:sz w:val="21"/>
          <w:szCs w:val="21"/>
        </w:rPr>
        <w:t>协助车辆资源调配小组开展接待车辆相关的各项工作；</w:t>
      </w:r>
    </w:p>
    <w:p w14:paraId="67F8372C">
      <w:pPr>
        <w:pStyle w:val="178"/>
        <w:spacing w:line="400" w:lineRule="exact"/>
        <w:ind w:firstLine="420"/>
        <w:jc w:val="both"/>
        <w:rPr>
          <w:rFonts w:ascii="宋体" w:hAnsi="宋体" w:cs="Times New Roman"/>
          <w:color w:val="auto"/>
          <w:sz w:val="21"/>
          <w:szCs w:val="21"/>
        </w:rPr>
      </w:pPr>
      <w:r>
        <w:rPr>
          <w:rFonts w:hint="eastAsia" w:ascii="宋体" w:hAnsi="宋体"/>
          <w:color w:val="auto"/>
          <w:sz w:val="21"/>
          <w:szCs w:val="21"/>
        </w:rPr>
        <w:t>③</w:t>
      </w:r>
      <w:r>
        <w:rPr>
          <w:rFonts w:ascii="宋体" w:hAnsi="宋体" w:cs="Times New Roman"/>
          <w:color w:val="auto"/>
          <w:sz w:val="21"/>
          <w:szCs w:val="21"/>
        </w:rPr>
        <w:t>协助本接待组制定本接待组的重要活动车辆集结方案；</w:t>
      </w:r>
    </w:p>
    <w:p w14:paraId="386973B8">
      <w:pPr>
        <w:pStyle w:val="178"/>
        <w:spacing w:line="400" w:lineRule="exact"/>
        <w:ind w:firstLine="420"/>
        <w:jc w:val="both"/>
        <w:rPr>
          <w:rFonts w:ascii="宋体" w:hAnsi="宋体" w:cs="Times New Roman"/>
          <w:color w:val="auto"/>
          <w:sz w:val="21"/>
          <w:szCs w:val="21"/>
        </w:rPr>
      </w:pPr>
      <w:r>
        <w:rPr>
          <w:rFonts w:hint="eastAsia" w:ascii="宋体" w:hAnsi="宋体"/>
          <w:color w:val="auto"/>
          <w:sz w:val="21"/>
          <w:szCs w:val="21"/>
        </w:rPr>
        <w:t>④</w:t>
      </w:r>
      <w:r>
        <w:rPr>
          <w:rFonts w:ascii="宋体" w:hAnsi="宋体" w:cs="Times New Roman"/>
          <w:color w:val="auto"/>
          <w:sz w:val="21"/>
          <w:szCs w:val="21"/>
        </w:rPr>
        <w:t>负责本接待组接待驾驶员的管理、岗前培训、组织和食宿安排、证件申领、服装发放等后勤保障工作；</w:t>
      </w:r>
    </w:p>
    <w:p w14:paraId="4089206D">
      <w:pPr>
        <w:pStyle w:val="178"/>
        <w:spacing w:line="400" w:lineRule="exact"/>
        <w:ind w:firstLine="420"/>
        <w:jc w:val="both"/>
        <w:rPr>
          <w:rFonts w:ascii="宋体" w:hAnsi="宋体" w:cs="Times New Roman"/>
          <w:color w:val="auto"/>
          <w:sz w:val="21"/>
          <w:szCs w:val="21"/>
        </w:rPr>
      </w:pPr>
      <w:r>
        <w:rPr>
          <w:rFonts w:hint="eastAsia" w:ascii="宋体" w:hAnsi="宋体"/>
          <w:color w:val="auto"/>
          <w:sz w:val="21"/>
          <w:szCs w:val="21"/>
        </w:rPr>
        <w:t>⑤</w:t>
      </w:r>
      <w:r>
        <w:rPr>
          <w:rFonts w:ascii="宋体" w:hAnsi="宋体" w:cs="Times New Roman"/>
          <w:color w:val="auto"/>
          <w:sz w:val="21"/>
          <w:szCs w:val="21"/>
        </w:rPr>
        <w:t>负责本接待组接待用车的相关保障和清洁卫生工作；</w:t>
      </w:r>
    </w:p>
    <w:p w14:paraId="67ADD37B">
      <w:pPr>
        <w:pStyle w:val="49"/>
        <w:spacing w:line="400" w:lineRule="exact"/>
        <w:ind w:firstLineChars="200"/>
        <w:rPr>
          <w:rFonts w:ascii="宋体" w:hAnsi="宋体"/>
          <w:szCs w:val="21"/>
        </w:rPr>
      </w:pPr>
      <w:r>
        <w:rPr>
          <w:rFonts w:hint="eastAsia" w:ascii="宋体" w:hAnsi="宋体" w:cs="宋体"/>
          <w:kern w:val="0"/>
          <w:szCs w:val="21"/>
        </w:rPr>
        <w:t>⑥</w:t>
      </w:r>
      <w:r>
        <w:rPr>
          <w:rFonts w:ascii="宋体" w:hAnsi="宋体"/>
          <w:kern w:val="0"/>
          <w:szCs w:val="21"/>
        </w:rPr>
        <w:t xml:space="preserve">完成甲方布置的各项工作。    </w:t>
      </w:r>
    </w:p>
    <w:p w14:paraId="12970661">
      <w:pPr>
        <w:spacing w:line="400" w:lineRule="exact"/>
        <w:ind w:firstLine="422" w:firstLineChars="200"/>
        <w:rPr>
          <w:rFonts w:ascii="宋体" w:hAnsi="宋体"/>
          <w:b/>
          <w:szCs w:val="21"/>
        </w:rPr>
      </w:pPr>
      <w:r>
        <w:rPr>
          <w:rFonts w:ascii="宋体" w:hAnsi="宋体"/>
          <w:b/>
          <w:szCs w:val="21"/>
        </w:rPr>
        <w:t>第二条　质量保证</w:t>
      </w:r>
    </w:p>
    <w:p w14:paraId="46DC71E8">
      <w:pPr>
        <w:snapToGrid w:val="0"/>
        <w:spacing w:line="400" w:lineRule="exact"/>
        <w:ind w:firstLine="420" w:firstLineChars="200"/>
        <w:rPr>
          <w:rFonts w:ascii="宋体" w:hAnsi="宋体"/>
          <w:szCs w:val="21"/>
        </w:rPr>
      </w:pPr>
      <w:r>
        <w:rPr>
          <w:rFonts w:ascii="宋体" w:hAnsi="宋体"/>
          <w:szCs w:val="21"/>
        </w:rPr>
        <w:t>乙方所提供的服务及服务内容必须与响应文件承诺相一致，有国家强制性标准的，还必须符合国家强制性标准的规定，没有国家强制性标准但有其他强制性标准的，必须符合其他强制性标准的规定。</w:t>
      </w:r>
    </w:p>
    <w:p w14:paraId="120AB3BD">
      <w:pPr>
        <w:spacing w:line="400" w:lineRule="exact"/>
        <w:ind w:firstLine="422" w:firstLineChars="200"/>
        <w:rPr>
          <w:rFonts w:ascii="宋体" w:hAnsi="宋体"/>
          <w:szCs w:val="21"/>
        </w:rPr>
      </w:pPr>
      <w:r>
        <w:rPr>
          <w:rFonts w:ascii="宋体" w:hAnsi="宋体"/>
          <w:b/>
          <w:szCs w:val="21"/>
        </w:rPr>
        <w:t>第三条　权利保证</w:t>
      </w:r>
    </w:p>
    <w:p w14:paraId="3F9E2710">
      <w:pPr>
        <w:snapToGrid w:val="0"/>
        <w:spacing w:line="400" w:lineRule="exact"/>
        <w:ind w:firstLine="420" w:firstLineChars="200"/>
        <w:rPr>
          <w:rFonts w:ascii="宋体" w:hAnsi="宋体"/>
          <w:szCs w:val="21"/>
        </w:rPr>
      </w:pPr>
      <w:r>
        <w:rPr>
          <w:rFonts w:ascii="宋体" w:hAnsi="宋体"/>
          <w:szCs w:val="21"/>
        </w:rPr>
        <w:t>1、乙方应保证所提供产品、服务在使用时不会侵犯任何第三方的专利权、商标权、工业设计权等知识产权及其他合法权利，且所有权、处分权等没有受到任何限制。</w:t>
      </w:r>
    </w:p>
    <w:p w14:paraId="314D5CA4">
      <w:pPr>
        <w:snapToGrid w:val="0"/>
        <w:spacing w:line="400" w:lineRule="exact"/>
        <w:ind w:firstLine="420" w:firstLineChars="200"/>
        <w:rPr>
          <w:rFonts w:ascii="宋体" w:hAnsi="宋体"/>
          <w:szCs w:val="21"/>
        </w:rPr>
      </w:pPr>
      <w:r>
        <w:rPr>
          <w:rFonts w:ascii="宋体" w:hAnsi="宋体"/>
          <w:szCs w:val="21"/>
        </w:rPr>
        <w:t>2、没有甲方事先书面同意，乙方不得将由甲方提供的有关合同或任何合同条文、规格、计划、图纸或资料提供给与履行本合同无关的任何其他人。即使向履行本合同有关的人员提供，也应注意保密并限于履行合同的必需范围。乙方的保密义务持续有效，不因为本合同履行终止、解除或无效而解除。</w:t>
      </w:r>
    </w:p>
    <w:p w14:paraId="7FE7D285">
      <w:pPr>
        <w:spacing w:line="400" w:lineRule="exact"/>
        <w:ind w:firstLine="422" w:firstLineChars="200"/>
        <w:rPr>
          <w:rFonts w:ascii="宋体" w:hAnsi="宋体"/>
          <w:b/>
          <w:szCs w:val="21"/>
        </w:rPr>
      </w:pPr>
      <w:r>
        <w:rPr>
          <w:rFonts w:ascii="宋体" w:hAnsi="宋体"/>
          <w:b/>
          <w:szCs w:val="21"/>
        </w:rPr>
        <w:t>第四条　服务期限和验收</w:t>
      </w:r>
    </w:p>
    <w:p w14:paraId="7B843B70">
      <w:pPr>
        <w:spacing w:line="400" w:lineRule="exact"/>
        <w:ind w:firstLine="420" w:firstLineChars="200"/>
        <w:rPr>
          <w:rFonts w:ascii="宋体" w:hAnsi="宋体"/>
          <w:szCs w:val="21"/>
        </w:rPr>
      </w:pPr>
      <w:r>
        <w:rPr>
          <w:rFonts w:hint="eastAsia" w:ascii="宋体" w:hAnsi="宋体"/>
          <w:szCs w:val="21"/>
        </w:rPr>
        <w:t>1、</w:t>
      </w:r>
      <w:r>
        <w:rPr>
          <w:rFonts w:ascii="宋体" w:hAnsi="宋体"/>
          <w:szCs w:val="21"/>
        </w:rPr>
        <w:t>服务期限</w:t>
      </w:r>
    </w:p>
    <w:p w14:paraId="1AE93319">
      <w:pPr>
        <w:spacing w:line="400" w:lineRule="exact"/>
        <w:ind w:firstLine="420" w:firstLineChars="200"/>
        <w:rPr>
          <w:rFonts w:ascii="宋体" w:hAnsi="宋体"/>
          <w:szCs w:val="21"/>
        </w:rPr>
      </w:pPr>
      <w:r>
        <w:rPr>
          <w:rFonts w:ascii="宋体" w:hAnsi="宋体"/>
          <w:szCs w:val="21"/>
        </w:rPr>
        <w:t>1</w:t>
      </w:r>
      <w:r>
        <w:rPr>
          <w:rFonts w:hint="eastAsia" w:ascii="宋体" w:hAnsi="宋体"/>
          <w:szCs w:val="21"/>
        </w:rPr>
        <w:t>.1</w:t>
      </w:r>
      <w:r>
        <w:rPr>
          <w:rFonts w:ascii="宋体" w:hAnsi="宋体"/>
          <w:szCs w:val="21"/>
        </w:rPr>
        <w:t>服务期限：</w:t>
      </w:r>
      <w:r>
        <w:rPr>
          <w:rFonts w:ascii="宋体" w:hAnsi="宋体"/>
          <w:szCs w:val="21"/>
          <w:u w:val="single"/>
        </w:rPr>
        <w:t xml:space="preserve">                 </w:t>
      </w:r>
      <w:r>
        <w:rPr>
          <w:rFonts w:ascii="宋体" w:hAnsi="宋体"/>
          <w:szCs w:val="21"/>
        </w:rPr>
        <w:t>，</w:t>
      </w:r>
    </w:p>
    <w:p w14:paraId="7F59FFD9">
      <w:pPr>
        <w:spacing w:line="400" w:lineRule="exact"/>
        <w:ind w:firstLine="630" w:firstLineChars="300"/>
        <w:rPr>
          <w:rFonts w:ascii="宋体" w:hAnsi="宋体"/>
          <w:szCs w:val="21"/>
        </w:rPr>
      </w:pPr>
      <w:r>
        <w:rPr>
          <w:rFonts w:ascii="宋体" w:hAnsi="宋体"/>
          <w:szCs w:val="21"/>
        </w:rPr>
        <w:t>服务地点：</w:t>
      </w:r>
      <w:r>
        <w:rPr>
          <w:rFonts w:ascii="宋体" w:hAnsi="宋体"/>
          <w:szCs w:val="21"/>
          <w:u w:val="single"/>
        </w:rPr>
        <w:t>甲方指定地点</w:t>
      </w:r>
      <w:r>
        <w:rPr>
          <w:rFonts w:ascii="宋体" w:hAnsi="宋体"/>
          <w:szCs w:val="21"/>
        </w:rPr>
        <w:t>。</w:t>
      </w:r>
    </w:p>
    <w:p w14:paraId="3AB929C2">
      <w:pPr>
        <w:snapToGrid w:val="0"/>
        <w:spacing w:line="400" w:lineRule="exact"/>
        <w:ind w:firstLine="420" w:firstLineChars="200"/>
        <w:rPr>
          <w:rFonts w:ascii="宋体" w:hAnsi="宋体"/>
          <w:szCs w:val="21"/>
        </w:rPr>
      </w:pPr>
      <w:r>
        <w:rPr>
          <w:rFonts w:hint="eastAsia" w:ascii="宋体" w:hAnsi="宋体"/>
          <w:szCs w:val="21"/>
        </w:rPr>
        <w:t>1.</w:t>
      </w:r>
      <w:r>
        <w:rPr>
          <w:rFonts w:ascii="宋体" w:hAnsi="宋体"/>
          <w:szCs w:val="21"/>
        </w:rPr>
        <w:t>2乙方应按响应文件的承诺向甲方提供相应的服务，并提供服务成果的相关技术资料。</w:t>
      </w:r>
    </w:p>
    <w:p w14:paraId="6C83D01D">
      <w:pPr>
        <w:spacing w:line="400" w:lineRule="exact"/>
        <w:ind w:firstLine="420" w:firstLineChars="200"/>
        <w:rPr>
          <w:rFonts w:ascii="宋体" w:hAnsi="宋体"/>
          <w:szCs w:val="21"/>
        </w:rPr>
      </w:pPr>
      <w:r>
        <w:rPr>
          <w:rFonts w:hint="eastAsia" w:ascii="宋体" w:hAnsi="宋体"/>
          <w:szCs w:val="21"/>
        </w:rPr>
        <w:t>1.</w:t>
      </w:r>
      <w:r>
        <w:rPr>
          <w:rFonts w:ascii="宋体" w:hAnsi="宋体"/>
          <w:szCs w:val="21"/>
        </w:rPr>
        <w:t>3乙方提供不符合响应文件和本合同规定的技术服务、成果文件，甲方有权拒绝接受。</w:t>
      </w:r>
    </w:p>
    <w:p w14:paraId="17D3E42B">
      <w:pPr>
        <w:spacing w:line="400" w:lineRule="exact"/>
        <w:ind w:firstLine="420" w:firstLineChars="200"/>
        <w:rPr>
          <w:rFonts w:ascii="宋体" w:hAnsi="宋体"/>
          <w:szCs w:val="21"/>
        </w:rPr>
      </w:pPr>
      <w:r>
        <w:rPr>
          <w:rFonts w:hint="eastAsia" w:ascii="宋体" w:hAnsi="宋体"/>
          <w:szCs w:val="21"/>
        </w:rPr>
        <w:t>2、</w:t>
      </w:r>
      <w:r>
        <w:rPr>
          <w:rFonts w:ascii="宋体" w:hAnsi="宋体"/>
          <w:szCs w:val="21"/>
        </w:rPr>
        <w:t>验收</w:t>
      </w:r>
    </w:p>
    <w:p w14:paraId="36E5145F">
      <w:pPr>
        <w:snapToGrid w:val="0"/>
        <w:spacing w:line="400" w:lineRule="exact"/>
        <w:ind w:firstLine="420" w:firstLineChars="200"/>
        <w:rPr>
          <w:rFonts w:hint="eastAsia" w:ascii="宋体" w:hAnsi="宋体"/>
          <w:b/>
          <w:bCs/>
          <w:szCs w:val="21"/>
          <w:u w:val="single"/>
        </w:rPr>
      </w:pPr>
      <w:r>
        <w:rPr>
          <w:rFonts w:hint="eastAsia" w:ascii="宋体" w:hAnsi="宋体"/>
          <w:szCs w:val="21"/>
        </w:rPr>
        <w:t>2.1</w:t>
      </w:r>
      <w:r>
        <w:rPr>
          <w:rFonts w:ascii="宋体" w:hAnsi="宋体"/>
          <w:szCs w:val="21"/>
        </w:rPr>
        <w:t>乙方完成服务后应及时</w:t>
      </w:r>
      <w:r>
        <w:rPr>
          <w:rFonts w:hint="eastAsia" w:ascii="宋体" w:hAnsi="宋体"/>
          <w:szCs w:val="21"/>
        </w:rPr>
        <w:t>提供材料给</w:t>
      </w:r>
      <w:r>
        <w:rPr>
          <w:rFonts w:ascii="宋体" w:hAnsi="宋体"/>
          <w:szCs w:val="21"/>
        </w:rPr>
        <w:t>甲方进行验收，</w:t>
      </w:r>
      <w:r>
        <w:rPr>
          <w:rFonts w:ascii="宋体" w:hAnsi="宋体"/>
          <w:b/>
          <w:bCs/>
          <w:szCs w:val="21"/>
          <w:u w:val="single"/>
        </w:rPr>
        <w:t>甲方在</w:t>
      </w:r>
      <w:r>
        <w:rPr>
          <w:rFonts w:hint="eastAsia" w:ascii="宋体" w:hAnsi="宋体"/>
          <w:b/>
          <w:bCs/>
          <w:kern w:val="0"/>
          <w:szCs w:val="21"/>
          <w:u w:val="single"/>
        </w:rPr>
        <w:t>收到乙方验收材料</w:t>
      </w:r>
      <w:r>
        <w:rPr>
          <w:rFonts w:ascii="宋体" w:hAnsi="宋体"/>
          <w:b/>
          <w:bCs/>
          <w:kern w:val="0"/>
          <w:szCs w:val="21"/>
          <w:u w:val="single"/>
        </w:rPr>
        <w:t>后1个月内进行验收，验收合格后由双方签署验收单并加盖双方单位公章，双方各执一份</w:t>
      </w:r>
      <w:r>
        <w:rPr>
          <w:rFonts w:ascii="宋体" w:hAnsi="宋体"/>
          <w:kern w:val="0"/>
          <w:szCs w:val="21"/>
        </w:rPr>
        <w:t>。</w:t>
      </w:r>
      <w:r>
        <w:rPr>
          <w:rFonts w:hint="eastAsia" w:ascii="宋体" w:hAnsi="宋体"/>
          <w:kern w:val="0"/>
          <w:szCs w:val="21"/>
        </w:rPr>
        <w:t>如因乙方验收材料提交不及时导致的相关后果由乙方承担。</w:t>
      </w:r>
    </w:p>
    <w:p w14:paraId="0D4B56AF">
      <w:pPr>
        <w:spacing w:line="400" w:lineRule="exact"/>
        <w:ind w:firstLine="420" w:firstLineChars="200"/>
        <w:rPr>
          <w:rFonts w:ascii="宋体" w:hAnsi="宋体"/>
          <w:szCs w:val="21"/>
        </w:rPr>
      </w:pPr>
      <w:r>
        <w:rPr>
          <w:rFonts w:hint="eastAsia" w:ascii="宋体" w:hAnsi="宋体"/>
          <w:szCs w:val="21"/>
        </w:rPr>
        <w:t>2.</w:t>
      </w:r>
      <w:r>
        <w:rPr>
          <w:rFonts w:ascii="宋体" w:hAnsi="宋体"/>
          <w:szCs w:val="21"/>
        </w:rPr>
        <w:t>2甲乙双方应按照《广西壮族自治区政府采购项目履约验收管理办法》、双方合同相应条款验收。</w:t>
      </w:r>
    </w:p>
    <w:p w14:paraId="1E4926B5">
      <w:pPr>
        <w:spacing w:line="400" w:lineRule="exact"/>
        <w:ind w:firstLine="420" w:firstLineChars="200"/>
        <w:rPr>
          <w:rFonts w:ascii="宋体" w:hAnsi="宋体"/>
          <w:szCs w:val="21"/>
        </w:rPr>
      </w:pPr>
      <w:r>
        <w:rPr>
          <w:rFonts w:hint="eastAsia" w:ascii="宋体" w:hAnsi="宋体"/>
          <w:szCs w:val="21"/>
        </w:rPr>
        <w:t>2.</w:t>
      </w:r>
      <w:r>
        <w:rPr>
          <w:rFonts w:ascii="宋体" w:hAnsi="宋体"/>
          <w:szCs w:val="21"/>
        </w:rPr>
        <w:t>3甲方在初步验收或最终验收过程中如发现乙方提供的服务成果不满足响应文件及本合同规定的，可暂缓向乙方付款，直到乙方及时完善并提交相应的服务成果且经甲方验收合格后，方可办理付款。</w:t>
      </w:r>
    </w:p>
    <w:p w14:paraId="775EAAE4">
      <w:pPr>
        <w:spacing w:line="400" w:lineRule="exact"/>
        <w:ind w:firstLine="420" w:firstLineChars="200"/>
        <w:rPr>
          <w:rFonts w:ascii="宋体" w:hAnsi="宋体"/>
          <w:szCs w:val="21"/>
        </w:rPr>
      </w:pPr>
      <w:r>
        <w:rPr>
          <w:rFonts w:hint="eastAsia" w:ascii="宋体" w:hAnsi="宋体"/>
          <w:szCs w:val="21"/>
        </w:rPr>
        <w:t>2.</w:t>
      </w:r>
      <w:r>
        <w:rPr>
          <w:rFonts w:ascii="宋体" w:hAnsi="宋体"/>
          <w:szCs w:val="21"/>
        </w:rPr>
        <w:t>4甲方验收时以书面形式提出异议的，乙方应自收到甲方书面异议后五个工作日内及时予以解决，否则甲方有权不出具服务验收合格单并有权解除合同。</w:t>
      </w:r>
    </w:p>
    <w:p w14:paraId="05CEF56D">
      <w:pPr>
        <w:snapToGrid w:val="0"/>
        <w:spacing w:line="400" w:lineRule="exact"/>
        <w:ind w:firstLine="422" w:firstLineChars="200"/>
        <w:rPr>
          <w:rFonts w:ascii="宋体" w:hAnsi="宋体"/>
          <w:b/>
          <w:szCs w:val="21"/>
        </w:rPr>
      </w:pPr>
      <w:r>
        <w:rPr>
          <w:rFonts w:ascii="宋体" w:hAnsi="宋体"/>
          <w:b/>
          <w:szCs w:val="21"/>
        </w:rPr>
        <w:t>第五条  售后服务及培训</w:t>
      </w:r>
    </w:p>
    <w:p w14:paraId="6FAA0F2A">
      <w:pPr>
        <w:snapToGrid w:val="0"/>
        <w:spacing w:line="400" w:lineRule="exact"/>
        <w:ind w:firstLine="420" w:firstLineChars="200"/>
        <w:rPr>
          <w:rFonts w:ascii="宋体" w:hAnsi="宋体"/>
          <w:szCs w:val="21"/>
        </w:rPr>
      </w:pPr>
      <w:r>
        <w:rPr>
          <w:rFonts w:ascii="宋体" w:hAnsi="宋体"/>
          <w:szCs w:val="21"/>
        </w:rPr>
        <w:t>1、乙方应按照国家有关法律法规和本合同所附的《售后服务承诺》要求为甲方提供相应的售后服务。</w:t>
      </w:r>
    </w:p>
    <w:p w14:paraId="6A14C3C7">
      <w:pPr>
        <w:spacing w:line="400" w:lineRule="exact"/>
        <w:ind w:firstLine="420" w:firstLineChars="200"/>
        <w:rPr>
          <w:rFonts w:ascii="宋体" w:hAnsi="宋体"/>
          <w:szCs w:val="21"/>
        </w:rPr>
      </w:pPr>
      <w:r>
        <w:rPr>
          <w:rFonts w:ascii="宋体" w:hAnsi="宋体"/>
          <w:szCs w:val="21"/>
        </w:rPr>
        <w:t>2、甲方应提供必要条件（如场地、电源、水源等）。</w:t>
      </w:r>
    </w:p>
    <w:p w14:paraId="39A79D82">
      <w:pPr>
        <w:spacing w:line="400" w:lineRule="exact"/>
        <w:ind w:firstLine="420" w:firstLineChars="200"/>
        <w:rPr>
          <w:rFonts w:ascii="宋体" w:hAnsi="宋体"/>
          <w:szCs w:val="21"/>
        </w:rPr>
      </w:pPr>
      <w:r>
        <w:rPr>
          <w:rFonts w:ascii="宋体" w:hAnsi="宋体"/>
          <w:szCs w:val="21"/>
        </w:rPr>
        <w:t>3、乙方负责甲方有关人员的培训。培训时间、地点：</w:t>
      </w:r>
      <w:r>
        <w:rPr>
          <w:rFonts w:ascii="宋体" w:hAnsi="宋体"/>
          <w:szCs w:val="21"/>
          <w:u w:val="single"/>
        </w:rPr>
        <w:t>按照乙方响应文件执行</w:t>
      </w:r>
      <w:r>
        <w:rPr>
          <w:rFonts w:ascii="宋体" w:hAnsi="宋体"/>
          <w:szCs w:val="21"/>
        </w:rPr>
        <w:t>。</w:t>
      </w:r>
    </w:p>
    <w:p w14:paraId="6E525380">
      <w:pPr>
        <w:snapToGrid w:val="0"/>
        <w:spacing w:line="400" w:lineRule="exact"/>
        <w:ind w:firstLine="422" w:firstLineChars="200"/>
        <w:rPr>
          <w:rFonts w:ascii="宋体" w:hAnsi="宋体"/>
          <w:b/>
          <w:szCs w:val="21"/>
        </w:rPr>
      </w:pPr>
      <w:r>
        <w:rPr>
          <w:rFonts w:ascii="宋体" w:hAnsi="宋体"/>
          <w:b/>
          <w:szCs w:val="21"/>
        </w:rPr>
        <w:t>第六条　付款方式</w:t>
      </w:r>
    </w:p>
    <w:p w14:paraId="675A3615">
      <w:pPr>
        <w:spacing w:line="400" w:lineRule="exact"/>
        <w:ind w:firstLine="420" w:firstLineChars="200"/>
        <w:rPr>
          <w:szCs w:val="21"/>
          <w:shd w:val="clear" w:color="auto" w:fill="FFFFFF"/>
        </w:rPr>
      </w:pPr>
      <w:r>
        <w:rPr>
          <w:rFonts w:hint="eastAsia"/>
          <w:szCs w:val="21"/>
          <w:shd w:val="clear" w:color="auto" w:fill="FFFFFF"/>
        </w:rPr>
        <w:t>1.乙方按合同约定完成所有服务项目后，</w:t>
      </w:r>
      <w:r>
        <w:rPr>
          <w:rFonts w:hint="eastAsia"/>
          <w:szCs w:val="21"/>
        </w:rPr>
        <w:t>须</w:t>
      </w:r>
      <w:r>
        <w:rPr>
          <w:rFonts w:hint="eastAsia"/>
          <w:szCs w:val="21"/>
          <w:shd w:val="clear" w:color="auto" w:fill="FFFFFF"/>
        </w:rPr>
        <w:t>于</w:t>
      </w:r>
      <w:r>
        <w:rPr>
          <w:szCs w:val="21"/>
          <w:shd w:val="clear" w:color="auto" w:fill="FFFFFF"/>
        </w:rPr>
        <w:t>本届东博会闭幕后30日内，</w:t>
      </w:r>
      <w:r>
        <w:rPr>
          <w:rFonts w:hint="eastAsia"/>
          <w:szCs w:val="21"/>
          <w:shd w:val="clear" w:color="auto" w:fill="FFFFFF"/>
        </w:rPr>
        <w:t>一次性、完整地向</w:t>
      </w:r>
      <w:r>
        <w:rPr>
          <w:szCs w:val="21"/>
          <w:shd w:val="clear" w:color="auto" w:fill="FFFFFF"/>
        </w:rPr>
        <w:t>甲方</w:t>
      </w:r>
      <w:r>
        <w:rPr>
          <w:rFonts w:hint="eastAsia"/>
          <w:szCs w:val="21"/>
          <w:shd w:val="clear" w:color="auto" w:fill="FFFFFF"/>
        </w:rPr>
        <w:t>提交</w:t>
      </w:r>
      <w:r>
        <w:rPr>
          <w:rFonts w:hint="eastAsia"/>
          <w:szCs w:val="21"/>
        </w:rPr>
        <w:t>符合甲方要求的结算</w:t>
      </w:r>
      <w:r>
        <w:rPr>
          <w:szCs w:val="21"/>
        </w:rPr>
        <w:t>凭据，</w:t>
      </w:r>
      <w:r>
        <w:rPr>
          <w:szCs w:val="21"/>
          <w:shd w:val="clear" w:color="auto" w:fill="FFFFFF"/>
        </w:rPr>
        <w:t>包括但不限于请款函、</w:t>
      </w:r>
      <w:r>
        <w:rPr>
          <w:rFonts w:hint="eastAsia"/>
          <w:szCs w:val="21"/>
          <w:shd w:val="clear" w:color="auto" w:fill="FFFFFF"/>
        </w:rPr>
        <w:t>结算明细表、用车登记台账</w:t>
      </w:r>
      <w:r>
        <w:rPr>
          <w:szCs w:val="21"/>
          <w:shd w:val="clear" w:color="auto" w:fill="FFFFFF"/>
        </w:rPr>
        <w:t>等材料。</w:t>
      </w:r>
      <w:r>
        <w:rPr>
          <w:szCs w:val="21"/>
        </w:rPr>
        <w:t>双方核对</w:t>
      </w:r>
      <w:r>
        <w:rPr>
          <w:rFonts w:hint="eastAsia"/>
          <w:szCs w:val="21"/>
        </w:rPr>
        <w:t>结算凭据</w:t>
      </w:r>
      <w:r>
        <w:rPr>
          <w:szCs w:val="21"/>
        </w:rPr>
        <w:t>无误</w:t>
      </w:r>
      <w:r>
        <w:rPr>
          <w:rFonts w:hint="eastAsia"/>
          <w:szCs w:val="21"/>
        </w:rPr>
        <w:t>，并完成上述第四条第2点所提项目验收后，</w:t>
      </w:r>
      <w:r>
        <w:rPr>
          <w:szCs w:val="21"/>
          <w:shd w:val="clear" w:color="auto" w:fill="FFFFFF"/>
        </w:rPr>
        <w:t>甲方</w:t>
      </w:r>
      <w:r>
        <w:rPr>
          <w:rFonts w:hint="eastAsia"/>
          <w:szCs w:val="21"/>
          <w:shd w:val="clear" w:color="auto" w:fill="FFFFFF"/>
        </w:rPr>
        <w:t>在60天内</w:t>
      </w:r>
      <w:r>
        <w:rPr>
          <w:szCs w:val="21"/>
        </w:rPr>
        <w:t>一次性支付应付款项</w:t>
      </w:r>
      <w:r>
        <w:rPr>
          <w:rFonts w:hint="eastAsia"/>
          <w:szCs w:val="21"/>
        </w:rPr>
        <w:t>给乙方</w:t>
      </w:r>
      <w:r>
        <w:rPr>
          <w:szCs w:val="21"/>
          <w:shd w:val="clear" w:color="auto" w:fill="FFFFFF"/>
        </w:rPr>
        <w:t>。</w:t>
      </w:r>
    </w:p>
    <w:p w14:paraId="0AD9A2B7">
      <w:pPr>
        <w:snapToGrid w:val="0"/>
        <w:spacing w:line="400" w:lineRule="exact"/>
        <w:ind w:firstLine="420" w:firstLineChars="200"/>
        <w:rPr>
          <w:rFonts w:ascii="宋体" w:hAnsi="宋体"/>
          <w:szCs w:val="21"/>
        </w:rPr>
      </w:pPr>
      <w:r>
        <w:rPr>
          <w:rFonts w:hint="eastAsia" w:ascii="宋体" w:hAnsi="宋体"/>
          <w:szCs w:val="21"/>
        </w:rPr>
        <w:t>2.甲方付款前，乙方须按甲方要求开具对应本合同总金额的增值税专用发票给甲方，若乙方未开票则甲方有权拒绝付款且甲方不构成违约。</w:t>
      </w:r>
    </w:p>
    <w:p w14:paraId="5A440D36">
      <w:pPr>
        <w:snapToGrid w:val="0"/>
        <w:spacing w:line="400" w:lineRule="exact"/>
        <w:ind w:firstLine="422" w:firstLineChars="200"/>
        <w:rPr>
          <w:rFonts w:ascii="宋体" w:hAnsi="宋体"/>
          <w:b/>
          <w:szCs w:val="21"/>
        </w:rPr>
      </w:pPr>
      <w:r>
        <w:rPr>
          <w:rFonts w:ascii="宋体" w:hAnsi="宋体"/>
          <w:b/>
          <w:szCs w:val="21"/>
        </w:rPr>
        <w:t>第七条　履约保证金</w:t>
      </w:r>
    </w:p>
    <w:p w14:paraId="7FBBBC6F">
      <w:pPr>
        <w:spacing w:line="400" w:lineRule="exact"/>
        <w:ind w:firstLine="420" w:firstLineChars="200"/>
        <w:rPr>
          <w:rFonts w:ascii="宋体" w:hAnsi="宋体"/>
          <w:b/>
          <w:szCs w:val="21"/>
        </w:rPr>
      </w:pPr>
      <w:r>
        <w:rPr>
          <w:rFonts w:ascii="宋体" w:hAnsi="宋体"/>
          <w:szCs w:val="21"/>
        </w:rPr>
        <w:t>本项目无支付需履约保证金。违约责任所产生的违约金从支付的合同金额中扣除。</w:t>
      </w:r>
    </w:p>
    <w:p w14:paraId="6038FD23">
      <w:pPr>
        <w:spacing w:line="400" w:lineRule="exact"/>
        <w:ind w:firstLine="422" w:firstLineChars="200"/>
        <w:rPr>
          <w:rFonts w:ascii="宋体" w:hAnsi="宋体"/>
          <w:b/>
          <w:szCs w:val="21"/>
        </w:rPr>
      </w:pPr>
      <w:r>
        <w:rPr>
          <w:rFonts w:ascii="宋体" w:hAnsi="宋体"/>
          <w:b/>
          <w:szCs w:val="21"/>
        </w:rPr>
        <w:t>第八条  税费</w:t>
      </w:r>
    </w:p>
    <w:p w14:paraId="055409A6">
      <w:pPr>
        <w:spacing w:line="400" w:lineRule="exact"/>
        <w:ind w:firstLine="420" w:firstLineChars="200"/>
        <w:rPr>
          <w:rFonts w:ascii="宋体" w:hAnsi="宋体"/>
          <w:szCs w:val="21"/>
        </w:rPr>
      </w:pPr>
      <w:r>
        <w:rPr>
          <w:rFonts w:ascii="宋体" w:hAnsi="宋体"/>
          <w:szCs w:val="21"/>
        </w:rPr>
        <w:t>本合同执行中相关的一切税费均由乙方负担，合同另有约定的除外。</w:t>
      </w:r>
    </w:p>
    <w:p w14:paraId="0402E84B">
      <w:pPr>
        <w:spacing w:line="400" w:lineRule="exact"/>
        <w:ind w:firstLine="422" w:firstLineChars="200"/>
        <w:rPr>
          <w:rFonts w:ascii="宋体" w:hAnsi="宋体"/>
          <w:b/>
          <w:szCs w:val="21"/>
        </w:rPr>
      </w:pPr>
      <w:r>
        <w:rPr>
          <w:rFonts w:ascii="宋体" w:hAnsi="宋体"/>
          <w:b/>
          <w:szCs w:val="21"/>
        </w:rPr>
        <w:t>第九条  乙方保密责任</w:t>
      </w:r>
    </w:p>
    <w:p w14:paraId="7E96478E">
      <w:pPr>
        <w:spacing w:line="400" w:lineRule="exact"/>
        <w:ind w:firstLine="420" w:firstLineChars="200"/>
        <w:rPr>
          <w:rFonts w:ascii="宋体" w:hAnsi="宋体"/>
          <w:szCs w:val="21"/>
        </w:rPr>
      </w:pPr>
      <w:r>
        <w:rPr>
          <w:rFonts w:ascii="宋体" w:hAnsi="宋体"/>
          <w:szCs w:val="21"/>
        </w:rPr>
        <w:t>1、在处理委托服务内容过程中，乙方应对获悉的所有文件及相关材料承担保密义务，未经甲方书面许可不得泄露给任何第三方；</w:t>
      </w:r>
    </w:p>
    <w:p w14:paraId="66440945">
      <w:pPr>
        <w:spacing w:line="400" w:lineRule="exact"/>
        <w:ind w:firstLine="420" w:firstLineChars="200"/>
        <w:rPr>
          <w:rFonts w:ascii="宋体" w:hAnsi="宋体"/>
          <w:szCs w:val="21"/>
        </w:rPr>
      </w:pPr>
      <w:r>
        <w:rPr>
          <w:rFonts w:ascii="宋体" w:hAnsi="宋体"/>
          <w:szCs w:val="21"/>
        </w:rPr>
        <w:t>2、乙方在提供服务过程中获悉的所有文件及相关材料仅用于其处理本项目服务内容，不得用作他途；</w:t>
      </w:r>
    </w:p>
    <w:p w14:paraId="5B24917A">
      <w:pPr>
        <w:spacing w:line="400" w:lineRule="exact"/>
        <w:ind w:firstLine="420" w:firstLineChars="200"/>
        <w:rPr>
          <w:rFonts w:ascii="宋体" w:hAnsi="宋体"/>
          <w:szCs w:val="21"/>
        </w:rPr>
      </w:pPr>
      <w:r>
        <w:rPr>
          <w:rFonts w:ascii="宋体" w:hAnsi="宋体"/>
          <w:szCs w:val="21"/>
        </w:rPr>
        <w:t>3、乙方获悉的所有文件及相关材料仅限于参与本项目的乙方工作人员使用，并严格控制知情人员。</w:t>
      </w:r>
    </w:p>
    <w:p w14:paraId="24EDE75D">
      <w:pPr>
        <w:spacing w:line="400" w:lineRule="exact"/>
        <w:ind w:firstLine="420" w:firstLineChars="200"/>
        <w:rPr>
          <w:rFonts w:ascii="宋体" w:hAnsi="宋体"/>
          <w:szCs w:val="21"/>
        </w:rPr>
      </w:pPr>
      <w:r>
        <w:rPr>
          <w:rFonts w:ascii="宋体" w:hAnsi="宋体"/>
          <w:szCs w:val="21"/>
        </w:rPr>
        <w:t>4、该条款内容长期有效，不因本合同的终止而终止。</w:t>
      </w:r>
    </w:p>
    <w:p w14:paraId="55D19FCB">
      <w:pPr>
        <w:spacing w:line="400" w:lineRule="exact"/>
        <w:ind w:firstLine="422" w:firstLineChars="200"/>
        <w:rPr>
          <w:rFonts w:ascii="宋体" w:hAnsi="宋体"/>
          <w:b/>
          <w:szCs w:val="21"/>
        </w:rPr>
      </w:pPr>
      <w:r>
        <w:rPr>
          <w:rFonts w:ascii="宋体" w:hAnsi="宋体"/>
          <w:b/>
          <w:szCs w:val="21"/>
        </w:rPr>
        <w:t>第十条　违约责任</w:t>
      </w:r>
    </w:p>
    <w:p w14:paraId="65EC13BF">
      <w:pPr>
        <w:snapToGrid w:val="0"/>
        <w:spacing w:line="400" w:lineRule="exact"/>
        <w:ind w:firstLine="420" w:firstLineChars="200"/>
        <w:rPr>
          <w:rFonts w:ascii="宋体" w:hAnsi="宋体"/>
          <w:szCs w:val="21"/>
        </w:rPr>
      </w:pPr>
      <w:r>
        <w:rPr>
          <w:rFonts w:ascii="宋体" w:hAnsi="宋体"/>
          <w:szCs w:val="21"/>
        </w:rPr>
        <w:t>1.乙方未按响应文件或合同的要求和规定提供车辆服务的，采购人有权终止合同，所造成的损失由乙方负责。</w:t>
      </w:r>
    </w:p>
    <w:p w14:paraId="2CBE80E5">
      <w:pPr>
        <w:snapToGrid w:val="0"/>
        <w:spacing w:line="400" w:lineRule="exact"/>
        <w:ind w:firstLine="420" w:firstLineChars="200"/>
        <w:rPr>
          <w:rFonts w:ascii="宋体" w:hAnsi="宋体"/>
          <w:szCs w:val="21"/>
        </w:rPr>
      </w:pPr>
      <w:r>
        <w:rPr>
          <w:rFonts w:ascii="宋体" w:hAnsi="宋体"/>
          <w:szCs w:val="21"/>
        </w:rPr>
        <w:t xml:space="preserve">2.如因乙方原因，造成晚点到达10分钟，扣除当次租车费200元，晚点20分钟的，扣除当次租车费600元，晚点30分钟以上的，扣除当日全部租车费。 </w:t>
      </w:r>
    </w:p>
    <w:p w14:paraId="2363AA5C">
      <w:pPr>
        <w:snapToGrid w:val="0"/>
        <w:spacing w:line="400" w:lineRule="exact"/>
        <w:ind w:firstLine="420" w:firstLineChars="200"/>
        <w:rPr>
          <w:rFonts w:ascii="宋体" w:hAnsi="宋体"/>
          <w:szCs w:val="21"/>
        </w:rPr>
      </w:pPr>
      <w:r>
        <w:rPr>
          <w:rFonts w:ascii="宋体" w:hAnsi="宋体"/>
          <w:szCs w:val="21"/>
        </w:rPr>
        <w:t>3.如因乙方原因造成脱班的，除扣除当日租车全部费用外，乙方还应赔偿甲方2000元。</w:t>
      </w:r>
    </w:p>
    <w:p w14:paraId="418B44BE">
      <w:pPr>
        <w:snapToGrid w:val="0"/>
        <w:spacing w:line="400" w:lineRule="exact"/>
        <w:ind w:firstLine="420" w:firstLineChars="200"/>
        <w:rPr>
          <w:rFonts w:ascii="宋体" w:hAnsi="宋体"/>
          <w:szCs w:val="21"/>
        </w:rPr>
      </w:pPr>
      <w:r>
        <w:rPr>
          <w:rFonts w:ascii="宋体" w:hAnsi="宋体"/>
          <w:szCs w:val="21"/>
        </w:rPr>
        <w:t>4.乙方在服务过程中如侵犯了第三方合法权益而引发的任何纠纷或诉讼，均由乙方负责交涉并承担全部责任。</w:t>
      </w:r>
    </w:p>
    <w:p w14:paraId="16D90524">
      <w:pPr>
        <w:snapToGrid w:val="0"/>
        <w:spacing w:line="400" w:lineRule="exact"/>
        <w:ind w:firstLine="420" w:firstLineChars="200"/>
        <w:rPr>
          <w:rFonts w:ascii="宋体" w:hAnsi="宋体"/>
          <w:szCs w:val="21"/>
        </w:rPr>
      </w:pPr>
      <w:r>
        <w:rPr>
          <w:rFonts w:ascii="宋体" w:hAnsi="宋体"/>
          <w:szCs w:val="21"/>
        </w:rPr>
        <w:t>5.由于甲方的原因造成合同不能如期履行的，双方可根据具体情况顺延合同的履行期，对乙方因此遭受的损失，甲方应予以补偿。</w:t>
      </w:r>
    </w:p>
    <w:p w14:paraId="1EA700EF">
      <w:pPr>
        <w:snapToGrid w:val="0"/>
        <w:spacing w:line="400" w:lineRule="exact"/>
        <w:ind w:firstLine="420" w:firstLineChars="200"/>
        <w:rPr>
          <w:rFonts w:ascii="宋体" w:hAnsi="宋体"/>
          <w:szCs w:val="21"/>
        </w:rPr>
      </w:pPr>
      <w:r>
        <w:rPr>
          <w:rFonts w:ascii="宋体" w:hAnsi="宋体"/>
          <w:szCs w:val="21"/>
        </w:rPr>
        <w:t>6.乙方不得将项目全部或部分进行转包、分包，如有违反，乙方应向甲方一次性支付合同总价20%的违约金，且甲方有权解除合同。</w:t>
      </w:r>
    </w:p>
    <w:p w14:paraId="07DB95E9">
      <w:pPr>
        <w:snapToGrid w:val="0"/>
        <w:spacing w:line="400" w:lineRule="exact"/>
        <w:ind w:firstLine="420" w:firstLineChars="200"/>
        <w:rPr>
          <w:rFonts w:ascii="宋体" w:hAnsi="宋体"/>
          <w:szCs w:val="21"/>
        </w:rPr>
      </w:pPr>
      <w:r>
        <w:rPr>
          <w:rFonts w:ascii="宋体" w:hAnsi="宋体"/>
          <w:szCs w:val="21"/>
        </w:rPr>
        <w:t>7.乙方未按本合同和响应文件中规定的服务承诺提供服务的，乙方应按本合同合计金额 30%向甲方支付违约金。</w:t>
      </w:r>
    </w:p>
    <w:p w14:paraId="0E12D142">
      <w:pPr>
        <w:snapToGrid w:val="0"/>
        <w:spacing w:line="400" w:lineRule="exact"/>
        <w:ind w:firstLine="420" w:firstLineChars="200"/>
        <w:rPr>
          <w:rFonts w:ascii="宋体" w:hAnsi="宋体"/>
          <w:szCs w:val="21"/>
        </w:rPr>
      </w:pPr>
      <w:r>
        <w:rPr>
          <w:rFonts w:ascii="宋体" w:hAnsi="宋体"/>
          <w:szCs w:val="21"/>
        </w:rPr>
        <w:t>8.乙方其它违约行为按合同总价5%收取违约金。</w:t>
      </w:r>
    </w:p>
    <w:p w14:paraId="02F27AA4">
      <w:pPr>
        <w:snapToGrid w:val="0"/>
        <w:spacing w:line="400" w:lineRule="exact"/>
        <w:ind w:firstLine="420" w:firstLineChars="200"/>
        <w:rPr>
          <w:rFonts w:ascii="宋体" w:hAnsi="宋体"/>
          <w:szCs w:val="21"/>
        </w:rPr>
      </w:pPr>
      <w:r>
        <w:rPr>
          <w:rFonts w:ascii="宋体" w:hAnsi="宋体"/>
          <w:szCs w:val="21"/>
        </w:rPr>
        <w:t>9.乙方支付的违约金不足以弥补甲方损失的，应承担赔偿责任。</w:t>
      </w:r>
    </w:p>
    <w:p w14:paraId="2B5798C1">
      <w:pPr>
        <w:spacing w:line="400" w:lineRule="exact"/>
        <w:ind w:firstLine="422" w:firstLineChars="200"/>
        <w:rPr>
          <w:rFonts w:ascii="宋体" w:hAnsi="宋体"/>
          <w:b/>
          <w:szCs w:val="21"/>
        </w:rPr>
      </w:pPr>
      <w:r>
        <w:rPr>
          <w:rFonts w:ascii="宋体" w:hAnsi="宋体"/>
          <w:b/>
          <w:szCs w:val="21"/>
        </w:rPr>
        <w:t>第十一条  不可抗力事件处理</w:t>
      </w:r>
    </w:p>
    <w:p w14:paraId="5A8C0047">
      <w:pPr>
        <w:spacing w:line="400" w:lineRule="exact"/>
        <w:ind w:firstLine="420" w:firstLineChars="200"/>
        <w:rPr>
          <w:rFonts w:ascii="宋体" w:hAnsi="宋体"/>
          <w:szCs w:val="21"/>
        </w:rPr>
      </w:pPr>
      <w:r>
        <w:rPr>
          <w:rFonts w:ascii="宋体" w:hAnsi="宋体"/>
          <w:szCs w:val="21"/>
        </w:rPr>
        <w:t>1、在合同有效期内，任何一方因不可抗力事件导致不能履行合同，则合同履行期可延长，其延长期与不可抗力影响期相同。</w:t>
      </w:r>
    </w:p>
    <w:p w14:paraId="47F37E4E">
      <w:pPr>
        <w:spacing w:line="400" w:lineRule="exact"/>
        <w:ind w:firstLine="420" w:firstLineChars="200"/>
        <w:rPr>
          <w:rFonts w:ascii="宋体" w:hAnsi="宋体"/>
          <w:szCs w:val="21"/>
        </w:rPr>
      </w:pPr>
      <w:r>
        <w:rPr>
          <w:rFonts w:ascii="宋体" w:hAnsi="宋体"/>
          <w:szCs w:val="21"/>
        </w:rPr>
        <w:t>2、由于不可抗力事件不能全部或部分履行合同义务时，任一方可中止履行其在本合同项下的义务（在不可抗力事件发生前已发生的应履行但未履行义务除外）。</w:t>
      </w:r>
    </w:p>
    <w:p w14:paraId="6341605C">
      <w:pPr>
        <w:spacing w:line="400" w:lineRule="exact"/>
        <w:ind w:firstLine="420" w:firstLineChars="200"/>
        <w:rPr>
          <w:rFonts w:ascii="宋体" w:hAnsi="宋体"/>
          <w:szCs w:val="21"/>
        </w:rPr>
      </w:pPr>
      <w:r>
        <w:rPr>
          <w:rFonts w:ascii="宋体" w:hAnsi="宋体"/>
          <w:szCs w:val="21"/>
        </w:rPr>
        <w:t>3、不可抗力事件发生后，应立即通知对方，并寄送有关权威机构出具的证明。声称受到不可抗力的一方应在任何时候采取合理的行动，以避免或尽量减少不可抗力事件的影响。因主观原因延误，未及时采取必要措施而导致损失扩大的，不能免除责任</w:t>
      </w:r>
    </w:p>
    <w:p w14:paraId="5E1A8415">
      <w:pPr>
        <w:spacing w:line="400" w:lineRule="exact"/>
        <w:ind w:firstLine="420" w:firstLineChars="200"/>
        <w:rPr>
          <w:rFonts w:ascii="宋体" w:hAnsi="宋体"/>
          <w:szCs w:val="21"/>
        </w:rPr>
      </w:pPr>
      <w:r>
        <w:rPr>
          <w:rFonts w:ascii="宋体" w:hAnsi="宋体"/>
          <w:szCs w:val="21"/>
        </w:rPr>
        <w:t>4、不可抗力事件延续一百二十天以上，双方应通过友好协商，确定是否继续履行合同。</w:t>
      </w:r>
    </w:p>
    <w:p w14:paraId="3A4A1197">
      <w:pPr>
        <w:spacing w:line="400" w:lineRule="exact"/>
        <w:ind w:firstLine="422" w:firstLineChars="200"/>
        <w:rPr>
          <w:rFonts w:ascii="宋体" w:hAnsi="宋体"/>
          <w:szCs w:val="21"/>
        </w:rPr>
      </w:pPr>
      <w:r>
        <w:rPr>
          <w:rFonts w:ascii="宋体" w:hAnsi="宋体"/>
          <w:b/>
          <w:szCs w:val="21"/>
        </w:rPr>
        <w:t>第十二条  合同争议解决</w:t>
      </w:r>
    </w:p>
    <w:p w14:paraId="4691A047">
      <w:pPr>
        <w:snapToGrid w:val="0"/>
        <w:spacing w:line="400" w:lineRule="exact"/>
        <w:ind w:firstLine="420" w:firstLineChars="200"/>
        <w:rPr>
          <w:rFonts w:ascii="宋体" w:hAnsi="宋体"/>
          <w:szCs w:val="21"/>
        </w:rPr>
      </w:pPr>
      <w:r>
        <w:rPr>
          <w:rFonts w:ascii="宋体" w:hAnsi="宋体"/>
          <w:szCs w:val="21"/>
        </w:rPr>
        <w:t>1、因服务质量问题发生争议的，应邀请国家认可的质量检测机构进行鉴定。服务符合标准的，鉴定费由甲方承担；服务不符合标准的，鉴定费由乙方承担。</w:t>
      </w:r>
    </w:p>
    <w:p w14:paraId="5BBE9623">
      <w:pPr>
        <w:snapToGrid w:val="0"/>
        <w:spacing w:line="400" w:lineRule="exact"/>
        <w:ind w:firstLine="420" w:firstLineChars="200"/>
        <w:rPr>
          <w:rFonts w:ascii="宋体" w:hAnsi="宋体"/>
          <w:szCs w:val="21"/>
        </w:rPr>
      </w:pPr>
      <w:r>
        <w:rPr>
          <w:rFonts w:ascii="宋体" w:hAnsi="宋体"/>
          <w:szCs w:val="21"/>
        </w:rPr>
        <w:t>2、因履行本合同引起的或与本合同有关的争议，甲乙双方应首先通过友好协商解决，如果协商不能解决，可向甲方所在地有管辖权人民法院提起诉讼。</w:t>
      </w:r>
    </w:p>
    <w:p w14:paraId="3992AE75">
      <w:pPr>
        <w:snapToGrid w:val="0"/>
        <w:spacing w:line="400" w:lineRule="exact"/>
        <w:ind w:firstLine="420" w:firstLineChars="200"/>
        <w:rPr>
          <w:rFonts w:ascii="宋体" w:hAnsi="宋体"/>
          <w:szCs w:val="21"/>
        </w:rPr>
      </w:pPr>
      <w:r>
        <w:rPr>
          <w:rFonts w:ascii="宋体" w:hAnsi="宋体"/>
          <w:szCs w:val="21"/>
        </w:rPr>
        <w:t>3、诉讼期间，本合同继续履行。</w:t>
      </w:r>
    </w:p>
    <w:p w14:paraId="4B3B8E01">
      <w:pPr>
        <w:spacing w:line="400" w:lineRule="exact"/>
        <w:ind w:firstLine="422" w:firstLineChars="200"/>
        <w:rPr>
          <w:rFonts w:ascii="宋体" w:hAnsi="宋体"/>
          <w:b/>
          <w:szCs w:val="21"/>
        </w:rPr>
      </w:pPr>
      <w:r>
        <w:rPr>
          <w:rFonts w:ascii="宋体" w:hAnsi="宋体"/>
          <w:b/>
          <w:szCs w:val="21"/>
        </w:rPr>
        <w:t>第十三条  合同生效及其它</w:t>
      </w:r>
    </w:p>
    <w:p w14:paraId="46C38B7D">
      <w:pPr>
        <w:spacing w:line="400" w:lineRule="exact"/>
        <w:ind w:firstLine="420" w:firstLineChars="200"/>
        <w:rPr>
          <w:rFonts w:ascii="宋体" w:hAnsi="宋体"/>
          <w:szCs w:val="21"/>
        </w:rPr>
      </w:pPr>
      <w:r>
        <w:rPr>
          <w:rFonts w:ascii="宋体" w:hAnsi="宋体"/>
          <w:szCs w:val="21"/>
        </w:rPr>
        <w:t>1、合同经双方法定代表人或授权代表签字并加盖单位公章后生效（委托代理人签字的需后附法定代表人授权委托书，格式自拟）。</w:t>
      </w:r>
    </w:p>
    <w:p w14:paraId="56CB0D0E">
      <w:pPr>
        <w:spacing w:line="400" w:lineRule="exact"/>
        <w:ind w:firstLine="420" w:firstLineChars="200"/>
        <w:rPr>
          <w:rFonts w:ascii="宋体" w:hAnsi="宋体"/>
          <w:szCs w:val="21"/>
        </w:rPr>
      </w:pPr>
      <w:r>
        <w:rPr>
          <w:rFonts w:ascii="宋体" w:hAnsi="宋体"/>
          <w:szCs w:val="21"/>
        </w:rPr>
        <w:t>2、合同执行中涉及采购资金和采购内容修改或补充的，须经财政部门审批，并签书面补充协议报财政部门备案，方可作为主合同不可分割的一部分。</w:t>
      </w:r>
    </w:p>
    <w:p w14:paraId="46C0B956">
      <w:pPr>
        <w:spacing w:line="400" w:lineRule="exact"/>
        <w:ind w:firstLine="420" w:firstLineChars="200"/>
        <w:rPr>
          <w:rFonts w:ascii="宋体" w:hAnsi="宋体"/>
          <w:szCs w:val="21"/>
        </w:rPr>
      </w:pPr>
      <w:r>
        <w:rPr>
          <w:rFonts w:ascii="宋体" w:hAnsi="宋体"/>
          <w:szCs w:val="21"/>
        </w:rPr>
        <w:t>3、本合同未尽事宜，遵照《中华人民共和国民法典》有关条文执行。</w:t>
      </w:r>
    </w:p>
    <w:p w14:paraId="6A92FD9E">
      <w:pPr>
        <w:spacing w:line="400" w:lineRule="exact"/>
        <w:ind w:firstLine="422" w:firstLineChars="200"/>
        <w:rPr>
          <w:rFonts w:ascii="宋体" w:hAnsi="宋体"/>
          <w:b/>
          <w:szCs w:val="21"/>
        </w:rPr>
      </w:pPr>
      <w:r>
        <w:rPr>
          <w:rFonts w:ascii="宋体" w:hAnsi="宋体"/>
          <w:b/>
          <w:szCs w:val="21"/>
        </w:rPr>
        <w:t>第十四条　合同的变更、终止与转让</w:t>
      </w:r>
    </w:p>
    <w:p w14:paraId="24188D63">
      <w:pPr>
        <w:spacing w:line="400" w:lineRule="exact"/>
        <w:ind w:firstLine="420" w:firstLineChars="200"/>
        <w:rPr>
          <w:rFonts w:ascii="宋体" w:hAnsi="宋体"/>
          <w:szCs w:val="21"/>
        </w:rPr>
      </w:pPr>
      <w:r>
        <w:rPr>
          <w:rFonts w:ascii="宋体" w:hAnsi="宋体"/>
          <w:szCs w:val="21"/>
        </w:rPr>
        <w:t>1、除《中华人民共和国政府采购法》第五十条规定的情形外，本合同一经签订，甲乙双方不得擅自变更、中止或终止。</w:t>
      </w:r>
    </w:p>
    <w:p w14:paraId="5CF4D386">
      <w:pPr>
        <w:spacing w:line="400" w:lineRule="exact"/>
        <w:ind w:firstLine="420" w:firstLineChars="200"/>
        <w:rPr>
          <w:rFonts w:ascii="宋体" w:hAnsi="宋体"/>
          <w:szCs w:val="21"/>
        </w:rPr>
      </w:pPr>
      <w:r>
        <w:rPr>
          <w:rFonts w:ascii="宋体" w:hAnsi="宋体"/>
          <w:szCs w:val="21"/>
        </w:rPr>
        <w:t>2、乙方不得擅自转让其应履行的合同义务。</w:t>
      </w:r>
    </w:p>
    <w:p w14:paraId="37639D3D">
      <w:pPr>
        <w:spacing w:line="400" w:lineRule="exact"/>
        <w:ind w:firstLine="422" w:firstLineChars="200"/>
        <w:rPr>
          <w:rFonts w:ascii="宋体" w:hAnsi="宋体"/>
          <w:b/>
          <w:szCs w:val="21"/>
        </w:rPr>
      </w:pPr>
      <w:r>
        <w:rPr>
          <w:rFonts w:ascii="宋体" w:hAnsi="宋体"/>
          <w:b/>
          <w:szCs w:val="21"/>
        </w:rPr>
        <w:t>第十五条　签订本合同依据</w:t>
      </w:r>
    </w:p>
    <w:p w14:paraId="0393F3AC">
      <w:pPr>
        <w:spacing w:line="400" w:lineRule="exact"/>
        <w:ind w:firstLine="420" w:firstLineChars="200"/>
        <w:rPr>
          <w:rFonts w:ascii="宋体" w:hAnsi="宋体"/>
          <w:szCs w:val="21"/>
        </w:rPr>
      </w:pPr>
      <w:r>
        <w:rPr>
          <w:rFonts w:ascii="宋体" w:hAnsi="宋体"/>
          <w:szCs w:val="21"/>
        </w:rPr>
        <w:t>1、成交通知书；</w:t>
      </w:r>
    </w:p>
    <w:p w14:paraId="5DF7BE09">
      <w:pPr>
        <w:spacing w:line="400" w:lineRule="exact"/>
        <w:ind w:firstLine="420" w:firstLineChars="200"/>
        <w:rPr>
          <w:rFonts w:ascii="宋体" w:hAnsi="宋体"/>
          <w:szCs w:val="21"/>
        </w:rPr>
      </w:pPr>
      <w:r>
        <w:rPr>
          <w:rFonts w:ascii="宋体" w:hAnsi="宋体"/>
          <w:szCs w:val="21"/>
        </w:rPr>
        <w:t>2、响应报价表；</w:t>
      </w:r>
    </w:p>
    <w:p w14:paraId="04425416">
      <w:pPr>
        <w:spacing w:line="400" w:lineRule="exact"/>
        <w:ind w:firstLine="420" w:firstLineChars="200"/>
        <w:rPr>
          <w:rFonts w:ascii="宋体" w:hAnsi="宋体"/>
          <w:szCs w:val="21"/>
        </w:rPr>
      </w:pPr>
      <w:r>
        <w:rPr>
          <w:rFonts w:ascii="宋体" w:hAnsi="宋体"/>
          <w:szCs w:val="21"/>
        </w:rPr>
        <w:t>3、商务条款偏离表和技术需求偏离表；</w:t>
      </w:r>
    </w:p>
    <w:p w14:paraId="7FA08A48">
      <w:pPr>
        <w:spacing w:line="400" w:lineRule="exact"/>
        <w:ind w:firstLine="420" w:firstLineChars="200"/>
        <w:rPr>
          <w:rFonts w:ascii="宋体" w:hAnsi="宋体"/>
          <w:szCs w:val="21"/>
        </w:rPr>
      </w:pPr>
      <w:r>
        <w:rPr>
          <w:rFonts w:ascii="宋体" w:hAnsi="宋体"/>
          <w:szCs w:val="21"/>
        </w:rPr>
        <w:t>4、售后服务承诺；</w:t>
      </w:r>
    </w:p>
    <w:p w14:paraId="4CE5F87F">
      <w:pPr>
        <w:spacing w:line="400" w:lineRule="exact"/>
        <w:ind w:firstLine="420" w:firstLineChars="200"/>
        <w:rPr>
          <w:rFonts w:ascii="宋体" w:hAnsi="宋体"/>
          <w:szCs w:val="21"/>
        </w:rPr>
      </w:pPr>
      <w:r>
        <w:rPr>
          <w:rFonts w:ascii="宋体" w:hAnsi="宋体"/>
          <w:szCs w:val="21"/>
        </w:rPr>
        <w:t>5、响应文件中的其他相关文件。</w:t>
      </w:r>
    </w:p>
    <w:p w14:paraId="2D7B0238">
      <w:pPr>
        <w:spacing w:line="400" w:lineRule="exact"/>
        <w:ind w:firstLine="420" w:firstLineChars="200"/>
        <w:rPr>
          <w:rFonts w:ascii="宋体" w:hAnsi="宋体"/>
          <w:szCs w:val="21"/>
        </w:rPr>
      </w:pPr>
      <w:r>
        <w:rPr>
          <w:rFonts w:ascii="宋体" w:hAnsi="宋体"/>
          <w:szCs w:val="21"/>
        </w:rPr>
        <w:t>6、上述合同文件互相补充和解释。如果合同文件之间存在矛盾或不一致之处，以上述文件 的排列顺序在先者为准。</w:t>
      </w:r>
    </w:p>
    <w:p w14:paraId="6310EF44">
      <w:pPr>
        <w:spacing w:line="400" w:lineRule="exact"/>
        <w:ind w:firstLine="422" w:firstLineChars="200"/>
        <w:rPr>
          <w:rFonts w:ascii="宋体" w:hAnsi="宋体"/>
          <w:szCs w:val="21"/>
        </w:rPr>
      </w:pPr>
      <w:r>
        <w:rPr>
          <w:rFonts w:ascii="宋体" w:hAnsi="宋体"/>
          <w:b/>
          <w:szCs w:val="21"/>
        </w:rPr>
        <w:t>第十六条　</w:t>
      </w:r>
      <w:r>
        <w:rPr>
          <w:rFonts w:ascii="宋体" w:hAnsi="宋体"/>
          <w:szCs w:val="21"/>
        </w:rPr>
        <w:t>本合同一式六份，具有同等法律效力，甲乙双方各三份。</w:t>
      </w:r>
    </w:p>
    <w:p w14:paraId="1BB7E423">
      <w:pPr>
        <w:snapToGrid w:val="0"/>
        <w:spacing w:line="400" w:lineRule="exact"/>
        <w:ind w:firstLine="420" w:firstLineChars="200"/>
        <w:rPr>
          <w:rFonts w:ascii="宋体" w:hAnsi="宋体"/>
          <w:szCs w:val="21"/>
        </w:rPr>
      </w:pPr>
      <w:r>
        <w:rPr>
          <w:rFonts w:ascii="宋体" w:hAnsi="宋体"/>
          <w:szCs w:val="21"/>
        </w:rPr>
        <w:t>本合同经甲乙双方法定代表人或被授权代表签字并加盖单位公章后生效。</w:t>
      </w:r>
    </w:p>
    <w:tbl>
      <w:tblPr>
        <w:tblStyle w:val="5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37"/>
        <w:gridCol w:w="4688"/>
      </w:tblGrid>
      <w:tr w14:paraId="3E2D8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75" w:hRule="atLeast"/>
          <w:jc w:val="center"/>
        </w:trPr>
        <w:tc>
          <w:tcPr>
            <w:tcW w:w="4437" w:type="dxa"/>
            <w:vAlign w:val="center"/>
          </w:tcPr>
          <w:p w14:paraId="78B7E3C9">
            <w:pPr>
              <w:snapToGrid w:val="0"/>
              <w:spacing w:line="360" w:lineRule="exact"/>
              <w:rPr>
                <w:rFonts w:ascii="宋体" w:hAnsi="宋体"/>
                <w:szCs w:val="21"/>
              </w:rPr>
            </w:pPr>
            <w:r>
              <w:rPr>
                <w:rFonts w:ascii="宋体" w:hAnsi="宋体"/>
                <w:szCs w:val="21"/>
              </w:rPr>
              <w:t xml:space="preserve">甲方（章）           </w:t>
            </w:r>
          </w:p>
          <w:p w14:paraId="41AA8464">
            <w:pPr>
              <w:snapToGrid w:val="0"/>
              <w:spacing w:line="360" w:lineRule="exact"/>
              <w:ind w:firstLine="945" w:firstLineChars="450"/>
              <w:jc w:val="right"/>
              <w:rPr>
                <w:rFonts w:ascii="宋体" w:hAnsi="宋体"/>
                <w:szCs w:val="21"/>
              </w:rPr>
            </w:pPr>
          </w:p>
        </w:tc>
        <w:tc>
          <w:tcPr>
            <w:tcW w:w="4688" w:type="dxa"/>
            <w:vAlign w:val="center"/>
          </w:tcPr>
          <w:p w14:paraId="45A5B93C">
            <w:pPr>
              <w:snapToGrid w:val="0"/>
              <w:spacing w:line="360" w:lineRule="exact"/>
              <w:rPr>
                <w:rFonts w:ascii="宋体" w:hAnsi="宋体"/>
                <w:szCs w:val="21"/>
              </w:rPr>
            </w:pPr>
            <w:r>
              <w:rPr>
                <w:rFonts w:ascii="宋体" w:hAnsi="宋体"/>
                <w:szCs w:val="21"/>
              </w:rPr>
              <w:t xml:space="preserve">乙方（章）              </w:t>
            </w:r>
          </w:p>
          <w:p w14:paraId="01C00286">
            <w:pPr>
              <w:snapToGrid w:val="0"/>
              <w:spacing w:line="360" w:lineRule="exact"/>
              <w:jc w:val="right"/>
              <w:rPr>
                <w:rFonts w:ascii="宋体" w:hAnsi="宋体"/>
                <w:szCs w:val="21"/>
              </w:rPr>
            </w:pPr>
          </w:p>
        </w:tc>
      </w:tr>
      <w:tr w14:paraId="05B51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atLeast"/>
          <w:jc w:val="center"/>
        </w:trPr>
        <w:tc>
          <w:tcPr>
            <w:tcW w:w="4437" w:type="dxa"/>
            <w:vAlign w:val="center"/>
          </w:tcPr>
          <w:p w14:paraId="746DF89D">
            <w:pPr>
              <w:snapToGrid w:val="0"/>
              <w:spacing w:line="360" w:lineRule="exact"/>
              <w:rPr>
                <w:rFonts w:ascii="宋体" w:hAnsi="宋体"/>
                <w:szCs w:val="21"/>
              </w:rPr>
            </w:pPr>
            <w:r>
              <w:rPr>
                <w:rFonts w:ascii="宋体" w:hAnsi="宋体"/>
                <w:szCs w:val="21"/>
              </w:rPr>
              <w:t>单位地址：</w:t>
            </w:r>
          </w:p>
        </w:tc>
        <w:tc>
          <w:tcPr>
            <w:tcW w:w="4688" w:type="dxa"/>
            <w:vAlign w:val="center"/>
          </w:tcPr>
          <w:p w14:paraId="39E79E6A">
            <w:pPr>
              <w:snapToGrid w:val="0"/>
              <w:spacing w:line="360" w:lineRule="exact"/>
              <w:rPr>
                <w:rFonts w:ascii="宋体" w:hAnsi="宋体"/>
                <w:szCs w:val="21"/>
              </w:rPr>
            </w:pPr>
            <w:r>
              <w:rPr>
                <w:rFonts w:ascii="宋体" w:hAnsi="宋体"/>
                <w:szCs w:val="21"/>
              </w:rPr>
              <w:t>单位地址：</w:t>
            </w:r>
          </w:p>
        </w:tc>
      </w:tr>
      <w:tr w14:paraId="0CB59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4437" w:type="dxa"/>
            <w:vAlign w:val="center"/>
          </w:tcPr>
          <w:p w14:paraId="0FBD0FF9">
            <w:pPr>
              <w:snapToGrid w:val="0"/>
              <w:spacing w:line="360" w:lineRule="exact"/>
              <w:rPr>
                <w:rFonts w:ascii="宋体" w:hAnsi="宋体"/>
                <w:szCs w:val="21"/>
              </w:rPr>
            </w:pPr>
            <w:r>
              <w:rPr>
                <w:rFonts w:ascii="宋体" w:hAnsi="宋体"/>
                <w:szCs w:val="21"/>
              </w:rPr>
              <w:t>法定代表人：</w:t>
            </w:r>
          </w:p>
        </w:tc>
        <w:tc>
          <w:tcPr>
            <w:tcW w:w="4688" w:type="dxa"/>
            <w:vAlign w:val="center"/>
          </w:tcPr>
          <w:p w14:paraId="631A8D8F">
            <w:pPr>
              <w:snapToGrid w:val="0"/>
              <w:spacing w:line="360" w:lineRule="exact"/>
              <w:rPr>
                <w:rFonts w:ascii="宋体" w:hAnsi="宋体"/>
                <w:szCs w:val="21"/>
              </w:rPr>
            </w:pPr>
            <w:r>
              <w:rPr>
                <w:rFonts w:ascii="宋体" w:hAnsi="宋体"/>
                <w:szCs w:val="21"/>
              </w:rPr>
              <w:t>法定代表人：</w:t>
            </w:r>
          </w:p>
        </w:tc>
      </w:tr>
      <w:tr w14:paraId="3DE7A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4" w:hRule="atLeast"/>
          <w:jc w:val="center"/>
        </w:trPr>
        <w:tc>
          <w:tcPr>
            <w:tcW w:w="4437" w:type="dxa"/>
            <w:vAlign w:val="center"/>
          </w:tcPr>
          <w:p w14:paraId="2DCC4C82">
            <w:pPr>
              <w:snapToGrid w:val="0"/>
              <w:spacing w:line="360" w:lineRule="exact"/>
              <w:rPr>
                <w:rFonts w:ascii="宋体" w:hAnsi="宋体"/>
                <w:szCs w:val="21"/>
              </w:rPr>
            </w:pPr>
            <w:r>
              <w:rPr>
                <w:rFonts w:ascii="宋体" w:hAnsi="宋体"/>
                <w:szCs w:val="21"/>
              </w:rPr>
              <w:t>委托代理人：</w:t>
            </w:r>
          </w:p>
        </w:tc>
        <w:tc>
          <w:tcPr>
            <w:tcW w:w="4688" w:type="dxa"/>
            <w:vAlign w:val="center"/>
          </w:tcPr>
          <w:p w14:paraId="119FE382">
            <w:pPr>
              <w:snapToGrid w:val="0"/>
              <w:spacing w:line="360" w:lineRule="exact"/>
              <w:rPr>
                <w:rFonts w:ascii="宋体" w:hAnsi="宋体"/>
                <w:szCs w:val="21"/>
              </w:rPr>
            </w:pPr>
            <w:r>
              <w:rPr>
                <w:rFonts w:ascii="宋体" w:hAnsi="宋体"/>
                <w:szCs w:val="21"/>
              </w:rPr>
              <w:t>委托代理人</w:t>
            </w:r>
          </w:p>
        </w:tc>
      </w:tr>
      <w:tr w14:paraId="70CDA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3" w:hRule="atLeast"/>
          <w:jc w:val="center"/>
        </w:trPr>
        <w:tc>
          <w:tcPr>
            <w:tcW w:w="4437" w:type="dxa"/>
            <w:vAlign w:val="center"/>
          </w:tcPr>
          <w:p w14:paraId="7A488202">
            <w:pPr>
              <w:snapToGrid w:val="0"/>
              <w:spacing w:line="360" w:lineRule="exact"/>
              <w:rPr>
                <w:rFonts w:ascii="宋体" w:hAnsi="宋体"/>
                <w:szCs w:val="21"/>
              </w:rPr>
            </w:pPr>
            <w:r>
              <w:rPr>
                <w:rFonts w:ascii="宋体" w:hAnsi="宋体"/>
                <w:szCs w:val="21"/>
              </w:rPr>
              <w:t>电话：</w:t>
            </w:r>
          </w:p>
        </w:tc>
        <w:tc>
          <w:tcPr>
            <w:tcW w:w="4688" w:type="dxa"/>
            <w:vAlign w:val="center"/>
          </w:tcPr>
          <w:p w14:paraId="4AB0843B">
            <w:pPr>
              <w:snapToGrid w:val="0"/>
              <w:spacing w:line="360" w:lineRule="exact"/>
              <w:rPr>
                <w:rFonts w:ascii="宋体" w:hAnsi="宋体"/>
                <w:szCs w:val="21"/>
              </w:rPr>
            </w:pPr>
            <w:r>
              <w:rPr>
                <w:rFonts w:ascii="宋体" w:hAnsi="宋体"/>
                <w:szCs w:val="21"/>
              </w:rPr>
              <w:t>电话：</w:t>
            </w:r>
          </w:p>
        </w:tc>
      </w:tr>
      <w:tr w14:paraId="5A2FF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0" w:hRule="atLeast"/>
          <w:jc w:val="center"/>
        </w:trPr>
        <w:tc>
          <w:tcPr>
            <w:tcW w:w="4437" w:type="dxa"/>
            <w:vAlign w:val="center"/>
          </w:tcPr>
          <w:p w14:paraId="1DBA2F8D">
            <w:pPr>
              <w:snapToGrid w:val="0"/>
              <w:spacing w:line="360" w:lineRule="exact"/>
              <w:rPr>
                <w:rFonts w:ascii="宋体" w:hAnsi="宋体"/>
                <w:szCs w:val="21"/>
              </w:rPr>
            </w:pPr>
            <w:r>
              <w:rPr>
                <w:rFonts w:ascii="宋体" w:hAnsi="宋体"/>
                <w:szCs w:val="21"/>
              </w:rPr>
              <w:t>开户银行：</w:t>
            </w:r>
          </w:p>
        </w:tc>
        <w:tc>
          <w:tcPr>
            <w:tcW w:w="4688" w:type="dxa"/>
            <w:vAlign w:val="center"/>
          </w:tcPr>
          <w:p w14:paraId="0ABEF0FE">
            <w:pPr>
              <w:snapToGrid w:val="0"/>
              <w:spacing w:line="360" w:lineRule="exact"/>
              <w:rPr>
                <w:rFonts w:ascii="宋体" w:hAnsi="宋体"/>
                <w:szCs w:val="21"/>
              </w:rPr>
            </w:pPr>
            <w:r>
              <w:rPr>
                <w:rFonts w:ascii="宋体" w:hAnsi="宋体"/>
                <w:szCs w:val="21"/>
              </w:rPr>
              <w:t>开户银行：</w:t>
            </w:r>
          </w:p>
        </w:tc>
      </w:tr>
      <w:tr w14:paraId="0330C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6" w:hRule="atLeast"/>
          <w:jc w:val="center"/>
        </w:trPr>
        <w:tc>
          <w:tcPr>
            <w:tcW w:w="4437" w:type="dxa"/>
            <w:vAlign w:val="center"/>
          </w:tcPr>
          <w:p w14:paraId="7E6FE9DB">
            <w:pPr>
              <w:snapToGrid w:val="0"/>
              <w:spacing w:line="360" w:lineRule="exact"/>
              <w:rPr>
                <w:rFonts w:ascii="宋体" w:hAnsi="宋体"/>
                <w:szCs w:val="21"/>
              </w:rPr>
            </w:pPr>
            <w:r>
              <w:rPr>
                <w:rFonts w:ascii="宋体" w:hAnsi="宋体"/>
                <w:szCs w:val="21"/>
              </w:rPr>
              <w:t>账号：</w:t>
            </w:r>
          </w:p>
        </w:tc>
        <w:tc>
          <w:tcPr>
            <w:tcW w:w="4688" w:type="dxa"/>
            <w:vAlign w:val="center"/>
          </w:tcPr>
          <w:p w14:paraId="266B733E">
            <w:pPr>
              <w:snapToGrid w:val="0"/>
              <w:spacing w:line="360" w:lineRule="exact"/>
              <w:rPr>
                <w:rFonts w:ascii="宋体" w:hAnsi="宋体"/>
                <w:szCs w:val="21"/>
              </w:rPr>
            </w:pPr>
            <w:r>
              <w:rPr>
                <w:rFonts w:ascii="宋体" w:hAnsi="宋体"/>
                <w:szCs w:val="21"/>
              </w:rPr>
              <w:t>账号：</w:t>
            </w:r>
          </w:p>
        </w:tc>
      </w:tr>
    </w:tbl>
    <w:p w14:paraId="0272521F">
      <w:pPr>
        <w:snapToGrid w:val="0"/>
        <w:spacing w:line="360" w:lineRule="exact"/>
        <w:ind w:firstLine="420" w:firstLineChars="200"/>
        <w:rPr>
          <w:rFonts w:ascii="宋体" w:hAnsi="宋体"/>
          <w:szCs w:val="21"/>
        </w:rPr>
      </w:pPr>
    </w:p>
    <w:p w14:paraId="76C52BE1">
      <w:pPr>
        <w:spacing w:before="120" w:line="320" w:lineRule="atLeast"/>
        <w:jc w:val="left"/>
        <w:outlineLvl w:val="1"/>
        <w:rPr>
          <w:rFonts w:ascii="宋体" w:hAnsi="宋体"/>
          <w:b/>
          <w:bCs/>
          <w:szCs w:val="21"/>
        </w:rPr>
      </w:pPr>
      <w:r>
        <w:rPr>
          <w:rFonts w:ascii="宋体" w:hAnsi="宋体"/>
          <w:szCs w:val="21"/>
        </w:rPr>
        <w:br w:type="page"/>
      </w:r>
    </w:p>
    <w:p w14:paraId="0531458E">
      <w:pPr>
        <w:snapToGrid w:val="0"/>
        <w:spacing w:line="360" w:lineRule="exact"/>
        <w:jc w:val="center"/>
        <w:rPr>
          <w:rFonts w:ascii="宋体" w:hAnsi="宋体"/>
          <w:b/>
          <w:bCs/>
          <w:szCs w:val="21"/>
        </w:rPr>
      </w:pPr>
      <w:r>
        <w:rPr>
          <w:rFonts w:ascii="宋体" w:hAnsi="宋体"/>
          <w:b/>
          <w:bCs/>
          <w:szCs w:val="21"/>
        </w:rPr>
        <w:t>履约验收方案</w:t>
      </w:r>
    </w:p>
    <w:p w14:paraId="4E461D4B">
      <w:pPr>
        <w:widowControl/>
        <w:jc w:val="left"/>
        <w:rPr>
          <w:rFonts w:ascii="宋体" w:hAnsi="宋体"/>
          <w:szCs w:val="21"/>
        </w:rPr>
      </w:pPr>
    </w:p>
    <w:p w14:paraId="72DEB5BD">
      <w:pPr>
        <w:pStyle w:val="173"/>
        <w:ind w:firstLineChars="0"/>
        <w:rPr>
          <w:rFonts w:ascii="宋体" w:hAnsi="宋体" w:eastAsia="宋体"/>
          <w:kern w:val="2"/>
          <w:sz w:val="21"/>
          <w:szCs w:val="21"/>
        </w:rPr>
      </w:pPr>
    </w:p>
    <w:p w14:paraId="64EEF849">
      <w:pPr>
        <w:spacing w:before="120" w:line="320" w:lineRule="exact"/>
        <w:jc w:val="left"/>
        <w:rPr>
          <w:rFonts w:ascii="宋体" w:hAnsi="宋体"/>
          <w:b/>
          <w:bCs/>
          <w:szCs w:val="21"/>
        </w:rPr>
      </w:pPr>
      <w:r>
        <w:rPr>
          <w:rFonts w:ascii="宋体" w:hAnsi="宋体"/>
          <w:b/>
          <w:bCs/>
          <w:szCs w:val="21"/>
        </w:rPr>
        <w:t>1.履约验收工作参加人员</w:t>
      </w:r>
    </w:p>
    <w:p w14:paraId="3EB806A0">
      <w:pPr>
        <w:spacing w:before="120" w:line="320" w:lineRule="exact"/>
        <w:jc w:val="left"/>
        <w:rPr>
          <w:rFonts w:ascii="宋体" w:hAnsi="宋体"/>
          <w:szCs w:val="21"/>
        </w:rPr>
      </w:pPr>
      <w:r>
        <w:rPr>
          <w:rFonts w:ascii="宋体" w:hAnsi="宋体"/>
          <w:b/>
          <w:bCs/>
          <w:szCs w:val="21"/>
        </w:rPr>
        <w:t>1.1履约验收主体单位</w:t>
      </w:r>
    </w:p>
    <w:p w14:paraId="34E2F680">
      <w:pPr>
        <w:spacing w:before="120" w:line="320" w:lineRule="exact"/>
        <w:ind w:firstLine="420" w:firstLineChars="200"/>
        <w:jc w:val="left"/>
        <w:rPr>
          <w:rFonts w:ascii="宋体" w:hAnsi="宋体"/>
          <w:szCs w:val="21"/>
          <w:u w:val="single"/>
        </w:rPr>
      </w:pPr>
      <w:r>
        <w:rPr>
          <w:rStyle w:val="58"/>
          <w:rFonts w:ascii="宋体" w:hAnsi="宋体"/>
          <w:u w:val="single"/>
        </w:rPr>
        <w:t>采购人</w:t>
      </w:r>
      <w:r>
        <w:rPr>
          <w:rStyle w:val="58"/>
          <w:rFonts w:ascii="宋体" w:hAnsi="宋体"/>
        </w:rPr>
        <w:t>（如委托第三方机构签订，应注明收费方式）</w:t>
      </w:r>
    </w:p>
    <w:p w14:paraId="02176631">
      <w:pPr>
        <w:spacing w:before="120" w:line="320" w:lineRule="exact"/>
        <w:jc w:val="left"/>
        <w:rPr>
          <w:rFonts w:ascii="宋体" w:hAnsi="宋体"/>
          <w:szCs w:val="21"/>
        </w:rPr>
      </w:pPr>
      <w:r>
        <w:rPr>
          <w:rFonts w:ascii="宋体" w:hAnsi="宋体"/>
          <w:b/>
          <w:bCs/>
          <w:szCs w:val="21"/>
        </w:rPr>
        <w:t>1.2履约验收参加人员</w:t>
      </w:r>
    </w:p>
    <w:p w14:paraId="56B82989">
      <w:pPr>
        <w:spacing w:before="120" w:line="320" w:lineRule="exact"/>
        <w:ind w:firstLine="420" w:firstLineChars="200"/>
        <w:jc w:val="left"/>
        <w:rPr>
          <w:rFonts w:ascii="宋体" w:hAnsi="宋体"/>
          <w:szCs w:val="21"/>
          <w:u w:val="single"/>
        </w:rPr>
      </w:pPr>
      <w:r>
        <w:rPr>
          <w:rFonts w:ascii="宋体" w:hAnsi="宋体"/>
        </w:rPr>
        <w:t>采购人代表、委托机构代表、成交供应商代表及采购人邀请的其他人员</w:t>
      </w:r>
    </w:p>
    <w:p w14:paraId="721E4E67">
      <w:pPr>
        <w:spacing w:before="120" w:line="320" w:lineRule="exact"/>
        <w:jc w:val="left"/>
        <w:rPr>
          <w:rFonts w:ascii="宋体" w:hAnsi="宋体"/>
          <w:b/>
          <w:bCs/>
          <w:szCs w:val="21"/>
        </w:rPr>
      </w:pPr>
      <w:r>
        <w:rPr>
          <w:rFonts w:ascii="宋体" w:hAnsi="宋体"/>
          <w:b/>
          <w:bCs/>
          <w:szCs w:val="21"/>
        </w:rPr>
        <w:t>2.履约验收时间</w:t>
      </w:r>
    </w:p>
    <w:p w14:paraId="0FB2A9E6">
      <w:pPr>
        <w:spacing w:before="120" w:line="320" w:lineRule="exact"/>
        <w:jc w:val="left"/>
        <w:rPr>
          <w:rFonts w:ascii="宋体" w:hAnsi="宋体"/>
          <w:szCs w:val="21"/>
        </w:rPr>
      </w:pPr>
      <w:r>
        <w:rPr>
          <w:rFonts w:ascii="宋体" w:hAnsi="宋体"/>
          <w:szCs w:val="21"/>
        </w:rPr>
        <w:t>20XX年XX月XX日</w:t>
      </w:r>
    </w:p>
    <w:p w14:paraId="542CA65C">
      <w:pPr>
        <w:spacing w:before="120" w:line="320" w:lineRule="exact"/>
        <w:jc w:val="left"/>
        <w:rPr>
          <w:rFonts w:ascii="宋体" w:hAnsi="宋体"/>
          <w:b/>
          <w:bCs/>
          <w:szCs w:val="21"/>
        </w:rPr>
      </w:pPr>
      <w:r>
        <w:rPr>
          <w:rFonts w:ascii="宋体" w:hAnsi="宋体"/>
          <w:b/>
          <w:bCs/>
          <w:szCs w:val="21"/>
        </w:rPr>
        <w:t>3.履约验收地点</w:t>
      </w:r>
    </w:p>
    <w:p w14:paraId="4FF6EE0A">
      <w:pPr>
        <w:spacing w:before="120" w:line="320" w:lineRule="exact"/>
        <w:jc w:val="left"/>
        <w:rPr>
          <w:rFonts w:ascii="宋体" w:hAnsi="宋体"/>
          <w:szCs w:val="21"/>
        </w:rPr>
      </w:pPr>
      <w:r>
        <w:rPr>
          <w:rFonts w:ascii="宋体" w:hAnsi="宋体"/>
          <w:szCs w:val="21"/>
        </w:rPr>
        <w:t>XX市XX区XX路XX号</w:t>
      </w:r>
    </w:p>
    <w:p w14:paraId="4F16CE92">
      <w:pPr>
        <w:spacing w:before="120" w:line="320" w:lineRule="exact"/>
        <w:jc w:val="left"/>
        <w:rPr>
          <w:rFonts w:ascii="宋体" w:hAnsi="宋体"/>
          <w:b/>
          <w:bCs/>
          <w:szCs w:val="21"/>
        </w:rPr>
      </w:pPr>
      <w:r>
        <w:rPr>
          <w:rFonts w:ascii="宋体" w:hAnsi="宋体"/>
          <w:b/>
          <w:bCs/>
          <w:szCs w:val="21"/>
        </w:rPr>
        <w:t>4.履约验收方式</w:t>
      </w:r>
    </w:p>
    <w:p w14:paraId="38FFA82E">
      <w:pPr>
        <w:spacing w:before="120" w:line="320" w:lineRule="exact"/>
        <w:jc w:val="left"/>
        <w:rPr>
          <w:rFonts w:ascii="宋体" w:hAnsi="宋体"/>
          <w:b/>
          <w:bCs/>
          <w:szCs w:val="21"/>
          <w:u w:val="single"/>
        </w:rPr>
      </w:pPr>
      <w:r>
        <w:rPr>
          <w:rFonts w:ascii="宋体" w:hAnsi="宋体"/>
          <w:szCs w:val="21"/>
          <w:u w:val="single"/>
        </w:rPr>
        <w:t>采购人自行验收</w:t>
      </w:r>
    </w:p>
    <w:p w14:paraId="42E3D131">
      <w:pPr>
        <w:spacing w:before="120" w:line="320" w:lineRule="exact"/>
        <w:jc w:val="left"/>
        <w:rPr>
          <w:rFonts w:ascii="宋体" w:hAnsi="宋体"/>
          <w:b/>
          <w:bCs/>
          <w:szCs w:val="21"/>
        </w:rPr>
      </w:pPr>
      <w:r>
        <w:rPr>
          <w:rFonts w:ascii="宋体" w:hAnsi="宋体"/>
          <w:b/>
          <w:bCs/>
          <w:szCs w:val="21"/>
        </w:rPr>
        <w:t>5.履约验收程序</w:t>
      </w:r>
    </w:p>
    <w:p w14:paraId="38DD0E88">
      <w:pPr>
        <w:spacing w:before="120" w:line="320" w:lineRule="exact"/>
        <w:jc w:val="left"/>
        <w:rPr>
          <w:rFonts w:ascii="宋体" w:hAnsi="宋体"/>
          <w:b/>
          <w:bCs/>
          <w:szCs w:val="21"/>
        </w:rPr>
      </w:pPr>
      <w:r>
        <w:rPr>
          <w:rFonts w:ascii="宋体" w:hAnsi="宋体"/>
          <w:b/>
          <w:bCs/>
          <w:szCs w:val="21"/>
        </w:rPr>
        <w:t>5.1成立验收小组</w:t>
      </w:r>
    </w:p>
    <w:p w14:paraId="1383470F">
      <w:pPr>
        <w:spacing w:before="120" w:line="320" w:lineRule="exact"/>
        <w:jc w:val="left"/>
        <w:rPr>
          <w:rFonts w:ascii="宋体" w:hAnsi="宋体"/>
          <w:b/>
          <w:bCs/>
          <w:szCs w:val="21"/>
        </w:rPr>
      </w:pPr>
      <w:r>
        <w:rPr>
          <w:rFonts w:ascii="宋体" w:hAnsi="宋体"/>
          <w:b/>
          <w:bCs/>
          <w:szCs w:val="21"/>
        </w:rPr>
        <w:t>5.2量化验收标准</w:t>
      </w:r>
    </w:p>
    <w:p w14:paraId="2E49C126">
      <w:pPr>
        <w:spacing w:before="120" w:line="320" w:lineRule="exact"/>
        <w:jc w:val="left"/>
        <w:rPr>
          <w:rFonts w:ascii="宋体" w:hAnsi="宋体"/>
          <w:b/>
          <w:bCs/>
          <w:szCs w:val="21"/>
        </w:rPr>
      </w:pPr>
      <w:r>
        <w:rPr>
          <w:rFonts w:ascii="宋体" w:hAnsi="宋体"/>
          <w:b/>
          <w:bCs/>
          <w:szCs w:val="21"/>
        </w:rPr>
        <w:t>5.3组织验收</w:t>
      </w:r>
    </w:p>
    <w:p w14:paraId="5E839935">
      <w:pPr>
        <w:spacing w:before="120" w:line="320" w:lineRule="exact"/>
        <w:jc w:val="left"/>
        <w:rPr>
          <w:rFonts w:ascii="宋体" w:hAnsi="宋体"/>
          <w:b/>
          <w:bCs/>
          <w:szCs w:val="21"/>
        </w:rPr>
      </w:pPr>
      <w:r>
        <w:rPr>
          <w:rFonts w:ascii="宋体" w:hAnsi="宋体"/>
          <w:b/>
          <w:bCs/>
          <w:szCs w:val="21"/>
        </w:rPr>
        <w:t>5.4出具验收报告</w:t>
      </w:r>
    </w:p>
    <w:p w14:paraId="79996E40">
      <w:pPr>
        <w:spacing w:before="120" w:line="320" w:lineRule="exact"/>
        <w:jc w:val="left"/>
        <w:rPr>
          <w:rFonts w:ascii="宋体" w:hAnsi="宋体"/>
          <w:b/>
          <w:bCs/>
          <w:szCs w:val="21"/>
        </w:rPr>
      </w:pPr>
      <w:r>
        <w:rPr>
          <w:rFonts w:ascii="宋体" w:hAnsi="宋体"/>
          <w:b/>
          <w:bCs/>
          <w:szCs w:val="21"/>
        </w:rPr>
        <w:t>5.5验收结果公告</w:t>
      </w:r>
    </w:p>
    <w:p w14:paraId="0E2791F4">
      <w:pPr>
        <w:spacing w:before="120" w:line="320" w:lineRule="exact"/>
        <w:jc w:val="left"/>
        <w:rPr>
          <w:rFonts w:ascii="宋体" w:hAnsi="宋体"/>
          <w:b/>
          <w:bCs/>
          <w:szCs w:val="21"/>
        </w:rPr>
      </w:pPr>
      <w:r>
        <w:rPr>
          <w:rFonts w:ascii="宋体" w:hAnsi="宋体"/>
          <w:b/>
          <w:bCs/>
          <w:szCs w:val="21"/>
        </w:rPr>
        <w:t>5.6验收资料归档</w:t>
      </w:r>
    </w:p>
    <w:p w14:paraId="1F16E521">
      <w:pPr>
        <w:spacing w:before="120" w:line="320" w:lineRule="exact"/>
        <w:ind w:firstLine="420" w:firstLineChars="200"/>
        <w:jc w:val="left"/>
        <w:rPr>
          <w:rFonts w:ascii="宋体" w:hAnsi="宋体"/>
          <w:szCs w:val="21"/>
        </w:rPr>
      </w:pPr>
      <w:r>
        <w:rPr>
          <w:rFonts w:ascii="宋体" w:hAnsi="宋体"/>
          <w:szCs w:val="21"/>
        </w:rPr>
        <w:t>采购合同项目完成验收后，采购人整理好验收原始记录、验收书等资料后妥善保管，不得变造、隐匿或者销毁，验收资料保存期为采购结束之日起至少保存15年。</w:t>
      </w:r>
    </w:p>
    <w:p w14:paraId="4C60F243">
      <w:pPr>
        <w:spacing w:before="120" w:line="320" w:lineRule="exact"/>
        <w:jc w:val="left"/>
        <w:rPr>
          <w:rFonts w:ascii="宋体" w:hAnsi="宋体"/>
          <w:b/>
          <w:bCs/>
          <w:iCs/>
          <w:szCs w:val="21"/>
        </w:rPr>
      </w:pPr>
      <w:r>
        <w:rPr>
          <w:rFonts w:ascii="宋体" w:hAnsi="宋体"/>
          <w:b/>
          <w:bCs/>
          <w:szCs w:val="21"/>
        </w:rPr>
        <w:t>6.履约验收内容</w:t>
      </w:r>
    </w:p>
    <w:p w14:paraId="3E3AD4EC">
      <w:pPr>
        <w:spacing w:before="120" w:line="320" w:lineRule="exact"/>
        <w:jc w:val="left"/>
        <w:rPr>
          <w:rFonts w:ascii="宋体" w:hAnsi="宋体"/>
          <w:iCs/>
          <w:szCs w:val="21"/>
        </w:rPr>
      </w:pPr>
      <w:r>
        <w:rPr>
          <w:rFonts w:ascii="宋体" w:hAnsi="宋体"/>
          <w:b/>
          <w:bCs/>
          <w:szCs w:val="21"/>
        </w:rPr>
        <w:t>6.1商务验收内容</w:t>
      </w:r>
    </w:p>
    <w:p w14:paraId="720740BE">
      <w:pPr>
        <w:spacing w:before="120" w:line="320" w:lineRule="exact"/>
        <w:ind w:firstLine="420" w:firstLineChars="200"/>
        <w:jc w:val="left"/>
        <w:rPr>
          <w:rFonts w:ascii="宋体" w:hAnsi="宋体"/>
          <w:szCs w:val="21"/>
          <w:u w:val="single"/>
        </w:rPr>
      </w:pPr>
      <w:r>
        <w:rPr>
          <w:rFonts w:ascii="宋体" w:hAnsi="宋体"/>
          <w:szCs w:val="21"/>
        </w:rPr>
        <w:t>对采购标的交付的情况、财务和服务要求，包括交付（实施）的时间（期限）和地点（范围），付款条件（进度和方式），包装和运输，售后服务，保险等进行验收。</w:t>
      </w:r>
    </w:p>
    <w:p w14:paraId="1B4B9F27">
      <w:pPr>
        <w:spacing w:before="120" w:line="320" w:lineRule="exact"/>
        <w:jc w:val="left"/>
        <w:rPr>
          <w:rFonts w:ascii="宋体" w:hAnsi="宋体"/>
          <w:iCs/>
          <w:szCs w:val="21"/>
        </w:rPr>
      </w:pPr>
      <w:r>
        <w:rPr>
          <w:rFonts w:ascii="宋体" w:hAnsi="宋体"/>
          <w:b/>
          <w:bCs/>
          <w:szCs w:val="21"/>
        </w:rPr>
        <w:t>6.2技术验收内容</w:t>
      </w:r>
    </w:p>
    <w:p w14:paraId="3F2564D3">
      <w:pPr>
        <w:spacing w:before="120" w:line="320" w:lineRule="exact"/>
        <w:ind w:firstLine="420" w:firstLineChars="200"/>
        <w:jc w:val="left"/>
        <w:rPr>
          <w:rFonts w:ascii="宋体" w:hAnsi="宋体"/>
          <w:szCs w:val="21"/>
          <w:u w:val="single"/>
        </w:rPr>
      </w:pPr>
      <w:r>
        <w:rPr>
          <w:rFonts w:ascii="宋体" w:hAnsi="宋体"/>
          <w:szCs w:val="21"/>
        </w:rPr>
        <w:t>对采购标的的功能和质量要求，包括性能、材料、结构、外观、安全，或者服务内容和标准等进行验收。</w:t>
      </w:r>
    </w:p>
    <w:p w14:paraId="1899BB56">
      <w:pPr>
        <w:spacing w:before="120" w:line="320" w:lineRule="exact"/>
        <w:jc w:val="left"/>
        <w:rPr>
          <w:rFonts w:ascii="宋体" w:hAnsi="宋体"/>
          <w:b/>
          <w:bCs/>
          <w:szCs w:val="21"/>
        </w:rPr>
      </w:pPr>
      <w:r>
        <w:rPr>
          <w:rFonts w:ascii="宋体" w:hAnsi="宋体"/>
          <w:b/>
          <w:bCs/>
          <w:szCs w:val="21"/>
        </w:rPr>
        <w:t>7.履约验收标准</w:t>
      </w:r>
    </w:p>
    <w:p w14:paraId="5CB48D0F">
      <w:pPr>
        <w:pStyle w:val="173"/>
        <w:spacing w:before="120" w:line="320" w:lineRule="exact"/>
        <w:ind w:firstLine="420"/>
        <w:rPr>
          <w:rFonts w:ascii="宋体" w:hAnsi="宋体" w:eastAsia="宋体"/>
          <w:sz w:val="21"/>
          <w:szCs w:val="21"/>
        </w:rPr>
      </w:pPr>
      <w:r>
        <w:rPr>
          <w:rFonts w:ascii="宋体" w:hAnsi="宋体" w:eastAsia="宋体"/>
          <w:sz w:val="21"/>
          <w:szCs w:val="21"/>
        </w:rPr>
        <w:t>验收标准：</w:t>
      </w:r>
    </w:p>
    <w:p w14:paraId="159468D8">
      <w:pPr>
        <w:pStyle w:val="173"/>
        <w:spacing w:before="120" w:line="320" w:lineRule="exact"/>
        <w:ind w:firstLine="420"/>
        <w:rPr>
          <w:rFonts w:ascii="宋体" w:hAnsi="宋体" w:eastAsia="宋体"/>
          <w:kern w:val="2"/>
          <w:sz w:val="21"/>
          <w:szCs w:val="21"/>
        </w:rPr>
      </w:pPr>
      <w:r>
        <w:rPr>
          <w:rFonts w:ascii="宋体" w:hAnsi="宋体" w:eastAsia="宋体"/>
          <w:kern w:val="2"/>
          <w:sz w:val="21"/>
          <w:szCs w:val="21"/>
        </w:rPr>
        <w:t>（1）中标（成交）供应商应提供完备的技术或服务资料、装箱单和合格证等，并派遣专业人员进行现场安装调试。验收合格条件如下：</w:t>
      </w:r>
    </w:p>
    <w:p w14:paraId="7986EBA0">
      <w:pPr>
        <w:spacing w:before="120" w:line="320" w:lineRule="exact"/>
        <w:rPr>
          <w:rFonts w:ascii="宋体" w:hAnsi="宋体"/>
          <w:szCs w:val="21"/>
        </w:rPr>
      </w:pPr>
      <w:r>
        <w:rPr>
          <w:rFonts w:ascii="宋体" w:hAnsi="宋体"/>
          <w:szCs w:val="21"/>
        </w:rPr>
        <w:t>服务技术参数与响应文件中响应表或证明材料一致，性能或指标达到规定的标准。否则，以实际服务技术参数与响应文件响应表参数或证明材料比较，按如下情况处理：</w:t>
      </w:r>
    </w:p>
    <w:p w14:paraId="480A4C11">
      <w:pPr>
        <w:spacing w:before="120" w:line="320" w:lineRule="exact"/>
        <w:rPr>
          <w:rFonts w:ascii="宋体" w:hAnsi="宋体"/>
          <w:szCs w:val="21"/>
        </w:rPr>
      </w:pPr>
      <w:r>
        <w:rPr>
          <w:rFonts w:hint="eastAsia" w:ascii="宋体" w:hAnsi="宋体" w:cs="宋体"/>
          <w:szCs w:val="21"/>
        </w:rPr>
        <w:t>①</w:t>
      </w:r>
      <w:r>
        <w:rPr>
          <w:rFonts w:ascii="宋体" w:hAnsi="宋体"/>
          <w:szCs w:val="21"/>
        </w:rPr>
        <w:t>供应商响应文件响应表或证明材料中满足或优于的技术参数，在验收时实际不满足技术参数要求的，视为供应商违约，采购人有权终止合同拒收服务成果，并追究供应商责任，同时报财政部门备案。</w:t>
      </w:r>
    </w:p>
    <w:p w14:paraId="4E14F43A">
      <w:pPr>
        <w:spacing w:before="120" w:line="320" w:lineRule="exact"/>
        <w:rPr>
          <w:rFonts w:ascii="宋体" w:hAnsi="宋体"/>
          <w:szCs w:val="21"/>
        </w:rPr>
      </w:pPr>
      <w:r>
        <w:rPr>
          <w:rFonts w:hint="eastAsia" w:ascii="宋体" w:hAnsi="宋体" w:cs="宋体"/>
          <w:szCs w:val="21"/>
        </w:rPr>
        <w:t>②</w:t>
      </w:r>
      <w:r>
        <w:rPr>
          <w:rFonts w:ascii="宋体" w:hAnsi="宋体"/>
          <w:szCs w:val="21"/>
        </w:rPr>
        <w:t>供应商响应文件响应表或证明材料中优于的技术参数，在验收时实际仅满足并未优于技术参数要求的，视为供应商违约，采购人有权终止合同拒收服务成果，并追究供应商责任，同时报财政部门备案。</w:t>
      </w:r>
    </w:p>
    <w:p w14:paraId="14EA3CED">
      <w:pPr>
        <w:spacing w:before="120" w:line="320" w:lineRule="exact"/>
        <w:rPr>
          <w:rFonts w:ascii="宋体" w:hAnsi="宋体"/>
          <w:szCs w:val="21"/>
        </w:rPr>
      </w:pPr>
      <w:r>
        <w:rPr>
          <w:rFonts w:hint="eastAsia" w:ascii="宋体" w:hAnsi="宋体" w:cs="宋体"/>
          <w:szCs w:val="21"/>
        </w:rPr>
        <w:t>③</w:t>
      </w:r>
      <w:r>
        <w:rPr>
          <w:rFonts w:ascii="宋体" w:hAnsi="宋体"/>
          <w:szCs w:val="21"/>
        </w:rPr>
        <w:t xml:space="preserve">供应商响应文件响应表或证明材料中不满足的技术参数，在验收时实际满足技术参数的要求，以满足技术参数的要求验收。 </w:t>
      </w:r>
    </w:p>
    <w:p w14:paraId="792FFA21">
      <w:pPr>
        <w:spacing w:before="120" w:line="320" w:lineRule="exact"/>
        <w:rPr>
          <w:rFonts w:ascii="宋体" w:hAnsi="宋体"/>
          <w:szCs w:val="21"/>
        </w:rPr>
      </w:pPr>
      <w:r>
        <w:rPr>
          <w:rFonts w:hint="eastAsia" w:ascii="宋体" w:hAnsi="宋体" w:cs="宋体"/>
          <w:szCs w:val="21"/>
        </w:rPr>
        <w:t>④</w:t>
      </w:r>
      <w:r>
        <w:rPr>
          <w:rFonts w:ascii="宋体" w:hAnsi="宋体"/>
          <w:szCs w:val="21"/>
        </w:rPr>
        <w:t>供应商响应文件响应表或证明材料中满足的技术参数，在验收时实际优于技术参数的要求，以满足技术参数的要求验收。</w:t>
      </w:r>
    </w:p>
    <w:p w14:paraId="409BC05F">
      <w:pPr>
        <w:spacing w:before="120" w:line="320" w:lineRule="exact"/>
        <w:rPr>
          <w:rFonts w:ascii="宋体" w:hAnsi="宋体"/>
          <w:szCs w:val="21"/>
        </w:rPr>
      </w:pPr>
      <w:r>
        <w:rPr>
          <w:rFonts w:hint="eastAsia" w:ascii="宋体" w:hAnsi="宋体" w:cs="宋体"/>
          <w:szCs w:val="21"/>
        </w:rPr>
        <w:t>⑤</w:t>
      </w:r>
      <w:r>
        <w:rPr>
          <w:rFonts w:ascii="宋体" w:hAnsi="宋体"/>
          <w:szCs w:val="21"/>
        </w:rPr>
        <w:t>供应商响应文件响应表或证明材料中优于的技术参数，在验收时实际也优于技术参数的要求，但没有达到响应表或证明材料中优于的程度，由采购人与供应商协商按是否满足要求验收。</w:t>
      </w:r>
    </w:p>
    <w:p w14:paraId="322FC412">
      <w:pPr>
        <w:spacing w:before="120" w:line="320" w:lineRule="exact"/>
        <w:ind w:firstLine="420" w:firstLineChars="200"/>
        <w:jc w:val="left"/>
        <w:rPr>
          <w:rFonts w:ascii="宋体" w:hAnsi="宋体"/>
          <w:szCs w:val="21"/>
        </w:rPr>
      </w:pPr>
      <w:r>
        <w:rPr>
          <w:rFonts w:ascii="宋体" w:hAnsi="宋体"/>
          <w:szCs w:val="21"/>
        </w:rPr>
        <w:t>（1）在测试或试运行期间所出现的问题得到解决，并运行或工作正常。</w:t>
      </w:r>
    </w:p>
    <w:p w14:paraId="6D81ABEC">
      <w:pPr>
        <w:spacing w:before="120" w:line="320" w:lineRule="exact"/>
        <w:ind w:firstLine="420" w:firstLineChars="200"/>
        <w:jc w:val="left"/>
        <w:rPr>
          <w:rFonts w:ascii="宋体" w:hAnsi="宋体"/>
          <w:szCs w:val="21"/>
        </w:rPr>
      </w:pPr>
      <w:r>
        <w:rPr>
          <w:rFonts w:ascii="宋体" w:hAnsi="宋体"/>
          <w:szCs w:val="21"/>
        </w:rPr>
        <w:t>（2）在规定时间内完成交付及验收，并经采购人确认。</w:t>
      </w:r>
    </w:p>
    <w:p w14:paraId="22AD5E38">
      <w:pPr>
        <w:spacing w:before="120" w:line="320" w:lineRule="exact"/>
        <w:ind w:firstLine="420" w:firstLineChars="200"/>
        <w:jc w:val="left"/>
        <w:rPr>
          <w:rFonts w:ascii="宋体" w:hAnsi="宋体"/>
          <w:szCs w:val="21"/>
        </w:rPr>
      </w:pPr>
      <w:r>
        <w:rPr>
          <w:rFonts w:ascii="宋体" w:hAnsi="宋体"/>
          <w:szCs w:val="21"/>
        </w:rPr>
        <w:t>（3）服务在安装调试并试运行符合要求后，才作为最终验收。</w:t>
      </w:r>
    </w:p>
    <w:p w14:paraId="700449F5">
      <w:pPr>
        <w:spacing w:before="120" w:line="320" w:lineRule="exact"/>
        <w:ind w:firstLine="420" w:firstLineChars="200"/>
        <w:jc w:val="left"/>
        <w:rPr>
          <w:rFonts w:ascii="宋体" w:hAnsi="宋体"/>
          <w:szCs w:val="21"/>
        </w:rPr>
      </w:pPr>
      <w:r>
        <w:rPr>
          <w:rFonts w:ascii="宋体" w:hAnsi="宋体"/>
          <w:szCs w:val="21"/>
        </w:rPr>
        <w:t>（4）成交供应商提供的服务未达到采购文件规定要求，且对采购人造成损失的，由成交供应商承担一切责任，并赔偿所造成的损失。</w:t>
      </w:r>
    </w:p>
    <w:p w14:paraId="6F961E02">
      <w:pPr>
        <w:spacing w:before="120" w:line="320" w:lineRule="exact"/>
        <w:ind w:firstLine="420" w:firstLineChars="200"/>
        <w:jc w:val="left"/>
        <w:rPr>
          <w:rFonts w:ascii="宋体" w:hAnsi="宋体"/>
          <w:szCs w:val="21"/>
        </w:rPr>
      </w:pPr>
      <w:r>
        <w:rPr>
          <w:rFonts w:ascii="宋体" w:hAnsi="宋体"/>
          <w:szCs w:val="21"/>
        </w:rPr>
        <w:t>（5）政府采购合同约定的其他要求及响应文件响应的其他标准。</w:t>
      </w:r>
    </w:p>
    <w:p w14:paraId="6D0A230B">
      <w:pPr>
        <w:spacing w:before="120" w:line="320" w:lineRule="exact"/>
        <w:ind w:firstLine="422" w:firstLineChars="200"/>
        <w:jc w:val="left"/>
        <w:rPr>
          <w:rFonts w:ascii="宋体" w:hAnsi="宋体"/>
          <w:b/>
          <w:bCs/>
          <w:szCs w:val="21"/>
        </w:rPr>
      </w:pPr>
      <w:r>
        <w:rPr>
          <w:rFonts w:ascii="宋体" w:hAnsi="宋体"/>
          <w:b/>
          <w:bCs/>
          <w:szCs w:val="21"/>
        </w:rPr>
        <w:t>8.履约验收其他事项</w:t>
      </w:r>
    </w:p>
    <w:p w14:paraId="38EF41A0">
      <w:pPr>
        <w:spacing w:before="120" w:line="320" w:lineRule="exact"/>
        <w:ind w:firstLine="420" w:firstLineChars="200"/>
        <w:jc w:val="left"/>
        <w:rPr>
          <w:rFonts w:ascii="宋体" w:hAnsi="宋体"/>
          <w:szCs w:val="21"/>
        </w:rPr>
      </w:pPr>
      <w:r>
        <w:rPr>
          <w:rFonts w:ascii="宋体" w:hAnsi="宋体"/>
          <w:szCs w:val="21"/>
        </w:rPr>
        <w:t>无</w:t>
      </w:r>
    </w:p>
    <w:p w14:paraId="4DB56EDE">
      <w:pPr>
        <w:spacing w:before="120" w:line="320" w:lineRule="exact"/>
        <w:rPr>
          <w:rFonts w:ascii="宋体" w:hAnsi="宋体"/>
          <w:szCs w:val="21"/>
          <w:u w:val="single"/>
        </w:rPr>
      </w:pPr>
      <w:r>
        <w:rPr>
          <w:rFonts w:ascii="宋体" w:hAnsi="宋体"/>
          <w:szCs w:val="21"/>
          <w:u w:val="single"/>
        </w:rPr>
        <w:br w:type="page"/>
      </w:r>
    </w:p>
    <w:p w14:paraId="446B0906">
      <w:pPr>
        <w:snapToGrid w:val="0"/>
        <w:spacing w:line="360" w:lineRule="exact"/>
        <w:jc w:val="center"/>
        <w:rPr>
          <w:rFonts w:ascii="宋体" w:hAnsi="宋体"/>
          <w:b/>
          <w:bCs/>
          <w:szCs w:val="21"/>
        </w:rPr>
      </w:pPr>
      <w:r>
        <w:rPr>
          <w:rFonts w:ascii="宋体" w:hAnsi="宋体"/>
          <w:b/>
          <w:bCs/>
          <w:szCs w:val="21"/>
        </w:rPr>
        <w:t>广西壮族自治区政府采购项目合同验收书</w:t>
      </w:r>
    </w:p>
    <w:p w14:paraId="594604DE">
      <w:pPr>
        <w:widowControl/>
        <w:snapToGrid w:val="0"/>
        <w:spacing w:before="100" w:beforeAutospacing="1" w:after="100" w:afterAutospacing="1" w:line="320" w:lineRule="exact"/>
        <w:ind w:left="-359" w:leftChars="-171" w:firstLine="420" w:firstLineChars="200"/>
        <w:jc w:val="left"/>
        <w:rPr>
          <w:rFonts w:ascii="宋体" w:hAnsi="宋体"/>
          <w:kern w:val="0"/>
          <w:szCs w:val="21"/>
        </w:rPr>
      </w:pPr>
      <w:r>
        <w:rPr>
          <w:rFonts w:ascii="宋体" w:hAnsi="宋体"/>
          <w:kern w:val="0"/>
          <w:szCs w:val="21"/>
        </w:rPr>
        <w:t>根据政府采购项目（</w:t>
      </w:r>
      <w:r>
        <w:rPr>
          <w:rFonts w:ascii="宋体" w:hAnsi="宋体"/>
          <w:kern w:val="0"/>
          <w:szCs w:val="21"/>
          <w:u w:val="single"/>
        </w:rPr>
        <w:t>采购合同编号：</w:t>
      </w:r>
      <w:r>
        <w:rPr>
          <w:rFonts w:ascii="宋体" w:hAnsi="宋体"/>
          <w:szCs w:val="21"/>
          <w:u w:val="single"/>
        </w:rPr>
        <w:t>GXZC20XX-XX-XXXXX-JDZB</w:t>
      </w:r>
      <w:r>
        <w:rPr>
          <w:rFonts w:ascii="宋体" w:hAnsi="宋体"/>
          <w:kern w:val="0"/>
          <w:szCs w:val="21"/>
        </w:rPr>
        <w:t>）的约定，我单位对（</w:t>
      </w:r>
      <w:r>
        <w:rPr>
          <w:rFonts w:ascii="宋体" w:hAnsi="宋体"/>
          <w:szCs w:val="21"/>
          <w:u w:val="single"/>
        </w:rPr>
        <w:t>XXXX采购项目</w:t>
      </w:r>
      <w:r>
        <w:rPr>
          <w:rFonts w:ascii="宋体" w:hAnsi="宋体"/>
          <w:kern w:val="0"/>
          <w:szCs w:val="21"/>
        </w:rPr>
        <w:t>）政府采购项目中标（或成交）供应商</w:t>
      </w:r>
      <w:r>
        <w:rPr>
          <w:rFonts w:ascii="宋体" w:hAnsi="宋体"/>
          <w:kern w:val="0"/>
          <w:szCs w:val="21"/>
          <w:u w:val="single"/>
        </w:rPr>
        <w:t>XX公司（填写供应商名称）</w:t>
      </w:r>
      <w:r>
        <w:rPr>
          <w:rFonts w:ascii="宋体" w:hAnsi="宋体"/>
          <w:kern w:val="0"/>
          <w:szCs w:val="21"/>
        </w:rPr>
        <w:t>提供的服务（或工程、货物）进行了验收，验收情况如下：</w:t>
      </w:r>
    </w:p>
    <w:tbl>
      <w:tblPr>
        <w:tblStyle w:val="51"/>
        <w:tblW w:w="9627"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
      <w:tblGrid>
        <w:gridCol w:w="661"/>
        <w:gridCol w:w="866"/>
        <w:gridCol w:w="977"/>
        <w:gridCol w:w="2263"/>
        <w:gridCol w:w="1608"/>
        <w:gridCol w:w="850"/>
        <w:gridCol w:w="242"/>
        <w:gridCol w:w="2160"/>
      </w:tblGrid>
      <w:tr w14:paraId="20FD9C5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PrEx>
        <w:trPr>
          <w:trHeight w:val="361" w:hRule="atLeast"/>
          <w:jc w:val="center"/>
        </w:trPr>
        <w:tc>
          <w:tcPr>
            <w:tcW w:w="2504" w:type="dxa"/>
            <w:gridSpan w:val="3"/>
            <w:tcBorders>
              <w:top w:val="single" w:color="auto" w:sz="8" w:space="0"/>
              <w:left w:val="single" w:color="auto" w:sz="8" w:space="0"/>
              <w:bottom w:val="single" w:color="auto" w:sz="8" w:space="0"/>
              <w:right w:val="single" w:color="auto" w:sz="8" w:space="0"/>
            </w:tcBorders>
            <w:vAlign w:val="center"/>
          </w:tcPr>
          <w:p w14:paraId="6E35A2BF">
            <w:pPr>
              <w:widowControl/>
              <w:snapToGrid w:val="0"/>
              <w:spacing w:before="100" w:beforeAutospacing="1" w:after="100" w:afterAutospacing="1" w:line="320" w:lineRule="exact"/>
              <w:ind w:left="-3" w:firstLine="4" w:firstLineChars="2"/>
              <w:jc w:val="center"/>
              <w:rPr>
                <w:rFonts w:ascii="宋体" w:hAnsi="宋体"/>
                <w:kern w:val="0"/>
                <w:szCs w:val="21"/>
              </w:rPr>
            </w:pPr>
            <w:r>
              <w:rPr>
                <w:rFonts w:ascii="宋体" w:hAnsi="宋体"/>
                <w:kern w:val="0"/>
                <w:szCs w:val="21"/>
              </w:rPr>
              <w:t>验收方式：</w:t>
            </w:r>
          </w:p>
        </w:tc>
        <w:tc>
          <w:tcPr>
            <w:tcW w:w="7123" w:type="dxa"/>
            <w:gridSpan w:val="5"/>
            <w:tcBorders>
              <w:top w:val="single" w:color="auto" w:sz="8" w:space="0"/>
              <w:left w:val="single" w:color="auto" w:sz="8" w:space="0"/>
              <w:bottom w:val="single" w:color="auto" w:sz="8" w:space="0"/>
              <w:right w:val="single" w:color="auto" w:sz="8" w:space="0"/>
            </w:tcBorders>
            <w:vAlign w:val="center"/>
          </w:tcPr>
          <w:p w14:paraId="1AB15B05">
            <w:pPr>
              <w:widowControl/>
              <w:snapToGrid w:val="0"/>
              <w:spacing w:before="100" w:beforeAutospacing="1" w:after="100" w:afterAutospacing="1" w:line="320" w:lineRule="exact"/>
              <w:ind w:left="-3" w:firstLine="420" w:firstLineChars="200"/>
              <w:jc w:val="center"/>
              <w:rPr>
                <w:rFonts w:ascii="宋体" w:hAnsi="宋体"/>
                <w:kern w:val="0"/>
                <w:szCs w:val="21"/>
              </w:rPr>
            </w:pPr>
            <w:r>
              <w:rPr>
                <w:rFonts w:ascii="宋体" w:hAnsi="宋体"/>
                <w:szCs w:val="21"/>
              </w:rPr>
              <w:t>□</w:t>
            </w:r>
            <w:r>
              <w:rPr>
                <w:rFonts w:ascii="宋体" w:hAnsi="宋体"/>
                <w:kern w:val="0"/>
                <w:szCs w:val="21"/>
              </w:rPr>
              <w:t>自行验收        </w:t>
            </w:r>
            <w:r>
              <w:rPr>
                <w:rFonts w:ascii="宋体" w:hAnsi="宋体"/>
                <w:szCs w:val="21"/>
              </w:rPr>
              <w:sym w:font="Wingdings 2" w:char="00A3"/>
            </w:r>
            <w:r>
              <w:rPr>
                <w:rFonts w:ascii="宋体" w:hAnsi="宋体"/>
                <w:kern w:val="0"/>
                <w:szCs w:val="21"/>
              </w:rPr>
              <w:t>委托验收</w:t>
            </w:r>
          </w:p>
        </w:tc>
      </w:tr>
      <w:tr w14:paraId="23A0C73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24" w:hRule="atLeast"/>
          <w:jc w:val="center"/>
        </w:trPr>
        <w:tc>
          <w:tcPr>
            <w:tcW w:w="661" w:type="dxa"/>
            <w:tcBorders>
              <w:top w:val="single" w:color="auto" w:sz="8" w:space="0"/>
              <w:left w:val="single" w:color="auto" w:sz="8" w:space="0"/>
              <w:bottom w:val="single" w:color="auto" w:sz="8" w:space="0"/>
              <w:right w:val="single" w:color="auto" w:sz="8" w:space="0"/>
            </w:tcBorders>
            <w:vAlign w:val="center"/>
          </w:tcPr>
          <w:p w14:paraId="3C649BEA">
            <w:pPr>
              <w:widowControl/>
              <w:snapToGrid w:val="0"/>
              <w:spacing w:before="100" w:beforeAutospacing="1" w:after="100" w:afterAutospacing="1" w:line="320" w:lineRule="exact"/>
              <w:ind w:firstLine="2" w:firstLineChars="1"/>
              <w:jc w:val="center"/>
              <w:rPr>
                <w:rFonts w:ascii="宋体" w:hAnsi="宋体"/>
                <w:kern w:val="0"/>
                <w:szCs w:val="21"/>
              </w:rPr>
            </w:pPr>
            <w:r>
              <w:rPr>
                <w:rFonts w:ascii="宋体" w:hAnsi="宋体"/>
                <w:kern w:val="0"/>
                <w:szCs w:val="21"/>
              </w:rPr>
              <w:t>序号</w:t>
            </w:r>
          </w:p>
        </w:tc>
        <w:tc>
          <w:tcPr>
            <w:tcW w:w="1843" w:type="dxa"/>
            <w:gridSpan w:val="2"/>
            <w:tcBorders>
              <w:top w:val="single" w:color="auto" w:sz="8" w:space="0"/>
              <w:left w:val="single" w:color="auto" w:sz="8" w:space="0"/>
              <w:bottom w:val="single" w:color="auto" w:sz="8" w:space="0"/>
              <w:right w:val="single" w:color="auto" w:sz="8" w:space="0"/>
            </w:tcBorders>
            <w:vAlign w:val="center"/>
          </w:tcPr>
          <w:p w14:paraId="7ABE2AB5">
            <w:pPr>
              <w:widowControl/>
              <w:snapToGrid w:val="0"/>
              <w:spacing w:before="100" w:beforeAutospacing="1" w:after="100" w:afterAutospacing="1" w:line="320" w:lineRule="exact"/>
              <w:ind w:left="-3" w:firstLine="2" w:firstLineChars="1"/>
              <w:jc w:val="center"/>
              <w:rPr>
                <w:rFonts w:ascii="宋体" w:hAnsi="宋体"/>
                <w:kern w:val="0"/>
                <w:szCs w:val="21"/>
              </w:rPr>
            </w:pPr>
            <w:r>
              <w:rPr>
                <w:rFonts w:ascii="宋体" w:hAnsi="宋体"/>
                <w:kern w:val="0"/>
                <w:szCs w:val="21"/>
              </w:rPr>
              <w:t>名  称</w:t>
            </w:r>
          </w:p>
        </w:tc>
        <w:tc>
          <w:tcPr>
            <w:tcW w:w="3871" w:type="dxa"/>
            <w:gridSpan w:val="2"/>
            <w:tcBorders>
              <w:top w:val="single" w:color="auto" w:sz="8" w:space="0"/>
              <w:left w:val="single" w:color="auto" w:sz="8" w:space="0"/>
              <w:bottom w:val="single" w:color="auto" w:sz="8" w:space="0"/>
              <w:right w:val="single" w:color="auto" w:sz="8" w:space="0"/>
            </w:tcBorders>
            <w:vAlign w:val="center"/>
          </w:tcPr>
          <w:p w14:paraId="6C7965A0">
            <w:pPr>
              <w:widowControl/>
              <w:snapToGrid w:val="0"/>
              <w:spacing w:before="100" w:beforeAutospacing="1" w:after="100" w:afterAutospacing="1" w:line="320" w:lineRule="exact"/>
              <w:ind w:left="-3" w:firstLine="2" w:firstLineChars="1"/>
              <w:jc w:val="center"/>
              <w:rPr>
                <w:rFonts w:ascii="宋体" w:hAnsi="宋体"/>
                <w:kern w:val="0"/>
                <w:szCs w:val="21"/>
              </w:rPr>
            </w:pPr>
            <w:r>
              <w:rPr>
                <w:rFonts w:ascii="宋体" w:hAnsi="宋体"/>
                <w:kern w:val="0"/>
                <w:szCs w:val="21"/>
              </w:rPr>
              <w:t>服务内容、标准等</w:t>
            </w:r>
          </w:p>
        </w:tc>
        <w:tc>
          <w:tcPr>
            <w:tcW w:w="850" w:type="dxa"/>
            <w:tcBorders>
              <w:top w:val="single" w:color="auto" w:sz="8" w:space="0"/>
              <w:left w:val="single" w:color="auto" w:sz="8" w:space="0"/>
              <w:bottom w:val="single" w:color="auto" w:sz="8" w:space="0"/>
              <w:right w:val="single" w:color="auto" w:sz="8" w:space="0"/>
            </w:tcBorders>
            <w:vAlign w:val="center"/>
          </w:tcPr>
          <w:p w14:paraId="083C9F58">
            <w:pPr>
              <w:widowControl/>
              <w:snapToGrid w:val="0"/>
              <w:spacing w:before="100" w:beforeAutospacing="1" w:after="100" w:afterAutospacing="1" w:line="320" w:lineRule="exact"/>
              <w:jc w:val="center"/>
              <w:rPr>
                <w:rFonts w:ascii="宋体" w:hAnsi="宋体"/>
                <w:kern w:val="0"/>
                <w:szCs w:val="21"/>
              </w:rPr>
            </w:pPr>
            <w:r>
              <w:rPr>
                <w:rFonts w:ascii="宋体" w:hAnsi="宋体"/>
                <w:kern w:val="0"/>
                <w:szCs w:val="21"/>
              </w:rPr>
              <w:t>数量</w:t>
            </w:r>
          </w:p>
        </w:tc>
        <w:tc>
          <w:tcPr>
            <w:tcW w:w="2402" w:type="dxa"/>
            <w:gridSpan w:val="2"/>
            <w:tcBorders>
              <w:top w:val="single" w:color="auto" w:sz="8" w:space="0"/>
              <w:left w:val="single" w:color="auto" w:sz="8" w:space="0"/>
              <w:bottom w:val="single" w:color="auto" w:sz="8" w:space="0"/>
              <w:right w:val="single" w:color="auto" w:sz="8" w:space="0"/>
            </w:tcBorders>
            <w:vAlign w:val="center"/>
          </w:tcPr>
          <w:p w14:paraId="18B99BF5">
            <w:pPr>
              <w:widowControl/>
              <w:snapToGrid w:val="0"/>
              <w:spacing w:before="100" w:beforeAutospacing="1" w:after="100" w:afterAutospacing="1" w:line="320" w:lineRule="exact"/>
              <w:ind w:left="-3" w:firstLine="2" w:firstLineChars="1"/>
              <w:jc w:val="center"/>
              <w:rPr>
                <w:rFonts w:ascii="宋体" w:hAnsi="宋体"/>
                <w:kern w:val="0"/>
                <w:szCs w:val="21"/>
              </w:rPr>
            </w:pPr>
            <w:r>
              <w:rPr>
                <w:rFonts w:ascii="宋体" w:hAnsi="宋体"/>
                <w:kern w:val="0"/>
                <w:szCs w:val="21"/>
              </w:rPr>
              <w:t>金  额</w:t>
            </w:r>
          </w:p>
        </w:tc>
      </w:tr>
      <w:tr w14:paraId="19F5718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87" w:hRule="atLeast"/>
          <w:jc w:val="center"/>
        </w:trPr>
        <w:tc>
          <w:tcPr>
            <w:tcW w:w="661" w:type="dxa"/>
            <w:tcBorders>
              <w:top w:val="single" w:color="auto" w:sz="8" w:space="0"/>
              <w:left w:val="single" w:color="auto" w:sz="8" w:space="0"/>
              <w:bottom w:val="single" w:color="auto" w:sz="8" w:space="0"/>
              <w:right w:val="single" w:color="auto" w:sz="8" w:space="0"/>
            </w:tcBorders>
            <w:vAlign w:val="center"/>
          </w:tcPr>
          <w:p w14:paraId="6A067DB0">
            <w:pPr>
              <w:widowControl/>
              <w:snapToGrid w:val="0"/>
              <w:spacing w:before="100" w:beforeAutospacing="1" w:after="100" w:afterAutospacing="1" w:line="320" w:lineRule="exact"/>
              <w:ind w:left="-3" w:firstLine="4" w:firstLineChars="2"/>
              <w:jc w:val="center"/>
              <w:rPr>
                <w:rFonts w:ascii="宋体" w:hAnsi="宋体"/>
                <w:kern w:val="0"/>
                <w:szCs w:val="21"/>
              </w:rPr>
            </w:pPr>
            <w:r>
              <w:rPr>
                <w:rFonts w:ascii="宋体" w:hAnsi="宋体"/>
                <w:kern w:val="0"/>
                <w:szCs w:val="21"/>
              </w:rPr>
              <w:t>1</w:t>
            </w:r>
          </w:p>
        </w:tc>
        <w:tc>
          <w:tcPr>
            <w:tcW w:w="1843" w:type="dxa"/>
            <w:gridSpan w:val="2"/>
            <w:tcBorders>
              <w:top w:val="single" w:color="auto" w:sz="8" w:space="0"/>
              <w:left w:val="single" w:color="auto" w:sz="8" w:space="0"/>
              <w:bottom w:val="single" w:color="auto" w:sz="8" w:space="0"/>
              <w:right w:val="single" w:color="auto" w:sz="8" w:space="0"/>
            </w:tcBorders>
            <w:vAlign w:val="center"/>
          </w:tcPr>
          <w:p w14:paraId="1610AF71">
            <w:pPr>
              <w:widowControl/>
              <w:snapToGrid w:val="0"/>
              <w:spacing w:before="100" w:beforeAutospacing="1" w:after="100" w:afterAutospacing="1" w:line="320" w:lineRule="exact"/>
              <w:ind w:left="-3" w:firstLine="420" w:firstLineChars="200"/>
              <w:jc w:val="left"/>
              <w:rPr>
                <w:rFonts w:ascii="宋体" w:hAnsi="宋体"/>
                <w:kern w:val="0"/>
                <w:szCs w:val="21"/>
              </w:rPr>
            </w:pPr>
            <w:r>
              <w:rPr>
                <w:rFonts w:ascii="宋体" w:hAnsi="宋体"/>
                <w:kern w:val="0"/>
                <w:szCs w:val="21"/>
              </w:rPr>
              <w:t>XXXX设备</w:t>
            </w:r>
          </w:p>
        </w:tc>
        <w:tc>
          <w:tcPr>
            <w:tcW w:w="3871" w:type="dxa"/>
            <w:gridSpan w:val="2"/>
            <w:tcBorders>
              <w:top w:val="single" w:color="auto" w:sz="8" w:space="0"/>
              <w:left w:val="single" w:color="auto" w:sz="8" w:space="0"/>
              <w:bottom w:val="single" w:color="auto" w:sz="8" w:space="0"/>
              <w:right w:val="single" w:color="auto" w:sz="8" w:space="0"/>
            </w:tcBorders>
            <w:vAlign w:val="center"/>
          </w:tcPr>
          <w:p w14:paraId="1927481D">
            <w:pPr>
              <w:pStyle w:val="175"/>
              <w:spacing w:before="120" w:after="120"/>
              <w:ind w:firstLine="0" w:firstLineChars="0"/>
              <w:rPr>
                <w:rFonts w:ascii="宋体" w:hAnsi="宋体" w:eastAsia="宋体"/>
                <w:szCs w:val="21"/>
              </w:rPr>
            </w:pPr>
          </w:p>
        </w:tc>
        <w:tc>
          <w:tcPr>
            <w:tcW w:w="850" w:type="dxa"/>
            <w:tcBorders>
              <w:top w:val="single" w:color="auto" w:sz="8" w:space="0"/>
              <w:left w:val="single" w:color="auto" w:sz="8" w:space="0"/>
              <w:bottom w:val="single" w:color="auto" w:sz="8" w:space="0"/>
              <w:right w:val="single" w:color="auto" w:sz="8" w:space="0"/>
            </w:tcBorders>
            <w:vAlign w:val="center"/>
          </w:tcPr>
          <w:p w14:paraId="13062DA5">
            <w:pPr>
              <w:widowControl/>
              <w:snapToGrid w:val="0"/>
              <w:spacing w:before="100" w:beforeAutospacing="1" w:after="100" w:afterAutospacing="1" w:line="320" w:lineRule="exact"/>
              <w:jc w:val="center"/>
              <w:rPr>
                <w:rFonts w:ascii="宋体" w:hAnsi="宋体"/>
                <w:kern w:val="0"/>
                <w:szCs w:val="21"/>
              </w:rPr>
            </w:pPr>
            <w:r>
              <w:rPr>
                <w:rFonts w:ascii="宋体" w:hAnsi="宋体"/>
                <w:kern w:val="0"/>
                <w:szCs w:val="21"/>
              </w:rPr>
              <w:t>1套</w:t>
            </w:r>
          </w:p>
        </w:tc>
        <w:tc>
          <w:tcPr>
            <w:tcW w:w="2402" w:type="dxa"/>
            <w:gridSpan w:val="2"/>
            <w:tcBorders>
              <w:top w:val="single" w:color="auto" w:sz="8" w:space="0"/>
              <w:left w:val="single" w:color="auto" w:sz="8" w:space="0"/>
              <w:bottom w:val="single" w:color="auto" w:sz="8" w:space="0"/>
              <w:right w:val="single" w:color="auto" w:sz="8" w:space="0"/>
            </w:tcBorders>
            <w:vAlign w:val="center"/>
          </w:tcPr>
          <w:p w14:paraId="6F11D3C0">
            <w:pPr>
              <w:pStyle w:val="175"/>
              <w:spacing w:before="120" w:after="120"/>
              <w:ind w:firstLine="0" w:firstLineChars="0"/>
              <w:jc w:val="center"/>
              <w:rPr>
                <w:rFonts w:ascii="宋体" w:hAnsi="宋体" w:eastAsia="宋体"/>
                <w:szCs w:val="21"/>
              </w:rPr>
            </w:pPr>
            <w:r>
              <w:rPr>
                <w:rFonts w:ascii="宋体" w:hAnsi="宋体" w:eastAsia="宋体"/>
                <w:szCs w:val="21"/>
              </w:rPr>
              <w:t>¥0.00元</w:t>
            </w:r>
          </w:p>
        </w:tc>
      </w:tr>
      <w:tr w14:paraId="1D617F2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87" w:hRule="atLeast"/>
          <w:jc w:val="center"/>
        </w:trPr>
        <w:tc>
          <w:tcPr>
            <w:tcW w:w="6375" w:type="dxa"/>
            <w:gridSpan w:val="5"/>
            <w:tcBorders>
              <w:top w:val="single" w:color="auto" w:sz="8" w:space="0"/>
              <w:left w:val="single" w:color="auto" w:sz="8" w:space="0"/>
              <w:bottom w:val="single" w:color="auto" w:sz="8" w:space="0"/>
              <w:right w:val="single" w:color="auto" w:sz="8" w:space="0"/>
            </w:tcBorders>
            <w:vAlign w:val="center"/>
          </w:tcPr>
          <w:p w14:paraId="7810F66C">
            <w:pPr>
              <w:pStyle w:val="175"/>
              <w:spacing w:before="120" w:after="120"/>
              <w:ind w:firstLine="0" w:firstLineChars="0"/>
              <w:jc w:val="center"/>
              <w:rPr>
                <w:rFonts w:ascii="宋体" w:hAnsi="宋体" w:eastAsia="宋体"/>
                <w:szCs w:val="21"/>
              </w:rPr>
            </w:pPr>
            <w:r>
              <w:rPr>
                <w:rFonts w:ascii="宋体" w:hAnsi="宋体" w:eastAsia="宋体"/>
                <w:szCs w:val="21"/>
              </w:rPr>
              <w:t>合 计</w:t>
            </w:r>
          </w:p>
        </w:tc>
        <w:tc>
          <w:tcPr>
            <w:tcW w:w="850" w:type="dxa"/>
            <w:tcBorders>
              <w:top w:val="single" w:color="auto" w:sz="8" w:space="0"/>
              <w:left w:val="single" w:color="auto" w:sz="8" w:space="0"/>
              <w:bottom w:val="single" w:color="auto" w:sz="8" w:space="0"/>
              <w:right w:val="single" w:color="auto" w:sz="8" w:space="0"/>
            </w:tcBorders>
            <w:vAlign w:val="center"/>
          </w:tcPr>
          <w:p w14:paraId="3DCA77C8">
            <w:pPr>
              <w:widowControl/>
              <w:snapToGrid w:val="0"/>
              <w:spacing w:before="100" w:beforeAutospacing="1" w:after="100" w:afterAutospacing="1" w:line="320" w:lineRule="exact"/>
              <w:jc w:val="center"/>
              <w:rPr>
                <w:rFonts w:ascii="宋体" w:hAnsi="宋体"/>
                <w:kern w:val="0"/>
                <w:szCs w:val="21"/>
              </w:rPr>
            </w:pPr>
          </w:p>
        </w:tc>
        <w:tc>
          <w:tcPr>
            <w:tcW w:w="2402" w:type="dxa"/>
            <w:gridSpan w:val="2"/>
            <w:tcBorders>
              <w:top w:val="single" w:color="auto" w:sz="8" w:space="0"/>
              <w:left w:val="single" w:color="auto" w:sz="8" w:space="0"/>
              <w:bottom w:val="single" w:color="auto" w:sz="8" w:space="0"/>
              <w:right w:val="single" w:color="auto" w:sz="8" w:space="0"/>
            </w:tcBorders>
            <w:vAlign w:val="center"/>
          </w:tcPr>
          <w:p w14:paraId="1B6218E3">
            <w:pPr>
              <w:pStyle w:val="175"/>
              <w:spacing w:before="120" w:after="120"/>
              <w:ind w:firstLine="0" w:firstLineChars="0"/>
              <w:jc w:val="center"/>
              <w:rPr>
                <w:rFonts w:ascii="宋体" w:hAnsi="宋体" w:eastAsia="宋体"/>
                <w:szCs w:val="21"/>
              </w:rPr>
            </w:pPr>
            <w:r>
              <w:rPr>
                <w:rFonts w:ascii="宋体" w:hAnsi="宋体" w:eastAsia="宋体"/>
                <w:szCs w:val="21"/>
              </w:rPr>
              <w:t>¥0.00元</w:t>
            </w:r>
          </w:p>
        </w:tc>
      </w:tr>
      <w:tr w14:paraId="029F55E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55" w:hRule="atLeast"/>
          <w:jc w:val="center"/>
        </w:trPr>
        <w:tc>
          <w:tcPr>
            <w:tcW w:w="9627" w:type="dxa"/>
            <w:gridSpan w:val="8"/>
            <w:tcBorders>
              <w:top w:val="single" w:color="auto" w:sz="8" w:space="0"/>
              <w:left w:val="single" w:color="auto" w:sz="8" w:space="0"/>
              <w:bottom w:val="single" w:color="auto" w:sz="8" w:space="0"/>
              <w:right w:val="single" w:color="auto" w:sz="8" w:space="0"/>
            </w:tcBorders>
            <w:vAlign w:val="center"/>
          </w:tcPr>
          <w:p w14:paraId="4057C7F8">
            <w:pPr>
              <w:widowControl/>
              <w:snapToGrid w:val="0"/>
              <w:spacing w:before="100" w:beforeAutospacing="1" w:after="100" w:afterAutospacing="1" w:line="320" w:lineRule="exact"/>
              <w:ind w:firstLine="2" w:firstLineChars="1"/>
              <w:jc w:val="left"/>
              <w:rPr>
                <w:rFonts w:ascii="宋体" w:hAnsi="宋体"/>
                <w:kern w:val="0"/>
                <w:szCs w:val="21"/>
              </w:rPr>
            </w:pPr>
            <w:r>
              <w:rPr>
                <w:rFonts w:ascii="宋体" w:hAnsi="宋体"/>
                <w:kern w:val="0"/>
                <w:szCs w:val="21"/>
              </w:rPr>
              <w:t>合计大写金额：人民币元整</w:t>
            </w:r>
          </w:p>
        </w:tc>
      </w:tr>
      <w:tr w14:paraId="29D8D70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49" w:hRule="atLeast"/>
          <w:jc w:val="center"/>
        </w:trPr>
        <w:tc>
          <w:tcPr>
            <w:tcW w:w="1527" w:type="dxa"/>
            <w:gridSpan w:val="2"/>
            <w:tcBorders>
              <w:top w:val="single" w:color="auto" w:sz="8" w:space="0"/>
              <w:left w:val="single" w:color="auto" w:sz="8" w:space="0"/>
              <w:bottom w:val="single" w:color="auto" w:sz="8" w:space="0"/>
              <w:right w:val="single" w:color="auto" w:sz="8" w:space="0"/>
            </w:tcBorders>
            <w:vAlign w:val="center"/>
          </w:tcPr>
          <w:p w14:paraId="35AF4C78">
            <w:pPr>
              <w:widowControl/>
              <w:snapToGrid w:val="0"/>
              <w:spacing w:before="100" w:beforeAutospacing="1" w:after="100" w:afterAutospacing="1" w:line="320" w:lineRule="exact"/>
              <w:ind w:firstLine="2" w:firstLineChars="1"/>
              <w:jc w:val="left"/>
              <w:rPr>
                <w:rFonts w:ascii="宋体" w:hAnsi="宋体"/>
                <w:kern w:val="0"/>
                <w:szCs w:val="21"/>
              </w:rPr>
            </w:pPr>
            <w:r>
              <w:rPr>
                <w:rFonts w:ascii="宋体" w:hAnsi="宋体"/>
                <w:kern w:val="0"/>
                <w:szCs w:val="21"/>
              </w:rPr>
              <w:t>实际交付日期</w:t>
            </w:r>
          </w:p>
        </w:tc>
        <w:tc>
          <w:tcPr>
            <w:tcW w:w="3240" w:type="dxa"/>
            <w:gridSpan w:val="2"/>
            <w:tcBorders>
              <w:top w:val="single" w:color="auto" w:sz="8" w:space="0"/>
              <w:left w:val="single" w:color="auto" w:sz="8" w:space="0"/>
              <w:bottom w:val="single" w:color="auto" w:sz="8" w:space="0"/>
              <w:right w:val="single" w:color="auto" w:sz="8" w:space="0"/>
            </w:tcBorders>
            <w:vAlign w:val="center"/>
          </w:tcPr>
          <w:p w14:paraId="2115715D">
            <w:pPr>
              <w:snapToGrid w:val="0"/>
              <w:spacing w:before="100" w:beforeAutospacing="1" w:after="100" w:afterAutospacing="1" w:line="320" w:lineRule="exact"/>
              <w:ind w:firstLine="420" w:firstLineChars="200"/>
              <w:jc w:val="left"/>
              <w:rPr>
                <w:rFonts w:ascii="宋体" w:hAnsi="宋体"/>
                <w:kern w:val="0"/>
                <w:szCs w:val="21"/>
              </w:rPr>
            </w:pPr>
            <w:r>
              <w:rPr>
                <w:rFonts w:ascii="宋体" w:hAnsi="宋体"/>
                <w:kern w:val="0"/>
                <w:szCs w:val="21"/>
              </w:rPr>
              <w:t>20  年  月  日</w:t>
            </w:r>
          </w:p>
        </w:tc>
        <w:tc>
          <w:tcPr>
            <w:tcW w:w="2700" w:type="dxa"/>
            <w:gridSpan w:val="3"/>
            <w:tcBorders>
              <w:top w:val="single" w:color="auto" w:sz="8" w:space="0"/>
              <w:left w:val="single" w:color="auto" w:sz="8" w:space="0"/>
              <w:bottom w:val="single" w:color="auto" w:sz="8" w:space="0"/>
              <w:right w:val="single" w:color="auto" w:sz="8" w:space="0"/>
            </w:tcBorders>
            <w:vAlign w:val="center"/>
          </w:tcPr>
          <w:p w14:paraId="4EAAB821">
            <w:pPr>
              <w:snapToGrid w:val="0"/>
              <w:spacing w:before="100" w:beforeAutospacing="1" w:after="100" w:afterAutospacing="1" w:line="320" w:lineRule="exact"/>
              <w:ind w:firstLine="39" w:firstLineChars="19"/>
              <w:jc w:val="center"/>
              <w:rPr>
                <w:rFonts w:ascii="宋体" w:hAnsi="宋体"/>
                <w:kern w:val="0"/>
                <w:szCs w:val="21"/>
              </w:rPr>
            </w:pPr>
            <w:r>
              <w:rPr>
                <w:rFonts w:ascii="宋体" w:hAnsi="宋体"/>
                <w:kern w:val="0"/>
                <w:szCs w:val="21"/>
              </w:rPr>
              <w:t>合同交付验收日期</w:t>
            </w:r>
          </w:p>
        </w:tc>
        <w:tc>
          <w:tcPr>
            <w:tcW w:w="2160" w:type="dxa"/>
            <w:tcBorders>
              <w:top w:val="single" w:color="auto" w:sz="8" w:space="0"/>
              <w:left w:val="single" w:color="auto" w:sz="8" w:space="0"/>
              <w:bottom w:val="single" w:color="auto" w:sz="8" w:space="0"/>
              <w:right w:val="single" w:color="auto" w:sz="8" w:space="0"/>
            </w:tcBorders>
            <w:vAlign w:val="center"/>
          </w:tcPr>
          <w:p w14:paraId="06669E70">
            <w:pPr>
              <w:snapToGrid w:val="0"/>
              <w:spacing w:before="100" w:beforeAutospacing="1" w:after="100" w:afterAutospacing="1" w:line="320" w:lineRule="exact"/>
              <w:ind w:firstLine="420" w:firstLineChars="200"/>
              <w:jc w:val="left"/>
              <w:rPr>
                <w:rFonts w:ascii="宋体" w:hAnsi="宋体"/>
                <w:kern w:val="0"/>
                <w:szCs w:val="21"/>
              </w:rPr>
            </w:pPr>
            <w:r>
              <w:rPr>
                <w:rFonts w:ascii="宋体" w:hAnsi="宋体"/>
                <w:kern w:val="0"/>
                <w:szCs w:val="21"/>
              </w:rPr>
              <w:t>20  年  月  日</w:t>
            </w:r>
          </w:p>
        </w:tc>
      </w:tr>
      <w:tr w14:paraId="0D4DC83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693" w:hRule="atLeast"/>
          <w:jc w:val="center"/>
        </w:trPr>
        <w:tc>
          <w:tcPr>
            <w:tcW w:w="1527" w:type="dxa"/>
            <w:gridSpan w:val="2"/>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7EBCEA32">
            <w:pPr>
              <w:widowControl/>
              <w:snapToGrid w:val="0"/>
              <w:spacing w:before="100" w:beforeAutospacing="1" w:after="100" w:afterAutospacing="1" w:line="320" w:lineRule="exact"/>
              <w:jc w:val="left"/>
              <w:rPr>
                <w:rFonts w:ascii="宋体" w:hAnsi="宋体"/>
                <w:kern w:val="0"/>
                <w:szCs w:val="21"/>
              </w:rPr>
            </w:pPr>
            <w:r>
              <w:rPr>
                <w:rFonts w:ascii="宋体" w:hAnsi="宋体"/>
                <w:kern w:val="0"/>
                <w:szCs w:val="21"/>
              </w:rPr>
              <w:t>验收具体内容</w:t>
            </w:r>
          </w:p>
        </w:tc>
        <w:tc>
          <w:tcPr>
            <w:tcW w:w="8100" w:type="dxa"/>
            <w:gridSpan w:val="6"/>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30718025">
            <w:pPr>
              <w:pStyle w:val="175"/>
              <w:spacing w:before="120" w:after="120"/>
              <w:ind w:firstLine="0" w:firstLineChars="0"/>
              <w:rPr>
                <w:rFonts w:ascii="宋体" w:hAnsi="宋体" w:eastAsia="宋体"/>
                <w:szCs w:val="21"/>
              </w:rPr>
            </w:pPr>
            <w:r>
              <w:rPr>
                <w:rFonts w:ascii="宋体" w:hAnsi="宋体" w:eastAsia="宋体"/>
                <w:szCs w:val="21"/>
              </w:rPr>
              <w:t>中标人所提供服务的内容满足采购合同约定的要求、标准。</w:t>
            </w:r>
          </w:p>
        </w:tc>
      </w:tr>
      <w:tr w14:paraId="4E81676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46" w:hRule="atLeast"/>
          <w:jc w:val="center"/>
        </w:trPr>
        <w:tc>
          <w:tcPr>
            <w:tcW w:w="1527" w:type="dxa"/>
            <w:gridSpan w:val="2"/>
            <w:vMerge w:val="restar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7C067F01">
            <w:pPr>
              <w:widowControl/>
              <w:spacing w:before="100" w:beforeAutospacing="1" w:after="100" w:afterAutospacing="1" w:line="320" w:lineRule="exact"/>
              <w:jc w:val="left"/>
              <w:rPr>
                <w:rFonts w:ascii="宋体" w:hAnsi="宋体"/>
                <w:kern w:val="0"/>
                <w:szCs w:val="21"/>
              </w:rPr>
            </w:pPr>
            <w:r>
              <w:rPr>
                <w:rFonts w:ascii="宋体" w:hAnsi="宋体"/>
                <w:kern w:val="0"/>
                <w:szCs w:val="21"/>
              </w:rPr>
              <w:t>验收小组意见</w:t>
            </w:r>
          </w:p>
        </w:tc>
        <w:tc>
          <w:tcPr>
            <w:tcW w:w="8100" w:type="dxa"/>
            <w:gridSpan w:val="6"/>
            <w:tcBorders>
              <w:top w:val="single" w:color="auto" w:sz="8" w:space="0"/>
              <w:left w:val="single" w:color="auto" w:sz="8" w:space="0"/>
              <w:bottom w:val="single" w:color="auto" w:sz="4" w:space="0"/>
              <w:right w:val="single" w:color="auto" w:sz="8" w:space="0"/>
            </w:tcBorders>
            <w:vAlign w:val="center"/>
          </w:tcPr>
          <w:p w14:paraId="20433CD4">
            <w:pPr>
              <w:widowControl/>
              <w:spacing w:before="100" w:beforeAutospacing="1" w:after="100" w:afterAutospacing="1" w:line="320" w:lineRule="exact"/>
              <w:jc w:val="left"/>
              <w:rPr>
                <w:rFonts w:ascii="宋体" w:hAnsi="宋体"/>
                <w:kern w:val="0"/>
                <w:szCs w:val="21"/>
              </w:rPr>
            </w:pPr>
            <w:r>
              <w:rPr>
                <w:rFonts w:ascii="宋体" w:hAnsi="宋体"/>
                <w:kern w:val="0"/>
                <w:szCs w:val="21"/>
              </w:rPr>
              <w:t>验收结论性意见：同意（不同意）通过项目验收</w:t>
            </w:r>
          </w:p>
        </w:tc>
      </w:tr>
      <w:tr w14:paraId="69F3F58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1037" w:hRule="atLeast"/>
          <w:jc w:val="center"/>
        </w:trPr>
        <w:tc>
          <w:tcPr>
            <w:tcW w:w="1527" w:type="dxa"/>
            <w:gridSpan w:val="2"/>
            <w:vMerge w:val="continue"/>
            <w:tcBorders>
              <w:top w:val="single" w:color="auto" w:sz="8" w:space="0"/>
              <w:left w:val="single" w:color="auto" w:sz="8" w:space="0"/>
              <w:bottom w:val="single" w:color="auto" w:sz="8" w:space="0"/>
              <w:right w:val="single" w:color="auto" w:sz="8" w:space="0"/>
            </w:tcBorders>
            <w:vAlign w:val="center"/>
          </w:tcPr>
          <w:p w14:paraId="5568EB2E">
            <w:pPr>
              <w:widowControl/>
              <w:spacing w:line="320" w:lineRule="exact"/>
              <w:jc w:val="left"/>
              <w:rPr>
                <w:rFonts w:ascii="宋体" w:hAnsi="宋体"/>
                <w:kern w:val="0"/>
                <w:szCs w:val="21"/>
              </w:rPr>
            </w:pPr>
          </w:p>
        </w:tc>
        <w:tc>
          <w:tcPr>
            <w:tcW w:w="8100" w:type="dxa"/>
            <w:gridSpan w:val="6"/>
            <w:tcBorders>
              <w:top w:val="single" w:color="auto" w:sz="4" w:space="0"/>
              <w:left w:val="single" w:color="auto" w:sz="8" w:space="0"/>
              <w:bottom w:val="single" w:color="auto" w:sz="8" w:space="0"/>
              <w:right w:val="single" w:color="auto" w:sz="8" w:space="0"/>
            </w:tcBorders>
            <w:vAlign w:val="center"/>
          </w:tcPr>
          <w:p w14:paraId="35131ADB">
            <w:pPr>
              <w:pStyle w:val="175"/>
              <w:spacing w:before="120" w:after="120"/>
              <w:ind w:firstLine="0" w:firstLineChars="0"/>
              <w:rPr>
                <w:rFonts w:ascii="宋体" w:hAnsi="宋体" w:eastAsia="宋体"/>
                <w:szCs w:val="21"/>
              </w:rPr>
            </w:pPr>
            <w:r>
              <w:rPr>
                <w:rFonts w:ascii="宋体" w:hAnsi="宋体" w:eastAsia="宋体"/>
                <w:szCs w:val="21"/>
              </w:rPr>
              <w:t>有异议的意见和说明理由：</w:t>
            </w:r>
          </w:p>
          <w:p w14:paraId="38FA008D">
            <w:pPr>
              <w:pStyle w:val="175"/>
              <w:spacing w:before="120" w:after="120"/>
              <w:ind w:firstLine="5880" w:firstLineChars="2800"/>
              <w:rPr>
                <w:rFonts w:ascii="宋体" w:hAnsi="宋体" w:eastAsia="宋体"/>
                <w:szCs w:val="21"/>
              </w:rPr>
            </w:pPr>
            <w:r>
              <w:rPr>
                <w:rFonts w:ascii="宋体" w:hAnsi="宋体" w:eastAsia="宋体"/>
                <w:szCs w:val="21"/>
              </w:rPr>
              <w:t>签字：</w:t>
            </w:r>
          </w:p>
        </w:tc>
      </w:tr>
      <w:tr w14:paraId="3E3673E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1331" w:hRule="atLeast"/>
          <w:jc w:val="center"/>
        </w:trPr>
        <w:tc>
          <w:tcPr>
            <w:tcW w:w="9627" w:type="dxa"/>
            <w:gridSpan w:val="8"/>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4F1EB00E">
            <w:pPr>
              <w:widowControl/>
              <w:spacing w:before="100" w:beforeAutospacing="1" w:after="100" w:afterAutospacing="1" w:line="320" w:lineRule="exact"/>
              <w:jc w:val="left"/>
              <w:rPr>
                <w:rFonts w:ascii="宋体" w:hAnsi="宋体"/>
                <w:kern w:val="0"/>
                <w:szCs w:val="21"/>
              </w:rPr>
            </w:pPr>
            <w:r>
              <w:rPr>
                <w:rFonts w:ascii="宋体" w:hAnsi="宋体"/>
                <w:kern w:val="0"/>
                <w:szCs w:val="21"/>
              </w:rPr>
              <w:t>验收小组成员签字：</w:t>
            </w:r>
          </w:p>
          <w:p w14:paraId="6754E086">
            <w:pPr>
              <w:widowControl/>
              <w:spacing w:before="100" w:beforeAutospacing="1" w:after="100" w:afterAutospacing="1" w:line="320" w:lineRule="exact"/>
              <w:jc w:val="left"/>
              <w:rPr>
                <w:rFonts w:ascii="宋体" w:hAnsi="宋体"/>
                <w:kern w:val="0"/>
                <w:szCs w:val="21"/>
              </w:rPr>
            </w:pPr>
          </w:p>
        </w:tc>
      </w:tr>
      <w:tr w14:paraId="5BF4016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1110" w:hRule="atLeast"/>
          <w:jc w:val="center"/>
        </w:trPr>
        <w:tc>
          <w:tcPr>
            <w:tcW w:w="9627" w:type="dxa"/>
            <w:gridSpan w:val="8"/>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4A097574">
            <w:pPr>
              <w:widowControl/>
              <w:spacing w:before="100" w:beforeAutospacing="1" w:after="100" w:afterAutospacing="1" w:line="320" w:lineRule="exact"/>
              <w:jc w:val="left"/>
              <w:rPr>
                <w:rFonts w:ascii="宋体" w:hAnsi="宋体"/>
                <w:kern w:val="0"/>
                <w:szCs w:val="21"/>
              </w:rPr>
            </w:pPr>
            <w:r>
              <w:rPr>
                <w:rFonts w:ascii="宋体" w:hAnsi="宋体"/>
                <w:kern w:val="0"/>
                <w:szCs w:val="21"/>
              </w:rPr>
              <w:t>监督人员或其他相关人员签字：</w:t>
            </w:r>
          </w:p>
          <w:p w14:paraId="67EBCBBD">
            <w:pPr>
              <w:widowControl/>
              <w:spacing w:before="100" w:beforeAutospacing="1" w:after="100" w:afterAutospacing="1" w:line="320" w:lineRule="exact"/>
              <w:ind w:firstLine="65" w:firstLineChars="31"/>
              <w:jc w:val="left"/>
              <w:rPr>
                <w:rFonts w:ascii="宋体" w:hAnsi="宋体"/>
                <w:kern w:val="0"/>
                <w:szCs w:val="21"/>
              </w:rPr>
            </w:pPr>
            <w:r>
              <w:rPr>
                <w:rFonts w:ascii="宋体" w:hAnsi="宋体"/>
                <w:kern w:val="0"/>
                <w:szCs w:val="21"/>
              </w:rPr>
              <w:t>或受邀机构的意见（盖章）：</w:t>
            </w:r>
          </w:p>
        </w:tc>
      </w:tr>
      <w:tr w14:paraId="51381D7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1418" w:hRule="atLeast"/>
          <w:jc w:val="center"/>
        </w:trPr>
        <w:tc>
          <w:tcPr>
            <w:tcW w:w="4767" w:type="dxa"/>
            <w:gridSpan w:val="4"/>
            <w:tcBorders>
              <w:top w:val="single" w:color="auto" w:sz="8" w:space="0"/>
              <w:left w:val="single" w:color="auto" w:sz="8" w:space="0"/>
              <w:bottom w:val="single" w:color="auto" w:sz="8" w:space="0"/>
              <w:right w:val="nil"/>
            </w:tcBorders>
            <w:tcMar>
              <w:top w:w="0" w:type="dxa"/>
              <w:left w:w="108" w:type="dxa"/>
              <w:bottom w:w="0" w:type="dxa"/>
              <w:right w:w="108" w:type="dxa"/>
            </w:tcMar>
            <w:vAlign w:val="center"/>
          </w:tcPr>
          <w:p w14:paraId="3AE5B969">
            <w:pPr>
              <w:widowControl/>
              <w:spacing w:before="100" w:beforeAutospacing="1" w:after="100" w:afterAutospacing="1" w:line="320" w:lineRule="exact"/>
              <w:ind w:firstLine="65" w:firstLineChars="31"/>
              <w:jc w:val="left"/>
              <w:rPr>
                <w:rFonts w:ascii="宋体" w:hAnsi="宋体"/>
                <w:kern w:val="0"/>
                <w:szCs w:val="21"/>
              </w:rPr>
            </w:pPr>
            <w:r>
              <w:rPr>
                <w:rFonts w:ascii="宋体" w:hAnsi="宋体"/>
                <w:kern w:val="0"/>
                <w:szCs w:val="21"/>
              </w:rPr>
              <w:t>中标或者成交供应商负责人签字或盖章：</w:t>
            </w:r>
          </w:p>
          <w:p w14:paraId="1A06BC73">
            <w:pPr>
              <w:widowControl/>
              <w:spacing w:before="100" w:beforeAutospacing="1" w:after="100" w:afterAutospacing="1" w:line="320" w:lineRule="exact"/>
              <w:jc w:val="left"/>
              <w:rPr>
                <w:rFonts w:ascii="宋体" w:hAnsi="宋体"/>
                <w:kern w:val="0"/>
                <w:szCs w:val="21"/>
              </w:rPr>
            </w:pPr>
            <w:r>
              <w:rPr>
                <w:rFonts w:ascii="宋体" w:hAnsi="宋体"/>
                <w:kern w:val="0"/>
                <w:szCs w:val="21"/>
              </w:rPr>
              <w:t>联系电话：          年   月   日</w:t>
            </w:r>
          </w:p>
          <w:p w14:paraId="0F785050">
            <w:pPr>
              <w:widowControl/>
              <w:spacing w:before="100" w:beforeAutospacing="1" w:after="100" w:afterAutospacing="1" w:line="320" w:lineRule="exact"/>
              <w:jc w:val="left"/>
              <w:rPr>
                <w:rFonts w:ascii="宋体" w:hAnsi="宋体"/>
                <w:kern w:val="0"/>
                <w:szCs w:val="21"/>
              </w:rPr>
            </w:pPr>
          </w:p>
          <w:p w14:paraId="15ADB9F3">
            <w:pPr>
              <w:widowControl/>
              <w:spacing w:before="100" w:beforeAutospacing="1" w:after="100" w:afterAutospacing="1" w:line="320" w:lineRule="exact"/>
              <w:ind w:firstLine="65" w:firstLineChars="31"/>
              <w:jc w:val="left"/>
              <w:rPr>
                <w:rFonts w:ascii="宋体" w:hAnsi="宋体"/>
                <w:kern w:val="0"/>
                <w:szCs w:val="21"/>
              </w:rPr>
            </w:pPr>
            <w:r>
              <w:rPr>
                <w:rFonts w:ascii="宋体" w:hAnsi="宋体"/>
                <w:kern w:val="0"/>
                <w:szCs w:val="21"/>
              </w:rPr>
              <w:t>采购人签字或盖章：</w:t>
            </w:r>
          </w:p>
          <w:p w14:paraId="44C34B2F">
            <w:pPr>
              <w:widowControl/>
              <w:spacing w:before="100" w:beforeAutospacing="1" w:after="100" w:afterAutospacing="1" w:line="320" w:lineRule="exact"/>
              <w:jc w:val="left"/>
              <w:rPr>
                <w:rFonts w:ascii="宋体" w:hAnsi="宋体"/>
                <w:kern w:val="0"/>
                <w:szCs w:val="21"/>
              </w:rPr>
            </w:pPr>
            <w:r>
              <w:rPr>
                <w:rFonts w:ascii="宋体" w:hAnsi="宋体"/>
                <w:kern w:val="0"/>
                <w:szCs w:val="21"/>
              </w:rPr>
              <w:t>联系电话：         年   月   日</w:t>
            </w:r>
          </w:p>
        </w:tc>
        <w:tc>
          <w:tcPr>
            <w:tcW w:w="4860" w:type="dxa"/>
            <w:gridSpan w:val="4"/>
            <w:tcBorders>
              <w:top w:val="single" w:color="auto" w:sz="8" w:space="0"/>
              <w:left w:val="nil"/>
              <w:bottom w:val="single" w:color="auto" w:sz="8" w:space="0"/>
              <w:right w:val="single" w:color="auto" w:sz="8" w:space="0"/>
            </w:tcBorders>
            <w:vAlign w:val="center"/>
          </w:tcPr>
          <w:p w14:paraId="132834DA">
            <w:pPr>
              <w:widowControl/>
              <w:spacing w:before="100" w:beforeAutospacing="1" w:after="100" w:afterAutospacing="1" w:line="320" w:lineRule="exact"/>
              <w:jc w:val="left"/>
              <w:rPr>
                <w:rFonts w:ascii="宋体" w:hAnsi="宋体"/>
                <w:kern w:val="0"/>
                <w:szCs w:val="21"/>
              </w:rPr>
            </w:pPr>
            <w:r>
              <w:rPr>
                <w:rFonts w:ascii="宋体" w:hAnsi="宋体"/>
                <w:kern w:val="0"/>
                <w:szCs w:val="21"/>
              </w:rPr>
              <w:t> 受托机构的意见（盖章）：</w:t>
            </w:r>
          </w:p>
          <w:p w14:paraId="08803C75">
            <w:pPr>
              <w:widowControl/>
              <w:spacing w:before="100" w:beforeAutospacing="1" w:after="100" w:afterAutospacing="1" w:line="320" w:lineRule="exact"/>
              <w:jc w:val="left"/>
              <w:rPr>
                <w:rFonts w:ascii="宋体" w:hAnsi="宋体"/>
                <w:kern w:val="0"/>
                <w:szCs w:val="21"/>
              </w:rPr>
            </w:pPr>
            <w:r>
              <w:rPr>
                <w:rFonts w:ascii="宋体" w:hAnsi="宋体"/>
                <w:kern w:val="0"/>
                <w:szCs w:val="21"/>
              </w:rPr>
              <w:t>联系电话：                     年   月   日</w:t>
            </w:r>
          </w:p>
          <w:p w14:paraId="3A9BFCE4">
            <w:pPr>
              <w:widowControl/>
              <w:spacing w:before="100" w:beforeAutospacing="1" w:after="100" w:afterAutospacing="1" w:line="320" w:lineRule="exact"/>
              <w:jc w:val="left"/>
              <w:rPr>
                <w:rFonts w:ascii="宋体" w:hAnsi="宋体"/>
                <w:kern w:val="0"/>
                <w:szCs w:val="21"/>
              </w:rPr>
            </w:pPr>
          </w:p>
          <w:p w14:paraId="0D418D00">
            <w:pPr>
              <w:widowControl/>
              <w:spacing w:before="100" w:beforeAutospacing="1" w:after="100" w:afterAutospacing="1" w:line="320" w:lineRule="exact"/>
              <w:jc w:val="left"/>
              <w:rPr>
                <w:rFonts w:ascii="宋体" w:hAnsi="宋体"/>
                <w:kern w:val="0"/>
                <w:szCs w:val="21"/>
              </w:rPr>
            </w:pPr>
          </w:p>
          <w:p w14:paraId="26CAE822">
            <w:pPr>
              <w:widowControl/>
              <w:spacing w:before="100" w:beforeAutospacing="1" w:after="100" w:afterAutospacing="1" w:line="320" w:lineRule="exact"/>
              <w:jc w:val="left"/>
              <w:rPr>
                <w:rFonts w:ascii="宋体" w:hAnsi="宋体"/>
                <w:kern w:val="0"/>
                <w:szCs w:val="21"/>
              </w:rPr>
            </w:pPr>
          </w:p>
        </w:tc>
      </w:tr>
    </w:tbl>
    <w:p w14:paraId="70D04D00">
      <w:pPr>
        <w:widowControl/>
        <w:jc w:val="left"/>
        <w:rPr>
          <w:rFonts w:ascii="宋体" w:hAnsi="宋体"/>
          <w:bCs/>
          <w:sz w:val="24"/>
        </w:rPr>
      </w:pPr>
      <w:r>
        <w:rPr>
          <w:rFonts w:ascii="宋体" w:hAnsi="宋体"/>
          <w:spacing w:val="-10"/>
          <w:kern w:val="0"/>
          <w:szCs w:val="21"/>
        </w:rPr>
        <w:t>备注：本报告单一式4份（采购单位1份、供应商1份、采购监督部门备案1份、采购代理机构1份）</w:t>
      </w:r>
    </w:p>
    <w:p w14:paraId="0226FE3A">
      <w:pPr>
        <w:spacing w:before="120" w:line="320" w:lineRule="atLeast"/>
        <w:rPr>
          <w:rFonts w:ascii="宋体" w:hAnsi="宋体"/>
          <w:szCs w:val="21"/>
        </w:rPr>
        <w:sectPr>
          <w:pgSz w:w="11906" w:h="16838"/>
          <w:pgMar w:top="1418" w:right="1418" w:bottom="1246" w:left="1418" w:header="851" w:footer="992" w:gutter="0"/>
          <w:pgNumType w:fmt="decimal"/>
          <w:cols w:space="720" w:num="1"/>
          <w:docGrid w:linePitch="312" w:charSpace="0"/>
        </w:sectPr>
      </w:pPr>
    </w:p>
    <w:bookmarkEnd w:id="0"/>
    <w:bookmarkEnd w:id="1"/>
    <w:bookmarkEnd w:id="24"/>
    <w:bookmarkEnd w:id="25"/>
    <w:p w14:paraId="2CF3A90D">
      <w:pPr>
        <w:widowControl/>
        <w:jc w:val="center"/>
        <w:outlineLvl w:val="0"/>
        <w:rPr>
          <w:rFonts w:ascii="宋体" w:hAnsi="宋体"/>
          <w:sz w:val="32"/>
          <w:szCs w:val="32"/>
        </w:rPr>
      </w:pPr>
      <w:bookmarkStart w:id="80" w:name="_Toc20846"/>
      <w:r>
        <w:rPr>
          <w:rFonts w:ascii="宋体" w:hAnsi="宋体"/>
          <w:sz w:val="32"/>
          <w:szCs w:val="32"/>
        </w:rPr>
        <w:t>第六章  响应文件格式</w:t>
      </w:r>
      <w:bookmarkEnd w:id="80"/>
    </w:p>
    <w:p w14:paraId="1AA9111F">
      <w:pPr>
        <w:rPr>
          <w:rFonts w:ascii="宋体" w:hAnsi="宋体"/>
          <w:sz w:val="28"/>
          <w:szCs w:val="28"/>
        </w:rPr>
      </w:pPr>
      <w:bookmarkStart w:id="81" w:name="_Toc254970697"/>
      <w:bookmarkStart w:id="82" w:name="_Toc254970556"/>
    </w:p>
    <w:bookmarkEnd w:id="81"/>
    <w:bookmarkEnd w:id="82"/>
    <w:p w14:paraId="6302A1FC">
      <w:pPr>
        <w:rPr>
          <w:rFonts w:ascii="宋体" w:hAnsi="宋体"/>
          <w:sz w:val="28"/>
          <w:szCs w:val="28"/>
        </w:rPr>
      </w:pPr>
    </w:p>
    <w:p w14:paraId="770D2493">
      <w:pPr>
        <w:spacing w:line="500" w:lineRule="exact"/>
        <w:ind w:firstLine="560" w:firstLineChars="200"/>
        <w:rPr>
          <w:rFonts w:ascii="宋体" w:hAnsi="宋体"/>
          <w:sz w:val="24"/>
        </w:rPr>
      </w:pPr>
      <w:bookmarkStart w:id="83" w:name="_Hlk19199063"/>
      <w:r>
        <w:rPr>
          <w:rFonts w:ascii="宋体" w:hAnsi="宋体"/>
          <w:sz w:val="28"/>
          <w:szCs w:val="28"/>
        </w:rPr>
        <w:t>注：有签字、盖章要求的应按要求</w:t>
      </w:r>
      <w:bookmarkEnd w:id="83"/>
      <w:r>
        <w:rPr>
          <w:rFonts w:ascii="宋体" w:hAnsi="宋体"/>
          <w:sz w:val="28"/>
          <w:szCs w:val="28"/>
        </w:rPr>
        <w:t>签字（签章）、盖章（签章）。</w:t>
      </w:r>
      <w:r>
        <w:rPr>
          <w:rFonts w:ascii="宋体" w:hAnsi="宋体"/>
          <w:bCs/>
          <w:sz w:val="24"/>
        </w:rPr>
        <w:t xml:space="preserve"> </w:t>
      </w:r>
    </w:p>
    <w:p w14:paraId="4E41080C">
      <w:pPr>
        <w:snapToGrid w:val="0"/>
        <w:spacing w:before="120" w:beforeLines="50" w:after="50" w:line="440" w:lineRule="exact"/>
        <w:jc w:val="left"/>
        <w:outlineLvl w:val="1"/>
        <w:rPr>
          <w:rFonts w:ascii="宋体" w:hAnsi="宋体"/>
          <w:b/>
          <w:sz w:val="24"/>
        </w:rPr>
      </w:pPr>
      <w:r>
        <w:rPr>
          <w:rFonts w:ascii="宋体" w:hAnsi="宋体"/>
          <w:sz w:val="24"/>
        </w:rPr>
        <w:br w:type="page"/>
      </w:r>
      <w:r>
        <w:rPr>
          <w:rFonts w:ascii="宋体" w:hAnsi="宋体"/>
          <w:b/>
          <w:sz w:val="24"/>
        </w:rPr>
        <w:t xml:space="preserve">1.响应文件封面格式： </w:t>
      </w:r>
    </w:p>
    <w:p w14:paraId="2FDE9CE3">
      <w:pPr>
        <w:snapToGrid w:val="0"/>
        <w:spacing w:before="120" w:beforeLines="50" w:after="50" w:line="360" w:lineRule="exact"/>
        <w:rPr>
          <w:rFonts w:ascii="宋体" w:hAnsi="宋体"/>
          <w:sz w:val="24"/>
        </w:rPr>
      </w:pPr>
    </w:p>
    <w:p w14:paraId="0A3572DB">
      <w:pPr>
        <w:snapToGrid w:val="0"/>
        <w:spacing w:before="120" w:beforeLines="50" w:after="50" w:line="360" w:lineRule="exact"/>
        <w:jc w:val="center"/>
        <w:rPr>
          <w:rFonts w:ascii="宋体" w:hAnsi="宋体"/>
          <w:bCs/>
          <w:sz w:val="24"/>
        </w:rPr>
      </w:pPr>
    </w:p>
    <w:p w14:paraId="3F83EC7D">
      <w:pPr>
        <w:snapToGrid w:val="0"/>
        <w:spacing w:before="120" w:beforeLines="50" w:after="50" w:line="360" w:lineRule="exact"/>
        <w:jc w:val="center"/>
        <w:rPr>
          <w:rFonts w:ascii="宋体" w:hAnsi="宋体"/>
          <w:b/>
          <w:bCs/>
          <w:sz w:val="44"/>
          <w:szCs w:val="44"/>
        </w:rPr>
      </w:pPr>
      <w:r>
        <w:rPr>
          <w:rFonts w:ascii="宋体" w:hAnsi="宋体"/>
          <w:b/>
          <w:bCs/>
          <w:sz w:val="44"/>
          <w:szCs w:val="44"/>
        </w:rPr>
        <w:t>电子响应文件</w:t>
      </w:r>
    </w:p>
    <w:p w14:paraId="43144257">
      <w:pPr>
        <w:snapToGrid w:val="0"/>
        <w:spacing w:before="120" w:beforeLines="50" w:after="50" w:line="360" w:lineRule="exact"/>
        <w:rPr>
          <w:rFonts w:ascii="宋体" w:hAnsi="宋体"/>
          <w:bCs/>
          <w:sz w:val="24"/>
        </w:rPr>
      </w:pPr>
    </w:p>
    <w:p w14:paraId="7B41CFA8">
      <w:pPr>
        <w:snapToGrid w:val="0"/>
        <w:spacing w:before="120" w:beforeLines="50" w:after="50" w:line="360" w:lineRule="exact"/>
        <w:ind w:firstLine="720" w:firstLineChars="300"/>
        <w:rPr>
          <w:rFonts w:ascii="宋体" w:hAnsi="宋体"/>
          <w:bCs/>
          <w:sz w:val="24"/>
        </w:rPr>
      </w:pPr>
      <w:r>
        <w:rPr>
          <w:rFonts w:ascii="宋体" w:hAnsi="宋体"/>
          <w:bCs/>
          <w:sz w:val="24"/>
        </w:rPr>
        <w:t xml:space="preserve">项目名称： </w:t>
      </w:r>
    </w:p>
    <w:p w14:paraId="26C847E2">
      <w:pPr>
        <w:snapToGrid w:val="0"/>
        <w:spacing w:before="120" w:beforeLines="50" w:after="50" w:line="360" w:lineRule="exact"/>
        <w:ind w:firstLine="720" w:firstLineChars="300"/>
        <w:rPr>
          <w:rFonts w:ascii="宋体" w:hAnsi="宋体"/>
          <w:bCs/>
          <w:sz w:val="24"/>
        </w:rPr>
      </w:pPr>
      <w:r>
        <w:rPr>
          <w:rFonts w:ascii="宋体" w:hAnsi="宋体"/>
          <w:bCs/>
          <w:sz w:val="24"/>
        </w:rPr>
        <w:t>项目编号：</w:t>
      </w:r>
    </w:p>
    <w:p w14:paraId="6C7A79A6">
      <w:pPr>
        <w:snapToGrid w:val="0"/>
        <w:spacing w:before="120" w:beforeLines="50" w:after="50" w:line="440" w:lineRule="exact"/>
        <w:ind w:firstLine="720" w:firstLineChars="300"/>
        <w:rPr>
          <w:rFonts w:ascii="宋体" w:hAnsi="宋体"/>
          <w:bCs/>
          <w:sz w:val="24"/>
        </w:rPr>
      </w:pPr>
      <w:r>
        <w:rPr>
          <w:rFonts w:ascii="宋体" w:hAnsi="宋体"/>
          <w:bCs/>
          <w:sz w:val="24"/>
        </w:rPr>
        <w:t>分标号：（若无留空或写“/”）</w:t>
      </w:r>
    </w:p>
    <w:p w14:paraId="3199B943">
      <w:pPr>
        <w:pStyle w:val="7"/>
        <w:snapToGrid w:val="0"/>
        <w:spacing w:before="50" w:after="50" w:line="440" w:lineRule="exact"/>
        <w:ind w:firstLine="720" w:firstLineChars="300"/>
        <w:rPr>
          <w:rFonts w:ascii="宋体" w:hAnsi="宋体"/>
          <w:bCs/>
          <w:sz w:val="24"/>
          <w:szCs w:val="24"/>
        </w:rPr>
      </w:pPr>
      <w:r>
        <w:rPr>
          <w:rFonts w:ascii="宋体" w:hAnsi="宋体"/>
          <w:bCs/>
          <w:sz w:val="24"/>
          <w:szCs w:val="24"/>
        </w:rPr>
        <w:t>响应文件名称：资格证明文件、商务技术文件、报价文件</w:t>
      </w:r>
    </w:p>
    <w:p w14:paraId="7164FECD">
      <w:pPr>
        <w:snapToGrid w:val="0"/>
        <w:spacing w:before="120" w:beforeLines="50" w:after="50" w:line="360" w:lineRule="exact"/>
        <w:ind w:firstLine="720" w:firstLineChars="300"/>
        <w:rPr>
          <w:rFonts w:ascii="宋体" w:hAnsi="宋体"/>
          <w:bCs/>
          <w:sz w:val="24"/>
        </w:rPr>
      </w:pPr>
      <w:r>
        <w:rPr>
          <w:rFonts w:ascii="宋体" w:hAnsi="宋体"/>
          <w:bCs/>
          <w:sz w:val="24"/>
        </w:rPr>
        <w:t>供应商名称：</w:t>
      </w:r>
    </w:p>
    <w:p w14:paraId="4A8FF8E8">
      <w:pPr>
        <w:snapToGrid w:val="0"/>
        <w:spacing w:before="120" w:beforeLines="50" w:after="50" w:line="360" w:lineRule="exact"/>
        <w:ind w:firstLine="720" w:firstLineChars="300"/>
        <w:rPr>
          <w:rFonts w:ascii="宋体" w:hAnsi="宋体"/>
          <w:bCs/>
          <w:sz w:val="24"/>
        </w:rPr>
      </w:pPr>
      <w:r>
        <w:rPr>
          <w:rFonts w:ascii="宋体" w:hAnsi="宋体"/>
          <w:bCs/>
          <w:sz w:val="24"/>
        </w:rPr>
        <w:t>供应商地址：</w:t>
      </w:r>
    </w:p>
    <w:p w14:paraId="104CAEA1">
      <w:pPr>
        <w:pStyle w:val="7"/>
        <w:snapToGrid w:val="0"/>
        <w:spacing w:before="50" w:after="50" w:line="360" w:lineRule="exact"/>
        <w:ind w:firstLine="960" w:firstLineChars="400"/>
        <w:rPr>
          <w:rFonts w:ascii="宋体" w:hAnsi="宋体"/>
          <w:bCs/>
          <w:sz w:val="24"/>
          <w:szCs w:val="24"/>
        </w:rPr>
      </w:pPr>
    </w:p>
    <w:p w14:paraId="68D421DD">
      <w:pPr>
        <w:snapToGrid w:val="0"/>
        <w:spacing w:before="120" w:beforeLines="50" w:after="50" w:line="360" w:lineRule="exact"/>
        <w:jc w:val="center"/>
        <w:rPr>
          <w:rFonts w:ascii="宋体" w:hAnsi="宋体"/>
          <w:sz w:val="24"/>
        </w:rPr>
      </w:pPr>
      <w:r>
        <w:rPr>
          <w:rFonts w:ascii="宋体" w:hAnsi="宋体"/>
          <w:sz w:val="24"/>
        </w:rPr>
        <w:t xml:space="preserve">                        年  月  日</w:t>
      </w:r>
    </w:p>
    <w:p w14:paraId="2D241126">
      <w:pPr>
        <w:snapToGrid w:val="0"/>
        <w:spacing w:before="120" w:beforeLines="50" w:after="50" w:line="440" w:lineRule="exact"/>
        <w:jc w:val="center"/>
        <w:outlineLvl w:val="1"/>
        <w:rPr>
          <w:rFonts w:ascii="宋体" w:hAnsi="宋体"/>
          <w:b/>
          <w:bCs/>
          <w:sz w:val="24"/>
        </w:rPr>
      </w:pPr>
      <w:bookmarkStart w:id="84" w:name="_Toc254970698"/>
      <w:bookmarkStart w:id="85" w:name="_Toc254970557"/>
      <w:r>
        <w:rPr>
          <w:rFonts w:ascii="宋体" w:hAnsi="宋体"/>
          <w:sz w:val="24"/>
        </w:rPr>
        <w:br w:type="page"/>
      </w:r>
      <w:bookmarkEnd w:id="84"/>
      <w:bookmarkEnd w:id="85"/>
    </w:p>
    <w:p w14:paraId="5BB2ADED">
      <w:pPr>
        <w:snapToGrid w:val="0"/>
        <w:spacing w:before="120" w:beforeLines="50" w:after="50" w:line="440" w:lineRule="exact"/>
        <w:jc w:val="center"/>
        <w:rPr>
          <w:rFonts w:ascii="宋体" w:hAnsi="宋体"/>
          <w:sz w:val="24"/>
        </w:rPr>
      </w:pPr>
    </w:p>
    <w:p w14:paraId="70C7561B">
      <w:pPr>
        <w:snapToGrid w:val="0"/>
        <w:spacing w:before="50" w:after="50" w:line="440" w:lineRule="exact"/>
        <w:ind w:firstLine="138" w:firstLineChars="49"/>
        <w:jc w:val="center"/>
        <w:rPr>
          <w:rFonts w:ascii="宋体" w:hAnsi="宋体"/>
          <w:b/>
          <w:sz w:val="28"/>
          <w:szCs w:val="28"/>
        </w:rPr>
      </w:pPr>
      <w:r>
        <w:rPr>
          <w:rFonts w:ascii="宋体" w:hAnsi="宋体"/>
          <w:b/>
          <w:sz w:val="28"/>
          <w:szCs w:val="28"/>
        </w:rPr>
        <w:t>目录</w:t>
      </w:r>
    </w:p>
    <w:p w14:paraId="2A3F3110">
      <w:pPr>
        <w:jc w:val="center"/>
        <w:rPr>
          <w:rFonts w:ascii="宋体" w:hAnsi="宋体"/>
          <w:b/>
          <w:sz w:val="24"/>
        </w:rPr>
      </w:pPr>
      <w:r>
        <w:rPr>
          <w:rFonts w:ascii="宋体" w:hAnsi="宋体"/>
          <w:b/>
          <w:sz w:val="24"/>
        </w:rPr>
        <w:t>（需有页码）</w:t>
      </w:r>
    </w:p>
    <w:p w14:paraId="5549F1FA">
      <w:pPr>
        <w:jc w:val="center"/>
        <w:rPr>
          <w:rFonts w:ascii="宋体" w:hAnsi="宋体"/>
          <w:b/>
          <w:sz w:val="24"/>
        </w:rPr>
      </w:pPr>
      <w:r>
        <w:rPr>
          <w:rFonts w:ascii="宋体" w:hAnsi="宋体"/>
          <w:b/>
          <w:szCs w:val="21"/>
        </w:rPr>
        <w:t>根据采购文件规定及供应商提供的材料自行编写目录（部分格式后附）。</w:t>
      </w:r>
    </w:p>
    <w:p w14:paraId="10D4E262">
      <w:pPr>
        <w:jc w:val="center"/>
        <w:outlineLvl w:val="1"/>
        <w:rPr>
          <w:rFonts w:ascii="宋体" w:hAnsi="宋体"/>
          <w:bCs/>
          <w:vanish/>
          <w:sz w:val="24"/>
        </w:rPr>
      </w:pPr>
      <w:r>
        <w:rPr>
          <w:rFonts w:ascii="宋体" w:hAnsi="宋体"/>
        </w:rPr>
        <w:br w:type="page"/>
      </w:r>
      <w:r>
        <w:rPr>
          <w:rFonts w:ascii="宋体" w:hAnsi="宋体"/>
          <w:bCs/>
          <w:sz w:val="24"/>
        </w:rPr>
        <w:t>第一部分 资格证明文件</w:t>
      </w:r>
    </w:p>
    <w:p w14:paraId="51FD85EB">
      <w:pPr>
        <w:snapToGrid w:val="0"/>
        <w:spacing w:before="50" w:after="120" w:afterLines="50" w:line="400" w:lineRule="exact"/>
        <w:jc w:val="left"/>
        <w:rPr>
          <w:rFonts w:ascii="宋体" w:hAnsi="宋体"/>
          <w:b/>
          <w:szCs w:val="21"/>
        </w:rPr>
      </w:pPr>
      <w:bookmarkStart w:id="86" w:name="_Hlk19199154"/>
    </w:p>
    <w:p w14:paraId="06076AAE">
      <w:pPr>
        <w:snapToGrid w:val="0"/>
        <w:spacing w:before="50" w:after="120" w:afterLines="50" w:line="400" w:lineRule="exact"/>
        <w:jc w:val="left"/>
        <w:rPr>
          <w:rFonts w:ascii="宋体" w:hAnsi="宋体"/>
          <w:b/>
          <w:szCs w:val="21"/>
        </w:rPr>
      </w:pPr>
      <w:r>
        <w:rPr>
          <w:rFonts w:ascii="宋体" w:hAnsi="宋体"/>
          <w:b/>
          <w:szCs w:val="21"/>
        </w:rPr>
        <w:t>1．响应声明书格式：</w:t>
      </w:r>
      <w:bookmarkEnd w:id="86"/>
    </w:p>
    <w:p w14:paraId="659454AC">
      <w:pPr>
        <w:snapToGrid w:val="0"/>
        <w:spacing w:before="120" w:beforeLines="50" w:after="50" w:line="360" w:lineRule="exact"/>
        <w:jc w:val="center"/>
        <w:rPr>
          <w:rFonts w:ascii="宋体" w:hAnsi="宋体"/>
          <w:b/>
          <w:szCs w:val="21"/>
        </w:rPr>
      </w:pPr>
      <w:r>
        <w:rPr>
          <w:rFonts w:ascii="宋体" w:hAnsi="宋体"/>
          <w:b/>
          <w:szCs w:val="21"/>
        </w:rPr>
        <w:t>响应声明书</w:t>
      </w:r>
    </w:p>
    <w:p w14:paraId="068144EC">
      <w:pPr>
        <w:snapToGrid w:val="0"/>
        <w:spacing w:before="120" w:beforeLines="50" w:after="50" w:line="360" w:lineRule="exact"/>
        <w:jc w:val="center"/>
        <w:rPr>
          <w:rFonts w:ascii="宋体" w:hAnsi="宋体"/>
          <w:szCs w:val="21"/>
        </w:rPr>
      </w:pPr>
    </w:p>
    <w:p w14:paraId="283DBD92">
      <w:pPr>
        <w:snapToGrid w:val="0"/>
        <w:spacing w:before="120" w:beforeLines="50" w:after="50" w:line="360" w:lineRule="exact"/>
        <w:rPr>
          <w:rFonts w:ascii="宋体" w:hAnsi="宋体"/>
          <w:szCs w:val="21"/>
        </w:rPr>
      </w:pPr>
      <w:bookmarkStart w:id="87" w:name="_Hlk19199166"/>
      <w:r>
        <w:rPr>
          <w:rFonts w:ascii="宋体" w:hAnsi="宋体"/>
          <w:szCs w:val="21"/>
        </w:rPr>
        <w:t>致：</w:t>
      </w:r>
      <w:r>
        <w:rPr>
          <w:rFonts w:ascii="宋体" w:hAnsi="宋体"/>
          <w:i/>
          <w:iCs/>
          <w:szCs w:val="21"/>
          <w:u w:val="single"/>
        </w:rPr>
        <w:t>（采购人名称）</w:t>
      </w:r>
      <w:r>
        <w:rPr>
          <w:rFonts w:ascii="宋体" w:hAnsi="宋体"/>
          <w:szCs w:val="21"/>
        </w:rPr>
        <w:t>：</w:t>
      </w:r>
    </w:p>
    <w:p w14:paraId="639E477A">
      <w:pPr>
        <w:snapToGrid w:val="0"/>
        <w:spacing w:before="120" w:beforeLines="50" w:after="50" w:line="360" w:lineRule="exact"/>
        <w:ind w:firstLine="630" w:firstLineChars="300"/>
        <w:rPr>
          <w:rFonts w:ascii="宋体" w:hAnsi="宋体"/>
          <w:szCs w:val="21"/>
        </w:rPr>
      </w:pPr>
      <w:r>
        <w:rPr>
          <w:rFonts w:ascii="宋体" w:hAnsi="宋体"/>
          <w:i/>
          <w:iCs/>
          <w:szCs w:val="21"/>
          <w:u w:val="single"/>
        </w:rPr>
        <w:t>（供应商名称）</w:t>
      </w:r>
      <w:r>
        <w:rPr>
          <w:rFonts w:ascii="宋体" w:hAnsi="宋体"/>
          <w:szCs w:val="21"/>
        </w:rPr>
        <w:t>系中华人民共和国合法企业，</w:t>
      </w:r>
      <w:r>
        <w:rPr>
          <w:rFonts w:ascii="宋体" w:hAnsi="宋体"/>
          <w:szCs w:val="21"/>
          <w:u w:val="single"/>
        </w:rPr>
        <w:t xml:space="preserve"> </w:t>
      </w:r>
      <w:r>
        <w:rPr>
          <w:rFonts w:ascii="宋体" w:hAnsi="宋体"/>
          <w:i/>
          <w:iCs/>
          <w:szCs w:val="21"/>
          <w:u w:val="single"/>
        </w:rPr>
        <w:t xml:space="preserve"> （经营地址）  </w:t>
      </w:r>
      <w:r>
        <w:rPr>
          <w:rFonts w:ascii="宋体" w:hAnsi="宋体"/>
          <w:szCs w:val="21"/>
          <w:u w:val="single"/>
        </w:rPr>
        <w:t xml:space="preserve">  </w:t>
      </w:r>
      <w:r>
        <w:rPr>
          <w:rFonts w:ascii="宋体" w:hAnsi="宋体"/>
          <w:szCs w:val="21"/>
        </w:rPr>
        <w:t>。</w:t>
      </w:r>
    </w:p>
    <w:p w14:paraId="4A29116D">
      <w:pPr>
        <w:snapToGrid w:val="0"/>
        <w:spacing w:before="120" w:beforeLines="50" w:after="50" w:line="360" w:lineRule="exact"/>
        <w:ind w:firstLine="645"/>
        <w:rPr>
          <w:rFonts w:ascii="宋体" w:hAnsi="宋体"/>
          <w:szCs w:val="21"/>
        </w:rPr>
      </w:pPr>
      <w:r>
        <w:rPr>
          <w:rFonts w:ascii="宋体" w:hAnsi="宋体"/>
          <w:szCs w:val="21"/>
        </w:rPr>
        <w:t>我</w:t>
      </w:r>
      <w:r>
        <w:rPr>
          <w:rFonts w:ascii="宋体" w:hAnsi="宋体"/>
          <w:i/>
          <w:iCs/>
          <w:szCs w:val="21"/>
          <w:u w:val="single"/>
        </w:rPr>
        <w:t xml:space="preserve">（姓名） </w:t>
      </w:r>
      <w:r>
        <w:rPr>
          <w:rFonts w:ascii="宋体" w:hAnsi="宋体"/>
          <w:szCs w:val="21"/>
        </w:rPr>
        <w:t>系</w:t>
      </w:r>
      <w:r>
        <w:rPr>
          <w:rFonts w:ascii="宋体" w:hAnsi="宋体"/>
          <w:i/>
          <w:iCs/>
          <w:szCs w:val="21"/>
          <w:u w:val="single"/>
        </w:rPr>
        <w:t>（供应商名称）</w:t>
      </w:r>
      <w:r>
        <w:rPr>
          <w:rFonts w:ascii="宋体" w:hAnsi="宋体"/>
          <w:szCs w:val="21"/>
        </w:rPr>
        <w:t>的法定代表人，我方愿意参加贵方组织的</w:t>
      </w:r>
      <w:r>
        <w:rPr>
          <w:rFonts w:ascii="宋体" w:hAnsi="宋体"/>
          <w:i/>
          <w:iCs/>
          <w:szCs w:val="21"/>
          <w:u w:val="single"/>
        </w:rPr>
        <w:t>（项目名称）</w:t>
      </w:r>
      <w:r>
        <w:rPr>
          <w:rFonts w:ascii="宋体" w:hAnsi="宋体"/>
          <w:szCs w:val="21"/>
        </w:rPr>
        <w:t>项目的磋商，为便于贵方公正、择优地确定成交供应商及其响应产品和服务，我方就本次磋商有关事项郑重声明如下：</w:t>
      </w:r>
    </w:p>
    <w:p w14:paraId="248E50FA">
      <w:pPr>
        <w:snapToGrid w:val="0"/>
        <w:spacing w:before="120" w:beforeLines="50" w:line="360" w:lineRule="exact"/>
        <w:ind w:firstLine="420" w:firstLineChars="200"/>
        <w:rPr>
          <w:rFonts w:ascii="宋体" w:hAnsi="宋体"/>
          <w:szCs w:val="21"/>
        </w:rPr>
      </w:pPr>
      <w:r>
        <w:rPr>
          <w:rFonts w:ascii="宋体" w:hAnsi="宋体"/>
          <w:szCs w:val="21"/>
        </w:rPr>
        <w:t>（1）我方向贵方提交的所有响应文件、资料都是准确的和真实的。</w:t>
      </w:r>
    </w:p>
    <w:p w14:paraId="02C53A26">
      <w:pPr>
        <w:snapToGrid w:val="0"/>
        <w:spacing w:before="120" w:beforeLines="50" w:line="360" w:lineRule="exact"/>
        <w:ind w:firstLine="420" w:firstLineChars="200"/>
        <w:rPr>
          <w:rFonts w:ascii="宋体" w:hAnsi="宋体"/>
          <w:szCs w:val="21"/>
        </w:rPr>
      </w:pPr>
      <w:r>
        <w:rPr>
          <w:rFonts w:ascii="宋体" w:hAnsi="宋体"/>
          <w:szCs w:val="21"/>
        </w:rPr>
        <w:t>（2）我方不是采购人的附属机构；也不是为本项目提供整体设计、规范编制或者项目管理、监理、检测等服务的供应商或其附属机构。</w:t>
      </w:r>
    </w:p>
    <w:p w14:paraId="6354878A">
      <w:pPr>
        <w:snapToGrid w:val="0"/>
        <w:spacing w:before="120" w:beforeLines="50" w:line="360" w:lineRule="exact"/>
        <w:ind w:firstLine="420" w:firstLineChars="200"/>
        <w:rPr>
          <w:rFonts w:ascii="宋体" w:hAnsi="宋体"/>
          <w:szCs w:val="21"/>
        </w:rPr>
      </w:pPr>
      <w:r>
        <w:rPr>
          <w:rFonts w:ascii="宋体" w:hAnsi="宋体"/>
          <w:szCs w:val="21"/>
        </w:rPr>
        <w:t>（3） 我方承诺在参加本政府采购项目活动前，没有被纳入政府部门或银行认定的失信名单，我方具有良好的商业信誉。</w:t>
      </w:r>
    </w:p>
    <w:p w14:paraId="3CE09AC4">
      <w:pPr>
        <w:snapToGrid w:val="0"/>
        <w:spacing w:before="120" w:beforeLines="50" w:line="360" w:lineRule="exact"/>
        <w:ind w:firstLine="420" w:firstLineChars="200"/>
        <w:rPr>
          <w:rFonts w:ascii="宋体" w:hAnsi="宋体"/>
          <w:szCs w:val="21"/>
        </w:rPr>
      </w:pPr>
      <w:r>
        <w:rPr>
          <w:rFonts w:ascii="宋体" w:hAnsi="宋体"/>
          <w:szCs w:val="21"/>
        </w:rPr>
        <w:t>（4）我方及本人承诺在参加本政府采购项目活动前三年内，在经营活动中没有重大违法记录。重大违法记录是指供应商因违法经营受到刑事处罚或者责令停产停业、吊销许可证或者执照、较大数额罚款等行政处罚。如我方提供的声明不实，则自愿承担《政府采购法》有关提供虚假材料的规定给予的处罚。</w:t>
      </w:r>
    </w:p>
    <w:p w14:paraId="0F9E35AF">
      <w:pPr>
        <w:snapToGrid w:val="0"/>
        <w:spacing w:before="120" w:beforeLines="50" w:line="360" w:lineRule="exact"/>
        <w:ind w:firstLine="420" w:firstLineChars="200"/>
        <w:rPr>
          <w:rFonts w:ascii="宋体" w:hAnsi="宋体"/>
          <w:szCs w:val="21"/>
          <w:lang w:val="zh-CN"/>
        </w:rPr>
      </w:pPr>
      <w:r>
        <w:rPr>
          <w:rFonts w:ascii="宋体" w:hAnsi="宋体"/>
          <w:szCs w:val="21"/>
        </w:rPr>
        <w:t>（5）</w:t>
      </w:r>
      <w:r>
        <w:rPr>
          <w:rFonts w:ascii="宋体" w:hAnsi="宋体"/>
          <w:szCs w:val="21"/>
          <w:lang w:val="zh-CN"/>
        </w:rPr>
        <w:t>我方</w:t>
      </w:r>
      <w:r>
        <w:rPr>
          <w:rFonts w:ascii="宋体" w:hAnsi="宋体"/>
          <w:szCs w:val="21"/>
        </w:rPr>
        <w:t>承诺</w:t>
      </w:r>
      <w:r>
        <w:rPr>
          <w:rFonts w:ascii="宋体" w:hAnsi="宋体"/>
          <w:szCs w:val="21"/>
          <w:lang w:val="zh-CN"/>
        </w:rPr>
        <w:t>具有履行本项目合同所必需的设备和专业技术能力。</w:t>
      </w:r>
    </w:p>
    <w:p w14:paraId="437E444E">
      <w:pPr>
        <w:snapToGrid w:val="0"/>
        <w:spacing w:before="120" w:beforeLines="50" w:line="360" w:lineRule="exact"/>
        <w:ind w:firstLine="420" w:firstLineChars="200"/>
        <w:rPr>
          <w:rFonts w:ascii="宋体" w:hAnsi="宋体"/>
          <w:szCs w:val="21"/>
        </w:rPr>
      </w:pPr>
      <w:r>
        <w:rPr>
          <w:rFonts w:ascii="宋体" w:hAnsi="宋体"/>
          <w:szCs w:val="21"/>
        </w:rPr>
        <w:t>（6）我方承诺未被列入失信被执行人、重大税收违法失信主体、政府采购严重违法失信行为记录名单，如我方提供的声明不实，则接受本次响应作为响应无效的处理，并根据财库〔2016〕125号《财政部关于在政府采购活动中查询及使用信用记录有关问题的通知》规定接受失信联合惩戒。</w:t>
      </w:r>
    </w:p>
    <w:p w14:paraId="5E0F33FC">
      <w:pPr>
        <w:snapToGrid w:val="0"/>
        <w:spacing w:before="120" w:beforeLines="50" w:line="360" w:lineRule="exact"/>
        <w:ind w:firstLine="420" w:firstLineChars="200"/>
        <w:rPr>
          <w:rFonts w:ascii="宋体" w:hAnsi="宋体"/>
          <w:szCs w:val="21"/>
        </w:rPr>
      </w:pPr>
      <w:r>
        <w:rPr>
          <w:rFonts w:ascii="宋体" w:hAnsi="宋体"/>
          <w:szCs w:val="21"/>
        </w:rPr>
        <w:t>（7）我方承诺成交后按规定缴纳代理服务费。如未按时缴纳，贵方可不退还我方提交的磋商保证金，并从中扣除代理服务费。</w:t>
      </w:r>
    </w:p>
    <w:p w14:paraId="084A279D">
      <w:pPr>
        <w:snapToGrid w:val="0"/>
        <w:spacing w:before="120" w:beforeLines="50" w:line="360" w:lineRule="exact"/>
        <w:ind w:firstLine="420" w:firstLineChars="200"/>
        <w:rPr>
          <w:rFonts w:ascii="宋体" w:hAnsi="宋体"/>
          <w:szCs w:val="21"/>
        </w:rPr>
      </w:pPr>
      <w:r>
        <w:rPr>
          <w:rFonts w:ascii="宋体" w:hAnsi="宋体"/>
          <w:szCs w:val="21"/>
        </w:rPr>
        <w:t>我方对以上声明负全部法律责任。如有虚假或隐瞒，我方愿意承担一切后果，并不再寻求任何旨在减轻或免除法律责任的辩解。</w:t>
      </w:r>
    </w:p>
    <w:bookmarkEnd w:id="87"/>
    <w:p w14:paraId="1FDE5614">
      <w:pPr>
        <w:snapToGrid w:val="0"/>
        <w:spacing w:before="120" w:beforeLines="50" w:line="360" w:lineRule="exact"/>
        <w:ind w:firstLine="420" w:firstLineChars="200"/>
        <w:rPr>
          <w:rFonts w:ascii="宋体" w:hAnsi="宋体"/>
          <w:szCs w:val="21"/>
        </w:rPr>
      </w:pPr>
    </w:p>
    <w:p w14:paraId="2F98FEE7">
      <w:pPr>
        <w:snapToGrid w:val="0"/>
        <w:spacing w:before="120" w:beforeLines="50" w:after="50" w:line="360" w:lineRule="exact"/>
        <w:ind w:firstLine="3570" w:firstLineChars="1700"/>
        <w:rPr>
          <w:rFonts w:ascii="宋体" w:hAnsi="宋体"/>
          <w:szCs w:val="21"/>
        </w:rPr>
      </w:pPr>
      <w:r>
        <w:rPr>
          <w:rFonts w:ascii="宋体" w:hAnsi="宋体"/>
          <w:szCs w:val="21"/>
        </w:rPr>
        <w:t>供应商名称（电子签章）：</w:t>
      </w:r>
      <w:r>
        <w:rPr>
          <w:rFonts w:ascii="宋体" w:hAnsi="宋体"/>
          <w:szCs w:val="21"/>
          <w:u w:val="single"/>
        </w:rPr>
        <w:t xml:space="preserve">                </w:t>
      </w:r>
    </w:p>
    <w:p w14:paraId="1B77C241">
      <w:pPr>
        <w:snapToGrid w:val="0"/>
        <w:spacing w:before="120" w:beforeLines="50" w:after="50" w:line="360" w:lineRule="exact"/>
        <w:ind w:firstLine="210" w:firstLineChars="100"/>
        <w:rPr>
          <w:rFonts w:ascii="宋体" w:hAnsi="宋体"/>
          <w:szCs w:val="21"/>
        </w:rPr>
      </w:pPr>
      <w:r>
        <w:rPr>
          <w:rFonts w:ascii="宋体" w:hAnsi="宋体"/>
          <w:szCs w:val="21"/>
        </w:rPr>
        <w:t xml:space="preserve">                                          年    月    日</w:t>
      </w:r>
    </w:p>
    <w:p w14:paraId="5C640563">
      <w:pPr>
        <w:snapToGrid w:val="0"/>
        <w:spacing w:before="120" w:beforeLines="50" w:after="50" w:line="360" w:lineRule="exact"/>
        <w:rPr>
          <w:rFonts w:ascii="宋体" w:hAnsi="宋体"/>
          <w:b/>
          <w:szCs w:val="21"/>
        </w:rPr>
      </w:pPr>
      <w:r>
        <w:rPr>
          <w:rFonts w:ascii="宋体" w:hAnsi="宋体"/>
          <w:szCs w:val="21"/>
        </w:rPr>
        <w:br w:type="page"/>
      </w:r>
      <w:bookmarkStart w:id="88" w:name="_Hlk19199735"/>
      <w:r>
        <w:rPr>
          <w:rFonts w:ascii="宋体" w:hAnsi="宋体"/>
          <w:b/>
          <w:szCs w:val="21"/>
        </w:rPr>
        <w:t>2．</w:t>
      </w:r>
      <w:r>
        <w:rPr>
          <w:rFonts w:ascii="宋体" w:hAnsi="宋体"/>
          <w:szCs w:val="21"/>
        </w:rPr>
        <w:t>法定代表人身份证明</w:t>
      </w:r>
      <w:r>
        <w:rPr>
          <w:rFonts w:ascii="宋体" w:hAnsi="宋体"/>
          <w:b/>
          <w:szCs w:val="21"/>
        </w:rPr>
        <w:t>（无授权代表时提供）：</w:t>
      </w:r>
    </w:p>
    <w:bookmarkEnd w:id="88"/>
    <w:p w14:paraId="042F95A3">
      <w:pPr>
        <w:jc w:val="center"/>
        <w:rPr>
          <w:rFonts w:ascii="宋体" w:hAnsi="宋体"/>
        </w:rPr>
      </w:pPr>
      <w:bookmarkStart w:id="89" w:name="_Toc462320613"/>
      <w:bookmarkStart w:id="90" w:name="_Toc462223472"/>
      <w:bookmarkStart w:id="91" w:name="_Toc455309222"/>
    </w:p>
    <w:bookmarkEnd w:id="89"/>
    <w:bookmarkEnd w:id="90"/>
    <w:bookmarkEnd w:id="91"/>
    <w:p w14:paraId="308C4C8E">
      <w:pPr>
        <w:snapToGrid w:val="0"/>
        <w:spacing w:before="120" w:beforeLines="50" w:after="50" w:line="440" w:lineRule="exact"/>
        <w:jc w:val="center"/>
        <w:rPr>
          <w:rFonts w:ascii="宋体" w:hAnsi="宋体"/>
          <w:b/>
          <w:szCs w:val="21"/>
        </w:rPr>
      </w:pPr>
      <w:r>
        <w:rPr>
          <w:rFonts w:ascii="宋体" w:hAnsi="宋体"/>
          <w:b/>
          <w:szCs w:val="21"/>
        </w:rPr>
        <w:t>法定代表人身份证明</w:t>
      </w:r>
    </w:p>
    <w:p w14:paraId="1161C239">
      <w:pPr>
        <w:spacing w:line="360" w:lineRule="auto"/>
        <w:rPr>
          <w:rFonts w:ascii="宋体" w:hAnsi="宋体"/>
        </w:rPr>
      </w:pPr>
    </w:p>
    <w:p w14:paraId="6E64C7FD">
      <w:pPr>
        <w:spacing w:line="360" w:lineRule="auto"/>
        <w:rPr>
          <w:rFonts w:ascii="宋体" w:hAnsi="宋体"/>
        </w:rPr>
      </w:pPr>
    </w:p>
    <w:p w14:paraId="2B593976">
      <w:pPr>
        <w:spacing w:line="540" w:lineRule="exact"/>
        <w:rPr>
          <w:rFonts w:ascii="宋体" w:hAnsi="宋体"/>
          <w:szCs w:val="21"/>
        </w:rPr>
      </w:pPr>
      <w:r>
        <w:rPr>
          <w:rFonts w:ascii="宋体" w:hAnsi="宋体"/>
          <w:szCs w:val="21"/>
        </w:rPr>
        <w:t>供应商名称：</w:t>
      </w:r>
      <w:r>
        <w:rPr>
          <w:rFonts w:ascii="宋体" w:hAnsi="宋体"/>
          <w:szCs w:val="21"/>
          <w:u w:val="single"/>
        </w:rPr>
        <w:t xml:space="preserve">                                         </w:t>
      </w:r>
    </w:p>
    <w:p w14:paraId="18FE23C9">
      <w:pPr>
        <w:spacing w:line="540" w:lineRule="exact"/>
        <w:rPr>
          <w:rFonts w:ascii="宋体" w:hAnsi="宋体"/>
          <w:szCs w:val="21"/>
        </w:rPr>
      </w:pPr>
      <w:r>
        <w:rPr>
          <w:rFonts w:ascii="宋体" w:hAnsi="宋体"/>
          <w:szCs w:val="21"/>
        </w:rPr>
        <w:t>单位性质：</w:t>
      </w:r>
      <w:r>
        <w:rPr>
          <w:rFonts w:ascii="宋体" w:hAnsi="宋体"/>
          <w:szCs w:val="21"/>
          <w:u w:val="single"/>
        </w:rPr>
        <w:t xml:space="preserve">                                           </w:t>
      </w:r>
    </w:p>
    <w:p w14:paraId="68AF872C">
      <w:pPr>
        <w:spacing w:line="540" w:lineRule="exact"/>
        <w:rPr>
          <w:rFonts w:ascii="宋体" w:hAnsi="宋体"/>
          <w:szCs w:val="21"/>
        </w:rPr>
      </w:pPr>
      <w:r>
        <w:rPr>
          <w:rFonts w:ascii="宋体" w:hAnsi="宋体"/>
          <w:szCs w:val="21"/>
        </w:rPr>
        <w:t>地址：</w:t>
      </w:r>
      <w:r>
        <w:rPr>
          <w:rFonts w:ascii="宋体" w:hAnsi="宋体"/>
          <w:szCs w:val="21"/>
          <w:u w:val="single"/>
        </w:rPr>
        <w:t xml:space="preserve">                                               </w:t>
      </w:r>
    </w:p>
    <w:p w14:paraId="30E182D2">
      <w:pPr>
        <w:spacing w:line="540" w:lineRule="exact"/>
        <w:rPr>
          <w:rFonts w:ascii="宋体" w:hAnsi="宋体"/>
          <w:szCs w:val="21"/>
          <w:u w:val="single"/>
        </w:rPr>
      </w:pPr>
      <w:r>
        <w:rPr>
          <w:rFonts w:ascii="宋体" w:hAnsi="宋体"/>
          <w:szCs w:val="21"/>
        </w:rPr>
        <w:t>成立时间：</w:t>
      </w:r>
      <w:r>
        <w:rPr>
          <w:rFonts w:ascii="宋体" w:hAnsi="宋体"/>
          <w:szCs w:val="21"/>
          <w:u w:val="single"/>
        </w:rPr>
        <w:t xml:space="preserve">          年        月        日</w:t>
      </w:r>
    </w:p>
    <w:p w14:paraId="566471FA">
      <w:pPr>
        <w:spacing w:line="540" w:lineRule="exact"/>
        <w:rPr>
          <w:rFonts w:ascii="宋体" w:hAnsi="宋体"/>
          <w:szCs w:val="21"/>
        </w:rPr>
      </w:pPr>
      <w:r>
        <w:rPr>
          <w:rFonts w:ascii="宋体" w:hAnsi="宋体"/>
          <w:szCs w:val="21"/>
        </w:rPr>
        <w:t>经营期限：</w:t>
      </w:r>
      <w:r>
        <w:rPr>
          <w:rFonts w:ascii="宋体" w:hAnsi="宋体"/>
          <w:szCs w:val="21"/>
          <w:u w:val="single"/>
        </w:rPr>
        <w:t xml:space="preserve">                                           </w:t>
      </w:r>
    </w:p>
    <w:p w14:paraId="66756CCB">
      <w:pPr>
        <w:spacing w:line="540" w:lineRule="exact"/>
        <w:rPr>
          <w:rFonts w:ascii="宋体" w:hAnsi="宋体"/>
          <w:szCs w:val="21"/>
        </w:rPr>
      </w:pPr>
      <w:r>
        <w:rPr>
          <w:rFonts w:ascii="宋体" w:hAnsi="宋体"/>
          <w:szCs w:val="21"/>
        </w:rPr>
        <w:t>姓名：</w:t>
      </w:r>
      <w:r>
        <w:rPr>
          <w:rFonts w:ascii="宋体" w:hAnsi="宋体"/>
          <w:szCs w:val="21"/>
          <w:u w:val="single"/>
        </w:rPr>
        <w:t xml:space="preserve">                   </w:t>
      </w:r>
      <w:r>
        <w:rPr>
          <w:rFonts w:ascii="宋体" w:hAnsi="宋体"/>
          <w:szCs w:val="21"/>
        </w:rPr>
        <w:t>；性别：</w:t>
      </w:r>
      <w:r>
        <w:rPr>
          <w:rFonts w:ascii="宋体" w:hAnsi="宋体"/>
          <w:szCs w:val="21"/>
          <w:u w:val="single"/>
        </w:rPr>
        <w:t xml:space="preserve">              </w:t>
      </w:r>
      <w:r>
        <w:rPr>
          <w:rFonts w:ascii="宋体" w:hAnsi="宋体"/>
          <w:szCs w:val="21"/>
        </w:rPr>
        <w:t xml:space="preserve">        </w:t>
      </w:r>
    </w:p>
    <w:p w14:paraId="41DB93F1">
      <w:pPr>
        <w:spacing w:line="540" w:lineRule="exact"/>
        <w:rPr>
          <w:rFonts w:ascii="宋体" w:hAnsi="宋体"/>
          <w:szCs w:val="21"/>
        </w:rPr>
      </w:pPr>
      <w:r>
        <w:rPr>
          <w:rFonts w:ascii="宋体" w:hAnsi="宋体"/>
          <w:szCs w:val="21"/>
        </w:rPr>
        <w:t>年龄：</w:t>
      </w:r>
      <w:r>
        <w:rPr>
          <w:rFonts w:ascii="宋体" w:hAnsi="宋体"/>
          <w:szCs w:val="21"/>
          <w:u w:val="single"/>
        </w:rPr>
        <w:t xml:space="preserve">         </w:t>
      </w:r>
      <w:r>
        <w:rPr>
          <w:rFonts w:ascii="宋体" w:hAnsi="宋体"/>
          <w:szCs w:val="21"/>
        </w:rPr>
        <w:t>；职务：</w:t>
      </w:r>
      <w:r>
        <w:rPr>
          <w:rFonts w:ascii="宋体" w:hAnsi="宋体"/>
          <w:szCs w:val="21"/>
          <w:u w:val="single"/>
        </w:rPr>
        <w:t xml:space="preserve">              </w:t>
      </w:r>
      <w:r>
        <w:rPr>
          <w:rFonts w:ascii="宋体" w:hAnsi="宋体"/>
          <w:szCs w:val="21"/>
        </w:rPr>
        <w:t>；身份证：</w:t>
      </w:r>
      <w:r>
        <w:rPr>
          <w:rFonts w:ascii="宋体" w:hAnsi="宋体"/>
          <w:szCs w:val="21"/>
          <w:u w:val="single"/>
        </w:rPr>
        <w:t xml:space="preserve">                                      </w:t>
      </w:r>
    </w:p>
    <w:p w14:paraId="1FC7697B">
      <w:pPr>
        <w:spacing w:line="540" w:lineRule="exact"/>
        <w:rPr>
          <w:rFonts w:ascii="宋体" w:hAnsi="宋体"/>
          <w:szCs w:val="21"/>
        </w:rPr>
      </w:pPr>
      <w:r>
        <w:rPr>
          <w:rFonts w:ascii="宋体" w:hAnsi="宋体"/>
          <w:szCs w:val="21"/>
        </w:rPr>
        <w:t>系</w:t>
      </w:r>
      <w:r>
        <w:rPr>
          <w:rFonts w:ascii="宋体" w:hAnsi="宋体"/>
          <w:szCs w:val="21"/>
          <w:u w:val="single"/>
        </w:rPr>
        <w:t xml:space="preserve">                                      （ 供应商名称）</w:t>
      </w:r>
      <w:r>
        <w:rPr>
          <w:rFonts w:ascii="宋体" w:hAnsi="宋体"/>
          <w:szCs w:val="21"/>
        </w:rPr>
        <w:t>的法定代表人。</w:t>
      </w:r>
    </w:p>
    <w:p w14:paraId="402660DC">
      <w:pPr>
        <w:spacing w:line="540" w:lineRule="exact"/>
        <w:rPr>
          <w:rFonts w:ascii="宋体" w:hAnsi="宋体"/>
          <w:szCs w:val="21"/>
        </w:rPr>
      </w:pPr>
    </w:p>
    <w:p w14:paraId="1B5EB536">
      <w:pPr>
        <w:spacing w:line="540" w:lineRule="exact"/>
        <w:ind w:firstLine="420" w:firstLineChars="200"/>
        <w:rPr>
          <w:rFonts w:ascii="宋体" w:hAnsi="宋体"/>
          <w:szCs w:val="21"/>
        </w:rPr>
      </w:pPr>
      <w:r>
        <w:rPr>
          <w:rFonts w:ascii="宋体" w:hAnsi="宋体"/>
          <w:szCs w:val="21"/>
        </w:rPr>
        <w:t>特此证明。</w:t>
      </w:r>
    </w:p>
    <w:p w14:paraId="1B5A9191">
      <w:pPr>
        <w:spacing w:line="540" w:lineRule="exact"/>
        <w:rPr>
          <w:rFonts w:ascii="宋体" w:hAnsi="宋体"/>
          <w:szCs w:val="21"/>
        </w:rPr>
      </w:pPr>
    </w:p>
    <w:p w14:paraId="7C8F1CF2">
      <w:pPr>
        <w:spacing w:line="360" w:lineRule="auto"/>
        <w:ind w:firstLine="4830" w:firstLineChars="2300"/>
        <w:rPr>
          <w:rFonts w:ascii="宋体" w:hAnsi="宋体"/>
          <w:szCs w:val="21"/>
        </w:rPr>
      </w:pPr>
      <w:r>
        <w:rPr>
          <w:rFonts w:ascii="宋体" w:hAnsi="宋体"/>
          <w:szCs w:val="21"/>
        </w:rPr>
        <w:t>供应商名称（电子签章）：</w:t>
      </w:r>
      <w:r>
        <w:rPr>
          <w:rFonts w:ascii="宋体" w:hAnsi="宋体"/>
          <w:szCs w:val="21"/>
          <w:u w:val="single"/>
        </w:rPr>
        <w:t xml:space="preserve">                </w:t>
      </w:r>
    </w:p>
    <w:p w14:paraId="195675BD">
      <w:pPr>
        <w:spacing w:line="360" w:lineRule="auto"/>
        <w:rPr>
          <w:rFonts w:ascii="宋体" w:hAnsi="宋体"/>
          <w:szCs w:val="21"/>
        </w:rPr>
      </w:pPr>
      <w:r>
        <w:rPr>
          <w:rFonts w:ascii="宋体" w:hAnsi="宋体"/>
          <w:szCs w:val="21"/>
        </w:rPr>
        <w:t xml:space="preserve">                                                   年       月       日 </w:t>
      </w:r>
    </w:p>
    <w:p w14:paraId="24EF9706">
      <w:pPr>
        <w:spacing w:line="540" w:lineRule="exact"/>
        <w:rPr>
          <w:rFonts w:ascii="宋体" w:hAnsi="宋体"/>
          <w:szCs w:val="21"/>
        </w:rPr>
      </w:pPr>
    </w:p>
    <w:p w14:paraId="16817FF9">
      <w:pPr>
        <w:spacing w:line="360" w:lineRule="auto"/>
        <w:rPr>
          <w:rFonts w:ascii="宋体" w:hAnsi="宋体"/>
          <w:szCs w:val="21"/>
        </w:rPr>
      </w:pPr>
      <w:bookmarkStart w:id="92" w:name="_Hlk19199756"/>
      <w:r>
        <w:rPr>
          <w:rFonts w:ascii="宋体" w:hAnsi="宋体"/>
          <w:szCs w:val="21"/>
        </w:rPr>
        <w:t>附件：法定代表人身份证复印件</w:t>
      </w:r>
    </w:p>
    <w:p w14:paraId="01172F2E">
      <w:pPr>
        <w:spacing w:line="360" w:lineRule="auto"/>
        <w:rPr>
          <w:rFonts w:ascii="宋体" w:hAnsi="宋体"/>
          <w:szCs w:val="21"/>
        </w:rPr>
      </w:pPr>
    </w:p>
    <w:bookmarkEnd w:id="92"/>
    <w:p w14:paraId="7179A244">
      <w:pPr>
        <w:snapToGrid w:val="0"/>
        <w:spacing w:before="120" w:beforeLines="50" w:after="50" w:line="360" w:lineRule="exact"/>
        <w:jc w:val="left"/>
        <w:rPr>
          <w:rFonts w:ascii="宋体" w:hAnsi="宋体"/>
        </w:rPr>
      </w:pPr>
      <w:r>
        <w:rPr>
          <w:rFonts w:ascii="宋体" w:hAnsi="宋体"/>
          <w:b/>
          <w:szCs w:val="21"/>
        </w:rPr>
        <w:br w:type="page"/>
      </w:r>
      <w:bookmarkStart w:id="93" w:name="_Hlk19199766"/>
      <w:r>
        <w:rPr>
          <w:rFonts w:ascii="宋体" w:hAnsi="宋体"/>
          <w:b/>
          <w:szCs w:val="21"/>
        </w:rPr>
        <w:t>2．授权委托书（有授权代表时提供）：</w:t>
      </w:r>
    </w:p>
    <w:bookmarkEnd w:id="93"/>
    <w:p w14:paraId="62531180">
      <w:pPr>
        <w:snapToGrid w:val="0"/>
        <w:spacing w:before="120" w:beforeLines="50" w:after="50" w:line="360" w:lineRule="exact"/>
        <w:jc w:val="center"/>
        <w:rPr>
          <w:rFonts w:ascii="宋体" w:hAnsi="宋体"/>
          <w:b/>
          <w:szCs w:val="21"/>
        </w:rPr>
      </w:pPr>
      <w:r>
        <w:rPr>
          <w:rFonts w:ascii="宋体" w:hAnsi="宋体"/>
          <w:b/>
          <w:szCs w:val="21"/>
        </w:rPr>
        <w:t>法定代表人授权委托书</w:t>
      </w:r>
    </w:p>
    <w:p w14:paraId="27D33830">
      <w:pPr>
        <w:snapToGrid w:val="0"/>
        <w:spacing w:before="120" w:beforeLines="50" w:after="50" w:line="440" w:lineRule="exact"/>
        <w:rPr>
          <w:rFonts w:ascii="宋体" w:hAnsi="宋体"/>
          <w:b/>
          <w:bCs/>
          <w:szCs w:val="21"/>
        </w:rPr>
      </w:pPr>
      <w:bookmarkStart w:id="94" w:name="_Hlk19199779"/>
      <w:r>
        <w:rPr>
          <w:rFonts w:ascii="宋体" w:hAnsi="宋体"/>
          <w:bCs/>
          <w:szCs w:val="21"/>
        </w:rPr>
        <w:t>致：</w:t>
      </w:r>
      <w:r>
        <w:rPr>
          <w:rFonts w:ascii="宋体" w:hAnsi="宋体"/>
          <w:i/>
          <w:iCs/>
          <w:szCs w:val="21"/>
          <w:u w:val="single"/>
        </w:rPr>
        <w:t>（采购人名称）</w:t>
      </w:r>
    </w:p>
    <w:p w14:paraId="6D1F575C">
      <w:pPr>
        <w:snapToGrid w:val="0"/>
        <w:spacing w:before="120" w:beforeLines="50" w:after="50" w:line="440" w:lineRule="exact"/>
        <w:ind w:firstLine="420" w:firstLineChars="200"/>
        <w:rPr>
          <w:rFonts w:ascii="宋体" w:hAnsi="宋体"/>
          <w:szCs w:val="21"/>
        </w:rPr>
      </w:pPr>
      <w:r>
        <w:rPr>
          <w:rFonts w:ascii="宋体" w:hAnsi="宋体"/>
          <w:szCs w:val="21"/>
        </w:rPr>
        <w:t xml:space="preserve">我 </w:t>
      </w:r>
      <w:r>
        <w:rPr>
          <w:rFonts w:ascii="宋体" w:hAnsi="宋体"/>
          <w:i/>
          <w:iCs/>
          <w:szCs w:val="21"/>
          <w:u w:val="single"/>
        </w:rPr>
        <w:t>（姓名）</w:t>
      </w:r>
      <w:r>
        <w:rPr>
          <w:rFonts w:ascii="宋体" w:hAnsi="宋体"/>
          <w:szCs w:val="21"/>
          <w:u w:val="single"/>
        </w:rPr>
        <w:t xml:space="preserve">  </w:t>
      </w:r>
      <w:r>
        <w:rPr>
          <w:rFonts w:ascii="宋体" w:hAnsi="宋体"/>
          <w:szCs w:val="21"/>
        </w:rPr>
        <w:t>系</w:t>
      </w:r>
      <w:r>
        <w:rPr>
          <w:rFonts w:ascii="宋体" w:hAnsi="宋体"/>
          <w:i/>
          <w:iCs/>
          <w:szCs w:val="21"/>
          <w:u w:val="single"/>
        </w:rPr>
        <w:t>（供应商名称）</w:t>
      </w:r>
      <w:r>
        <w:rPr>
          <w:rFonts w:ascii="宋体" w:hAnsi="宋体"/>
          <w:szCs w:val="21"/>
        </w:rPr>
        <w:t>的法定代表人，现授权委托本单位在职职工</w:t>
      </w:r>
      <w:r>
        <w:rPr>
          <w:rFonts w:ascii="宋体" w:hAnsi="宋体"/>
          <w:i/>
          <w:iCs/>
          <w:szCs w:val="21"/>
          <w:u w:val="single"/>
        </w:rPr>
        <w:t>（姓名）</w:t>
      </w:r>
      <w:r>
        <w:rPr>
          <w:rFonts w:ascii="宋体" w:hAnsi="宋体"/>
          <w:szCs w:val="21"/>
        </w:rPr>
        <w:t>以我方的名义参加</w:t>
      </w:r>
      <w:r>
        <w:rPr>
          <w:rFonts w:ascii="宋体" w:hAnsi="宋体"/>
          <w:i/>
          <w:iCs/>
          <w:szCs w:val="21"/>
          <w:u w:val="single"/>
        </w:rPr>
        <w:t>（项目名称 ）</w:t>
      </w:r>
      <w:r>
        <w:rPr>
          <w:rFonts w:ascii="宋体" w:hAnsi="宋体"/>
          <w:szCs w:val="21"/>
        </w:rPr>
        <w:t>项目的磋商活动，并代表我方全权办理针对上述项目的磋商、截标、评审、签约等具体事务和签署相关文件。</w:t>
      </w:r>
    </w:p>
    <w:p w14:paraId="66676107">
      <w:pPr>
        <w:snapToGrid w:val="0"/>
        <w:spacing w:before="120" w:beforeLines="50" w:after="50" w:line="440" w:lineRule="exact"/>
        <w:rPr>
          <w:rFonts w:ascii="宋体" w:hAnsi="宋体"/>
          <w:szCs w:val="21"/>
        </w:rPr>
      </w:pPr>
      <w:r>
        <w:rPr>
          <w:rFonts w:ascii="宋体" w:hAnsi="宋体"/>
          <w:szCs w:val="21"/>
        </w:rPr>
        <w:t xml:space="preserve">    我方对被授权人的签名事项负全部责任。</w:t>
      </w:r>
    </w:p>
    <w:p w14:paraId="27022615">
      <w:pPr>
        <w:snapToGrid w:val="0"/>
        <w:spacing w:before="120" w:beforeLines="50" w:after="50" w:line="440" w:lineRule="exact"/>
        <w:ind w:firstLine="480"/>
        <w:rPr>
          <w:rFonts w:ascii="宋体" w:hAnsi="宋体"/>
          <w:szCs w:val="21"/>
        </w:rPr>
      </w:pPr>
      <w:r>
        <w:rPr>
          <w:rFonts w:ascii="宋体" w:hAnsi="宋体"/>
          <w:szCs w:val="21"/>
        </w:rPr>
        <w:t>在撤销授权的书面通知以前，本授权书一直有效。被授权人在授权书有效期内签署的所有文件不因授权的撤销而失效。</w:t>
      </w:r>
    </w:p>
    <w:p w14:paraId="187BB39F">
      <w:pPr>
        <w:snapToGrid w:val="0"/>
        <w:spacing w:before="120" w:beforeLines="50" w:after="50" w:line="440" w:lineRule="exact"/>
        <w:ind w:firstLine="480"/>
        <w:rPr>
          <w:rFonts w:ascii="宋体" w:hAnsi="宋体"/>
          <w:szCs w:val="21"/>
        </w:rPr>
      </w:pPr>
      <w:r>
        <w:rPr>
          <w:rFonts w:ascii="宋体" w:hAnsi="宋体"/>
          <w:szCs w:val="21"/>
        </w:rPr>
        <w:t>被授权人无转委托权，特此委托。</w:t>
      </w:r>
    </w:p>
    <w:p w14:paraId="5CA692E2">
      <w:pPr>
        <w:snapToGrid w:val="0"/>
        <w:spacing w:before="120" w:beforeLines="50" w:after="50" w:line="440" w:lineRule="exact"/>
        <w:rPr>
          <w:rFonts w:ascii="宋体" w:hAnsi="宋体"/>
          <w:szCs w:val="21"/>
          <w:u w:val="single"/>
        </w:rPr>
      </w:pPr>
      <w:r>
        <w:rPr>
          <w:rFonts w:ascii="宋体" w:hAnsi="宋体"/>
          <w:szCs w:val="21"/>
        </w:rPr>
        <w:t>被授权人签名或签章：</w:t>
      </w:r>
      <w:r>
        <w:rPr>
          <w:rFonts w:ascii="宋体" w:hAnsi="宋体"/>
          <w:szCs w:val="21"/>
          <w:u w:val="single"/>
        </w:rPr>
        <w:t xml:space="preserve">          </w:t>
      </w:r>
      <w:r>
        <w:rPr>
          <w:rFonts w:ascii="宋体" w:hAnsi="宋体"/>
          <w:szCs w:val="21"/>
        </w:rPr>
        <w:t xml:space="preserve">                     法定代表人签名或签章：</w:t>
      </w:r>
      <w:r>
        <w:rPr>
          <w:rFonts w:ascii="宋体" w:hAnsi="宋体"/>
          <w:szCs w:val="21"/>
          <w:u w:val="single"/>
        </w:rPr>
        <w:t xml:space="preserve">          </w:t>
      </w:r>
    </w:p>
    <w:p w14:paraId="7D5DC3CF">
      <w:pPr>
        <w:snapToGrid w:val="0"/>
        <w:spacing w:before="120" w:beforeLines="50" w:after="50" w:line="440" w:lineRule="exact"/>
        <w:rPr>
          <w:rFonts w:ascii="宋体" w:hAnsi="宋体"/>
          <w:szCs w:val="21"/>
        </w:rPr>
      </w:pPr>
      <w:r>
        <w:rPr>
          <w:rFonts w:ascii="宋体" w:hAnsi="宋体"/>
          <w:szCs w:val="21"/>
        </w:rPr>
        <w:t>职务：</w:t>
      </w:r>
      <w:r>
        <w:rPr>
          <w:rFonts w:ascii="宋体" w:hAnsi="宋体"/>
          <w:szCs w:val="21"/>
          <w:u w:val="single"/>
        </w:rPr>
        <w:t xml:space="preserve">           </w:t>
      </w:r>
      <w:r>
        <w:rPr>
          <w:rFonts w:ascii="宋体" w:hAnsi="宋体"/>
          <w:szCs w:val="21"/>
        </w:rPr>
        <w:t xml:space="preserve"> </w:t>
      </w:r>
    </w:p>
    <w:p w14:paraId="112DE8FE">
      <w:pPr>
        <w:snapToGrid w:val="0"/>
        <w:spacing w:before="120" w:beforeLines="50" w:after="50" w:line="440" w:lineRule="exact"/>
        <w:rPr>
          <w:rFonts w:ascii="宋体" w:hAnsi="宋体"/>
          <w:szCs w:val="21"/>
        </w:rPr>
      </w:pPr>
      <w:r>
        <w:rPr>
          <w:rFonts w:ascii="宋体" w:hAnsi="宋体"/>
          <w:szCs w:val="21"/>
        </w:rPr>
        <w:t>被授权人身份证号码：</w:t>
      </w:r>
      <w:r>
        <w:rPr>
          <w:rFonts w:ascii="宋体" w:hAnsi="宋体"/>
          <w:szCs w:val="21"/>
          <w:u w:val="single"/>
        </w:rPr>
        <w:t xml:space="preserve">                   </w:t>
      </w:r>
      <w:r>
        <w:rPr>
          <w:rFonts w:ascii="宋体" w:hAnsi="宋体"/>
          <w:szCs w:val="21"/>
        </w:rPr>
        <w:t xml:space="preserve">                                   职务：</w:t>
      </w:r>
      <w:r>
        <w:rPr>
          <w:rFonts w:ascii="宋体" w:hAnsi="宋体"/>
          <w:szCs w:val="21"/>
          <w:u w:val="single"/>
        </w:rPr>
        <w:t xml:space="preserve">           </w:t>
      </w:r>
    </w:p>
    <w:p w14:paraId="29501771">
      <w:pPr>
        <w:snapToGrid w:val="0"/>
        <w:spacing w:before="120" w:beforeLines="50" w:after="50" w:line="440" w:lineRule="exact"/>
        <w:rPr>
          <w:rFonts w:ascii="宋体" w:hAnsi="宋体"/>
          <w:szCs w:val="21"/>
        </w:rPr>
      </w:pPr>
      <w:r>
        <w:rPr>
          <w:rFonts w:ascii="宋体" w:hAnsi="宋体"/>
          <w:szCs w:val="21"/>
        </w:rPr>
        <w:t>被授权人手机号码及邮箱：</w:t>
      </w:r>
      <w:r>
        <w:rPr>
          <w:rFonts w:ascii="宋体" w:hAnsi="宋体"/>
          <w:szCs w:val="21"/>
          <w:u w:val="single"/>
        </w:rPr>
        <w:t xml:space="preserve">                   </w:t>
      </w:r>
      <w:r>
        <w:rPr>
          <w:rFonts w:ascii="宋体" w:hAnsi="宋体"/>
          <w:szCs w:val="21"/>
        </w:rPr>
        <w:t xml:space="preserve">            授权人身份证号码：</w:t>
      </w:r>
      <w:r>
        <w:rPr>
          <w:rFonts w:ascii="宋体" w:hAnsi="宋体"/>
          <w:szCs w:val="21"/>
          <w:u w:val="single"/>
        </w:rPr>
        <w:t xml:space="preserve">                 </w:t>
      </w:r>
    </w:p>
    <w:p w14:paraId="00A00240">
      <w:pPr>
        <w:snapToGrid w:val="0"/>
        <w:spacing w:before="120" w:beforeLines="50" w:after="50" w:line="440" w:lineRule="exact"/>
        <w:rPr>
          <w:rFonts w:ascii="宋体" w:hAnsi="宋体"/>
          <w:szCs w:val="21"/>
        </w:rPr>
      </w:pPr>
      <w:r>
        <w:rPr>
          <w:rFonts w:ascii="宋体" w:hAnsi="宋体"/>
          <w:szCs w:val="21"/>
        </w:rPr>
        <w:t xml:space="preserve">                                </w:t>
      </w:r>
    </w:p>
    <w:p w14:paraId="15830D92">
      <w:pPr>
        <w:snapToGrid w:val="0"/>
        <w:spacing w:before="120" w:beforeLines="50" w:after="50" w:line="440" w:lineRule="exact"/>
        <w:ind w:firstLine="5670" w:firstLineChars="2700"/>
        <w:rPr>
          <w:rFonts w:ascii="宋体" w:hAnsi="宋体"/>
          <w:szCs w:val="21"/>
        </w:rPr>
      </w:pPr>
      <w:r>
        <w:rPr>
          <w:rFonts w:ascii="宋体" w:hAnsi="宋体"/>
          <w:szCs w:val="21"/>
        </w:rPr>
        <w:t>供应商名称（电子签章）：</w:t>
      </w:r>
      <w:r>
        <w:rPr>
          <w:rFonts w:ascii="宋体" w:hAnsi="宋体"/>
          <w:szCs w:val="21"/>
          <w:u w:val="single"/>
        </w:rPr>
        <w:t xml:space="preserve">                </w:t>
      </w:r>
    </w:p>
    <w:p w14:paraId="5FAC55FB">
      <w:pPr>
        <w:snapToGrid w:val="0"/>
        <w:spacing w:before="120" w:beforeLines="50" w:after="50" w:line="440" w:lineRule="exact"/>
        <w:jc w:val="center"/>
        <w:rPr>
          <w:rFonts w:ascii="宋体" w:hAnsi="宋体"/>
          <w:szCs w:val="21"/>
        </w:rPr>
      </w:pPr>
      <w:r>
        <w:rPr>
          <w:rFonts w:ascii="宋体" w:hAnsi="宋体"/>
          <w:szCs w:val="21"/>
        </w:rPr>
        <w:t xml:space="preserve">                                        年    月    日</w:t>
      </w:r>
    </w:p>
    <w:p w14:paraId="716B6F83">
      <w:pPr>
        <w:spacing w:line="360" w:lineRule="auto"/>
        <w:rPr>
          <w:rFonts w:ascii="宋体" w:hAnsi="宋体"/>
          <w:szCs w:val="21"/>
        </w:rPr>
      </w:pPr>
      <w:r>
        <w:rPr>
          <w:rFonts w:ascii="宋体" w:hAnsi="宋体"/>
          <w:szCs w:val="21"/>
        </w:rPr>
        <w:t>附件：法定代表人身份证复印件及授权代表身份证复印件</w:t>
      </w:r>
    </w:p>
    <w:p w14:paraId="41A1D758">
      <w:pPr>
        <w:spacing w:line="360" w:lineRule="auto"/>
        <w:rPr>
          <w:rFonts w:ascii="宋体" w:hAnsi="宋体"/>
        </w:rPr>
      </w:pPr>
    </w:p>
    <w:p w14:paraId="78CF3464">
      <w:pPr>
        <w:snapToGrid w:val="0"/>
        <w:spacing w:before="120" w:beforeLines="50" w:after="50" w:line="440" w:lineRule="exact"/>
        <w:rPr>
          <w:rFonts w:ascii="宋体" w:hAnsi="宋体"/>
          <w:b/>
          <w:szCs w:val="21"/>
        </w:rPr>
      </w:pPr>
      <w:r>
        <w:rPr>
          <w:rFonts w:ascii="宋体" w:hAnsi="宋体"/>
          <w:szCs w:val="21"/>
        </w:rPr>
        <w:br w:type="page"/>
      </w:r>
      <w:bookmarkEnd w:id="94"/>
      <w:r>
        <w:rPr>
          <w:rFonts w:ascii="宋体" w:hAnsi="宋体"/>
          <w:szCs w:val="21"/>
        </w:rPr>
        <w:t>3．法人或者其他组织的营业执照等证明文件、自然人的身份证明。即供应商是企业则提供营业执照（副本）复印件；供应商是事业单位，则提供事业单位法人证书（副本）复印件；供应商是非企业专业服务机构的，则提供执业许可证等证明文件复印件；供应商是个体工商户，则提供个体工商户营业执照复印件；供应商是自然人，则提供有效的自然人身份证明复印件；如供应商不是以上所列的法人、组织、自然人的，则提供国家规定的相关证明材料。（加盖供应商电子签章）。</w:t>
      </w:r>
    </w:p>
    <w:p w14:paraId="4019CFF9">
      <w:pPr>
        <w:snapToGrid w:val="0"/>
        <w:spacing w:before="120" w:beforeLines="50" w:after="50" w:line="440" w:lineRule="exact"/>
        <w:rPr>
          <w:rFonts w:ascii="宋体" w:hAnsi="宋体"/>
          <w:szCs w:val="21"/>
        </w:rPr>
      </w:pPr>
    </w:p>
    <w:p w14:paraId="394C4FCF">
      <w:pPr>
        <w:snapToGrid w:val="0"/>
        <w:spacing w:before="120" w:beforeLines="50" w:after="50" w:line="440" w:lineRule="exact"/>
        <w:rPr>
          <w:rFonts w:ascii="宋体" w:hAnsi="宋体"/>
          <w:szCs w:val="21"/>
        </w:rPr>
      </w:pPr>
      <w:r>
        <w:rPr>
          <w:rFonts w:ascii="宋体" w:hAnsi="宋体"/>
          <w:szCs w:val="21"/>
        </w:rPr>
        <w:t>4．财务状况报告（表）复印件或银行出具的资信证明复印件。</w:t>
      </w:r>
      <w:r>
        <w:rPr>
          <w:rFonts w:ascii="宋体" w:hAnsi="宋体"/>
        </w:rPr>
        <w:t>对于从取得营业执照时间起到截标时间为止不足1年的供应商，只需提交</w:t>
      </w:r>
      <w:r>
        <w:rPr>
          <w:rFonts w:ascii="宋体" w:hAnsi="宋体"/>
          <w:szCs w:val="21"/>
        </w:rPr>
        <w:t>截标时间前一个月的财务状况报告（表）复印件。（按“评审方法及标准” “资格审查表”规定提供）。（加盖供应商电子签章）。</w:t>
      </w:r>
    </w:p>
    <w:p w14:paraId="3F9E958F">
      <w:pPr>
        <w:snapToGrid w:val="0"/>
        <w:spacing w:before="50" w:after="120" w:afterLines="50" w:line="440" w:lineRule="exact"/>
        <w:jc w:val="left"/>
        <w:rPr>
          <w:rFonts w:ascii="宋体" w:hAnsi="宋体"/>
          <w:szCs w:val="21"/>
        </w:rPr>
      </w:pPr>
    </w:p>
    <w:p w14:paraId="41DC753A">
      <w:pPr>
        <w:snapToGrid w:val="0"/>
        <w:spacing w:before="50" w:after="120" w:afterLines="50" w:line="440" w:lineRule="exact"/>
        <w:jc w:val="left"/>
        <w:rPr>
          <w:rFonts w:ascii="宋体" w:hAnsi="宋体"/>
          <w:b/>
          <w:szCs w:val="21"/>
        </w:rPr>
      </w:pPr>
      <w:r>
        <w:rPr>
          <w:rFonts w:ascii="宋体" w:hAnsi="宋体"/>
          <w:szCs w:val="21"/>
        </w:rPr>
        <w:t>5．</w:t>
      </w:r>
      <w:r>
        <w:rPr>
          <w:rFonts w:ascii="宋体" w:hAnsi="宋体"/>
        </w:rPr>
        <w:t>依法缴纳税费证明和社会保险缴纳证明材料。供应商成立不足1个月的，无须提供缴纳税费证明及社保缴费证明。依法免税或不需要缴纳社会保障资金的供应商，须提供相应文件证明其依法免税或不需要缴纳社会保障资金。</w:t>
      </w:r>
      <w:r>
        <w:rPr>
          <w:rFonts w:ascii="宋体" w:hAnsi="宋体"/>
          <w:szCs w:val="21"/>
        </w:rPr>
        <w:t>（按“评审方法及标准” “资格性检查表”规定提供）（加盖供应商电子签章）。</w:t>
      </w:r>
    </w:p>
    <w:p w14:paraId="418A0996">
      <w:pPr>
        <w:snapToGrid w:val="0"/>
        <w:spacing w:before="50" w:after="120" w:afterLines="50" w:line="440" w:lineRule="exact"/>
        <w:jc w:val="left"/>
        <w:rPr>
          <w:rFonts w:ascii="宋体" w:hAnsi="宋体"/>
        </w:rPr>
      </w:pPr>
    </w:p>
    <w:p w14:paraId="679E9F53">
      <w:pPr>
        <w:snapToGrid w:val="0"/>
        <w:spacing w:before="50" w:after="120" w:afterLines="50" w:line="440" w:lineRule="exact"/>
        <w:jc w:val="left"/>
        <w:rPr>
          <w:rFonts w:ascii="宋体" w:hAnsi="宋体"/>
          <w:b/>
          <w:szCs w:val="21"/>
        </w:rPr>
      </w:pPr>
      <w:r>
        <w:rPr>
          <w:rFonts w:ascii="宋体" w:hAnsi="宋体"/>
          <w:szCs w:val="21"/>
        </w:rPr>
        <w:t>6．具备法律、行政法规规定的其他要求的证明材料</w:t>
      </w:r>
      <w:r>
        <w:rPr>
          <w:rFonts w:ascii="宋体" w:hAnsi="宋体"/>
        </w:rPr>
        <w:t>（</w:t>
      </w:r>
      <w:r>
        <w:rPr>
          <w:rFonts w:ascii="宋体" w:hAnsi="宋体"/>
          <w:szCs w:val="21"/>
        </w:rPr>
        <w:t>按“评审方法及标准” “资格性检查表”规定提供</w:t>
      </w:r>
      <w:r>
        <w:rPr>
          <w:rFonts w:ascii="宋体" w:hAnsi="宋体"/>
        </w:rPr>
        <w:t>）。</w:t>
      </w:r>
      <w:r>
        <w:rPr>
          <w:rFonts w:ascii="宋体" w:hAnsi="宋体"/>
          <w:b/>
          <w:szCs w:val="21"/>
        </w:rPr>
        <w:t>（如采购文件有要求时提供）</w:t>
      </w:r>
    </w:p>
    <w:p w14:paraId="4B531934">
      <w:pPr>
        <w:snapToGrid w:val="0"/>
        <w:spacing w:before="50" w:after="120" w:afterLines="50" w:line="440" w:lineRule="exact"/>
        <w:jc w:val="left"/>
        <w:rPr>
          <w:rFonts w:ascii="宋体" w:hAnsi="宋体"/>
          <w:szCs w:val="21"/>
        </w:rPr>
      </w:pPr>
    </w:p>
    <w:p w14:paraId="4DFAC8DD">
      <w:pPr>
        <w:snapToGrid w:val="0"/>
        <w:spacing w:before="50" w:after="120" w:afterLines="50" w:line="440" w:lineRule="exact"/>
        <w:jc w:val="left"/>
        <w:rPr>
          <w:rFonts w:ascii="宋体" w:hAnsi="宋体"/>
        </w:rPr>
      </w:pPr>
      <w:r>
        <w:rPr>
          <w:rFonts w:ascii="宋体" w:hAnsi="宋体"/>
          <w:szCs w:val="21"/>
        </w:rPr>
        <w:t>7．</w:t>
      </w:r>
      <w:r>
        <w:rPr>
          <w:rFonts w:ascii="宋体" w:hAnsi="宋体"/>
        </w:rPr>
        <w:t>满足供应商特定资格条件的其他证明材料</w:t>
      </w:r>
      <w:r>
        <w:rPr>
          <w:rFonts w:ascii="宋体" w:hAnsi="宋体"/>
          <w:szCs w:val="21"/>
        </w:rPr>
        <w:t>加盖供应商电子签章</w:t>
      </w:r>
      <w:r>
        <w:rPr>
          <w:rFonts w:ascii="宋体" w:hAnsi="宋体"/>
        </w:rPr>
        <w:t>（</w:t>
      </w:r>
      <w:r>
        <w:rPr>
          <w:rFonts w:ascii="宋体" w:hAnsi="宋体"/>
          <w:szCs w:val="21"/>
        </w:rPr>
        <w:t>按“评审方法及标准” “资格性检查表”“</w:t>
      </w:r>
      <w:r>
        <w:rPr>
          <w:rFonts w:ascii="宋体" w:hAnsi="宋体"/>
          <w:szCs w:val="21"/>
          <w:lang w:val="zh-CN"/>
        </w:rPr>
        <w:t xml:space="preserve"> 供应商应符合的</w:t>
      </w:r>
      <w:r>
        <w:rPr>
          <w:rFonts w:ascii="宋体" w:hAnsi="宋体"/>
          <w:szCs w:val="21"/>
        </w:rPr>
        <w:t>特定资格条件”规定提供</w:t>
      </w:r>
      <w:r>
        <w:rPr>
          <w:rFonts w:ascii="宋体" w:hAnsi="宋体"/>
        </w:rPr>
        <w:t>）。</w:t>
      </w:r>
      <w:r>
        <w:rPr>
          <w:rFonts w:ascii="宋体" w:hAnsi="宋体"/>
          <w:b/>
          <w:szCs w:val="21"/>
        </w:rPr>
        <w:t>（如采购文件有要求时提供）</w:t>
      </w:r>
    </w:p>
    <w:p w14:paraId="28F8B27C">
      <w:pPr>
        <w:snapToGrid w:val="0"/>
        <w:spacing w:before="50" w:after="120" w:afterLines="50" w:line="360" w:lineRule="auto"/>
        <w:jc w:val="left"/>
        <w:rPr>
          <w:rFonts w:ascii="宋体" w:hAnsi="宋体"/>
          <w:szCs w:val="21"/>
        </w:rPr>
      </w:pPr>
      <w:r>
        <w:rPr>
          <w:rFonts w:ascii="宋体" w:hAnsi="宋体"/>
          <w:b/>
          <w:szCs w:val="21"/>
        </w:rPr>
        <w:br w:type="page"/>
      </w:r>
      <w:r>
        <w:rPr>
          <w:rFonts w:ascii="宋体" w:hAnsi="宋体"/>
          <w:szCs w:val="21"/>
        </w:rPr>
        <w:t>7.1供应商直接控股股东信息表</w:t>
      </w:r>
    </w:p>
    <w:tbl>
      <w:tblPr>
        <w:tblStyle w:val="51"/>
        <w:tblW w:w="0" w:type="auto"/>
        <w:tblInd w:w="125" w:type="dxa"/>
        <w:tblLayout w:type="fixed"/>
        <w:tblCellMar>
          <w:top w:w="0" w:type="dxa"/>
          <w:left w:w="0" w:type="dxa"/>
          <w:bottom w:w="0" w:type="dxa"/>
          <w:right w:w="0" w:type="dxa"/>
        </w:tblCellMar>
      </w:tblPr>
      <w:tblGrid>
        <w:gridCol w:w="828"/>
        <w:gridCol w:w="2269"/>
        <w:gridCol w:w="1239"/>
        <w:gridCol w:w="3722"/>
        <w:gridCol w:w="1418"/>
      </w:tblGrid>
      <w:tr w14:paraId="29B0A835">
        <w:tblPrEx>
          <w:tblCellMar>
            <w:top w:w="0" w:type="dxa"/>
            <w:left w:w="0" w:type="dxa"/>
            <w:bottom w:w="0" w:type="dxa"/>
            <w:right w:w="0" w:type="dxa"/>
          </w:tblCellMar>
        </w:tblPrEx>
        <w:trPr>
          <w:tblHeader/>
        </w:trPr>
        <w:tc>
          <w:tcPr>
            <w:tcW w:w="828"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67E3FD9C">
            <w:pPr>
              <w:spacing w:line="360" w:lineRule="auto"/>
              <w:jc w:val="center"/>
              <w:rPr>
                <w:rFonts w:ascii="宋体" w:hAnsi="宋体"/>
                <w:szCs w:val="21"/>
              </w:rPr>
            </w:pPr>
            <w:r>
              <w:rPr>
                <w:rFonts w:ascii="宋体" w:hAnsi="宋体"/>
                <w:szCs w:val="21"/>
              </w:rPr>
              <w:t>序号</w:t>
            </w:r>
          </w:p>
        </w:tc>
        <w:tc>
          <w:tcPr>
            <w:tcW w:w="2269"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30853D36">
            <w:pPr>
              <w:spacing w:line="360" w:lineRule="auto"/>
              <w:jc w:val="center"/>
              <w:rPr>
                <w:rFonts w:ascii="宋体" w:hAnsi="宋体"/>
                <w:szCs w:val="21"/>
              </w:rPr>
            </w:pPr>
            <w:r>
              <w:rPr>
                <w:rFonts w:ascii="宋体" w:hAnsi="宋体"/>
                <w:szCs w:val="21"/>
              </w:rPr>
              <w:t>直接控股股东名称</w:t>
            </w:r>
          </w:p>
        </w:tc>
        <w:tc>
          <w:tcPr>
            <w:tcW w:w="1239"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028A1DE8">
            <w:pPr>
              <w:spacing w:line="360" w:lineRule="auto"/>
              <w:jc w:val="center"/>
              <w:rPr>
                <w:rFonts w:ascii="宋体" w:hAnsi="宋体"/>
                <w:szCs w:val="21"/>
              </w:rPr>
            </w:pPr>
            <w:r>
              <w:rPr>
                <w:rFonts w:ascii="宋体" w:hAnsi="宋体"/>
                <w:szCs w:val="21"/>
              </w:rPr>
              <w:t>出资比例</w:t>
            </w:r>
          </w:p>
        </w:tc>
        <w:tc>
          <w:tcPr>
            <w:tcW w:w="3722"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07AA063B">
            <w:pPr>
              <w:spacing w:line="360" w:lineRule="auto"/>
              <w:jc w:val="center"/>
              <w:rPr>
                <w:rFonts w:ascii="宋体" w:hAnsi="宋体"/>
                <w:szCs w:val="21"/>
              </w:rPr>
            </w:pPr>
            <w:r>
              <w:rPr>
                <w:rFonts w:ascii="宋体" w:hAnsi="宋体"/>
                <w:szCs w:val="21"/>
              </w:rPr>
              <w:t>身份证号码或者统一社会信用代码</w:t>
            </w:r>
          </w:p>
        </w:tc>
        <w:tc>
          <w:tcPr>
            <w:tcW w:w="1418"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20BDBAB6">
            <w:pPr>
              <w:spacing w:line="360" w:lineRule="auto"/>
              <w:jc w:val="center"/>
              <w:rPr>
                <w:rFonts w:ascii="宋体" w:hAnsi="宋体"/>
                <w:szCs w:val="21"/>
              </w:rPr>
            </w:pPr>
            <w:r>
              <w:rPr>
                <w:rFonts w:ascii="宋体" w:hAnsi="宋体"/>
                <w:szCs w:val="21"/>
              </w:rPr>
              <w:t>备注</w:t>
            </w:r>
          </w:p>
        </w:tc>
      </w:tr>
      <w:tr w14:paraId="19C0FD48">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7931CA83">
            <w:pPr>
              <w:spacing w:line="360" w:lineRule="auto"/>
              <w:jc w:val="center"/>
              <w:rPr>
                <w:rFonts w:ascii="宋体" w:hAnsi="宋体"/>
                <w:szCs w:val="21"/>
              </w:rPr>
            </w:pPr>
            <w:r>
              <w:rPr>
                <w:rFonts w:ascii="宋体" w:hAnsi="宋体"/>
                <w:szCs w:val="21"/>
              </w:rPr>
              <w:t>1</w:t>
            </w:r>
          </w:p>
        </w:tc>
        <w:tc>
          <w:tcPr>
            <w:tcW w:w="2269"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0632F034">
            <w:pPr>
              <w:spacing w:line="360" w:lineRule="auto"/>
              <w:jc w:val="center"/>
              <w:rPr>
                <w:rFonts w:ascii="宋体" w:hAnsi="宋体"/>
                <w:szCs w:val="21"/>
              </w:rPr>
            </w:pPr>
          </w:p>
        </w:tc>
        <w:tc>
          <w:tcPr>
            <w:tcW w:w="1239"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6B35A646">
            <w:pPr>
              <w:spacing w:line="360" w:lineRule="auto"/>
              <w:jc w:val="center"/>
              <w:rPr>
                <w:rFonts w:ascii="宋体" w:hAnsi="宋体"/>
                <w:szCs w:val="21"/>
              </w:rPr>
            </w:pPr>
          </w:p>
        </w:tc>
        <w:tc>
          <w:tcPr>
            <w:tcW w:w="3722"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0438ABCB">
            <w:pPr>
              <w:spacing w:line="360" w:lineRule="auto"/>
              <w:jc w:val="center"/>
              <w:rPr>
                <w:rFonts w:ascii="宋体" w:hAnsi="宋体"/>
                <w:szCs w:val="21"/>
              </w:rPr>
            </w:pPr>
          </w:p>
        </w:tc>
        <w:tc>
          <w:tcPr>
            <w:tcW w:w="1418"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0D232EA4">
            <w:pPr>
              <w:spacing w:line="360" w:lineRule="auto"/>
              <w:jc w:val="center"/>
              <w:rPr>
                <w:rFonts w:ascii="宋体" w:hAnsi="宋体"/>
                <w:szCs w:val="21"/>
              </w:rPr>
            </w:pPr>
          </w:p>
        </w:tc>
      </w:tr>
      <w:tr w14:paraId="0ECB5F14">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1BC1735F">
            <w:pPr>
              <w:spacing w:line="360" w:lineRule="auto"/>
              <w:jc w:val="center"/>
              <w:rPr>
                <w:rFonts w:ascii="宋体" w:hAnsi="宋体"/>
                <w:szCs w:val="21"/>
              </w:rPr>
            </w:pPr>
            <w:r>
              <w:rPr>
                <w:rFonts w:ascii="宋体" w:hAnsi="宋体"/>
                <w:szCs w:val="21"/>
              </w:rPr>
              <w:t>2</w:t>
            </w:r>
          </w:p>
        </w:tc>
        <w:tc>
          <w:tcPr>
            <w:tcW w:w="2269"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6773D089">
            <w:pPr>
              <w:spacing w:line="360" w:lineRule="auto"/>
              <w:jc w:val="center"/>
              <w:rPr>
                <w:rFonts w:ascii="宋体" w:hAnsi="宋体"/>
                <w:szCs w:val="21"/>
              </w:rPr>
            </w:pPr>
          </w:p>
        </w:tc>
        <w:tc>
          <w:tcPr>
            <w:tcW w:w="1239"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61140D7B">
            <w:pPr>
              <w:spacing w:line="360" w:lineRule="auto"/>
              <w:jc w:val="center"/>
              <w:rPr>
                <w:rFonts w:ascii="宋体" w:hAnsi="宋体"/>
                <w:szCs w:val="21"/>
              </w:rPr>
            </w:pPr>
          </w:p>
        </w:tc>
        <w:tc>
          <w:tcPr>
            <w:tcW w:w="3722"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59560F3C">
            <w:pPr>
              <w:spacing w:line="360" w:lineRule="auto"/>
              <w:jc w:val="center"/>
              <w:rPr>
                <w:rFonts w:ascii="宋体" w:hAnsi="宋体"/>
                <w:szCs w:val="21"/>
              </w:rPr>
            </w:pPr>
          </w:p>
        </w:tc>
        <w:tc>
          <w:tcPr>
            <w:tcW w:w="1418"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55934BAF">
            <w:pPr>
              <w:spacing w:line="360" w:lineRule="auto"/>
              <w:jc w:val="center"/>
              <w:rPr>
                <w:rFonts w:ascii="宋体" w:hAnsi="宋体"/>
                <w:szCs w:val="21"/>
              </w:rPr>
            </w:pPr>
          </w:p>
        </w:tc>
      </w:tr>
      <w:tr w14:paraId="48AF7897">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2B0B4853">
            <w:pPr>
              <w:spacing w:line="360" w:lineRule="auto"/>
              <w:jc w:val="center"/>
              <w:rPr>
                <w:rFonts w:ascii="宋体" w:hAnsi="宋体"/>
                <w:szCs w:val="21"/>
              </w:rPr>
            </w:pPr>
            <w:r>
              <w:rPr>
                <w:rFonts w:ascii="宋体" w:hAnsi="宋体"/>
                <w:szCs w:val="21"/>
              </w:rPr>
              <w:t>3</w:t>
            </w:r>
          </w:p>
        </w:tc>
        <w:tc>
          <w:tcPr>
            <w:tcW w:w="2269"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6AE26B9F">
            <w:pPr>
              <w:spacing w:line="360" w:lineRule="auto"/>
              <w:jc w:val="center"/>
              <w:rPr>
                <w:rFonts w:ascii="宋体" w:hAnsi="宋体"/>
                <w:szCs w:val="21"/>
              </w:rPr>
            </w:pPr>
          </w:p>
        </w:tc>
        <w:tc>
          <w:tcPr>
            <w:tcW w:w="1239"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0B4799F1">
            <w:pPr>
              <w:spacing w:line="360" w:lineRule="auto"/>
              <w:jc w:val="center"/>
              <w:rPr>
                <w:rFonts w:ascii="宋体" w:hAnsi="宋体"/>
                <w:szCs w:val="21"/>
              </w:rPr>
            </w:pPr>
          </w:p>
        </w:tc>
        <w:tc>
          <w:tcPr>
            <w:tcW w:w="3722"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54E96AAC">
            <w:pPr>
              <w:spacing w:line="360" w:lineRule="auto"/>
              <w:jc w:val="center"/>
              <w:rPr>
                <w:rFonts w:ascii="宋体" w:hAnsi="宋体"/>
                <w:szCs w:val="21"/>
              </w:rPr>
            </w:pPr>
          </w:p>
        </w:tc>
        <w:tc>
          <w:tcPr>
            <w:tcW w:w="1418"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19AE2433">
            <w:pPr>
              <w:spacing w:line="360" w:lineRule="auto"/>
              <w:jc w:val="center"/>
              <w:rPr>
                <w:rFonts w:ascii="宋体" w:hAnsi="宋体"/>
                <w:szCs w:val="21"/>
              </w:rPr>
            </w:pPr>
          </w:p>
        </w:tc>
      </w:tr>
      <w:tr w14:paraId="7AD87E70">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0EB21E50">
            <w:pPr>
              <w:spacing w:line="360" w:lineRule="auto"/>
              <w:jc w:val="center"/>
              <w:rPr>
                <w:rFonts w:ascii="宋体" w:hAnsi="宋体"/>
                <w:szCs w:val="21"/>
              </w:rPr>
            </w:pPr>
            <w:r>
              <w:rPr>
                <w:rFonts w:ascii="宋体" w:hAnsi="宋体"/>
                <w:szCs w:val="21"/>
              </w:rPr>
              <w:t>……</w:t>
            </w:r>
          </w:p>
        </w:tc>
        <w:tc>
          <w:tcPr>
            <w:tcW w:w="2269"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6241944A">
            <w:pPr>
              <w:spacing w:line="360" w:lineRule="auto"/>
              <w:jc w:val="center"/>
              <w:rPr>
                <w:rFonts w:ascii="宋体" w:hAnsi="宋体"/>
                <w:szCs w:val="21"/>
              </w:rPr>
            </w:pPr>
          </w:p>
        </w:tc>
        <w:tc>
          <w:tcPr>
            <w:tcW w:w="1239"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08E2C1B0">
            <w:pPr>
              <w:spacing w:line="360" w:lineRule="auto"/>
              <w:jc w:val="center"/>
              <w:rPr>
                <w:rFonts w:ascii="宋体" w:hAnsi="宋体"/>
                <w:szCs w:val="21"/>
              </w:rPr>
            </w:pPr>
          </w:p>
        </w:tc>
        <w:tc>
          <w:tcPr>
            <w:tcW w:w="3722"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7E2D3881">
            <w:pPr>
              <w:spacing w:line="360" w:lineRule="auto"/>
              <w:jc w:val="center"/>
              <w:rPr>
                <w:rFonts w:ascii="宋体" w:hAnsi="宋体"/>
                <w:szCs w:val="21"/>
              </w:rPr>
            </w:pPr>
          </w:p>
        </w:tc>
        <w:tc>
          <w:tcPr>
            <w:tcW w:w="1418"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27DD9637">
            <w:pPr>
              <w:spacing w:line="360" w:lineRule="auto"/>
              <w:jc w:val="center"/>
              <w:rPr>
                <w:rFonts w:ascii="宋体" w:hAnsi="宋体"/>
                <w:szCs w:val="21"/>
              </w:rPr>
            </w:pPr>
          </w:p>
        </w:tc>
      </w:tr>
    </w:tbl>
    <w:p w14:paraId="5E77934F">
      <w:pPr>
        <w:snapToGrid w:val="0"/>
        <w:spacing w:line="360" w:lineRule="auto"/>
        <w:jc w:val="left"/>
        <w:rPr>
          <w:rFonts w:ascii="宋体" w:hAnsi="宋体"/>
          <w:szCs w:val="21"/>
        </w:rPr>
      </w:pPr>
      <w:r>
        <w:rPr>
          <w:rFonts w:ascii="宋体" w:hAnsi="宋体"/>
          <w:szCs w:val="21"/>
        </w:rPr>
        <w:t>注：</w:t>
      </w:r>
    </w:p>
    <w:p w14:paraId="2C5B2B05">
      <w:pPr>
        <w:snapToGrid w:val="0"/>
        <w:spacing w:line="360" w:lineRule="auto"/>
        <w:jc w:val="left"/>
        <w:rPr>
          <w:rFonts w:ascii="宋体" w:hAnsi="宋体"/>
          <w:szCs w:val="21"/>
        </w:rPr>
      </w:pPr>
      <w:r>
        <w:rPr>
          <w:rFonts w:ascii="宋体" w:hAnsi="宋体"/>
          <w:szCs w:val="21"/>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408E392E">
      <w:pPr>
        <w:snapToGrid w:val="0"/>
        <w:spacing w:line="360" w:lineRule="auto"/>
        <w:jc w:val="left"/>
        <w:rPr>
          <w:rFonts w:ascii="宋体" w:hAnsi="宋体"/>
          <w:szCs w:val="21"/>
        </w:rPr>
      </w:pPr>
      <w:r>
        <w:rPr>
          <w:rFonts w:ascii="宋体" w:hAnsi="宋体"/>
          <w:szCs w:val="21"/>
        </w:rPr>
        <w:t>2.本表所指的控股关系仅限于直接控股关系，不包括间接的控股关系。公司实际控制人与公司之间的关系不属于本表所指的直接控股关系。</w:t>
      </w:r>
    </w:p>
    <w:p w14:paraId="2B3475CD">
      <w:pPr>
        <w:snapToGrid w:val="0"/>
        <w:spacing w:line="360" w:lineRule="auto"/>
        <w:jc w:val="left"/>
        <w:rPr>
          <w:rFonts w:ascii="宋体" w:hAnsi="宋体"/>
          <w:szCs w:val="21"/>
        </w:rPr>
      </w:pPr>
      <w:r>
        <w:rPr>
          <w:rFonts w:ascii="宋体" w:hAnsi="宋体"/>
          <w:szCs w:val="21"/>
        </w:rPr>
        <w:t>3.供应商不存在直接控股股东的，则填“无”。</w:t>
      </w:r>
    </w:p>
    <w:p w14:paraId="1697F604">
      <w:pPr>
        <w:snapToGrid w:val="0"/>
        <w:spacing w:line="360" w:lineRule="auto"/>
        <w:jc w:val="left"/>
        <w:rPr>
          <w:rFonts w:ascii="宋体" w:hAnsi="宋体"/>
          <w:szCs w:val="21"/>
        </w:rPr>
      </w:pPr>
    </w:p>
    <w:p w14:paraId="5EC5C84D">
      <w:pPr>
        <w:snapToGrid w:val="0"/>
        <w:spacing w:line="360" w:lineRule="auto"/>
        <w:jc w:val="left"/>
        <w:rPr>
          <w:rFonts w:ascii="宋体" w:hAnsi="宋体"/>
          <w:szCs w:val="21"/>
        </w:rPr>
      </w:pPr>
    </w:p>
    <w:p w14:paraId="64A20B6F">
      <w:pPr>
        <w:snapToGrid w:val="0"/>
        <w:spacing w:line="360" w:lineRule="auto"/>
        <w:jc w:val="left"/>
        <w:rPr>
          <w:rFonts w:ascii="宋体" w:hAnsi="宋体"/>
          <w:szCs w:val="21"/>
        </w:rPr>
      </w:pPr>
    </w:p>
    <w:p w14:paraId="379D9CE2">
      <w:pPr>
        <w:snapToGrid w:val="0"/>
        <w:spacing w:line="360" w:lineRule="auto"/>
        <w:jc w:val="left"/>
        <w:rPr>
          <w:rFonts w:ascii="宋体" w:hAnsi="宋体"/>
          <w:szCs w:val="21"/>
        </w:rPr>
      </w:pPr>
    </w:p>
    <w:p w14:paraId="349851BC">
      <w:pPr>
        <w:snapToGrid w:val="0"/>
        <w:spacing w:line="360" w:lineRule="auto"/>
        <w:jc w:val="left"/>
        <w:rPr>
          <w:rFonts w:ascii="宋体" w:hAnsi="宋体"/>
          <w:szCs w:val="21"/>
        </w:rPr>
      </w:pPr>
    </w:p>
    <w:p w14:paraId="528465A6">
      <w:pPr>
        <w:snapToGrid w:val="0"/>
        <w:spacing w:line="360" w:lineRule="auto"/>
        <w:ind w:firstLine="4410" w:firstLineChars="2100"/>
        <w:rPr>
          <w:rFonts w:ascii="宋体" w:hAnsi="宋体"/>
          <w:szCs w:val="21"/>
        </w:rPr>
      </w:pPr>
      <w:r>
        <w:rPr>
          <w:rFonts w:ascii="宋体" w:hAnsi="宋体"/>
          <w:szCs w:val="21"/>
        </w:rPr>
        <w:t>供应商名称(电子签章)：</w:t>
      </w:r>
    </w:p>
    <w:p w14:paraId="3C3C6EAA">
      <w:pPr>
        <w:snapToGrid w:val="0"/>
        <w:spacing w:line="360" w:lineRule="auto"/>
        <w:ind w:firstLine="4515" w:firstLineChars="2150"/>
        <w:rPr>
          <w:rFonts w:ascii="宋体" w:hAnsi="宋体"/>
          <w:szCs w:val="21"/>
        </w:rPr>
      </w:pPr>
      <w:r>
        <w:rPr>
          <w:rFonts w:ascii="宋体" w:hAnsi="宋体"/>
          <w:szCs w:val="21"/>
        </w:rPr>
        <w:t>日期：  年  月   日</w:t>
      </w:r>
    </w:p>
    <w:p w14:paraId="756E5608">
      <w:pPr>
        <w:snapToGrid w:val="0"/>
        <w:jc w:val="left"/>
        <w:rPr>
          <w:rFonts w:ascii="宋体" w:hAnsi="宋体"/>
          <w:szCs w:val="21"/>
        </w:rPr>
      </w:pPr>
      <w:r>
        <w:rPr>
          <w:rFonts w:ascii="宋体" w:hAnsi="宋体"/>
          <w:b/>
          <w:sz w:val="28"/>
          <w:szCs w:val="28"/>
        </w:rPr>
        <w:br w:type="page"/>
      </w:r>
      <w:r>
        <w:rPr>
          <w:rFonts w:ascii="宋体" w:hAnsi="宋体"/>
          <w:szCs w:val="21"/>
        </w:rPr>
        <w:t>7.2供应商直接管理关系信息表</w:t>
      </w:r>
    </w:p>
    <w:tbl>
      <w:tblPr>
        <w:tblStyle w:val="51"/>
        <w:tblW w:w="0" w:type="auto"/>
        <w:tblInd w:w="125" w:type="dxa"/>
        <w:shd w:val="clear" w:color="auto" w:fill="FBFBFB"/>
        <w:tblLayout w:type="fixed"/>
        <w:tblCellMar>
          <w:top w:w="0" w:type="dxa"/>
          <w:left w:w="0" w:type="dxa"/>
          <w:bottom w:w="0" w:type="dxa"/>
          <w:right w:w="0" w:type="dxa"/>
        </w:tblCellMar>
      </w:tblPr>
      <w:tblGrid>
        <w:gridCol w:w="1005"/>
        <w:gridCol w:w="2659"/>
        <w:gridCol w:w="3924"/>
        <w:gridCol w:w="2064"/>
      </w:tblGrid>
      <w:tr w14:paraId="63CFD61E">
        <w:tblPrEx>
          <w:tblCellMar>
            <w:top w:w="0" w:type="dxa"/>
            <w:left w:w="0" w:type="dxa"/>
            <w:bottom w:w="0" w:type="dxa"/>
            <w:right w:w="0" w:type="dxa"/>
          </w:tblCellMar>
        </w:tblPrEx>
        <w:trPr>
          <w:tblHeader/>
        </w:trPr>
        <w:tc>
          <w:tcPr>
            <w:tcW w:w="100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4E76ECA">
            <w:pPr>
              <w:spacing w:line="360" w:lineRule="auto"/>
              <w:jc w:val="center"/>
              <w:rPr>
                <w:rFonts w:ascii="宋体" w:hAnsi="宋体"/>
                <w:szCs w:val="21"/>
              </w:rPr>
            </w:pPr>
            <w:r>
              <w:rPr>
                <w:rFonts w:ascii="宋体" w:hAnsi="宋体"/>
                <w:szCs w:val="21"/>
              </w:rPr>
              <w:t>序号</w:t>
            </w:r>
          </w:p>
        </w:tc>
        <w:tc>
          <w:tcPr>
            <w:tcW w:w="265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5D91F4DA">
            <w:pPr>
              <w:spacing w:line="360" w:lineRule="auto"/>
              <w:jc w:val="center"/>
              <w:rPr>
                <w:rFonts w:ascii="宋体" w:hAnsi="宋体"/>
                <w:szCs w:val="21"/>
              </w:rPr>
            </w:pPr>
            <w:r>
              <w:rPr>
                <w:rFonts w:ascii="宋体" w:hAnsi="宋体"/>
                <w:szCs w:val="21"/>
              </w:rPr>
              <w:t>直接管理关系单位名称</w:t>
            </w:r>
          </w:p>
        </w:tc>
        <w:tc>
          <w:tcPr>
            <w:tcW w:w="3924"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36B353F">
            <w:pPr>
              <w:spacing w:line="360" w:lineRule="auto"/>
              <w:jc w:val="center"/>
              <w:rPr>
                <w:rFonts w:ascii="宋体" w:hAnsi="宋体"/>
                <w:szCs w:val="21"/>
              </w:rPr>
            </w:pPr>
            <w:r>
              <w:rPr>
                <w:rFonts w:ascii="宋体" w:hAnsi="宋体"/>
                <w:szCs w:val="21"/>
              </w:rPr>
              <w:t>统一社会信用代码</w:t>
            </w:r>
          </w:p>
        </w:tc>
        <w:tc>
          <w:tcPr>
            <w:tcW w:w="2064"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2E69ADE">
            <w:pPr>
              <w:spacing w:line="360" w:lineRule="auto"/>
              <w:jc w:val="center"/>
              <w:rPr>
                <w:rFonts w:ascii="宋体" w:hAnsi="宋体"/>
                <w:szCs w:val="21"/>
              </w:rPr>
            </w:pPr>
            <w:r>
              <w:rPr>
                <w:rFonts w:ascii="宋体" w:hAnsi="宋体"/>
                <w:szCs w:val="21"/>
              </w:rPr>
              <w:t>备注</w:t>
            </w:r>
          </w:p>
        </w:tc>
      </w:tr>
      <w:tr w14:paraId="28639ADC">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75621D4">
            <w:pPr>
              <w:spacing w:line="360" w:lineRule="auto"/>
              <w:jc w:val="center"/>
              <w:rPr>
                <w:rFonts w:ascii="宋体" w:hAnsi="宋体"/>
                <w:szCs w:val="21"/>
              </w:rPr>
            </w:pPr>
            <w:r>
              <w:rPr>
                <w:rFonts w:ascii="宋体" w:hAnsi="宋体"/>
                <w:szCs w:val="21"/>
              </w:rPr>
              <w:t>1</w:t>
            </w:r>
          </w:p>
        </w:tc>
        <w:tc>
          <w:tcPr>
            <w:tcW w:w="265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E5CA631">
            <w:pPr>
              <w:spacing w:line="360" w:lineRule="auto"/>
              <w:jc w:val="center"/>
              <w:rPr>
                <w:rFonts w:ascii="宋体" w:hAnsi="宋体"/>
                <w:szCs w:val="21"/>
              </w:rPr>
            </w:pPr>
          </w:p>
        </w:tc>
        <w:tc>
          <w:tcPr>
            <w:tcW w:w="3924"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360A062">
            <w:pPr>
              <w:spacing w:line="360" w:lineRule="auto"/>
              <w:jc w:val="center"/>
              <w:rPr>
                <w:rFonts w:ascii="宋体" w:hAnsi="宋体"/>
                <w:szCs w:val="21"/>
              </w:rPr>
            </w:pPr>
          </w:p>
        </w:tc>
        <w:tc>
          <w:tcPr>
            <w:tcW w:w="2064"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CF5AFBB">
            <w:pPr>
              <w:spacing w:line="360" w:lineRule="auto"/>
              <w:jc w:val="center"/>
              <w:rPr>
                <w:rFonts w:ascii="宋体" w:hAnsi="宋体"/>
                <w:szCs w:val="21"/>
              </w:rPr>
            </w:pPr>
          </w:p>
        </w:tc>
      </w:tr>
      <w:tr w14:paraId="6D44FFF0">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038C291">
            <w:pPr>
              <w:spacing w:line="360" w:lineRule="auto"/>
              <w:jc w:val="center"/>
              <w:rPr>
                <w:rFonts w:ascii="宋体" w:hAnsi="宋体"/>
                <w:szCs w:val="21"/>
              </w:rPr>
            </w:pPr>
            <w:r>
              <w:rPr>
                <w:rFonts w:ascii="宋体" w:hAnsi="宋体"/>
                <w:szCs w:val="21"/>
              </w:rPr>
              <w:t>2</w:t>
            </w:r>
          </w:p>
        </w:tc>
        <w:tc>
          <w:tcPr>
            <w:tcW w:w="265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C8CE394">
            <w:pPr>
              <w:spacing w:line="360" w:lineRule="auto"/>
              <w:jc w:val="center"/>
              <w:rPr>
                <w:rFonts w:ascii="宋体" w:hAnsi="宋体"/>
                <w:szCs w:val="21"/>
              </w:rPr>
            </w:pPr>
          </w:p>
        </w:tc>
        <w:tc>
          <w:tcPr>
            <w:tcW w:w="3924"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40399BA">
            <w:pPr>
              <w:spacing w:line="360" w:lineRule="auto"/>
              <w:jc w:val="center"/>
              <w:rPr>
                <w:rFonts w:ascii="宋体" w:hAnsi="宋体"/>
                <w:szCs w:val="21"/>
              </w:rPr>
            </w:pPr>
          </w:p>
        </w:tc>
        <w:tc>
          <w:tcPr>
            <w:tcW w:w="2064"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92D633D">
            <w:pPr>
              <w:spacing w:line="360" w:lineRule="auto"/>
              <w:jc w:val="center"/>
              <w:rPr>
                <w:rFonts w:ascii="宋体" w:hAnsi="宋体"/>
                <w:szCs w:val="21"/>
              </w:rPr>
            </w:pPr>
          </w:p>
        </w:tc>
      </w:tr>
      <w:tr w14:paraId="7A70EE57">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B1B7FCB">
            <w:pPr>
              <w:spacing w:line="360" w:lineRule="auto"/>
              <w:jc w:val="center"/>
              <w:rPr>
                <w:rFonts w:ascii="宋体" w:hAnsi="宋体"/>
                <w:szCs w:val="21"/>
              </w:rPr>
            </w:pPr>
            <w:r>
              <w:rPr>
                <w:rFonts w:ascii="宋体" w:hAnsi="宋体"/>
                <w:szCs w:val="21"/>
              </w:rPr>
              <w:t>3</w:t>
            </w:r>
          </w:p>
        </w:tc>
        <w:tc>
          <w:tcPr>
            <w:tcW w:w="265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9024DE9">
            <w:pPr>
              <w:spacing w:line="360" w:lineRule="auto"/>
              <w:jc w:val="center"/>
              <w:rPr>
                <w:rFonts w:ascii="宋体" w:hAnsi="宋体"/>
                <w:szCs w:val="21"/>
              </w:rPr>
            </w:pPr>
          </w:p>
        </w:tc>
        <w:tc>
          <w:tcPr>
            <w:tcW w:w="3924"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873C235">
            <w:pPr>
              <w:spacing w:line="360" w:lineRule="auto"/>
              <w:jc w:val="center"/>
              <w:rPr>
                <w:rFonts w:ascii="宋体" w:hAnsi="宋体"/>
                <w:szCs w:val="21"/>
              </w:rPr>
            </w:pPr>
          </w:p>
        </w:tc>
        <w:tc>
          <w:tcPr>
            <w:tcW w:w="2064"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BEE2791">
            <w:pPr>
              <w:spacing w:line="360" w:lineRule="auto"/>
              <w:jc w:val="center"/>
              <w:rPr>
                <w:rFonts w:ascii="宋体" w:hAnsi="宋体"/>
                <w:szCs w:val="21"/>
              </w:rPr>
            </w:pPr>
          </w:p>
        </w:tc>
      </w:tr>
      <w:tr w14:paraId="790FDAEF">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59748BCC">
            <w:pPr>
              <w:spacing w:line="360" w:lineRule="auto"/>
              <w:jc w:val="center"/>
              <w:rPr>
                <w:rFonts w:ascii="宋体" w:hAnsi="宋体"/>
                <w:szCs w:val="21"/>
              </w:rPr>
            </w:pPr>
            <w:r>
              <w:rPr>
                <w:rFonts w:ascii="宋体" w:hAnsi="宋体"/>
                <w:szCs w:val="21"/>
              </w:rPr>
              <w:t>……</w:t>
            </w:r>
          </w:p>
        </w:tc>
        <w:tc>
          <w:tcPr>
            <w:tcW w:w="265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723E540">
            <w:pPr>
              <w:spacing w:line="360" w:lineRule="auto"/>
              <w:jc w:val="center"/>
              <w:rPr>
                <w:rFonts w:ascii="宋体" w:hAnsi="宋体"/>
                <w:szCs w:val="21"/>
              </w:rPr>
            </w:pPr>
          </w:p>
        </w:tc>
        <w:tc>
          <w:tcPr>
            <w:tcW w:w="3924"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71EC7C7">
            <w:pPr>
              <w:spacing w:line="360" w:lineRule="auto"/>
              <w:jc w:val="center"/>
              <w:rPr>
                <w:rFonts w:ascii="宋体" w:hAnsi="宋体"/>
                <w:szCs w:val="21"/>
              </w:rPr>
            </w:pPr>
          </w:p>
        </w:tc>
        <w:tc>
          <w:tcPr>
            <w:tcW w:w="2064"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2E2FCFA">
            <w:pPr>
              <w:spacing w:line="360" w:lineRule="auto"/>
              <w:jc w:val="center"/>
              <w:rPr>
                <w:rFonts w:ascii="宋体" w:hAnsi="宋体"/>
                <w:szCs w:val="21"/>
              </w:rPr>
            </w:pPr>
          </w:p>
        </w:tc>
      </w:tr>
    </w:tbl>
    <w:p w14:paraId="704EF40A">
      <w:pPr>
        <w:snapToGrid w:val="0"/>
        <w:spacing w:line="360" w:lineRule="auto"/>
        <w:jc w:val="left"/>
        <w:rPr>
          <w:rFonts w:ascii="宋体" w:hAnsi="宋体"/>
          <w:szCs w:val="21"/>
        </w:rPr>
      </w:pPr>
      <w:r>
        <w:rPr>
          <w:rFonts w:ascii="宋体" w:hAnsi="宋体"/>
          <w:szCs w:val="21"/>
        </w:rPr>
        <w:t>注：</w:t>
      </w:r>
    </w:p>
    <w:p w14:paraId="1FF50F28">
      <w:pPr>
        <w:snapToGrid w:val="0"/>
        <w:spacing w:line="360" w:lineRule="auto"/>
        <w:ind w:firstLine="420" w:firstLineChars="200"/>
        <w:jc w:val="left"/>
        <w:rPr>
          <w:rFonts w:ascii="宋体" w:hAnsi="宋体"/>
          <w:szCs w:val="21"/>
        </w:rPr>
      </w:pPr>
      <w:r>
        <w:rPr>
          <w:rFonts w:ascii="宋体" w:hAnsi="宋体"/>
          <w:szCs w:val="21"/>
        </w:rPr>
        <w:t>1.管理关系：是指不具有出资持股关系的其他单位之间存在的管理与被管理关系，如一些上下级关系的事业单位和团体组织。</w:t>
      </w:r>
    </w:p>
    <w:p w14:paraId="17533E30">
      <w:pPr>
        <w:snapToGrid w:val="0"/>
        <w:spacing w:line="360" w:lineRule="auto"/>
        <w:ind w:firstLine="420" w:firstLineChars="200"/>
        <w:jc w:val="left"/>
        <w:rPr>
          <w:rFonts w:ascii="宋体" w:hAnsi="宋体"/>
          <w:szCs w:val="21"/>
        </w:rPr>
      </w:pPr>
      <w:r>
        <w:rPr>
          <w:rFonts w:ascii="宋体" w:hAnsi="宋体"/>
          <w:szCs w:val="21"/>
        </w:rPr>
        <w:t>2.本表所指的管理关系仅限于直接管理关系，不包括间接的管理关系。</w:t>
      </w:r>
    </w:p>
    <w:p w14:paraId="6F8563F1">
      <w:pPr>
        <w:snapToGrid w:val="0"/>
        <w:spacing w:line="360" w:lineRule="auto"/>
        <w:ind w:firstLine="420" w:firstLineChars="200"/>
        <w:jc w:val="left"/>
        <w:rPr>
          <w:rFonts w:ascii="宋体" w:hAnsi="宋体"/>
          <w:szCs w:val="21"/>
        </w:rPr>
      </w:pPr>
      <w:r>
        <w:rPr>
          <w:rFonts w:ascii="宋体" w:hAnsi="宋体"/>
          <w:szCs w:val="21"/>
        </w:rPr>
        <w:t>3.供应商不存在直接管理关系的，则填“无”。</w:t>
      </w:r>
    </w:p>
    <w:p w14:paraId="6B5810B4">
      <w:pPr>
        <w:snapToGrid w:val="0"/>
        <w:spacing w:line="360" w:lineRule="auto"/>
        <w:jc w:val="left"/>
        <w:rPr>
          <w:rFonts w:ascii="宋体" w:hAnsi="宋体"/>
          <w:szCs w:val="21"/>
        </w:rPr>
      </w:pPr>
    </w:p>
    <w:p w14:paraId="2C85C8D8">
      <w:pPr>
        <w:snapToGrid w:val="0"/>
        <w:spacing w:line="360" w:lineRule="auto"/>
        <w:jc w:val="left"/>
        <w:rPr>
          <w:rFonts w:ascii="宋体" w:hAnsi="宋体"/>
          <w:szCs w:val="21"/>
        </w:rPr>
      </w:pPr>
    </w:p>
    <w:p w14:paraId="2376DF43">
      <w:pPr>
        <w:snapToGrid w:val="0"/>
        <w:spacing w:line="360" w:lineRule="auto"/>
        <w:jc w:val="left"/>
        <w:rPr>
          <w:rFonts w:ascii="宋体" w:hAnsi="宋体"/>
          <w:szCs w:val="21"/>
        </w:rPr>
      </w:pPr>
    </w:p>
    <w:p w14:paraId="225FCA2F">
      <w:pPr>
        <w:snapToGrid w:val="0"/>
        <w:spacing w:line="360" w:lineRule="auto"/>
        <w:jc w:val="left"/>
        <w:rPr>
          <w:rFonts w:ascii="宋体" w:hAnsi="宋体"/>
          <w:szCs w:val="21"/>
        </w:rPr>
      </w:pPr>
    </w:p>
    <w:p w14:paraId="4FDC336E">
      <w:pPr>
        <w:snapToGrid w:val="0"/>
        <w:spacing w:line="360" w:lineRule="auto"/>
        <w:jc w:val="left"/>
        <w:rPr>
          <w:rFonts w:ascii="宋体" w:hAnsi="宋体"/>
          <w:szCs w:val="21"/>
        </w:rPr>
      </w:pPr>
    </w:p>
    <w:p w14:paraId="4DADF24E">
      <w:pPr>
        <w:snapToGrid w:val="0"/>
        <w:spacing w:line="360" w:lineRule="auto"/>
        <w:jc w:val="left"/>
        <w:rPr>
          <w:rFonts w:ascii="宋体" w:hAnsi="宋体"/>
          <w:szCs w:val="21"/>
        </w:rPr>
      </w:pPr>
    </w:p>
    <w:p w14:paraId="25357108">
      <w:pPr>
        <w:snapToGrid w:val="0"/>
        <w:spacing w:line="360" w:lineRule="auto"/>
        <w:jc w:val="left"/>
        <w:rPr>
          <w:rFonts w:ascii="宋体" w:hAnsi="宋体"/>
          <w:szCs w:val="21"/>
        </w:rPr>
      </w:pPr>
    </w:p>
    <w:p w14:paraId="0E3DF974">
      <w:pPr>
        <w:snapToGrid w:val="0"/>
        <w:spacing w:line="360" w:lineRule="auto"/>
        <w:jc w:val="left"/>
        <w:rPr>
          <w:rFonts w:ascii="宋体" w:hAnsi="宋体"/>
          <w:szCs w:val="21"/>
        </w:rPr>
      </w:pPr>
    </w:p>
    <w:p w14:paraId="7A979DCB">
      <w:pPr>
        <w:snapToGrid w:val="0"/>
        <w:spacing w:line="360" w:lineRule="auto"/>
        <w:ind w:firstLine="4410" w:firstLineChars="2100"/>
        <w:rPr>
          <w:rFonts w:ascii="宋体" w:hAnsi="宋体"/>
          <w:szCs w:val="21"/>
        </w:rPr>
      </w:pPr>
      <w:r>
        <w:rPr>
          <w:rFonts w:ascii="宋体" w:hAnsi="宋体"/>
          <w:szCs w:val="21"/>
        </w:rPr>
        <w:t>供应商名称(电子签章)：</w:t>
      </w:r>
    </w:p>
    <w:p w14:paraId="258D7FF7">
      <w:pPr>
        <w:snapToGrid w:val="0"/>
        <w:spacing w:line="360" w:lineRule="auto"/>
        <w:ind w:firstLine="4515" w:firstLineChars="2150"/>
        <w:rPr>
          <w:rFonts w:ascii="宋体" w:hAnsi="宋体"/>
          <w:szCs w:val="21"/>
        </w:rPr>
      </w:pPr>
      <w:r>
        <w:rPr>
          <w:rFonts w:ascii="宋体" w:hAnsi="宋体"/>
          <w:szCs w:val="21"/>
        </w:rPr>
        <w:t>日期：  年  月   日</w:t>
      </w:r>
    </w:p>
    <w:p w14:paraId="4072ED17">
      <w:pPr>
        <w:pStyle w:val="26"/>
        <w:tabs>
          <w:tab w:val="left" w:pos="2127"/>
        </w:tabs>
        <w:spacing w:line="340" w:lineRule="exact"/>
        <w:rPr>
          <w:rFonts w:hAnsi="宋体" w:cs="Times New Roman"/>
        </w:rPr>
      </w:pPr>
    </w:p>
    <w:p w14:paraId="13FE5457">
      <w:pPr>
        <w:pStyle w:val="7"/>
        <w:overflowPunct w:val="0"/>
        <w:ind w:firstLine="0"/>
        <w:jc w:val="left"/>
        <w:rPr>
          <w:rFonts w:ascii="宋体" w:hAnsi="宋体"/>
          <w:szCs w:val="21"/>
        </w:rPr>
      </w:pPr>
      <w:r>
        <w:rPr>
          <w:rFonts w:ascii="宋体" w:hAnsi="宋体"/>
        </w:rPr>
        <w:br w:type="page"/>
      </w:r>
      <w:r>
        <w:rPr>
          <w:rFonts w:ascii="宋体" w:hAnsi="宋体"/>
          <w:szCs w:val="21"/>
        </w:rPr>
        <w:t>8.联合体协议书</w:t>
      </w:r>
    </w:p>
    <w:p w14:paraId="1EF63DF0">
      <w:pPr>
        <w:pStyle w:val="7"/>
        <w:overflowPunct w:val="0"/>
        <w:ind w:firstLine="0"/>
        <w:jc w:val="center"/>
        <w:rPr>
          <w:rFonts w:ascii="宋体" w:hAnsi="宋体"/>
          <w:b/>
          <w:bCs/>
          <w:sz w:val="32"/>
          <w:szCs w:val="32"/>
        </w:rPr>
      </w:pPr>
      <w:r>
        <w:rPr>
          <w:rFonts w:ascii="宋体" w:hAnsi="宋体"/>
          <w:b/>
          <w:bCs/>
          <w:sz w:val="32"/>
          <w:szCs w:val="32"/>
        </w:rPr>
        <w:t>联合体协议书</w:t>
      </w:r>
    </w:p>
    <w:p w14:paraId="67B2D9BB">
      <w:pPr>
        <w:pStyle w:val="7"/>
        <w:overflowPunct w:val="0"/>
        <w:ind w:firstLine="0"/>
        <w:jc w:val="center"/>
        <w:rPr>
          <w:rFonts w:ascii="宋体" w:hAnsi="宋体"/>
          <w:szCs w:val="21"/>
        </w:rPr>
      </w:pPr>
    </w:p>
    <w:p w14:paraId="5357C7F4">
      <w:pPr>
        <w:pStyle w:val="7"/>
        <w:overflowPunct w:val="0"/>
        <w:ind w:firstLine="0"/>
        <w:rPr>
          <w:rFonts w:ascii="宋体" w:hAnsi="宋体"/>
          <w:sz w:val="24"/>
        </w:rPr>
      </w:pPr>
    </w:p>
    <w:p w14:paraId="699EC07E">
      <w:pPr>
        <w:pStyle w:val="7"/>
        <w:overflowPunct w:val="0"/>
        <w:ind w:firstLine="0"/>
        <w:rPr>
          <w:rFonts w:ascii="宋体" w:hAnsi="宋体"/>
          <w:sz w:val="24"/>
          <w:u w:val="single"/>
        </w:rPr>
      </w:pPr>
    </w:p>
    <w:p w14:paraId="0A4B8E59">
      <w:pPr>
        <w:pStyle w:val="7"/>
        <w:overflowPunct w:val="0"/>
        <w:rPr>
          <w:rFonts w:ascii="宋体" w:hAnsi="宋体"/>
          <w:szCs w:val="21"/>
        </w:rPr>
      </w:pPr>
      <w:r>
        <w:rPr>
          <w:rFonts w:ascii="宋体" w:hAnsi="宋体"/>
          <w:szCs w:val="21"/>
          <w:u w:val="single"/>
        </w:rPr>
        <w:t xml:space="preserve"> </w:t>
      </w:r>
      <w:r>
        <w:rPr>
          <w:rFonts w:ascii="宋体" w:hAnsi="宋体"/>
          <w:szCs w:val="21"/>
          <w:u w:val="single"/>
        </w:rPr>
        <w:tab/>
      </w:r>
      <w:r>
        <w:rPr>
          <w:rFonts w:ascii="宋体" w:hAnsi="宋体"/>
          <w:szCs w:val="21"/>
          <w:u w:val="single"/>
        </w:rPr>
        <w:t>（所有成员单位名称）</w:t>
      </w:r>
      <w:r>
        <w:rPr>
          <w:rFonts w:ascii="宋体" w:hAnsi="宋体"/>
          <w:szCs w:val="21"/>
        </w:rPr>
        <w:t xml:space="preserve">自愿组成 </w:t>
      </w:r>
      <w:r>
        <w:rPr>
          <w:rFonts w:ascii="宋体" w:hAnsi="宋体"/>
          <w:szCs w:val="21"/>
          <w:u w:val="single"/>
        </w:rPr>
        <w:t xml:space="preserve">       （联合体名称）</w:t>
      </w:r>
      <w:r>
        <w:rPr>
          <w:rFonts w:ascii="宋体" w:hAnsi="宋体"/>
          <w:szCs w:val="21"/>
        </w:rPr>
        <w:t xml:space="preserve">联合体，共同参加 </w:t>
      </w:r>
      <w:r>
        <w:rPr>
          <w:rFonts w:ascii="宋体" w:hAnsi="宋体"/>
          <w:szCs w:val="21"/>
          <w:u w:val="single"/>
        </w:rPr>
        <w:tab/>
      </w:r>
      <w:r>
        <w:rPr>
          <w:rFonts w:ascii="宋体" w:hAnsi="宋体"/>
          <w:szCs w:val="21"/>
          <w:u w:val="single"/>
        </w:rPr>
        <w:t>（项目名称）</w:t>
      </w:r>
      <w:r>
        <w:rPr>
          <w:rFonts w:ascii="宋体" w:hAnsi="宋体"/>
          <w:szCs w:val="21"/>
        </w:rPr>
        <w:t>采购招标项目响应。现就联合体响应事宜订立如下协议。</w:t>
      </w:r>
    </w:p>
    <w:p w14:paraId="0FA0A761">
      <w:pPr>
        <w:pStyle w:val="7"/>
        <w:overflowPunct w:val="0"/>
        <w:rPr>
          <w:rFonts w:ascii="宋体" w:hAnsi="宋体"/>
          <w:szCs w:val="21"/>
        </w:rPr>
      </w:pPr>
    </w:p>
    <w:p w14:paraId="2141ECD0">
      <w:pPr>
        <w:pStyle w:val="7"/>
        <w:overflowPunct w:val="0"/>
        <w:ind w:firstLine="367" w:firstLineChars="175"/>
        <w:rPr>
          <w:rFonts w:ascii="宋体" w:hAnsi="宋体"/>
          <w:szCs w:val="21"/>
        </w:rPr>
      </w:pPr>
      <w:r>
        <w:rPr>
          <w:rFonts w:ascii="宋体" w:hAnsi="宋体"/>
          <w:szCs w:val="21"/>
        </w:rPr>
        <w:t xml:space="preserve">1. </w:t>
      </w:r>
      <w:r>
        <w:rPr>
          <w:rFonts w:ascii="宋体" w:hAnsi="宋体"/>
          <w:szCs w:val="21"/>
          <w:u w:val="single"/>
        </w:rPr>
        <w:t xml:space="preserve">  </w:t>
      </w:r>
      <w:r>
        <w:rPr>
          <w:rFonts w:ascii="宋体" w:hAnsi="宋体"/>
          <w:szCs w:val="21"/>
          <w:u w:val="single"/>
        </w:rPr>
        <w:tab/>
      </w:r>
      <w:r>
        <w:rPr>
          <w:rFonts w:ascii="宋体" w:hAnsi="宋体"/>
          <w:szCs w:val="21"/>
          <w:u w:val="single"/>
        </w:rPr>
        <w:t>（某成员单位名称）</w:t>
      </w:r>
      <w:r>
        <w:rPr>
          <w:rFonts w:ascii="宋体" w:hAnsi="宋体"/>
          <w:szCs w:val="21"/>
        </w:rPr>
        <w:t>为</w:t>
      </w:r>
      <w:r>
        <w:rPr>
          <w:rFonts w:ascii="宋体" w:hAnsi="宋体"/>
          <w:szCs w:val="21"/>
          <w:u w:val="single"/>
        </w:rPr>
        <w:t xml:space="preserve"> </w:t>
      </w:r>
      <w:r>
        <w:rPr>
          <w:rFonts w:ascii="宋体" w:hAnsi="宋体"/>
          <w:szCs w:val="21"/>
          <w:u w:val="single"/>
        </w:rPr>
        <w:tab/>
      </w:r>
      <w:r>
        <w:rPr>
          <w:rFonts w:ascii="宋体" w:hAnsi="宋体"/>
          <w:szCs w:val="21"/>
          <w:u w:val="single"/>
        </w:rPr>
        <w:t>（联合体名称）</w:t>
      </w:r>
      <w:r>
        <w:rPr>
          <w:rFonts w:ascii="宋体" w:hAnsi="宋体"/>
          <w:szCs w:val="21"/>
        </w:rPr>
        <w:t>牵头人。</w:t>
      </w:r>
    </w:p>
    <w:p w14:paraId="7926A05B">
      <w:pPr>
        <w:pStyle w:val="7"/>
        <w:overflowPunct w:val="0"/>
        <w:ind w:firstLine="367" w:firstLineChars="175"/>
        <w:rPr>
          <w:rFonts w:ascii="宋体" w:hAnsi="宋体"/>
          <w:szCs w:val="21"/>
        </w:rPr>
      </w:pPr>
      <w:r>
        <w:rPr>
          <w:rFonts w:ascii="宋体" w:hAnsi="宋体"/>
          <w:szCs w:val="21"/>
        </w:rPr>
        <w:t>2.联合体各成员授权牵头人代表联合体参加响应活动，签署文件及对文件的盖章，提交和接收相关的资料、信息及指示，进行合同谈判活动，负责合同实施阶段的组织和协调工作，以及处理与本招标项 目有关的一切事宜。</w:t>
      </w:r>
    </w:p>
    <w:p w14:paraId="59E2B71F">
      <w:pPr>
        <w:pStyle w:val="7"/>
        <w:overflowPunct w:val="0"/>
        <w:ind w:firstLine="367" w:firstLineChars="175"/>
        <w:rPr>
          <w:rFonts w:ascii="宋体" w:hAnsi="宋体"/>
          <w:szCs w:val="21"/>
        </w:rPr>
      </w:pPr>
      <w:r>
        <w:rPr>
          <w:rFonts w:ascii="宋体" w:hAnsi="宋体"/>
          <w:szCs w:val="21"/>
        </w:rPr>
        <w:t>3.联合体牵头人在本项目中签署和盖章的一切文件和处理的一切事宜，联合体各成员均予以承认。联合体各成员将严格按照采购文件、响应文件和合同的要求全面履行义务，并向采购人承担连带责任。</w:t>
      </w:r>
    </w:p>
    <w:p w14:paraId="69980809">
      <w:pPr>
        <w:pStyle w:val="7"/>
        <w:overflowPunct w:val="0"/>
        <w:ind w:firstLine="367" w:firstLineChars="175"/>
        <w:rPr>
          <w:rFonts w:ascii="宋体" w:hAnsi="宋体"/>
          <w:szCs w:val="21"/>
        </w:rPr>
      </w:pPr>
      <w:r>
        <w:rPr>
          <w:rFonts w:ascii="宋体" w:hAnsi="宋体"/>
          <w:szCs w:val="21"/>
        </w:rPr>
        <w:t xml:space="preserve">4.联合体各成员单位内部的职责分工如下： </w:t>
      </w:r>
      <w:r>
        <w:rPr>
          <w:rFonts w:ascii="宋体" w:hAnsi="宋体"/>
          <w:szCs w:val="21"/>
        </w:rPr>
        <w:tab/>
      </w:r>
      <w:r>
        <w:rPr>
          <w:rFonts w:ascii="宋体" w:hAnsi="宋体"/>
          <w:szCs w:val="21"/>
        </w:rPr>
        <w:t>。</w:t>
      </w:r>
    </w:p>
    <w:p w14:paraId="08793111">
      <w:pPr>
        <w:pStyle w:val="7"/>
        <w:overflowPunct w:val="0"/>
        <w:ind w:firstLine="367" w:firstLineChars="175"/>
        <w:rPr>
          <w:rFonts w:ascii="宋体" w:hAnsi="宋体"/>
        </w:rPr>
      </w:pPr>
      <w:r>
        <w:rPr>
          <w:rFonts w:ascii="宋体" w:hAnsi="宋体"/>
          <w:szCs w:val="21"/>
        </w:rPr>
        <w:t>5.本联合体中，联合体各方</w:t>
      </w:r>
      <w:r>
        <w:rPr>
          <w:rFonts w:ascii="宋体" w:hAnsi="宋体"/>
          <w:szCs w:val="21"/>
          <w:u w:val="single"/>
        </w:rPr>
        <w:t>为中型企业或小型企业或微型企业合计</w:t>
      </w:r>
      <w:r>
        <w:rPr>
          <w:rFonts w:ascii="宋体" w:hAnsi="宋体"/>
          <w:szCs w:val="21"/>
        </w:rPr>
        <w:t>金额占合同总金额的</w:t>
      </w:r>
      <w:r>
        <w:rPr>
          <w:rFonts w:ascii="宋体" w:hAnsi="宋体"/>
          <w:szCs w:val="21"/>
          <w:u w:val="single"/>
        </w:rPr>
        <w:t xml:space="preserve">               %</w:t>
      </w:r>
      <w:r>
        <w:rPr>
          <w:rFonts w:ascii="宋体" w:hAnsi="宋体"/>
          <w:szCs w:val="21"/>
        </w:rPr>
        <w:t>；联合体各方</w:t>
      </w:r>
      <w:r>
        <w:rPr>
          <w:rFonts w:ascii="宋体" w:hAnsi="宋体"/>
          <w:szCs w:val="21"/>
          <w:u w:val="single"/>
        </w:rPr>
        <w:t>为小型企业或微型企业合计</w:t>
      </w:r>
      <w:r>
        <w:rPr>
          <w:rFonts w:ascii="宋体" w:hAnsi="宋体"/>
          <w:szCs w:val="21"/>
        </w:rPr>
        <w:t>金额占合同总金额的</w:t>
      </w:r>
      <w:r>
        <w:rPr>
          <w:rFonts w:ascii="宋体" w:hAnsi="宋体"/>
          <w:szCs w:val="21"/>
          <w:u w:val="single"/>
        </w:rPr>
        <w:t xml:space="preserve">               %。</w:t>
      </w:r>
    </w:p>
    <w:p w14:paraId="2C5C0CF4">
      <w:pPr>
        <w:pStyle w:val="7"/>
        <w:overflowPunct w:val="0"/>
        <w:ind w:firstLine="367" w:firstLineChars="175"/>
        <w:rPr>
          <w:rFonts w:ascii="宋体" w:hAnsi="宋体"/>
          <w:szCs w:val="21"/>
        </w:rPr>
      </w:pPr>
      <w:r>
        <w:rPr>
          <w:rFonts w:ascii="宋体" w:hAnsi="宋体"/>
          <w:szCs w:val="21"/>
        </w:rPr>
        <w:t>6.本协议书自所有成员单位法定代表人或者其委托代理人签字或者盖公章之日起生效，合同履行完毕后自动失效。</w:t>
      </w:r>
    </w:p>
    <w:p w14:paraId="6269B3D2">
      <w:pPr>
        <w:pStyle w:val="7"/>
        <w:overflowPunct w:val="0"/>
        <w:ind w:firstLine="367" w:firstLineChars="175"/>
        <w:rPr>
          <w:rFonts w:ascii="宋体" w:hAnsi="宋体"/>
          <w:szCs w:val="21"/>
        </w:rPr>
      </w:pPr>
      <w:r>
        <w:rPr>
          <w:rFonts w:ascii="宋体" w:hAnsi="宋体"/>
          <w:szCs w:val="21"/>
        </w:rPr>
        <w:t>7.本协议书一式</w:t>
      </w:r>
      <w:r>
        <w:rPr>
          <w:rFonts w:ascii="宋体" w:hAnsi="宋体"/>
          <w:szCs w:val="21"/>
          <w:u w:val="single"/>
        </w:rPr>
        <w:t xml:space="preserve"> </w:t>
      </w:r>
      <w:r>
        <w:rPr>
          <w:rFonts w:ascii="宋体" w:hAnsi="宋体"/>
          <w:szCs w:val="21"/>
          <w:u w:val="single"/>
        </w:rPr>
        <w:tab/>
      </w:r>
      <w:r>
        <w:rPr>
          <w:rFonts w:ascii="宋体" w:hAnsi="宋体"/>
          <w:szCs w:val="21"/>
          <w:u w:val="single"/>
        </w:rPr>
        <w:t>份</w:t>
      </w:r>
      <w:r>
        <w:rPr>
          <w:rFonts w:ascii="宋体" w:hAnsi="宋体"/>
          <w:szCs w:val="21"/>
        </w:rPr>
        <w:t>，联合体成员和采购人各执一份。</w:t>
      </w:r>
    </w:p>
    <w:p w14:paraId="0C246E90">
      <w:pPr>
        <w:pStyle w:val="7"/>
        <w:overflowPunct w:val="0"/>
        <w:ind w:firstLine="0"/>
        <w:rPr>
          <w:rFonts w:ascii="宋体" w:hAnsi="宋体"/>
          <w:szCs w:val="21"/>
        </w:rPr>
      </w:pPr>
    </w:p>
    <w:p w14:paraId="6CB233AC">
      <w:pPr>
        <w:pStyle w:val="7"/>
        <w:overflowPunct w:val="0"/>
        <w:ind w:firstLine="367" w:firstLineChars="175"/>
        <w:rPr>
          <w:rFonts w:ascii="宋体" w:hAnsi="宋体"/>
          <w:szCs w:val="21"/>
        </w:rPr>
      </w:pPr>
      <w:r>
        <w:rPr>
          <w:rFonts w:ascii="宋体" w:hAnsi="宋体"/>
          <w:szCs w:val="21"/>
        </w:rPr>
        <w:t>注：本协议书由法定代表人签字的，应附法定代表人身份</w:t>
      </w:r>
    </w:p>
    <w:p w14:paraId="0B753184">
      <w:pPr>
        <w:pStyle w:val="7"/>
        <w:overflowPunct w:val="0"/>
        <w:ind w:firstLine="367" w:firstLineChars="175"/>
        <w:rPr>
          <w:rFonts w:ascii="宋体" w:hAnsi="宋体"/>
          <w:szCs w:val="21"/>
        </w:rPr>
      </w:pPr>
      <w:r>
        <w:rPr>
          <w:rFonts w:ascii="宋体" w:hAnsi="宋体"/>
          <w:szCs w:val="21"/>
        </w:rPr>
        <w:t>证明；由委托代理人签字的，应附授权委托书。</w:t>
      </w:r>
    </w:p>
    <w:p w14:paraId="29F95B50">
      <w:pPr>
        <w:pStyle w:val="7"/>
        <w:overflowPunct w:val="0"/>
        <w:ind w:firstLine="367" w:firstLineChars="175"/>
        <w:rPr>
          <w:rFonts w:ascii="宋体" w:hAnsi="宋体"/>
          <w:szCs w:val="21"/>
        </w:rPr>
      </w:pPr>
    </w:p>
    <w:p w14:paraId="5E30D50B">
      <w:pPr>
        <w:pStyle w:val="7"/>
        <w:overflowPunct w:val="0"/>
        <w:ind w:firstLine="367" w:firstLineChars="175"/>
        <w:rPr>
          <w:rFonts w:ascii="宋体" w:hAnsi="宋体"/>
          <w:szCs w:val="21"/>
        </w:rPr>
      </w:pPr>
      <w:r>
        <w:rPr>
          <w:rFonts w:ascii="宋体" w:hAnsi="宋体"/>
          <w:szCs w:val="21"/>
        </w:rPr>
        <w:t>联合体牵头人名称（盖公章或电子签章）：</w:t>
      </w:r>
    </w:p>
    <w:p w14:paraId="1269DDB1">
      <w:pPr>
        <w:pStyle w:val="7"/>
        <w:overflowPunct w:val="0"/>
        <w:ind w:firstLine="367" w:firstLineChars="175"/>
        <w:rPr>
          <w:rFonts w:ascii="宋体" w:hAnsi="宋体"/>
          <w:szCs w:val="21"/>
        </w:rPr>
      </w:pPr>
    </w:p>
    <w:p w14:paraId="026A88DA">
      <w:pPr>
        <w:pStyle w:val="7"/>
        <w:overflowPunct w:val="0"/>
        <w:ind w:firstLine="367" w:firstLineChars="175"/>
        <w:rPr>
          <w:rFonts w:ascii="宋体" w:hAnsi="宋体"/>
          <w:szCs w:val="21"/>
        </w:rPr>
      </w:pPr>
      <w:r>
        <w:rPr>
          <w:rFonts w:ascii="宋体" w:hAnsi="宋体"/>
          <w:szCs w:val="21"/>
        </w:rPr>
        <w:t xml:space="preserve">法定代表人或者其委托代理人： </w:t>
      </w:r>
      <w:r>
        <w:rPr>
          <w:rFonts w:ascii="宋体" w:hAnsi="宋体"/>
          <w:szCs w:val="21"/>
        </w:rPr>
        <w:tab/>
      </w:r>
      <w:r>
        <w:rPr>
          <w:rFonts w:ascii="宋体" w:hAnsi="宋体"/>
          <w:szCs w:val="21"/>
        </w:rPr>
        <w:t>（签字或签章）</w:t>
      </w:r>
    </w:p>
    <w:p w14:paraId="4C10B37D">
      <w:pPr>
        <w:pStyle w:val="7"/>
        <w:overflowPunct w:val="0"/>
        <w:ind w:firstLine="367" w:firstLineChars="175"/>
        <w:rPr>
          <w:rFonts w:ascii="宋体" w:hAnsi="宋体"/>
          <w:szCs w:val="21"/>
        </w:rPr>
      </w:pPr>
    </w:p>
    <w:p w14:paraId="37C2A744">
      <w:pPr>
        <w:pStyle w:val="7"/>
        <w:overflowPunct w:val="0"/>
        <w:ind w:firstLine="367" w:firstLineChars="175"/>
        <w:rPr>
          <w:rFonts w:ascii="宋体" w:hAnsi="宋体"/>
          <w:szCs w:val="21"/>
        </w:rPr>
      </w:pPr>
      <w:r>
        <w:rPr>
          <w:rFonts w:ascii="宋体" w:hAnsi="宋体"/>
          <w:szCs w:val="21"/>
        </w:rPr>
        <w:t>联合体成员名称（盖公章或电子签章）：</w:t>
      </w:r>
    </w:p>
    <w:p w14:paraId="4197B8EA">
      <w:pPr>
        <w:pStyle w:val="7"/>
        <w:overflowPunct w:val="0"/>
        <w:ind w:firstLine="367" w:firstLineChars="175"/>
        <w:rPr>
          <w:rFonts w:ascii="宋体" w:hAnsi="宋体"/>
          <w:szCs w:val="21"/>
        </w:rPr>
      </w:pPr>
    </w:p>
    <w:p w14:paraId="749DC158">
      <w:pPr>
        <w:pStyle w:val="7"/>
        <w:overflowPunct w:val="0"/>
        <w:ind w:firstLine="367" w:firstLineChars="175"/>
        <w:rPr>
          <w:rFonts w:ascii="宋体" w:hAnsi="宋体"/>
          <w:szCs w:val="21"/>
        </w:rPr>
      </w:pPr>
      <w:r>
        <w:rPr>
          <w:rFonts w:ascii="宋体" w:hAnsi="宋体"/>
          <w:szCs w:val="21"/>
        </w:rPr>
        <w:t xml:space="preserve">法定代表人或者其委托代理人： </w:t>
      </w:r>
      <w:r>
        <w:rPr>
          <w:rFonts w:ascii="宋体" w:hAnsi="宋体"/>
          <w:szCs w:val="21"/>
        </w:rPr>
        <w:tab/>
      </w:r>
      <w:r>
        <w:rPr>
          <w:rFonts w:ascii="宋体" w:hAnsi="宋体"/>
          <w:szCs w:val="21"/>
        </w:rPr>
        <w:t>（签字或签章）</w:t>
      </w:r>
    </w:p>
    <w:p w14:paraId="630F5317">
      <w:pPr>
        <w:pStyle w:val="7"/>
        <w:overflowPunct w:val="0"/>
        <w:ind w:firstLine="367" w:firstLineChars="175"/>
        <w:rPr>
          <w:rFonts w:ascii="宋体" w:hAnsi="宋体"/>
          <w:szCs w:val="21"/>
        </w:rPr>
      </w:pPr>
    </w:p>
    <w:p w14:paraId="5DF37896">
      <w:pPr>
        <w:pStyle w:val="7"/>
        <w:overflowPunct w:val="0"/>
        <w:ind w:firstLine="367" w:firstLineChars="175"/>
        <w:rPr>
          <w:rFonts w:ascii="宋体" w:hAnsi="宋体"/>
          <w:szCs w:val="21"/>
        </w:rPr>
      </w:pPr>
      <w:r>
        <w:rPr>
          <w:rFonts w:ascii="宋体" w:hAnsi="宋体"/>
          <w:szCs w:val="21"/>
        </w:rPr>
        <w:t>联合体成员名称（盖公章或电子签章）：</w:t>
      </w:r>
    </w:p>
    <w:p w14:paraId="60660D86">
      <w:pPr>
        <w:pStyle w:val="7"/>
        <w:overflowPunct w:val="0"/>
        <w:ind w:firstLine="367" w:firstLineChars="175"/>
        <w:rPr>
          <w:rFonts w:ascii="宋体" w:hAnsi="宋体"/>
          <w:szCs w:val="21"/>
        </w:rPr>
      </w:pPr>
    </w:p>
    <w:p w14:paraId="4621B142">
      <w:pPr>
        <w:pStyle w:val="7"/>
        <w:overflowPunct w:val="0"/>
        <w:ind w:firstLine="367" w:firstLineChars="175"/>
        <w:rPr>
          <w:rFonts w:ascii="宋体" w:hAnsi="宋体"/>
          <w:szCs w:val="21"/>
        </w:rPr>
      </w:pPr>
      <w:r>
        <w:rPr>
          <w:rFonts w:ascii="宋体" w:hAnsi="宋体"/>
          <w:szCs w:val="21"/>
        </w:rPr>
        <w:t xml:space="preserve">法定代表人或者其委托代理人： </w:t>
      </w:r>
      <w:r>
        <w:rPr>
          <w:rFonts w:ascii="宋体" w:hAnsi="宋体"/>
          <w:szCs w:val="21"/>
        </w:rPr>
        <w:tab/>
      </w:r>
      <w:r>
        <w:rPr>
          <w:rFonts w:ascii="宋体" w:hAnsi="宋体"/>
          <w:szCs w:val="21"/>
        </w:rPr>
        <w:t>（签字或签章）</w:t>
      </w:r>
    </w:p>
    <w:p w14:paraId="159A1A2E">
      <w:pPr>
        <w:pStyle w:val="7"/>
        <w:overflowPunct w:val="0"/>
        <w:ind w:firstLine="367" w:firstLineChars="175"/>
        <w:rPr>
          <w:rFonts w:ascii="宋体" w:hAnsi="宋体"/>
          <w:szCs w:val="21"/>
        </w:rPr>
      </w:pPr>
    </w:p>
    <w:p w14:paraId="53EB0B16">
      <w:pPr>
        <w:pStyle w:val="7"/>
        <w:overflowPunct w:val="0"/>
        <w:ind w:firstLine="367" w:firstLineChars="175"/>
        <w:rPr>
          <w:rFonts w:ascii="宋体" w:hAnsi="宋体"/>
          <w:szCs w:val="21"/>
        </w:rPr>
      </w:pPr>
      <w:r>
        <w:rPr>
          <w:rFonts w:ascii="宋体" w:hAnsi="宋体"/>
          <w:szCs w:val="21"/>
        </w:rPr>
        <w:t>……</w:t>
      </w:r>
    </w:p>
    <w:p w14:paraId="7B15238E">
      <w:pPr>
        <w:pStyle w:val="7"/>
        <w:overflowPunct w:val="0"/>
        <w:ind w:firstLine="367" w:firstLineChars="175"/>
        <w:rPr>
          <w:rFonts w:ascii="宋体" w:hAnsi="宋体"/>
          <w:szCs w:val="21"/>
        </w:rPr>
      </w:pPr>
    </w:p>
    <w:p w14:paraId="7501F33F">
      <w:pPr>
        <w:pStyle w:val="7"/>
        <w:overflowPunct w:val="0"/>
        <w:ind w:firstLine="367" w:firstLineChars="175"/>
        <w:rPr>
          <w:rFonts w:ascii="宋体" w:hAnsi="宋体"/>
          <w:szCs w:val="21"/>
        </w:rPr>
      </w:pPr>
      <w:r>
        <w:rPr>
          <w:rFonts w:ascii="宋体" w:hAnsi="宋体"/>
          <w:szCs w:val="21"/>
        </w:rPr>
        <w:t xml:space="preserve"> </w:t>
      </w:r>
      <w:r>
        <w:rPr>
          <w:rFonts w:ascii="宋体" w:hAnsi="宋体"/>
          <w:szCs w:val="21"/>
        </w:rPr>
        <w:tab/>
      </w:r>
      <w:r>
        <w:rPr>
          <w:rFonts w:ascii="宋体" w:hAnsi="宋体"/>
          <w:szCs w:val="21"/>
        </w:rPr>
        <w:t xml:space="preserve">年 </w:t>
      </w:r>
      <w:r>
        <w:rPr>
          <w:rFonts w:ascii="宋体" w:hAnsi="宋体"/>
          <w:szCs w:val="21"/>
        </w:rPr>
        <w:tab/>
      </w:r>
      <w:r>
        <w:rPr>
          <w:rFonts w:ascii="宋体" w:hAnsi="宋体"/>
          <w:szCs w:val="21"/>
        </w:rPr>
        <w:t xml:space="preserve">月 </w:t>
      </w:r>
      <w:r>
        <w:rPr>
          <w:rFonts w:ascii="宋体" w:hAnsi="宋体"/>
          <w:szCs w:val="21"/>
        </w:rPr>
        <w:tab/>
      </w:r>
      <w:r>
        <w:rPr>
          <w:rFonts w:ascii="宋体" w:hAnsi="宋体"/>
          <w:szCs w:val="21"/>
        </w:rPr>
        <w:t>日</w:t>
      </w:r>
    </w:p>
    <w:p w14:paraId="66DDB10B">
      <w:pPr>
        <w:spacing w:line="360" w:lineRule="auto"/>
        <w:ind w:firstLine="420"/>
        <w:rPr>
          <w:rFonts w:ascii="宋体" w:hAnsi="宋体"/>
          <w:bCs/>
          <w:sz w:val="24"/>
        </w:rPr>
      </w:pPr>
      <w:r>
        <w:rPr>
          <w:rFonts w:ascii="宋体" w:hAnsi="宋体"/>
          <w:b/>
          <w:szCs w:val="21"/>
        </w:rPr>
        <w:br w:type="page"/>
      </w:r>
    </w:p>
    <w:p w14:paraId="61DDE842">
      <w:pPr>
        <w:snapToGrid w:val="0"/>
        <w:spacing w:before="50" w:after="120" w:afterLines="50" w:line="440" w:lineRule="exact"/>
        <w:jc w:val="left"/>
        <w:rPr>
          <w:rFonts w:ascii="宋体" w:hAnsi="宋体"/>
          <w:b/>
          <w:szCs w:val="21"/>
        </w:rPr>
      </w:pPr>
      <w:r>
        <w:rPr>
          <w:rFonts w:ascii="宋体" w:hAnsi="宋体"/>
          <w:szCs w:val="21"/>
        </w:rPr>
        <w:t>9．磋商保证金缴纳证明。</w:t>
      </w:r>
      <w:r>
        <w:rPr>
          <w:rFonts w:ascii="宋体" w:hAnsi="宋体"/>
          <w:b/>
          <w:szCs w:val="21"/>
        </w:rPr>
        <w:t>（如采购文件有要求时提供）</w:t>
      </w:r>
    </w:p>
    <w:p w14:paraId="19241015">
      <w:pPr>
        <w:snapToGrid w:val="0"/>
        <w:spacing w:before="50" w:after="120" w:afterLines="50" w:line="440" w:lineRule="exact"/>
        <w:jc w:val="left"/>
        <w:rPr>
          <w:rFonts w:ascii="宋体" w:hAnsi="宋体"/>
        </w:rPr>
      </w:pPr>
      <w:r>
        <w:rPr>
          <w:rFonts w:ascii="宋体" w:hAnsi="宋体"/>
        </w:rPr>
        <w:t>以转账、电汇形式缴纳的，提供转账、电汇凭证扫描件或复印件（网银可提供截图）加盖</w:t>
      </w:r>
      <w:r>
        <w:rPr>
          <w:rFonts w:ascii="宋体" w:hAnsi="宋体"/>
          <w:szCs w:val="21"/>
        </w:rPr>
        <w:t>供应商电子签章</w:t>
      </w:r>
      <w:r>
        <w:rPr>
          <w:rFonts w:ascii="宋体" w:hAnsi="宋体"/>
        </w:rPr>
        <w:t>；</w:t>
      </w:r>
    </w:p>
    <w:p w14:paraId="1789C2E2">
      <w:pPr>
        <w:snapToGrid w:val="0"/>
        <w:spacing w:before="50" w:after="120" w:afterLines="50" w:line="440" w:lineRule="exact"/>
        <w:jc w:val="left"/>
        <w:rPr>
          <w:rFonts w:ascii="宋体" w:hAnsi="宋体"/>
        </w:rPr>
      </w:pPr>
      <w:r>
        <w:rPr>
          <w:rFonts w:ascii="宋体" w:hAnsi="宋体"/>
        </w:rPr>
        <w:t>以其他非现金形式缴纳的，提供原件扫描件或复印件加盖</w:t>
      </w:r>
      <w:r>
        <w:rPr>
          <w:rFonts w:ascii="宋体" w:hAnsi="宋体"/>
          <w:szCs w:val="21"/>
        </w:rPr>
        <w:t>供应商电子签章</w:t>
      </w:r>
      <w:r>
        <w:rPr>
          <w:rFonts w:ascii="宋体" w:hAnsi="宋体"/>
        </w:rPr>
        <w:t>。</w:t>
      </w:r>
    </w:p>
    <w:p w14:paraId="1B0615FF">
      <w:pPr>
        <w:snapToGrid w:val="0"/>
        <w:spacing w:before="50" w:after="120" w:afterLines="50" w:line="440" w:lineRule="exact"/>
        <w:jc w:val="left"/>
        <w:rPr>
          <w:rFonts w:ascii="宋体" w:hAnsi="宋体"/>
        </w:rPr>
      </w:pPr>
    </w:p>
    <w:p w14:paraId="53868C76">
      <w:pPr>
        <w:snapToGrid w:val="0"/>
        <w:spacing w:before="50" w:after="120" w:afterLines="50"/>
        <w:jc w:val="left"/>
        <w:rPr>
          <w:rFonts w:ascii="宋体" w:hAnsi="宋体"/>
          <w:szCs w:val="21"/>
        </w:rPr>
      </w:pPr>
      <w:r>
        <w:rPr>
          <w:rFonts w:ascii="宋体" w:hAnsi="宋体"/>
          <w:szCs w:val="21"/>
        </w:rPr>
        <w:t>10．供应商认为应当要提交的资格证明材料。</w:t>
      </w:r>
    </w:p>
    <w:p w14:paraId="6BC766E0">
      <w:pPr>
        <w:spacing w:line="276" w:lineRule="auto"/>
        <w:rPr>
          <w:rFonts w:ascii="宋体" w:hAnsi="宋体"/>
          <w:szCs w:val="21"/>
        </w:rPr>
      </w:pPr>
    </w:p>
    <w:p w14:paraId="5BC2A1AD">
      <w:pPr>
        <w:pStyle w:val="7"/>
        <w:overflowPunct w:val="0"/>
        <w:ind w:firstLine="0"/>
        <w:rPr>
          <w:rFonts w:ascii="宋体" w:hAnsi="宋体"/>
        </w:rPr>
      </w:pPr>
    </w:p>
    <w:p w14:paraId="54C13EE4">
      <w:pPr>
        <w:snapToGrid w:val="0"/>
        <w:spacing w:before="50" w:after="120" w:afterLines="50" w:line="400" w:lineRule="exact"/>
        <w:jc w:val="left"/>
        <w:rPr>
          <w:rFonts w:ascii="宋体" w:hAnsi="宋体"/>
          <w:bCs/>
          <w:sz w:val="24"/>
        </w:rPr>
      </w:pPr>
    </w:p>
    <w:p w14:paraId="149690E4">
      <w:pPr>
        <w:snapToGrid w:val="0"/>
        <w:spacing w:before="120" w:beforeLines="50" w:after="50" w:line="440" w:lineRule="exact"/>
        <w:jc w:val="center"/>
        <w:outlineLvl w:val="1"/>
        <w:rPr>
          <w:rFonts w:ascii="宋体" w:hAnsi="宋体"/>
          <w:bCs/>
          <w:sz w:val="24"/>
        </w:rPr>
      </w:pPr>
      <w:r>
        <w:rPr>
          <w:rFonts w:ascii="宋体" w:hAnsi="宋体"/>
        </w:rPr>
        <w:br w:type="page"/>
      </w:r>
      <w:r>
        <w:rPr>
          <w:rFonts w:ascii="宋体" w:hAnsi="宋体"/>
          <w:bCs/>
          <w:sz w:val="24"/>
        </w:rPr>
        <w:t>第二部分 商务技术文件</w:t>
      </w:r>
    </w:p>
    <w:p w14:paraId="6F41290E">
      <w:pPr>
        <w:jc w:val="center"/>
        <w:rPr>
          <w:rFonts w:ascii="宋体" w:hAnsi="宋体"/>
          <w:bCs/>
          <w:sz w:val="24"/>
        </w:rPr>
      </w:pPr>
      <w:r>
        <w:rPr>
          <w:rFonts w:ascii="宋体" w:hAnsi="宋体"/>
        </w:rPr>
        <w:t>根据采购文件规定及供应商提供的材料自行编写目录（部分格式后附）。</w:t>
      </w:r>
    </w:p>
    <w:p w14:paraId="31D10110">
      <w:pPr>
        <w:snapToGrid w:val="0"/>
        <w:spacing w:before="50" w:after="120" w:afterLines="50"/>
        <w:jc w:val="left"/>
        <w:rPr>
          <w:rFonts w:ascii="宋体" w:hAnsi="宋体"/>
          <w:szCs w:val="21"/>
        </w:rPr>
      </w:pPr>
    </w:p>
    <w:p w14:paraId="3A2289C5">
      <w:pPr>
        <w:rPr>
          <w:rFonts w:ascii="宋体" w:hAnsi="宋体"/>
          <w:szCs w:val="21"/>
        </w:rPr>
      </w:pPr>
      <w:r>
        <w:rPr>
          <w:rFonts w:ascii="宋体" w:hAnsi="宋体"/>
          <w:szCs w:val="21"/>
        </w:rPr>
        <w:t>1．对本项目第二章《采购需求》技术要求的响应表：</w:t>
      </w:r>
    </w:p>
    <w:tbl>
      <w:tblPr>
        <w:tblStyle w:val="51"/>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46"/>
        <w:gridCol w:w="3595"/>
        <w:gridCol w:w="3405"/>
        <w:gridCol w:w="1082"/>
      </w:tblGrid>
      <w:tr w14:paraId="3649C33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88" w:hRule="atLeast"/>
          <w:jc w:val="center"/>
        </w:trPr>
        <w:tc>
          <w:tcPr>
            <w:tcW w:w="746" w:type="dxa"/>
            <w:tcBorders>
              <w:top w:val="single" w:color="auto" w:sz="4" w:space="0"/>
              <w:left w:val="single" w:color="auto" w:sz="4" w:space="0"/>
              <w:bottom w:val="single" w:color="auto" w:sz="4" w:space="0"/>
              <w:right w:val="single" w:color="auto" w:sz="4" w:space="0"/>
            </w:tcBorders>
            <w:vAlign w:val="center"/>
          </w:tcPr>
          <w:p w14:paraId="5A0C24EE">
            <w:pPr>
              <w:snapToGrid w:val="0"/>
              <w:spacing w:before="120" w:beforeLines="50"/>
              <w:jc w:val="center"/>
              <w:rPr>
                <w:rFonts w:ascii="宋体" w:hAnsi="宋体"/>
                <w:szCs w:val="21"/>
              </w:rPr>
            </w:pPr>
            <w:r>
              <w:rPr>
                <w:rFonts w:ascii="宋体" w:hAnsi="宋体"/>
                <w:szCs w:val="21"/>
              </w:rPr>
              <w:t>序号</w:t>
            </w:r>
          </w:p>
        </w:tc>
        <w:tc>
          <w:tcPr>
            <w:tcW w:w="3595" w:type="dxa"/>
            <w:tcBorders>
              <w:top w:val="single" w:color="auto" w:sz="4" w:space="0"/>
              <w:left w:val="single" w:color="auto" w:sz="4" w:space="0"/>
              <w:bottom w:val="single" w:color="auto" w:sz="4" w:space="0"/>
              <w:right w:val="single" w:color="auto" w:sz="4" w:space="0"/>
            </w:tcBorders>
            <w:vAlign w:val="center"/>
          </w:tcPr>
          <w:p w14:paraId="1EF19A8D">
            <w:pPr>
              <w:snapToGrid w:val="0"/>
              <w:spacing w:before="120" w:beforeLines="50"/>
              <w:jc w:val="center"/>
              <w:rPr>
                <w:rFonts w:ascii="宋体" w:hAnsi="宋体"/>
                <w:szCs w:val="21"/>
              </w:rPr>
            </w:pPr>
            <w:r>
              <w:rPr>
                <w:rFonts w:ascii="宋体" w:hAnsi="宋体"/>
                <w:szCs w:val="21"/>
              </w:rPr>
              <w:t>采购文件要求（注明章节及条款号）</w:t>
            </w:r>
          </w:p>
        </w:tc>
        <w:tc>
          <w:tcPr>
            <w:tcW w:w="3405" w:type="dxa"/>
            <w:tcBorders>
              <w:top w:val="single" w:color="auto" w:sz="4" w:space="0"/>
              <w:left w:val="single" w:color="auto" w:sz="4" w:space="0"/>
              <w:bottom w:val="single" w:color="auto" w:sz="4" w:space="0"/>
              <w:right w:val="single" w:color="auto" w:sz="4" w:space="0"/>
            </w:tcBorders>
            <w:vAlign w:val="center"/>
          </w:tcPr>
          <w:p w14:paraId="35C2CFC4">
            <w:pPr>
              <w:snapToGrid w:val="0"/>
              <w:spacing w:before="120" w:beforeLines="50"/>
              <w:jc w:val="center"/>
              <w:rPr>
                <w:rFonts w:ascii="宋体" w:hAnsi="宋体"/>
                <w:szCs w:val="21"/>
              </w:rPr>
            </w:pPr>
            <w:r>
              <w:rPr>
                <w:rFonts w:ascii="宋体" w:hAnsi="宋体"/>
                <w:szCs w:val="21"/>
              </w:rPr>
              <w:t>响应文件响应内容</w:t>
            </w:r>
          </w:p>
        </w:tc>
        <w:tc>
          <w:tcPr>
            <w:tcW w:w="1082" w:type="dxa"/>
            <w:tcBorders>
              <w:top w:val="single" w:color="auto" w:sz="4" w:space="0"/>
              <w:left w:val="single" w:color="auto" w:sz="4" w:space="0"/>
              <w:bottom w:val="single" w:color="auto" w:sz="4" w:space="0"/>
              <w:right w:val="single" w:color="auto" w:sz="4" w:space="0"/>
            </w:tcBorders>
            <w:vAlign w:val="center"/>
          </w:tcPr>
          <w:p w14:paraId="0DA9630E">
            <w:pPr>
              <w:snapToGrid w:val="0"/>
              <w:spacing w:before="120" w:beforeLines="50"/>
              <w:jc w:val="center"/>
              <w:rPr>
                <w:rFonts w:ascii="宋体" w:hAnsi="宋体"/>
                <w:szCs w:val="21"/>
              </w:rPr>
            </w:pPr>
            <w:r>
              <w:rPr>
                <w:rFonts w:ascii="宋体" w:hAnsi="宋体"/>
              </w:rPr>
              <w:t>偏离</w:t>
            </w:r>
            <w:r>
              <w:rPr>
                <w:rFonts w:ascii="宋体" w:hAnsi="宋体"/>
                <w:szCs w:val="21"/>
              </w:rPr>
              <w:t>说明</w:t>
            </w:r>
          </w:p>
        </w:tc>
      </w:tr>
      <w:tr w14:paraId="5D2752A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4" w:hRule="exact"/>
          <w:jc w:val="center"/>
        </w:trPr>
        <w:tc>
          <w:tcPr>
            <w:tcW w:w="746" w:type="dxa"/>
            <w:tcBorders>
              <w:top w:val="single" w:color="auto" w:sz="4" w:space="0"/>
              <w:left w:val="single" w:color="auto" w:sz="4" w:space="0"/>
              <w:bottom w:val="single" w:color="auto" w:sz="4" w:space="0"/>
              <w:right w:val="single" w:color="auto" w:sz="4" w:space="0"/>
            </w:tcBorders>
            <w:vAlign w:val="center"/>
          </w:tcPr>
          <w:p w14:paraId="46D1DDA2">
            <w:pPr>
              <w:snapToGrid w:val="0"/>
              <w:spacing w:before="120" w:beforeLines="50"/>
              <w:jc w:val="center"/>
              <w:rPr>
                <w:rFonts w:ascii="宋体" w:hAnsi="宋体"/>
                <w:szCs w:val="21"/>
              </w:rPr>
            </w:pPr>
          </w:p>
        </w:tc>
        <w:tc>
          <w:tcPr>
            <w:tcW w:w="3595" w:type="dxa"/>
            <w:tcBorders>
              <w:top w:val="single" w:color="auto" w:sz="4" w:space="0"/>
              <w:left w:val="single" w:color="auto" w:sz="4" w:space="0"/>
              <w:bottom w:val="single" w:color="auto" w:sz="4" w:space="0"/>
              <w:right w:val="single" w:color="auto" w:sz="4" w:space="0"/>
            </w:tcBorders>
            <w:vAlign w:val="center"/>
          </w:tcPr>
          <w:p w14:paraId="7C30577B">
            <w:pPr>
              <w:snapToGrid w:val="0"/>
              <w:spacing w:before="120" w:beforeLines="50"/>
              <w:jc w:val="center"/>
              <w:rPr>
                <w:rFonts w:ascii="宋体" w:hAnsi="宋体"/>
                <w:szCs w:val="21"/>
              </w:rPr>
            </w:pPr>
          </w:p>
        </w:tc>
        <w:tc>
          <w:tcPr>
            <w:tcW w:w="3405" w:type="dxa"/>
            <w:tcBorders>
              <w:top w:val="single" w:color="auto" w:sz="4" w:space="0"/>
              <w:left w:val="single" w:color="auto" w:sz="4" w:space="0"/>
              <w:bottom w:val="single" w:color="auto" w:sz="4" w:space="0"/>
              <w:right w:val="single" w:color="auto" w:sz="4" w:space="0"/>
            </w:tcBorders>
            <w:vAlign w:val="center"/>
          </w:tcPr>
          <w:p w14:paraId="6598FC66">
            <w:pPr>
              <w:snapToGrid w:val="0"/>
              <w:spacing w:before="120" w:beforeLines="50"/>
              <w:jc w:val="center"/>
              <w:rPr>
                <w:rFonts w:ascii="宋体" w:hAnsi="宋体"/>
                <w:szCs w:val="21"/>
              </w:rPr>
            </w:pPr>
          </w:p>
        </w:tc>
        <w:tc>
          <w:tcPr>
            <w:tcW w:w="1082" w:type="dxa"/>
            <w:tcBorders>
              <w:top w:val="single" w:color="auto" w:sz="4" w:space="0"/>
              <w:left w:val="single" w:color="auto" w:sz="4" w:space="0"/>
              <w:bottom w:val="single" w:color="auto" w:sz="4" w:space="0"/>
              <w:right w:val="single" w:color="auto" w:sz="4" w:space="0"/>
            </w:tcBorders>
            <w:vAlign w:val="center"/>
          </w:tcPr>
          <w:p w14:paraId="3917B27E">
            <w:pPr>
              <w:snapToGrid w:val="0"/>
              <w:spacing w:before="120" w:beforeLines="50"/>
              <w:jc w:val="center"/>
              <w:rPr>
                <w:rFonts w:ascii="宋体" w:hAnsi="宋体"/>
                <w:szCs w:val="21"/>
              </w:rPr>
            </w:pPr>
          </w:p>
        </w:tc>
      </w:tr>
      <w:tr w14:paraId="6A1D13E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4" w:hRule="exact"/>
          <w:jc w:val="center"/>
        </w:trPr>
        <w:tc>
          <w:tcPr>
            <w:tcW w:w="746" w:type="dxa"/>
            <w:tcBorders>
              <w:top w:val="single" w:color="auto" w:sz="4" w:space="0"/>
              <w:left w:val="single" w:color="auto" w:sz="4" w:space="0"/>
              <w:bottom w:val="single" w:color="auto" w:sz="4" w:space="0"/>
              <w:right w:val="single" w:color="auto" w:sz="4" w:space="0"/>
            </w:tcBorders>
            <w:vAlign w:val="center"/>
          </w:tcPr>
          <w:p w14:paraId="489ACA6D">
            <w:pPr>
              <w:snapToGrid w:val="0"/>
              <w:spacing w:before="120" w:beforeLines="50"/>
              <w:jc w:val="center"/>
              <w:rPr>
                <w:rFonts w:ascii="宋体" w:hAnsi="宋体"/>
                <w:szCs w:val="21"/>
              </w:rPr>
            </w:pPr>
          </w:p>
        </w:tc>
        <w:tc>
          <w:tcPr>
            <w:tcW w:w="3595" w:type="dxa"/>
            <w:tcBorders>
              <w:top w:val="single" w:color="auto" w:sz="4" w:space="0"/>
              <w:left w:val="single" w:color="auto" w:sz="4" w:space="0"/>
              <w:bottom w:val="single" w:color="auto" w:sz="4" w:space="0"/>
              <w:right w:val="single" w:color="auto" w:sz="4" w:space="0"/>
            </w:tcBorders>
            <w:vAlign w:val="center"/>
          </w:tcPr>
          <w:p w14:paraId="755497CD">
            <w:pPr>
              <w:snapToGrid w:val="0"/>
              <w:spacing w:before="120" w:beforeLines="50"/>
              <w:jc w:val="center"/>
              <w:rPr>
                <w:rFonts w:ascii="宋体" w:hAnsi="宋体"/>
                <w:szCs w:val="21"/>
              </w:rPr>
            </w:pPr>
          </w:p>
        </w:tc>
        <w:tc>
          <w:tcPr>
            <w:tcW w:w="3405" w:type="dxa"/>
            <w:tcBorders>
              <w:top w:val="single" w:color="auto" w:sz="4" w:space="0"/>
              <w:left w:val="single" w:color="auto" w:sz="4" w:space="0"/>
              <w:bottom w:val="single" w:color="auto" w:sz="4" w:space="0"/>
              <w:right w:val="single" w:color="auto" w:sz="4" w:space="0"/>
            </w:tcBorders>
            <w:vAlign w:val="center"/>
          </w:tcPr>
          <w:p w14:paraId="49509C5E">
            <w:pPr>
              <w:snapToGrid w:val="0"/>
              <w:spacing w:before="120" w:beforeLines="50"/>
              <w:jc w:val="center"/>
              <w:rPr>
                <w:rFonts w:ascii="宋体" w:hAnsi="宋体"/>
                <w:szCs w:val="21"/>
              </w:rPr>
            </w:pPr>
          </w:p>
        </w:tc>
        <w:tc>
          <w:tcPr>
            <w:tcW w:w="1082" w:type="dxa"/>
            <w:tcBorders>
              <w:top w:val="single" w:color="auto" w:sz="4" w:space="0"/>
              <w:left w:val="single" w:color="auto" w:sz="4" w:space="0"/>
              <w:bottom w:val="single" w:color="auto" w:sz="4" w:space="0"/>
              <w:right w:val="single" w:color="auto" w:sz="4" w:space="0"/>
            </w:tcBorders>
            <w:vAlign w:val="center"/>
          </w:tcPr>
          <w:p w14:paraId="348B9698">
            <w:pPr>
              <w:snapToGrid w:val="0"/>
              <w:spacing w:before="120" w:beforeLines="50"/>
              <w:jc w:val="center"/>
              <w:rPr>
                <w:rFonts w:ascii="宋体" w:hAnsi="宋体"/>
                <w:szCs w:val="21"/>
              </w:rPr>
            </w:pPr>
          </w:p>
        </w:tc>
      </w:tr>
      <w:tr w14:paraId="44D0A8B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4" w:hRule="exact"/>
          <w:jc w:val="center"/>
        </w:trPr>
        <w:tc>
          <w:tcPr>
            <w:tcW w:w="746" w:type="dxa"/>
            <w:tcBorders>
              <w:top w:val="single" w:color="auto" w:sz="4" w:space="0"/>
              <w:left w:val="single" w:color="auto" w:sz="4" w:space="0"/>
              <w:bottom w:val="single" w:color="auto" w:sz="4" w:space="0"/>
              <w:right w:val="single" w:color="auto" w:sz="4" w:space="0"/>
            </w:tcBorders>
            <w:vAlign w:val="center"/>
          </w:tcPr>
          <w:p w14:paraId="78910763">
            <w:pPr>
              <w:snapToGrid w:val="0"/>
              <w:spacing w:before="120" w:beforeLines="50"/>
              <w:jc w:val="center"/>
              <w:rPr>
                <w:rFonts w:ascii="宋体" w:hAnsi="宋体"/>
                <w:szCs w:val="21"/>
              </w:rPr>
            </w:pPr>
            <w:r>
              <w:rPr>
                <w:rFonts w:ascii="宋体" w:hAnsi="宋体"/>
                <w:szCs w:val="21"/>
              </w:rPr>
              <w:t>……</w:t>
            </w:r>
          </w:p>
        </w:tc>
        <w:tc>
          <w:tcPr>
            <w:tcW w:w="3595" w:type="dxa"/>
            <w:tcBorders>
              <w:top w:val="single" w:color="auto" w:sz="4" w:space="0"/>
              <w:left w:val="single" w:color="auto" w:sz="4" w:space="0"/>
              <w:bottom w:val="single" w:color="auto" w:sz="4" w:space="0"/>
              <w:right w:val="single" w:color="auto" w:sz="4" w:space="0"/>
            </w:tcBorders>
            <w:vAlign w:val="center"/>
          </w:tcPr>
          <w:p w14:paraId="6ED560F1">
            <w:pPr>
              <w:snapToGrid w:val="0"/>
              <w:spacing w:before="120" w:beforeLines="50"/>
              <w:jc w:val="center"/>
              <w:rPr>
                <w:rFonts w:ascii="宋体" w:hAnsi="宋体"/>
                <w:szCs w:val="21"/>
              </w:rPr>
            </w:pPr>
          </w:p>
        </w:tc>
        <w:tc>
          <w:tcPr>
            <w:tcW w:w="3405" w:type="dxa"/>
            <w:tcBorders>
              <w:top w:val="single" w:color="auto" w:sz="4" w:space="0"/>
              <w:left w:val="single" w:color="auto" w:sz="4" w:space="0"/>
              <w:bottom w:val="single" w:color="auto" w:sz="4" w:space="0"/>
              <w:right w:val="single" w:color="auto" w:sz="4" w:space="0"/>
            </w:tcBorders>
            <w:vAlign w:val="center"/>
          </w:tcPr>
          <w:p w14:paraId="0AF4E0AF">
            <w:pPr>
              <w:snapToGrid w:val="0"/>
              <w:spacing w:before="120" w:beforeLines="50"/>
              <w:jc w:val="center"/>
              <w:rPr>
                <w:rFonts w:ascii="宋体" w:hAnsi="宋体"/>
                <w:szCs w:val="21"/>
              </w:rPr>
            </w:pPr>
          </w:p>
        </w:tc>
        <w:tc>
          <w:tcPr>
            <w:tcW w:w="1082" w:type="dxa"/>
            <w:tcBorders>
              <w:top w:val="single" w:color="auto" w:sz="4" w:space="0"/>
              <w:left w:val="single" w:color="auto" w:sz="4" w:space="0"/>
              <w:bottom w:val="single" w:color="auto" w:sz="4" w:space="0"/>
              <w:right w:val="single" w:color="auto" w:sz="4" w:space="0"/>
            </w:tcBorders>
            <w:vAlign w:val="center"/>
          </w:tcPr>
          <w:p w14:paraId="6F5C5909">
            <w:pPr>
              <w:snapToGrid w:val="0"/>
              <w:spacing w:before="120" w:beforeLines="50"/>
              <w:jc w:val="center"/>
              <w:rPr>
                <w:rFonts w:ascii="宋体" w:hAnsi="宋体"/>
                <w:szCs w:val="21"/>
              </w:rPr>
            </w:pPr>
          </w:p>
        </w:tc>
      </w:tr>
      <w:tr w14:paraId="686BE5F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4" w:hRule="exact"/>
          <w:jc w:val="center"/>
        </w:trPr>
        <w:tc>
          <w:tcPr>
            <w:tcW w:w="746" w:type="dxa"/>
            <w:tcBorders>
              <w:top w:val="single" w:color="auto" w:sz="4" w:space="0"/>
              <w:left w:val="single" w:color="auto" w:sz="4" w:space="0"/>
              <w:bottom w:val="single" w:color="auto" w:sz="4" w:space="0"/>
              <w:right w:val="single" w:color="auto" w:sz="4" w:space="0"/>
            </w:tcBorders>
            <w:vAlign w:val="center"/>
          </w:tcPr>
          <w:p w14:paraId="13E4D3BD">
            <w:pPr>
              <w:snapToGrid w:val="0"/>
              <w:spacing w:before="120" w:beforeLines="50"/>
              <w:jc w:val="center"/>
              <w:rPr>
                <w:rFonts w:ascii="宋体" w:hAnsi="宋体"/>
                <w:szCs w:val="21"/>
              </w:rPr>
            </w:pPr>
            <w:r>
              <w:rPr>
                <w:rFonts w:ascii="宋体" w:hAnsi="宋体"/>
                <w:szCs w:val="21"/>
              </w:rPr>
              <w:t>……</w:t>
            </w:r>
          </w:p>
        </w:tc>
        <w:tc>
          <w:tcPr>
            <w:tcW w:w="3595" w:type="dxa"/>
            <w:tcBorders>
              <w:top w:val="single" w:color="auto" w:sz="4" w:space="0"/>
              <w:left w:val="single" w:color="auto" w:sz="4" w:space="0"/>
              <w:bottom w:val="single" w:color="auto" w:sz="4" w:space="0"/>
              <w:right w:val="single" w:color="auto" w:sz="4" w:space="0"/>
            </w:tcBorders>
            <w:vAlign w:val="center"/>
          </w:tcPr>
          <w:p w14:paraId="4C9BC50A">
            <w:pPr>
              <w:snapToGrid w:val="0"/>
              <w:spacing w:before="120" w:beforeLines="50"/>
              <w:jc w:val="center"/>
              <w:rPr>
                <w:rFonts w:ascii="宋体" w:hAnsi="宋体"/>
                <w:szCs w:val="21"/>
              </w:rPr>
            </w:pPr>
          </w:p>
        </w:tc>
        <w:tc>
          <w:tcPr>
            <w:tcW w:w="3405" w:type="dxa"/>
            <w:tcBorders>
              <w:top w:val="single" w:color="auto" w:sz="4" w:space="0"/>
              <w:left w:val="single" w:color="auto" w:sz="4" w:space="0"/>
              <w:bottom w:val="single" w:color="auto" w:sz="4" w:space="0"/>
              <w:right w:val="single" w:color="auto" w:sz="4" w:space="0"/>
            </w:tcBorders>
            <w:vAlign w:val="center"/>
          </w:tcPr>
          <w:p w14:paraId="0EE2E023">
            <w:pPr>
              <w:snapToGrid w:val="0"/>
              <w:spacing w:before="120" w:beforeLines="50"/>
              <w:jc w:val="center"/>
              <w:rPr>
                <w:rFonts w:ascii="宋体" w:hAnsi="宋体"/>
                <w:szCs w:val="21"/>
              </w:rPr>
            </w:pPr>
          </w:p>
        </w:tc>
        <w:tc>
          <w:tcPr>
            <w:tcW w:w="1082" w:type="dxa"/>
            <w:tcBorders>
              <w:top w:val="single" w:color="auto" w:sz="4" w:space="0"/>
              <w:left w:val="single" w:color="auto" w:sz="4" w:space="0"/>
              <w:bottom w:val="single" w:color="auto" w:sz="4" w:space="0"/>
              <w:right w:val="single" w:color="auto" w:sz="4" w:space="0"/>
            </w:tcBorders>
            <w:vAlign w:val="center"/>
          </w:tcPr>
          <w:p w14:paraId="30BD477A">
            <w:pPr>
              <w:snapToGrid w:val="0"/>
              <w:spacing w:before="120" w:beforeLines="50"/>
              <w:jc w:val="center"/>
              <w:rPr>
                <w:rFonts w:ascii="宋体" w:hAnsi="宋体"/>
                <w:szCs w:val="21"/>
              </w:rPr>
            </w:pPr>
          </w:p>
        </w:tc>
      </w:tr>
    </w:tbl>
    <w:p w14:paraId="0E621BFC">
      <w:pPr>
        <w:rPr>
          <w:rFonts w:ascii="宋体" w:hAnsi="宋体"/>
          <w:szCs w:val="21"/>
        </w:rPr>
      </w:pPr>
    </w:p>
    <w:p w14:paraId="64D8518F">
      <w:pPr>
        <w:pStyle w:val="26"/>
        <w:tabs>
          <w:tab w:val="left" w:pos="2127"/>
        </w:tabs>
        <w:spacing w:line="340" w:lineRule="exact"/>
        <w:jc w:val="left"/>
        <w:rPr>
          <w:rFonts w:hAnsi="宋体" w:cs="Times New Roman"/>
        </w:rPr>
      </w:pPr>
      <w:r>
        <w:rPr>
          <w:rFonts w:hAnsi="宋体" w:cs="Times New Roman"/>
        </w:rPr>
        <w:t>注：（1）本表应对采购文件第二章《采购需求》中所列技术要求进行响应，并根据响应情况在“偏离说明”栏填写正偏离或负偏离及原因，完全符合的填写“无偏离”。</w:t>
      </w:r>
    </w:p>
    <w:p w14:paraId="59BDD1EF">
      <w:pPr>
        <w:rPr>
          <w:rFonts w:ascii="宋体" w:hAnsi="宋体"/>
        </w:rPr>
      </w:pPr>
      <w:r>
        <w:rPr>
          <w:rFonts w:ascii="宋体" w:hAnsi="宋体"/>
        </w:rPr>
        <w:t>（2）第二章《采购需求》中的总体要求无需响应。</w:t>
      </w:r>
    </w:p>
    <w:p w14:paraId="622BA8BF">
      <w:pPr>
        <w:rPr>
          <w:rFonts w:ascii="宋体" w:hAnsi="宋体"/>
        </w:rPr>
      </w:pPr>
      <w:r>
        <w:rPr>
          <w:rFonts w:ascii="宋体" w:hAnsi="宋体"/>
        </w:rPr>
        <w:t>（3）偏离认定说明详见评审方法及标准。</w:t>
      </w:r>
    </w:p>
    <w:p w14:paraId="3FF588F2">
      <w:pPr>
        <w:rPr>
          <w:rFonts w:ascii="宋体" w:hAnsi="宋体"/>
        </w:rPr>
      </w:pPr>
      <w:r>
        <w:rPr>
          <w:rFonts w:ascii="宋体" w:hAnsi="宋体"/>
        </w:rPr>
        <w:t>（4）本表可扩展。</w:t>
      </w:r>
    </w:p>
    <w:p w14:paraId="4993726C">
      <w:pPr>
        <w:rPr>
          <w:rFonts w:ascii="宋体" w:hAnsi="宋体"/>
          <w:szCs w:val="21"/>
        </w:rPr>
      </w:pPr>
    </w:p>
    <w:p w14:paraId="38997027">
      <w:pPr>
        <w:rPr>
          <w:rFonts w:ascii="宋体" w:hAnsi="宋体"/>
          <w:spacing w:val="20"/>
          <w:szCs w:val="21"/>
          <w:u w:val="single"/>
        </w:rPr>
      </w:pPr>
    </w:p>
    <w:p w14:paraId="7170569D">
      <w:pPr>
        <w:rPr>
          <w:rFonts w:ascii="宋体" w:hAnsi="宋体"/>
          <w:szCs w:val="21"/>
        </w:rPr>
      </w:pPr>
      <w:r>
        <w:rPr>
          <w:rFonts w:ascii="宋体" w:hAnsi="宋体"/>
          <w:szCs w:val="21"/>
        </w:rPr>
        <w:t>供应商名称(电子签章)</w:t>
      </w:r>
      <w:r>
        <w:rPr>
          <w:rFonts w:ascii="宋体" w:hAnsi="宋体"/>
          <w:spacing w:val="20"/>
          <w:szCs w:val="21"/>
        </w:rPr>
        <w:t>：</w:t>
      </w:r>
      <w:r>
        <w:rPr>
          <w:rFonts w:ascii="宋体" w:hAnsi="宋体"/>
          <w:spacing w:val="20"/>
          <w:szCs w:val="21"/>
          <w:u w:val="single"/>
        </w:rPr>
        <w:t xml:space="preserve">            </w:t>
      </w:r>
      <w:r>
        <w:rPr>
          <w:rFonts w:ascii="宋体" w:hAnsi="宋体"/>
          <w:spacing w:val="20"/>
          <w:szCs w:val="21"/>
        </w:rPr>
        <w:t xml:space="preserve">              日 期：</w:t>
      </w:r>
      <w:r>
        <w:rPr>
          <w:rFonts w:ascii="宋体" w:hAnsi="宋体"/>
          <w:spacing w:val="20"/>
          <w:szCs w:val="21"/>
          <w:u w:val="single"/>
        </w:rPr>
        <w:t xml:space="preserve">            </w:t>
      </w:r>
    </w:p>
    <w:p w14:paraId="7DB7CC0D">
      <w:pPr>
        <w:rPr>
          <w:rFonts w:ascii="宋体" w:hAnsi="宋体"/>
          <w:spacing w:val="20"/>
          <w:szCs w:val="21"/>
          <w:u w:val="single"/>
        </w:rPr>
      </w:pPr>
    </w:p>
    <w:p w14:paraId="0F1C1B37">
      <w:pPr>
        <w:rPr>
          <w:rFonts w:ascii="宋体" w:hAnsi="宋体"/>
          <w:spacing w:val="20"/>
          <w:szCs w:val="21"/>
          <w:u w:val="single"/>
        </w:rPr>
      </w:pPr>
    </w:p>
    <w:p w14:paraId="444CD6A3">
      <w:pPr>
        <w:rPr>
          <w:rFonts w:ascii="宋体" w:hAnsi="宋体"/>
          <w:szCs w:val="21"/>
        </w:rPr>
      </w:pPr>
    </w:p>
    <w:p w14:paraId="52D2F3E5">
      <w:pPr>
        <w:snapToGrid w:val="0"/>
        <w:spacing w:before="50" w:after="120" w:afterLines="50"/>
        <w:jc w:val="left"/>
        <w:rPr>
          <w:rFonts w:ascii="宋体" w:hAnsi="宋体"/>
          <w:szCs w:val="21"/>
        </w:rPr>
      </w:pPr>
    </w:p>
    <w:p w14:paraId="01E37961">
      <w:pPr>
        <w:snapToGrid w:val="0"/>
        <w:spacing w:before="50" w:after="120" w:afterLines="50"/>
        <w:jc w:val="left"/>
        <w:rPr>
          <w:rFonts w:ascii="宋体" w:hAnsi="宋体"/>
          <w:szCs w:val="21"/>
        </w:rPr>
      </w:pPr>
      <w:r>
        <w:rPr>
          <w:rFonts w:ascii="宋体" w:hAnsi="宋体"/>
          <w:szCs w:val="21"/>
        </w:rPr>
        <w:t>2．项目拟投入服务团队人员结构表（包括但不限于学历、证书情况、职称、年龄等）</w:t>
      </w:r>
    </w:p>
    <w:p w14:paraId="0EB421E8">
      <w:pPr>
        <w:snapToGrid w:val="0"/>
        <w:spacing w:before="120" w:beforeLines="50" w:after="50" w:line="400" w:lineRule="exact"/>
        <w:jc w:val="center"/>
        <w:rPr>
          <w:rFonts w:ascii="宋体" w:hAnsi="宋体"/>
          <w:szCs w:val="21"/>
        </w:rPr>
      </w:pPr>
      <w:r>
        <w:rPr>
          <w:rFonts w:ascii="宋体" w:hAnsi="宋体"/>
          <w:szCs w:val="21"/>
        </w:rPr>
        <w:t>项目拟投入服务团队人员（含项目负责人）一览表</w:t>
      </w:r>
    </w:p>
    <w:tbl>
      <w:tblPr>
        <w:tblStyle w:val="51"/>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331"/>
        <w:gridCol w:w="1260"/>
        <w:gridCol w:w="1440"/>
        <w:gridCol w:w="1516"/>
        <w:gridCol w:w="1620"/>
        <w:gridCol w:w="1980"/>
      </w:tblGrid>
      <w:tr w14:paraId="49466FE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331" w:type="dxa"/>
            <w:tcBorders>
              <w:top w:val="single" w:color="auto" w:sz="4" w:space="0"/>
              <w:left w:val="single" w:color="auto" w:sz="4" w:space="0"/>
              <w:bottom w:val="single" w:color="auto" w:sz="4" w:space="0"/>
              <w:right w:val="single" w:color="auto" w:sz="4" w:space="0"/>
            </w:tcBorders>
            <w:vAlign w:val="center"/>
          </w:tcPr>
          <w:p w14:paraId="2F858672">
            <w:pPr>
              <w:snapToGrid w:val="0"/>
              <w:spacing w:before="120" w:beforeLines="50" w:after="50"/>
              <w:jc w:val="center"/>
              <w:rPr>
                <w:rFonts w:ascii="宋体" w:hAnsi="宋体"/>
                <w:szCs w:val="21"/>
              </w:rPr>
            </w:pPr>
            <w:r>
              <w:rPr>
                <w:rFonts w:ascii="宋体" w:hAnsi="宋体"/>
                <w:szCs w:val="21"/>
              </w:rPr>
              <w:t>姓名</w:t>
            </w:r>
          </w:p>
        </w:tc>
        <w:tc>
          <w:tcPr>
            <w:tcW w:w="1260" w:type="dxa"/>
            <w:tcBorders>
              <w:top w:val="single" w:color="auto" w:sz="4" w:space="0"/>
              <w:left w:val="single" w:color="auto" w:sz="4" w:space="0"/>
              <w:bottom w:val="single" w:color="auto" w:sz="4" w:space="0"/>
              <w:right w:val="single" w:color="auto" w:sz="4" w:space="0"/>
            </w:tcBorders>
            <w:vAlign w:val="center"/>
          </w:tcPr>
          <w:p w14:paraId="308380A2">
            <w:pPr>
              <w:snapToGrid w:val="0"/>
              <w:spacing w:before="120" w:beforeLines="50" w:after="50"/>
              <w:jc w:val="center"/>
              <w:rPr>
                <w:rFonts w:ascii="宋体" w:hAnsi="宋体"/>
                <w:szCs w:val="21"/>
              </w:rPr>
            </w:pPr>
            <w:r>
              <w:rPr>
                <w:rFonts w:ascii="宋体" w:hAnsi="宋体"/>
                <w:szCs w:val="21"/>
              </w:rPr>
              <w:t>职务</w:t>
            </w:r>
          </w:p>
        </w:tc>
        <w:tc>
          <w:tcPr>
            <w:tcW w:w="1440" w:type="dxa"/>
            <w:tcBorders>
              <w:top w:val="single" w:color="auto" w:sz="4" w:space="0"/>
              <w:left w:val="single" w:color="auto" w:sz="4" w:space="0"/>
              <w:bottom w:val="single" w:color="auto" w:sz="4" w:space="0"/>
              <w:right w:val="single" w:color="auto" w:sz="4" w:space="0"/>
            </w:tcBorders>
            <w:vAlign w:val="center"/>
          </w:tcPr>
          <w:p w14:paraId="3FEA89B0">
            <w:pPr>
              <w:snapToGrid w:val="0"/>
              <w:spacing w:before="120" w:beforeLines="50" w:after="50"/>
              <w:jc w:val="center"/>
              <w:rPr>
                <w:rFonts w:ascii="宋体" w:hAnsi="宋体"/>
                <w:szCs w:val="21"/>
              </w:rPr>
            </w:pPr>
            <w:r>
              <w:rPr>
                <w:rFonts w:ascii="宋体" w:hAnsi="宋体"/>
                <w:szCs w:val="21"/>
              </w:rPr>
              <w:t>分配岗位</w:t>
            </w:r>
          </w:p>
        </w:tc>
        <w:tc>
          <w:tcPr>
            <w:tcW w:w="1516" w:type="dxa"/>
            <w:tcBorders>
              <w:top w:val="single" w:color="auto" w:sz="4" w:space="0"/>
              <w:left w:val="single" w:color="auto" w:sz="4" w:space="0"/>
              <w:bottom w:val="single" w:color="auto" w:sz="4" w:space="0"/>
              <w:right w:val="single" w:color="auto" w:sz="4" w:space="0"/>
            </w:tcBorders>
            <w:vAlign w:val="center"/>
          </w:tcPr>
          <w:p w14:paraId="23B0FFAD">
            <w:pPr>
              <w:snapToGrid w:val="0"/>
              <w:spacing w:before="120" w:beforeLines="50" w:after="50"/>
              <w:jc w:val="center"/>
              <w:rPr>
                <w:rFonts w:ascii="宋体" w:hAnsi="宋体"/>
                <w:szCs w:val="21"/>
              </w:rPr>
            </w:pPr>
            <w:r>
              <w:rPr>
                <w:rFonts w:ascii="宋体" w:hAnsi="宋体"/>
                <w:szCs w:val="21"/>
              </w:rPr>
              <w:t>持证情况</w:t>
            </w:r>
          </w:p>
        </w:tc>
        <w:tc>
          <w:tcPr>
            <w:tcW w:w="1620" w:type="dxa"/>
            <w:tcBorders>
              <w:top w:val="single" w:color="auto" w:sz="4" w:space="0"/>
              <w:left w:val="single" w:color="auto" w:sz="4" w:space="0"/>
              <w:bottom w:val="single" w:color="auto" w:sz="4" w:space="0"/>
              <w:right w:val="single" w:color="auto" w:sz="4" w:space="0"/>
            </w:tcBorders>
            <w:vAlign w:val="center"/>
          </w:tcPr>
          <w:p w14:paraId="584D6869">
            <w:pPr>
              <w:snapToGrid w:val="0"/>
              <w:spacing w:before="120" w:beforeLines="50" w:after="50"/>
              <w:jc w:val="center"/>
              <w:rPr>
                <w:rFonts w:ascii="宋体" w:hAnsi="宋体"/>
                <w:szCs w:val="21"/>
              </w:rPr>
            </w:pPr>
            <w:r>
              <w:rPr>
                <w:rFonts w:ascii="宋体" w:hAnsi="宋体"/>
                <w:szCs w:val="21"/>
              </w:rPr>
              <w:t>年龄</w:t>
            </w:r>
          </w:p>
        </w:tc>
        <w:tc>
          <w:tcPr>
            <w:tcW w:w="1980" w:type="dxa"/>
            <w:tcBorders>
              <w:top w:val="single" w:color="auto" w:sz="4" w:space="0"/>
              <w:left w:val="single" w:color="auto" w:sz="4" w:space="0"/>
              <w:bottom w:val="single" w:color="auto" w:sz="4" w:space="0"/>
              <w:right w:val="single" w:color="auto" w:sz="4" w:space="0"/>
            </w:tcBorders>
            <w:vAlign w:val="center"/>
          </w:tcPr>
          <w:p w14:paraId="2CAB78CF">
            <w:pPr>
              <w:snapToGrid w:val="0"/>
              <w:spacing w:before="120" w:beforeLines="50" w:after="50"/>
              <w:jc w:val="center"/>
              <w:rPr>
                <w:rFonts w:ascii="宋体" w:hAnsi="宋体"/>
                <w:bCs/>
                <w:szCs w:val="21"/>
              </w:rPr>
            </w:pPr>
            <w:r>
              <w:rPr>
                <w:rFonts w:ascii="宋体" w:hAnsi="宋体"/>
                <w:bCs/>
                <w:szCs w:val="21"/>
              </w:rPr>
              <w:t>劳动合同编号</w:t>
            </w:r>
          </w:p>
        </w:tc>
      </w:tr>
      <w:tr w14:paraId="62EF2BB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331" w:type="dxa"/>
            <w:tcBorders>
              <w:top w:val="single" w:color="auto" w:sz="4" w:space="0"/>
              <w:left w:val="single" w:color="auto" w:sz="4" w:space="0"/>
              <w:bottom w:val="single" w:color="auto" w:sz="4" w:space="0"/>
              <w:right w:val="single" w:color="auto" w:sz="4" w:space="0"/>
            </w:tcBorders>
          </w:tcPr>
          <w:p w14:paraId="2E407898">
            <w:pPr>
              <w:snapToGrid w:val="0"/>
              <w:spacing w:before="120" w:beforeLines="50" w:after="50"/>
              <w:rPr>
                <w:rFonts w:ascii="宋体" w:hAnsi="宋体"/>
                <w:szCs w:val="21"/>
              </w:rPr>
            </w:pPr>
          </w:p>
        </w:tc>
        <w:tc>
          <w:tcPr>
            <w:tcW w:w="1260" w:type="dxa"/>
            <w:tcBorders>
              <w:top w:val="single" w:color="auto" w:sz="4" w:space="0"/>
              <w:left w:val="single" w:color="auto" w:sz="4" w:space="0"/>
              <w:bottom w:val="single" w:color="auto" w:sz="4" w:space="0"/>
              <w:right w:val="single" w:color="auto" w:sz="4" w:space="0"/>
            </w:tcBorders>
          </w:tcPr>
          <w:p w14:paraId="7A5F1A1C">
            <w:pPr>
              <w:snapToGrid w:val="0"/>
              <w:spacing w:before="120" w:beforeLines="50" w:after="50"/>
              <w:rPr>
                <w:rFonts w:ascii="宋体" w:hAnsi="宋体"/>
                <w:szCs w:val="21"/>
              </w:rPr>
            </w:pPr>
          </w:p>
        </w:tc>
        <w:tc>
          <w:tcPr>
            <w:tcW w:w="1440" w:type="dxa"/>
            <w:tcBorders>
              <w:top w:val="single" w:color="auto" w:sz="4" w:space="0"/>
              <w:left w:val="single" w:color="auto" w:sz="4" w:space="0"/>
              <w:bottom w:val="single" w:color="auto" w:sz="4" w:space="0"/>
              <w:right w:val="single" w:color="auto" w:sz="4" w:space="0"/>
            </w:tcBorders>
          </w:tcPr>
          <w:p w14:paraId="2D799B89">
            <w:pPr>
              <w:snapToGrid w:val="0"/>
              <w:spacing w:before="120" w:beforeLines="50" w:after="50"/>
              <w:rPr>
                <w:rFonts w:ascii="宋体" w:hAnsi="宋体"/>
                <w:szCs w:val="21"/>
              </w:rPr>
            </w:pPr>
          </w:p>
        </w:tc>
        <w:tc>
          <w:tcPr>
            <w:tcW w:w="1516" w:type="dxa"/>
            <w:tcBorders>
              <w:top w:val="single" w:color="auto" w:sz="4" w:space="0"/>
              <w:left w:val="single" w:color="auto" w:sz="4" w:space="0"/>
              <w:bottom w:val="single" w:color="auto" w:sz="4" w:space="0"/>
              <w:right w:val="single" w:color="auto" w:sz="4" w:space="0"/>
            </w:tcBorders>
          </w:tcPr>
          <w:p w14:paraId="2D5097E2">
            <w:pPr>
              <w:snapToGrid w:val="0"/>
              <w:spacing w:before="120" w:beforeLines="50" w:after="50"/>
              <w:rPr>
                <w:rFonts w:ascii="宋体" w:hAnsi="宋体"/>
                <w:szCs w:val="21"/>
              </w:rPr>
            </w:pPr>
          </w:p>
        </w:tc>
        <w:tc>
          <w:tcPr>
            <w:tcW w:w="1620" w:type="dxa"/>
            <w:tcBorders>
              <w:top w:val="single" w:color="auto" w:sz="4" w:space="0"/>
              <w:left w:val="single" w:color="auto" w:sz="4" w:space="0"/>
              <w:bottom w:val="single" w:color="auto" w:sz="4" w:space="0"/>
              <w:right w:val="single" w:color="auto" w:sz="4" w:space="0"/>
            </w:tcBorders>
          </w:tcPr>
          <w:p w14:paraId="07DF8D06">
            <w:pPr>
              <w:snapToGrid w:val="0"/>
              <w:spacing w:before="120" w:beforeLines="50" w:after="50"/>
              <w:rPr>
                <w:rFonts w:ascii="宋体" w:hAnsi="宋体"/>
                <w:szCs w:val="21"/>
              </w:rPr>
            </w:pPr>
          </w:p>
        </w:tc>
        <w:tc>
          <w:tcPr>
            <w:tcW w:w="1980" w:type="dxa"/>
            <w:tcBorders>
              <w:top w:val="single" w:color="auto" w:sz="4" w:space="0"/>
              <w:left w:val="single" w:color="auto" w:sz="4" w:space="0"/>
              <w:bottom w:val="single" w:color="auto" w:sz="4" w:space="0"/>
              <w:right w:val="single" w:color="auto" w:sz="4" w:space="0"/>
            </w:tcBorders>
          </w:tcPr>
          <w:p w14:paraId="2631E371">
            <w:pPr>
              <w:snapToGrid w:val="0"/>
              <w:spacing w:before="120" w:beforeLines="50" w:after="50"/>
              <w:rPr>
                <w:rFonts w:ascii="宋体" w:hAnsi="宋体"/>
                <w:szCs w:val="21"/>
              </w:rPr>
            </w:pPr>
          </w:p>
        </w:tc>
      </w:tr>
      <w:tr w14:paraId="62D1F2A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331" w:type="dxa"/>
            <w:tcBorders>
              <w:top w:val="single" w:color="auto" w:sz="4" w:space="0"/>
              <w:left w:val="single" w:color="auto" w:sz="4" w:space="0"/>
              <w:bottom w:val="single" w:color="auto" w:sz="4" w:space="0"/>
              <w:right w:val="single" w:color="auto" w:sz="4" w:space="0"/>
            </w:tcBorders>
          </w:tcPr>
          <w:p w14:paraId="0C6DA24B">
            <w:pPr>
              <w:snapToGrid w:val="0"/>
              <w:spacing w:before="120" w:beforeLines="50" w:after="50"/>
              <w:rPr>
                <w:rFonts w:ascii="宋体" w:hAnsi="宋体"/>
                <w:szCs w:val="21"/>
              </w:rPr>
            </w:pPr>
          </w:p>
        </w:tc>
        <w:tc>
          <w:tcPr>
            <w:tcW w:w="1260" w:type="dxa"/>
            <w:tcBorders>
              <w:top w:val="single" w:color="auto" w:sz="4" w:space="0"/>
              <w:left w:val="single" w:color="auto" w:sz="4" w:space="0"/>
              <w:bottom w:val="single" w:color="auto" w:sz="4" w:space="0"/>
              <w:right w:val="single" w:color="auto" w:sz="4" w:space="0"/>
            </w:tcBorders>
          </w:tcPr>
          <w:p w14:paraId="64F7C64D">
            <w:pPr>
              <w:snapToGrid w:val="0"/>
              <w:spacing w:before="120" w:beforeLines="50" w:after="50"/>
              <w:rPr>
                <w:rFonts w:ascii="宋体" w:hAnsi="宋体"/>
                <w:szCs w:val="21"/>
              </w:rPr>
            </w:pPr>
          </w:p>
        </w:tc>
        <w:tc>
          <w:tcPr>
            <w:tcW w:w="1440" w:type="dxa"/>
            <w:tcBorders>
              <w:top w:val="single" w:color="auto" w:sz="4" w:space="0"/>
              <w:left w:val="single" w:color="auto" w:sz="4" w:space="0"/>
              <w:bottom w:val="single" w:color="auto" w:sz="4" w:space="0"/>
              <w:right w:val="single" w:color="auto" w:sz="4" w:space="0"/>
            </w:tcBorders>
          </w:tcPr>
          <w:p w14:paraId="107F5483">
            <w:pPr>
              <w:snapToGrid w:val="0"/>
              <w:spacing w:before="120" w:beforeLines="50" w:after="50"/>
              <w:rPr>
                <w:rFonts w:ascii="宋体" w:hAnsi="宋体"/>
                <w:szCs w:val="21"/>
              </w:rPr>
            </w:pPr>
          </w:p>
        </w:tc>
        <w:tc>
          <w:tcPr>
            <w:tcW w:w="1516" w:type="dxa"/>
            <w:tcBorders>
              <w:top w:val="single" w:color="auto" w:sz="4" w:space="0"/>
              <w:left w:val="single" w:color="auto" w:sz="4" w:space="0"/>
              <w:bottom w:val="single" w:color="auto" w:sz="4" w:space="0"/>
              <w:right w:val="single" w:color="auto" w:sz="4" w:space="0"/>
            </w:tcBorders>
          </w:tcPr>
          <w:p w14:paraId="7FD9E593">
            <w:pPr>
              <w:snapToGrid w:val="0"/>
              <w:spacing w:before="120" w:beforeLines="50" w:after="50"/>
              <w:rPr>
                <w:rFonts w:ascii="宋体" w:hAnsi="宋体"/>
                <w:szCs w:val="21"/>
              </w:rPr>
            </w:pPr>
          </w:p>
        </w:tc>
        <w:tc>
          <w:tcPr>
            <w:tcW w:w="1620" w:type="dxa"/>
            <w:tcBorders>
              <w:top w:val="single" w:color="auto" w:sz="4" w:space="0"/>
              <w:left w:val="single" w:color="auto" w:sz="4" w:space="0"/>
              <w:bottom w:val="single" w:color="auto" w:sz="4" w:space="0"/>
              <w:right w:val="single" w:color="auto" w:sz="4" w:space="0"/>
            </w:tcBorders>
          </w:tcPr>
          <w:p w14:paraId="65493D40">
            <w:pPr>
              <w:snapToGrid w:val="0"/>
              <w:spacing w:before="120" w:beforeLines="50" w:after="50"/>
              <w:rPr>
                <w:rFonts w:ascii="宋体" w:hAnsi="宋体"/>
                <w:szCs w:val="21"/>
              </w:rPr>
            </w:pPr>
          </w:p>
        </w:tc>
        <w:tc>
          <w:tcPr>
            <w:tcW w:w="1980" w:type="dxa"/>
            <w:tcBorders>
              <w:top w:val="single" w:color="auto" w:sz="4" w:space="0"/>
              <w:left w:val="single" w:color="auto" w:sz="4" w:space="0"/>
              <w:bottom w:val="single" w:color="auto" w:sz="4" w:space="0"/>
              <w:right w:val="single" w:color="auto" w:sz="4" w:space="0"/>
            </w:tcBorders>
          </w:tcPr>
          <w:p w14:paraId="45BF9C0A">
            <w:pPr>
              <w:snapToGrid w:val="0"/>
              <w:spacing w:before="120" w:beforeLines="50" w:after="50"/>
              <w:rPr>
                <w:rFonts w:ascii="宋体" w:hAnsi="宋体"/>
                <w:szCs w:val="21"/>
              </w:rPr>
            </w:pPr>
          </w:p>
        </w:tc>
      </w:tr>
    </w:tbl>
    <w:p w14:paraId="2B574517">
      <w:pPr>
        <w:snapToGrid w:val="0"/>
        <w:spacing w:before="50" w:after="120" w:afterLines="50" w:line="440" w:lineRule="exact"/>
        <w:jc w:val="left"/>
        <w:rPr>
          <w:rFonts w:ascii="宋体" w:hAnsi="宋体"/>
          <w:szCs w:val="21"/>
        </w:rPr>
      </w:pPr>
      <w:r>
        <w:rPr>
          <w:rFonts w:ascii="宋体" w:hAnsi="宋体"/>
          <w:szCs w:val="21"/>
        </w:rPr>
        <w:t>注：在填写时，如本表格不适合供应商的实际情况，可根据本表格式自行划表填写。</w:t>
      </w:r>
    </w:p>
    <w:p w14:paraId="4E025B52">
      <w:pPr>
        <w:snapToGrid w:val="0"/>
        <w:spacing w:before="50" w:after="50" w:line="440" w:lineRule="exact"/>
        <w:rPr>
          <w:rFonts w:ascii="宋体" w:hAnsi="宋体"/>
          <w:szCs w:val="21"/>
        </w:rPr>
      </w:pPr>
      <w:r>
        <w:rPr>
          <w:rFonts w:ascii="宋体" w:hAnsi="宋体"/>
          <w:szCs w:val="21"/>
        </w:rPr>
        <w:t>供应商名称(电子签章)</w:t>
      </w:r>
      <w:r>
        <w:rPr>
          <w:rFonts w:ascii="宋体" w:hAnsi="宋体"/>
          <w:spacing w:val="20"/>
          <w:szCs w:val="21"/>
        </w:rPr>
        <w:t>：</w:t>
      </w:r>
      <w:r>
        <w:rPr>
          <w:rFonts w:ascii="宋体" w:hAnsi="宋体"/>
          <w:spacing w:val="20"/>
          <w:szCs w:val="21"/>
          <w:u w:val="single"/>
        </w:rPr>
        <w:t xml:space="preserve">            </w:t>
      </w:r>
      <w:r>
        <w:rPr>
          <w:rFonts w:ascii="宋体" w:hAnsi="宋体"/>
          <w:spacing w:val="20"/>
          <w:szCs w:val="21"/>
        </w:rPr>
        <w:t xml:space="preserve">              日  期：</w:t>
      </w:r>
      <w:r>
        <w:rPr>
          <w:rFonts w:ascii="宋体" w:hAnsi="宋体"/>
          <w:spacing w:val="20"/>
          <w:szCs w:val="21"/>
          <w:u w:val="single"/>
        </w:rPr>
        <w:t xml:space="preserve">          </w:t>
      </w:r>
    </w:p>
    <w:p w14:paraId="4B763C12">
      <w:pPr>
        <w:rPr>
          <w:rFonts w:ascii="宋体" w:hAnsi="宋体"/>
          <w:spacing w:val="20"/>
          <w:szCs w:val="21"/>
          <w:u w:val="single"/>
        </w:rPr>
      </w:pPr>
    </w:p>
    <w:p w14:paraId="11EB4BDE">
      <w:pPr>
        <w:rPr>
          <w:rFonts w:ascii="宋体" w:hAnsi="宋体"/>
          <w:szCs w:val="21"/>
        </w:rPr>
      </w:pPr>
    </w:p>
    <w:p w14:paraId="0ACA4883">
      <w:pPr>
        <w:snapToGrid w:val="0"/>
        <w:spacing w:before="50" w:after="120" w:afterLines="50" w:line="440" w:lineRule="exact"/>
        <w:rPr>
          <w:rFonts w:ascii="宋体" w:hAnsi="宋体"/>
        </w:rPr>
      </w:pPr>
      <w:r>
        <w:rPr>
          <w:rFonts w:ascii="宋体" w:hAnsi="宋体"/>
        </w:rPr>
        <w:br w:type="page"/>
      </w:r>
      <w:r>
        <w:rPr>
          <w:rFonts w:ascii="宋体" w:hAnsi="宋体"/>
          <w:szCs w:val="21"/>
        </w:rPr>
        <w:t>3．对本项目第二章《采购需求》商务要求的响应表：</w:t>
      </w:r>
    </w:p>
    <w:tbl>
      <w:tblPr>
        <w:tblStyle w:val="51"/>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46"/>
        <w:gridCol w:w="3595"/>
        <w:gridCol w:w="3405"/>
        <w:gridCol w:w="1082"/>
      </w:tblGrid>
      <w:tr w14:paraId="0F79200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88" w:hRule="atLeast"/>
          <w:jc w:val="center"/>
        </w:trPr>
        <w:tc>
          <w:tcPr>
            <w:tcW w:w="746" w:type="dxa"/>
            <w:tcBorders>
              <w:top w:val="single" w:color="auto" w:sz="4" w:space="0"/>
              <w:left w:val="single" w:color="auto" w:sz="4" w:space="0"/>
              <w:bottom w:val="single" w:color="auto" w:sz="4" w:space="0"/>
              <w:right w:val="single" w:color="auto" w:sz="4" w:space="0"/>
            </w:tcBorders>
            <w:vAlign w:val="center"/>
          </w:tcPr>
          <w:p w14:paraId="0D4C7A4C">
            <w:pPr>
              <w:snapToGrid w:val="0"/>
              <w:spacing w:before="120" w:beforeLines="50"/>
              <w:jc w:val="center"/>
              <w:rPr>
                <w:rFonts w:ascii="宋体" w:hAnsi="宋体"/>
                <w:szCs w:val="21"/>
              </w:rPr>
            </w:pPr>
            <w:r>
              <w:rPr>
                <w:rFonts w:ascii="宋体" w:hAnsi="宋体"/>
                <w:szCs w:val="21"/>
              </w:rPr>
              <w:t>序号</w:t>
            </w:r>
          </w:p>
        </w:tc>
        <w:tc>
          <w:tcPr>
            <w:tcW w:w="3595" w:type="dxa"/>
            <w:tcBorders>
              <w:top w:val="single" w:color="auto" w:sz="4" w:space="0"/>
              <w:left w:val="single" w:color="auto" w:sz="4" w:space="0"/>
              <w:bottom w:val="single" w:color="auto" w:sz="4" w:space="0"/>
              <w:right w:val="single" w:color="auto" w:sz="4" w:space="0"/>
            </w:tcBorders>
            <w:vAlign w:val="center"/>
          </w:tcPr>
          <w:p w14:paraId="49FC6BA2">
            <w:pPr>
              <w:snapToGrid w:val="0"/>
              <w:spacing w:before="120" w:beforeLines="50"/>
              <w:jc w:val="center"/>
              <w:rPr>
                <w:rFonts w:ascii="宋体" w:hAnsi="宋体"/>
                <w:szCs w:val="21"/>
              </w:rPr>
            </w:pPr>
            <w:r>
              <w:rPr>
                <w:rFonts w:ascii="宋体" w:hAnsi="宋体"/>
                <w:szCs w:val="21"/>
              </w:rPr>
              <w:t>采购文件要求（注明章节及条款号）</w:t>
            </w:r>
          </w:p>
        </w:tc>
        <w:tc>
          <w:tcPr>
            <w:tcW w:w="3405" w:type="dxa"/>
            <w:tcBorders>
              <w:top w:val="single" w:color="auto" w:sz="4" w:space="0"/>
              <w:left w:val="single" w:color="auto" w:sz="4" w:space="0"/>
              <w:bottom w:val="single" w:color="auto" w:sz="4" w:space="0"/>
              <w:right w:val="single" w:color="auto" w:sz="4" w:space="0"/>
            </w:tcBorders>
            <w:vAlign w:val="center"/>
          </w:tcPr>
          <w:p w14:paraId="73B9FE44">
            <w:pPr>
              <w:snapToGrid w:val="0"/>
              <w:spacing w:before="120" w:beforeLines="50"/>
              <w:jc w:val="center"/>
              <w:rPr>
                <w:rFonts w:ascii="宋体" w:hAnsi="宋体"/>
                <w:szCs w:val="21"/>
              </w:rPr>
            </w:pPr>
            <w:r>
              <w:rPr>
                <w:rFonts w:ascii="宋体" w:hAnsi="宋体"/>
                <w:szCs w:val="21"/>
              </w:rPr>
              <w:t>响应文件响应内容（可注明所在页码）</w:t>
            </w:r>
          </w:p>
        </w:tc>
        <w:tc>
          <w:tcPr>
            <w:tcW w:w="1082" w:type="dxa"/>
            <w:tcBorders>
              <w:top w:val="single" w:color="auto" w:sz="4" w:space="0"/>
              <w:left w:val="single" w:color="auto" w:sz="4" w:space="0"/>
              <w:bottom w:val="single" w:color="auto" w:sz="4" w:space="0"/>
              <w:right w:val="single" w:color="auto" w:sz="4" w:space="0"/>
            </w:tcBorders>
            <w:vAlign w:val="center"/>
          </w:tcPr>
          <w:p w14:paraId="415C5D6E">
            <w:pPr>
              <w:snapToGrid w:val="0"/>
              <w:spacing w:before="120" w:beforeLines="50"/>
              <w:jc w:val="center"/>
              <w:rPr>
                <w:rFonts w:ascii="宋体" w:hAnsi="宋体"/>
                <w:szCs w:val="21"/>
              </w:rPr>
            </w:pPr>
            <w:r>
              <w:rPr>
                <w:rFonts w:ascii="宋体" w:hAnsi="宋体"/>
              </w:rPr>
              <w:t>偏离</w:t>
            </w:r>
            <w:r>
              <w:rPr>
                <w:rFonts w:ascii="宋体" w:hAnsi="宋体"/>
                <w:szCs w:val="21"/>
              </w:rPr>
              <w:t>说明</w:t>
            </w:r>
          </w:p>
        </w:tc>
      </w:tr>
      <w:tr w14:paraId="25D6335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4" w:hRule="exact"/>
          <w:jc w:val="center"/>
        </w:trPr>
        <w:tc>
          <w:tcPr>
            <w:tcW w:w="746" w:type="dxa"/>
            <w:tcBorders>
              <w:top w:val="single" w:color="auto" w:sz="4" w:space="0"/>
              <w:left w:val="single" w:color="auto" w:sz="4" w:space="0"/>
              <w:bottom w:val="single" w:color="auto" w:sz="4" w:space="0"/>
              <w:right w:val="single" w:color="auto" w:sz="4" w:space="0"/>
            </w:tcBorders>
            <w:vAlign w:val="center"/>
          </w:tcPr>
          <w:p w14:paraId="34CD6E14">
            <w:pPr>
              <w:snapToGrid w:val="0"/>
              <w:spacing w:before="120" w:beforeLines="50"/>
              <w:jc w:val="center"/>
              <w:rPr>
                <w:rFonts w:ascii="宋体" w:hAnsi="宋体"/>
                <w:szCs w:val="21"/>
              </w:rPr>
            </w:pPr>
          </w:p>
        </w:tc>
        <w:tc>
          <w:tcPr>
            <w:tcW w:w="3595" w:type="dxa"/>
            <w:tcBorders>
              <w:top w:val="single" w:color="auto" w:sz="4" w:space="0"/>
              <w:left w:val="single" w:color="auto" w:sz="4" w:space="0"/>
              <w:bottom w:val="single" w:color="auto" w:sz="4" w:space="0"/>
              <w:right w:val="single" w:color="auto" w:sz="4" w:space="0"/>
            </w:tcBorders>
            <w:vAlign w:val="center"/>
          </w:tcPr>
          <w:p w14:paraId="4804B315">
            <w:pPr>
              <w:snapToGrid w:val="0"/>
              <w:spacing w:before="120" w:beforeLines="50"/>
              <w:jc w:val="center"/>
              <w:rPr>
                <w:rFonts w:ascii="宋体" w:hAnsi="宋体"/>
                <w:szCs w:val="21"/>
              </w:rPr>
            </w:pPr>
          </w:p>
        </w:tc>
        <w:tc>
          <w:tcPr>
            <w:tcW w:w="3405" w:type="dxa"/>
            <w:tcBorders>
              <w:top w:val="single" w:color="auto" w:sz="4" w:space="0"/>
              <w:left w:val="single" w:color="auto" w:sz="4" w:space="0"/>
              <w:bottom w:val="single" w:color="auto" w:sz="4" w:space="0"/>
              <w:right w:val="single" w:color="auto" w:sz="4" w:space="0"/>
            </w:tcBorders>
            <w:vAlign w:val="center"/>
          </w:tcPr>
          <w:p w14:paraId="775700D8">
            <w:pPr>
              <w:snapToGrid w:val="0"/>
              <w:spacing w:before="120" w:beforeLines="50"/>
              <w:jc w:val="center"/>
              <w:rPr>
                <w:rFonts w:ascii="宋体" w:hAnsi="宋体"/>
                <w:szCs w:val="21"/>
              </w:rPr>
            </w:pPr>
          </w:p>
        </w:tc>
        <w:tc>
          <w:tcPr>
            <w:tcW w:w="1082" w:type="dxa"/>
            <w:tcBorders>
              <w:top w:val="single" w:color="auto" w:sz="4" w:space="0"/>
              <w:left w:val="single" w:color="auto" w:sz="4" w:space="0"/>
              <w:bottom w:val="single" w:color="auto" w:sz="4" w:space="0"/>
              <w:right w:val="single" w:color="auto" w:sz="4" w:space="0"/>
            </w:tcBorders>
            <w:vAlign w:val="center"/>
          </w:tcPr>
          <w:p w14:paraId="5FC864F7">
            <w:pPr>
              <w:snapToGrid w:val="0"/>
              <w:spacing w:before="120" w:beforeLines="50"/>
              <w:jc w:val="center"/>
              <w:rPr>
                <w:rFonts w:ascii="宋体" w:hAnsi="宋体"/>
                <w:szCs w:val="21"/>
              </w:rPr>
            </w:pPr>
          </w:p>
        </w:tc>
      </w:tr>
      <w:tr w14:paraId="3DE1570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4" w:hRule="exact"/>
          <w:jc w:val="center"/>
        </w:trPr>
        <w:tc>
          <w:tcPr>
            <w:tcW w:w="746" w:type="dxa"/>
            <w:tcBorders>
              <w:top w:val="single" w:color="auto" w:sz="4" w:space="0"/>
              <w:left w:val="single" w:color="auto" w:sz="4" w:space="0"/>
              <w:bottom w:val="single" w:color="auto" w:sz="4" w:space="0"/>
              <w:right w:val="single" w:color="auto" w:sz="4" w:space="0"/>
            </w:tcBorders>
            <w:vAlign w:val="center"/>
          </w:tcPr>
          <w:p w14:paraId="257D7C9C">
            <w:pPr>
              <w:snapToGrid w:val="0"/>
              <w:spacing w:before="120" w:beforeLines="50"/>
              <w:jc w:val="center"/>
              <w:rPr>
                <w:rFonts w:ascii="宋体" w:hAnsi="宋体"/>
                <w:szCs w:val="21"/>
              </w:rPr>
            </w:pPr>
            <w:r>
              <w:rPr>
                <w:rFonts w:ascii="宋体" w:hAnsi="宋体"/>
                <w:szCs w:val="21"/>
              </w:rPr>
              <w:t>……</w:t>
            </w:r>
          </w:p>
        </w:tc>
        <w:tc>
          <w:tcPr>
            <w:tcW w:w="3595" w:type="dxa"/>
            <w:tcBorders>
              <w:top w:val="single" w:color="auto" w:sz="4" w:space="0"/>
              <w:left w:val="single" w:color="auto" w:sz="4" w:space="0"/>
              <w:bottom w:val="single" w:color="auto" w:sz="4" w:space="0"/>
              <w:right w:val="single" w:color="auto" w:sz="4" w:space="0"/>
            </w:tcBorders>
            <w:vAlign w:val="center"/>
          </w:tcPr>
          <w:p w14:paraId="5A222FE2">
            <w:pPr>
              <w:snapToGrid w:val="0"/>
              <w:spacing w:before="120" w:beforeLines="50"/>
              <w:jc w:val="center"/>
              <w:rPr>
                <w:rFonts w:ascii="宋体" w:hAnsi="宋体"/>
                <w:szCs w:val="21"/>
              </w:rPr>
            </w:pPr>
          </w:p>
        </w:tc>
        <w:tc>
          <w:tcPr>
            <w:tcW w:w="3405" w:type="dxa"/>
            <w:tcBorders>
              <w:top w:val="single" w:color="auto" w:sz="4" w:space="0"/>
              <w:left w:val="single" w:color="auto" w:sz="4" w:space="0"/>
              <w:bottom w:val="single" w:color="auto" w:sz="4" w:space="0"/>
              <w:right w:val="single" w:color="auto" w:sz="4" w:space="0"/>
            </w:tcBorders>
            <w:vAlign w:val="center"/>
          </w:tcPr>
          <w:p w14:paraId="6C93C851">
            <w:pPr>
              <w:snapToGrid w:val="0"/>
              <w:spacing w:before="120" w:beforeLines="50"/>
              <w:jc w:val="center"/>
              <w:rPr>
                <w:rFonts w:ascii="宋体" w:hAnsi="宋体"/>
                <w:szCs w:val="21"/>
              </w:rPr>
            </w:pPr>
          </w:p>
        </w:tc>
        <w:tc>
          <w:tcPr>
            <w:tcW w:w="1082" w:type="dxa"/>
            <w:tcBorders>
              <w:top w:val="single" w:color="auto" w:sz="4" w:space="0"/>
              <w:left w:val="single" w:color="auto" w:sz="4" w:space="0"/>
              <w:bottom w:val="single" w:color="auto" w:sz="4" w:space="0"/>
              <w:right w:val="single" w:color="auto" w:sz="4" w:space="0"/>
            </w:tcBorders>
            <w:vAlign w:val="center"/>
          </w:tcPr>
          <w:p w14:paraId="7C78B5BF">
            <w:pPr>
              <w:snapToGrid w:val="0"/>
              <w:spacing w:before="120" w:beforeLines="50"/>
              <w:jc w:val="center"/>
              <w:rPr>
                <w:rFonts w:ascii="宋体" w:hAnsi="宋体"/>
                <w:szCs w:val="21"/>
              </w:rPr>
            </w:pPr>
          </w:p>
        </w:tc>
      </w:tr>
    </w:tbl>
    <w:p w14:paraId="08D36329">
      <w:pPr>
        <w:pStyle w:val="26"/>
        <w:tabs>
          <w:tab w:val="left" w:pos="2127"/>
        </w:tabs>
        <w:spacing w:line="340" w:lineRule="exact"/>
        <w:ind w:firstLine="420" w:firstLineChars="200"/>
        <w:jc w:val="left"/>
        <w:rPr>
          <w:rFonts w:hAnsi="宋体" w:cs="Times New Roman"/>
        </w:rPr>
      </w:pPr>
      <w:bookmarkStart w:id="95" w:name="_Hlk48144603"/>
      <w:r>
        <w:rPr>
          <w:rFonts w:hAnsi="宋体" w:cs="Times New Roman"/>
        </w:rPr>
        <w:t>注：</w:t>
      </w:r>
      <w:bookmarkStart w:id="96" w:name="_Hlk19049081"/>
      <w:r>
        <w:rPr>
          <w:rFonts w:hAnsi="宋体" w:cs="Times New Roman"/>
        </w:rPr>
        <w:t>（1）本表应对采购文件第二章《采购需求》中所列商务要求进行响应，并根据响应情况在“偏离说明”栏填写正偏离或负偏离及原因，完全符合的填写“无偏离”。</w:t>
      </w:r>
    </w:p>
    <w:p w14:paraId="308FCC4D">
      <w:pPr>
        <w:pStyle w:val="26"/>
        <w:tabs>
          <w:tab w:val="left" w:pos="2127"/>
        </w:tabs>
        <w:spacing w:line="340" w:lineRule="exact"/>
        <w:ind w:firstLine="420" w:firstLineChars="200"/>
        <w:jc w:val="left"/>
        <w:rPr>
          <w:rFonts w:hAnsi="宋体" w:cs="Times New Roman"/>
        </w:rPr>
      </w:pPr>
      <w:r>
        <w:rPr>
          <w:rFonts w:hAnsi="宋体" w:cs="Times New Roman"/>
        </w:rPr>
        <w:t>（2）第二章《采购需求》中的总体要求无需响应。</w:t>
      </w:r>
    </w:p>
    <w:p w14:paraId="179D667D">
      <w:pPr>
        <w:ind w:firstLine="420" w:firstLineChars="200"/>
        <w:rPr>
          <w:rFonts w:ascii="宋体" w:hAnsi="宋体"/>
        </w:rPr>
      </w:pPr>
      <w:r>
        <w:rPr>
          <w:rFonts w:ascii="宋体" w:hAnsi="宋体"/>
        </w:rPr>
        <w:t>（3）偏离认定说明详见评审方法及标准。</w:t>
      </w:r>
    </w:p>
    <w:bookmarkEnd w:id="96"/>
    <w:p w14:paraId="0C718BF3">
      <w:pPr>
        <w:pStyle w:val="26"/>
        <w:tabs>
          <w:tab w:val="left" w:pos="2127"/>
        </w:tabs>
        <w:spacing w:line="340" w:lineRule="exact"/>
        <w:ind w:firstLine="420" w:firstLineChars="200"/>
        <w:jc w:val="left"/>
        <w:rPr>
          <w:rFonts w:hAnsi="宋体" w:cs="Times New Roman"/>
        </w:rPr>
      </w:pPr>
      <w:r>
        <w:rPr>
          <w:rFonts w:hAnsi="宋体" w:cs="Times New Roman"/>
        </w:rPr>
        <w:t>（4）本表可扩展。</w:t>
      </w:r>
    </w:p>
    <w:bookmarkEnd w:id="95"/>
    <w:p w14:paraId="7B12A824">
      <w:pPr>
        <w:snapToGrid w:val="0"/>
        <w:spacing w:before="50" w:after="120" w:afterLines="50" w:line="440" w:lineRule="exact"/>
        <w:jc w:val="left"/>
        <w:rPr>
          <w:rFonts w:ascii="宋体" w:hAnsi="宋体"/>
          <w:spacing w:val="20"/>
          <w:szCs w:val="21"/>
          <w:u w:val="single"/>
        </w:rPr>
      </w:pPr>
      <w:r>
        <w:rPr>
          <w:rFonts w:ascii="宋体" w:hAnsi="宋体"/>
          <w:szCs w:val="21"/>
        </w:rPr>
        <w:t>供应商名称(电子签章)</w:t>
      </w:r>
      <w:r>
        <w:rPr>
          <w:rFonts w:ascii="宋体" w:hAnsi="宋体"/>
          <w:spacing w:val="20"/>
          <w:szCs w:val="21"/>
        </w:rPr>
        <w:t>：</w:t>
      </w:r>
      <w:r>
        <w:rPr>
          <w:rFonts w:ascii="宋体" w:hAnsi="宋体"/>
          <w:spacing w:val="20"/>
          <w:szCs w:val="21"/>
          <w:u w:val="single"/>
        </w:rPr>
        <w:t xml:space="preserve">            </w:t>
      </w:r>
      <w:r>
        <w:rPr>
          <w:rFonts w:ascii="宋体" w:hAnsi="宋体"/>
          <w:spacing w:val="20"/>
          <w:szCs w:val="21"/>
        </w:rPr>
        <w:t xml:space="preserve">             日  期：</w:t>
      </w:r>
      <w:r>
        <w:rPr>
          <w:rFonts w:ascii="宋体" w:hAnsi="宋体"/>
          <w:spacing w:val="20"/>
          <w:szCs w:val="21"/>
          <w:u w:val="single"/>
        </w:rPr>
        <w:t xml:space="preserve">        </w:t>
      </w:r>
    </w:p>
    <w:p w14:paraId="15C95621">
      <w:pPr>
        <w:snapToGrid w:val="0"/>
        <w:spacing w:before="50" w:after="120" w:afterLines="50" w:line="440" w:lineRule="exact"/>
        <w:jc w:val="left"/>
        <w:rPr>
          <w:rFonts w:ascii="宋体" w:hAnsi="宋体"/>
          <w:spacing w:val="20"/>
          <w:szCs w:val="21"/>
          <w:u w:val="single"/>
        </w:rPr>
      </w:pPr>
    </w:p>
    <w:p w14:paraId="67F9FCF0">
      <w:pPr>
        <w:pStyle w:val="26"/>
        <w:tabs>
          <w:tab w:val="left" w:pos="2127"/>
        </w:tabs>
        <w:spacing w:line="340" w:lineRule="exact"/>
        <w:ind w:firstLine="420" w:firstLineChars="200"/>
        <w:jc w:val="left"/>
        <w:rPr>
          <w:rFonts w:hAnsi="宋体" w:cs="Times New Roman"/>
        </w:rPr>
      </w:pPr>
    </w:p>
    <w:p w14:paraId="7C6971EE">
      <w:pPr>
        <w:snapToGrid w:val="0"/>
        <w:spacing w:before="50" w:after="120" w:afterLines="50"/>
        <w:jc w:val="left"/>
        <w:rPr>
          <w:rFonts w:ascii="宋体" w:hAnsi="宋体"/>
          <w:szCs w:val="21"/>
        </w:rPr>
      </w:pPr>
    </w:p>
    <w:p w14:paraId="7444A321">
      <w:pPr>
        <w:snapToGrid w:val="0"/>
        <w:spacing w:before="50"/>
        <w:jc w:val="left"/>
        <w:rPr>
          <w:rFonts w:ascii="宋体" w:hAnsi="宋体"/>
          <w:szCs w:val="21"/>
        </w:rPr>
        <w:sectPr>
          <w:headerReference r:id="rId16" w:type="default"/>
          <w:pgSz w:w="11906" w:h="16838"/>
          <w:pgMar w:top="1304" w:right="1418" w:bottom="1304" w:left="1418" w:header="851" w:footer="992" w:gutter="0"/>
          <w:pgNumType w:fmt="decimal"/>
          <w:cols w:space="720" w:num="1"/>
          <w:docGrid w:linePitch="312" w:charSpace="0"/>
        </w:sectPr>
      </w:pPr>
      <w:bookmarkStart w:id="97" w:name="_Hlk33625589"/>
    </w:p>
    <w:bookmarkEnd w:id="97"/>
    <w:p w14:paraId="083329F2">
      <w:pPr>
        <w:snapToGrid w:val="0"/>
        <w:spacing w:before="50" w:after="120" w:afterLines="50"/>
        <w:jc w:val="left"/>
        <w:rPr>
          <w:rFonts w:ascii="宋体" w:hAnsi="宋体"/>
          <w:b/>
          <w:szCs w:val="21"/>
        </w:rPr>
      </w:pPr>
      <w:r>
        <w:rPr>
          <w:rFonts w:ascii="宋体" w:hAnsi="宋体"/>
          <w:szCs w:val="21"/>
        </w:rPr>
        <w:t>4．近年供应商类似成功案例的业绩证明</w:t>
      </w:r>
    </w:p>
    <w:p w14:paraId="2DDCCD41">
      <w:pPr>
        <w:snapToGrid w:val="0"/>
        <w:spacing w:before="50" w:after="120" w:afterLines="50"/>
        <w:jc w:val="center"/>
        <w:rPr>
          <w:rFonts w:ascii="宋体" w:hAnsi="宋体"/>
          <w:szCs w:val="21"/>
        </w:rPr>
      </w:pPr>
      <w:r>
        <w:rPr>
          <w:rFonts w:ascii="宋体" w:hAnsi="宋体"/>
          <w:b/>
          <w:szCs w:val="21"/>
        </w:rPr>
        <w:t>类似成功案例业绩一览表</w:t>
      </w:r>
    </w:p>
    <w:tbl>
      <w:tblPr>
        <w:tblStyle w:val="51"/>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161"/>
        <w:gridCol w:w="3862"/>
        <w:gridCol w:w="3269"/>
        <w:gridCol w:w="1031"/>
        <w:gridCol w:w="1031"/>
        <w:gridCol w:w="1376"/>
        <w:gridCol w:w="2063"/>
      </w:tblGrid>
      <w:tr w14:paraId="2CC9408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441" w:hRule="atLeast"/>
        </w:trPr>
        <w:tc>
          <w:tcPr>
            <w:tcW w:w="1161" w:type="dxa"/>
            <w:tcBorders>
              <w:top w:val="single" w:color="auto" w:sz="4" w:space="0"/>
              <w:left w:val="single" w:color="auto" w:sz="4" w:space="0"/>
              <w:right w:val="single" w:color="auto" w:sz="4" w:space="0"/>
            </w:tcBorders>
          </w:tcPr>
          <w:p w14:paraId="0ABB1421">
            <w:pPr>
              <w:snapToGrid w:val="0"/>
              <w:spacing w:line="240" w:lineRule="exact"/>
              <w:jc w:val="center"/>
              <w:rPr>
                <w:rFonts w:ascii="宋体" w:hAnsi="宋体"/>
                <w:szCs w:val="21"/>
              </w:rPr>
            </w:pPr>
          </w:p>
          <w:p w14:paraId="45FFDD7A">
            <w:pPr>
              <w:snapToGrid w:val="0"/>
              <w:spacing w:line="240" w:lineRule="exact"/>
              <w:jc w:val="center"/>
              <w:rPr>
                <w:rFonts w:ascii="宋体" w:hAnsi="宋体"/>
                <w:szCs w:val="21"/>
              </w:rPr>
            </w:pPr>
          </w:p>
          <w:p w14:paraId="03E06099">
            <w:pPr>
              <w:snapToGrid w:val="0"/>
              <w:spacing w:line="240" w:lineRule="exact"/>
              <w:jc w:val="center"/>
              <w:rPr>
                <w:rFonts w:ascii="宋体" w:hAnsi="宋体"/>
                <w:szCs w:val="21"/>
              </w:rPr>
            </w:pPr>
            <w:r>
              <w:rPr>
                <w:rFonts w:ascii="宋体" w:hAnsi="宋体"/>
                <w:szCs w:val="21"/>
              </w:rPr>
              <w:t>序号</w:t>
            </w:r>
          </w:p>
        </w:tc>
        <w:tc>
          <w:tcPr>
            <w:tcW w:w="3862" w:type="dxa"/>
            <w:tcBorders>
              <w:top w:val="single" w:color="auto" w:sz="4" w:space="0"/>
              <w:left w:val="single" w:color="auto" w:sz="4" w:space="0"/>
              <w:bottom w:val="single" w:color="auto" w:sz="4" w:space="0"/>
              <w:right w:val="single" w:color="auto" w:sz="4" w:space="0"/>
            </w:tcBorders>
            <w:vAlign w:val="center"/>
          </w:tcPr>
          <w:p w14:paraId="51E687CD">
            <w:pPr>
              <w:snapToGrid w:val="0"/>
              <w:spacing w:line="240" w:lineRule="exact"/>
              <w:jc w:val="center"/>
              <w:rPr>
                <w:rFonts w:ascii="宋体" w:hAnsi="宋体"/>
                <w:szCs w:val="21"/>
              </w:rPr>
            </w:pPr>
            <w:r>
              <w:rPr>
                <w:rFonts w:ascii="宋体" w:hAnsi="宋体"/>
                <w:szCs w:val="21"/>
              </w:rPr>
              <w:t>采购单位名称</w:t>
            </w:r>
          </w:p>
        </w:tc>
        <w:tc>
          <w:tcPr>
            <w:tcW w:w="3269" w:type="dxa"/>
            <w:tcBorders>
              <w:top w:val="single" w:color="auto" w:sz="4" w:space="0"/>
              <w:left w:val="single" w:color="auto" w:sz="4" w:space="0"/>
              <w:bottom w:val="single" w:color="auto" w:sz="4" w:space="0"/>
              <w:right w:val="single" w:color="auto" w:sz="4" w:space="0"/>
            </w:tcBorders>
            <w:vAlign w:val="center"/>
          </w:tcPr>
          <w:p w14:paraId="13F4A27C">
            <w:pPr>
              <w:snapToGrid w:val="0"/>
              <w:spacing w:line="240" w:lineRule="exact"/>
              <w:jc w:val="center"/>
              <w:rPr>
                <w:rFonts w:ascii="宋体" w:hAnsi="宋体"/>
                <w:szCs w:val="21"/>
              </w:rPr>
            </w:pPr>
            <w:r>
              <w:rPr>
                <w:rFonts w:ascii="宋体" w:hAnsi="宋体"/>
                <w:szCs w:val="21"/>
              </w:rPr>
              <w:t>项目名称或服务内容</w:t>
            </w:r>
          </w:p>
        </w:tc>
        <w:tc>
          <w:tcPr>
            <w:tcW w:w="1031" w:type="dxa"/>
            <w:tcBorders>
              <w:top w:val="single" w:color="auto" w:sz="4" w:space="0"/>
              <w:left w:val="single" w:color="auto" w:sz="4" w:space="0"/>
              <w:bottom w:val="single" w:color="auto" w:sz="4" w:space="0"/>
              <w:right w:val="single" w:color="auto" w:sz="4" w:space="0"/>
            </w:tcBorders>
            <w:vAlign w:val="center"/>
          </w:tcPr>
          <w:p w14:paraId="2B0A2ED0">
            <w:pPr>
              <w:snapToGrid w:val="0"/>
              <w:spacing w:line="240" w:lineRule="exact"/>
              <w:jc w:val="center"/>
              <w:rPr>
                <w:rFonts w:ascii="宋体" w:hAnsi="宋体"/>
                <w:szCs w:val="21"/>
              </w:rPr>
            </w:pPr>
            <w:r>
              <w:rPr>
                <w:rFonts w:ascii="宋体" w:hAnsi="宋体"/>
                <w:szCs w:val="21"/>
              </w:rPr>
              <w:t>服务</w:t>
            </w:r>
          </w:p>
          <w:p w14:paraId="40B2AB24">
            <w:pPr>
              <w:snapToGrid w:val="0"/>
              <w:spacing w:line="240" w:lineRule="exact"/>
              <w:jc w:val="center"/>
              <w:rPr>
                <w:rFonts w:ascii="宋体" w:hAnsi="宋体"/>
                <w:szCs w:val="21"/>
              </w:rPr>
            </w:pPr>
            <w:r>
              <w:rPr>
                <w:rFonts w:ascii="宋体" w:hAnsi="宋体"/>
                <w:szCs w:val="21"/>
              </w:rPr>
              <w:t>数量或年限</w:t>
            </w:r>
          </w:p>
        </w:tc>
        <w:tc>
          <w:tcPr>
            <w:tcW w:w="1031" w:type="dxa"/>
            <w:tcBorders>
              <w:top w:val="single" w:color="auto" w:sz="4" w:space="0"/>
              <w:left w:val="single" w:color="auto" w:sz="4" w:space="0"/>
              <w:bottom w:val="single" w:color="auto" w:sz="4" w:space="0"/>
              <w:right w:val="single" w:color="auto" w:sz="4" w:space="0"/>
            </w:tcBorders>
            <w:vAlign w:val="center"/>
          </w:tcPr>
          <w:p w14:paraId="215C6C28">
            <w:pPr>
              <w:snapToGrid w:val="0"/>
              <w:spacing w:line="240" w:lineRule="exact"/>
              <w:jc w:val="center"/>
              <w:rPr>
                <w:rFonts w:ascii="宋体" w:hAnsi="宋体"/>
                <w:szCs w:val="21"/>
              </w:rPr>
            </w:pPr>
            <w:r>
              <w:rPr>
                <w:rFonts w:ascii="宋体" w:hAnsi="宋体"/>
                <w:szCs w:val="21"/>
              </w:rPr>
              <w:t>单价（元）</w:t>
            </w:r>
          </w:p>
        </w:tc>
        <w:tc>
          <w:tcPr>
            <w:tcW w:w="1376" w:type="dxa"/>
            <w:tcBorders>
              <w:top w:val="single" w:color="auto" w:sz="4" w:space="0"/>
              <w:left w:val="single" w:color="auto" w:sz="4" w:space="0"/>
              <w:bottom w:val="single" w:color="auto" w:sz="4" w:space="0"/>
              <w:right w:val="single" w:color="auto" w:sz="4" w:space="0"/>
            </w:tcBorders>
            <w:vAlign w:val="center"/>
          </w:tcPr>
          <w:p w14:paraId="71ADF978">
            <w:pPr>
              <w:snapToGrid w:val="0"/>
              <w:spacing w:line="240" w:lineRule="exact"/>
              <w:jc w:val="center"/>
              <w:rPr>
                <w:rFonts w:ascii="宋体" w:hAnsi="宋体"/>
                <w:szCs w:val="21"/>
              </w:rPr>
            </w:pPr>
            <w:r>
              <w:rPr>
                <w:rFonts w:ascii="宋体" w:hAnsi="宋体"/>
                <w:szCs w:val="21"/>
              </w:rPr>
              <w:t>合同总价</w:t>
            </w:r>
          </w:p>
          <w:p w14:paraId="3A48609D">
            <w:pPr>
              <w:snapToGrid w:val="0"/>
              <w:spacing w:line="240" w:lineRule="exact"/>
              <w:jc w:val="center"/>
              <w:rPr>
                <w:rFonts w:ascii="宋体" w:hAnsi="宋体"/>
                <w:szCs w:val="21"/>
              </w:rPr>
            </w:pPr>
            <w:r>
              <w:rPr>
                <w:rFonts w:ascii="宋体" w:hAnsi="宋体"/>
                <w:szCs w:val="21"/>
              </w:rPr>
              <w:t>（元）</w:t>
            </w:r>
          </w:p>
        </w:tc>
        <w:tc>
          <w:tcPr>
            <w:tcW w:w="2063" w:type="dxa"/>
            <w:tcBorders>
              <w:top w:val="single" w:color="auto" w:sz="4" w:space="0"/>
              <w:left w:val="single" w:color="auto" w:sz="4" w:space="0"/>
              <w:bottom w:val="single" w:color="auto" w:sz="4" w:space="0"/>
              <w:right w:val="single" w:color="auto" w:sz="4" w:space="0"/>
            </w:tcBorders>
            <w:vAlign w:val="center"/>
          </w:tcPr>
          <w:p w14:paraId="05AF2FCB">
            <w:pPr>
              <w:jc w:val="center"/>
              <w:rPr>
                <w:rFonts w:ascii="宋体" w:hAnsi="宋体"/>
                <w:szCs w:val="21"/>
              </w:rPr>
            </w:pPr>
            <w:r>
              <w:rPr>
                <w:rFonts w:ascii="宋体" w:hAnsi="宋体"/>
                <w:szCs w:val="21"/>
              </w:rPr>
              <w:t>采购单位联系人及联系电话</w:t>
            </w:r>
          </w:p>
        </w:tc>
      </w:tr>
      <w:tr w14:paraId="6BAC860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2" w:hRule="atLeast"/>
        </w:trPr>
        <w:tc>
          <w:tcPr>
            <w:tcW w:w="1161" w:type="dxa"/>
            <w:tcBorders>
              <w:top w:val="single" w:color="auto" w:sz="4" w:space="0"/>
              <w:left w:val="single" w:color="auto" w:sz="4" w:space="0"/>
              <w:bottom w:val="single" w:color="auto" w:sz="4" w:space="0"/>
              <w:right w:val="single" w:color="auto" w:sz="4" w:space="0"/>
            </w:tcBorders>
          </w:tcPr>
          <w:p w14:paraId="3FBD8DAE">
            <w:pPr>
              <w:snapToGrid w:val="0"/>
              <w:spacing w:line="240" w:lineRule="exact"/>
              <w:jc w:val="left"/>
              <w:rPr>
                <w:rFonts w:ascii="宋体" w:hAnsi="宋体"/>
                <w:szCs w:val="21"/>
              </w:rPr>
            </w:pPr>
          </w:p>
        </w:tc>
        <w:tc>
          <w:tcPr>
            <w:tcW w:w="3862" w:type="dxa"/>
            <w:tcBorders>
              <w:top w:val="single" w:color="auto" w:sz="4" w:space="0"/>
              <w:left w:val="single" w:color="auto" w:sz="4" w:space="0"/>
              <w:bottom w:val="single" w:color="auto" w:sz="4" w:space="0"/>
              <w:right w:val="single" w:color="auto" w:sz="4" w:space="0"/>
            </w:tcBorders>
          </w:tcPr>
          <w:p w14:paraId="65F111BE">
            <w:pPr>
              <w:snapToGrid w:val="0"/>
              <w:spacing w:line="240" w:lineRule="exact"/>
              <w:jc w:val="left"/>
              <w:rPr>
                <w:rFonts w:ascii="宋体" w:hAnsi="宋体"/>
                <w:szCs w:val="21"/>
              </w:rPr>
            </w:pPr>
          </w:p>
        </w:tc>
        <w:tc>
          <w:tcPr>
            <w:tcW w:w="3269" w:type="dxa"/>
            <w:tcBorders>
              <w:top w:val="single" w:color="auto" w:sz="4" w:space="0"/>
              <w:left w:val="single" w:color="auto" w:sz="4" w:space="0"/>
              <w:bottom w:val="single" w:color="auto" w:sz="4" w:space="0"/>
              <w:right w:val="single" w:color="auto" w:sz="4" w:space="0"/>
            </w:tcBorders>
          </w:tcPr>
          <w:p w14:paraId="6C429570">
            <w:pPr>
              <w:snapToGrid w:val="0"/>
              <w:spacing w:line="240" w:lineRule="exact"/>
              <w:jc w:val="left"/>
              <w:rPr>
                <w:rFonts w:ascii="宋体" w:hAnsi="宋体"/>
                <w:szCs w:val="21"/>
              </w:rPr>
            </w:pPr>
          </w:p>
        </w:tc>
        <w:tc>
          <w:tcPr>
            <w:tcW w:w="1031" w:type="dxa"/>
            <w:tcBorders>
              <w:top w:val="single" w:color="auto" w:sz="4" w:space="0"/>
              <w:left w:val="single" w:color="auto" w:sz="4" w:space="0"/>
              <w:bottom w:val="single" w:color="auto" w:sz="4" w:space="0"/>
              <w:right w:val="single" w:color="auto" w:sz="4" w:space="0"/>
            </w:tcBorders>
          </w:tcPr>
          <w:p w14:paraId="516BEDB6">
            <w:pPr>
              <w:snapToGrid w:val="0"/>
              <w:spacing w:line="240" w:lineRule="exact"/>
              <w:jc w:val="left"/>
              <w:rPr>
                <w:rFonts w:ascii="宋体" w:hAnsi="宋体"/>
                <w:szCs w:val="21"/>
              </w:rPr>
            </w:pPr>
          </w:p>
        </w:tc>
        <w:tc>
          <w:tcPr>
            <w:tcW w:w="1031" w:type="dxa"/>
            <w:tcBorders>
              <w:top w:val="single" w:color="auto" w:sz="4" w:space="0"/>
              <w:left w:val="single" w:color="auto" w:sz="4" w:space="0"/>
              <w:bottom w:val="single" w:color="auto" w:sz="4" w:space="0"/>
              <w:right w:val="single" w:color="auto" w:sz="4" w:space="0"/>
            </w:tcBorders>
          </w:tcPr>
          <w:p w14:paraId="348B3B0E">
            <w:pPr>
              <w:snapToGrid w:val="0"/>
              <w:spacing w:line="240" w:lineRule="exact"/>
              <w:jc w:val="left"/>
              <w:rPr>
                <w:rFonts w:ascii="宋体" w:hAnsi="宋体"/>
                <w:szCs w:val="21"/>
              </w:rPr>
            </w:pPr>
          </w:p>
        </w:tc>
        <w:tc>
          <w:tcPr>
            <w:tcW w:w="1376" w:type="dxa"/>
            <w:tcBorders>
              <w:top w:val="single" w:color="auto" w:sz="4" w:space="0"/>
              <w:left w:val="single" w:color="auto" w:sz="4" w:space="0"/>
              <w:bottom w:val="single" w:color="auto" w:sz="4" w:space="0"/>
              <w:right w:val="single" w:color="auto" w:sz="4" w:space="0"/>
            </w:tcBorders>
          </w:tcPr>
          <w:p w14:paraId="5C655D0E">
            <w:pPr>
              <w:snapToGrid w:val="0"/>
              <w:spacing w:line="240" w:lineRule="exact"/>
              <w:jc w:val="left"/>
              <w:rPr>
                <w:rFonts w:ascii="宋体" w:hAnsi="宋体"/>
                <w:szCs w:val="21"/>
              </w:rPr>
            </w:pPr>
          </w:p>
        </w:tc>
        <w:tc>
          <w:tcPr>
            <w:tcW w:w="2063" w:type="dxa"/>
            <w:tcBorders>
              <w:top w:val="single" w:color="auto" w:sz="4" w:space="0"/>
              <w:left w:val="single" w:color="auto" w:sz="4" w:space="0"/>
              <w:bottom w:val="single" w:color="auto" w:sz="4" w:space="0"/>
              <w:right w:val="single" w:color="auto" w:sz="4" w:space="0"/>
            </w:tcBorders>
          </w:tcPr>
          <w:p w14:paraId="37AFBB2D">
            <w:pPr>
              <w:snapToGrid w:val="0"/>
              <w:spacing w:line="240" w:lineRule="exact"/>
              <w:jc w:val="left"/>
              <w:rPr>
                <w:rFonts w:ascii="宋体" w:hAnsi="宋体"/>
                <w:szCs w:val="21"/>
              </w:rPr>
            </w:pPr>
          </w:p>
        </w:tc>
      </w:tr>
      <w:tr w14:paraId="14EF92C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6" w:hRule="atLeast"/>
        </w:trPr>
        <w:tc>
          <w:tcPr>
            <w:tcW w:w="1161" w:type="dxa"/>
            <w:tcBorders>
              <w:top w:val="single" w:color="auto" w:sz="4" w:space="0"/>
              <w:left w:val="single" w:color="auto" w:sz="4" w:space="0"/>
              <w:bottom w:val="single" w:color="auto" w:sz="4" w:space="0"/>
              <w:right w:val="single" w:color="auto" w:sz="4" w:space="0"/>
            </w:tcBorders>
          </w:tcPr>
          <w:p w14:paraId="549FF00C">
            <w:pPr>
              <w:snapToGrid w:val="0"/>
              <w:spacing w:before="50" w:after="120" w:afterLines="50" w:line="400" w:lineRule="exact"/>
              <w:jc w:val="left"/>
              <w:rPr>
                <w:rFonts w:ascii="宋体" w:hAnsi="宋体"/>
                <w:szCs w:val="21"/>
              </w:rPr>
            </w:pPr>
          </w:p>
        </w:tc>
        <w:tc>
          <w:tcPr>
            <w:tcW w:w="3862" w:type="dxa"/>
            <w:tcBorders>
              <w:top w:val="single" w:color="auto" w:sz="4" w:space="0"/>
              <w:left w:val="single" w:color="auto" w:sz="4" w:space="0"/>
              <w:bottom w:val="single" w:color="auto" w:sz="4" w:space="0"/>
              <w:right w:val="single" w:color="auto" w:sz="4" w:space="0"/>
            </w:tcBorders>
          </w:tcPr>
          <w:p w14:paraId="16C8ED47">
            <w:pPr>
              <w:snapToGrid w:val="0"/>
              <w:spacing w:before="50" w:after="120" w:afterLines="50" w:line="400" w:lineRule="exact"/>
              <w:jc w:val="left"/>
              <w:rPr>
                <w:rFonts w:ascii="宋体" w:hAnsi="宋体"/>
                <w:szCs w:val="21"/>
              </w:rPr>
            </w:pPr>
          </w:p>
        </w:tc>
        <w:tc>
          <w:tcPr>
            <w:tcW w:w="3269" w:type="dxa"/>
            <w:tcBorders>
              <w:top w:val="single" w:color="auto" w:sz="4" w:space="0"/>
              <w:left w:val="single" w:color="auto" w:sz="4" w:space="0"/>
              <w:bottom w:val="single" w:color="auto" w:sz="4" w:space="0"/>
              <w:right w:val="single" w:color="auto" w:sz="4" w:space="0"/>
            </w:tcBorders>
          </w:tcPr>
          <w:p w14:paraId="35438C5E">
            <w:pPr>
              <w:snapToGrid w:val="0"/>
              <w:spacing w:before="50" w:after="120" w:afterLines="50" w:line="400" w:lineRule="exact"/>
              <w:jc w:val="left"/>
              <w:rPr>
                <w:rFonts w:ascii="宋体" w:hAnsi="宋体"/>
                <w:szCs w:val="21"/>
              </w:rPr>
            </w:pPr>
          </w:p>
        </w:tc>
        <w:tc>
          <w:tcPr>
            <w:tcW w:w="1031" w:type="dxa"/>
            <w:tcBorders>
              <w:top w:val="single" w:color="auto" w:sz="4" w:space="0"/>
              <w:left w:val="single" w:color="auto" w:sz="4" w:space="0"/>
              <w:bottom w:val="single" w:color="auto" w:sz="4" w:space="0"/>
              <w:right w:val="single" w:color="auto" w:sz="4" w:space="0"/>
            </w:tcBorders>
          </w:tcPr>
          <w:p w14:paraId="7B6CC83D">
            <w:pPr>
              <w:snapToGrid w:val="0"/>
              <w:spacing w:before="50" w:after="120" w:afterLines="50" w:line="400" w:lineRule="exact"/>
              <w:jc w:val="left"/>
              <w:rPr>
                <w:rFonts w:ascii="宋体" w:hAnsi="宋体"/>
                <w:szCs w:val="21"/>
              </w:rPr>
            </w:pPr>
          </w:p>
        </w:tc>
        <w:tc>
          <w:tcPr>
            <w:tcW w:w="1031" w:type="dxa"/>
            <w:tcBorders>
              <w:top w:val="single" w:color="auto" w:sz="4" w:space="0"/>
              <w:left w:val="single" w:color="auto" w:sz="4" w:space="0"/>
              <w:bottom w:val="single" w:color="auto" w:sz="4" w:space="0"/>
              <w:right w:val="single" w:color="auto" w:sz="4" w:space="0"/>
            </w:tcBorders>
          </w:tcPr>
          <w:p w14:paraId="174AC10D">
            <w:pPr>
              <w:snapToGrid w:val="0"/>
              <w:spacing w:before="50" w:after="120" w:afterLines="50" w:line="400" w:lineRule="exact"/>
              <w:jc w:val="left"/>
              <w:rPr>
                <w:rFonts w:ascii="宋体" w:hAnsi="宋体"/>
                <w:szCs w:val="21"/>
              </w:rPr>
            </w:pPr>
          </w:p>
        </w:tc>
        <w:tc>
          <w:tcPr>
            <w:tcW w:w="1376" w:type="dxa"/>
            <w:tcBorders>
              <w:top w:val="single" w:color="auto" w:sz="4" w:space="0"/>
              <w:left w:val="single" w:color="auto" w:sz="4" w:space="0"/>
              <w:bottom w:val="single" w:color="auto" w:sz="4" w:space="0"/>
              <w:right w:val="single" w:color="auto" w:sz="4" w:space="0"/>
            </w:tcBorders>
          </w:tcPr>
          <w:p w14:paraId="29DCD0FD">
            <w:pPr>
              <w:snapToGrid w:val="0"/>
              <w:spacing w:before="50" w:after="120" w:afterLines="50" w:line="400" w:lineRule="exact"/>
              <w:jc w:val="left"/>
              <w:rPr>
                <w:rFonts w:ascii="宋体" w:hAnsi="宋体"/>
                <w:szCs w:val="21"/>
              </w:rPr>
            </w:pPr>
          </w:p>
        </w:tc>
        <w:tc>
          <w:tcPr>
            <w:tcW w:w="2063" w:type="dxa"/>
            <w:tcBorders>
              <w:top w:val="single" w:color="auto" w:sz="4" w:space="0"/>
              <w:left w:val="single" w:color="auto" w:sz="4" w:space="0"/>
              <w:bottom w:val="single" w:color="auto" w:sz="4" w:space="0"/>
              <w:right w:val="single" w:color="auto" w:sz="4" w:space="0"/>
            </w:tcBorders>
          </w:tcPr>
          <w:p w14:paraId="174A3568">
            <w:pPr>
              <w:snapToGrid w:val="0"/>
              <w:spacing w:before="50" w:after="120" w:afterLines="50" w:line="400" w:lineRule="exact"/>
              <w:jc w:val="left"/>
              <w:rPr>
                <w:rFonts w:ascii="宋体" w:hAnsi="宋体"/>
                <w:szCs w:val="21"/>
              </w:rPr>
            </w:pPr>
          </w:p>
        </w:tc>
      </w:tr>
      <w:tr w14:paraId="1DA8BCE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68" w:hRule="atLeast"/>
        </w:trPr>
        <w:tc>
          <w:tcPr>
            <w:tcW w:w="1161" w:type="dxa"/>
            <w:tcBorders>
              <w:top w:val="single" w:color="auto" w:sz="4" w:space="0"/>
              <w:left w:val="single" w:color="auto" w:sz="4" w:space="0"/>
              <w:bottom w:val="single" w:color="auto" w:sz="4" w:space="0"/>
              <w:right w:val="single" w:color="auto" w:sz="4" w:space="0"/>
            </w:tcBorders>
          </w:tcPr>
          <w:p w14:paraId="45DF88E8">
            <w:pPr>
              <w:snapToGrid w:val="0"/>
              <w:spacing w:before="50" w:after="120" w:afterLines="50" w:line="400" w:lineRule="exact"/>
              <w:jc w:val="left"/>
              <w:rPr>
                <w:rFonts w:ascii="宋体" w:hAnsi="宋体"/>
                <w:szCs w:val="21"/>
              </w:rPr>
            </w:pPr>
          </w:p>
        </w:tc>
        <w:tc>
          <w:tcPr>
            <w:tcW w:w="3862" w:type="dxa"/>
            <w:tcBorders>
              <w:top w:val="single" w:color="auto" w:sz="4" w:space="0"/>
              <w:left w:val="single" w:color="auto" w:sz="4" w:space="0"/>
              <w:bottom w:val="single" w:color="auto" w:sz="4" w:space="0"/>
              <w:right w:val="single" w:color="auto" w:sz="4" w:space="0"/>
            </w:tcBorders>
          </w:tcPr>
          <w:p w14:paraId="2B93FC3B">
            <w:pPr>
              <w:snapToGrid w:val="0"/>
              <w:spacing w:before="50" w:after="120" w:afterLines="50" w:line="400" w:lineRule="exact"/>
              <w:jc w:val="left"/>
              <w:rPr>
                <w:rFonts w:ascii="宋体" w:hAnsi="宋体"/>
                <w:szCs w:val="21"/>
              </w:rPr>
            </w:pPr>
          </w:p>
        </w:tc>
        <w:tc>
          <w:tcPr>
            <w:tcW w:w="3269" w:type="dxa"/>
            <w:tcBorders>
              <w:top w:val="single" w:color="auto" w:sz="4" w:space="0"/>
              <w:left w:val="single" w:color="auto" w:sz="4" w:space="0"/>
              <w:bottom w:val="single" w:color="auto" w:sz="4" w:space="0"/>
              <w:right w:val="single" w:color="auto" w:sz="4" w:space="0"/>
            </w:tcBorders>
          </w:tcPr>
          <w:p w14:paraId="67403601">
            <w:pPr>
              <w:snapToGrid w:val="0"/>
              <w:spacing w:before="50" w:after="120" w:afterLines="50" w:line="400" w:lineRule="exact"/>
              <w:jc w:val="left"/>
              <w:rPr>
                <w:rFonts w:ascii="宋体" w:hAnsi="宋体"/>
                <w:szCs w:val="21"/>
              </w:rPr>
            </w:pPr>
          </w:p>
        </w:tc>
        <w:tc>
          <w:tcPr>
            <w:tcW w:w="1031" w:type="dxa"/>
            <w:tcBorders>
              <w:top w:val="single" w:color="auto" w:sz="4" w:space="0"/>
              <w:left w:val="single" w:color="auto" w:sz="4" w:space="0"/>
              <w:bottom w:val="single" w:color="auto" w:sz="4" w:space="0"/>
              <w:right w:val="single" w:color="auto" w:sz="4" w:space="0"/>
            </w:tcBorders>
          </w:tcPr>
          <w:p w14:paraId="2564A4A6">
            <w:pPr>
              <w:snapToGrid w:val="0"/>
              <w:spacing w:before="50" w:after="120" w:afterLines="50" w:line="400" w:lineRule="exact"/>
              <w:jc w:val="left"/>
              <w:rPr>
                <w:rFonts w:ascii="宋体" w:hAnsi="宋体"/>
                <w:szCs w:val="21"/>
              </w:rPr>
            </w:pPr>
          </w:p>
        </w:tc>
        <w:tc>
          <w:tcPr>
            <w:tcW w:w="1031" w:type="dxa"/>
            <w:tcBorders>
              <w:top w:val="single" w:color="auto" w:sz="4" w:space="0"/>
              <w:left w:val="single" w:color="auto" w:sz="4" w:space="0"/>
              <w:bottom w:val="single" w:color="auto" w:sz="4" w:space="0"/>
              <w:right w:val="single" w:color="auto" w:sz="4" w:space="0"/>
            </w:tcBorders>
          </w:tcPr>
          <w:p w14:paraId="210D3771">
            <w:pPr>
              <w:snapToGrid w:val="0"/>
              <w:spacing w:before="50" w:after="120" w:afterLines="50" w:line="400" w:lineRule="exact"/>
              <w:jc w:val="left"/>
              <w:rPr>
                <w:rFonts w:ascii="宋体" w:hAnsi="宋体"/>
                <w:szCs w:val="21"/>
              </w:rPr>
            </w:pPr>
          </w:p>
        </w:tc>
        <w:tc>
          <w:tcPr>
            <w:tcW w:w="1376" w:type="dxa"/>
            <w:tcBorders>
              <w:top w:val="single" w:color="auto" w:sz="4" w:space="0"/>
              <w:left w:val="single" w:color="auto" w:sz="4" w:space="0"/>
              <w:bottom w:val="single" w:color="auto" w:sz="4" w:space="0"/>
              <w:right w:val="single" w:color="auto" w:sz="4" w:space="0"/>
            </w:tcBorders>
          </w:tcPr>
          <w:p w14:paraId="1314BA4D">
            <w:pPr>
              <w:snapToGrid w:val="0"/>
              <w:spacing w:before="50" w:after="120" w:afterLines="50" w:line="400" w:lineRule="exact"/>
              <w:jc w:val="left"/>
              <w:rPr>
                <w:rFonts w:ascii="宋体" w:hAnsi="宋体"/>
                <w:szCs w:val="21"/>
              </w:rPr>
            </w:pPr>
          </w:p>
        </w:tc>
        <w:tc>
          <w:tcPr>
            <w:tcW w:w="2063" w:type="dxa"/>
            <w:tcBorders>
              <w:top w:val="single" w:color="auto" w:sz="4" w:space="0"/>
              <w:left w:val="single" w:color="auto" w:sz="4" w:space="0"/>
              <w:bottom w:val="single" w:color="auto" w:sz="4" w:space="0"/>
              <w:right w:val="single" w:color="auto" w:sz="4" w:space="0"/>
            </w:tcBorders>
          </w:tcPr>
          <w:p w14:paraId="1D3BE40E">
            <w:pPr>
              <w:snapToGrid w:val="0"/>
              <w:spacing w:before="50" w:after="120" w:afterLines="50" w:line="400" w:lineRule="exact"/>
              <w:jc w:val="left"/>
              <w:rPr>
                <w:rFonts w:ascii="宋体" w:hAnsi="宋体"/>
                <w:szCs w:val="21"/>
              </w:rPr>
            </w:pPr>
          </w:p>
        </w:tc>
      </w:tr>
      <w:tr w14:paraId="6032D18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6" w:hRule="atLeast"/>
        </w:trPr>
        <w:tc>
          <w:tcPr>
            <w:tcW w:w="1161" w:type="dxa"/>
            <w:tcBorders>
              <w:top w:val="single" w:color="auto" w:sz="4" w:space="0"/>
              <w:left w:val="single" w:color="auto" w:sz="4" w:space="0"/>
              <w:bottom w:val="single" w:color="auto" w:sz="4" w:space="0"/>
              <w:right w:val="single" w:color="auto" w:sz="4" w:space="0"/>
            </w:tcBorders>
          </w:tcPr>
          <w:p w14:paraId="6D631519">
            <w:pPr>
              <w:snapToGrid w:val="0"/>
              <w:spacing w:before="50" w:after="120" w:afterLines="50" w:line="400" w:lineRule="exact"/>
              <w:jc w:val="left"/>
              <w:rPr>
                <w:rFonts w:ascii="宋体" w:hAnsi="宋体"/>
                <w:szCs w:val="21"/>
              </w:rPr>
            </w:pPr>
          </w:p>
        </w:tc>
        <w:tc>
          <w:tcPr>
            <w:tcW w:w="3862" w:type="dxa"/>
            <w:tcBorders>
              <w:top w:val="single" w:color="auto" w:sz="4" w:space="0"/>
              <w:left w:val="single" w:color="auto" w:sz="4" w:space="0"/>
              <w:bottom w:val="single" w:color="auto" w:sz="4" w:space="0"/>
              <w:right w:val="single" w:color="auto" w:sz="4" w:space="0"/>
            </w:tcBorders>
          </w:tcPr>
          <w:p w14:paraId="0D2D489C">
            <w:pPr>
              <w:snapToGrid w:val="0"/>
              <w:spacing w:before="50" w:after="120" w:afterLines="50" w:line="400" w:lineRule="exact"/>
              <w:jc w:val="left"/>
              <w:rPr>
                <w:rFonts w:ascii="宋体" w:hAnsi="宋体"/>
                <w:szCs w:val="21"/>
              </w:rPr>
            </w:pPr>
          </w:p>
        </w:tc>
        <w:tc>
          <w:tcPr>
            <w:tcW w:w="3269" w:type="dxa"/>
            <w:tcBorders>
              <w:top w:val="single" w:color="auto" w:sz="4" w:space="0"/>
              <w:left w:val="single" w:color="auto" w:sz="4" w:space="0"/>
              <w:bottom w:val="single" w:color="auto" w:sz="4" w:space="0"/>
              <w:right w:val="single" w:color="auto" w:sz="4" w:space="0"/>
            </w:tcBorders>
          </w:tcPr>
          <w:p w14:paraId="1D474B23">
            <w:pPr>
              <w:snapToGrid w:val="0"/>
              <w:spacing w:before="50" w:after="120" w:afterLines="50" w:line="400" w:lineRule="exact"/>
              <w:jc w:val="left"/>
              <w:rPr>
                <w:rFonts w:ascii="宋体" w:hAnsi="宋体"/>
                <w:szCs w:val="21"/>
              </w:rPr>
            </w:pPr>
          </w:p>
        </w:tc>
        <w:tc>
          <w:tcPr>
            <w:tcW w:w="1031" w:type="dxa"/>
            <w:tcBorders>
              <w:top w:val="single" w:color="auto" w:sz="4" w:space="0"/>
              <w:left w:val="single" w:color="auto" w:sz="4" w:space="0"/>
              <w:bottom w:val="single" w:color="auto" w:sz="4" w:space="0"/>
              <w:right w:val="single" w:color="auto" w:sz="4" w:space="0"/>
            </w:tcBorders>
          </w:tcPr>
          <w:p w14:paraId="531A359C">
            <w:pPr>
              <w:snapToGrid w:val="0"/>
              <w:spacing w:before="50" w:after="120" w:afterLines="50" w:line="400" w:lineRule="exact"/>
              <w:jc w:val="left"/>
              <w:rPr>
                <w:rFonts w:ascii="宋体" w:hAnsi="宋体"/>
                <w:szCs w:val="21"/>
              </w:rPr>
            </w:pPr>
          </w:p>
        </w:tc>
        <w:tc>
          <w:tcPr>
            <w:tcW w:w="1031" w:type="dxa"/>
            <w:tcBorders>
              <w:top w:val="single" w:color="auto" w:sz="4" w:space="0"/>
              <w:left w:val="single" w:color="auto" w:sz="4" w:space="0"/>
              <w:bottom w:val="single" w:color="auto" w:sz="4" w:space="0"/>
              <w:right w:val="single" w:color="auto" w:sz="4" w:space="0"/>
            </w:tcBorders>
          </w:tcPr>
          <w:p w14:paraId="2F878ED8">
            <w:pPr>
              <w:snapToGrid w:val="0"/>
              <w:spacing w:before="50" w:after="120" w:afterLines="50" w:line="400" w:lineRule="exact"/>
              <w:jc w:val="left"/>
              <w:rPr>
                <w:rFonts w:ascii="宋体" w:hAnsi="宋体"/>
                <w:szCs w:val="21"/>
              </w:rPr>
            </w:pPr>
          </w:p>
        </w:tc>
        <w:tc>
          <w:tcPr>
            <w:tcW w:w="1376" w:type="dxa"/>
            <w:tcBorders>
              <w:top w:val="single" w:color="auto" w:sz="4" w:space="0"/>
              <w:left w:val="single" w:color="auto" w:sz="4" w:space="0"/>
              <w:bottom w:val="single" w:color="auto" w:sz="4" w:space="0"/>
              <w:right w:val="single" w:color="auto" w:sz="4" w:space="0"/>
            </w:tcBorders>
          </w:tcPr>
          <w:p w14:paraId="7E7FC0E4">
            <w:pPr>
              <w:snapToGrid w:val="0"/>
              <w:spacing w:before="50" w:after="120" w:afterLines="50" w:line="400" w:lineRule="exact"/>
              <w:jc w:val="left"/>
              <w:rPr>
                <w:rFonts w:ascii="宋体" w:hAnsi="宋体"/>
                <w:szCs w:val="21"/>
              </w:rPr>
            </w:pPr>
          </w:p>
        </w:tc>
        <w:tc>
          <w:tcPr>
            <w:tcW w:w="2063" w:type="dxa"/>
            <w:tcBorders>
              <w:top w:val="single" w:color="auto" w:sz="4" w:space="0"/>
              <w:left w:val="single" w:color="auto" w:sz="4" w:space="0"/>
              <w:bottom w:val="single" w:color="auto" w:sz="4" w:space="0"/>
              <w:right w:val="single" w:color="auto" w:sz="4" w:space="0"/>
            </w:tcBorders>
          </w:tcPr>
          <w:p w14:paraId="0617F586">
            <w:pPr>
              <w:snapToGrid w:val="0"/>
              <w:spacing w:before="50" w:after="120" w:afterLines="50" w:line="400" w:lineRule="exact"/>
              <w:jc w:val="left"/>
              <w:rPr>
                <w:rFonts w:ascii="宋体" w:hAnsi="宋体"/>
                <w:szCs w:val="21"/>
              </w:rPr>
            </w:pPr>
          </w:p>
        </w:tc>
      </w:tr>
      <w:tr w14:paraId="63F8F64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9" w:hRule="atLeast"/>
        </w:trPr>
        <w:tc>
          <w:tcPr>
            <w:tcW w:w="1161" w:type="dxa"/>
            <w:tcBorders>
              <w:top w:val="single" w:color="auto" w:sz="4" w:space="0"/>
              <w:left w:val="single" w:color="auto" w:sz="4" w:space="0"/>
              <w:bottom w:val="single" w:color="auto" w:sz="4" w:space="0"/>
              <w:right w:val="single" w:color="auto" w:sz="4" w:space="0"/>
            </w:tcBorders>
          </w:tcPr>
          <w:p w14:paraId="189DC6B9">
            <w:pPr>
              <w:snapToGrid w:val="0"/>
              <w:spacing w:before="50" w:after="120" w:afterLines="50" w:line="400" w:lineRule="exact"/>
              <w:jc w:val="left"/>
              <w:rPr>
                <w:rFonts w:ascii="宋体" w:hAnsi="宋体"/>
                <w:szCs w:val="21"/>
              </w:rPr>
            </w:pPr>
          </w:p>
        </w:tc>
        <w:tc>
          <w:tcPr>
            <w:tcW w:w="3862" w:type="dxa"/>
            <w:tcBorders>
              <w:top w:val="single" w:color="auto" w:sz="4" w:space="0"/>
              <w:left w:val="single" w:color="auto" w:sz="4" w:space="0"/>
              <w:bottom w:val="single" w:color="auto" w:sz="4" w:space="0"/>
              <w:right w:val="single" w:color="auto" w:sz="4" w:space="0"/>
            </w:tcBorders>
          </w:tcPr>
          <w:p w14:paraId="77DD5908">
            <w:pPr>
              <w:snapToGrid w:val="0"/>
              <w:spacing w:before="50" w:after="120" w:afterLines="50" w:line="400" w:lineRule="exact"/>
              <w:jc w:val="left"/>
              <w:rPr>
                <w:rFonts w:ascii="宋体" w:hAnsi="宋体"/>
                <w:szCs w:val="21"/>
              </w:rPr>
            </w:pPr>
          </w:p>
        </w:tc>
        <w:tc>
          <w:tcPr>
            <w:tcW w:w="3269" w:type="dxa"/>
            <w:tcBorders>
              <w:top w:val="single" w:color="auto" w:sz="4" w:space="0"/>
              <w:left w:val="single" w:color="auto" w:sz="4" w:space="0"/>
              <w:bottom w:val="single" w:color="auto" w:sz="4" w:space="0"/>
              <w:right w:val="single" w:color="auto" w:sz="4" w:space="0"/>
            </w:tcBorders>
          </w:tcPr>
          <w:p w14:paraId="01AD8018">
            <w:pPr>
              <w:snapToGrid w:val="0"/>
              <w:spacing w:before="50" w:after="120" w:afterLines="50" w:line="400" w:lineRule="exact"/>
              <w:jc w:val="left"/>
              <w:rPr>
                <w:rFonts w:ascii="宋体" w:hAnsi="宋体"/>
                <w:szCs w:val="21"/>
              </w:rPr>
            </w:pPr>
          </w:p>
        </w:tc>
        <w:tc>
          <w:tcPr>
            <w:tcW w:w="1031" w:type="dxa"/>
            <w:tcBorders>
              <w:top w:val="single" w:color="auto" w:sz="4" w:space="0"/>
              <w:left w:val="single" w:color="auto" w:sz="4" w:space="0"/>
              <w:bottom w:val="single" w:color="auto" w:sz="4" w:space="0"/>
              <w:right w:val="single" w:color="auto" w:sz="4" w:space="0"/>
            </w:tcBorders>
          </w:tcPr>
          <w:p w14:paraId="7817D9AE">
            <w:pPr>
              <w:snapToGrid w:val="0"/>
              <w:spacing w:before="50" w:after="120" w:afterLines="50" w:line="400" w:lineRule="exact"/>
              <w:jc w:val="left"/>
              <w:rPr>
                <w:rFonts w:ascii="宋体" w:hAnsi="宋体"/>
                <w:szCs w:val="21"/>
              </w:rPr>
            </w:pPr>
          </w:p>
        </w:tc>
        <w:tc>
          <w:tcPr>
            <w:tcW w:w="1031" w:type="dxa"/>
            <w:tcBorders>
              <w:top w:val="single" w:color="auto" w:sz="4" w:space="0"/>
              <w:left w:val="single" w:color="auto" w:sz="4" w:space="0"/>
              <w:bottom w:val="single" w:color="auto" w:sz="4" w:space="0"/>
              <w:right w:val="single" w:color="auto" w:sz="4" w:space="0"/>
            </w:tcBorders>
          </w:tcPr>
          <w:p w14:paraId="4606D48F">
            <w:pPr>
              <w:snapToGrid w:val="0"/>
              <w:spacing w:before="50" w:after="120" w:afterLines="50" w:line="400" w:lineRule="exact"/>
              <w:jc w:val="left"/>
              <w:rPr>
                <w:rFonts w:ascii="宋体" w:hAnsi="宋体"/>
                <w:szCs w:val="21"/>
              </w:rPr>
            </w:pPr>
          </w:p>
        </w:tc>
        <w:tc>
          <w:tcPr>
            <w:tcW w:w="1376" w:type="dxa"/>
            <w:tcBorders>
              <w:top w:val="single" w:color="auto" w:sz="4" w:space="0"/>
              <w:left w:val="single" w:color="auto" w:sz="4" w:space="0"/>
              <w:bottom w:val="single" w:color="auto" w:sz="4" w:space="0"/>
              <w:right w:val="single" w:color="auto" w:sz="4" w:space="0"/>
            </w:tcBorders>
          </w:tcPr>
          <w:p w14:paraId="0F155588">
            <w:pPr>
              <w:snapToGrid w:val="0"/>
              <w:spacing w:before="50" w:after="120" w:afterLines="50" w:line="400" w:lineRule="exact"/>
              <w:jc w:val="left"/>
              <w:rPr>
                <w:rFonts w:ascii="宋体" w:hAnsi="宋体"/>
                <w:szCs w:val="21"/>
              </w:rPr>
            </w:pPr>
          </w:p>
        </w:tc>
        <w:tc>
          <w:tcPr>
            <w:tcW w:w="2063" w:type="dxa"/>
            <w:tcBorders>
              <w:top w:val="single" w:color="auto" w:sz="4" w:space="0"/>
              <w:left w:val="single" w:color="auto" w:sz="4" w:space="0"/>
              <w:bottom w:val="single" w:color="auto" w:sz="4" w:space="0"/>
              <w:right w:val="single" w:color="auto" w:sz="4" w:space="0"/>
            </w:tcBorders>
          </w:tcPr>
          <w:p w14:paraId="407F053E">
            <w:pPr>
              <w:snapToGrid w:val="0"/>
              <w:spacing w:before="50" w:after="120" w:afterLines="50" w:line="400" w:lineRule="exact"/>
              <w:jc w:val="left"/>
              <w:rPr>
                <w:rFonts w:ascii="宋体" w:hAnsi="宋体"/>
                <w:szCs w:val="21"/>
              </w:rPr>
            </w:pPr>
          </w:p>
        </w:tc>
      </w:tr>
    </w:tbl>
    <w:p w14:paraId="610C40E7">
      <w:pPr>
        <w:pStyle w:val="15"/>
        <w:snapToGrid w:val="0"/>
        <w:rPr>
          <w:rFonts w:ascii="宋体" w:hAnsi="宋体" w:eastAsia="宋体" w:cs="Times New Roman"/>
          <w:sz w:val="21"/>
          <w:szCs w:val="21"/>
        </w:rPr>
      </w:pPr>
      <w:r>
        <w:rPr>
          <w:rFonts w:ascii="宋体" w:hAnsi="宋体" w:eastAsia="宋体" w:cs="Times New Roman"/>
          <w:sz w:val="21"/>
          <w:szCs w:val="21"/>
        </w:rPr>
        <w:t>注：</w:t>
      </w:r>
    </w:p>
    <w:p w14:paraId="2E22D295">
      <w:pPr>
        <w:pStyle w:val="15"/>
        <w:snapToGrid w:val="0"/>
        <w:rPr>
          <w:rFonts w:ascii="宋体" w:hAnsi="宋体" w:eastAsia="宋体" w:cs="Times New Roman"/>
          <w:sz w:val="21"/>
          <w:szCs w:val="21"/>
        </w:rPr>
      </w:pPr>
      <w:r>
        <w:rPr>
          <w:rFonts w:ascii="宋体" w:hAnsi="宋体" w:eastAsia="宋体" w:cs="Times New Roman"/>
          <w:szCs w:val="21"/>
        </w:rPr>
        <w:t>（1）</w:t>
      </w:r>
      <w:r>
        <w:rPr>
          <w:rFonts w:ascii="宋体" w:hAnsi="宋体" w:eastAsia="宋体" w:cs="Times New Roman"/>
          <w:sz w:val="21"/>
          <w:szCs w:val="21"/>
        </w:rPr>
        <w:t>未附证明材料的业绩无效，证明材料见第四章《评审方法及标准》规定。</w:t>
      </w:r>
    </w:p>
    <w:p w14:paraId="08F570DA">
      <w:pPr>
        <w:pStyle w:val="15"/>
        <w:snapToGrid w:val="0"/>
        <w:rPr>
          <w:rFonts w:ascii="宋体" w:hAnsi="宋体" w:eastAsia="宋体" w:cs="Times New Roman"/>
          <w:sz w:val="21"/>
          <w:szCs w:val="21"/>
        </w:rPr>
      </w:pPr>
      <w:r>
        <w:rPr>
          <w:rFonts w:ascii="宋体" w:hAnsi="宋体" w:eastAsia="宋体" w:cs="Times New Roman"/>
          <w:szCs w:val="21"/>
        </w:rPr>
        <w:t>（2）</w:t>
      </w:r>
      <w:r>
        <w:rPr>
          <w:rFonts w:ascii="宋体" w:hAnsi="宋体" w:eastAsia="宋体" w:cs="Times New Roman"/>
          <w:sz w:val="21"/>
          <w:szCs w:val="21"/>
        </w:rPr>
        <w:t>类似项目的定义见第四章《评审方法及标准》规定。</w:t>
      </w:r>
    </w:p>
    <w:p w14:paraId="4AF7230D">
      <w:pPr>
        <w:rPr>
          <w:rFonts w:ascii="宋体" w:hAnsi="宋体"/>
        </w:rPr>
      </w:pPr>
      <w:r>
        <w:rPr>
          <w:rFonts w:ascii="宋体" w:hAnsi="宋体"/>
          <w:szCs w:val="21"/>
        </w:rPr>
        <w:t>（3）</w:t>
      </w:r>
      <w:r>
        <w:rPr>
          <w:rFonts w:ascii="宋体" w:hAnsi="宋体"/>
        </w:rPr>
        <w:t>本表可拓展</w:t>
      </w:r>
    </w:p>
    <w:p w14:paraId="06088AFC">
      <w:pPr>
        <w:snapToGrid w:val="0"/>
        <w:spacing w:before="50"/>
        <w:jc w:val="left"/>
        <w:rPr>
          <w:rFonts w:ascii="宋体" w:hAnsi="宋体"/>
          <w:szCs w:val="21"/>
        </w:rPr>
      </w:pPr>
    </w:p>
    <w:p w14:paraId="10C8902F">
      <w:pPr>
        <w:snapToGrid w:val="0"/>
        <w:spacing w:before="50"/>
        <w:jc w:val="left"/>
        <w:rPr>
          <w:rFonts w:ascii="宋体" w:hAnsi="宋体"/>
          <w:szCs w:val="21"/>
        </w:rPr>
        <w:sectPr>
          <w:headerReference r:id="rId17" w:type="default"/>
          <w:footerReference r:id="rId18" w:type="default"/>
          <w:pgSz w:w="16838" w:h="11906" w:orient="landscape"/>
          <w:pgMar w:top="1274" w:right="1418" w:bottom="1418" w:left="1418" w:header="851" w:footer="992" w:gutter="0"/>
          <w:pgNumType w:fmt="decimal"/>
          <w:cols w:space="720" w:num="1"/>
          <w:docGrid w:linePitch="312" w:charSpace="0"/>
        </w:sectPr>
      </w:pPr>
      <w:r>
        <w:rPr>
          <w:rFonts w:ascii="宋体" w:hAnsi="宋体"/>
          <w:szCs w:val="21"/>
        </w:rPr>
        <w:t>供应商名称(电子签章)：</w:t>
      </w:r>
      <w:r>
        <w:rPr>
          <w:rFonts w:ascii="宋体" w:hAnsi="宋体"/>
          <w:szCs w:val="21"/>
          <w:u w:val="single"/>
        </w:rPr>
        <w:t xml:space="preserve">              </w:t>
      </w:r>
      <w:r>
        <w:rPr>
          <w:rFonts w:ascii="宋体" w:hAnsi="宋体"/>
          <w:szCs w:val="21"/>
        </w:rPr>
        <w:t xml:space="preserve">                                          年    月     日</w:t>
      </w:r>
    </w:p>
    <w:p w14:paraId="79501C1C">
      <w:pPr>
        <w:spacing w:before="240" w:after="60"/>
        <w:jc w:val="center"/>
        <w:rPr>
          <w:rFonts w:ascii="宋体" w:hAnsi="宋体"/>
          <w:bCs/>
          <w:szCs w:val="21"/>
        </w:rPr>
      </w:pPr>
      <w:bookmarkStart w:id="98" w:name="_Hlk93046716"/>
      <w:bookmarkStart w:id="99" w:name="_Hlk19110561"/>
      <w:r>
        <w:rPr>
          <w:rFonts w:ascii="宋体" w:hAnsi="宋体"/>
          <w:bCs/>
          <w:szCs w:val="21"/>
        </w:rPr>
        <w:t>5.车辆信息表</w:t>
      </w:r>
    </w:p>
    <w:p w14:paraId="1153517D">
      <w:pPr>
        <w:spacing w:line="360" w:lineRule="exact"/>
        <w:ind w:firstLine="105" w:firstLineChars="50"/>
        <w:rPr>
          <w:rFonts w:ascii="宋体" w:hAnsi="宋体"/>
          <w:szCs w:val="21"/>
        </w:rPr>
      </w:pPr>
      <w:r>
        <w:rPr>
          <w:rFonts w:ascii="宋体" w:hAnsi="宋体"/>
          <w:szCs w:val="21"/>
        </w:rPr>
        <w:t>磋商供应商（盖章）：</w:t>
      </w:r>
    </w:p>
    <w:tbl>
      <w:tblPr>
        <w:tblStyle w:val="51"/>
        <w:tblW w:w="897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1"/>
        <w:gridCol w:w="1455"/>
        <w:gridCol w:w="1030"/>
        <w:gridCol w:w="1122"/>
        <w:gridCol w:w="1122"/>
        <w:gridCol w:w="1122"/>
        <w:gridCol w:w="1122"/>
        <w:gridCol w:w="1123"/>
      </w:tblGrid>
      <w:tr w14:paraId="08883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1" w:type="dxa"/>
            <w:vAlign w:val="center"/>
          </w:tcPr>
          <w:p w14:paraId="4469F0DE">
            <w:pPr>
              <w:spacing w:line="360" w:lineRule="exact"/>
              <w:ind w:left="-63" w:leftChars="-30" w:right="-63" w:rightChars="-30"/>
              <w:jc w:val="center"/>
              <w:rPr>
                <w:rFonts w:ascii="宋体" w:hAnsi="宋体"/>
                <w:szCs w:val="21"/>
              </w:rPr>
            </w:pPr>
            <w:r>
              <w:rPr>
                <w:rFonts w:ascii="宋体" w:hAnsi="宋体"/>
                <w:szCs w:val="21"/>
              </w:rPr>
              <w:t>序号</w:t>
            </w:r>
          </w:p>
        </w:tc>
        <w:tc>
          <w:tcPr>
            <w:tcW w:w="1455" w:type="dxa"/>
            <w:vAlign w:val="center"/>
          </w:tcPr>
          <w:p w14:paraId="2F4A40ED">
            <w:pPr>
              <w:spacing w:line="360" w:lineRule="exact"/>
              <w:ind w:left="-63" w:leftChars="-30" w:right="-63" w:rightChars="-30"/>
              <w:jc w:val="center"/>
              <w:rPr>
                <w:rFonts w:ascii="宋体" w:hAnsi="宋体"/>
                <w:szCs w:val="21"/>
              </w:rPr>
            </w:pPr>
            <w:r>
              <w:rPr>
                <w:rFonts w:ascii="宋体" w:hAnsi="宋体"/>
                <w:szCs w:val="21"/>
              </w:rPr>
              <w:t>车辆类别</w:t>
            </w:r>
          </w:p>
        </w:tc>
        <w:tc>
          <w:tcPr>
            <w:tcW w:w="1030" w:type="dxa"/>
            <w:vAlign w:val="center"/>
          </w:tcPr>
          <w:p w14:paraId="4EA99A7D">
            <w:pPr>
              <w:spacing w:line="360" w:lineRule="exact"/>
              <w:ind w:left="-63" w:leftChars="-30" w:right="-63" w:rightChars="-30"/>
              <w:jc w:val="center"/>
              <w:rPr>
                <w:rFonts w:ascii="宋体" w:hAnsi="宋体"/>
                <w:szCs w:val="21"/>
              </w:rPr>
            </w:pPr>
            <w:r>
              <w:rPr>
                <w:rFonts w:ascii="宋体" w:hAnsi="宋体"/>
                <w:szCs w:val="21"/>
              </w:rPr>
              <w:t>车型</w:t>
            </w:r>
          </w:p>
        </w:tc>
        <w:tc>
          <w:tcPr>
            <w:tcW w:w="1122" w:type="dxa"/>
            <w:vAlign w:val="center"/>
          </w:tcPr>
          <w:p w14:paraId="5B9897CF">
            <w:pPr>
              <w:spacing w:line="360" w:lineRule="exact"/>
              <w:ind w:left="-63" w:leftChars="-30" w:right="-63" w:rightChars="-30"/>
              <w:jc w:val="center"/>
              <w:rPr>
                <w:rFonts w:ascii="宋体" w:hAnsi="宋体"/>
                <w:szCs w:val="21"/>
              </w:rPr>
            </w:pPr>
            <w:r>
              <w:rPr>
                <w:rFonts w:ascii="宋体" w:hAnsi="宋体"/>
                <w:szCs w:val="21"/>
              </w:rPr>
              <w:t xml:space="preserve">车牌号 </w:t>
            </w:r>
          </w:p>
        </w:tc>
        <w:tc>
          <w:tcPr>
            <w:tcW w:w="1122" w:type="dxa"/>
            <w:vAlign w:val="center"/>
          </w:tcPr>
          <w:p w14:paraId="0804B758">
            <w:pPr>
              <w:spacing w:line="360" w:lineRule="exact"/>
              <w:ind w:left="-63" w:leftChars="-30" w:right="-63" w:rightChars="-30"/>
              <w:jc w:val="center"/>
              <w:rPr>
                <w:rFonts w:ascii="宋体" w:hAnsi="宋体"/>
                <w:szCs w:val="21"/>
              </w:rPr>
            </w:pPr>
            <w:r>
              <w:rPr>
                <w:rFonts w:ascii="宋体" w:hAnsi="宋体"/>
                <w:szCs w:val="21"/>
              </w:rPr>
              <w:t xml:space="preserve">车辆行驶证扫描件 </w:t>
            </w:r>
          </w:p>
        </w:tc>
        <w:tc>
          <w:tcPr>
            <w:tcW w:w="1122" w:type="dxa"/>
            <w:vAlign w:val="center"/>
          </w:tcPr>
          <w:p w14:paraId="37FA67F6">
            <w:pPr>
              <w:spacing w:line="360" w:lineRule="exact"/>
              <w:ind w:left="-63" w:leftChars="-30" w:right="-63" w:rightChars="-30"/>
              <w:jc w:val="center"/>
              <w:rPr>
                <w:rFonts w:ascii="宋体" w:hAnsi="宋体"/>
                <w:szCs w:val="21"/>
              </w:rPr>
            </w:pPr>
            <w:r>
              <w:rPr>
                <w:rFonts w:ascii="宋体" w:hAnsi="宋体"/>
                <w:szCs w:val="21"/>
              </w:rPr>
              <w:t>车辆外观</w:t>
            </w:r>
          </w:p>
          <w:p w14:paraId="1C731CAA">
            <w:pPr>
              <w:spacing w:line="360" w:lineRule="exact"/>
              <w:ind w:left="-63" w:leftChars="-30" w:right="-63" w:rightChars="-30"/>
              <w:jc w:val="center"/>
              <w:rPr>
                <w:rFonts w:ascii="宋体" w:hAnsi="宋体"/>
                <w:szCs w:val="21"/>
              </w:rPr>
            </w:pPr>
            <w:r>
              <w:rPr>
                <w:rFonts w:ascii="宋体" w:hAnsi="宋体"/>
                <w:szCs w:val="21"/>
              </w:rPr>
              <w:t>图片</w:t>
            </w:r>
          </w:p>
        </w:tc>
        <w:tc>
          <w:tcPr>
            <w:tcW w:w="1122" w:type="dxa"/>
            <w:vAlign w:val="center"/>
          </w:tcPr>
          <w:p w14:paraId="071F6680">
            <w:pPr>
              <w:spacing w:line="360" w:lineRule="exact"/>
              <w:ind w:left="-63" w:leftChars="-30" w:right="-63" w:rightChars="-30"/>
              <w:jc w:val="center"/>
              <w:rPr>
                <w:rFonts w:ascii="宋体" w:hAnsi="宋体"/>
                <w:szCs w:val="21"/>
              </w:rPr>
            </w:pPr>
            <w:r>
              <w:rPr>
                <w:rFonts w:ascii="宋体" w:hAnsi="宋体"/>
                <w:szCs w:val="21"/>
              </w:rPr>
              <w:t>车辆内饰</w:t>
            </w:r>
          </w:p>
          <w:p w14:paraId="5AABED94">
            <w:pPr>
              <w:spacing w:line="360" w:lineRule="exact"/>
              <w:ind w:left="-63" w:leftChars="-30" w:right="-63" w:rightChars="-30"/>
              <w:jc w:val="center"/>
              <w:rPr>
                <w:rFonts w:ascii="宋体" w:hAnsi="宋体"/>
                <w:szCs w:val="21"/>
              </w:rPr>
            </w:pPr>
            <w:r>
              <w:rPr>
                <w:rFonts w:ascii="宋体" w:hAnsi="宋体"/>
                <w:szCs w:val="21"/>
              </w:rPr>
              <w:t>图片</w:t>
            </w:r>
          </w:p>
        </w:tc>
        <w:tc>
          <w:tcPr>
            <w:tcW w:w="1123" w:type="dxa"/>
            <w:vAlign w:val="center"/>
          </w:tcPr>
          <w:p w14:paraId="10C61FA2">
            <w:pPr>
              <w:spacing w:line="360" w:lineRule="exact"/>
              <w:ind w:left="-63" w:leftChars="-30" w:right="-63" w:rightChars="-30"/>
              <w:jc w:val="center"/>
              <w:rPr>
                <w:rFonts w:ascii="宋体" w:hAnsi="宋体"/>
                <w:szCs w:val="21"/>
              </w:rPr>
            </w:pPr>
            <w:r>
              <w:rPr>
                <w:rFonts w:ascii="宋体" w:hAnsi="宋体"/>
                <w:szCs w:val="21"/>
              </w:rPr>
              <w:t>是否</w:t>
            </w:r>
          </w:p>
          <w:p w14:paraId="1BB84DAA">
            <w:pPr>
              <w:spacing w:line="360" w:lineRule="exact"/>
              <w:ind w:left="-63" w:leftChars="-30" w:right="-63" w:rightChars="-30"/>
              <w:jc w:val="center"/>
              <w:rPr>
                <w:rFonts w:ascii="宋体" w:hAnsi="宋体"/>
                <w:szCs w:val="21"/>
              </w:rPr>
            </w:pPr>
            <w:r>
              <w:rPr>
                <w:rFonts w:ascii="宋体" w:hAnsi="宋体"/>
                <w:szCs w:val="21"/>
              </w:rPr>
              <w:t>裸车</w:t>
            </w:r>
          </w:p>
        </w:tc>
      </w:tr>
      <w:tr w14:paraId="6E7AC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881" w:type="dxa"/>
            <w:vAlign w:val="center"/>
          </w:tcPr>
          <w:p w14:paraId="6C65E3FD">
            <w:pPr>
              <w:spacing w:line="360" w:lineRule="exact"/>
              <w:ind w:left="-63" w:leftChars="-30" w:right="-63" w:rightChars="-30"/>
              <w:jc w:val="center"/>
              <w:rPr>
                <w:rFonts w:ascii="宋体" w:hAnsi="宋体"/>
                <w:szCs w:val="21"/>
              </w:rPr>
            </w:pPr>
          </w:p>
        </w:tc>
        <w:tc>
          <w:tcPr>
            <w:tcW w:w="1455" w:type="dxa"/>
            <w:vMerge w:val="restart"/>
            <w:vAlign w:val="center"/>
          </w:tcPr>
          <w:p w14:paraId="1BE85A72">
            <w:pPr>
              <w:spacing w:line="360" w:lineRule="exact"/>
              <w:ind w:left="-63" w:leftChars="-30" w:right="-63" w:rightChars="-30"/>
              <w:jc w:val="center"/>
              <w:rPr>
                <w:rFonts w:hint="eastAsia" w:ascii="宋体" w:hAnsi="宋体"/>
                <w:szCs w:val="21"/>
              </w:rPr>
            </w:pPr>
            <w:r>
              <w:rPr>
                <w:rFonts w:hint="eastAsia" w:ascii="宋体" w:hAnsi="宋体"/>
                <w:szCs w:val="21"/>
              </w:rPr>
              <w:t>高级轿车（国宾用车，红旗H9，5座）</w:t>
            </w:r>
          </w:p>
        </w:tc>
        <w:tc>
          <w:tcPr>
            <w:tcW w:w="1030" w:type="dxa"/>
            <w:vAlign w:val="center"/>
          </w:tcPr>
          <w:p w14:paraId="3BE292DE">
            <w:pPr>
              <w:spacing w:line="360" w:lineRule="exact"/>
              <w:ind w:left="-63" w:leftChars="-30" w:right="-63" w:rightChars="-30"/>
              <w:jc w:val="center"/>
              <w:rPr>
                <w:rFonts w:ascii="宋体" w:hAnsi="宋体"/>
                <w:szCs w:val="21"/>
              </w:rPr>
            </w:pPr>
          </w:p>
        </w:tc>
        <w:tc>
          <w:tcPr>
            <w:tcW w:w="1122" w:type="dxa"/>
            <w:vAlign w:val="center"/>
          </w:tcPr>
          <w:p w14:paraId="7E29251D">
            <w:pPr>
              <w:spacing w:line="360" w:lineRule="exact"/>
              <w:ind w:left="-63" w:leftChars="-30" w:right="-63" w:rightChars="-30"/>
              <w:jc w:val="center"/>
              <w:rPr>
                <w:rFonts w:ascii="宋体" w:hAnsi="宋体"/>
                <w:szCs w:val="21"/>
              </w:rPr>
            </w:pPr>
          </w:p>
        </w:tc>
        <w:tc>
          <w:tcPr>
            <w:tcW w:w="1122" w:type="dxa"/>
            <w:vAlign w:val="center"/>
          </w:tcPr>
          <w:p w14:paraId="0B81BAE8">
            <w:pPr>
              <w:spacing w:line="360" w:lineRule="exact"/>
              <w:ind w:left="-63" w:leftChars="-30" w:right="-63" w:rightChars="-30"/>
              <w:jc w:val="center"/>
              <w:rPr>
                <w:rFonts w:ascii="宋体" w:hAnsi="宋体"/>
                <w:szCs w:val="21"/>
              </w:rPr>
            </w:pPr>
          </w:p>
        </w:tc>
        <w:tc>
          <w:tcPr>
            <w:tcW w:w="1122" w:type="dxa"/>
            <w:vAlign w:val="center"/>
          </w:tcPr>
          <w:p w14:paraId="0AEC0304">
            <w:pPr>
              <w:spacing w:line="360" w:lineRule="exact"/>
              <w:ind w:left="-63" w:leftChars="-30" w:right="-63" w:rightChars="-30"/>
              <w:jc w:val="center"/>
              <w:rPr>
                <w:rFonts w:ascii="宋体" w:hAnsi="宋体"/>
                <w:szCs w:val="21"/>
              </w:rPr>
            </w:pPr>
          </w:p>
        </w:tc>
        <w:tc>
          <w:tcPr>
            <w:tcW w:w="1122" w:type="dxa"/>
            <w:vAlign w:val="center"/>
          </w:tcPr>
          <w:p w14:paraId="1B3C74CA">
            <w:pPr>
              <w:spacing w:line="360" w:lineRule="exact"/>
              <w:ind w:left="-63" w:leftChars="-30" w:right="-63" w:rightChars="-30"/>
              <w:jc w:val="center"/>
              <w:rPr>
                <w:rFonts w:ascii="宋体" w:hAnsi="宋体"/>
                <w:szCs w:val="21"/>
              </w:rPr>
            </w:pPr>
          </w:p>
        </w:tc>
        <w:tc>
          <w:tcPr>
            <w:tcW w:w="1123" w:type="dxa"/>
            <w:vAlign w:val="center"/>
          </w:tcPr>
          <w:p w14:paraId="79593608">
            <w:pPr>
              <w:spacing w:line="360" w:lineRule="exact"/>
              <w:ind w:left="-63" w:leftChars="-30" w:right="-63" w:rightChars="-30"/>
              <w:jc w:val="center"/>
              <w:rPr>
                <w:rFonts w:ascii="宋体" w:hAnsi="宋体"/>
                <w:szCs w:val="21"/>
              </w:rPr>
            </w:pPr>
          </w:p>
        </w:tc>
      </w:tr>
      <w:tr w14:paraId="0977F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881" w:type="dxa"/>
            <w:vAlign w:val="center"/>
          </w:tcPr>
          <w:p w14:paraId="77A99D05">
            <w:pPr>
              <w:spacing w:line="360" w:lineRule="exact"/>
              <w:ind w:left="-63" w:leftChars="-30" w:right="-63" w:rightChars="-30"/>
              <w:jc w:val="center"/>
              <w:rPr>
                <w:rFonts w:ascii="宋体" w:hAnsi="宋体"/>
                <w:szCs w:val="21"/>
              </w:rPr>
            </w:pPr>
          </w:p>
        </w:tc>
        <w:tc>
          <w:tcPr>
            <w:tcW w:w="1455" w:type="dxa"/>
            <w:vMerge w:val="continue"/>
            <w:vAlign w:val="center"/>
          </w:tcPr>
          <w:p w14:paraId="40F9AFD8">
            <w:pPr>
              <w:spacing w:line="360" w:lineRule="exact"/>
              <w:ind w:left="-63" w:leftChars="-30" w:right="-63" w:rightChars="-30"/>
              <w:jc w:val="center"/>
              <w:rPr>
                <w:rFonts w:ascii="宋体" w:hAnsi="宋体"/>
                <w:szCs w:val="21"/>
              </w:rPr>
            </w:pPr>
          </w:p>
        </w:tc>
        <w:tc>
          <w:tcPr>
            <w:tcW w:w="1030" w:type="dxa"/>
            <w:vAlign w:val="center"/>
          </w:tcPr>
          <w:p w14:paraId="45DBC204">
            <w:pPr>
              <w:spacing w:line="360" w:lineRule="exact"/>
              <w:ind w:left="-63" w:leftChars="-30" w:right="-63" w:rightChars="-30"/>
              <w:jc w:val="center"/>
              <w:rPr>
                <w:rFonts w:ascii="宋体" w:hAnsi="宋体"/>
                <w:szCs w:val="21"/>
              </w:rPr>
            </w:pPr>
          </w:p>
        </w:tc>
        <w:tc>
          <w:tcPr>
            <w:tcW w:w="1122" w:type="dxa"/>
            <w:vAlign w:val="center"/>
          </w:tcPr>
          <w:p w14:paraId="1AAEF769">
            <w:pPr>
              <w:spacing w:line="360" w:lineRule="exact"/>
              <w:ind w:left="-63" w:leftChars="-30" w:right="-63" w:rightChars="-30"/>
              <w:jc w:val="center"/>
              <w:rPr>
                <w:rFonts w:ascii="宋体" w:hAnsi="宋体"/>
                <w:szCs w:val="21"/>
              </w:rPr>
            </w:pPr>
          </w:p>
        </w:tc>
        <w:tc>
          <w:tcPr>
            <w:tcW w:w="1122" w:type="dxa"/>
            <w:vAlign w:val="center"/>
          </w:tcPr>
          <w:p w14:paraId="45563675">
            <w:pPr>
              <w:spacing w:line="360" w:lineRule="exact"/>
              <w:ind w:left="-63" w:leftChars="-30" w:right="-63" w:rightChars="-30"/>
              <w:jc w:val="center"/>
              <w:rPr>
                <w:rFonts w:ascii="宋体" w:hAnsi="宋体"/>
                <w:szCs w:val="21"/>
              </w:rPr>
            </w:pPr>
          </w:p>
        </w:tc>
        <w:tc>
          <w:tcPr>
            <w:tcW w:w="1122" w:type="dxa"/>
            <w:vAlign w:val="center"/>
          </w:tcPr>
          <w:p w14:paraId="17741301">
            <w:pPr>
              <w:spacing w:line="360" w:lineRule="exact"/>
              <w:ind w:left="-63" w:leftChars="-30" w:right="-63" w:rightChars="-30"/>
              <w:jc w:val="center"/>
              <w:rPr>
                <w:rFonts w:ascii="宋体" w:hAnsi="宋体"/>
                <w:szCs w:val="21"/>
              </w:rPr>
            </w:pPr>
          </w:p>
        </w:tc>
        <w:tc>
          <w:tcPr>
            <w:tcW w:w="1122" w:type="dxa"/>
            <w:vAlign w:val="center"/>
          </w:tcPr>
          <w:p w14:paraId="5B09C170">
            <w:pPr>
              <w:spacing w:line="360" w:lineRule="exact"/>
              <w:ind w:left="-63" w:leftChars="-30" w:right="-63" w:rightChars="-30"/>
              <w:jc w:val="center"/>
              <w:rPr>
                <w:rFonts w:ascii="宋体" w:hAnsi="宋体"/>
                <w:szCs w:val="21"/>
              </w:rPr>
            </w:pPr>
          </w:p>
        </w:tc>
        <w:tc>
          <w:tcPr>
            <w:tcW w:w="1123" w:type="dxa"/>
            <w:vAlign w:val="center"/>
          </w:tcPr>
          <w:p w14:paraId="204EC8BF">
            <w:pPr>
              <w:spacing w:line="360" w:lineRule="exact"/>
              <w:ind w:left="-63" w:leftChars="-30" w:right="-63" w:rightChars="-30"/>
              <w:jc w:val="center"/>
              <w:rPr>
                <w:rFonts w:ascii="宋体" w:hAnsi="宋体"/>
                <w:szCs w:val="21"/>
              </w:rPr>
            </w:pPr>
          </w:p>
        </w:tc>
      </w:tr>
      <w:tr w14:paraId="3B557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36" w:type="dxa"/>
            <w:gridSpan w:val="2"/>
            <w:vAlign w:val="center"/>
          </w:tcPr>
          <w:p w14:paraId="5B9D796C">
            <w:pPr>
              <w:spacing w:line="360" w:lineRule="exact"/>
              <w:ind w:left="-63" w:leftChars="-30" w:right="-63" w:rightChars="-30"/>
              <w:jc w:val="center"/>
              <w:rPr>
                <w:rFonts w:ascii="宋体" w:hAnsi="宋体"/>
                <w:szCs w:val="21"/>
              </w:rPr>
            </w:pPr>
            <w:r>
              <w:rPr>
                <w:rFonts w:ascii="宋体" w:hAnsi="宋体"/>
                <w:szCs w:val="21"/>
              </w:rPr>
              <w:t>该类别承诺供车数:</w:t>
            </w:r>
          </w:p>
        </w:tc>
        <w:tc>
          <w:tcPr>
            <w:tcW w:w="6641" w:type="dxa"/>
            <w:gridSpan w:val="6"/>
            <w:vAlign w:val="center"/>
          </w:tcPr>
          <w:p w14:paraId="4347FA2D">
            <w:pPr>
              <w:spacing w:line="360" w:lineRule="exact"/>
              <w:ind w:left="-63" w:leftChars="-30" w:right="-63" w:rightChars="-30"/>
              <w:jc w:val="center"/>
              <w:rPr>
                <w:rFonts w:ascii="宋体" w:hAnsi="宋体"/>
                <w:szCs w:val="21"/>
              </w:rPr>
            </w:pPr>
          </w:p>
        </w:tc>
      </w:tr>
      <w:tr w14:paraId="5D57A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881" w:type="dxa"/>
            <w:vAlign w:val="center"/>
          </w:tcPr>
          <w:p w14:paraId="58CE8E7A">
            <w:pPr>
              <w:spacing w:line="360" w:lineRule="exact"/>
              <w:ind w:left="-63" w:leftChars="-30" w:right="-63" w:rightChars="-30"/>
              <w:jc w:val="center"/>
              <w:rPr>
                <w:rFonts w:ascii="宋体" w:hAnsi="宋体"/>
                <w:szCs w:val="21"/>
              </w:rPr>
            </w:pPr>
          </w:p>
        </w:tc>
        <w:tc>
          <w:tcPr>
            <w:tcW w:w="1455" w:type="dxa"/>
            <w:vMerge w:val="restart"/>
            <w:vAlign w:val="center"/>
          </w:tcPr>
          <w:p w14:paraId="073CBF6E">
            <w:pPr>
              <w:spacing w:line="360" w:lineRule="exact"/>
              <w:jc w:val="center"/>
              <w:rPr>
                <w:rFonts w:ascii="宋体" w:hAnsi="宋体"/>
                <w:szCs w:val="21"/>
              </w:rPr>
            </w:pPr>
            <w:r>
              <w:rPr>
                <w:rFonts w:ascii="宋体" w:hAnsi="宋体"/>
                <w:szCs w:val="21"/>
              </w:rPr>
              <w:t>高级轿车</w:t>
            </w:r>
          </w:p>
          <w:p w14:paraId="4088A206">
            <w:pPr>
              <w:spacing w:line="360" w:lineRule="exact"/>
              <w:jc w:val="center"/>
              <w:rPr>
                <w:rFonts w:ascii="宋体" w:hAnsi="宋体"/>
                <w:szCs w:val="21"/>
              </w:rPr>
            </w:pPr>
            <w:r>
              <w:rPr>
                <w:rFonts w:ascii="宋体" w:hAnsi="宋体"/>
                <w:szCs w:val="21"/>
              </w:rPr>
              <w:t>(5座)</w:t>
            </w:r>
          </w:p>
        </w:tc>
        <w:tc>
          <w:tcPr>
            <w:tcW w:w="1030" w:type="dxa"/>
          </w:tcPr>
          <w:p w14:paraId="54BC8975">
            <w:pPr>
              <w:spacing w:line="360" w:lineRule="exact"/>
              <w:ind w:left="-63" w:leftChars="-30" w:right="-63" w:rightChars="-30"/>
              <w:rPr>
                <w:rFonts w:ascii="宋体" w:hAnsi="宋体"/>
                <w:szCs w:val="21"/>
              </w:rPr>
            </w:pPr>
          </w:p>
        </w:tc>
        <w:tc>
          <w:tcPr>
            <w:tcW w:w="1122" w:type="dxa"/>
          </w:tcPr>
          <w:p w14:paraId="5FF24011">
            <w:pPr>
              <w:spacing w:line="360" w:lineRule="exact"/>
              <w:ind w:left="-63" w:leftChars="-30" w:right="-63" w:rightChars="-30"/>
              <w:rPr>
                <w:rFonts w:ascii="宋体" w:hAnsi="宋体"/>
                <w:szCs w:val="21"/>
              </w:rPr>
            </w:pPr>
          </w:p>
        </w:tc>
        <w:tc>
          <w:tcPr>
            <w:tcW w:w="1122" w:type="dxa"/>
          </w:tcPr>
          <w:p w14:paraId="6B90C1F6">
            <w:pPr>
              <w:spacing w:line="360" w:lineRule="exact"/>
              <w:ind w:left="-63" w:leftChars="-30" w:right="-63" w:rightChars="-30"/>
              <w:rPr>
                <w:rFonts w:ascii="宋体" w:hAnsi="宋体"/>
                <w:szCs w:val="21"/>
              </w:rPr>
            </w:pPr>
          </w:p>
        </w:tc>
        <w:tc>
          <w:tcPr>
            <w:tcW w:w="1122" w:type="dxa"/>
          </w:tcPr>
          <w:p w14:paraId="2B6DE8E3">
            <w:pPr>
              <w:spacing w:line="360" w:lineRule="exact"/>
              <w:ind w:left="-63" w:leftChars="-30" w:right="-63" w:rightChars="-30"/>
              <w:rPr>
                <w:rFonts w:ascii="宋体" w:hAnsi="宋体"/>
                <w:szCs w:val="21"/>
              </w:rPr>
            </w:pPr>
          </w:p>
        </w:tc>
        <w:tc>
          <w:tcPr>
            <w:tcW w:w="1122" w:type="dxa"/>
          </w:tcPr>
          <w:p w14:paraId="328C234F">
            <w:pPr>
              <w:spacing w:line="360" w:lineRule="exact"/>
              <w:ind w:left="-63" w:leftChars="-30" w:right="-63" w:rightChars="-30"/>
              <w:rPr>
                <w:rFonts w:ascii="宋体" w:hAnsi="宋体"/>
                <w:szCs w:val="21"/>
              </w:rPr>
            </w:pPr>
          </w:p>
        </w:tc>
        <w:tc>
          <w:tcPr>
            <w:tcW w:w="1123" w:type="dxa"/>
          </w:tcPr>
          <w:p w14:paraId="4533552E">
            <w:pPr>
              <w:spacing w:line="360" w:lineRule="exact"/>
              <w:ind w:left="-63" w:leftChars="-30" w:right="-63" w:rightChars="-30"/>
              <w:rPr>
                <w:rFonts w:ascii="宋体" w:hAnsi="宋体"/>
                <w:szCs w:val="21"/>
              </w:rPr>
            </w:pPr>
          </w:p>
        </w:tc>
      </w:tr>
      <w:tr w14:paraId="36991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81" w:type="dxa"/>
            <w:vAlign w:val="center"/>
          </w:tcPr>
          <w:p w14:paraId="07346304">
            <w:pPr>
              <w:spacing w:line="360" w:lineRule="exact"/>
              <w:ind w:left="-63" w:leftChars="-30" w:right="-63" w:rightChars="-30"/>
              <w:rPr>
                <w:rFonts w:ascii="宋体" w:hAnsi="宋体"/>
                <w:szCs w:val="21"/>
              </w:rPr>
            </w:pPr>
          </w:p>
        </w:tc>
        <w:tc>
          <w:tcPr>
            <w:tcW w:w="1455" w:type="dxa"/>
            <w:vMerge w:val="continue"/>
            <w:vAlign w:val="center"/>
          </w:tcPr>
          <w:p w14:paraId="7FC74F9D">
            <w:pPr>
              <w:spacing w:line="360" w:lineRule="exact"/>
              <w:jc w:val="center"/>
              <w:rPr>
                <w:rFonts w:ascii="宋体" w:hAnsi="宋体"/>
                <w:szCs w:val="21"/>
              </w:rPr>
            </w:pPr>
          </w:p>
        </w:tc>
        <w:tc>
          <w:tcPr>
            <w:tcW w:w="1030" w:type="dxa"/>
          </w:tcPr>
          <w:p w14:paraId="1C463EF6">
            <w:pPr>
              <w:spacing w:line="360" w:lineRule="exact"/>
              <w:ind w:left="-63" w:leftChars="-30" w:right="-63" w:rightChars="-30"/>
              <w:rPr>
                <w:rFonts w:ascii="宋体" w:hAnsi="宋体"/>
                <w:szCs w:val="21"/>
              </w:rPr>
            </w:pPr>
          </w:p>
        </w:tc>
        <w:tc>
          <w:tcPr>
            <w:tcW w:w="1122" w:type="dxa"/>
          </w:tcPr>
          <w:p w14:paraId="4DEA1FD5">
            <w:pPr>
              <w:spacing w:line="360" w:lineRule="exact"/>
              <w:ind w:left="-63" w:leftChars="-30" w:right="-63" w:rightChars="-30"/>
              <w:rPr>
                <w:rFonts w:ascii="宋体" w:hAnsi="宋体"/>
                <w:szCs w:val="21"/>
              </w:rPr>
            </w:pPr>
          </w:p>
        </w:tc>
        <w:tc>
          <w:tcPr>
            <w:tcW w:w="1122" w:type="dxa"/>
          </w:tcPr>
          <w:p w14:paraId="29D41EA0">
            <w:pPr>
              <w:spacing w:line="360" w:lineRule="exact"/>
              <w:ind w:left="-63" w:leftChars="-30" w:right="-63" w:rightChars="-30"/>
              <w:rPr>
                <w:rFonts w:ascii="宋体" w:hAnsi="宋体"/>
                <w:szCs w:val="21"/>
              </w:rPr>
            </w:pPr>
          </w:p>
        </w:tc>
        <w:tc>
          <w:tcPr>
            <w:tcW w:w="1122" w:type="dxa"/>
          </w:tcPr>
          <w:p w14:paraId="49A79759">
            <w:pPr>
              <w:spacing w:line="360" w:lineRule="exact"/>
              <w:ind w:left="-63" w:leftChars="-30" w:right="-63" w:rightChars="-30"/>
              <w:rPr>
                <w:rFonts w:ascii="宋体" w:hAnsi="宋体"/>
                <w:szCs w:val="21"/>
              </w:rPr>
            </w:pPr>
          </w:p>
        </w:tc>
        <w:tc>
          <w:tcPr>
            <w:tcW w:w="1122" w:type="dxa"/>
          </w:tcPr>
          <w:p w14:paraId="3D660627">
            <w:pPr>
              <w:spacing w:line="360" w:lineRule="exact"/>
              <w:ind w:left="-63" w:leftChars="-30" w:right="-63" w:rightChars="-30"/>
              <w:rPr>
                <w:rFonts w:ascii="宋体" w:hAnsi="宋体"/>
                <w:szCs w:val="21"/>
              </w:rPr>
            </w:pPr>
          </w:p>
        </w:tc>
        <w:tc>
          <w:tcPr>
            <w:tcW w:w="1123" w:type="dxa"/>
          </w:tcPr>
          <w:p w14:paraId="0E06D153">
            <w:pPr>
              <w:spacing w:line="360" w:lineRule="exact"/>
              <w:ind w:left="-63" w:leftChars="-30" w:right="-63" w:rightChars="-30"/>
              <w:rPr>
                <w:rFonts w:ascii="宋体" w:hAnsi="宋体"/>
                <w:szCs w:val="21"/>
              </w:rPr>
            </w:pPr>
          </w:p>
        </w:tc>
      </w:tr>
      <w:tr w14:paraId="762D1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336" w:type="dxa"/>
            <w:gridSpan w:val="2"/>
            <w:vAlign w:val="center"/>
          </w:tcPr>
          <w:p w14:paraId="2A30D5E0">
            <w:pPr>
              <w:spacing w:line="360" w:lineRule="exact"/>
              <w:jc w:val="center"/>
              <w:rPr>
                <w:rFonts w:ascii="宋体" w:hAnsi="宋体"/>
                <w:szCs w:val="21"/>
              </w:rPr>
            </w:pPr>
            <w:r>
              <w:rPr>
                <w:rFonts w:ascii="宋体" w:hAnsi="宋体"/>
                <w:szCs w:val="21"/>
              </w:rPr>
              <w:t>该类别承诺供车数:</w:t>
            </w:r>
          </w:p>
        </w:tc>
        <w:tc>
          <w:tcPr>
            <w:tcW w:w="6641" w:type="dxa"/>
            <w:gridSpan w:val="6"/>
          </w:tcPr>
          <w:p w14:paraId="2E89C3E6">
            <w:pPr>
              <w:spacing w:line="360" w:lineRule="exact"/>
              <w:ind w:left="-63" w:leftChars="-30" w:right="-63" w:rightChars="-30"/>
              <w:rPr>
                <w:rFonts w:ascii="宋体" w:hAnsi="宋体"/>
                <w:szCs w:val="21"/>
              </w:rPr>
            </w:pPr>
          </w:p>
        </w:tc>
      </w:tr>
      <w:tr w14:paraId="74160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81" w:type="dxa"/>
            <w:vAlign w:val="center"/>
          </w:tcPr>
          <w:p w14:paraId="3B4B9532">
            <w:pPr>
              <w:spacing w:line="360" w:lineRule="exact"/>
              <w:ind w:left="-63" w:leftChars="-30" w:right="-63" w:rightChars="-30"/>
              <w:jc w:val="center"/>
              <w:rPr>
                <w:rFonts w:ascii="宋体" w:hAnsi="宋体"/>
                <w:szCs w:val="21"/>
              </w:rPr>
            </w:pPr>
          </w:p>
        </w:tc>
        <w:tc>
          <w:tcPr>
            <w:tcW w:w="1455" w:type="dxa"/>
            <w:vMerge w:val="restart"/>
            <w:vAlign w:val="center"/>
          </w:tcPr>
          <w:p w14:paraId="5DA76A51">
            <w:pPr>
              <w:spacing w:line="360" w:lineRule="exact"/>
              <w:jc w:val="center"/>
              <w:rPr>
                <w:rFonts w:ascii="宋体" w:hAnsi="宋体"/>
                <w:szCs w:val="21"/>
              </w:rPr>
            </w:pPr>
            <w:r>
              <w:rPr>
                <w:rFonts w:ascii="宋体" w:hAnsi="宋体"/>
                <w:szCs w:val="21"/>
              </w:rPr>
              <w:t>中级轿车</w:t>
            </w:r>
          </w:p>
          <w:p w14:paraId="7AA68661">
            <w:pPr>
              <w:spacing w:line="360" w:lineRule="exact"/>
              <w:jc w:val="center"/>
              <w:rPr>
                <w:rFonts w:ascii="宋体" w:hAnsi="宋体"/>
                <w:szCs w:val="21"/>
              </w:rPr>
            </w:pPr>
            <w:r>
              <w:rPr>
                <w:rFonts w:ascii="宋体" w:hAnsi="宋体"/>
                <w:szCs w:val="21"/>
              </w:rPr>
              <w:t>(5座)</w:t>
            </w:r>
          </w:p>
        </w:tc>
        <w:tc>
          <w:tcPr>
            <w:tcW w:w="1030" w:type="dxa"/>
          </w:tcPr>
          <w:p w14:paraId="617E3916">
            <w:pPr>
              <w:spacing w:line="360" w:lineRule="exact"/>
              <w:ind w:left="-63" w:leftChars="-30" w:right="-63" w:rightChars="-30"/>
              <w:rPr>
                <w:rFonts w:ascii="宋体" w:hAnsi="宋体"/>
                <w:szCs w:val="21"/>
              </w:rPr>
            </w:pPr>
          </w:p>
        </w:tc>
        <w:tc>
          <w:tcPr>
            <w:tcW w:w="1122" w:type="dxa"/>
          </w:tcPr>
          <w:p w14:paraId="4260F8F4">
            <w:pPr>
              <w:spacing w:line="360" w:lineRule="exact"/>
              <w:ind w:left="-63" w:leftChars="-30" w:right="-63" w:rightChars="-30"/>
              <w:rPr>
                <w:rFonts w:ascii="宋体" w:hAnsi="宋体"/>
                <w:szCs w:val="21"/>
              </w:rPr>
            </w:pPr>
          </w:p>
        </w:tc>
        <w:tc>
          <w:tcPr>
            <w:tcW w:w="1122" w:type="dxa"/>
          </w:tcPr>
          <w:p w14:paraId="1D3B7B10">
            <w:pPr>
              <w:spacing w:line="360" w:lineRule="exact"/>
              <w:ind w:left="-63" w:leftChars="-30" w:right="-63" w:rightChars="-30"/>
              <w:rPr>
                <w:rFonts w:ascii="宋体" w:hAnsi="宋体"/>
                <w:szCs w:val="21"/>
              </w:rPr>
            </w:pPr>
          </w:p>
        </w:tc>
        <w:tc>
          <w:tcPr>
            <w:tcW w:w="1122" w:type="dxa"/>
          </w:tcPr>
          <w:p w14:paraId="0DECE729">
            <w:pPr>
              <w:spacing w:line="360" w:lineRule="exact"/>
              <w:ind w:left="-63" w:leftChars="-30" w:right="-63" w:rightChars="-30"/>
              <w:rPr>
                <w:rFonts w:ascii="宋体" w:hAnsi="宋体"/>
                <w:szCs w:val="21"/>
              </w:rPr>
            </w:pPr>
          </w:p>
        </w:tc>
        <w:tc>
          <w:tcPr>
            <w:tcW w:w="1122" w:type="dxa"/>
          </w:tcPr>
          <w:p w14:paraId="546CDB45">
            <w:pPr>
              <w:spacing w:line="360" w:lineRule="exact"/>
              <w:ind w:left="-63" w:leftChars="-30" w:right="-63" w:rightChars="-30"/>
              <w:rPr>
                <w:rFonts w:ascii="宋体" w:hAnsi="宋体"/>
                <w:szCs w:val="21"/>
              </w:rPr>
            </w:pPr>
          </w:p>
        </w:tc>
        <w:tc>
          <w:tcPr>
            <w:tcW w:w="1123" w:type="dxa"/>
          </w:tcPr>
          <w:p w14:paraId="6F24DBED">
            <w:pPr>
              <w:spacing w:line="360" w:lineRule="exact"/>
              <w:ind w:left="-63" w:leftChars="-30" w:right="-63" w:rightChars="-30"/>
              <w:rPr>
                <w:rFonts w:ascii="宋体" w:hAnsi="宋体"/>
                <w:szCs w:val="21"/>
              </w:rPr>
            </w:pPr>
          </w:p>
        </w:tc>
      </w:tr>
      <w:tr w14:paraId="2EB2E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81" w:type="dxa"/>
            <w:vAlign w:val="center"/>
          </w:tcPr>
          <w:p w14:paraId="0C543524">
            <w:pPr>
              <w:spacing w:line="360" w:lineRule="exact"/>
              <w:ind w:left="-63" w:leftChars="-30" w:right="-63" w:rightChars="-30"/>
              <w:jc w:val="center"/>
              <w:rPr>
                <w:rFonts w:ascii="宋体" w:hAnsi="宋体"/>
                <w:szCs w:val="21"/>
              </w:rPr>
            </w:pPr>
          </w:p>
        </w:tc>
        <w:tc>
          <w:tcPr>
            <w:tcW w:w="1455" w:type="dxa"/>
            <w:vMerge w:val="continue"/>
            <w:vAlign w:val="center"/>
          </w:tcPr>
          <w:p w14:paraId="1587670B">
            <w:pPr>
              <w:spacing w:line="360" w:lineRule="exact"/>
              <w:jc w:val="center"/>
              <w:rPr>
                <w:rFonts w:ascii="宋体" w:hAnsi="宋体"/>
                <w:szCs w:val="21"/>
              </w:rPr>
            </w:pPr>
          </w:p>
        </w:tc>
        <w:tc>
          <w:tcPr>
            <w:tcW w:w="1030" w:type="dxa"/>
          </w:tcPr>
          <w:p w14:paraId="0688D6FC">
            <w:pPr>
              <w:spacing w:line="360" w:lineRule="exact"/>
              <w:ind w:left="-63" w:leftChars="-30" w:right="-63" w:rightChars="-30"/>
              <w:rPr>
                <w:rFonts w:ascii="宋体" w:hAnsi="宋体"/>
                <w:szCs w:val="21"/>
              </w:rPr>
            </w:pPr>
          </w:p>
        </w:tc>
        <w:tc>
          <w:tcPr>
            <w:tcW w:w="1122" w:type="dxa"/>
          </w:tcPr>
          <w:p w14:paraId="4AAC27AF">
            <w:pPr>
              <w:spacing w:line="360" w:lineRule="exact"/>
              <w:ind w:left="-63" w:leftChars="-30" w:right="-63" w:rightChars="-30"/>
              <w:rPr>
                <w:rFonts w:ascii="宋体" w:hAnsi="宋体"/>
                <w:szCs w:val="21"/>
              </w:rPr>
            </w:pPr>
          </w:p>
        </w:tc>
        <w:tc>
          <w:tcPr>
            <w:tcW w:w="1122" w:type="dxa"/>
          </w:tcPr>
          <w:p w14:paraId="497B4FDF">
            <w:pPr>
              <w:spacing w:line="360" w:lineRule="exact"/>
              <w:ind w:left="-63" w:leftChars="-30" w:right="-63" w:rightChars="-30"/>
              <w:rPr>
                <w:rFonts w:ascii="宋体" w:hAnsi="宋体"/>
                <w:szCs w:val="21"/>
              </w:rPr>
            </w:pPr>
          </w:p>
        </w:tc>
        <w:tc>
          <w:tcPr>
            <w:tcW w:w="1122" w:type="dxa"/>
          </w:tcPr>
          <w:p w14:paraId="1AB3FC0D">
            <w:pPr>
              <w:spacing w:line="360" w:lineRule="exact"/>
              <w:ind w:left="-63" w:leftChars="-30" w:right="-63" w:rightChars="-30"/>
              <w:rPr>
                <w:rFonts w:ascii="宋体" w:hAnsi="宋体"/>
                <w:szCs w:val="21"/>
              </w:rPr>
            </w:pPr>
          </w:p>
        </w:tc>
        <w:tc>
          <w:tcPr>
            <w:tcW w:w="1122" w:type="dxa"/>
          </w:tcPr>
          <w:p w14:paraId="05D930A1">
            <w:pPr>
              <w:spacing w:line="360" w:lineRule="exact"/>
              <w:ind w:left="-63" w:leftChars="-30" w:right="-63" w:rightChars="-30"/>
              <w:rPr>
                <w:rFonts w:ascii="宋体" w:hAnsi="宋体"/>
                <w:szCs w:val="21"/>
              </w:rPr>
            </w:pPr>
          </w:p>
        </w:tc>
        <w:tc>
          <w:tcPr>
            <w:tcW w:w="1123" w:type="dxa"/>
          </w:tcPr>
          <w:p w14:paraId="782B42E9">
            <w:pPr>
              <w:spacing w:line="360" w:lineRule="exact"/>
              <w:ind w:left="-63" w:leftChars="-30" w:right="-63" w:rightChars="-30"/>
              <w:rPr>
                <w:rFonts w:ascii="宋体" w:hAnsi="宋体"/>
                <w:szCs w:val="21"/>
              </w:rPr>
            </w:pPr>
          </w:p>
        </w:tc>
      </w:tr>
      <w:tr w14:paraId="69936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336" w:type="dxa"/>
            <w:gridSpan w:val="2"/>
            <w:vAlign w:val="center"/>
          </w:tcPr>
          <w:p w14:paraId="21697A57">
            <w:pPr>
              <w:spacing w:line="360" w:lineRule="exact"/>
              <w:ind w:left="-63" w:leftChars="-30" w:right="-63" w:rightChars="-30"/>
              <w:jc w:val="center"/>
              <w:rPr>
                <w:rFonts w:ascii="宋体" w:hAnsi="宋体"/>
                <w:szCs w:val="21"/>
              </w:rPr>
            </w:pPr>
            <w:r>
              <w:rPr>
                <w:rFonts w:ascii="宋体" w:hAnsi="宋体"/>
                <w:szCs w:val="21"/>
              </w:rPr>
              <w:t>该类别承诺供车数:</w:t>
            </w:r>
          </w:p>
        </w:tc>
        <w:tc>
          <w:tcPr>
            <w:tcW w:w="6641" w:type="dxa"/>
            <w:gridSpan w:val="6"/>
            <w:vAlign w:val="center"/>
          </w:tcPr>
          <w:p w14:paraId="66872495">
            <w:pPr>
              <w:spacing w:line="360" w:lineRule="exact"/>
              <w:ind w:left="-63" w:leftChars="-30" w:right="-63" w:rightChars="-30"/>
              <w:rPr>
                <w:rFonts w:ascii="宋体" w:hAnsi="宋体"/>
                <w:szCs w:val="21"/>
              </w:rPr>
            </w:pPr>
          </w:p>
        </w:tc>
      </w:tr>
      <w:tr w14:paraId="225B4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81" w:type="dxa"/>
            <w:vAlign w:val="center"/>
          </w:tcPr>
          <w:p w14:paraId="569D9BFB">
            <w:pPr>
              <w:spacing w:line="360" w:lineRule="exact"/>
              <w:ind w:left="-63" w:leftChars="-30" w:right="-63" w:rightChars="-30"/>
              <w:jc w:val="center"/>
              <w:rPr>
                <w:rFonts w:ascii="宋体" w:hAnsi="宋体"/>
                <w:szCs w:val="21"/>
              </w:rPr>
            </w:pPr>
          </w:p>
        </w:tc>
        <w:tc>
          <w:tcPr>
            <w:tcW w:w="1455" w:type="dxa"/>
            <w:vMerge w:val="restart"/>
            <w:vAlign w:val="center"/>
          </w:tcPr>
          <w:p w14:paraId="7775D934">
            <w:pPr>
              <w:spacing w:line="360" w:lineRule="exact"/>
              <w:jc w:val="center"/>
              <w:rPr>
                <w:rFonts w:ascii="宋体" w:hAnsi="宋体"/>
                <w:szCs w:val="21"/>
              </w:rPr>
            </w:pPr>
            <w:r>
              <w:rPr>
                <w:rFonts w:ascii="宋体" w:hAnsi="宋体"/>
                <w:szCs w:val="21"/>
              </w:rPr>
              <w:t>商务车</w:t>
            </w:r>
          </w:p>
          <w:p w14:paraId="7F1A84BE">
            <w:pPr>
              <w:spacing w:line="360" w:lineRule="exact"/>
              <w:jc w:val="center"/>
              <w:rPr>
                <w:rFonts w:ascii="宋体" w:hAnsi="宋体"/>
                <w:szCs w:val="21"/>
              </w:rPr>
            </w:pPr>
            <w:r>
              <w:rPr>
                <w:rFonts w:ascii="宋体" w:hAnsi="宋体"/>
                <w:szCs w:val="21"/>
              </w:rPr>
              <w:t>(7座)</w:t>
            </w:r>
          </w:p>
        </w:tc>
        <w:tc>
          <w:tcPr>
            <w:tcW w:w="1030" w:type="dxa"/>
          </w:tcPr>
          <w:p w14:paraId="376359BF">
            <w:pPr>
              <w:spacing w:line="360" w:lineRule="exact"/>
              <w:ind w:left="-63" w:leftChars="-30" w:right="-63" w:rightChars="-30"/>
              <w:rPr>
                <w:rFonts w:ascii="宋体" w:hAnsi="宋体"/>
                <w:szCs w:val="21"/>
              </w:rPr>
            </w:pPr>
          </w:p>
        </w:tc>
        <w:tc>
          <w:tcPr>
            <w:tcW w:w="1122" w:type="dxa"/>
          </w:tcPr>
          <w:p w14:paraId="7976BD70">
            <w:pPr>
              <w:spacing w:line="360" w:lineRule="exact"/>
              <w:ind w:left="-63" w:leftChars="-30" w:right="-63" w:rightChars="-30"/>
              <w:rPr>
                <w:rFonts w:ascii="宋体" w:hAnsi="宋体"/>
                <w:szCs w:val="21"/>
              </w:rPr>
            </w:pPr>
          </w:p>
        </w:tc>
        <w:tc>
          <w:tcPr>
            <w:tcW w:w="1122" w:type="dxa"/>
          </w:tcPr>
          <w:p w14:paraId="5B4E75B6">
            <w:pPr>
              <w:spacing w:line="360" w:lineRule="exact"/>
              <w:ind w:left="-63" w:leftChars="-30" w:right="-63" w:rightChars="-30"/>
              <w:rPr>
                <w:rFonts w:ascii="宋体" w:hAnsi="宋体"/>
                <w:szCs w:val="21"/>
              </w:rPr>
            </w:pPr>
          </w:p>
        </w:tc>
        <w:tc>
          <w:tcPr>
            <w:tcW w:w="1122" w:type="dxa"/>
          </w:tcPr>
          <w:p w14:paraId="6C06A30D">
            <w:pPr>
              <w:spacing w:line="360" w:lineRule="exact"/>
              <w:ind w:left="-63" w:leftChars="-30" w:right="-63" w:rightChars="-30"/>
              <w:rPr>
                <w:rFonts w:ascii="宋体" w:hAnsi="宋体"/>
                <w:szCs w:val="21"/>
              </w:rPr>
            </w:pPr>
          </w:p>
        </w:tc>
        <w:tc>
          <w:tcPr>
            <w:tcW w:w="1122" w:type="dxa"/>
          </w:tcPr>
          <w:p w14:paraId="55AA250E">
            <w:pPr>
              <w:spacing w:line="360" w:lineRule="exact"/>
              <w:ind w:left="-63" w:leftChars="-30" w:right="-63" w:rightChars="-30"/>
              <w:rPr>
                <w:rFonts w:ascii="宋体" w:hAnsi="宋体"/>
                <w:szCs w:val="21"/>
              </w:rPr>
            </w:pPr>
          </w:p>
        </w:tc>
        <w:tc>
          <w:tcPr>
            <w:tcW w:w="1123" w:type="dxa"/>
          </w:tcPr>
          <w:p w14:paraId="7B5C6352">
            <w:pPr>
              <w:spacing w:line="360" w:lineRule="exact"/>
              <w:ind w:left="-63" w:leftChars="-30" w:right="-63" w:rightChars="-30"/>
              <w:rPr>
                <w:rFonts w:ascii="宋体" w:hAnsi="宋体"/>
                <w:szCs w:val="21"/>
              </w:rPr>
            </w:pPr>
          </w:p>
        </w:tc>
      </w:tr>
      <w:tr w14:paraId="5F394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81" w:type="dxa"/>
            <w:vAlign w:val="center"/>
          </w:tcPr>
          <w:p w14:paraId="23C4ABFC">
            <w:pPr>
              <w:spacing w:line="360" w:lineRule="exact"/>
              <w:ind w:left="-63" w:leftChars="-30" w:right="-63" w:rightChars="-30"/>
              <w:jc w:val="center"/>
              <w:rPr>
                <w:rFonts w:ascii="宋体" w:hAnsi="宋体"/>
                <w:szCs w:val="21"/>
              </w:rPr>
            </w:pPr>
          </w:p>
        </w:tc>
        <w:tc>
          <w:tcPr>
            <w:tcW w:w="1455" w:type="dxa"/>
            <w:vMerge w:val="continue"/>
            <w:vAlign w:val="center"/>
          </w:tcPr>
          <w:p w14:paraId="4B069559">
            <w:pPr>
              <w:spacing w:line="360" w:lineRule="exact"/>
              <w:jc w:val="center"/>
              <w:rPr>
                <w:rFonts w:ascii="宋体" w:hAnsi="宋体"/>
                <w:szCs w:val="21"/>
              </w:rPr>
            </w:pPr>
          </w:p>
        </w:tc>
        <w:tc>
          <w:tcPr>
            <w:tcW w:w="1030" w:type="dxa"/>
          </w:tcPr>
          <w:p w14:paraId="569C5704">
            <w:pPr>
              <w:spacing w:line="360" w:lineRule="exact"/>
              <w:ind w:left="-63" w:leftChars="-30" w:right="-63" w:rightChars="-30"/>
              <w:rPr>
                <w:rFonts w:ascii="宋体" w:hAnsi="宋体"/>
                <w:szCs w:val="21"/>
              </w:rPr>
            </w:pPr>
          </w:p>
        </w:tc>
        <w:tc>
          <w:tcPr>
            <w:tcW w:w="1122" w:type="dxa"/>
          </w:tcPr>
          <w:p w14:paraId="46C30C92">
            <w:pPr>
              <w:spacing w:line="360" w:lineRule="exact"/>
              <w:ind w:left="-63" w:leftChars="-30" w:right="-63" w:rightChars="-30"/>
              <w:rPr>
                <w:rFonts w:ascii="宋体" w:hAnsi="宋体"/>
                <w:szCs w:val="21"/>
              </w:rPr>
            </w:pPr>
          </w:p>
        </w:tc>
        <w:tc>
          <w:tcPr>
            <w:tcW w:w="1122" w:type="dxa"/>
          </w:tcPr>
          <w:p w14:paraId="43C607E4">
            <w:pPr>
              <w:spacing w:line="360" w:lineRule="exact"/>
              <w:ind w:left="-63" w:leftChars="-30" w:right="-63" w:rightChars="-30"/>
              <w:rPr>
                <w:rFonts w:ascii="宋体" w:hAnsi="宋体"/>
                <w:szCs w:val="21"/>
              </w:rPr>
            </w:pPr>
          </w:p>
        </w:tc>
        <w:tc>
          <w:tcPr>
            <w:tcW w:w="1122" w:type="dxa"/>
          </w:tcPr>
          <w:p w14:paraId="1F29A147">
            <w:pPr>
              <w:spacing w:line="360" w:lineRule="exact"/>
              <w:ind w:left="-63" w:leftChars="-30" w:right="-63" w:rightChars="-30"/>
              <w:rPr>
                <w:rFonts w:ascii="宋体" w:hAnsi="宋体"/>
                <w:szCs w:val="21"/>
              </w:rPr>
            </w:pPr>
          </w:p>
        </w:tc>
        <w:tc>
          <w:tcPr>
            <w:tcW w:w="1122" w:type="dxa"/>
          </w:tcPr>
          <w:p w14:paraId="1B1CE667">
            <w:pPr>
              <w:spacing w:line="360" w:lineRule="exact"/>
              <w:ind w:left="-63" w:leftChars="-30" w:right="-63" w:rightChars="-30"/>
              <w:rPr>
                <w:rFonts w:ascii="宋体" w:hAnsi="宋体"/>
                <w:szCs w:val="21"/>
              </w:rPr>
            </w:pPr>
          </w:p>
        </w:tc>
        <w:tc>
          <w:tcPr>
            <w:tcW w:w="1123" w:type="dxa"/>
          </w:tcPr>
          <w:p w14:paraId="3EBFCD71">
            <w:pPr>
              <w:spacing w:line="360" w:lineRule="exact"/>
              <w:ind w:left="-63" w:leftChars="-30" w:right="-63" w:rightChars="-30"/>
              <w:rPr>
                <w:rFonts w:ascii="宋体" w:hAnsi="宋体"/>
                <w:szCs w:val="21"/>
              </w:rPr>
            </w:pPr>
          </w:p>
        </w:tc>
      </w:tr>
      <w:tr w14:paraId="4375F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336" w:type="dxa"/>
            <w:gridSpan w:val="2"/>
            <w:vAlign w:val="center"/>
          </w:tcPr>
          <w:p w14:paraId="32961A05">
            <w:pPr>
              <w:spacing w:line="360" w:lineRule="exact"/>
              <w:jc w:val="center"/>
              <w:rPr>
                <w:rFonts w:ascii="宋体" w:hAnsi="宋体"/>
                <w:szCs w:val="21"/>
              </w:rPr>
            </w:pPr>
            <w:r>
              <w:rPr>
                <w:rFonts w:ascii="宋体" w:hAnsi="宋体"/>
                <w:szCs w:val="21"/>
              </w:rPr>
              <w:t>该类别承诺供车数:</w:t>
            </w:r>
          </w:p>
        </w:tc>
        <w:tc>
          <w:tcPr>
            <w:tcW w:w="1030" w:type="dxa"/>
          </w:tcPr>
          <w:p w14:paraId="4370F554">
            <w:pPr>
              <w:spacing w:line="360" w:lineRule="exact"/>
              <w:ind w:left="-63" w:leftChars="-30" w:right="-63" w:rightChars="-30"/>
              <w:rPr>
                <w:rFonts w:ascii="宋体" w:hAnsi="宋体"/>
                <w:szCs w:val="21"/>
              </w:rPr>
            </w:pPr>
          </w:p>
        </w:tc>
        <w:tc>
          <w:tcPr>
            <w:tcW w:w="1122" w:type="dxa"/>
          </w:tcPr>
          <w:p w14:paraId="5F80643E">
            <w:pPr>
              <w:spacing w:line="360" w:lineRule="exact"/>
              <w:ind w:left="-63" w:leftChars="-30" w:right="-63" w:rightChars="-30"/>
              <w:rPr>
                <w:rFonts w:ascii="宋体" w:hAnsi="宋体"/>
                <w:szCs w:val="21"/>
              </w:rPr>
            </w:pPr>
          </w:p>
        </w:tc>
        <w:tc>
          <w:tcPr>
            <w:tcW w:w="1122" w:type="dxa"/>
          </w:tcPr>
          <w:p w14:paraId="5B92785C">
            <w:pPr>
              <w:spacing w:line="360" w:lineRule="exact"/>
              <w:ind w:left="-63" w:leftChars="-30" w:right="-63" w:rightChars="-30"/>
              <w:rPr>
                <w:rFonts w:ascii="宋体" w:hAnsi="宋体"/>
                <w:szCs w:val="21"/>
              </w:rPr>
            </w:pPr>
          </w:p>
        </w:tc>
        <w:tc>
          <w:tcPr>
            <w:tcW w:w="1122" w:type="dxa"/>
          </w:tcPr>
          <w:p w14:paraId="1D205976">
            <w:pPr>
              <w:spacing w:line="360" w:lineRule="exact"/>
              <w:ind w:left="-63" w:leftChars="-30" w:right="-63" w:rightChars="-30"/>
              <w:rPr>
                <w:rFonts w:ascii="宋体" w:hAnsi="宋体"/>
                <w:szCs w:val="21"/>
              </w:rPr>
            </w:pPr>
          </w:p>
        </w:tc>
        <w:tc>
          <w:tcPr>
            <w:tcW w:w="1122" w:type="dxa"/>
          </w:tcPr>
          <w:p w14:paraId="7D14B6E4">
            <w:pPr>
              <w:spacing w:line="360" w:lineRule="exact"/>
              <w:ind w:left="-63" w:leftChars="-30" w:right="-63" w:rightChars="-30"/>
              <w:rPr>
                <w:rFonts w:ascii="宋体" w:hAnsi="宋体"/>
                <w:szCs w:val="21"/>
              </w:rPr>
            </w:pPr>
          </w:p>
        </w:tc>
        <w:tc>
          <w:tcPr>
            <w:tcW w:w="1123" w:type="dxa"/>
          </w:tcPr>
          <w:p w14:paraId="1EB93D6B">
            <w:pPr>
              <w:spacing w:line="360" w:lineRule="exact"/>
              <w:ind w:left="-63" w:leftChars="-30" w:right="-63" w:rightChars="-30"/>
              <w:rPr>
                <w:rFonts w:ascii="宋体" w:hAnsi="宋体"/>
                <w:szCs w:val="21"/>
              </w:rPr>
            </w:pPr>
          </w:p>
        </w:tc>
      </w:tr>
      <w:tr w14:paraId="17F77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81" w:type="dxa"/>
            <w:vAlign w:val="center"/>
          </w:tcPr>
          <w:p w14:paraId="208FAF1B">
            <w:pPr>
              <w:spacing w:line="360" w:lineRule="exact"/>
              <w:ind w:left="-63" w:leftChars="-30" w:right="-63" w:rightChars="-30"/>
              <w:jc w:val="center"/>
              <w:rPr>
                <w:rFonts w:ascii="宋体" w:hAnsi="宋体"/>
                <w:szCs w:val="21"/>
              </w:rPr>
            </w:pPr>
          </w:p>
        </w:tc>
        <w:tc>
          <w:tcPr>
            <w:tcW w:w="1455" w:type="dxa"/>
            <w:vMerge w:val="restart"/>
            <w:vAlign w:val="center"/>
          </w:tcPr>
          <w:p w14:paraId="433D5954">
            <w:pPr>
              <w:spacing w:line="360" w:lineRule="exact"/>
              <w:jc w:val="center"/>
              <w:rPr>
                <w:rFonts w:ascii="宋体" w:hAnsi="宋体"/>
                <w:szCs w:val="21"/>
              </w:rPr>
            </w:pPr>
            <w:r>
              <w:rPr>
                <w:rFonts w:ascii="宋体" w:hAnsi="宋体"/>
                <w:szCs w:val="21"/>
              </w:rPr>
              <w:t>轻客</w:t>
            </w:r>
          </w:p>
          <w:p w14:paraId="2398C009">
            <w:pPr>
              <w:spacing w:line="360" w:lineRule="exact"/>
              <w:jc w:val="center"/>
              <w:rPr>
                <w:rFonts w:ascii="宋体" w:hAnsi="宋体"/>
                <w:szCs w:val="21"/>
              </w:rPr>
            </w:pPr>
            <w:r>
              <w:rPr>
                <w:rFonts w:ascii="宋体" w:hAnsi="宋体"/>
                <w:szCs w:val="21"/>
              </w:rPr>
              <w:t>(</w:t>
            </w:r>
            <w:r>
              <w:rPr>
                <w:rFonts w:hint="eastAsia" w:ascii="宋体" w:hAnsi="宋体"/>
                <w:szCs w:val="21"/>
              </w:rPr>
              <w:t>8-13</w:t>
            </w:r>
            <w:r>
              <w:rPr>
                <w:rFonts w:ascii="宋体" w:hAnsi="宋体"/>
                <w:szCs w:val="21"/>
              </w:rPr>
              <w:t>座)</w:t>
            </w:r>
          </w:p>
        </w:tc>
        <w:tc>
          <w:tcPr>
            <w:tcW w:w="1030" w:type="dxa"/>
          </w:tcPr>
          <w:p w14:paraId="360BEEEA">
            <w:pPr>
              <w:spacing w:line="360" w:lineRule="exact"/>
              <w:ind w:left="-63" w:leftChars="-30" w:right="-63" w:rightChars="-30"/>
              <w:rPr>
                <w:rFonts w:ascii="宋体" w:hAnsi="宋体"/>
                <w:szCs w:val="21"/>
              </w:rPr>
            </w:pPr>
          </w:p>
        </w:tc>
        <w:tc>
          <w:tcPr>
            <w:tcW w:w="1122" w:type="dxa"/>
          </w:tcPr>
          <w:p w14:paraId="02D95217">
            <w:pPr>
              <w:spacing w:line="360" w:lineRule="exact"/>
              <w:ind w:left="-63" w:leftChars="-30" w:right="-63" w:rightChars="-30"/>
              <w:rPr>
                <w:rFonts w:ascii="宋体" w:hAnsi="宋体"/>
                <w:szCs w:val="21"/>
              </w:rPr>
            </w:pPr>
          </w:p>
        </w:tc>
        <w:tc>
          <w:tcPr>
            <w:tcW w:w="1122" w:type="dxa"/>
          </w:tcPr>
          <w:p w14:paraId="662EEFFB">
            <w:pPr>
              <w:spacing w:line="360" w:lineRule="exact"/>
              <w:ind w:left="-63" w:leftChars="-30" w:right="-63" w:rightChars="-30"/>
              <w:rPr>
                <w:rFonts w:ascii="宋体" w:hAnsi="宋体"/>
                <w:szCs w:val="21"/>
              </w:rPr>
            </w:pPr>
          </w:p>
        </w:tc>
        <w:tc>
          <w:tcPr>
            <w:tcW w:w="1122" w:type="dxa"/>
          </w:tcPr>
          <w:p w14:paraId="31B94FCC">
            <w:pPr>
              <w:spacing w:line="360" w:lineRule="exact"/>
              <w:ind w:left="-63" w:leftChars="-30" w:right="-63" w:rightChars="-30"/>
              <w:rPr>
                <w:rFonts w:ascii="宋体" w:hAnsi="宋体"/>
                <w:szCs w:val="21"/>
              </w:rPr>
            </w:pPr>
          </w:p>
        </w:tc>
        <w:tc>
          <w:tcPr>
            <w:tcW w:w="1122" w:type="dxa"/>
          </w:tcPr>
          <w:p w14:paraId="2D3706E6">
            <w:pPr>
              <w:spacing w:line="360" w:lineRule="exact"/>
              <w:ind w:left="-63" w:leftChars="-30" w:right="-63" w:rightChars="-30"/>
              <w:rPr>
                <w:rFonts w:ascii="宋体" w:hAnsi="宋体"/>
                <w:szCs w:val="21"/>
              </w:rPr>
            </w:pPr>
          </w:p>
        </w:tc>
        <w:tc>
          <w:tcPr>
            <w:tcW w:w="1123" w:type="dxa"/>
          </w:tcPr>
          <w:p w14:paraId="33106B77">
            <w:pPr>
              <w:spacing w:line="360" w:lineRule="exact"/>
              <w:ind w:left="-63" w:leftChars="-30" w:right="-63" w:rightChars="-30"/>
              <w:rPr>
                <w:rFonts w:ascii="宋体" w:hAnsi="宋体"/>
                <w:szCs w:val="21"/>
              </w:rPr>
            </w:pPr>
          </w:p>
        </w:tc>
      </w:tr>
      <w:tr w14:paraId="12F20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81" w:type="dxa"/>
            <w:vAlign w:val="center"/>
          </w:tcPr>
          <w:p w14:paraId="0C071D43">
            <w:pPr>
              <w:spacing w:line="360" w:lineRule="exact"/>
              <w:ind w:left="-63" w:leftChars="-30" w:right="-63" w:rightChars="-30"/>
              <w:jc w:val="center"/>
              <w:rPr>
                <w:rFonts w:ascii="宋体" w:hAnsi="宋体"/>
                <w:szCs w:val="21"/>
              </w:rPr>
            </w:pPr>
          </w:p>
        </w:tc>
        <w:tc>
          <w:tcPr>
            <w:tcW w:w="1455" w:type="dxa"/>
            <w:vMerge w:val="continue"/>
            <w:vAlign w:val="center"/>
          </w:tcPr>
          <w:p w14:paraId="07FA4AA4">
            <w:pPr>
              <w:spacing w:line="360" w:lineRule="exact"/>
              <w:jc w:val="center"/>
              <w:rPr>
                <w:rFonts w:ascii="宋体" w:hAnsi="宋体"/>
                <w:szCs w:val="21"/>
              </w:rPr>
            </w:pPr>
          </w:p>
        </w:tc>
        <w:tc>
          <w:tcPr>
            <w:tcW w:w="1030" w:type="dxa"/>
          </w:tcPr>
          <w:p w14:paraId="280E2B01">
            <w:pPr>
              <w:spacing w:line="360" w:lineRule="exact"/>
              <w:ind w:left="-63" w:leftChars="-30" w:right="-63" w:rightChars="-30"/>
              <w:rPr>
                <w:rFonts w:ascii="宋体" w:hAnsi="宋体"/>
                <w:szCs w:val="21"/>
              </w:rPr>
            </w:pPr>
          </w:p>
        </w:tc>
        <w:tc>
          <w:tcPr>
            <w:tcW w:w="1122" w:type="dxa"/>
          </w:tcPr>
          <w:p w14:paraId="42948C65">
            <w:pPr>
              <w:spacing w:line="360" w:lineRule="exact"/>
              <w:ind w:left="-63" w:leftChars="-30" w:right="-63" w:rightChars="-30"/>
              <w:rPr>
                <w:rFonts w:ascii="宋体" w:hAnsi="宋体"/>
                <w:szCs w:val="21"/>
              </w:rPr>
            </w:pPr>
          </w:p>
        </w:tc>
        <w:tc>
          <w:tcPr>
            <w:tcW w:w="1122" w:type="dxa"/>
          </w:tcPr>
          <w:p w14:paraId="57DAE006">
            <w:pPr>
              <w:spacing w:line="360" w:lineRule="exact"/>
              <w:ind w:left="-63" w:leftChars="-30" w:right="-63" w:rightChars="-30"/>
              <w:rPr>
                <w:rFonts w:ascii="宋体" w:hAnsi="宋体"/>
                <w:szCs w:val="21"/>
              </w:rPr>
            </w:pPr>
          </w:p>
        </w:tc>
        <w:tc>
          <w:tcPr>
            <w:tcW w:w="1122" w:type="dxa"/>
          </w:tcPr>
          <w:p w14:paraId="02D11E26">
            <w:pPr>
              <w:spacing w:line="360" w:lineRule="exact"/>
              <w:ind w:left="-63" w:leftChars="-30" w:right="-63" w:rightChars="-30"/>
              <w:rPr>
                <w:rFonts w:ascii="宋体" w:hAnsi="宋体"/>
                <w:szCs w:val="21"/>
              </w:rPr>
            </w:pPr>
          </w:p>
        </w:tc>
        <w:tc>
          <w:tcPr>
            <w:tcW w:w="1122" w:type="dxa"/>
          </w:tcPr>
          <w:p w14:paraId="2B7E54B9">
            <w:pPr>
              <w:spacing w:line="360" w:lineRule="exact"/>
              <w:ind w:left="-63" w:leftChars="-30" w:right="-63" w:rightChars="-30"/>
              <w:rPr>
                <w:rFonts w:ascii="宋体" w:hAnsi="宋体"/>
                <w:szCs w:val="21"/>
              </w:rPr>
            </w:pPr>
          </w:p>
        </w:tc>
        <w:tc>
          <w:tcPr>
            <w:tcW w:w="1123" w:type="dxa"/>
          </w:tcPr>
          <w:p w14:paraId="28850A8A">
            <w:pPr>
              <w:spacing w:line="360" w:lineRule="exact"/>
              <w:ind w:left="-63" w:leftChars="-30" w:right="-63" w:rightChars="-30"/>
              <w:rPr>
                <w:rFonts w:ascii="宋体" w:hAnsi="宋体"/>
                <w:szCs w:val="21"/>
              </w:rPr>
            </w:pPr>
          </w:p>
        </w:tc>
      </w:tr>
      <w:tr w14:paraId="4252E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336" w:type="dxa"/>
            <w:gridSpan w:val="2"/>
            <w:vAlign w:val="center"/>
          </w:tcPr>
          <w:p w14:paraId="69CEE5DA">
            <w:pPr>
              <w:spacing w:line="360" w:lineRule="exact"/>
              <w:jc w:val="center"/>
              <w:rPr>
                <w:rFonts w:ascii="宋体" w:hAnsi="宋体"/>
                <w:szCs w:val="21"/>
              </w:rPr>
            </w:pPr>
            <w:r>
              <w:rPr>
                <w:rFonts w:ascii="宋体" w:hAnsi="宋体"/>
                <w:szCs w:val="21"/>
              </w:rPr>
              <w:t>该类别承诺供车数:</w:t>
            </w:r>
          </w:p>
        </w:tc>
        <w:tc>
          <w:tcPr>
            <w:tcW w:w="1030" w:type="dxa"/>
          </w:tcPr>
          <w:p w14:paraId="4154B968">
            <w:pPr>
              <w:spacing w:line="360" w:lineRule="exact"/>
              <w:ind w:left="-63" w:leftChars="-30" w:right="-63" w:rightChars="-30"/>
              <w:rPr>
                <w:rFonts w:ascii="宋体" w:hAnsi="宋体"/>
                <w:szCs w:val="21"/>
              </w:rPr>
            </w:pPr>
          </w:p>
        </w:tc>
        <w:tc>
          <w:tcPr>
            <w:tcW w:w="1122" w:type="dxa"/>
          </w:tcPr>
          <w:p w14:paraId="6A59A31F">
            <w:pPr>
              <w:spacing w:line="360" w:lineRule="exact"/>
              <w:ind w:left="-63" w:leftChars="-30" w:right="-63" w:rightChars="-30"/>
              <w:rPr>
                <w:rFonts w:ascii="宋体" w:hAnsi="宋体"/>
                <w:szCs w:val="21"/>
              </w:rPr>
            </w:pPr>
          </w:p>
        </w:tc>
        <w:tc>
          <w:tcPr>
            <w:tcW w:w="1122" w:type="dxa"/>
          </w:tcPr>
          <w:p w14:paraId="0BD3BC06">
            <w:pPr>
              <w:spacing w:line="360" w:lineRule="exact"/>
              <w:ind w:left="-63" w:leftChars="-30" w:right="-63" w:rightChars="-30"/>
              <w:rPr>
                <w:rFonts w:ascii="宋体" w:hAnsi="宋体"/>
                <w:szCs w:val="21"/>
              </w:rPr>
            </w:pPr>
          </w:p>
        </w:tc>
        <w:tc>
          <w:tcPr>
            <w:tcW w:w="1122" w:type="dxa"/>
          </w:tcPr>
          <w:p w14:paraId="54E0EAE6">
            <w:pPr>
              <w:spacing w:line="360" w:lineRule="exact"/>
              <w:ind w:left="-63" w:leftChars="-30" w:right="-63" w:rightChars="-30"/>
              <w:rPr>
                <w:rFonts w:ascii="宋体" w:hAnsi="宋体"/>
                <w:szCs w:val="21"/>
              </w:rPr>
            </w:pPr>
          </w:p>
        </w:tc>
        <w:tc>
          <w:tcPr>
            <w:tcW w:w="1122" w:type="dxa"/>
          </w:tcPr>
          <w:p w14:paraId="53A066A6">
            <w:pPr>
              <w:spacing w:line="360" w:lineRule="exact"/>
              <w:ind w:left="-63" w:leftChars="-30" w:right="-63" w:rightChars="-30"/>
              <w:rPr>
                <w:rFonts w:ascii="宋体" w:hAnsi="宋体"/>
                <w:szCs w:val="21"/>
              </w:rPr>
            </w:pPr>
          </w:p>
        </w:tc>
        <w:tc>
          <w:tcPr>
            <w:tcW w:w="1123" w:type="dxa"/>
          </w:tcPr>
          <w:p w14:paraId="4B8EDA20">
            <w:pPr>
              <w:spacing w:line="360" w:lineRule="exact"/>
              <w:ind w:left="-63" w:leftChars="-30" w:right="-63" w:rightChars="-30"/>
              <w:rPr>
                <w:rFonts w:ascii="宋体" w:hAnsi="宋体"/>
                <w:szCs w:val="21"/>
              </w:rPr>
            </w:pPr>
          </w:p>
        </w:tc>
      </w:tr>
      <w:tr w14:paraId="07D3F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81" w:type="dxa"/>
            <w:vAlign w:val="center"/>
          </w:tcPr>
          <w:p w14:paraId="015148B0">
            <w:pPr>
              <w:spacing w:line="360" w:lineRule="exact"/>
              <w:ind w:left="-63" w:leftChars="-30" w:right="-63" w:rightChars="-30"/>
              <w:jc w:val="center"/>
              <w:rPr>
                <w:rFonts w:ascii="宋体" w:hAnsi="宋体"/>
                <w:szCs w:val="21"/>
              </w:rPr>
            </w:pPr>
          </w:p>
        </w:tc>
        <w:tc>
          <w:tcPr>
            <w:tcW w:w="1455" w:type="dxa"/>
            <w:vMerge w:val="restart"/>
            <w:vAlign w:val="center"/>
          </w:tcPr>
          <w:p w14:paraId="265E3CFD">
            <w:pPr>
              <w:spacing w:line="360" w:lineRule="exact"/>
              <w:jc w:val="center"/>
              <w:rPr>
                <w:rFonts w:ascii="宋体" w:hAnsi="宋体"/>
                <w:szCs w:val="21"/>
              </w:rPr>
            </w:pPr>
            <w:r>
              <w:rPr>
                <w:rFonts w:ascii="宋体" w:hAnsi="宋体"/>
                <w:szCs w:val="21"/>
              </w:rPr>
              <w:t>中型客车(</w:t>
            </w:r>
            <w:r>
              <w:rPr>
                <w:rFonts w:hint="eastAsia" w:ascii="宋体" w:hAnsi="宋体"/>
                <w:szCs w:val="21"/>
              </w:rPr>
              <w:t>15-23</w:t>
            </w:r>
            <w:r>
              <w:rPr>
                <w:rFonts w:ascii="宋体" w:hAnsi="宋体"/>
                <w:szCs w:val="21"/>
              </w:rPr>
              <w:t>座)</w:t>
            </w:r>
          </w:p>
        </w:tc>
        <w:tc>
          <w:tcPr>
            <w:tcW w:w="1030" w:type="dxa"/>
          </w:tcPr>
          <w:p w14:paraId="08568078">
            <w:pPr>
              <w:spacing w:line="360" w:lineRule="exact"/>
              <w:ind w:left="-63" w:leftChars="-30" w:right="-63" w:rightChars="-30"/>
              <w:rPr>
                <w:rFonts w:ascii="宋体" w:hAnsi="宋体"/>
                <w:szCs w:val="21"/>
              </w:rPr>
            </w:pPr>
          </w:p>
        </w:tc>
        <w:tc>
          <w:tcPr>
            <w:tcW w:w="1122" w:type="dxa"/>
          </w:tcPr>
          <w:p w14:paraId="798B304D">
            <w:pPr>
              <w:spacing w:line="360" w:lineRule="exact"/>
              <w:ind w:left="-63" w:leftChars="-30" w:right="-63" w:rightChars="-30"/>
              <w:rPr>
                <w:rFonts w:ascii="宋体" w:hAnsi="宋体"/>
                <w:szCs w:val="21"/>
              </w:rPr>
            </w:pPr>
          </w:p>
        </w:tc>
        <w:tc>
          <w:tcPr>
            <w:tcW w:w="1122" w:type="dxa"/>
          </w:tcPr>
          <w:p w14:paraId="6BC90513">
            <w:pPr>
              <w:spacing w:line="360" w:lineRule="exact"/>
              <w:ind w:left="-63" w:leftChars="-30" w:right="-63" w:rightChars="-30"/>
              <w:rPr>
                <w:rFonts w:ascii="宋体" w:hAnsi="宋体"/>
                <w:szCs w:val="21"/>
              </w:rPr>
            </w:pPr>
          </w:p>
        </w:tc>
        <w:tc>
          <w:tcPr>
            <w:tcW w:w="1122" w:type="dxa"/>
          </w:tcPr>
          <w:p w14:paraId="19D49F51">
            <w:pPr>
              <w:spacing w:line="360" w:lineRule="exact"/>
              <w:ind w:left="-63" w:leftChars="-30" w:right="-63" w:rightChars="-30"/>
              <w:rPr>
                <w:rFonts w:ascii="宋体" w:hAnsi="宋体"/>
                <w:szCs w:val="21"/>
              </w:rPr>
            </w:pPr>
          </w:p>
        </w:tc>
        <w:tc>
          <w:tcPr>
            <w:tcW w:w="1122" w:type="dxa"/>
          </w:tcPr>
          <w:p w14:paraId="0CF0B22F">
            <w:pPr>
              <w:spacing w:line="360" w:lineRule="exact"/>
              <w:ind w:left="-63" w:leftChars="-30" w:right="-63" w:rightChars="-30"/>
              <w:rPr>
                <w:rFonts w:ascii="宋体" w:hAnsi="宋体"/>
                <w:szCs w:val="21"/>
              </w:rPr>
            </w:pPr>
          </w:p>
        </w:tc>
        <w:tc>
          <w:tcPr>
            <w:tcW w:w="1123" w:type="dxa"/>
          </w:tcPr>
          <w:p w14:paraId="08F05AB1">
            <w:pPr>
              <w:spacing w:line="360" w:lineRule="exact"/>
              <w:ind w:left="-63" w:leftChars="-30" w:right="-63" w:rightChars="-30"/>
              <w:rPr>
                <w:rFonts w:ascii="宋体" w:hAnsi="宋体"/>
                <w:szCs w:val="21"/>
              </w:rPr>
            </w:pPr>
          </w:p>
        </w:tc>
      </w:tr>
      <w:tr w14:paraId="4BB98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81" w:type="dxa"/>
            <w:vAlign w:val="center"/>
          </w:tcPr>
          <w:p w14:paraId="691736CE">
            <w:pPr>
              <w:spacing w:line="360" w:lineRule="exact"/>
              <w:ind w:left="-63" w:leftChars="-30" w:right="-63" w:rightChars="-30"/>
              <w:jc w:val="center"/>
              <w:rPr>
                <w:rFonts w:ascii="宋体" w:hAnsi="宋体"/>
                <w:szCs w:val="21"/>
              </w:rPr>
            </w:pPr>
          </w:p>
        </w:tc>
        <w:tc>
          <w:tcPr>
            <w:tcW w:w="1455" w:type="dxa"/>
            <w:vMerge w:val="continue"/>
            <w:vAlign w:val="center"/>
          </w:tcPr>
          <w:p w14:paraId="3A9E78D8">
            <w:pPr>
              <w:spacing w:line="360" w:lineRule="exact"/>
              <w:jc w:val="center"/>
              <w:rPr>
                <w:rFonts w:ascii="宋体" w:hAnsi="宋体"/>
                <w:szCs w:val="21"/>
              </w:rPr>
            </w:pPr>
          </w:p>
        </w:tc>
        <w:tc>
          <w:tcPr>
            <w:tcW w:w="1030" w:type="dxa"/>
          </w:tcPr>
          <w:p w14:paraId="6C8EC18B">
            <w:pPr>
              <w:spacing w:line="360" w:lineRule="exact"/>
              <w:ind w:left="-63" w:leftChars="-30" w:right="-63" w:rightChars="-30"/>
              <w:rPr>
                <w:rFonts w:ascii="宋体" w:hAnsi="宋体"/>
                <w:szCs w:val="21"/>
              </w:rPr>
            </w:pPr>
          </w:p>
        </w:tc>
        <w:tc>
          <w:tcPr>
            <w:tcW w:w="1122" w:type="dxa"/>
          </w:tcPr>
          <w:p w14:paraId="3BA3F1D9">
            <w:pPr>
              <w:spacing w:line="360" w:lineRule="exact"/>
              <w:ind w:left="-63" w:leftChars="-30" w:right="-63" w:rightChars="-30"/>
              <w:rPr>
                <w:rFonts w:ascii="宋体" w:hAnsi="宋体"/>
                <w:szCs w:val="21"/>
              </w:rPr>
            </w:pPr>
          </w:p>
        </w:tc>
        <w:tc>
          <w:tcPr>
            <w:tcW w:w="1122" w:type="dxa"/>
          </w:tcPr>
          <w:p w14:paraId="1B81F185">
            <w:pPr>
              <w:spacing w:line="360" w:lineRule="exact"/>
              <w:ind w:left="-63" w:leftChars="-30" w:right="-63" w:rightChars="-30"/>
              <w:rPr>
                <w:rFonts w:ascii="宋体" w:hAnsi="宋体"/>
                <w:szCs w:val="21"/>
              </w:rPr>
            </w:pPr>
          </w:p>
        </w:tc>
        <w:tc>
          <w:tcPr>
            <w:tcW w:w="1122" w:type="dxa"/>
          </w:tcPr>
          <w:p w14:paraId="631B2D11">
            <w:pPr>
              <w:spacing w:line="360" w:lineRule="exact"/>
              <w:ind w:left="-63" w:leftChars="-30" w:right="-63" w:rightChars="-30"/>
              <w:rPr>
                <w:rFonts w:ascii="宋体" w:hAnsi="宋体"/>
                <w:szCs w:val="21"/>
              </w:rPr>
            </w:pPr>
          </w:p>
        </w:tc>
        <w:tc>
          <w:tcPr>
            <w:tcW w:w="1122" w:type="dxa"/>
          </w:tcPr>
          <w:p w14:paraId="249CD665">
            <w:pPr>
              <w:spacing w:line="360" w:lineRule="exact"/>
              <w:ind w:left="-63" w:leftChars="-30" w:right="-63" w:rightChars="-30"/>
              <w:rPr>
                <w:rFonts w:ascii="宋体" w:hAnsi="宋体"/>
                <w:szCs w:val="21"/>
              </w:rPr>
            </w:pPr>
          </w:p>
        </w:tc>
        <w:tc>
          <w:tcPr>
            <w:tcW w:w="1123" w:type="dxa"/>
          </w:tcPr>
          <w:p w14:paraId="2FD9A5C7">
            <w:pPr>
              <w:spacing w:line="360" w:lineRule="exact"/>
              <w:ind w:left="-63" w:leftChars="-30" w:right="-63" w:rightChars="-30"/>
              <w:rPr>
                <w:rFonts w:ascii="宋体" w:hAnsi="宋体"/>
                <w:szCs w:val="21"/>
              </w:rPr>
            </w:pPr>
          </w:p>
        </w:tc>
      </w:tr>
      <w:tr w14:paraId="47C0E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336" w:type="dxa"/>
            <w:gridSpan w:val="2"/>
            <w:vAlign w:val="center"/>
          </w:tcPr>
          <w:p w14:paraId="27C5D5F1">
            <w:pPr>
              <w:spacing w:line="360" w:lineRule="exact"/>
              <w:jc w:val="center"/>
              <w:rPr>
                <w:rFonts w:ascii="宋体" w:hAnsi="宋体"/>
                <w:szCs w:val="21"/>
              </w:rPr>
            </w:pPr>
            <w:r>
              <w:rPr>
                <w:rFonts w:ascii="宋体" w:hAnsi="宋体"/>
                <w:szCs w:val="21"/>
              </w:rPr>
              <w:t>该类别承诺供车数:</w:t>
            </w:r>
          </w:p>
        </w:tc>
        <w:tc>
          <w:tcPr>
            <w:tcW w:w="1030" w:type="dxa"/>
          </w:tcPr>
          <w:p w14:paraId="6BAD5816">
            <w:pPr>
              <w:spacing w:line="360" w:lineRule="exact"/>
              <w:ind w:left="-63" w:leftChars="-30" w:right="-63" w:rightChars="-30"/>
              <w:rPr>
                <w:rFonts w:ascii="宋体" w:hAnsi="宋体"/>
                <w:szCs w:val="21"/>
              </w:rPr>
            </w:pPr>
          </w:p>
        </w:tc>
        <w:tc>
          <w:tcPr>
            <w:tcW w:w="1122" w:type="dxa"/>
          </w:tcPr>
          <w:p w14:paraId="74194684">
            <w:pPr>
              <w:spacing w:line="360" w:lineRule="exact"/>
              <w:ind w:left="-63" w:leftChars="-30" w:right="-63" w:rightChars="-30"/>
              <w:rPr>
                <w:rFonts w:ascii="宋体" w:hAnsi="宋体"/>
                <w:szCs w:val="21"/>
              </w:rPr>
            </w:pPr>
          </w:p>
        </w:tc>
        <w:tc>
          <w:tcPr>
            <w:tcW w:w="1122" w:type="dxa"/>
          </w:tcPr>
          <w:p w14:paraId="08B31FFB">
            <w:pPr>
              <w:spacing w:line="360" w:lineRule="exact"/>
              <w:ind w:left="-63" w:leftChars="-30" w:right="-63" w:rightChars="-30"/>
              <w:rPr>
                <w:rFonts w:ascii="宋体" w:hAnsi="宋体"/>
                <w:szCs w:val="21"/>
              </w:rPr>
            </w:pPr>
          </w:p>
        </w:tc>
        <w:tc>
          <w:tcPr>
            <w:tcW w:w="1122" w:type="dxa"/>
          </w:tcPr>
          <w:p w14:paraId="5ADE948F">
            <w:pPr>
              <w:spacing w:line="360" w:lineRule="exact"/>
              <w:ind w:left="-63" w:leftChars="-30" w:right="-63" w:rightChars="-30"/>
              <w:rPr>
                <w:rFonts w:ascii="宋体" w:hAnsi="宋体"/>
                <w:szCs w:val="21"/>
              </w:rPr>
            </w:pPr>
          </w:p>
        </w:tc>
        <w:tc>
          <w:tcPr>
            <w:tcW w:w="1122" w:type="dxa"/>
          </w:tcPr>
          <w:p w14:paraId="27F60A84">
            <w:pPr>
              <w:spacing w:line="360" w:lineRule="exact"/>
              <w:ind w:left="-63" w:leftChars="-30" w:right="-63" w:rightChars="-30"/>
              <w:rPr>
                <w:rFonts w:ascii="宋体" w:hAnsi="宋体"/>
                <w:szCs w:val="21"/>
              </w:rPr>
            </w:pPr>
          </w:p>
        </w:tc>
        <w:tc>
          <w:tcPr>
            <w:tcW w:w="1123" w:type="dxa"/>
          </w:tcPr>
          <w:p w14:paraId="24FE3841">
            <w:pPr>
              <w:spacing w:line="360" w:lineRule="exact"/>
              <w:ind w:left="-63" w:leftChars="-30" w:right="-63" w:rightChars="-30"/>
              <w:rPr>
                <w:rFonts w:ascii="宋体" w:hAnsi="宋体"/>
                <w:szCs w:val="21"/>
              </w:rPr>
            </w:pPr>
          </w:p>
        </w:tc>
      </w:tr>
      <w:tr w14:paraId="2BEB3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81" w:type="dxa"/>
            <w:vAlign w:val="center"/>
          </w:tcPr>
          <w:p w14:paraId="4E9DF319">
            <w:pPr>
              <w:spacing w:line="360" w:lineRule="exact"/>
              <w:ind w:left="-63" w:leftChars="-30" w:right="-63" w:rightChars="-30"/>
              <w:jc w:val="center"/>
              <w:rPr>
                <w:rFonts w:ascii="宋体" w:hAnsi="宋体"/>
                <w:szCs w:val="21"/>
              </w:rPr>
            </w:pPr>
          </w:p>
        </w:tc>
        <w:tc>
          <w:tcPr>
            <w:tcW w:w="1455" w:type="dxa"/>
            <w:vAlign w:val="center"/>
          </w:tcPr>
          <w:p w14:paraId="1C83E757">
            <w:pPr>
              <w:spacing w:line="360" w:lineRule="exact"/>
              <w:jc w:val="center"/>
              <w:rPr>
                <w:rFonts w:ascii="宋体" w:hAnsi="宋体"/>
                <w:szCs w:val="21"/>
              </w:rPr>
            </w:pPr>
            <w:r>
              <w:rPr>
                <w:rFonts w:ascii="宋体" w:hAnsi="宋体"/>
                <w:szCs w:val="21"/>
              </w:rPr>
              <w:t>大型客车（35座</w:t>
            </w:r>
            <w:r>
              <w:rPr>
                <w:rFonts w:hint="eastAsia" w:ascii="宋体" w:hAnsi="宋体"/>
                <w:szCs w:val="21"/>
              </w:rPr>
              <w:t>及</w:t>
            </w:r>
            <w:r>
              <w:rPr>
                <w:rFonts w:ascii="宋体" w:hAnsi="宋体"/>
                <w:szCs w:val="21"/>
              </w:rPr>
              <w:t>以上）</w:t>
            </w:r>
          </w:p>
        </w:tc>
        <w:tc>
          <w:tcPr>
            <w:tcW w:w="1030" w:type="dxa"/>
          </w:tcPr>
          <w:p w14:paraId="0B4EC59B">
            <w:pPr>
              <w:spacing w:line="360" w:lineRule="exact"/>
              <w:ind w:left="-63" w:leftChars="-30" w:right="-63" w:rightChars="-30"/>
              <w:rPr>
                <w:rFonts w:ascii="宋体" w:hAnsi="宋体"/>
                <w:szCs w:val="21"/>
              </w:rPr>
            </w:pPr>
          </w:p>
        </w:tc>
        <w:tc>
          <w:tcPr>
            <w:tcW w:w="1122" w:type="dxa"/>
          </w:tcPr>
          <w:p w14:paraId="67FF8C58">
            <w:pPr>
              <w:spacing w:line="360" w:lineRule="exact"/>
              <w:ind w:left="-63" w:leftChars="-30" w:right="-63" w:rightChars="-30"/>
              <w:rPr>
                <w:rFonts w:ascii="宋体" w:hAnsi="宋体"/>
                <w:szCs w:val="21"/>
              </w:rPr>
            </w:pPr>
          </w:p>
        </w:tc>
        <w:tc>
          <w:tcPr>
            <w:tcW w:w="1122" w:type="dxa"/>
          </w:tcPr>
          <w:p w14:paraId="51B7FF48">
            <w:pPr>
              <w:spacing w:line="360" w:lineRule="exact"/>
              <w:ind w:left="-63" w:leftChars="-30" w:right="-63" w:rightChars="-30"/>
              <w:rPr>
                <w:rFonts w:ascii="宋体" w:hAnsi="宋体"/>
                <w:szCs w:val="21"/>
              </w:rPr>
            </w:pPr>
          </w:p>
        </w:tc>
        <w:tc>
          <w:tcPr>
            <w:tcW w:w="1122" w:type="dxa"/>
          </w:tcPr>
          <w:p w14:paraId="1AC95BE7">
            <w:pPr>
              <w:spacing w:line="360" w:lineRule="exact"/>
              <w:ind w:left="-63" w:leftChars="-30" w:right="-63" w:rightChars="-30"/>
              <w:rPr>
                <w:rFonts w:ascii="宋体" w:hAnsi="宋体"/>
                <w:szCs w:val="21"/>
              </w:rPr>
            </w:pPr>
          </w:p>
        </w:tc>
        <w:tc>
          <w:tcPr>
            <w:tcW w:w="1122" w:type="dxa"/>
          </w:tcPr>
          <w:p w14:paraId="39D7723A">
            <w:pPr>
              <w:spacing w:line="360" w:lineRule="exact"/>
              <w:ind w:left="-63" w:leftChars="-30" w:right="-63" w:rightChars="-30"/>
              <w:rPr>
                <w:rFonts w:ascii="宋体" w:hAnsi="宋体"/>
                <w:szCs w:val="21"/>
              </w:rPr>
            </w:pPr>
          </w:p>
        </w:tc>
        <w:tc>
          <w:tcPr>
            <w:tcW w:w="1123" w:type="dxa"/>
          </w:tcPr>
          <w:p w14:paraId="1945F596">
            <w:pPr>
              <w:spacing w:line="360" w:lineRule="exact"/>
              <w:ind w:left="-63" w:leftChars="-30" w:right="-63" w:rightChars="-30"/>
              <w:rPr>
                <w:rFonts w:ascii="宋体" w:hAnsi="宋体"/>
                <w:szCs w:val="21"/>
              </w:rPr>
            </w:pPr>
          </w:p>
        </w:tc>
      </w:tr>
      <w:tr w14:paraId="770BA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81" w:type="dxa"/>
            <w:vAlign w:val="center"/>
          </w:tcPr>
          <w:p w14:paraId="7AE295D4">
            <w:pPr>
              <w:spacing w:line="360" w:lineRule="exact"/>
              <w:ind w:left="-63" w:leftChars="-30" w:right="-63" w:rightChars="-30"/>
              <w:jc w:val="center"/>
              <w:rPr>
                <w:rFonts w:ascii="宋体" w:hAnsi="宋体"/>
                <w:szCs w:val="21"/>
              </w:rPr>
            </w:pPr>
          </w:p>
        </w:tc>
        <w:tc>
          <w:tcPr>
            <w:tcW w:w="1455" w:type="dxa"/>
            <w:vAlign w:val="center"/>
          </w:tcPr>
          <w:p w14:paraId="619ADDF9">
            <w:pPr>
              <w:spacing w:line="360" w:lineRule="exact"/>
              <w:ind w:left="-63" w:leftChars="-30" w:right="-63" w:rightChars="-30"/>
              <w:jc w:val="center"/>
              <w:rPr>
                <w:rFonts w:ascii="宋体" w:hAnsi="宋体"/>
                <w:szCs w:val="21"/>
              </w:rPr>
            </w:pPr>
          </w:p>
        </w:tc>
        <w:tc>
          <w:tcPr>
            <w:tcW w:w="1030" w:type="dxa"/>
          </w:tcPr>
          <w:p w14:paraId="0D429252">
            <w:pPr>
              <w:spacing w:line="360" w:lineRule="exact"/>
              <w:ind w:left="-63" w:leftChars="-30" w:right="-63" w:rightChars="-30"/>
              <w:rPr>
                <w:rFonts w:ascii="宋体" w:hAnsi="宋体"/>
                <w:szCs w:val="21"/>
              </w:rPr>
            </w:pPr>
          </w:p>
        </w:tc>
        <w:tc>
          <w:tcPr>
            <w:tcW w:w="1122" w:type="dxa"/>
          </w:tcPr>
          <w:p w14:paraId="4DF406BD">
            <w:pPr>
              <w:spacing w:line="360" w:lineRule="exact"/>
              <w:ind w:left="-63" w:leftChars="-30" w:right="-63" w:rightChars="-30"/>
              <w:rPr>
                <w:rFonts w:ascii="宋体" w:hAnsi="宋体"/>
                <w:szCs w:val="21"/>
              </w:rPr>
            </w:pPr>
          </w:p>
        </w:tc>
        <w:tc>
          <w:tcPr>
            <w:tcW w:w="1122" w:type="dxa"/>
          </w:tcPr>
          <w:p w14:paraId="25B36E48">
            <w:pPr>
              <w:spacing w:line="360" w:lineRule="exact"/>
              <w:ind w:left="-63" w:leftChars="-30" w:right="-63" w:rightChars="-30"/>
              <w:rPr>
                <w:rFonts w:ascii="宋体" w:hAnsi="宋体"/>
                <w:szCs w:val="21"/>
              </w:rPr>
            </w:pPr>
          </w:p>
        </w:tc>
        <w:tc>
          <w:tcPr>
            <w:tcW w:w="1122" w:type="dxa"/>
          </w:tcPr>
          <w:p w14:paraId="6F9A9007">
            <w:pPr>
              <w:spacing w:line="360" w:lineRule="exact"/>
              <w:ind w:left="-63" w:leftChars="-30" w:right="-63" w:rightChars="-30"/>
              <w:rPr>
                <w:rFonts w:ascii="宋体" w:hAnsi="宋体"/>
                <w:szCs w:val="21"/>
              </w:rPr>
            </w:pPr>
          </w:p>
        </w:tc>
        <w:tc>
          <w:tcPr>
            <w:tcW w:w="1122" w:type="dxa"/>
          </w:tcPr>
          <w:p w14:paraId="17944E83">
            <w:pPr>
              <w:spacing w:line="360" w:lineRule="exact"/>
              <w:ind w:left="-63" w:leftChars="-30" w:right="-63" w:rightChars="-30"/>
              <w:rPr>
                <w:rFonts w:ascii="宋体" w:hAnsi="宋体"/>
                <w:szCs w:val="21"/>
              </w:rPr>
            </w:pPr>
          </w:p>
        </w:tc>
        <w:tc>
          <w:tcPr>
            <w:tcW w:w="1123" w:type="dxa"/>
          </w:tcPr>
          <w:p w14:paraId="2F94B5B5">
            <w:pPr>
              <w:spacing w:line="360" w:lineRule="exact"/>
              <w:ind w:left="-63" w:leftChars="-30" w:right="-63" w:rightChars="-30"/>
              <w:rPr>
                <w:rFonts w:ascii="宋体" w:hAnsi="宋体"/>
                <w:szCs w:val="21"/>
              </w:rPr>
            </w:pPr>
          </w:p>
        </w:tc>
      </w:tr>
      <w:tr w14:paraId="010F6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336" w:type="dxa"/>
            <w:gridSpan w:val="2"/>
            <w:vAlign w:val="center"/>
          </w:tcPr>
          <w:p w14:paraId="159826B3">
            <w:pPr>
              <w:spacing w:line="360" w:lineRule="exact"/>
              <w:ind w:left="-63" w:leftChars="-30" w:right="-63" w:rightChars="-30"/>
              <w:jc w:val="center"/>
              <w:rPr>
                <w:rFonts w:ascii="宋体" w:hAnsi="宋体"/>
                <w:szCs w:val="21"/>
              </w:rPr>
            </w:pPr>
            <w:r>
              <w:rPr>
                <w:rFonts w:ascii="宋体" w:hAnsi="宋体"/>
                <w:szCs w:val="21"/>
              </w:rPr>
              <w:t>该类别承诺供车数:</w:t>
            </w:r>
          </w:p>
        </w:tc>
        <w:tc>
          <w:tcPr>
            <w:tcW w:w="1030" w:type="dxa"/>
          </w:tcPr>
          <w:p w14:paraId="091157CE">
            <w:pPr>
              <w:spacing w:line="360" w:lineRule="exact"/>
              <w:ind w:left="-63" w:leftChars="-30" w:right="-63" w:rightChars="-30"/>
              <w:rPr>
                <w:rFonts w:ascii="宋体" w:hAnsi="宋体"/>
                <w:szCs w:val="21"/>
              </w:rPr>
            </w:pPr>
          </w:p>
        </w:tc>
        <w:tc>
          <w:tcPr>
            <w:tcW w:w="1122" w:type="dxa"/>
          </w:tcPr>
          <w:p w14:paraId="796224D7">
            <w:pPr>
              <w:spacing w:line="360" w:lineRule="exact"/>
              <w:ind w:left="-63" w:leftChars="-30" w:right="-63" w:rightChars="-30"/>
              <w:rPr>
                <w:rFonts w:ascii="宋体" w:hAnsi="宋体"/>
                <w:szCs w:val="21"/>
              </w:rPr>
            </w:pPr>
          </w:p>
        </w:tc>
        <w:tc>
          <w:tcPr>
            <w:tcW w:w="1122" w:type="dxa"/>
          </w:tcPr>
          <w:p w14:paraId="452C5659">
            <w:pPr>
              <w:spacing w:line="360" w:lineRule="exact"/>
              <w:ind w:left="-63" w:leftChars="-30" w:right="-63" w:rightChars="-30"/>
              <w:rPr>
                <w:rFonts w:ascii="宋体" w:hAnsi="宋体"/>
                <w:szCs w:val="21"/>
              </w:rPr>
            </w:pPr>
          </w:p>
        </w:tc>
        <w:tc>
          <w:tcPr>
            <w:tcW w:w="1122" w:type="dxa"/>
          </w:tcPr>
          <w:p w14:paraId="50F9731E">
            <w:pPr>
              <w:spacing w:line="360" w:lineRule="exact"/>
              <w:ind w:left="-63" w:leftChars="-30" w:right="-63" w:rightChars="-30"/>
              <w:rPr>
                <w:rFonts w:ascii="宋体" w:hAnsi="宋体"/>
                <w:szCs w:val="21"/>
              </w:rPr>
            </w:pPr>
          </w:p>
        </w:tc>
        <w:tc>
          <w:tcPr>
            <w:tcW w:w="1122" w:type="dxa"/>
          </w:tcPr>
          <w:p w14:paraId="0CC21720">
            <w:pPr>
              <w:spacing w:line="360" w:lineRule="exact"/>
              <w:ind w:left="-63" w:leftChars="-30" w:right="-63" w:rightChars="-30"/>
              <w:rPr>
                <w:rFonts w:ascii="宋体" w:hAnsi="宋体"/>
                <w:szCs w:val="21"/>
              </w:rPr>
            </w:pPr>
          </w:p>
        </w:tc>
        <w:tc>
          <w:tcPr>
            <w:tcW w:w="1123" w:type="dxa"/>
          </w:tcPr>
          <w:p w14:paraId="0CFDD635">
            <w:pPr>
              <w:spacing w:line="360" w:lineRule="exact"/>
              <w:ind w:left="-63" w:leftChars="-30" w:right="-63" w:rightChars="-30"/>
              <w:rPr>
                <w:rFonts w:ascii="宋体" w:hAnsi="宋体"/>
                <w:szCs w:val="21"/>
              </w:rPr>
            </w:pPr>
          </w:p>
        </w:tc>
      </w:tr>
    </w:tbl>
    <w:p w14:paraId="48427AF9">
      <w:pPr>
        <w:pStyle w:val="15"/>
        <w:snapToGrid w:val="0"/>
        <w:rPr>
          <w:rFonts w:hint="eastAsia" w:ascii="宋体" w:hAnsi="宋体" w:eastAsia="宋体" w:cs="宋体"/>
          <w:sz w:val="21"/>
          <w:szCs w:val="21"/>
        </w:rPr>
        <w:sectPr>
          <w:headerReference r:id="rId19" w:type="default"/>
          <w:pgSz w:w="11906" w:h="16838"/>
          <w:pgMar w:top="1418" w:right="1274" w:bottom="1418" w:left="1418" w:header="851" w:footer="992" w:gutter="0"/>
          <w:pgNumType w:fmt="decimal"/>
          <w:cols w:space="720" w:num="1"/>
          <w:docGrid w:linePitch="312" w:charSpace="0"/>
        </w:sectPr>
      </w:pPr>
      <w:r>
        <w:rPr>
          <w:rFonts w:hint="eastAsia" w:ascii="宋体" w:hAnsi="宋体" w:eastAsia="宋体" w:cs="宋体"/>
          <w:sz w:val="21"/>
          <w:szCs w:val="21"/>
        </w:rPr>
        <w:t>注：裸车请备注数量。</w:t>
      </w:r>
    </w:p>
    <w:p w14:paraId="39748391">
      <w:pPr>
        <w:spacing w:line="600" w:lineRule="exact"/>
        <w:jc w:val="center"/>
        <w:rPr>
          <w:rFonts w:ascii="宋体" w:hAnsi="宋体"/>
          <w:szCs w:val="21"/>
        </w:rPr>
      </w:pPr>
      <w:r>
        <w:rPr>
          <w:rFonts w:ascii="宋体" w:hAnsi="宋体"/>
          <w:szCs w:val="21"/>
        </w:rPr>
        <w:t>6.驾驶员信息表</w:t>
      </w:r>
    </w:p>
    <w:p w14:paraId="45E82033">
      <w:pPr>
        <w:spacing w:line="600" w:lineRule="exact"/>
        <w:ind w:firstLine="105" w:firstLineChars="50"/>
        <w:rPr>
          <w:rFonts w:ascii="宋体" w:hAnsi="宋体"/>
          <w:szCs w:val="21"/>
        </w:rPr>
      </w:pPr>
      <w:r>
        <w:rPr>
          <w:rFonts w:ascii="宋体" w:hAnsi="宋体"/>
          <w:szCs w:val="21"/>
        </w:rPr>
        <w:t>磋商供应商（盖章）：</w:t>
      </w:r>
    </w:p>
    <w:tbl>
      <w:tblPr>
        <w:tblStyle w:val="51"/>
        <w:tblW w:w="89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9"/>
        <w:gridCol w:w="1680"/>
        <w:gridCol w:w="1151"/>
        <w:gridCol w:w="526"/>
        <w:gridCol w:w="2204"/>
        <w:gridCol w:w="2534"/>
      </w:tblGrid>
      <w:tr w14:paraId="5F81D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9" w:type="dxa"/>
            <w:vAlign w:val="center"/>
          </w:tcPr>
          <w:p w14:paraId="75282C26">
            <w:pPr>
              <w:spacing w:line="360" w:lineRule="exact"/>
              <w:ind w:left="-63" w:leftChars="-30" w:right="-63" w:rightChars="-30"/>
              <w:jc w:val="center"/>
              <w:rPr>
                <w:rFonts w:ascii="宋体" w:hAnsi="宋体"/>
                <w:szCs w:val="21"/>
              </w:rPr>
            </w:pPr>
            <w:r>
              <w:rPr>
                <w:rFonts w:ascii="宋体" w:hAnsi="宋体"/>
                <w:szCs w:val="21"/>
              </w:rPr>
              <w:t>序号</w:t>
            </w:r>
          </w:p>
        </w:tc>
        <w:tc>
          <w:tcPr>
            <w:tcW w:w="1680" w:type="dxa"/>
            <w:vAlign w:val="center"/>
          </w:tcPr>
          <w:p w14:paraId="2132B607">
            <w:pPr>
              <w:spacing w:line="360" w:lineRule="exact"/>
              <w:ind w:left="-63" w:leftChars="-30" w:right="-63" w:rightChars="-30"/>
              <w:jc w:val="center"/>
              <w:rPr>
                <w:rFonts w:ascii="宋体" w:hAnsi="宋体"/>
                <w:szCs w:val="21"/>
              </w:rPr>
            </w:pPr>
            <w:r>
              <w:rPr>
                <w:rFonts w:ascii="宋体" w:hAnsi="宋体"/>
                <w:szCs w:val="21"/>
              </w:rPr>
              <w:t>驾驶员</w:t>
            </w:r>
          </w:p>
          <w:p w14:paraId="317DE6B6">
            <w:pPr>
              <w:spacing w:line="360" w:lineRule="exact"/>
              <w:ind w:left="-63" w:leftChars="-30" w:right="-63" w:rightChars="-30"/>
              <w:jc w:val="center"/>
              <w:rPr>
                <w:rFonts w:ascii="宋体" w:hAnsi="宋体"/>
                <w:szCs w:val="21"/>
              </w:rPr>
            </w:pPr>
            <w:r>
              <w:rPr>
                <w:rFonts w:ascii="宋体" w:hAnsi="宋体"/>
                <w:szCs w:val="21"/>
              </w:rPr>
              <w:t>姓  名</w:t>
            </w:r>
          </w:p>
        </w:tc>
        <w:tc>
          <w:tcPr>
            <w:tcW w:w="1151" w:type="dxa"/>
            <w:vAlign w:val="center"/>
          </w:tcPr>
          <w:p w14:paraId="4608A87D">
            <w:pPr>
              <w:spacing w:line="360" w:lineRule="exact"/>
              <w:ind w:left="-63" w:leftChars="-30" w:right="-63" w:rightChars="-30"/>
              <w:jc w:val="center"/>
              <w:rPr>
                <w:rFonts w:ascii="宋体" w:hAnsi="宋体"/>
                <w:szCs w:val="21"/>
              </w:rPr>
            </w:pPr>
            <w:r>
              <w:rPr>
                <w:rFonts w:ascii="宋体" w:hAnsi="宋体"/>
                <w:szCs w:val="21"/>
              </w:rPr>
              <w:t>驾照</w:t>
            </w:r>
          </w:p>
          <w:p w14:paraId="55348B1E">
            <w:pPr>
              <w:spacing w:line="360" w:lineRule="exact"/>
              <w:ind w:left="-63" w:leftChars="-30" w:right="-63" w:rightChars="-30"/>
              <w:jc w:val="center"/>
              <w:rPr>
                <w:rFonts w:ascii="宋体" w:hAnsi="宋体"/>
                <w:szCs w:val="21"/>
              </w:rPr>
            </w:pPr>
            <w:r>
              <w:rPr>
                <w:rFonts w:ascii="宋体" w:hAnsi="宋体"/>
                <w:szCs w:val="21"/>
              </w:rPr>
              <w:t>类型</w:t>
            </w:r>
          </w:p>
        </w:tc>
        <w:tc>
          <w:tcPr>
            <w:tcW w:w="526" w:type="dxa"/>
            <w:vAlign w:val="center"/>
          </w:tcPr>
          <w:p w14:paraId="5BC9D138">
            <w:pPr>
              <w:spacing w:line="360" w:lineRule="exact"/>
              <w:ind w:left="-63" w:leftChars="-30" w:right="-63" w:rightChars="-30"/>
              <w:jc w:val="center"/>
              <w:rPr>
                <w:rFonts w:ascii="宋体" w:hAnsi="宋体"/>
                <w:szCs w:val="21"/>
              </w:rPr>
            </w:pPr>
            <w:r>
              <w:rPr>
                <w:rFonts w:ascii="宋体" w:hAnsi="宋体"/>
                <w:szCs w:val="21"/>
              </w:rPr>
              <w:t>性别</w:t>
            </w:r>
          </w:p>
        </w:tc>
        <w:tc>
          <w:tcPr>
            <w:tcW w:w="2204" w:type="dxa"/>
            <w:vAlign w:val="center"/>
          </w:tcPr>
          <w:p w14:paraId="686C2A95">
            <w:pPr>
              <w:spacing w:line="360" w:lineRule="exact"/>
              <w:ind w:left="-63" w:leftChars="-30" w:right="-63" w:rightChars="-30"/>
              <w:jc w:val="center"/>
              <w:rPr>
                <w:rFonts w:ascii="宋体" w:hAnsi="宋体"/>
                <w:szCs w:val="21"/>
              </w:rPr>
            </w:pPr>
            <w:r>
              <w:rPr>
                <w:rFonts w:ascii="宋体" w:hAnsi="宋体"/>
                <w:szCs w:val="21"/>
              </w:rPr>
              <w:t>身份证号</w:t>
            </w:r>
          </w:p>
        </w:tc>
        <w:tc>
          <w:tcPr>
            <w:tcW w:w="2534" w:type="dxa"/>
            <w:vAlign w:val="center"/>
          </w:tcPr>
          <w:p w14:paraId="18AA7CC9">
            <w:pPr>
              <w:spacing w:line="360" w:lineRule="exact"/>
              <w:ind w:left="-63" w:leftChars="-30" w:right="-63" w:rightChars="-30"/>
              <w:jc w:val="center"/>
              <w:rPr>
                <w:rFonts w:ascii="宋体" w:hAnsi="宋体"/>
                <w:szCs w:val="21"/>
              </w:rPr>
            </w:pPr>
            <w:r>
              <w:rPr>
                <w:rFonts w:ascii="宋体" w:hAnsi="宋体"/>
                <w:szCs w:val="21"/>
              </w:rPr>
              <w:t>从业资格证类型</w:t>
            </w:r>
          </w:p>
        </w:tc>
      </w:tr>
      <w:tr w14:paraId="69405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exact"/>
          <w:jc w:val="center"/>
        </w:trPr>
        <w:tc>
          <w:tcPr>
            <w:tcW w:w="819" w:type="dxa"/>
          </w:tcPr>
          <w:p w14:paraId="136149E6">
            <w:pPr>
              <w:spacing w:line="360" w:lineRule="exact"/>
              <w:ind w:left="-63" w:leftChars="-30" w:right="-63" w:rightChars="-30"/>
              <w:rPr>
                <w:rFonts w:ascii="宋体" w:hAnsi="宋体"/>
                <w:szCs w:val="21"/>
              </w:rPr>
            </w:pPr>
          </w:p>
        </w:tc>
        <w:tc>
          <w:tcPr>
            <w:tcW w:w="1680" w:type="dxa"/>
          </w:tcPr>
          <w:p w14:paraId="165CBE1F">
            <w:pPr>
              <w:spacing w:line="360" w:lineRule="exact"/>
              <w:ind w:left="-63" w:leftChars="-30" w:right="-63" w:rightChars="-30"/>
              <w:rPr>
                <w:rFonts w:ascii="宋体" w:hAnsi="宋体"/>
                <w:szCs w:val="21"/>
              </w:rPr>
            </w:pPr>
          </w:p>
        </w:tc>
        <w:tc>
          <w:tcPr>
            <w:tcW w:w="1151" w:type="dxa"/>
          </w:tcPr>
          <w:p w14:paraId="7EF65C43">
            <w:pPr>
              <w:spacing w:line="360" w:lineRule="exact"/>
              <w:ind w:left="-63" w:leftChars="-30" w:right="-63" w:rightChars="-30"/>
              <w:rPr>
                <w:rFonts w:ascii="宋体" w:hAnsi="宋体"/>
                <w:szCs w:val="21"/>
              </w:rPr>
            </w:pPr>
          </w:p>
        </w:tc>
        <w:tc>
          <w:tcPr>
            <w:tcW w:w="526" w:type="dxa"/>
          </w:tcPr>
          <w:p w14:paraId="4C3E6E99">
            <w:pPr>
              <w:spacing w:line="360" w:lineRule="exact"/>
              <w:ind w:left="-63" w:leftChars="-30" w:right="-63" w:rightChars="-30"/>
              <w:rPr>
                <w:rFonts w:ascii="宋体" w:hAnsi="宋体"/>
                <w:szCs w:val="21"/>
              </w:rPr>
            </w:pPr>
          </w:p>
        </w:tc>
        <w:tc>
          <w:tcPr>
            <w:tcW w:w="2204" w:type="dxa"/>
          </w:tcPr>
          <w:p w14:paraId="1225D1F4">
            <w:pPr>
              <w:spacing w:line="360" w:lineRule="exact"/>
              <w:ind w:left="-63" w:leftChars="-30" w:right="-63" w:rightChars="-30"/>
              <w:rPr>
                <w:rFonts w:ascii="宋体" w:hAnsi="宋体"/>
                <w:szCs w:val="21"/>
              </w:rPr>
            </w:pPr>
          </w:p>
        </w:tc>
        <w:tc>
          <w:tcPr>
            <w:tcW w:w="2534" w:type="dxa"/>
          </w:tcPr>
          <w:p w14:paraId="4FF44678">
            <w:pPr>
              <w:spacing w:line="360" w:lineRule="exact"/>
              <w:ind w:left="-63" w:leftChars="-30" w:right="-63" w:rightChars="-30"/>
              <w:rPr>
                <w:rFonts w:ascii="宋体" w:hAnsi="宋体"/>
                <w:szCs w:val="21"/>
              </w:rPr>
            </w:pPr>
          </w:p>
        </w:tc>
      </w:tr>
      <w:tr w14:paraId="14E8C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exact"/>
          <w:jc w:val="center"/>
        </w:trPr>
        <w:tc>
          <w:tcPr>
            <w:tcW w:w="819" w:type="dxa"/>
          </w:tcPr>
          <w:p w14:paraId="64982644">
            <w:pPr>
              <w:spacing w:line="360" w:lineRule="exact"/>
              <w:ind w:left="-63" w:leftChars="-30" w:right="-63" w:rightChars="-30"/>
              <w:rPr>
                <w:rFonts w:ascii="宋体" w:hAnsi="宋体"/>
                <w:szCs w:val="21"/>
              </w:rPr>
            </w:pPr>
          </w:p>
        </w:tc>
        <w:tc>
          <w:tcPr>
            <w:tcW w:w="1680" w:type="dxa"/>
          </w:tcPr>
          <w:p w14:paraId="3C00EAFA">
            <w:pPr>
              <w:spacing w:line="360" w:lineRule="exact"/>
              <w:ind w:left="-63" w:leftChars="-30" w:right="-63" w:rightChars="-30"/>
              <w:rPr>
                <w:rFonts w:ascii="宋体" w:hAnsi="宋体"/>
                <w:szCs w:val="21"/>
              </w:rPr>
            </w:pPr>
          </w:p>
        </w:tc>
        <w:tc>
          <w:tcPr>
            <w:tcW w:w="1151" w:type="dxa"/>
          </w:tcPr>
          <w:p w14:paraId="0A433E5B">
            <w:pPr>
              <w:spacing w:line="360" w:lineRule="exact"/>
              <w:ind w:left="-63" w:leftChars="-30" w:right="-63" w:rightChars="-30"/>
              <w:rPr>
                <w:rFonts w:ascii="宋体" w:hAnsi="宋体"/>
                <w:szCs w:val="21"/>
              </w:rPr>
            </w:pPr>
          </w:p>
        </w:tc>
        <w:tc>
          <w:tcPr>
            <w:tcW w:w="526" w:type="dxa"/>
          </w:tcPr>
          <w:p w14:paraId="50BBF21D">
            <w:pPr>
              <w:spacing w:line="360" w:lineRule="exact"/>
              <w:ind w:left="-63" w:leftChars="-30" w:right="-63" w:rightChars="-30"/>
              <w:rPr>
                <w:rFonts w:ascii="宋体" w:hAnsi="宋体"/>
                <w:szCs w:val="21"/>
              </w:rPr>
            </w:pPr>
          </w:p>
        </w:tc>
        <w:tc>
          <w:tcPr>
            <w:tcW w:w="2204" w:type="dxa"/>
          </w:tcPr>
          <w:p w14:paraId="55442032">
            <w:pPr>
              <w:spacing w:line="360" w:lineRule="exact"/>
              <w:ind w:left="-63" w:leftChars="-30" w:right="-63" w:rightChars="-30"/>
              <w:rPr>
                <w:rFonts w:ascii="宋体" w:hAnsi="宋体"/>
                <w:szCs w:val="21"/>
              </w:rPr>
            </w:pPr>
          </w:p>
        </w:tc>
        <w:tc>
          <w:tcPr>
            <w:tcW w:w="2534" w:type="dxa"/>
          </w:tcPr>
          <w:p w14:paraId="3193F9F4">
            <w:pPr>
              <w:spacing w:line="360" w:lineRule="exact"/>
              <w:ind w:left="-63" w:leftChars="-30" w:right="-63" w:rightChars="-30"/>
              <w:rPr>
                <w:rFonts w:ascii="宋体" w:hAnsi="宋体"/>
                <w:szCs w:val="21"/>
              </w:rPr>
            </w:pPr>
          </w:p>
        </w:tc>
      </w:tr>
      <w:tr w14:paraId="4622E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exact"/>
          <w:jc w:val="center"/>
        </w:trPr>
        <w:tc>
          <w:tcPr>
            <w:tcW w:w="819" w:type="dxa"/>
          </w:tcPr>
          <w:p w14:paraId="4200C3D1">
            <w:pPr>
              <w:spacing w:line="360" w:lineRule="exact"/>
              <w:ind w:left="-63" w:leftChars="-30" w:right="-63" w:rightChars="-30"/>
              <w:rPr>
                <w:rFonts w:ascii="宋体" w:hAnsi="宋体"/>
                <w:szCs w:val="21"/>
              </w:rPr>
            </w:pPr>
          </w:p>
        </w:tc>
        <w:tc>
          <w:tcPr>
            <w:tcW w:w="1680" w:type="dxa"/>
          </w:tcPr>
          <w:p w14:paraId="326500E5">
            <w:pPr>
              <w:spacing w:line="360" w:lineRule="exact"/>
              <w:ind w:left="-63" w:leftChars="-30" w:right="-63" w:rightChars="-30"/>
              <w:rPr>
                <w:rFonts w:ascii="宋体" w:hAnsi="宋体"/>
                <w:szCs w:val="21"/>
              </w:rPr>
            </w:pPr>
          </w:p>
        </w:tc>
        <w:tc>
          <w:tcPr>
            <w:tcW w:w="1151" w:type="dxa"/>
          </w:tcPr>
          <w:p w14:paraId="67E00E1B">
            <w:pPr>
              <w:spacing w:line="360" w:lineRule="exact"/>
              <w:ind w:left="-63" w:leftChars="-30" w:right="-63" w:rightChars="-30"/>
              <w:rPr>
                <w:rFonts w:ascii="宋体" w:hAnsi="宋体"/>
                <w:szCs w:val="21"/>
              </w:rPr>
            </w:pPr>
          </w:p>
        </w:tc>
        <w:tc>
          <w:tcPr>
            <w:tcW w:w="526" w:type="dxa"/>
          </w:tcPr>
          <w:p w14:paraId="198A1580">
            <w:pPr>
              <w:spacing w:line="360" w:lineRule="exact"/>
              <w:ind w:left="-63" w:leftChars="-30" w:right="-63" w:rightChars="-30"/>
              <w:rPr>
                <w:rFonts w:ascii="宋体" w:hAnsi="宋体"/>
                <w:szCs w:val="21"/>
              </w:rPr>
            </w:pPr>
          </w:p>
        </w:tc>
        <w:tc>
          <w:tcPr>
            <w:tcW w:w="2204" w:type="dxa"/>
          </w:tcPr>
          <w:p w14:paraId="6167945B">
            <w:pPr>
              <w:spacing w:line="360" w:lineRule="exact"/>
              <w:ind w:left="-63" w:leftChars="-30" w:right="-63" w:rightChars="-30"/>
              <w:rPr>
                <w:rFonts w:ascii="宋体" w:hAnsi="宋体"/>
                <w:szCs w:val="21"/>
              </w:rPr>
            </w:pPr>
          </w:p>
        </w:tc>
        <w:tc>
          <w:tcPr>
            <w:tcW w:w="2534" w:type="dxa"/>
          </w:tcPr>
          <w:p w14:paraId="5DB3647D">
            <w:pPr>
              <w:spacing w:line="360" w:lineRule="exact"/>
              <w:ind w:left="-63" w:leftChars="-30" w:right="-63" w:rightChars="-30"/>
              <w:rPr>
                <w:rFonts w:ascii="宋体" w:hAnsi="宋体"/>
                <w:szCs w:val="21"/>
              </w:rPr>
            </w:pPr>
          </w:p>
        </w:tc>
      </w:tr>
      <w:tr w14:paraId="38DD0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exact"/>
          <w:jc w:val="center"/>
        </w:trPr>
        <w:tc>
          <w:tcPr>
            <w:tcW w:w="819" w:type="dxa"/>
          </w:tcPr>
          <w:p w14:paraId="44BCC986">
            <w:pPr>
              <w:spacing w:line="360" w:lineRule="exact"/>
              <w:ind w:left="-63" w:leftChars="-30" w:right="-63" w:rightChars="-30"/>
              <w:rPr>
                <w:rFonts w:ascii="宋体" w:hAnsi="宋体"/>
                <w:szCs w:val="21"/>
              </w:rPr>
            </w:pPr>
          </w:p>
        </w:tc>
        <w:tc>
          <w:tcPr>
            <w:tcW w:w="1680" w:type="dxa"/>
          </w:tcPr>
          <w:p w14:paraId="198C0069">
            <w:pPr>
              <w:spacing w:line="360" w:lineRule="exact"/>
              <w:ind w:left="-63" w:leftChars="-30" w:right="-63" w:rightChars="-30"/>
              <w:rPr>
                <w:rFonts w:ascii="宋体" w:hAnsi="宋体"/>
                <w:szCs w:val="21"/>
              </w:rPr>
            </w:pPr>
          </w:p>
        </w:tc>
        <w:tc>
          <w:tcPr>
            <w:tcW w:w="1151" w:type="dxa"/>
          </w:tcPr>
          <w:p w14:paraId="2AF870BF">
            <w:pPr>
              <w:spacing w:line="360" w:lineRule="exact"/>
              <w:ind w:left="-63" w:leftChars="-30" w:right="-63" w:rightChars="-30"/>
              <w:rPr>
                <w:rFonts w:ascii="宋体" w:hAnsi="宋体"/>
                <w:szCs w:val="21"/>
              </w:rPr>
            </w:pPr>
          </w:p>
        </w:tc>
        <w:tc>
          <w:tcPr>
            <w:tcW w:w="526" w:type="dxa"/>
          </w:tcPr>
          <w:p w14:paraId="180A167F">
            <w:pPr>
              <w:spacing w:line="360" w:lineRule="exact"/>
              <w:ind w:left="-63" w:leftChars="-30" w:right="-63" w:rightChars="-30"/>
              <w:rPr>
                <w:rFonts w:ascii="宋体" w:hAnsi="宋体"/>
                <w:szCs w:val="21"/>
              </w:rPr>
            </w:pPr>
          </w:p>
        </w:tc>
        <w:tc>
          <w:tcPr>
            <w:tcW w:w="2204" w:type="dxa"/>
          </w:tcPr>
          <w:p w14:paraId="560DC813">
            <w:pPr>
              <w:spacing w:line="360" w:lineRule="exact"/>
              <w:ind w:left="-63" w:leftChars="-30" w:right="-63" w:rightChars="-30"/>
              <w:rPr>
                <w:rFonts w:ascii="宋体" w:hAnsi="宋体"/>
                <w:szCs w:val="21"/>
              </w:rPr>
            </w:pPr>
          </w:p>
        </w:tc>
        <w:tc>
          <w:tcPr>
            <w:tcW w:w="2534" w:type="dxa"/>
          </w:tcPr>
          <w:p w14:paraId="69C154BF">
            <w:pPr>
              <w:spacing w:line="360" w:lineRule="exact"/>
              <w:ind w:left="-63" w:leftChars="-30" w:right="-63" w:rightChars="-30"/>
              <w:rPr>
                <w:rFonts w:ascii="宋体" w:hAnsi="宋体"/>
                <w:szCs w:val="21"/>
              </w:rPr>
            </w:pPr>
          </w:p>
        </w:tc>
      </w:tr>
      <w:tr w14:paraId="063B5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exact"/>
          <w:jc w:val="center"/>
        </w:trPr>
        <w:tc>
          <w:tcPr>
            <w:tcW w:w="819" w:type="dxa"/>
          </w:tcPr>
          <w:p w14:paraId="1263FACE">
            <w:pPr>
              <w:spacing w:line="360" w:lineRule="exact"/>
              <w:ind w:left="-63" w:leftChars="-30" w:right="-63" w:rightChars="-30"/>
              <w:rPr>
                <w:rFonts w:ascii="宋体" w:hAnsi="宋体"/>
                <w:szCs w:val="21"/>
              </w:rPr>
            </w:pPr>
          </w:p>
        </w:tc>
        <w:tc>
          <w:tcPr>
            <w:tcW w:w="1680" w:type="dxa"/>
          </w:tcPr>
          <w:p w14:paraId="20996118">
            <w:pPr>
              <w:spacing w:line="360" w:lineRule="exact"/>
              <w:ind w:left="-63" w:leftChars="-30" w:right="-63" w:rightChars="-30"/>
              <w:rPr>
                <w:rFonts w:ascii="宋体" w:hAnsi="宋体"/>
                <w:szCs w:val="21"/>
              </w:rPr>
            </w:pPr>
          </w:p>
        </w:tc>
        <w:tc>
          <w:tcPr>
            <w:tcW w:w="1151" w:type="dxa"/>
          </w:tcPr>
          <w:p w14:paraId="372E884C">
            <w:pPr>
              <w:spacing w:line="360" w:lineRule="exact"/>
              <w:ind w:left="-63" w:leftChars="-30" w:right="-63" w:rightChars="-30"/>
              <w:rPr>
                <w:rFonts w:ascii="宋体" w:hAnsi="宋体"/>
                <w:szCs w:val="21"/>
              </w:rPr>
            </w:pPr>
          </w:p>
        </w:tc>
        <w:tc>
          <w:tcPr>
            <w:tcW w:w="526" w:type="dxa"/>
          </w:tcPr>
          <w:p w14:paraId="0F2F9664">
            <w:pPr>
              <w:spacing w:line="360" w:lineRule="exact"/>
              <w:ind w:left="-63" w:leftChars="-30" w:right="-63" w:rightChars="-30"/>
              <w:rPr>
                <w:rFonts w:ascii="宋体" w:hAnsi="宋体"/>
                <w:szCs w:val="21"/>
              </w:rPr>
            </w:pPr>
          </w:p>
        </w:tc>
        <w:tc>
          <w:tcPr>
            <w:tcW w:w="2204" w:type="dxa"/>
          </w:tcPr>
          <w:p w14:paraId="2FA93872">
            <w:pPr>
              <w:spacing w:line="360" w:lineRule="exact"/>
              <w:ind w:left="-63" w:leftChars="-30" w:right="-63" w:rightChars="-30"/>
              <w:rPr>
                <w:rFonts w:ascii="宋体" w:hAnsi="宋体"/>
                <w:szCs w:val="21"/>
              </w:rPr>
            </w:pPr>
          </w:p>
        </w:tc>
        <w:tc>
          <w:tcPr>
            <w:tcW w:w="2534" w:type="dxa"/>
          </w:tcPr>
          <w:p w14:paraId="09E73726">
            <w:pPr>
              <w:spacing w:line="360" w:lineRule="exact"/>
              <w:ind w:left="-63" w:leftChars="-30" w:right="-63" w:rightChars="-30"/>
              <w:rPr>
                <w:rFonts w:ascii="宋体" w:hAnsi="宋体"/>
                <w:szCs w:val="21"/>
              </w:rPr>
            </w:pPr>
          </w:p>
        </w:tc>
      </w:tr>
      <w:tr w14:paraId="7B318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exact"/>
          <w:jc w:val="center"/>
        </w:trPr>
        <w:tc>
          <w:tcPr>
            <w:tcW w:w="819" w:type="dxa"/>
          </w:tcPr>
          <w:p w14:paraId="2D628D6B">
            <w:pPr>
              <w:spacing w:line="360" w:lineRule="exact"/>
              <w:ind w:left="-63" w:leftChars="-30" w:right="-63" w:rightChars="-30"/>
              <w:rPr>
                <w:rFonts w:ascii="宋体" w:hAnsi="宋体"/>
                <w:szCs w:val="21"/>
              </w:rPr>
            </w:pPr>
          </w:p>
        </w:tc>
        <w:tc>
          <w:tcPr>
            <w:tcW w:w="1680" w:type="dxa"/>
          </w:tcPr>
          <w:p w14:paraId="38D80C47">
            <w:pPr>
              <w:spacing w:line="360" w:lineRule="exact"/>
              <w:ind w:left="-63" w:leftChars="-30" w:right="-63" w:rightChars="-30"/>
              <w:rPr>
                <w:rFonts w:ascii="宋体" w:hAnsi="宋体"/>
                <w:szCs w:val="21"/>
              </w:rPr>
            </w:pPr>
          </w:p>
        </w:tc>
        <w:tc>
          <w:tcPr>
            <w:tcW w:w="1151" w:type="dxa"/>
          </w:tcPr>
          <w:p w14:paraId="535BC16E">
            <w:pPr>
              <w:spacing w:line="360" w:lineRule="exact"/>
              <w:ind w:left="-63" w:leftChars="-30" w:right="-63" w:rightChars="-30"/>
              <w:rPr>
                <w:rFonts w:ascii="宋体" w:hAnsi="宋体"/>
                <w:szCs w:val="21"/>
              </w:rPr>
            </w:pPr>
          </w:p>
        </w:tc>
        <w:tc>
          <w:tcPr>
            <w:tcW w:w="526" w:type="dxa"/>
          </w:tcPr>
          <w:p w14:paraId="0218774D">
            <w:pPr>
              <w:spacing w:line="360" w:lineRule="exact"/>
              <w:ind w:left="-63" w:leftChars="-30" w:right="-63" w:rightChars="-30"/>
              <w:rPr>
                <w:rFonts w:ascii="宋体" w:hAnsi="宋体"/>
                <w:szCs w:val="21"/>
              </w:rPr>
            </w:pPr>
          </w:p>
        </w:tc>
        <w:tc>
          <w:tcPr>
            <w:tcW w:w="2204" w:type="dxa"/>
          </w:tcPr>
          <w:p w14:paraId="7FA56C62">
            <w:pPr>
              <w:spacing w:line="360" w:lineRule="exact"/>
              <w:ind w:left="-63" w:leftChars="-30" w:right="-63" w:rightChars="-30"/>
              <w:rPr>
                <w:rFonts w:ascii="宋体" w:hAnsi="宋体"/>
                <w:szCs w:val="21"/>
              </w:rPr>
            </w:pPr>
          </w:p>
        </w:tc>
        <w:tc>
          <w:tcPr>
            <w:tcW w:w="2534" w:type="dxa"/>
          </w:tcPr>
          <w:p w14:paraId="083BDA47">
            <w:pPr>
              <w:spacing w:line="360" w:lineRule="exact"/>
              <w:ind w:left="-63" w:leftChars="-30" w:right="-63" w:rightChars="-30"/>
              <w:rPr>
                <w:rFonts w:ascii="宋体" w:hAnsi="宋体"/>
                <w:szCs w:val="21"/>
              </w:rPr>
            </w:pPr>
          </w:p>
        </w:tc>
      </w:tr>
      <w:tr w14:paraId="66FCB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exact"/>
          <w:jc w:val="center"/>
        </w:trPr>
        <w:tc>
          <w:tcPr>
            <w:tcW w:w="819" w:type="dxa"/>
          </w:tcPr>
          <w:p w14:paraId="35BF7580">
            <w:pPr>
              <w:spacing w:line="360" w:lineRule="exact"/>
              <w:ind w:left="-63" w:leftChars="-30" w:right="-63" w:rightChars="-30"/>
              <w:rPr>
                <w:rFonts w:ascii="宋体" w:hAnsi="宋体"/>
                <w:szCs w:val="21"/>
              </w:rPr>
            </w:pPr>
          </w:p>
        </w:tc>
        <w:tc>
          <w:tcPr>
            <w:tcW w:w="1680" w:type="dxa"/>
          </w:tcPr>
          <w:p w14:paraId="0D0B73C3">
            <w:pPr>
              <w:spacing w:line="360" w:lineRule="exact"/>
              <w:ind w:left="-63" w:leftChars="-30" w:right="-63" w:rightChars="-30"/>
              <w:rPr>
                <w:rFonts w:ascii="宋体" w:hAnsi="宋体"/>
                <w:szCs w:val="21"/>
              </w:rPr>
            </w:pPr>
          </w:p>
        </w:tc>
        <w:tc>
          <w:tcPr>
            <w:tcW w:w="1151" w:type="dxa"/>
          </w:tcPr>
          <w:p w14:paraId="0B64C587">
            <w:pPr>
              <w:spacing w:line="360" w:lineRule="exact"/>
              <w:ind w:left="-63" w:leftChars="-30" w:right="-63" w:rightChars="-30"/>
              <w:rPr>
                <w:rFonts w:ascii="宋体" w:hAnsi="宋体"/>
                <w:szCs w:val="21"/>
              </w:rPr>
            </w:pPr>
          </w:p>
        </w:tc>
        <w:tc>
          <w:tcPr>
            <w:tcW w:w="526" w:type="dxa"/>
          </w:tcPr>
          <w:p w14:paraId="33FA7CAC">
            <w:pPr>
              <w:spacing w:line="360" w:lineRule="exact"/>
              <w:ind w:left="-63" w:leftChars="-30" w:right="-63" w:rightChars="-30"/>
              <w:rPr>
                <w:rFonts w:ascii="宋体" w:hAnsi="宋体"/>
                <w:szCs w:val="21"/>
              </w:rPr>
            </w:pPr>
          </w:p>
        </w:tc>
        <w:tc>
          <w:tcPr>
            <w:tcW w:w="2204" w:type="dxa"/>
          </w:tcPr>
          <w:p w14:paraId="2B8DA7E7">
            <w:pPr>
              <w:spacing w:line="360" w:lineRule="exact"/>
              <w:ind w:left="-63" w:leftChars="-30" w:right="-63" w:rightChars="-30"/>
              <w:rPr>
                <w:rFonts w:ascii="宋体" w:hAnsi="宋体"/>
                <w:szCs w:val="21"/>
              </w:rPr>
            </w:pPr>
          </w:p>
        </w:tc>
        <w:tc>
          <w:tcPr>
            <w:tcW w:w="2534" w:type="dxa"/>
          </w:tcPr>
          <w:p w14:paraId="746F2574">
            <w:pPr>
              <w:spacing w:line="360" w:lineRule="exact"/>
              <w:ind w:left="-63" w:leftChars="-30" w:right="-63" w:rightChars="-30"/>
              <w:rPr>
                <w:rFonts w:ascii="宋体" w:hAnsi="宋体"/>
                <w:szCs w:val="21"/>
              </w:rPr>
            </w:pPr>
          </w:p>
        </w:tc>
      </w:tr>
      <w:tr w14:paraId="63EF2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exact"/>
          <w:jc w:val="center"/>
        </w:trPr>
        <w:tc>
          <w:tcPr>
            <w:tcW w:w="819" w:type="dxa"/>
          </w:tcPr>
          <w:p w14:paraId="0864F569">
            <w:pPr>
              <w:spacing w:line="360" w:lineRule="exact"/>
              <w:ind w:left="-63" w:leftChars="-30" w:right="-63" w:rightChars="-30"/>
              <w:rPr>
                <w:rFonts w:ascii="宋体" w:hAnsi="宋体"/>
                <w:szCs w:val="21"/>
              </w:rPr>
            </w:pPr>
          </w:p>
        </w:tc>
        <w:tc>
          <w:tcPr>
            <w:tcW w:w="1680" w:type="dxa"/>
          </w:tcPr>
          <w:p w14:paraId="2427806F">
            <w:pPr>
              <w:spacing w:line="360" w:lineRule="exact"/>
              <w:ind w:left="-63" w:leftChars="-30" w:right="-63" w:rightChars="-30"/>
              <w:rPr>
                <w:rFonts w:ascii="宋体" w:hAnsi="宋体"/>
                <w:szCs w:val="21"/>
              </w:rPr>
            </w:pPr>
          </w:p>
        </w:tc>
        <w:tc>
          <w:tcPr>
            <w:tcW w:w="1151" w:type="dxa"/>
          </w:tcPr>
          <w:p w14:paraId="1A76DA26">
            <w:pPr>
              <w:spacing w:line="360" w:lineRule="exact"/>
              <w:ind w:left="-63" w:leftChars="-30" w:right="-63" w:rightChars="-30"/>
              <w:rPr>
                <w:rFonts w:ascii="宋体" w:hAnsi="宋体"/>
                <w:szCs w:val="21"/>
              </w:rPr>
            </w:pPr>
          </w:p>
        </w:tc>
        <w:tc>
          <w:tcPr>
            <w:tcW w:w="526" w:type="dxa"/>
          </w:tcPr>
          <w:p w14:paraId="5C9BA3A4">
            <w:pPr>
              <w:spacing w:line="360" w:lineRule="exact"/>
              <w:ind w:left="-63" w:leftChars="-30" w:right="-63" w:rightChars="-30"/>
              <w:rPr>
                <w:rFonts w:ascii="宋体" w:hAnsi="宋体"/>
                <w:szCs w:val="21"/>
              </w:rPr>
            </w:pPr>
          </w:p>
        </w:tc>
        <w:tc>
          <w:tcPr>
            <w:tcW w:w="2204" w:type="dxa"/>
          </w:tcPr>
          <w:p w14:paraId="59E1C17D">
            <w:pPr>
              <w:spacing w:line="360" w:lineRule="exact"/>
              <w:ind w:left="-63" w:leftChars="-30" w:right="-63" w:rightChars="-30"/>
              <w:rPr>
                <w:rFonts w:ascii="宋体" w:hAnsi="宋体"/>
                <w:szCs w:val="21"/>
              </w:rPr>
            </w:pPr>
          </w:p>
        </w:tc>
        <w:tc>
          <w:tcPr>
            <w:tcW w:w="2534" w:type="dxa"/>
          </w:tcPr>
          <w:p w14:paraId="44C8BC5D">
            <w:pPr>
              <w:spacing w:line="360" w:lineRule="exact"/>
              <w:ind w:left="-63" w:leftChars="-30" w:right="-63" w:rightChars="-30"/>
              <w:rPr>
                <w:rFonts w:ascii="宋体" w:hAnsi="宋体"/>
                <w:szCs w:val="21"/>
              </w:rPr>
            </w:pPr>
          </w:p>
        </w:tc>
      </w:tr>
      <w:tr w14:paraId="062C7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exact"/>
          <w:jc w:val="center"/>
        </w:trPr>
        <w:tc>
          <w:tcPr>
            <w:tcW w:w="819" w:type="dxa"/>
          </w:tcPr>
          <w:p w14:paraId="67E3985C">
            <w:pPr>
              <w:spacing w:line="360" w:lineRule="exact"/>
              <w:ind w:left="-63" w:leftChars="-30" w:right="-63" w:rightChars="-30"/>
              <w:rPr>
                <w:rFonts w:ascii="宋体" w:hAnsi="宋体"/>
                <w:szCs w:val="21"/>
              </w:rPr>
            </w:pPr>
          </w:p>
        </w:tc>
        <w:tc>
          <w:tcPr>
            <w:tcW w:w="1680" w:type="dxa"/>
          </w:tcPr>
          <w:p w14:paraId="2159023A">
            <w:pPr>
              <w:spacing w:line="360" w:lineRule="exact"/>
              <w:ind w:left="-63" w:leftChars="-30" w:right="-63" w:rightChars="-30"/>
              <w:rPr>
                <w:rFonts w:ascii="宋体" w:hAnsi="宋体"/>
                <w:szCs w:val="21"/>
              </w:rPr>
            </w:pPr>
          </w:p>
        </w:tc>
        <w:tc>
          <w:tcPr>
            <w:tcW w:w="1151" w:type="dxa"/>
          </w:tcPr>
          <w:p w14:paraId="6EB727C2">
            <w:pPr>
              <w:spacing w:line="360" w:lineRule="exact"/>
              <w:ind w:left="-63" w:leftChars="-30" w:right="-63" w:rightChars="-30"/>
              <w:rPr>
                <w:rFonts w:ascii="宋体" w:hAnsi="宋体"/>
                <w:szCs w:val="21"/>
              </w:rPr>
            </w:pPr>
          </w:p>
        </w:tc>
        <w:tc>
          <w:tcPr>
            <w:tcW w:w="526" w:type="dxa"/>
          </w:tcPr>
          <w:p w14:paraId="037D42A1">
            <w:pPr>
              <w:spacing w:line="360" w:lineRule="exact"/>
              <w:ind w:left="-63" w:leftChars="-30" w:right="-63" w:rightChars="-30"/>
              <w:rPr>
                <w:rFonts w:ascii="宋体" w:hAnsi="宋体"/>
                <w:szCs w:val="21"/>
              </w:rPr>
            </w:pPr>
          </w:p>
        </w:tc>
        <w:tc>
          <w:tcPr>
            <w:tcW w:w="2204" w:type="dxa"/>
          </w:tcPr>
          <w:p w14:paraId="7771C56B">
            <w:pPr>
              <w:spacing w:line="360" w:lineRule="exact"/>
              <w:ind w:left="-63" w:leftChars="-30" w:right="-63" w:rightChars="-30"/>
              <w:rPr>
                <w:rFonts w:ascii="宋体" w:hAnsi="宋体"/>
                <w:szCs w:val="21"/>
              </w:rPr>
            </w:pPr>
          </w:p>
        </w:tc>
        <w:tc>
          <w:tcPr>
            <w:tcW w:w="2534" w:type="dxa"/>
          </w:tcPr>
          <w:p w14:paraId="62AF9D25">
            <w:pPr>
              <w:spacing w:line="360" w:lineRule="exact"/>
              <w:ind w:left="-63" w:leftChars="-30" w:right="-63" w:rightChars="-30"/>
              <w:rPr>
                <w:rFonts w:ascii="宋体" w:hAnsi="宋体"/>
                <w:szCs w:val="21"/>
              </w:rPr>
            </w:pPr>
          </w:p>
        </w:tc>
      </w:tr>
      <w:tr w14:paraId="73975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exact"/>
          <w:jc w:val="center"/>
        </w:trPr>
        <w:tc>
          <w:tcPr>
            <w:tcW w:w="819" w:type="dxa"/>
          </w:tcPr>
          <w:p w14:paraId="72E8824E">
            <w:pPr>
              <w:spacing w:line="360" w:lineRule="exact"/>
              <w:ind w:left="-63" w:leftChars="-30" w:right="-63" w:rightChars="-30"/>
              <w:rPr>
                <w:rFonts w:ascii="宋体" w:hAnsi="宋体"/>
                <w:szCs w:val="21"/>
              </w:rPr>
            </w:pPr>
          </w:p>
        </w:tc>
        <w:tc>
          <w:tcPr>
            <w:tcW w:w="1680" w:type="dxa"/>
          </w:tcPr>
          <w:p w14:paraId="5CDBEE49">
            <w:pPr>
              <w:spacing w:line="360" w:lineRule="exact"/>
              <w:ind w:left="-63" w:leftChars="-30" w:right="-63" w:rightChars="-30"/>
              <w:rPr>
                <w:rFonts w:ascii="宋体" w:hAnsi="宋体"/>
                <w:szCs w:val="21"/>
              </w:rPr>
            </w:pPr>
          </w:p>
        </w:tc>
        <w:tc>
          <w:tcPr>
            <w:tcW w:w="1151" w:type="dxa"/>
          </w:tcPr>
          <w:p w14:paraId="7C513B69">
            <w:pPr>
              <w:spacing w:line="360" w:lineRule="exact"/>
              <w:ind w:left="-63" w:leftChars="-30" w:right="-63" w:rightChars="-30"/>
              <w:rPr>
                <w:rFonts w:ascii="宋体" w:hAnsi="宋体"/>
                <w:szCs w:val="21"/>
              </w:rPr>
            </w:pPr>
          </w:p>
        </w:tc>
        <w:tc>
          <w:tcPr>
            <w:tcW w:w="526" w:type="dxa"/>
          </w:tcPr>
          <w:p w14:paraId="536123A1">
            <w:pPr>
              <w:spacing w:line="360" w:lineRule="exact"/>
              <w:ind w:left="-63" w:leftChars="-30" w:right="-63" w:rightChars="-30"/>
              <w:rPr>
                <w:rFonts w:ascii="宋体" w:hAnsi="宋体"/>
                <w:szCs w:val="21"/>
              </w:rPr>
            </w:pPr>
          </w:p>
        </w:tc>
        <w:tc>
          <w:tcPr>
            <w:tcW w:w="2204" w:type="dxa"/>
          </w:tcPr>
          <w:p w14:paraId="50A0B453">
            <w:pPr>
              <w:spacing w:line="360" w:lineRule="exact"/>
              <w:ind w:left="-63" w:leftChars="-30" w:right="-63" w:rightChars="-30"/>
              <w:rPr>
                <w:rFonts w:ascii="宋体" w:hAnsi="宋体"/>
                <w:szCs w:val="21"/>
              </w:rPr>
            </w:pPr>
          </w:p>
        </w:tc>
        <w:tc>
          <w:tcPr>
            <w:tcW w:w="2534" w:type="dxa"/>
          </w:tcPr>
          <w:p w14:paraId="4032B004">
            <w:pPr>
              <w:spacing w:line="360" w:lineRule="exact"/>
              <w:ind w:left="-63" w:leftChars="-30" w:right="-63" w:rightChars="-30"/>
              <w:rPr>
                <w:rFonts w:ascii="宋体" w:hAnsi="宋体"/>
                <w:szCs w:val="21"/>
              </w:rPr>
            </w:pPr>
          </w:p>
        </w:tc>
      </w:tr>
      <w:tr w14:paraId="61D2B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42" w:hRule="exact"/>
          <w:jc w:val="center"/>
        </w:trPr>
        <w:tc>
          <w:tcPr>
            <w:tcW w:w="819" w:type="dxa"/>
          </w:tcPr>
          <w:p w14:paraId="1002DA5B">
            <w:pPr>
              <w:spacing w:line="360" w:lineRule="exact"/>
              <w:ind w:left="-63" w:leftChars="-30" w:right="-63" w:rightChars="-30"/>
              <w:rPr>
                <w:rFonts w:ascii="宋体" w:hAnsi="宋体"/>
                <w:szCs w:val="21"/>
              </w:rPr>
            </w:pPr>
          </w:p>
        </w:tc>
        <w:tc>
          <w:tcPr>
            <w:tcW w:w="1680" w:type="dxa"/>
          </w:tcPr>
          <w:p w14:paraId="587F8709">
            <w:pPr>
              <w:spacing w:line="360" w:lineRule="exact"/>
              <w:ind w:left="-63" w:leftChars="-30" w:right="-63" w:rightChars="-30"/>
              <w:rPr>
                <w:rFonts w:ascii="宋体" w:hAnsi="宋体"/>
                <w:szCs w:val="21"/>
              </w:rPr>
            </w:pPr>
          </w:p>
        </w:tc>
        <w:tc>
          <w:tcPr>
            <w:tcW w:w="1151" w:type="dxa"/>
          </w:tcPr>
          <w:p w14:paraId="2F6C4407">
            <w:pPr>
              <w:spacing w:line="360" w:lineRule="exact"/>
              <w:ind w:left="-63" w:leftChars="-30" w:right="-63" w:rightChars="-30"/>
              <w:rPr>
                <w:rFonts w:ascii="宋体" w:hAnsi="宋体"/>
                <w:szCs w:val="21"/>
              </w:rPr>
            </w:pPr>
          </w:p>
        </w:tc>
        <w:tc>
          <w:tcPr>
            <w:tcW w:w="526" w:type="dxa"/>
          </w:tcPr>
          <w:p w14:paraId="677A9FA0">
            <w:pPr>
              <w:spacing w:line="360" w:lineRule="exact"/>
              <w:ind w:left="-63" w:leftChars="-30" w:right="-63" w:rightChars="-30"/>
              <w:rPr>
                <w:rFonts w:ascii="宋体" w:hAnsi="宋体"/>
                <w:szCs w:val="21"/>
              </w:rPr>
            </w:pPr>
          </w:p>
        </w:tc>
        <w:tc>
          <w:tcPr>
            <w:tcW w:w="2204" w:type="dxa"/>
          </w:tcPr>
          <w:p w14:paraId="664AAA38">
            <w:pPr>
              <w:spacing w:line="360" w:lineRule="exact"/>
              <w:ind w:left="-63" w:leftChars="-30" w:right="-63" w:rightChars="-30"/>
              <w:rPr>
                <w:rFonts w:ascii="宋体" w:hAnsi="宋体"/>
                <w:szCs w:val="21"/>
              </w:rPr>
            </w:pPr>
          </w:p>
        </w:tc>
        <w:tc>
          <w:tcPr>
            <w:tcW w:w="2534" w:type="dxa"/>
          </w:tcPr>
          <w:p w14:paraId="5971122A">
            <w:pPr>
              <w:spacing w:line="360" w:lineRule="exact"/>
              <w:ind w:left="-63" w:leftChars="-30" w:right="-63" w:rightChars="-30"/>
              <w:rPr>
                <w:rFonts w:ascii="宋体" w:hAnsi="宋体"/>
                <w:szCs w:val="21"/>
              </w:rPr>
            </w:pPr>
          </w:p>
        </w:tc>
      </w:tr>
      <w:tr w14:paraId="1EB1F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exact"/>
          <w:jc w:val="center"/>
        </w:trPr>
        <w:tc>
          <w:tcPr>
            <w:tcW w:w="819" w:type="dxa"/>
          </w:tcPr>
          <w:p w14:paraId="6CC4AA88">
            <w:pPr>
              <w:spacing w:line="360" w:lineRule="exact"/>
              <w:ind w:left="-63" w:leftChars="-30" w:right="-63" w:rightChars="-30"/>
              <w:rPr>
                <w:rFonts w:ascii="宋体" w:hAnsi="宋体"/>
                <w:szCs w:val="21"/>
              </w:rPr>
            </w:pPr>
          </w:p>
        </w:tc>
        <w:tc>
          <w:tcPr>
            <w:tcW w:w="1680" w:type="dxa"/>
          </w:tcPr>
          <w:p w14:paraId="4FCF252E">
            <w:pPr>
              <w:spacing w:line="360" w:lineRule="exact"/>
              <w:ind w:left="-63" w:leftChars="-30" w:right="-63" w:rightChars="-30"/>
              <w:rPr>
                <w:rFonts w:ascii="宋体" w:hAnsi="宋体"/>
                <w:szCs w:val="21"/>
              </w:rPr>
            </w:pPr>
          </w:p>
        </w:tc>
        <w:tc>
          <w:tcPr>
            <w:tcW w:w="1151" w:type="dxa"/>
          </w:tcPr>
          <w:p w14:paraId="58D246A0">
            <w:pPr>
              <w:spacing w:line="360" w:lineRule="exact"/>
              <w:ind w:left="-63" w:leftChars="-30" w:right="-63" w:rightChars="-30"/>
              <w:rPr>
                <w:rFonts w:ascii="宋体" w:hAnsi="宋体"/>
                <w:szCs w:val="21"/>
              </w:rPr>
            </w:pPr>
          </w:p>
        </w:tc>
        <w:tc>
          <w:tcPr>
            <w:tcW w:w="526" w:type="dxa"/>
          </w:tcPr>
          <w:p w14:paraId="15EC5E11">
            <w:pPr>
              <w:spacing w:line="360" w:lineRule="exact"/>
              <w:ind w:left="-63" w:leftChars="-30" w:right="-63" w:rightChars="-30"/>
              <w:rPr>
                <w:rFonts w:ascii="宋体" w:hAnsi="宋体"/>
                <w:szCs w:val="21"/>
              </w:rPr>
            </w:pPr>
          </w:p>
        </w:tc>
        <w:tc>
          <w:tcPr>
            <w:tcW w:w="2204" w:type="dxa"/>
          </w:tcPr>
          <w:p w14:paraId="27E161E8">
            <w:pPr>
              <w:spacing w:line="360" w:lineRule="exact"/>
              <w:ind w:left="-63" w:leftChars="-30" w:right="-63" w:rightChars="-30"/>
              <w:rPr>
                <w:rFonts w:ascii="宋体" w:hAnsi="宋体"/>
                <w:szCs w:val="21"/>
              </w:rPr>
            </w:pPr>
          </w:p>
        </w:tc>
        <w:tc>
          <w:tcPr>
            <w:tcW w:w="2534" w:type="dxa"/>
          </w:tcPr>
          <w:p w14:paraId="0C75CFCF">
            <w:pPr>
              <w:spacing w:line="360" w:lineRule="exact"/>
              <w:ind w:left="-63" w:leftChars="-30" w:right="-63" w:rightChars="-30"/>
              <w:rPr>
                <w:rFonts w:ascii="宋体" w:hAnsi="宋体"/>
                <w:szCs w:val="21"/>
              </w:rPr>
            </w:pPr>
          </w:p>
        </w:tc>
      </w:tr>
      <w:tr w14:paraId="45072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exact"/>
          <w:jc w:val="center"/>
        </w:trPr>
        <w:tc>
          <w:tcPr>
            <w:tcW w:w="819" w:type="dxa"/>
          </w:tcPr>
          <w:p w14:paraId="2CBC05BA">
            <w:pPr>
              <w:spacing w:line="360" w:lineRule="exact"/>
              <w:ind w:left="-63" w:leftChars="-30" w:right="-63" w:rightChars="-30"/>
              <w:rPr>
                <w:rFonts w:ascii="宋体" w:hAnsi="宋体"/>
                <w:szCs w:val="21"/>
              </w:rPr>
            </w:pPr>
          </w:p>
        </w:tc>
        <w:tc>
          <w:tcPr>
            <w:tcW w:w="1680" w:type="dxa"/>
          </w:tcPr>
          <w:p w14:paraId="44346C97">
            <w:pPr>
              <w:spacing w:line="360" w:lineRule="exact"/>
              <w:ind w:left="-63" w:leftChars="-30" w:right="-63" w:rightChars="-30"/>
              <w:rPr>
                <w:rFonts w:ascii="宋体" w:hAnsi="宋体"/>
                <w:szCs w:val="21"/>
              </w:rPr>
            </w:pPr>
          </w:p>
        </w:tc>
        <w:tc>
          <w:tcPr>
            <w:tcW w:w="1151" w:type="dxa"/>
          </w:tcPr>
          <w:p w14:paraId="2A36A34A">
            <w:pPr>
              <w:spacing w:line="360" w:lineRule="exact"/>
              <w:ind w:left="-63" w:leftChars="-30" w:right="-63" w:rightChars="-30"/>
              <w:rPr>
                <w:rFonts w:ascii="宋体" w:hAnsi="宋体"/>
                <w:szCs w:val="21"/>
              </w:rPr>
            </w:pPr>
          </w:p>
        </w:tc>
        <w:tc>
          <w:tcPr>
            <w:tcW w:w="526" w:type="dxa"/>
          </w:tcPr>
          <w:p w14:paraId="0D231DD6">
            <w:pPr>
              <w:spacing w:line="360" w:lineRule="exact"/>
              <w:ind w:left="-63" w:leftChars="-30" w:right="-63" w:rightChars="-30"/>
              <w:rPr>
                <w:rFonts w:ascii="宋体" w:hAnsi="宋体"/>
                <w:szCs w:val="21"/>
              </w:rPr>
            </w:pPr>
          </w:p>
        </w:tc>
        <w:tc>
          <w:tcPr>
            <w:tcW w:w="2204" w:type="dxa"/>
          </w:tcPr>
          <w:p w14:paraId="173C46F4">
            <w:pPr>
              <w:spacing w:line="360" w:lineRule="exact"/>
              <w:ind w:left="-63" w:leftChars="-30" w:right="-63" w:rightChars="-30"/>
              <w:rPr>
                <w:rFonts w:ascii="宋体" w:hAnsi="宋体"/>
                <w:szCs w:val="21"/>
              </w:rPr>
            </w:pPr>
          </w:p>
        </w:tc>
        <w:tc>
          <w:tcPr>
            <w:tcW w:w="2534" w:type="dxa"/>
          </w:tcPr>
          <w:p w14:paraId="7E7AB88F">
            <w:pPr>
              <w:spacing w:line="360" w:lineRule="exact"/>
              <w:ind w:left="-63" w:leftChars="-30" w:right="-63" w:rightChars="-30"/>
              <w:rPr>
                <w:rFonts w:ascii="宋体" w:hAnsi="宋体"/>
                <w:szCs w:val="21"/>
              </w:rPr>
            </w:pPr>
          </w:p>
        </w:tc>
      </w:tr>
      <w:tr w14:paraId="406D9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exact"/>
          <w:jc w:val="center"/>
        </w:trPr>
        <w:tc>
          <w:tcPr>
            <w:tcW w:w="819" w:type="dxa"/>
          </w:tcPr>
          <w:p w14:paraId="3FB41F07">
            <w:pPr>
              <w:spacing w:line="360" w:lineRule="exact"/>
              <w:ind w:left="-63" w:leftChars="-30" w:right="-63" w:rightChars="-30"/>
              <w:rPr>
                <w:rFonts w:ascii="宋体" w:hAnsi="宋体"/>
                <w:szCs w:val="21"/>
              </w:rPr>
            </w:pPr>
          </w:p>
        </w:tc>
        <w:tc>
          <w:tcPr>
            <w:tcW w:w="1680" w:type="dxa"/>
          </w:tcPr>
          <w:p w14:paraId="7C17179F">
            <w:pPr>
              <w:spacing w:line="360" w:lineRule="exact"/>
              <w:ind w:left="-63" w:leftChars="-30" w:right="-63" w:rightChars="-30"/>
              <w:rPr>
                <w:rFonts w:ascii="宋体" w:hAnsi="宋体"/>
                <w:szCs w:val="21"/>
              </w:rPr>
            </w:pPr>
          </w:p>
        </w:tc>
        <w:tc>
          <w:tcPr>
            <w:tcW w:w="1151" w:type="dxa"/>
          </w:tcPr>
          <w:p w14:paraId="1CF224ED">
            <w:pPr>
              <w:spacing w:line="360" w:lineRule="exact"/>
              <w:ind w:left="-63" w:leftChars="-30" w:right="-63" w:rightChars="-30"/>
              <w:rPr>
                <w:rFonts w:ascii="宋体" w:hAnsi="宋体"/>
                <w:szCs w:val="21"/>
              </w:rPr>
            </w:pPr>
          </w:p>
        </w:tc>
        <w:tc>
          <w:tcPr>
            <w:tcW w:w="526" w:type="dxa"/>
          </w:tcPr>
          <w:p w14:paraId="107F5CCF">
            <w:pPr>
              <w:spacing w:line="360" w:lineRule="exact"/>
              <w:ind w:left="-63" w:leftChars="-30" w:right="-63" w:rightChars="-30"/>
              <w:rPr>
                <w:rFonts w:ascii="宋体" w:hAnsi="宋体"/>
                <w:szCs w:val="21"/>
              </w:rPr>
            </w:pPr>
          </w:p>
        </w:tc>
        <w:tc>
          <w:tcPr>
            <w:tcW w:w="2204" w:type="dxa"/>
          </w:tcPr>
          <w:p w14:paraId="01183A55">
            <w:pPr>
              <w:spacing w:line="360" w:lineRule="exact"/>
              <w:ind w:left="-63" w:leftChars="-30" w:right="-63" w:rightChars="-30"/>
              <w:rPr>
                <w:rFonts w:ascii="宋体" w:hAnsi="宋体"/>
                <w:szCs w:val="21"/>
              </w:rPr>
            </w:pPr>
          </w:p>
        </w:tc>
        <w:tc>
          <w:tcPr>
            <w:tcW w:w="2534" w:type="dxa"/>
          </w:tcPr>
          <w:p w14:paraId="19828D26">
            <w:pPr>
              <w:spacing w:line="360" w:lineRule="exact"/>
              <w:ind w:left="-63" w:leftChars="-30" w:right="-63" w:rightChars="-30"/>
              <w:rPr>
                <w:rFonts w:ascii="宋体" w:hAnsi="宋体"/>
                <w:szCs w:val="21"/>
              </w:rPr>
            </w:pPr>
          </w:p>
        </w:tc>
      </w:tr>
      <w:tr w14:paraId="13242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exact"/>
          <w:jc w:val="center"/>
        </w:trPr>
        <w:tc>
          <w:tcPr>
            <w:tcW w:w="819" w:type="dxa"/>
          </w:tcPr>
          <w:p w14:paraId="480AB114">
            <w:pPr>
              <w:spacing w:line="360" w:lineRule="exact"/>
              <w:ind w:left="-63" w:leftChars="-30" w:right="-63" w:rightChars="-30"/>
              <w:rPr>
                <w:rFonts w:ascii="宋体" w:hAnsi="宋体"/>
                <w:szCs w:val="21"/>
              </w:rPr>
            </w:pPr>
          </w:p>
        </w:tc>
        <w:tc>
          <w:tcPr>
            <w:tcW w:w="1680" w:type="dxa"/>
          </w:tcPr>
          <w:p w14:paraId="5D3838C3">
            <w:pPr>
              <w:spacing w:line="360" w:lineRule="exact"/>
              <w:ind w:left="-63" w:leftChars="-30" w:right="-63" w:rightChars="-30"/>
              <w:rPr>
                <w:rFonts w:ascii="宋体" w:hAnsi="宋体"/>
                <w:szCs w:val="21"/>
              </w:rPr>
            </w:pPr>
          </w:p>
        </w:tc>
        <w:tc>
          <w:tcPr>
            <w:tcW w:w="1151" w:type="dxa"/>
          </w:tcPr>
          <w:p w14:paraId="50E66B47">
            <w:pPr>
              <w:spacing w:line="360" w:lineRule="exact"/>
              <w:ind w:left="-63" w:leftChars="-30" w:right="-63" w:rightChars="-30"/>
              <w:rPr>
                <w:rFonts w:ascii="宋体" w:hAnsi="宋体"/>
                <w:szCs w:val="21"/>
              </w:rPr>
            </w:pPr>
          </w:p>
        </w:tc>
        <w:tc>
          <w:tcPr>
            <w:tcW w:w="526" w:type="dxa"/>
          </w:tcPr>
          <w:p w14:paraId="32AE65D9">
            <w:pPr>
              <w:spacing w:line="360" w:lineRule="exact"/>
              <w:ind w:left="-63" w:leftChars="-30" w:right="-63" w:rightChars="-30"/>
              <w:rPr>
                <w:rFonts w:ascii="宋体" w:hAnsi="宋体"/>
                <w:szCs w:val="21"/>
              </w:rPr>
            </w:pPr>
          </w:p>
        </w:tc>
        <w:tc>
          <w:tcPr>
            <w:tcW w:w="2204" w:type="dxa"/>
          </w:tcPr>
          <w:p w14:paraId="6786149D">
            <w:pPr>
              <w:spacing w:line="360" w:lineRule="exact"/>
              <w:ind w:left="-63" w:leftChars="-30" w:right="-63" w:rightChars="-30"/>
              <w:rPr>
                <w:rFonts w:ascii="宋体" w:hAnsi="宋体"/>
                <w:szCs w:val="21"/>
              </w:rPr>
            </w:pPr>
          </w:p>
        </w:tc>
        <w:tc>
          <w:tcPr>
            <w:tcW w:w="2534" w:type="dxa"/>
          </w:tcPr>
          <w:p w14:paraId="1DD1C2A0">
            <w:pPr>
              <w:spacing w:line="360" w:lineRule="exact"/>
              <w:ind w:left="-63" w:leftChars="-30" w:right="-63" w:rightChars="-30"/>
              <w:rPr>
                <w:rFonts w:ascii="宋体" w:hAnsi="宋体"/>
                <w:szCs w:val="21"/>
              </w:rPr>
            </w:pPr>
          </w:p>
        </w:tc>
      </w:tr>
      <w:tr w14:paraId="5291A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exact"/>
          <w:jc w:val="center"/>
        </w:trPr>
        <w:tc>
          <w:tcPr>
            <w:tcW w:w="819" w:type="dxa"/>
          </w:tcPr>
          <w:p w14:paraId="6C7A9757">
            <w:pPr>
              <w:spacing w:line="360" w:lineRule="exact"/>
              <w:ind w:left="-63" w:leftChars="-30" w:right="-63" w:rightChars="-30"/>
              <w:rPr>
                <w:rFonts w:ascii="宋体" w:hAnsi="宋体"/>
                <w:szCs w:val="21"/>
              </w:rPr>
            </w:pPr>
          </w:p>
        </w:tc>
        <w:tc>
          <w:tcPr>
            <w:tcW w:w="1680" w:type="dxa"/>
          </w:tcPr>
          <w:p w14:paraId="360CD479">
            <w:pPr>
              <w:spacing w:line="360" w:lineRule="exact"/>
              <w:ind w:left="-63" w:leftChars="-30" w:right="-63" w:rightChars="-30"/>
              <w:rPr>
                <w:rFonts w:ascii="宋体" w:hAnsi="宋体"/>
                <w:szCs w:val="21"/>
              </w:rPr>
            </w:pPr>
          </w:p>
        </w:tc>
        <w:tc>
          <w:tcPr>
            <w:tcW w:w="1151" w:type="dxa"/>
          </w:tcPr>
          <w:p w14:paraId="25400724">
            <w:pPr>
              <w:spacing w:line="360" w:lineRule="exact"/>
              <w:ind w:left="-63" w:leftChars="-30" w:right="-63" w:rightChars="-30"/>
              <w:rPr>
                <w:rFonts w:ascii="宋体" w:hAnsi="宋体"/>
                <w:szCs w:val="21"/>
              </w:rPr>
            </w:pPr>
          </w:p>
        </w:tc>
        <w:tc>
          <w:tcPr>
            <w:tcW w:w="526" w:type="dxa"/>
          </w:tcPr>
          <w:p w14:paraId="245EBA1C">
            <w:pPr>
              <w:spacing w:line="360" w:lineRule="exact"/>
              <w:ind w:left="-63" w:leftChars="-30" w:right="-63" w:rightChars="-30"/>
              <w:rPr>
                <w:rFonts w:ascii="宋体" w:hAnsi="宋体"/>
                <w:szCs w:val="21"/>
              </w:rPr>
            </w:pPr>
          </w:p>
        </w:tc>
        <w:tc>
          <w:tcPr>
            <w:tcW w:w="2204" w:type="dxa"/>
          </w:tcPr>
          <w:p w14:paraId="61168954">
            <w:pPr>
              <w:spacing w:line="360" w:lineRule="exact"/>
              <w:ind w:left="-63" w:leftChars="-30" w:right="-63" w:rightChars="-30"/>
              <w:rPr>
                <w:rFonts w:ascii="宋体" w:hAnsi="宋体"/>
                <w:szCs w:val="21"/>
              </w:rPr>
            </w:pPr>
          </w:p>
        </w:tc>
        <w:tc>
          <w:tcPr>
            <w:tcW w:w="2534" w:type="dxa"/>
          </w:tcPr>
          <w:p w14:paraId="389F4E75">
            <w:pPr>
              <w:spacing w:line="360" w:lineRule="exact"/>
              <w:ind w:left="-63" w:leftChars="-30" w:right="-63" w:rightChars="-30"/>
              <w:rPr>
                <w:rFonts w:ascii="宋体" w:hAnsi="宋体"/>
                <w:szCs w:val="21"/>
              </w:rPr>
            </w:pPr>
          </w:p>
        </w:tc>
      </w:tr>
      <w:tr w14:paraId="40AA3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42" w:hRule="exact"/>
          <w:jc w:val="center"/>
        </w:trPr>
        <w:tc>
          <w:tcPr>
            <w:tcW w:w="819" w:type="dxa"/>
          </w:tcPr>
          <w:p w14:paraId="394331B2">
            <w:pPr>
              <w:spacing w:line="360" w:lineRule="exact"/>
              <w:ind w:left="-63" w:leftChars="-30" w:right="-63" w:rightChars="-30"/>
              <w:rPr>
                <w:rFonts w:ascii="宋体" w:hAnsi="宋体"/>
                <w:szCs w:val="21"/>
              </w:rPr>
            </w:pPr>
          </w:p>
        </w:tc>
        <w:tc>
          <w:tcPr>
            <w:tcW w:w="1680" w:type="dxa"/>
          </w:tcPr>
          <w:p w14:paraId="61D6524D">
            <w:pPr>
              <w:spacing w:line="360" w:lineRule="exact"/>
              <w:ind w:left="-63" w:leftChars="-30" w:right="-63" w:rightChars="-30"/>
              <w:rPr>
                <w:rFonts w:ascii="宋体" w:hAnsi="宋体"/>
                <w:szCs w:val="21"/>
              </w:rPr>
            </w:pPr>
          </w:p>
        </w:tc>
        <w:tc>
          <w:tcPr>
            <w:tcW w:w="1151" w:type="dxa"/>
          </w:tcPr>
          <w:p w14:paraId="76204F9A">
            <w:pPr>
              <w:spacing w:line="360" w:lineRule="exact"/>
              <w:ind w:left="-63" w:leftChars="-30" w:right="-63" w:rightChars="-30"/>
              <w:rPr>
                <w:rFonts w:ascii="宋体" w:hAnsi="宋体"/>
                <w:szCs w:val="21"/>
              </w:rPr>
            </w:pPr>
          </w:p>
        </w:tc>
        <w:tc>
          <w:tcPr>
            <w:tcW w:w="526" w:type="dxa"/>
          </w:tcPr>
          <w:p w14:paraId="509ABBE8">
            <w:pPr>
              <w:spacing w:line="360" w:lineRule="exact"/>
              <w:ind w:left="-63" w:leftChars="-30" w:right="-63" w:rightChars="-30"/>
              <w:rPr>
                <w:rFonts w:ascii="宋体" w:hAnsi="宋体"/>
                <w:szCs w:val="21"/>
              </w:rPr>
            </w:pPr>
          </w:p>
        </w:tc>
        <w:tc>
          <w:tcPr>
            <w:tcW w:w="2204" w:type="dxa"/>
          </w:tcPr>
          <w:p w14:paraId="5B27A1F3">
            <w:pPr>
              <w:spacing w:line="360" w:lineRule="exact"/>
              <w:ind w:left="-63" w:leftChars="-30" w:right="-63" w:rightChars="-30"/>
              <w:rPr>
                <w:rFonts w:ascii="宋体" w:hAnsi="宋体"/>
                <w:szCs w:val="21"/>
              </w:rPr>
            </w:pPr>
          </w:p>
        </w:tc>
        <w:tc>
          <w:tcPr>
            <w:tcW w:w="2534" w:type="dxa"/>
          </w:tcPr>
          <w:p w14:paraId="1A7CCBFC">
            <w:pPr>
              <w:spacing w:line="360" w:lineRule="exact"/>
              <w:ind w:left="-63" w:leftChars="-30" w:right="-63" w:rightChars="-30"/>
              <w:rPr>
                <w:rFonts w:ascii="宋体" w:hAnsi="宋体"/>
                <w:szCs w:val="21"/>
              </w:rPr>
            </w:pPr>
          </w:p>
        </w:tc>
      </w:tr>
      <w:tr w14:paraId="6B7DB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42" w:hRule="exact"/>
          <w:jc w:val="center"/>
        </w:trPr>
        <w:tc>
          <w:tcPr>
            <w:tcW w:w="819" w:type="dxa"/>
          </w:tcPr>
          <w:p w14:paraId="5D9F4D93">
            <w:pPr>
              <w:spacing w:line="360" w:lineRule="exact"/>
              <w:ind w:left="-63" w:leftChars="-30" w:right="-63" w:rightChars="-30"/>
              <w:rPr>
                <w:rFonts w:ascii="宋体" w:hAnsi="宋体"/>
                <w:szCs w:val="21"/>
              </w:rPr>
            </w:pPr>
          </w:p>
        </w:tc>
        <w:tc>
          <w:tcPr>
            <w:tcW w:w="1680" w:type="dxa"/>
          </w:tcPr>
          <w:p w14:paraId="436FDE96">
            <w:pPr>
              <w:spacing w:line="360" w:lineRule="exact"/>
              <w:ind w:left="-63" w:leftChars="-30" w:right="-63" w:rightChars="-30"/>
              <w:rPr>
                <w:rFonts w:ascii="宋体" w:hAnsi="宋体"/>
                <w:szCs w:val="21"/>
              </w:rPr>
            </w:pPr>
          </w:p>
        </w:tc>
        <w:tc>
          <w:tcPr>
            <w:tcW w:w="1151" w:type="dxa"/>
          </w:tcPr>
          <w:p w14:paraId="35BB06B2">
            <w:pPr>
              <w:spacing w:line="360" w:lineRule="exact"/>
              <w:ind w:left="-63" w:leftChars="-30" w:right="-63" w:rightChars="-30"/>
              <w:rPr>
                <w:rFonts w:ascii="宋体" w:hAnsi="宋体"/>
                <w:szCs w:val="21"/>
              </w:rPr>
            </w:pPr>
          </w:p>
        </w:tc>
        <w:tc>
          <w:tcPr>
            <w:tcW w:w="526" w:type="dxa"/>
          </w:tcPr>
          <w:p w14:paraId="62FCAB36">
            <w:pPr>
              <w:spacing w:line="360" w:lineRule="exact"/>
              <w:ind w:left="-63" w:leftChars="-30" w:right="-63" w:rightChars="-30"/>
              <w:rPr>
                <w:rFonts w:ascii="宋体" w:hAnsi="宋体"/>
                <w:szCs w:val="21"/>
              </w:rPr>
            </w:pPr>
          </w:p>
        </w:tc>
        <w:tc>
          <w:tcPr>
            <w:tcW w:w="2204" w:type="dxa"/>
          </w:tcPr>
          <w:p w14:paraId="12411A93">
            <w:pPr>
              <w:spacing w:line="360" w:lineRule="exact"/>
              <w:ind w:left="-63" w:leftChars="-30" w:right="-63" w:rightChars="-30"/>
              <w:rPr>
                <w:rFonts w:ascii="宋体" w:hAnsi="宋体"/>
                <w:szCs w:val="21"/>
              </w:rPr>
            </w:pPr>
          </w:p>
        </w:tc>
        <w:tc>
          <w:tcPr>
            <w:tcW w:w="2534" w:type="dxa"/>
          </w:tcPr>
          <w:p w14:paraId="66A538B7">
            <w:pPr>
              <w:spacing w:line="360" w:lineRule="exact"/>
              <w:ind w:left="-63" w:leftChars="-30" w:right="-63" w:rightChars="-30"/>
              <w:rPr>
                <w:rFonts w:ascii="宋体" w:hAnsi="宋体"/>
                <w:szCs w:val="21"/>
              </w:rPr>
            </w:pPr>
          </w:p>
        </w:tc>
      </w:tr>
      <w:tr w14:paraId="0B5D4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exact"/>
          <w:jc w:val="center"/>
        </w:trPr>
        <w:tc>
          <w:tcPr>
            <w:tcW w:w="819" w:type="dxa"/>
          </w:tcPr>
          <w:p w14:paraId="4FFB4142">
            <w:pPr>
              <w:spacing w:line="360" w:lineRule="exact"/>
              <w:ind w:left="-63" w:leftChars="-30" w:right="-63" w:rightChars="-30"/>
              <w:rPr>
                <w:rFonts w:ascii="宋体" w:hAnsi="宋体"/>
                <w:szCs w:val="21"/>
              </w:rPr>
            </w:pPr>
          </w:p>
        </w:tc>
        <w:tc>
          <w:tcPr>
            <w:tcW w:w="1680" w:type="dxa"/>
          </w:tcPr>
          <w:p w14:paraId="7503641B">
            <w:pPr>
              <w:spacing w:line="360" w:lineRule="exact"/>
              <w:ind w:left="-63" w:leftChars="-30" w:right="-63" w:rightChars="-30"/>
              <w:rPr>
                <w:rFonts w:ascii="宋体" w:hAnsi="宋体"/>
                <w:szCs w:val="21"/>
              </w:rPr>
            </w:pPr>
          </w:p>
        </w:tc>
        <w:tc>
          <w:tcPr>
            <w:tcW w:w="1151" w:type="dxa"/>
          </w:tcPr>
          <w:p w14:paraId="1E244590">
            <w:pPr>
              <w:spacing w:line="360" w:lineRule="exact"/>
              <w:ind w:left="-63" w:leftChars="-30" w:right="-63" w:rightChars="-30"/>
              <w:rPr>
                <w:rFonts w:ascii="宋体" w:hAnsi="宋体"/>
                <w:szCs w:val="21"/>
              </w:rPr>
            </w:pPr>
          </w:p>
        </w:tc>
        <w:tc>
          <w:tcPr>
            <w:tcW w:w="526" w:type="dxa"/>
          </w:tcPr>
          <w:p w14:paraId="708D7290">
            <w:pPr>
              <w:spacing w:line="360" w:lineRule="exact"/>
              <w:ind w:left="-63" w:leftChars="-30" w:right="-63" w:rightChars="-30"/>
              <w:rPr>
                <w:rFonts w:ascii="宋体" w:hAnsi="宋体"/>
                <w:szCs w:val="21"/>
              </w:rPr>
            </w:pPr>
          </w:p>
        </w:tc>
        <w:tc>
          <w:tcPr>
            <w:tcW w:w="2204" w:type="dxa"/>
          </w:tcPr>
          <w:p w14:paraId="7D70E290">
            <w:pPr>
              <w:spacing w:line="360" w:lineRule="exact"/>
              <w:ind w:left="-63" w:leftChars="-30" w:right="-63" w:rightChars="-30"/>
              <w:rPr>
                <w:rFonts w:ascii="宋体" w:hAnsi="宋体"/>
                <w:szCs w:val="21"/>
              </w:rPr>
            </w:pPr>
          </w:p>
        </w:tc>
        <w:tc>
          <w:tcPr>
            <w:tcW w:w="2534" w:type="dxa"/>
          </w:tcPr>
          <w:p w14:paraId="6EB0B003">
            <w:pPr>
              <w:spacing w:line="360" w:lineRule="exact"/>
              <w:ind w:left="-63" w:leftChars="-30" w:right="-63" w:rightChars="-30"/>
              <w:rPr>
                <w:rFonts w:ascii="宋体" w:hAnsi="宋体"/>
                <w:szCs w:val="21"/>
              </w:rPr>
            </w:pPr>
          </w:p>
        </w:tc>
      </w:tr>
      <w:tr w14:paraId="73B24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exact"/>
          <w:jc w:val="center"/>
        </w:trPr>
        <w:tc>
          <w:tcPr>
            <w:tcW w:w="819" w:type="dxa"/>
          </w:tcPr>
          <w:p w14:paraId="15642C47">
            <w:pPr>
              <w:spacing w:line="360" w:lineRule="exact"/>
              <w:ind w:left="-63" w:leftChars="-30" w:right="-63" w:rightChars="-30"/>
              <w:rPr>
                <w:rFonts w:ascii="宋体" w:hAnsi="宋体"/>
                <w:szCs w:val="21"/>
              </w:rPr>
            </w:pPr>
          </w:p>
        </w:tc>
        <w:tc>
          <w:tcPr>
            <w:tcW w:w="1680" w:type="dxa"/>
          </w:tcPr>
          <w:p w14:paraId="3F0351FF">
            <w:pPr>
              <w:spacing w:line="360" w:lineRule="exact"/>
              <w:ind w:left="-63" w:leftChars="-30" w:right="-63" w:rightChars="-30"/>
              <w:rPr>
                <w:rFonts w:ascii="宋体" w:hAnsi="宋体"/>
                <w:szCs w:val="21"/>
              </w:rPr>
            </w:pPr>
          </w:p>
        </w:tc>
        <w:tc>
          <w:tcPr>
            <w:tcW w:w="1151" w:type="dxa"/>
          </w:tcPr>
          <w:p w14:paraId="7D6D71EF">
            <w:pPr>
              <w:spacing w:line="360" w:lineRule="exact"/>
              <w:ind w:left="-63" w:leftChars="-30" w:right="-63" w:rightChars="-30"/>
              <w:rPr>
                <w:rFonts w:ascii="宋体" w:hAnsi="宋体"/>
                <w:szCs w:val="21"/>
              </w:rPr>
            </w:pPr>
          </w:p>
        </w:tc>
        <w:tc>
          <w:tcPr>
            <w:tcW w:w="526" w:type="dxa"/>
          </w:tcPr>
          <w:p w14:paraId="6AB8D6E8">
            <w:pPr>
              <w:spacing w:line="360" w:lineRule="exact"/>
              <w:ind w:left="-63" w:leftChars="-30" w:right="-63" w:rightChars="-30"/>
              <w:rPr>
                <w:rFonts w:ascii="宋体" w:hAnsi="宋体"/>
                <w:szCs w:val="21"/>
              </w:rPr>
            </w:pPr>
          </w:p>
        </w:tc>
        <w:tc>
          <w:tcPr>
            <w:tcW w:w="2204" w:type="dxa"/>
          </w:tcPr>
          <w:p w14:paraId="50197080">
            <w:pPr>
              <w:spacing w:line="360" w:lineRule="exact"/>
              <w:ind w:left="-63" w:leftChars="-30" w:right="-63" w:rightChars="-30"/>
              <w:rPr>
                <w:rFonts w:ascii="宋体" w:hAnsi="宋体"/>
                <w:szCs w:val="21"/>
              </w:rPr>
            </w:pPr>
          </w:p>
        </w:tc>
        <w:tc>
          <w:tcPr>
            <w:tcW w:w="2534" w:type="dxa"/>
          </w:tcPr>
          <w:p w14:paraId="7AFDBFC1">
            <w:pPr>
              <w:spacing w:line="360" w:lineRule="exact"/>
              <w:ind w:left="-63" w:leftChars="-30" w:right="-63" w:rightChars="-30"/>
              <w:rPr>
                <w:rFonts w:ascii="宋体" w:hAnsi="宋体"/>
                <w:szCs w:val="21"/>
              </w:rPr>
            </w:pPr>
          </w:p>
        </w:tc>
      </w:tr>
    </w:tbl>
    <w:p w14:paraId="19467770">
      <w:pPr>
        <w:spacing w:line="360" w:lineRule="exact"/>
        <w:ind w:right="2" w:rightChars="1"/>
        <w:rPr>
          <w:rFonts w:ascii="宋体" w:hAnsi="宋体"/>
          <w:b/>
          <w:bCs/>
          <w:szCs w:val="21"/>
        </w:rPr>
      </w:pPr>
    </w:p>
    <w:p w14:paraId="3F60B152">
      <w:pPr>
        <w:snapToGrid w:val="0"/>
        <w:spacing w:before="50" w:after="120" w:afterLines="50"/>
        <w:jc w:val="left"/>
        <w:rPr>
          <w:rFonts w:ascii="宋体" w:hAnsi="宋体"/>
          <w:bCs/>
          <w:sz w:val="24"/>
        </w:rPr>
        <w:sectPr>
          <w:pgSz w:w="11906" w:h="16838"/>
          <w:pgMar w:top="1418" w:right="1274" w:bottom="1418" w:left="1418" w:header="851" w:footer="992" w:gutter="0"/>
          <w:pgNumType w:fmt="decimal"/>
          <w:cols w:space="720" w:num="1"/>
          <w:docGrid w:linePitch="312" w:charSpace="0"/>
        </w:sectPr>
      </w:pPr>
    </w:p>
    <w:p w14:paraId="7B7F6204">
      <w:pPr>
        <w:snapToGrid w:val="0"/>
        <w:spacing w:before="50" w:after="120" w:afterLines="50"/>
        <w:jc w:val="left"/>
        <w:rPr>
          <w:rFonts w:ascii="宋体" w:hAnsi="宋体"/>
          <w:szCs w:val="21"/>
        </w:rPr>
      </w:pPr>
      <w:r>
        <w:rPr>
          <w:rFonts w:ascii="宋体" w:hAnsi="宋体"/>
          <w:bCs/>
          <w:sz w:val="24"/>
        </w:rPr>
        <w:t>7．符合政府采购政策的证明材料。</w:t>
      </w:r>
    </w:p>
    <w:p w14:paraId="60E01B61">
      <w:pPr>
        <w:rPr>
          <w:rFonts w:ascii="宋体" w:hAnsi="宋体"/>
          <w:szCs w:val="21"/>
        </w:rPr>
      </w:pPr>
      <w:r>
        <w:rPr>
          <w:rFonts w:ascii="宋体" w:hAnsi="宋体"/>
          <w:szCs w:val="21"/>
        </w:rPr>
        <w:t>7.1</w:t>
      </w:r>
      <w:r>
        <w:rPr>
          <w:rFonts w:ascii="宋体" w:hAnsi="宋体"/>
          <w:bCs/>
          <w:szCs w:val="21"/>
        </w:rPr>
        <w:t>中小企业声明函</w:t>
      </w:r>
      <w:r>
        <w:rPr>
          <w:rFonts w:ascii="宋体" w:hAnsi="宋体"/>
          <w:szCs w:val="21"/>
        </w:rPr>
        <w:t>。</w:t>
      </w:r>
    </w:p>
    <w:p w14:paraId="10872FAF">
      <w:pPr>
        <w:spacing w:line="360" w:lineRule="auto"/>
        <w:ind w:firstLine="3584" w:firstLineChars="1700"/>
        <w:rPr>
          <w:rFonts w:ascii="宋体" w:hAnsi="宋体"/>
          <w:b/>
          <w:szCs w:val="21"/>
        </w:rPr>
      </w:pPr>
      <w:bookmarkStart w:id="100" w:name="_Hlk60649458"/>
    </w:p>
    <w:bookmarkEnd w:id="100"/>
    <w:p w14:paraId="2D3CFF14">
      <w:pPr>
        <w:spacing w:line="360" w:lineRule="auto"/>
        <w:ind w:firstLine="3584" w:firstLineChars="1700"/>
        <w:rPr>
          <w:rFonts w:ascii="宋体" w:hAnsi="宋体"/>
          <w:b/>
          <w:szCs w:val="21"/>
        </w:rPr>
      </w:pPr>
      <w:r>
        <w:rPr>
          <w:rFonts w:ascii="宋体" w:hAnsi="宋体"/>
          <w:b/>
          <w:szCs w:val="21"/>
        </w:rPr>
        <w:t>中小企业声明函（服务）</w:t>
      </w:r>
    </w:p>
    <w:p w14:paraId="18126614">
      <w:pPr>
        <w:spacing w:line="360" w:lineRule="auto"/>
        <w:ind w:firstLine="420"/>
        <w:rPr>
          <w:rFonts w:ascii="宋体" w:hAnsi="宋体"/>
          <w:bCs/>
          <w:szCs w:val="21"/>
        </w:rPr>
      </w:pPr>
      <w:r>
        <w:rPr>
          <w:rFonts w:ascii="宋体" w:hAnsi="宋体"/>
          <w:bCs/>
          <w:szCs w:val="21"/>
        </w:rPr>
        <w:t>本公司（联合体）郑重声明，根据《政府采购促进中小企业发展管理办法》（财库﹝2020﹞46 号）的规定，本公司（联合体）参加</w:t>
      </w:r>
      <w:r>
        <w:rPr>
          <w:rFonts w:ascii="宋体" w:hAnsi="宋体"/>
          <w:bCs/>
          <w:szCs w:val="21"/>
          <w:u w:val="single"/>
        </w:rPr>
        <w:t>（单位名称）</w:t>
      </w:r>
      <w:r>
        <w:rPr>
          <w:rFonts w:ascii="宋体" w:hAnsi="宋体"/>
          <w:bCs/>
          <w:szCs w:val="21"/>
        </w:rPr>
        <w:t>的</w:t>
      </w:r>
      <w:r>
        <w:rPr>
          <w:rFonts w:ascii="宋体" w:hAnsi="宋体"/>
          <w:bCs/>
          <w:szCs w:val="21"/>
          <w:u w:val="single"/>
        </w:rPr>
        <w:t>（项目名称）</w:t>
      </w:r>
      <w:r>
        <w:rPr>
          <w:rFonts w:ascii="宋体" w:hAnsi="宋体"/>
          <w:bCs/>
          <w:szCs w:val="21"/>
        </w:rPr>
        <w:t>采购活动，服务全部由符合政策要求的中小企业承接。相关企业（含联合体中的中小企业、签订分包意向协议的中小企业） 的具体情况如下：</w:t>
      </w:r>
    </w:p>
    <w:p w14:paraId="14E2CF81">
      <w:pPr>
        <w:spacing w:line="360" w:lineRule="auto"/>
        <w:ind w:firstLine="420"/>
        <w:rPr>
          <w:rFonts w:ascii="宋体" w:hAnsi="宋体"/>
          <w:bCs/>
          <w:szCs w:val="21"/>
        </w:rPr>
      </w:pPr>
      <w:r>
        <w:rPr>
          <w:rFonts w:ascii="宋体" w:hAnsi="宋体"/>
          <w:bCs/>
          <w:szCs w:val="21"/>
        </w:rPr>
        <w:t>1.</w:t>
      </w:r>
      <w:r>
        <w:rPr>
          <w:rFonts w:ascii="宋体" w:hAnsi="宋体"/>
          <w:bCs/>
          <w:szCs w:val="21"/>
          <w:u w:val="single"/>
        </w:rPr>
        <w:t>（标的名称）</w:t>
      </w:r>
      <w:r>
        <w:rPr>
          <w:rFonts w:ascii="宋体" w:hAnsi="宋体"/>
          <w:bCs/>
          <w:szCs w:val="21"/>
        </w:rPr>
        <w:t>，属于</w:t>
      </w:r>
      <w:r>
        <w:rPr>
          <w:rFonts w:ascii="宋体" w:hAnsi="宋体"/>
          <w:bCs/>
          <w:szCs w:val="21"/>
          <w:u w:val="single"/>
        </w:rPr>
        <w:t>（采购文件中明确的所属行业）</w:t>
      </w:r>
      <w:r>
        <w:rPr>
          <w:rFonts w:ascii="宋体" w:hAnsi="宋体"/>
          <w:bCs/>
          <w:szCs w:val="21"/>
        </w:rPr>
        <w:t>行业；承接企业为</w:t>
      </w:r>
      <w:r>
        <w:rPr>
          <w:rFonts w:ascii="宋体" w:hAnsi="宋体"/>
          <w:bCs/>
          <w:szCs w:val="21"/>
          <w:u w:val="single"/>
        </w:rPr>
        <w:t>（企业名称）</w:t>
      </w:r>
      <w:r>
        <w:rPr>
          <w:rFonts w:ascii="宋体" w:hAnsi="宋体"/>
          <w:bCs/>
          <w:szCs w:val="21"/>
        </w:rPr>
        <w:t>，从业人员</w:t>
      </w:r>
      <w:r>
        <w:rPr>
          <w:rFonts w:ascii="宋体" w:hAnsi="宋体"/>
          <w:bCs/>
          <w:szCs w:val="21"/>
          <w:u w:val="single"/>
        </w:rPr>
        <w:t xml:space="preserve">    </w:t>
      </w:r>
      <w:r>
        <w:rPr>
          <w:rFonts w:ascii="宋体" w:hAnsi="宋体"/>
          <w:bCs/>
          <w:szCs w:val="21"/>
        </w:rPr>
        <w:t>人，营业收入为</w:t>
      </w:r>
      <w:r>
        <w:rPr>
          <w:rFonts w:ascii="宋体" w:hAnsi="宋体"/>
          <w:bCs/>
          <w:szCs w:val="21"/>
          <w:u w:val="single"/>
        </w:rPr>
        <w:t xml:space="preserve">    </w:t>
      </w:r>
      <w:r>
        <w:rPr>
          <w:rFonts w:ascii="宋体" w:hAnsi="宋体"/>
          <w:bCs/>
          <w:szCs w:val="21"/>
        </w:rPr>
        <w:t>万元，资产总额为</w:t>
      </w:r>
      <w:r>
        <w:rPr>
          <w:rFonts w:ascii="宋体" w:hAnsi="宋体"/>
          <w:bCs/>
          <w:szCs w:val="21"/>
          <w:u w:val="single"/>
        </w:rPr>
        <w:t xml:space="preserve">    </w:t>
      </w:r>
      <w:r>
        <w:rPr>
          <w:rFonts w:ascii="宋体" w:hAnsi="宋体"/>
          <w:bCs/>
          <w:szCs w:val="21"/>
        </w:rPr>
        <w:t>万元，属于</w:t>
      </w:r>
      <w:r>
        <w:rPr>
          <w:rFonts w:ascii="宋体" w:hAnsi="宋体"/>
          <w:bCs/>
          <w:szCs w:val="21"/>
          <w:u w:val="single"/>
        </w:rPr>
        <w:t>（中型企业、小型企业、微型企业）</w:t>
      </w:r>
      <w:r>
        <w:rPr>
          <w:rFonts w:ascii="宋体" w:hAnsi="宋体"/>
          <w:bCs/>
          <w:szCs w:val="21"/>
        </w:rPr>
        <w:t>；</w:t>
      </w:r>
    </w:p>
    <w:p w14:paraId="5C3F5137">
      <w:pPr>
        <w:spacing w:line="360" w:lineRule="auto"/>
        <w:ind w:firstLine="420"/>
        <w:rPr>
          <w:rFonts w:ascii="宋体" w:hAnsi="宋体"/>
          <w:bCs/>
          <w:szCs w:val="21"/>
        </w:rPr>
      </w:pPr>
      <w:r>
        <w:rPr>
          <w:rFonts w:ascii="宋体" w:hAnsi="宋体"/>
          <w:bCs/>
          <w:szCs w:val="21"/>
        </w:rPr>
        <w:t>2.</w:t>
      </w:r>
      <w:r>
        <w:rPr>
          <w:rFonts w:ascii="宋体" w:hAnsi="宋体"/>
          <w:bCs/>
          <w:szCs w:val="21"/>
          <w:u w:val="single"/>
        </w:rPr>
        <w:t>（标的名称）</w:t>
      </w:r>
      <w:r>
        <w:rPr>
          <w:rFonts w:ascii="宋体" w:hAnsi="宋体"/>
          <w:bCs/>
          <w:szCs w:val="21"/>
        </w:rPr>
        <w:t>，属于</w:t>
      </w:r>
      <w:r>
        <w:rPr>
          <w:rFonts w:ascii="宋体" w:hAnsi="宋体"/>
          <w:bCs/>
          <w:szCs w:val="21"/>
          <w:u w:val="single"/>
        </w:rPr>
        <w:t>（采购文件中明确的所属行业）</w:t>
      </w:r>
      <w:r>
        <w:rPr>
          <w:rFonts w:ascii="宋体" w:hAnsi="宋体"/>
          <w:bCs/>
          <w:szCs w:val="21"/>
        </w:rPr>
        <w:t>行业；承接企业为</w:t>
      </w:r>
      <w:r>
        <w:rPr>
          <w:rFonts w:ascii="宋体" w:hAnsi="宋体"/>
          <w:bCs/>
          <w:szCs w:val="21"/>
          <w:u w:val="single"/>
        </w:rPr>
        <w:t>（企业名称）</w:t>
      </w:r>
      <w:r>
        <w:rPr>
          <w:rFonts w:ascii="宋体" w:hAnsi="宋体"/>
          <w:bCs/>
          <w:szCs w:val="21"/>
        </w:rPr>
        <w:t>，从业人员</w:t>
      </w:r>
      <w:r>
        <w:rPr>
          <w:rFonts w:ascii="宋体" w:hAnsi="宋体"/>
          <w:bCs/>
          <w:szCs w:val="21"/>
          <w:u w:val="single"/>
        </w:rPr>
        <w:t xml:space="preserve">       </w:t>
      </w:r>
      <w:r>
        <w:rPr>
          <w:rFonts w:ascii="宋体" w:hAnsi="宋体"/>
          <w:bCs/>
          <w:szCs w:val="21"/>
        </w:rPr>
        <w:t>人，营业收入为</w:t>
      </w:r>
      <w:r>
        <w:rPr>
          <w:rFonts w:ascii="宋体" w:hAnsi="宋体"/>
          <w:bCs/>
          <w:szCs w:val="21"/>
          <w:u w:val="single"/>
        </w:rPr>
        <w:t xml:space="preserve">     </w:t>
      </w:r>
      <w:r>
        <w:rPr>
          <w:rFonts w:ascii="宋体" w:hAnsi="宋体"/>
          <w:bCs/>
          <w:szCs w:val="21"/>
        </w:rPr>
        <w:t>万元，资产总额为</w:t>
      </w:r>
      <w:r>
        <w:rPr>
          <w:rFonts w:ascii="宋体" w:hAnsi="宋体"/>
          <w:bCs/>
          <w:szCs w:val="21"/>
          <w:u w:val="single"/>
        </w:rPr>
        <w:t xml:space="preserve">       </w:t>
      </w:r>
      <w:r>
        <w:rPr>
          <w:rFonts w:ascii="宋体" w:hAnsi="宋体"/>
          <w:bCs/>
          <w:szCs w:val="21"/>
        </w:rPr>
        <w:t>万元，属于</w:t>
      </w:r>
      <w:r>
        <w:rPr>
          <w:rFonts w:ascii="宋体" w:hAnsi="宋体"/>
          <w:bCs/>
          <w:szCs w:val="21"/>
          <w:u w:val="single"/>
        </w:rPr>
        <w:t>（中型企业、小型企业、微型企业）</w:t>
      </w:r>
      <w:r>
        <w:rPr>
          <w:rFonts w:ascii="宋体" w:hAnsi="宋体"/>
          <w:bCs/>
          <w:szCs w:val="21"/>
        </w:rPr>
        <w:t>；</w:t>
      </w:r>
    </w:p>
    <w:p w14:paraId="041BA485">
      <w:pPr>
        <w:spacing w:line="360" w:lineRule="auto"/>
        <w:ind w:firstLine="420"/>
        <w:rPr>
          <w:rFonts w:ascii="宋体" w:hAnsi="宋体"/>
          <w:bCs/>
          <w:szCs w:val="21"/>
        </w:rPr>
      </w:pPr>
      <w:r>
        <w:rPr>
          <w:rFonts w:ascii="宋体" w:hAnsi="宋体"/>
          <w:bCs/>
          <w:szCs w:val="21"/>
        </w:rPr>
        <w:t>……</w:t>
      </w:r>
    </w:p>
    <w:p w14:paraId="33832742">
      <w:pPr>
        <w:spacing w:line="360" w:lineRule="auto"/>
        <w:ind w:firstLine="420"/>
        <w:rPr>
          <w:rFonts w:ascii="宋体" w:hAnsi="宋体"/>
          <w:bCs/>
          <w:szCs w:val="21"/>
        </w:rPr>
      </w:pPr>
      <w:r>
        <w:rPr>
          <w:rFonts w:ascii="宋体" w:hAnsi="宋体"/>
          <w:bCs/>
          <w:szCs w:val="21"/>
        </w:rPr>
        <w:t>以上企业，不属于大企业的分支机构，不存在控股股东为大企业的情形，也不存在与大企业的负责人为同一人的情形。</w:t>
      </w:r>
    </w:p>
    <w:p w14:paraId="4985D782">
      <w:pPr>
        <w:spacing w:line="360" w:lineRule="auto"/>
        <w:ind w:firstLine="420"/>
        <w:rPr>
          <w:rFonts w:ascii="宋体" w:hAnsi="宋体"/>
          <w:bCs/>
          <w:szCs w:val="21"/>
        </w:rPr>
      </w:pPr>
      <w:r>
        <w:rPr>
          <w:rFonts w:ascii="宋体" w:hAnsi="宋体"/>
          <w:bCs/>
          <w:szCs w:val="21"/>
        </w:rPr>
        <w:t>本企业对上述声明内容的真实性负责。如有虚假，将依法承担相应责任。</w:t>
      </w:r>
    </w:p>
    <w:p w14:paraId="2EA96979">
      <w:pPr>
        <w:spacing w:line="360" w:lineRule="auto"/>
        <w:ind w:firstLine="3150" w:firstLineChars="1500"/>
        <w:rPr>
          <w:rFonts w:ascii="宋体" w:hAnsi="宋体"/>
          <w:bCs/>
          <w:szCs w:val="21"/>
        </w:rPr>
      </w:pPr>
      <w:r>
        <w:rPr>
          <w:rFonts w:ascii="宋体" w:hAnsi="宋体"/>
          <w:bCs/>
          <w:szCs w:val="21"/>
        </w:rPr>
        <w:t>企业名称（电子签章）：  日期：</w:t>
      </w:r>
    </w:p>
    <w:p w14:paraId="3440193B">
      <w:pPr>
        <w:spacing w:line="360" w:lineRule="auto"/>
        <w:jc w:val="left"/>
        <w:rPr>
          <w:rFonts w:ascii="宋体" w:hAnsi="宋体"/>
          <w:bCs/>
          <w:szCs w:val="21"/>
        </w:rPr>
      </w:pPr>
      <w:r>
        <w:rPr>
          <w:rFonts w:ascii="宋体" w:hAnsi="宋体"/>
          <w:bCs/>
          <w:szCs w:val="21"/>
        </w:rPr>
        <w:t>（1）标的名称按照第二章采购需求一览表中的名称填写，</w:t>
      </w:r>
      <w:r>
        <w:rPr>
          <w:rFonts w:ascii="宋体" w:hAnsi="宋体"/>
          <w:szCs w:val="21"/>
        </w:rPr>
        <w:t>所属行业标明“/”的</w:t>
      </w:r>
      <w:r>
        <w:rPr>
          <w:rFonts w:ascii="宋体" w:hAnsi="宋体"/>
          <w:bCs/>
          <w:szCs w:val="21"/>
        </w:rPr>
        <w:t>，无需在上表填写。</w:t>
      </w:r>
    </w:p>
    <w:p w14:paraId="1A14B0D9">
      <w:pPr>
        <w:spacing w:line="360" w:lineRule="auto"/>
        <w:jc w:val="left"/>
        <w:rPr>
          <w:rFonts w:ascii="宋体" w:hAnsi="宋体"/>
          <w:bCs/>
          <w:szCs w:val="21"/>
        </w:rPr>
      </w:pPr>
      <w:r>
        <w:rPr>
          <w:rFonts w:ascii="宋体" w:hAnsi="宋体"/>
          <w:bCs/>
          <w:szCs w:val="21"/>
        </w:rPr>
        <w:t>（2）如供应商为联合体或分包的，声明函中“项目名称”应填写联合体中小微企业承担的具体内容或者小微企业具体分包内容。</w:t>
      </w:r>
    </w:p>
    <w:p w14:paraId="26D12217">
      <w:pPr>
        <w:spacing w:line="360" w:lineRule="auto"/>
        <w:jc w:val="left"/>
        <w:rPr>
          <w:rFonts w:ascii="宋体" w:hAnsi="宋体"/>
          <w:bCs/>
          <w:szCs w:val="21"/>
        </w:rPr>
      </w:pPr>
      <w:r>
        <w:rPr>
          <w:rFonts w:ascii="宋体" w:hAnsi="宋体"/>
          <w:bCs/>
          <w:szCs w:val="21"/>
        </w:rPr>
        <w:t>（3）从业人员、营业收入、资产总额填报上一年度数据，无上一年度数据的新成立企业参照国务院批准的中小企业划分标准，根据企业自身情况如实判断。</w:t>
      </w:r>
    </w:p>
    <w:p w14:paraId="40159B1B">
      <w:pPr>
        <w:spacing w:line="360" w:lineRule="auto"/>
        <w:jc w:val="left"/>
        <w:rPr>
          <w:rFonts w:ascii="宋体" w:hAnsi="宋体"/>
          <w:bCs/>
          <w:szCs w:val="21"/>
        </w:rPr>
      </w:pPr>
      <w:r>
        <w:rPr>
          <w:rFonts w:ascii="宋体" w:hAnsi="宋体"/>
          <w:bCs/>
          <w:szCs w:val="21"/>
        </w:rPr>
        <w:t>（4）根据工业和信息化部对“从业人员”定义的答复，《民法典》、《公司法》等法律规定，分公司不具有法人资格，其民事责任由总公司承担。企业划型时，应将分公司的从业人员、营业收入、资产总额等指标数据纳入合并计算。</w:t>
      </w:r>
    </w:p>
    <w:p w14:paraId="17EC30FB">
      <w:pPr>
        <w:spacing w:line="360" w:lineRule="auto"/>
        <w:jc w:val="left"/>
        <w:rPr>
          <w:rFonts w:ascii="宋体" w:hAnsi="宋体"/>
          <w:bCs/>
          <w:szCs w:val="21"/>
        </w:rPr>
      </w:pPr>
      <w:r>
        <w:rPr>
          <w:rFonts w:ascii="宋体" w:hAnsi="宋体"/>
          <w:bCs/>
          <w:szCs w:val="21"/>
        </w:rPr>
        <w:t>（5）根据国际统计局《劳动工资统计报表制度》，从业人员数是指本单位工作，并取得工资活其他形式劳动报酬的人员数，是在岗职工、劳务派遣人员及其他从业人员之和。</w:t>
      </w:r>
    </w:p>
    <w:p w14:paraId="5B1FBC50">
      <w:pPr>
        <w:spacing w:line="360" w:lineRule="auto"/>
        <w:jc w:val="left"/>
        <w:rPr>
          <w:rFonts w:ascii="宋体" w:hAnsi="宋体"/>
          <w:bCs/>
          <w:szCs w:val="21"/>
        </w:rPr>
      </w:pPr>
      <w:r>
        <w:rPr>
          <w:rFonts w:ascii="宋体" w:hAnsi="宋体"/>
          <w:bCs/>
          <w:szCs w:val="21"/>
        </w:rPr>
        <w:t>（6）本声明函由供应商填写，供应商应按中小企业划分标准《关于印发中小企业划型标准规定的通知》（工信部联企业〔2011〕300号</w:t>
      </w:r>
      <w:r>
        <w:rPr>
          <w:rFonts w:ascii="宋体" w:hAnsi="宋体"/>
          <w:szCs w:val="21"/>
        </w:rPr>
        <w:t>以及《金融业企业划型标准规定》（银发〔2015〕309号）</w:t>
      </w:r>
      <w:r>
        <w:rPr>
          <w:rFonts w:ascii="宋体" w:hAnsi="宋体"/>
          <w:bCs/>
          <w:szCs w:val="21"/>
        </w:rPr>
        <w:t>）判断是否为中小企业。</w:t>
      </w:r>
    </w:p>
    <w:p w14:paraId="6B882C91">
      <w:pPr>
        <w:spacing w:line="360" w:lineRule="auto"/>
        <w:jc w:val="left"/>
        <w:rPr>
          <w:rFonts w:ascii="宋体" w:hAnsi="宋体"/>
          <w:bCs/>
          <w:szCs w:val="21"/>
        </w:rPr>
      </w:pPr>
      <w:r>
        <w:rPr>
          <w:rFonts w:ascii="宋体" w:hAnsi="宋体"/>
          <w:bCs/>
          <w:szCs w:val="21"/>
        </w:rPr>
        <w:t>（7）供应商对《中小企业声明函》的真实性负责，如有虚假则需承担不利后果。依法享受中小企业优惠政策的，采购人或采购代理机构在公告成交结果时，同时公告其《中小企业声明函》，接受社会监督。</w:t>
      </w:r>
    </w:p>
    <w:p w14:paraId="622298E8">
      <w:pPr>
        <w:spacing w:line="360" w:lineRule="auto"/>
        <w:jc w:val="left"/>
        <w:rPr>
          <w:rFonts w:ascii="宋体" w:hAnsi="宋体"/>
          <w:bCs/>
          <w:szCs w:val="21"/>
        </w:rPr>
      </w:pPr>
      <w:r>
        <w:rPr>
          <w:rFonts w:ascii="宋体" w:hAnsi="宋体"/>
          <w:bCs/>
          <w:szCs w:val="21"/>
        </w:rPr>
        <w:t>（8）上述企业属于大企业的分支机构或控股股东为大企业或与大企业的负责人为同一人的，不得享受价格扣除优惠政策。接受分包的小微企业与分包企业之间存在直接控股、管理关系的，不得享受价格扣除优惠政策。</w:t>
      </w:r>
    </w:p>
    <w:p w14:paraId="6450DB37">
      <w:pPr>
        <w:snapToGrid w:val="0"/>
        <w:spacing w:before="50" w:after="120" w:afterLines="50"/>
        <w:jc w:val="left"/>
        <w:rPr>
          <w:rFonts w:ascii="宋体" w:hAnsi="宋体"/>
          <w:szCs w:val="21"/>
        </w:rPr>
      </w:pPr>
    </w:p>
    <w:p w14:paraId="0CF6AC25">
      <w:pPr>
        <w:snapToGrid w:val="0"/>
        <w:spacing w:before="50" w:after="120" w:afterLines="50"/>
        <w:jc w:val="left"/>
        <w:rPr>
          <w:rFonts w:ascii="宋体" w:hAnsi="宋体"/>
          <w:szCs w:val="21"/>
        </w:rPr>
      </w:pPr>
      <w:r>
        <w:rPr>
          <w:rFonts w:ascii="宋体" w:hAnsi="宋体"/>
          <w:szCs w:val="21"/>
        </w:rPr>
        <w:t>7.2监狱企业须提供最新一期《XX省监狱企业产品目录》或其他监狱企业证明材料。（非监狱企业无需提供）</w:t>
      </w:r>
    </w:p>
    <w:p w14:paraId="6E36AEC7">
      <w:pPr>
        <w:snapToGrid w:val="0"/>
        <w:spacing w:before="50" w:after="120" w:afterLines="50"/>
        <w:jc w:val="left"/>
        <w:rPr>
          <w:rFonts w:ascii="宋体" w:hAnsi="宋体"/>
          <w:szCs w:val="21"/>
        </w:rPr>
      </w:pPr>
    </w:p>
    <w:p w14:paraId="42DBEFFE">
      <w:pPr>
        <w:snapToGrid w:val="0"/>
        <w:spacing w:before="50" w:after="120" w:afterLines="50"/>
        <w:jc w:val="left"/>
        <w:rPr>
          <w:rFonts w:ascii="宋体" w:hAnsi="宋体"/>
        </w:rPr>
      </w:pPr>
      <w:r>
        <w:rPr>
          <w:rFonts w:ascii="宋体" w:hAnsi="宋体"/>
          <w:szCs w:val="21"/>
        </w:rPr>
        <w:t>7.3</w:t>
      </w:r>
      <w:bookmarkStart w:id="101" w:name="_Hlk19051624"/>
      <w:r>
        <w:rPr>
          <w:rFonts w:ascii="宋体" w:hAnsi="宋体"/>
        </w:rPr>
        <w:t>残疾人福利性单位须提供《残疾人福利性单位声明函》，格式如下。</w:t>
      </w:r>
      <w:r>
        <w:rPr>
          <w:rFonts w:ascii="宋体" w:hAnsi="宋体"/>
          <w:szCs w:val="21"/>
        </w:rPr>
        <w:t>（非残疾人福利性单位无需提供）</w:t>
      </w:r>
    </w:p>
    <w:bookmarkEnd w:id="101"/>
    <w:p w14:paraId="0A92CC1A">
      <w:pPr>
        <w:spacing w:line="360" w:lineRule="auto"/>
        <w:jc w:val="center"/>
        <w:rPr>
          <w:rFonts w:ascii="宋体" w:hAnsi="宋体"/>
          <w:b/>
          <w:szCs w:val="21"/>
        </w:rPr>
      </w:pPr>
      <w:bookmarkStart w:id="102" w:name="OLE_LINK13"/>
      <w:bookmarkStart w:id="103" w:name="OLE_LINK14"/>
      <w:r>
        <w:rPr>
          <w:rFonts w:ascii="宋体" w:hAnsi="宋体"/>
          <w:b/>
          <w:szCs w:val="21"/>
        </w:rPr>
        <w:t>残疾人福利性单位声明函</w:t>
      </w:r>
      <w:bookmarkEnd w:id="102"/>
      <w:bookmarkEnd w:id="103"/>
    </w:p>
    <w:p w14:paraId="3CACB958">
      <w:pPr>
        <w:spacing w:line="360" w:lineRule="auto"/>
        <w:ind w:firstLine="420"/>
        <w:jc w:val="left"/>
        <w:rPr>
          <w:rFonts w:ascii="宋体" w:hAnsi="宋体"/>
          <w:szCs w:val="21"/>
        </w:rPr>
      </w:pPr>
      <w:r>
        <w:rPr>
          <w:rFonts w:ascii="宋体" w:hAnsi="宋体"/>
          <w:szCs w:val="21"/>
        </w:rPr>
        <w:t>本单位郑重声明，根据《财政部 民政部 中国残疾人联合会关于促进残疾人就业政府采购政策的通知》（财库〔2017〕141号）的规定，本单位为符合条件的残疾人福利性单位，且本单位参加</w:t>
      </w:r>
      <w:r>
        <w:rPr>
          <w:rFonts w:ascii="宋体" w:hAnsi="宋体"/>
          <w:szCs w:val="21"/>
          <w:u w:val="single"/>
        </w:rPr>
        <w:t xml:space="preserve">        </w:t>
      </w:r>
      <w:r>
        <w:rPr>
          <w:rFonts w:ascii="宋体" w:hAnsi="宋体"/>
          <w:szCs w:val="21"/>
        </w:rPr>
        <w:t>单位的</w:t>
      </w:r>
      <w:r>
        <w:rPr>
          <w:rFonts w:ascii="宋体" w:hAnsi="宋体"/>
          <w:szCs w:val="21"/>
          <w:u w:val="single"/>
        </w:rPr>
        <w:t xml:space="preserve">           </w:t>
      </w:r>
      <w:r>
        <w:rPr>
          <w:rFonts w:ascii="宋体" w:hAnsi="宋体"/>
          <w:szCs w:val="21"/>
        </w:rPr>
        <w:t>项目采购活动提供本单位制造的货物（由本单位承担工程/提供服务），或者提供其他残疾人福利性单位制造的货物（不包括使用非残疾人福利性单位注册商标的货物）。</w:t>
      </w:r>
    </w:p>
    <w:p w14:paraId="494F2BC7">
      <w:pPr>
        <w:spacing w:line="360" w:lineRule="auto"/>
        <w:ind w:firstLine="420"/>
        <w:rPr>
          <w:rFonts w:ascii="宋体" w:hAnsi="宋体"/>
          <w:szCs w:val="21"/>
        </w:rPr>
      </w:pPr>
      <w:r>
        <w:rPr>
          <w:rFonts w:ascii="宋体" w:hAnsi="宋体"/>
          <w:szCs w:val="21"/>
        </w:rPr>
        <w:t>本单位对上述声明的真实性负责。如有虚假，将依法承担相应责任。</w:t>
      </w:r>
    </w:p>
    <w:p w14:paraId="7D4F3DB7">
      <w:pPr>
        <w:spacing w:line="360" w:lineRule="auto"/>
        <w:ind w:firstLine="420"/>
        <w:rPr>
          <w:rFonts w:ascii="宋体" w:hAnsi="宋体"/>
          <w:spacing w:val="6"/>
          <w:szCs w:val="21"/>
        </w:rPr>
      </w:pPr>
      <w:r>
        <w:rPr>
          <w:rFonts w:ascii="宋体" w:hAnsi="宋体"/>
          <w:spacing w:val="6"/>
          <w:sz w:val="30"/>
          <w:szCs w:val="30"/>
        </w:rPr>
        <w:t xml:space="preserve"> </w:t>
      </w:r>
      <w:r>
        <w:rPr>
          <w:rFonts w:ascii="宋体" w:hAnsi="宋体"/>
          <w:spacing w:val="6"/>
          <w:szCs w:val="21"/>
        </w:rPr>
        <w:t xml:space="preserve">                                             </w:t>
      </w:r>
    </w:p>
    <w:p w14:paraId="63FFA02C">
      <w:pPr>
        <w:spacing w:line="360" w:lineRule="auto"/>
        <w:ind w:firstLine="420"/>
        <w:jc w:val="right"/>
        <w:rPr>
          <w:rFonts w:ascii="宋体" w:hAnsi="宋体"/>
          <w:spacing w:val="6"/>
          <w:szCs w:val="21"/>
        </w:rPr>
      </w:pPr>
      <w:r>
        <w:rPr>
          <w:rFonts w:ascii="宋体" w:hAnsi="宋体"/>
          <w:spacing w:val="6"/>
          <w:szCs w:val="21"/>
        </w:rPr>
        <w:t xml:space="preserve">单位名称（电子签章）：          </w:t>
      </w:r>
    </w:p>
    <w:p w14:paraId="60B09A37">
      <w:pPr>
        <w:spacing w:line="360" w:lineRule="auto"/>
        <w:ind w:firstLine="420"/>
        <w:rPr>
          <w:rFonts w:ascii="宋体" w:hAnsi="宋体"/>
          <w:szCs w:val="21"/>
        </w:rPr>
      </w:pPr>
      <w:r>
        <w:rPr>
          <w:rFonts w:ascii="宋体" w:hAnsi="宋体"/>
          <w:spacing w:val="6"/>
          <w:szCs w:val="21"/>
        </w:rPr>
        <w:t xml:space="preserve">                                                       日  期：</w:t>
      </w:r>
    </w:p>
    <w:p w14:paraId="72190ED6">
      <w:pPr>
        <w:rPr>
          <w:rFonts w:ascii="宋体" w:hAnsi="宋体"/>
        </w:rPr>
      </w:pPr>
    </w:p>
    <w:p w14:paraId="465B264C">
      <w:pPr>
        <w:spacing w:line="360" w:lineRule="auto"/>
        <w:rPr>
          <w:rFonts w:ascii="宋体" w:hAnsi="宋体"/>
          <w:spacing w:val="6"/>
          <w:szCs w:val="21"/>
        </w:rPr>
      </w:pPr>
    </w:p>
    <w:p w14:paraId="31D90382">
      <w:pPr>
        <w:snapToGrid w:val="0"/>
        <w:spacing w:before="50" w:after="120" w:afterLines="50"/>
        <w:jc w:val="left"/>
        <w:rPr>
          <w:rFonts w:ascii="宋体" w:hAnsi="宋体"/>
          <w:szCs w:val="21"/>
        </w:rPr>
        <w:sectPr>
          <w:pgSz w:w="11906" w:h="16838"/>
          <w:pgMar w:top="1418" w:right="1274" w:bottom="1418" w:left="1418" w:header="851" w:footer="992" w:gutter="0"/>
          <w:pgNumType w:fmt="decimal"/>
          <w:cols w:space="720" w:num="1"/>
          <w:docGrid w:linePitch="312" w:charSpace="0"/>
        </w:sectPr>
      </w:pPr>
    </w:p>
    <w:p w14:paraId="6D685A28">
      <w:pPr>
        <w:snapToGrid w:val="0"/>
        <w:spacing w:before="50" w:after="120" w:afterLines="50"/>
        <w:jc w:val="left"/>
        <w:rPr>
          <w:rFonts w:ascii="宋体" w:hAnsi="宋体"/>
          <w:szCs w:val="21"/>
        </w:rPr>
      </w:pPr>
      <w:r>
        <w:rPr>
          <w:rFonts w:ascii="宋体" w:hAnsi="宋体"/>
          <w:szCs w:val="21"/>
        </w:rPr>
        <w:t>8.</w:t>
      </w:r>
      <w:r>
        <w:rPr>
          <w:rFonts w:ascii="宋体" w:hAnsi="宋体"/>
        </w:rPr>
        <w:t xml:space="preserve"> </w:t>
      </w:r>
      <w:r>
        <w:rPr>
          <w:rFonts w:ascii="宋体" w:hAnsi="宋体"/>
          <w:szCs w:val="21"/>
        </w:rPr>
        <w:t>无串标行为承诺函</w:t>
      </w:r>
    </w:p>
    <w:p w14:paraId="575798C1">
      <w:pPr>
        <w:snapToGrid w:val="0"/>
        <w:spacing w:before="50" w:after="120" w:afterLines="50"/>
        <w:jc w:val="center"/>
        <w:rPr>
          <w:rFonts w:ascii="宋体" w:hAnsi="宋体"/>
          <w:szCs w:val="21"/>
        </w:rPr>
      </w:pPr>
    </w:p>
    <w:p w14:paraId="568C176D">
      <w:pPr>
        <w:snapToGrid w:val="0"/>
        <w:spacing w:before="50" w:after="120" w:afterLines="50"/>
        <w:jc w:val="center"/>
        <w:rPr>
          <w:rFonts w:ascii="宋体" w:hAnsi="宋体"/>
          <w:szCs w:val="21"/>
        </w:rPr>
      </w:pPr>
      <w:r>
        <w:rPr>
          <w:rFonts w:ascii="宋体" w:hAnsi="宋体"/>
          <w:szCs w:val="21"/>
        </w:rPr>
        <w:t>供应商参加本项目无围标串标行为的承诺函</w:t>
      </w:r>
    </w:p>
    <w:p w14:paraId="576B9F57">
      <w:pPr>
        <w:snapToGrid w:val="0"/>
        <w:spacing w:before="50" w:after="120" w:afterLines="50"/>
        <w:jc w:val="left"/>
        <w:rPr>
          <w:rFonts w:ascii="宋体" w:hAnsi="宋体"/>
          <w:szCs w:val="21"/>
        </w:rPr>
      </w:pPr>
    </w:p>
    <w:p w14:paraId="56CCB847">
      <w:pPr>
        <w:snapToGrid w:val="0"/>
        <w:spacing w:before="50" w:after="120" w:afterLines="50"/>
        <w:jc w:val="left"/>
        <w:rPr>
          <w:rFonts w:ascii="宋体" w:hAnsi="宋体"/>
          <w:szCs w:val="21"/>
        </w:rPr>
      </w:pPr>
      <w:r>
        <w:rPr>
          <w:rFonts w:ascii="宋体" w:hAnsi="宋体"/>
          <w:szCs w:val="21"/>
        </w:rPr>
        <w:t>一、我方承诺无下列相互串通投标的情形：</w:t>
      </w:r>
    </w:p>
    <w:p w14:paraId="06C6564F">
      <w:pPr>
        <w:snapToGrid w:val="0"/>
        <w:spacing w:before="50" w:after="120" w:afterLines="50"/>
        <w:jc w:val="left"/>
        <w:rPr>
          <w:rFonts w:ascii="宋体" w:hAnsi="宋体"/>
          <w:szCs w:val="21"/>
        </w:rPr>
      </w:pPr>
      <w:r>
        <w:rPr>
          <w:rFonts w:ascii="宋体" w:hAnsi="宋体"/>
          <w:szCs w:val="21"/>
        </w:rPr>
        <w:t>1.不同供应商的响应文件由同一单位或者个人编制；或者不同供应商报名的IP地址一致的；</w:t>
      </w:r>
    </w:p>
    <w:p w14:paraId="01E9D85D">
      <w:pPr>
        <w:snapToGrid w:val="0"/>
        <w:spacing w:before="50" w:after="120" w:afterLines="50"/>
        <w:jc w:val="left"/>
        <w:rPr>
          <w:rFonts w:ascii="宋体" w:hAnsi="宋体"/>
          <w:szCs w:val="21"/>
        </w:rPr>
      </w:pPr>
      <w:r>
        <w:rPr>
          <w:rFonts w:ascii="宋体" w:hAnsi="宋体"/>
          <w:szCs w:val="21"/>
        </w:rPr>
        <w:t>2.不同供应商委托同一单位或者个人办理投标事宜；</w:t>
      </w:r>
    </w:p>
    <w:p w14:paraId="031E1C17">
      <w:pPr>
        <w:snapToGrid w:val="0"/>
        <w:spacing w:before="50" w:after="120" w:afterLines="50"/>
        <w:jc w:val="left"/>
        <w:rPr>
          <w:rFonts w:ascii="宋体" w:hAnsi="宋体"/>
          <w:szCs w:val="21"/>
        </w:rPr>
      </w:pPr>
      <w:r>
        <w:rPr>
          <w:rFonts w:ascii="宋体" w:hAnsi="宋体"/>
          <w:szCs w:val="21"/>
        </w:rPr>
        <w:t>3.不同的供应商的响应文件载明的项目管理员为同一个人；</w:t>
      </w:r>
    </w:p>
    <w:p w14:paraId="35284998">
      <w:pPr>
        <w:snapToGrid w:val="0"/>
        <w:spacing w:before="50" w:after="120" w:afterLines="50"/>
        <w:jc w:val="left"/>
        <w:rPr>
          <w:rFonts w:ascii="宋体" w:hAnsi="宋体"/>
          <w:szCs w:val="21"/>
        </w:rPr>
      </w:pPr>
      <w:r>
        <w:rPr>
          <w:rFonts w:ascii="宋体" w:hAnsi="宋体"/>
          <w:szCs w:val="21"/>
        </w:rPr>
        <w:t>4.不同供应商的响应文件异常一致或者投标报价呈规律性差异；</w:t>
      </w:r>
    </w:p>
    <w:p w14:paraId="659C0F46">
      <w:pPr>
        <w:snapToGrid w:val="0"/>
        <w:spacing w:before="50" w:after="120" w:afterLines="50"/>
        <w:jc w:val="left"/>
        <w:rPr>
          <w:rFonts w:ascii="宋体" w:hAnsi="宋体"/>
          <w:szCs w:val="21"/>
        </w:rPr>
      </w:pPr>
      <w:r>
        <w:rPr>
          <w:rFonts w:ascii="宋体" w:hAnsi="宋体"/>
          <w:szCs w:val="21"/>
        </w:rPr>
        <w:t>5.不同供应商的响应文件相互混装；</w:t>
      </w:r>
    </w:p>
    <w:p w14:paraId="2F02D86E">
      <w:pPr>
        <w:snapToGrid w:val="0"/>
        <w:spacing w:before="50" w:after="120" w:afterLines="50"/>
        <w:jc w:val="left"/>
        <w:rPr>
          <w:rFonts w:ascii="宋体" w:hAnsi="宋体"/>
          <w:szCs w:val="21"/>
        </w:rPr>
      </w:pPr>
      <w:r>
        <w:rPr>
          <w:rFonts w:ascii="宋体" w:hAnsi="宋体"/>
          <w:szCs w:val="21"/>
        </w:rPr>
        <w:t>6.不同供应商的磋商保证金从同一单位或者个人账户转出。</w:t>
      </w:r>
    </w:p>
    <w:p w14:paraId="1B35D24C">
      <w:pPr>
        <w:snapToGrid w:val="0"/>
        <w:spacing w:before="50" w:after="120" w:afterLines="50"/>
        <w:jc w:val="left"/>
        <w:rPr>
          <w:rFonts w:ascii="宋体" w:hAnsi="宋体"/>
          <w:szCs w:val="21"/>
        </w:rPr>
      </w:pPr>
      <w:r>
        <w:rPr>
          <w:rFonts w:ascii="宋体" w:hAnsi="宋体"/>
          <w:szCs w:val="21"/>
        </w:rPr>
        <w:t>二、我方承诺无下列恶意串通的情形：</w:t>
      </w:r>
    </w:p>
    <w:p w14:paraId="7AD17B62">
      <w:pPr>
        <w:snapToGrid w:val="0"/>
        <w:spacing w:before="50" w:after="120" w:afterLines="50"/>
        <w:jc w:val="left"/>
        <w:rPr>
          <w:rFonts w:ascii="宋体" w:hAnsi="宋体"/>
          <w:szCs w:val="21"/>
        </w:rPr>
      </w:pPr>
      <w:r>
        <w:rPr>
          <w:rFonts w:ascii="宋体" w:hAnsi="宋体"/>
          <w:szCs w:val="21"/>
        </w:rPr>
        <w:t>1.供应商直接或者间接从采购人或者采购代理机构处获得其他供应商的相关信息并修改其响应文件或者响应文件；</w:t>
      </w:r>
    </w:p>
    <w:p w14:paraId="51774D45">
      <w:pPr>
        <w:snapToGrid w:val="0"/>
        <w:spacing w:before="50" w:after="120" w:afterLines="50"/>
        <w:jc w:val="left"/>
        <w:rPr>
          <w:rFonts w:ascii="宋体" w:hAnsi="宋体"/>
          <w:szCs w:val="21"/>
        </w:rPr>
      </w:pPr>
      <w:r>
        <w:rPr>
          <w:rFonts w:ascii="宋体" w:hAnsi="宋体"/>
          <w:szCs w:val="21"/>
        </w:rPr>
        <w:t>2.供应商按照采购人或者采购代理机构的授意撤换、修改响应文件或者响应文件；</w:t>
      </w:r>
    </w:p>
    <w:p w14:paraId="68DC34D8">
      <w:pPr>
        <w:snapToGrid w:val="0"/>
        <w:spacing w:before="50" w:after="120" w:afterLines="50"/>
        <w:jc w:val="left"/>
        <w:rPr>
          <w:rFonts w:ascii="宋体" w:hAnsi="宋体"/>
          <w:szCs w:val="21"/>
        </w:rPr>
      </w:pPr>
      <w:r>
        <w:rPr>
          <w:rFonts w:ascii="宋体" w:hAnsi="宋体"/>
          <w:szCs w:val="21"/>
        </w:rPr>
        <w:t>3.供应商之间协商报价、技术方案等响应文件或者响应文件的实质性内容；</w:t>
      </w:r>
    </w:p>
    <w:p w14:paraId="62E42812">
      <w:pPr>
        <w:snapToGrid w:val="0"/>
        <w:spacing w:before="50" w:after="120" w:afterLines="50"/>
        <w:jc w:val="left"/>
        <w:rPr>
          <w:rFonts w:ascii="宋体" w:hAnsi="宋体"/>
          <w:szCs w:val="21"/>
        </w:rPr>
      </w:pPr>
      <w:r>
        <w:rPr>
          <w:rFonts w:ascii="宋体" w:hAnsi="宋体"/>
          <w:szCs w:val="21"/>
        </w:rPr>
        <w:t>4.属于同一集团、协会、商会等组织成员的供应商按照该组织要求协同参加政府采购活动；</w:t>
      </w:r>
    </w:p>
    <w:p w14:paraId="65E22011">
      <w:pPr>
        <w:snapToGrid w:val="0"/>
        <w:spacing w:before="50" w:after="120" w:afterLines="50"/>
        <w:jc w:val="left"/>
        <w:rPr>
          <w:rFonts w:ascii="宋体" w:hAnsi="宋体"/>
          <w:szCs w:val="21"/>
        </w:rPr>
      </w:pPr>
      <w:r>
        <w:rPr>
          <w:rFonts w:ascii="宋体" w:hAnsi="宋体"/>
          <w:szCs w:val="21"/>
        </w:rPr>
        <w:t>5.供应商之间事先约定一致抬高或者压低投标报价，或者在招标项目中事先约定轮流以高价位或者低价位中标，或者事先约定由某一特定供应商中标，然后再参加投标；</w:t>
      </w:r>
    </w:p>
    <w:p w14:paraId="2EF50ABD">
      <w:pPr>
        <w:snapToGrid w:val="0"/>
        <w:spacing w:before="50" w:after="120" w:afterLines="50"/>
        <w:jc w:val="left"/>
        <w:rPr>
          <w:rFonts w:ascii="宋体" w:hAnsi="宋体"/>
          <w:szCs w:val="21"/>
        </w:rPr>
      </w:pPr>
      <w:r>
        <w:rPr>
          <w:rFonts w:ascii="宋体" w:hAnsi="宋体"/>
          <w:szCs w:val="21"/>
        </w:rPr>
        <w:t>6.供应商之间商定部分供应商放弃参加政府采购活动或者放弃中标；</w:t>
      </w:r>
    </w:p>
    <w:p w14:paraId="09A9B0FB">
      <w:pPr>
        <w:snapToGrid w:val="0"/>
        <w:spacing w:before="50" w:after="120" w:afterLines="50"/>
        <w:jc w:val="left"/>
        <w:rPr>
          <w:rFonts w:ascii="宋体" w:hAnsi="宋体"/>
          <w:szCs w:val="21"/>
        </w:rPr>
      </w:pPr>
      <w:r>
        <w:rPr>
          <w:rFonts w:ascii="宋体" w:hAnsi="宋体"/>
          <w:szCs w:val="21"/>
        </w:rPr>
        <w:t>7.供应商与采购人或者采购代理机构之间、供应商相互之间，为谋求特定供应商中标或者排斥其他供应商的其他串通行为。</w:t>
      </w:r>
    </w:p>
    <w:p w14:paraId="4DF74920">
      <w:pPr>
        <w:snapToGrid w:val="0"/>
        <w:spacing w:before="50" w:after="120" w:afterLines="50"/>
        <w:jc w:val="left"/>
        <w:rPr>
          <w:rFonts w:ascii="宋体" w:hAnsi="宋体"/>
          <w:szCs w:val="21"/>
        </w:rPr>
      </w:pPr>
      <w:r>
        <w:rPr>
          <w:rFonts w:ascii="宋体" w:hAnsi="宋体"/>
          <w:szCs w:val="21"/>
        </w:rPr>
        <w:t>以上情形一经核查属实，我方愿意承担一切后果，并不再寻求任何旨在减轻或者免除法律责任的辩解。</w:t>
      </w:r>
    </w:p>
    <w:p w14:paraId="22BD3674">
      <w:pPr>
        <w:snapToGrid w:val="0"/>
        <w:spacing w:before="50" w:after="120" w:afterLines="50"/>
        <w:jc w:val="center"/>
        <w:rPr>
          <w:rFonts w:ascii="宋体" w:hAnsi="宋体"/>
          <w:szCs w:val="21"/>
        </w:rPr>
      </w:pPr>
      <w:r>
        <w:rPr>
          <w:rFonts w:ascii="宋体" w:hAnsi="宋体"/>
          <w:szCs w:val="21"/>
        </w:rPr>
        <w:t xml:space="preserve">  </w:t>
      </w:r>
    </w:p>
    <w:p w14:paraId="4FDED436">
      <w:pPr>
        <w:snapToGrid w:val="0"/>
        <w:spacing w:before="50" w:after="120" w:afterLines="50"/>
        <w:jc w:val="center"/>
        <w:rPr>
          <w:rFonts w:ascii="宋体" w:hAnsi="宋体"/>
          <w:szCs w:val="21"/>
        </w:rPr>
      </w:pPr>
    </w:p>
    <w:p w14:paraId="327FEDD1">
      <w:pPr>
        <w:snapToGrid w:val="0"/>
        <w:spacing w:before="50" w:after="120" w:afterLines="50"/>
        <w:jc w:val="center"/>
        <w:rPr>
          <w:rFonts w:ascii="宋体" w:hAnsi="宋体"/>
          <w:szCs w:val="21"/>
        </w:rPr>
      </w:pPr>
    </w:p>
    <w:p w14:paraId="70D3285D">
      <w:pPr>
        <w:snapToGrid w:val="0"/>
        <w:spacing w:before="50" w:after="120" w:afterLines="50"/>
        <w:jc w:val="center"/>
        <w:rPr>
          <w:rFonts w:ascii="宋体" w:hAnsi="宋体"/>
          <w:szCs w:val="21"/>
        </w:rPr>
      </w:pPr>
      <w:r>
        <w:rPr>
          <w:rFonts w:ascii="宋体" w:hAnsi="宋体"/>
          <w:szCs w:val="21"/>
        </w:rPr>
        <w:t>供应商名称(电子签章)：</w:t>
      </w:r>
    </w:p>
    <w:p w14:paraId="6FC075E3">
      <w:pPr>
        <w:snapToGrid w:val="0"/>
        <w:spacing w:before="50" w:after="120" w:afterLines="50"/>
        <w:jc w:val="center"/>
        <w:rPr>
          <w:rFonts w:ascii="宋体" w:hAnsi="宋体"/>
          <w:szCs w:val="21"/>
        </w:rPr>
      </w:pPr>
      <w:r>
        <w:rPr>
          <w:rFonts w:ascii="宋体" w:hAnsi="宋体"/>
          <w:szCs w:val="21"/>
        </w:rPr>
        <w:t>日期：  年  月   日</w:t>
      </w:r>
    </w:p>
    <w:p w14:paraId="45777A47">
      <w:pPr>
        <w:snapToGrid w:val="0"/>
        <w:spacing w:before="50" w:after="120" w:afterLines="50"/>
        <w:jc w:val="left"/>
        <w:rPr>
          <w:rFonts w:ascii="宋体" w:hAnsi="宋体"/>
          <w:szCs w:val="21"/>
        </w:rPr>
      </w:pPr>
      <w:r>
        <w:rPr>
          <w:rFonts w:ascii="宋体" w:hAnsi="宋体"/>
          <w:szCs w:val="21"/>
        </w:rPr>
        <w:br w:type="page"/>
      </w:r>
      <w:bookmarkEnd w:id="98"/>
      <w:r>
        <w:rPr>
          <w:rFonts w:ascii="宋体" w:hAnsi="宋体"/>
          <w:szCs w:val="21"/>
        </w:rPr>
        <w:t>9．代理服务费承诺书</w:t>
      </w:r>
      <w:bookmarkEnd w:id="99"/>
    </w:p>
    <w:p w14:paraId="139AD687">
      <w:pPr>
        <w:spacing w:line="360" w:lineRule="exact"/>
        <w:rPr>
          <w:rFonts w:ascii="宋体" w:hAnsi="宋体"/>
          <w:szCs w:val="21"/>
        </w:rPr>
      </w:pPr>
      <w:bookmarkStart w:id="104" w:name="_Hlk19110490"/>
      <w:r>
        <w:rPr>
          <w:rFonts w:ascii="宋体" w:hAnsi="宋体"/>
          <w:szCs w:val="21"/>
        </w:rPr>
        <w:t>致：广西机电设备招标有限公司</w:t>
      </w:r>
    </w:p>
    <w:p w14:paraId="3624BFA0">
      <w:pPr>
        <w:spacing w:line="360" w:lineRule="exact"/>
        <w:ind w:firstLine="420" w:firstLineChars="200"/>
        <w:rPr>
          <w:rFonts w:ascii="宋体" w:hAnsi="宋体"/>
          <w:szCs w:val="21"/>
        </w:rPr>
      </w:pPr>
      <w:r>
        <w:rPr>
          <w:rFonts w:ascii="宋体" w:hAnsi="宋体"/>
          <w:szCs w:val="21"/>
        </w:rPr>
        <w:t>我单位参加了贵方组织的磋商项目编号为</w:t>
      </w:r>
      <w:r>
        <w:rPr>
          <w:rFonts w:ascii="宋体" w:hAnsi="宋体"/>
          <w:b/>
          <w:szCs w:val="21"/>
        </w:rPr>
        <w:t>（</w:t>
      </w:r>
      <w:r>
        <w:rPr>
          <w:rFonts w:ascii="宋体" w:hAnsi="宋体"/>
          <w:szCs w:val="21"/>
          <w:u w:val="single"/>
        </w:rPr>
        <w:t xml:space="preserve">                    )</w:t>
      </w:r>
      <w:r>
        <w:rPr>
          <w:rFonts w:ascii="宋体" w:hAnsi="宋体"/>
          <w:szCs w:val="21"/>
        </w:rPr>
        <w:t>的响应，并递交了磋商保证金</w:t>
      </w:r>
      <w:r>
        <w:rPr>
          <w:rFonts w:ascii="宋体" w:hAnsi="宋体"/>
          <w:szCs w:val="21"/>
          <w:u w:val="single"/>
        </w:rPr>
        <w:t xml:space="preserve">                  </w:t>
      </w:r>
      <w:r>
        <w:rPr>
          <w:rFonts w:ascii="宋体" w:hAnsi="宋体"/>
          <w:szCs w:val="21"/>
        </w:rPr>
        <w:t>（</w:t>
      </w:r>
      <w:r>
        <w:rPr>
          <w:rFonts w:ascii="宋体" w:hAnsi="宋体"/>
          <w:kern w:val="0"/>
          <w:szCs w:val="21"/>
        </w:rPr>
        <w:t>¥</w:t>
      </w:r>
      <w:r>
        <w:rPr>
          <w:rFonts w:ascii="宋体" w:hAnsi="宋体"/>
          <w:szCs w:val="21"/>
          <w:u w:val="single"/>
        </w:rPr>
        <w:t xml:space="preserve">       </w:t>
      </w:r>
      <w:r>
        <w:rPr>
          <w:rFonts w:ascii="宋体" w:hAnsi="宋体"/>
          <w:szCs w:val="21"/>
        </w:rPr>
        <w:t>），在此我方说明如下：</w:t>
      </w:r>
    </w:p>
    <w:p w14:paraId="3AD83B03">
      <w:pPr>
        <w:spacing w:line="360" w:lineRule="exact"/>
        <w:ind w:firstLine="420" w:firstLineChars="200"/>
        <w:rPr>
          <w:rFonts w:ascii="宋体" w:hAnsi="宋体"/>
          <w:szCs w:val="21"/>
        </w:rPr>
      </w:pPr>
      <w:r>
        <w:rPr>
          <w:rFonts w:ascii="宋体" w:hAnsi="宋体"/>
          <w:szCs w:val="21"/>
        </w:rPr>
        <w:t>1．我方承诺，若我单位成交，保证在领取成交通知书之前，按本项目采购文件的规定标准向贵单位支付代理服务费。如我单位未按规定缴纳代理服务费，贵方可不退还我单位提交的磋商保证金，并从中扣除代理服务费，余款按下列账户退回。</w:t>
      </w:r>
    </w:p>
    <w:bookmarkEnd w:id="104"/>
    <w:p w14:paraId="145CAC6C">
      <w:pPr>
        <w:spacing w:line="360" w:lineRule="exact"/>
        <w:ind w:firstLine="420" w:firstLineChars="200"/>
        <w:rPr>
          <w:rFonts w:ascii="宋体" w:hAnsi="宋体"/>
          <w:szCs w:val="21"/>
        </w:rPr>
      </w:pPr>
      <w:r>
        <w:rPr>
          <w:rFonts w:ascii="宋体" w:hAnsi="宋体"/>
          <w:szCs w:val="21"/>
        </w:rPr>
        <w:t>我公司选择第</w:t>
      </w:r>
      <w:r>
        <w:rPr>
          <w:rFonts w:ascii="宋体" w:hAnsi="宋体"/>
          <w:szCs w:val="21"/>
          <w:u w:val="single"/>
        </w:rPr>
        <w:t xml:space="preserve">     </w:t>
      </w:r>
      <w:r>
        <w:rPr>
          <w:rFonts w:ascii="宋体" w:hAnsi="宋体"/>
          <w:szCs w:val="21"/>
        </w:rPr>
        <w:t>种方式缴纳代理服务费。</w:t>
      </w:r>
    </w:p>
    <w:p w14:paraId="424F65E7">
      <w:pPr>
        <w:spacing w:line="360" w:lineRule="exact"/>
        <w:ind w:firstLine="420" w:firstLineChars="200"/>
        <w:rPr>
          <w:rFonts w:ascii="宋体" w:hAnsi="宋体"/>
          <w:szCs w:val="21"/>
        </w:rPr>
      </w:pPr>
      <w:r>
        <w:rPr>
          <w:rFonts w:ascii="宋体" w:hAnsi="宋体"/>
          <w:szCs w:val="21"/>
        </w:rPr>
        <w:t>第一种方式：一次性足额缴纳代理服务费。</w:t>
      </w:r>
    </w:p>
    <w:p w14:paraId="7B05315F">
      <w:pPr>
        <w:spacing w:line="360" w:lineRule="exact"/>
        <w:ind w:firstLine="420" w:firstLineChars="200"/>
        <w:rPr>
          <w:rFonts w:ascii="宋体" w:hAnsi="宋体"/>
          <w:szCs w:val="21"/>
        </w:rPr>
      </w:pPr>
      <w:r>
        <w:rPr>
          <w:rFonts w:ascii="宋体" w:hAnsi="宋体"/>
          <w:szCs w:val="21"/>
        </w:rPr>
        <w:t>第二种方式：从磋商保证金中抵扣代理服务费，不足部分补交。</w:t>
      </w:r>
    </w:p>
    <w:p w14:paraId="1143FD47">
      <w:pPr>
        <w:spacing w:line="360" w:lineRule="exact"/>
        <w:ind w:firstLine="420" w:firstLineChars="200"/>
        <w:rPr>
          <w:rFonts w:ascii="宋体" w:hAnsi="宋体"/>
          <w:szCs w:val="21"/>
        </w:rPr>
      </w:pPr>
      <w:r>
        <w:rPr>
          <w:rFonts w:ascii="宋体" w:hAnsi="宋体"/>
          <w:szCs w:val="21"/>
        </w:rPr>
        <w:t>2．如我单位磋商保证金无法原路返回，请按下表账户信息无息退还。</w:t>
      </w:r>
    </w:p>
    <w:tbl>
      <w:tblPr>
        <w:tblStyle w:val="5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33"/>
        <w:gridCol w:w="5431"/>
      </w:tblGrid>
      <w:tr w14:paraId="34B7C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2" w:hRule="atLeast"/>
          <w:jc w:val="center"/>
        </w:trPr>
        <w:tc>
          <w:tcPr>
            <w:tcW w:w="3533" w:type="dxa"/>
            <w:vAlign w:val="center"/>
          </w:tcPr>
          <w:p w14:paraId="785858B1">
            <w:pPr>
              <w:spacing w:line="360" w:lineRule="exact"/>
              <w:jc w:val="center"/>
              <w:rPr>
                <w:rFonts w:ascii="宋体" w:hAnsi="宋体"/>
                <w:szCs w:val="21"/>
              </w:rPr>
            </w:pPr>
            <w:r>
              <w:rPr>
                <w:rFonts w:ascii="宋体" w:hAnsi="宋体"/>
                <w:szCs w:val="21"/>
              </w:rPr>
              <w:t>收款户名</w:t>
            </w:r>
          </w:p>
        </w:tc>
        <w:tc>
          <w:tcPr>
            <w:tcW w:w="5431" w:type="dxa"/>
            <w:vAlign w:val="center"/>
          </w:tcPr>
          <w:p w14:paraId="704F7E93">
            <w:pPr>
              <w:spacing w:line="360" w:lineRule="exact"/>
              <w:jc w:val="center"/>
              <w:rPr>
                <w:rFonts w:ascii="宋体" w:hAnsi="宋体"/>
                <w:szCs w:val="21"/>
              </w:rPr>
            </w:pPr>
          </w:p>
        </w:tc>
      </w:tr>
      <w:tr w14:paraId="6AA7B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2" w:hRule="atLeast"/>
          <w:jc w:val="center"/>
        </w:trPr>
        <w:tc>
          <w:tcPr>
            <w:tcW w:w="3533" w:type="dxa"/>
            <w:vAlign w:val="center"/>
          </w:tcPr>
          <w:p w14:paraId="0A298721">
            <w:pPr>
              <w:spacing w:line="360" w:lineRule="exact"/>
              <w:jc w:val="center"/>
              <w:rPr>
                <w:rFonts w:ascii="宋体" w:hAnsi="宋体"/>
                <w:szCs w:val="21"/>
              </w:rPr>
            </w:pPr>
            <w:r>
              <w:rPr>
                <w:rFonts w:ascii="宋体" w:hAnsi="宋体"/>
                <w:szCs w:val="21"/>
              </w:rPr>
              <w:t>账    号</w:t>
            </w:r>
          </w:p>
        </w:tc>
        <w:tc>
          <w:tcPr>
            <w:tcW w:w="5431" w:type="dxa"/>
            <w:vAlign w:val="center"/>
          </w:tcPr>
          <w:p w14:paraId="7631AC31">
            <w:pPr>
              <w:spacing w:line="360" w:lineRule="exact"/>
              <w:jc w:val="center"/>
              <w:rPr>
                <w:rFonts w:ascii="宋体" w:hAnsi="宋体"/>
                <w:szCs w:val="21"/>
              </w:rPr>
            </w:pPr>
          </w:p>
        </w:tc>
      </w:tr>
      <w:tr w14:paraId="03BBB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2" w:hRule="atLeast"/>
          <w:jc w:val="center"/>
        </w:trPr>
        <w:tc>
          <w:tcPr>
            <w:tcW w:w="3533" w:type="dxa"/>
            <w:vAlign w:val="center"/>
          </w:tcPr>
          <w:p w14:paraId="403B619D">
            <w:pPr>
              <w:spacing w:line="360" w:lineRule="exact"/>
              <w:jc w:val="center"/>
              <w:rPr>
                <w:rFonts w:ascii="宋体" w:hAnsi="宋体"/>
                <w:szCs w:val="21"/>
              </w:rPr>
            </w:pPr>
            <w:r>
              <w:rPr>
                <w:rFonts w:ascii="宋体" w:hAnsi="宋体"/>
                <w:szCs w:val="21"/>
              </w:rPr>
              <w:t>开户银行</w:t>
            </w:r>
          </w:p>
        </w:tc>
        <w:tc>
          <w:tcPr>
            <w:tcW w:w="5431" w:type="dxa"/>
            <w:vAlign w:val="center"/>
          </w:tcPr>
          <w:p w14:paraId="411CAA3D">
            <w:pPr>
              <w:spacing w:line="360" w:lineRule="exact"/>
              <w:jc w:val="center"/>
              <w:rPr>
                <w:rFonts w:ascii="宋体" w:hAnsi="宋体"/>
                <w:szCs w:val="21"/>
              </w:rPr>
            </w:pPr>
          </w:p>
        </w:tc>
      </w:tr>
      <w:tr w14:paraId="3DE12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2" w:hRule="atLeast"/>
          <w:jc w:val="center"/>
        </w:trPr>
        <w:tc>
          <w:tcPr>
            <w:tcW w:w="3533" w:type="dxa"/>
            <w:vAlign w:val="center"/>
          </w:tcPr>
          <w:p w14:paraId="535D21B5">
            <w:pPr>
              <w:spacing w:line="360" w:lineRule="exact"/>
              <w:jc w:val="center"/>
              <w:rPr>
                <w:rFonts w:ascii="宋体" w:hAnsi="宋体"/>
                <w:szCs w:val="21"/>
              </w:rPr>
            </w:pPr>
            <w:r>
              <w:rPr>
                <w:rFonts w:ascii="宋体" w:hAnsi="宋体"/>
                <w:szCs w:val="21"/>
              </w:rPr>
              <w:t>银行行号</w:t>
            </w:r>
          </w:p>
        </w:tc>
        <w:tc>
          <w:tcPr>
            <w:tcW w:w="5431" w:type="dxa"/>
            <w:vAlign w:val="center"/>
          </w:tcPr>
          <w:p w14:paraId="36E3026F">
            <w:pPr>
              <w:spacing w:line="360" w:lineRule="exact"/>
              <w:jc w:val="center"/>
              <w:rPr>
                <w:rFonts w:ascii="宋体" w:hAnsi="宋体"/>
                <w:szCs w:val="21"/>
              </w:rPr>
            </w:pPr>
          </w:p>
        </w:tc>
      </w:tr>
    </w:tbl>
    <w:p w14:paraId="00F3BCF2">
      <w:pPr>
        <w:spacing w:line="360" w:lineRule="exact"/>
        <w:ind w:firstLine="420" w:firstLineChars="200"/>
        <w:rPr>
          <w:rFonts w:ascii="宋体" w:hAnsi="宋体"/>
          <w:szCs w:val="21"/>
        </w:rPr>
      </w:pPr>
      <w:r>
        <w:rPr>
          <w:rFonts w:ascii="宋体" w:hAnsi="宋体"/>
          <w:szCs w:val="21"/>
        </w:rPr>
        <w:t>3．如果我单位未遵守有关采购文件关于磋商保证金的规定，贵方可以没收我单位磋商保证金。</w:t>
      </w:r>
    </w:p>
    <w:p w14:paraId="21A44C9C">
      <w:pPr>
        <w:spacing w:line="360" w:lineRule="exact"/>
        <w:ind w:firstLine="420" w:firstLineChars="200"/>
        <w:rPr>
          <w:rFonts w:ascii="宋体" w:hAnsi="宋体"/>
          <w:szCs w:val="21"/>
        </w:rPr>
      </w:pPr>
      <w:r>
        <w:rPr>
          <w:rFonts w:ascii="宋体" w:hAnsi="宋体"/>
          <w:szCs w:val="21"/>
        </w:rPr>
        <w:t>4. 我单位选择第</w:t>
      </w:r>
      <w:r>
        <w:rPr>
          <w:rFonts w:ascii="宋体" w:hAnsi="宋体"/>
          <w:szCs w:val="21"/>
          <w:u w:val="single"/>
        </w:rPr>
        <w:t xml:space="preserve">     </w:t>
      </w:r>
      <w:r>
        <w:rPr>
          <w:rFonts w:ascii="宋体" w:hAnsi="宋体"/>
          <w:szCs w:val="21"/>
        </w:rPr>
        <w:t>种方式作为代理服务费开票类型：</w:t>
      </w:r>
    </w:p>
    <w:p w14:paraId="371BB518">
      <w:pPr>
        <w:spacing w:line="360" w:lineRule="exact"/>
        <w:ind w:firstLine="420" w:firstLineChars="200"/>
        <w:rPr>
          <w:rFonts w:ascii="宋体" w:hAnsi="宋体"/>
          <w:szCs w:val="21"/>
        </w:rPr>
      </w:pPr>
      <w:r>
        <w:rPr>
          <w:rFonts w:ascii="宋体" w:hAnsi="宋体"/>
          <w:szCs w:val="21"/>
        </w:rPr>
        <w:t>第一种方式：开具收据。</w:t>
      </w:r>
    </w:p>
    <w:p w14:paraId="3CFF3671">
      <w:pPr>
        <w:spacing w:line="360" w:lineRule="exact"/>
        <w:ind w:firstLine="420" w:firstLineChars="200"/>
        <w:rPr>
          <w:rFonts w:ascii="宋体" w:hAnsi="宋体"/>
          <w:szCs w:val="21"/>
        </w:rPr>
      </w:pPr>
      <w:r>
        <w:rPr>
          <w:rFonts w:ascii="宋体" w:hAnsi="宋体"/>
          <w:szCs w:val="21"/>
        </w:rPr>
        <w:t>第二种方式：开具增值税普通发票。 1.公司名称</w:t>
      </w:r>
      <w:r>
        <w:rPr>
          <w:rFonts w:ascii="宋体" w:hAnsi="宋体"/>
          <w:szCs w:val="21"/>
          <w:u w:val="single"/>
        </w:rPr>
        <w:t xml:space="preserve">                      </w:t>
      </w:r>
      <w:r>
        <w:rPr>
          <w:rFonts w:ascii="宋体" w:hAnsi="宋体"/>
          <w:szCs w:val="21"/>
        </w:rPr>
        <w:t>；2.纳税人识别号</w:t>
      </w:r>
      <w:r>
        <w:rPr>
          <w:rFonts w:ascii="宋体" w:hAnsi="宋体"/>
          <w:szCs w:val="21"/>
          <w:u w:val="single"/>
        </w:rPr>
        <w:t xml:space="preserve">                     </w:t>
      </w:r>
      <w:r>
        <w:rPr>
          <w:rFonts w:ascii="宋体" w:hAnsi="宋体"/>
          <w:szCs w:val="21"/>
        </w:rPr>
        <w:t>；</w:t>
      </w:r>
    </w:p>
    <w:p w14:paraId="25D8719B">
      <w:pPr>
        <w:spacing w:line="360" w:lineRule="exact"/>
        <w:ind w:firstLine="420" w:firstLineChars="200"/>
        <w:rPr>
          <w:rFonts w:ascii="宋体" w:hAnsi="宋体"/>
          <w:szCs w:val="21"/>
        </w:rPr>
      </w:pPr>
      <w:r>
        <w:rPr>
          <w:rFonts w:ascii="宋体" w:hAnsi="宋体"/>
          <w:szCs w:val="21"/>
        </w:rPr>
        <w:t>第三种方式：开具增值税专用发票，开票信息如下：1.公司名称</w:t>
      </w:r>
      <w:r>
        <w:rPr>
          <w:rFonts w:ascii="宋体" w:hAnsi="宋体"/>
          <w:szCs w:val="21"/>
          <w:u w:val="single"/>
        </w:rPr>
        <w:t xml:space="preserve">                      </w:t>
      </w:r>
      <w:r>
        <w:rPr>
          <w:rFonts w:ascii="宋体" w:hAnsi="宋体"/>
          <w:szCs w:val="21"/>
        </w:rPr>
        <w:t>；2.纳税人识别号</w:t>
      </w:r>
      <w:r>
        <w:rPr>
          <w:rFonts w:ascii="宋体" w:hAnsi="宋体"/>
          <w:szCs w:val="21"/>
          <w:u w:val="single"/>
        </w:rPr>
        <w:t xml:space="preserve">                     </w:t>
      </w:r>
      <w:r>
        <w:rPr>
          <w:rFonts w:ascii="宋体" w:hAnsi="宋体"/>
          <w:szCs w:val="21"/>
        </w:rPr>
        <w:t>；3.税局登记地址</w:t>
      </w:r>
      <w:r>
        <w:rPr>
          <w:rFonts w:ascii="宋体" w:hAnsi="宋体"/>
          <w:szCs w:val="21"/>
          <w:u w:val="single"/>
        </w:rPr>
        <w:t xml:space="preserve">                     </w:t>
      </w:r>
      <w:r>
        <w:rPr>
          <w:rFonts w:ascii="宋体" w:hAnsi="宋体"/>
          <w:szCs w:val="21"/>
        </w:rPr>
        <w:t>；4.税局登记电话</w:t>
      </w:r>
      <w:r>
        <w:rPr>
          <w:rFonts w:ascii="宋体" w:hAnsi="宋体"/>
          <w:szCs w:val="21"/>
          <w:u w:val="single"/>
        </w:rPr>
        <w:t xml:space="preserve">             </w:t>
      </w:r>
      <w:r>
        <w:rPr>
          <w:rFonts w:ascii="宋体" w:hAnsi="宋体"/>
          <w:szCs w:val="21"/>
        </w:rPr>
        <w:t>；5.开户银行</w:t>
      </w:r>
      <w:r>
        <w:rPr>
          <w:rFonts w:ascii="宋体" w:hAnsi="宋体"/>
          <w:szCs w:val="21"/>
          <w:u w:val="single"/>
        </w:rPr>
        <w:t xml:space="preserve">                 </w:t>
      </w:r>
      <w:r>
        <w:rPr>
          <w:rFonts w:ascii="宋体" w:hAnsi="宋体"/>
          <w:szCs w:val="21"/>
        </w:rPr>
        <w:t>；6.银行账户</w:t>
      </w:r>
      <w:r>
        <w:rPr>
          <w:rFonts w:ascii="宋体" w:hAnsi="宋体"/>
          <w:szCs w:val="21"/>
          <w:u w:val="single"/>
        </w:rPr>
        <w:t xml:space="preserve">                         </w:t>
      </w:r>
      <w:r>
        <w:rPr>
          <w:rFonts w:ascii="宋体" w:hAnsi="宋体"/>
          <w:szCs w:val="21"/>
        </w:rPr>
        <w:t>。</w:t>
      </w:r>
    </w:p>
    <w:p w14:paraId="7B8B1801">
      <w:pPr>
        <w:spacing w:before="120" w:beforeLines="50" w:line="360" w:lineRule="auto"/>
        <w:jc w:val="left"/>
        <w:rPr>
          <w:rFonts w:ascii="宋体" w:hAnsi="宋体"/>
          <w:szCs w:val="21"/>
        </w:rPr>
      </w:pPr>
    </w:p>
    <w:p w14:paraId="2224D042">
      <w:pPr>
        <w:spacing w:before="120" w:beforeLines="50" w:line="360" w:lineRule="auto"/>
        <w:jc w:val="left"/>
        <w:rPr>
          <w:rFonts w:ascii="宋体" w:hAnsi="宋体"/>
          <w:szCs w:val="21"/>
          <w:u w:val="single"/>
        </w:rPr>
      </w:pPr>
      <w:r>
        <w:rPr>
          <w:rFonts w:ascii="宋体" w:hAnsi="宋体"/>
          <w:szCs w:val="21"/>
        </w:rPr>
        <w:t>供应商名称(电子签章)：</w:t>
      </w:r>
      <w:r>
        <w:rPr>
          <w:rFonts w:ascii="宋体" w:hAnsi="宋体"/>
          <w:szCs w:val="21"/>
          <w:u w:val="single"/>
        </w:rPr>
        <w:t xml:space="preserve">                              </w:t>
      </w:r>
    </w:p>
    <w:p w14:paraId="79562B0C">
      <w:pPr>
        <w:spacing w:before="120" w:beforeLines="50" w:line="360" w:lineRule="auto"/>
        <w:jc w:val="left"/>
        <w:rPr>
          <w:rFonts w:ascii="宋体" w:hAnsi="宋体"/>
          <w:szCs w:val="21"/>
        </w:rPr>
      </w:pPr>
      <w:r>
        <w:rPr>
          <w:rFonts w:ascii="宋体" w:hAnsi="宋体"/>
          <w:szCs w:val="21"/>
        </w:rPr>
        <w:t>供应商地址：</w:t>
      </w:r>
      <w:r>
        <w:rPr>
          <w:rFonts w:ascii="宋体" w:hAnsi="宋体"/>
          <w:szCs w:val="21"/>
          <w:u w:val="single"/>
        </w:rPr>
        <w:t xml:space="preserve">                                     </w:t>
      </w:r>
    </w:p>
    <w:p w14:paraId="79BE589A">
      <w:pPr>
        <w:spacing w:before="120" w:beforeLines="50" w:line="360" w:lineRule="auto"/>
        <w:jc w:val="left"/>
        <w:rPr>
          <w:rFonts w:ascii="宋体" w:hAnsi="宋体"/>
          <w:szCs w:val="21"/>
          <w:u w:val="single"/>
        </w:rPr>
      </w:pPr>
    </w:p>
    <w:p w14:paraId="165A05DB">
      <w:pPr>
        <w:wordWrap w:val="0"/>
        <w:spacing w:before="120" w:beforeLines="50" w:line="360" w:lineRule="auto"/>
        <w:jc w:val="right"/>
        <w:rPr>
          <w:rFonts w:ascii="宋体" w:hAnsi="宋体"/>
          <w:szCs w:val="21"/>
        </w:rPr>
      </w:pPr>
      <w:r>
        <w:rPr>
          <w:rFonts w:ascii="宋体" w:hAnsi="宋体"/>
          <w:szCs w:val="21"/>
        </w:rPr>
        <w:t>日期：</w:t>
      </w:r>
      <w:r>
        <w:rPr>
          <w:rFonts w:ascii="宋体" w:hAnsi="宋体"/>
          <w:szCs w:val="21"/>
          <w:u w:val="single"/>
        </w:rPr>
        <w:t xml:space="preserve">      </w:t>
      </w:r>
      <w:r>
        <w:rPr>
          <w:rFonts w:ascii="宋体" w:hAnsi="宋体"/>
          <w:szCs w:val="21"/>
        </w:rPr>
        <w:t>年</w:t>
      </w:r>
      <w:r>
        <w:rPr>
          <w:rFonts w:ascii="宋体" w:hAnsi="宋体"/>
          <w:szCs w:val="21"/>
          <w:u w:val="single"/>
        </w:rPr>
        <w:t xml:space="preserve">    </w:t>
      </w:r>
      <w:r>
        <w:rPr>
          <w:rFonts w:ascii="宋体" w:hAnsi="宋体"/>
          <w:szCs w:val="21"/>
        </w:rPr>
        <w:t>月</w:t>
      </w:r>
      <w:r>
        <w:rPr>
          <w:rFonts w:ascii="宋体" w:hAnsi="宋体"/>
          <w:szCs w:val="21"/>
          <w:u w:val="single"/>
        </w:rPr>
        <w:t xml:space="preserve">    </w:t>
      </w:r>
      <w:r>
        <w:rPr>
          <w:rFonts w:ascii="宋体" w:hAnsi="宋体"/>
          <w:szCs w:val="21"/>
        </w:rPr>
        <w:t>日</w:t>
      </w:r>
    </w:p>
    <w:p w14:paraId="169F6A6B">
      <w:pPr>
        <w:spacing w:before="120" w:beforeLines="50"/>
        <w:rPr>
          <w:rFonts w:ascii="宋体" w:hAnsi="宋体"/>
          <w:szCs w:val="21"/>
        </w:rPr>
      </w:pPr>
      <w:r>
        <w:rPr>
          <w:rFonts w:ascii="宋体" w:hAnsi="宋体"/>
          <w:szCs w:val="21"/>
        </w:rPr>
        <w:t>说明：</w:t>
      </w:r>
    </w:p>
    <w:p w14:paraId="7CC245C3">
      <w:pPr>
        <w:spacing w:line="340" w:lineRule="exact"/>
        <w:ind w:firstLine="420" w:firstLineChars="200"/>
        <w:rPr>
          <w:rFonts w:ascii="宋体" w:hAnsi="宋体"/>
          <w:szCs w:val="21"/>
        </w:rPr>
      </w:pPr>
      <w:r>
        <w:rPr>
          <w:rFonts w:ascii="宋体" w:hAnsi="宋体"/>
          <w:szCs w:val="21"/>
        </w:rPr>
        <w:t>（1）为保障资金安全，上述账户不能为私人账户。</w:t>
      </w:r>
    </w:p>
    <w:p w14:paraId="43FB4133">
      <w:pPr>
        <w:spacing w:line="340" w:lineRule="exact"/>
        <w:ind w:firstLine="420" w:firstLineChars="200"/>
        <w:rPr>
          <w:rFonts w:ascii="宋体" w:hAnsi="宋体"/>
          <w:szCs w:val="21"/>
        </w:rPr>
      </w:pPr>
      <w:r>
        <w:rPr>
          <w:rFonts w:ascii="宋体" w:hAnsi="宋体"/>
          <w:szCs w:val="21"/>
        </w:rPr>
        <w:t>（2）如因未按要求缴纳磋商保证金，导致磋商保证金无法退还或丢失等可能产生的一切后果由供应商自行负责。如需要，采购代理机构将按上述所填信息办理代理服务费发票事宜。如所填信息有误导致开票信息错误等可能产生的一切后果由供应商自行负责。</w:t>
      </w:r>
    </w:p>
    <w:p w14:paraId="19012902">
      <w:pPr>
        <w:spacing w:line="340" w:lineRule="exact"/>
        <w:ind w:firstLine="420" w:firstLineChars="200"/>
        <w:rPr>
          <w:rFonts w:ascii="宋体" w:hAnsi="宋体"/>
          <w:szCs w:val="21"/>
        </w:rPr>
      </w:pPr>
      <w:r>
        <w:rPr>
          <w:rFonts w:ascii="宋体" w:hAnsi="宋体"/>
          <w:szCs w:val="21"/>
        </w:rPr>
        <w:t>（3）如供应商未及时收到退回款项，请与广西机电设备招标有限公司财务部联系。广西机电设备招标有限公司财务部联系方式：联系人：吴茜；电话：0771-2821398；传真：0771-2843545。</w:t>
      </w:r>
    </w:p>
    <w:p w14:paraId="5C8EDF48">
      <w:pPr>
        <w:snapToGrid w:val="0"/>
        <w:spacing w:before="50" w:after="120" w:afterLines="50"/>
        <w:jc w:val="left"/>
        <w:rPr>
          <w:rFonts w:ascii="宋体" w:hAnsi="宋体"/>
          <w:bCs/>
          <w:sz w:val="24"/>
        </w:rPr>
      </w:pPr>
      <w:r>
        <w:rPr>
          <w:rFonts w:ascii="宋体" w:hAnsi="宋体"/>
          <w:szCs w:val="21"/>
        </w:rPr>
        <w:br w:type="page"/>
      </w:r>
    </w:p>
    <w:p w14:paraId="7018B7C7">
      <w:pPr>
        <w:snapToGrid w:val="0"/>
        <w:spacing w:before="120" w:beforeLines="50" w:after="50" w:line="440" w:lineRule="exact"/>
        <w:jc w:val="center"/>
        <w:outlineLvl w:val="1"/>
        <w:rPr>
          <w:rFonts w:ascii="宋体" w:hAnsi="宋体"/>
          <w:bCs/>
          <w:sz w:val="24"/>
        </w:rPr>
      </w:pPr>
      <w:r>
        <w:rPr>
          <w:rFonts w:ascii="宋体" w:hAnsi="宋体"/>
          <w:bCs/>
          <w:sz w:val="24"/>
        </w:rPr>
        <w:t>第三部分 报价文件</w:t>
      </w:r>
    </w:p>
    <w:p w14:paraId="7F4F3956">
      <w:pPr>
        <w:jc w:val="center"/>
        <w:rPr>
          <w:rFonts w:ascii="宋体" w:hAnsi="宋体"/>
          <w:b/>
          <w:bCs/>
          <w:szCs w:val="21"/>
        </w:rPr>
      </w:pPr>
    </w:p>
    <w:p w14:paraId="1D5795C0">
      <w:pPr>
        <w:rPr>
          <w:rFonts w:ascii="宋体" w:hAnsi="宋体"/>
          <w:b/>
          <w:szCs w:val="21"/>
        </w:rPr>
      </w:pPr>
      <w:r>
        <w:rPr>
          <w:rFonts w:ascii="宋体" w:hAnsi="宋体"/>
          <w:b/>
          <w:szCs w:val="21"/>
        </w:rPr>
        <w:t>1．响应函格式：</w:t>
      </w:r>
    </w:p>
    <w:p w14:paraId="4418A3D1">
      <w:pPr>
        <w:rPr>
          <w:rFonts w:ascii="宋体" w:hAnsi="宋体"/>
          <w:b/>
          <w:szCs w:val="21"/>
        </w:rPr>
      </w:pPr>
    </w:p>
    <w:p w14:paraId="00516431">
      <w:pPr>
        <w:jc w:val="center"/>
        <w:rPr>
          <w:rFonts w:ascii="宋体" w:hAnsi="宋体"/>
          <w:b/>
          <w:szCs w:val="21"/>
        </w:rPr>
      </w:pPr>
      <w:r>
        <w:rPr>
          <w:rFonts w:ascii="宋体" w:hAnsi="宋体"/>
          <w:b/>
          <w:szCs w:val="21"/>
        </w:rPr>
        <w:t>响 应 函</w:t>
      </w:r>
    </w:p>
    <w:p w14:paraId="4D7D686B">
      <w:pPr>
        <w:rPr>
          <w:rFonts w:ascii="宋体" w:hAnsi="宋体"/>
          <w:b/>
          <w:szCs w:val="21"/>
        </w:rPr>
      </w:pPr>
    </w:p>
    <w:p w14:paraId="5F1BA8B0">
      <w:pPr>
        <w:spacing w:line="360" w:lineRule="auto"/>
        <w:rPr>
          <w:rFonts w:ascii="宋体" w:hAnsi="宋体"/>
          <w:szCs w:val="21"/>
        </w:rPr>
      </w:pPr>
      <w:bookmarkStart w:id="105" w:name="_Hlk19110643"/>
      <w:r>
        <w:rPr>
          <w:rFonts w:ascii="宋体" w:hAnsi="宋体"/>
          <w:szCs w:val="21"/>
        </w:rPr>
        <w:t>致：_</w:t>
      </w:r>
      <w:r>
        <w:rPr>
          <w:rFonts w:ascii="宋体" w:hAnsi="宋体"/>
          <w:i/>
          <w:iCs/>
          <w:szCs w:val="21"/>
          <w:u w:val="single"/>
        </w:rPr>
        <w:t>（采购人名称）</w:t>
      </w:r>
      <w:r>
        <w:rPr>
          <w:rFonts w:ascii="宋体" w:hAnsi="宋体"/>
          <w:i/>
          <w:iCs/>
          <w:szCs w:val="21"/>
        </w:rPr>
        <w:t>_</w:t>
      </w:r>
    </w:p>
    <w:p w14:paraId="43234BAB">
      <w:pPr>
        <w:spacing w:line="360" w:lineRule="auto"/>
        <w:ind w:firstLine="420" w:firstLineChars="200"/>
        <w:rPr>
          <w:rFonts w:ascii="宋体" w:hAnsi="宋体"/>
          <w:szCs w:val="21"/>
        </w:rPr>
      </w:pPr>
      <w:r>
        <w:rPr>
          <w:rFonts w:ascii="宋体" w:hAnsi="宋体"/>
          <w:szCs w:val="21"/>
        </w:rPr>
        <w:t>我方已仔细研究了</w:t>
      </w:r>
      <w:r>
        <w:rPr>
          <w:rFonts w:ascii="宋体" w:hAnsi="宋体"/>
          <w:i/>
          <w:iCs/>
          <w:szCs w:val="21"/>
          <w:u w:val="single"/>
        </w:rPr>
        <w:t>（项目名称）</w:t>
      </w:r>
      <w:r>
        <w:rPr>
          <w:rFonts w:ascii="宋体" w:hAnsi="宋体"/>
          <w:szCs w:val="21"/>
        </w:rPr>
        <w:t>的采购文件的全部内容，签字代表</w:t>
      </w:r>
      <w:r>
        <w:rPr>
          <w:rFonts w:ascii="宋体" w:hAnsi="宋体"/>
          <w:i/>
          <w:iCs/>
          <w:szCs w:val="21"/>
          <w:u w:val="single"/>
        </w:rPr>
        <w:t>（授权代表姓名）</w:t>
      </w:r>
      <w:r>
        <w:rPr>
          <w:rFonts w:ascii="宋体" w:hAnsi="宋体"/>
          <w:szCs w:val="21"/>
        </w:rPr>
        <w:t>经正式授权并代表供应商</w:t>
      </w:r>
      <w:r>
        <w:rPr>
          <w:rFonts w:ascii="宋体" w:hAnsi="宋体"/>
          <w:szCs w:val="21"/>
          <w:u w:val="single"/>
        </w:rPr>
        <w:t xml:space="preserve"> </w:t>
      </w:r>
      <w:r>
        <w:rPr>
          <w:rFonts w:ascii="宋体" w:hAnsi="宋体"/>
          <w:i/>
          <w:iCs/>
          <w:szCs w:val="21"/>
          <w:u w:val="single"/>
        </w:rPr>
        <w:t xml:space="preserve">（供应商名称） </w:t>
      </w:r>
      <w:r>
        <w:rPr>
          <w:rFonts w:ascii="宋体" w:hAnsi="宋体"/>
          <w:szCs w:val="21"/>
        </w:rPr>
        <w:t>提交响应文件。</w:t>
      </w:r>
    </w:p>
    <w:bookmarkEnd w:id="105"/>
    <w:p w14:paraId="3C1AAFE5">
      <w:pPr>
        <w:spacing w:line="360" w:lineRule="auto"/>
        <w:ind w:firstLine="420" w:firstLineChars="200"/>
        <w:rPr>
          <w:rFonts w:ascii="宋体" w:hAnsi="宋体"/>
          <w:szCs w:val="21"/>
        </w:rPr>
      </w:pPr>
      <w:r>
        <w:rPr>
          <w:rFonts w:ascii="宋体" w:hAnsi="宋体"/>
          <w:szCs w:val="21"/>
        </w:rPr>
        <w:t>据此函，签字代表宣布同意如下：</w:t>
      </w:r>
    </w:p>
    <w:p w14:paraId="66DAB6AF">
      <w:pPr>
        <w:spacing w:line="360" w:lineRule="auto"/>
        <w:rPr>
          <w:rFonts w:ascii="宋体" w:hAnsi="宋体"/>
          <w:szCs w:val="21"/>
        </w:rPr>
      </w:pPr>
      <w:r>
        <w:rPr>
          <w:rFonts w:ascii="宋体" w:hAnsi="宋体"/>
          <w:szCs w:val="21"/>
        </w:rPr>
        <w:t>（1）供应商已详细审查全部“采购文件”，包括修改文件（如有的话）以及全部参考资料和有关附件，已经了解我方对于采购文件、采购过程、采购结果有依法进行询问、质疑、投诉的权利及相关渠道和要求。</w:t>
      </w:r>
    </w:p>
    <w:p w14:paraId="6F9F5740">
      <w:pPr>
        <w:spacing w:line="360" w:lineRule="auto"/>
        <w:rPr>
          <w:rFonts w:ascii="宋体" w:hAnsi="宋体"/>
          <w:szCs w:val="21"/>
        </w:rPr>
      </w:pPr>
      <w:r>
        <w:rPr>
          <w:rFonts w:ascii="宋体" w:hAnsi="宋体"/>
          <w:szCs w:val="21"/>
        </w:rPr>
        <w:t>（2）供应商在响应之前已经与贵方进行了充分的沟通，完全理解并接受采购文件的各项规定和要求，对采购文件的合理性、合法性不再有异议。</w:t>
      </w:r>
    </w:p>
    <w:p w14:paraId="4EE31FDF">
      <w:pPr>
        <w:spacing w:line="360" w:lineRule="auto"/>
        <w:rPr>
          <w:rFonts w:ascii="宋体" w:hAnsi="宋体"/>
          <w:szCs w:val="21"/>
        </w:rPr>
      </w:pPr>
      <w:r>
        <w:rPr>
          <w:rFonts w:ascii="宋体" w:hAnsi="宋体"/>
          <w:szCs w:val="21"/>
        </w:rPr>
        <w:t>（3）本响应有效期自响应文件递交截止之日起</w:t>
      </w:r>
      <w:r>
        <w:rPr>
          <w:rFonts w:ascii="宋体" w:hAnsi="宋体"/>
          <w:szCs w:val="21"/>
          <w:u w:val="single"/>
        </w:rPr>
        <w:t xml:space="preserve">     </w:t>
      </w:r>
      <w:r>
        <w:rPr>
          <w:rFonts w:ascii="宋体" w:hAnsi="宋体"/>
          <w:szCs w:val="21"/>
        </w:rPr>
        <w:t>天。</w:t>
      </w:r>
    </w:p>
    <w:p w14:paraId="7A4A7DF5">
      <w:pPr>
        <w:spacing w:line="360" w:lineRule="auto"/>
        <w:rPr>
          <w:rFonts w:ascii="宋体" w:hAnsi="宋体"/>
          <w:szCs w:val="21"/>
        </w:rPr>
      </w:pPr>
      <w:r>
        <w:rPr>
          <w:rFonts w:ascii="宋体" w:hAnsi="宋体"/>
          <w:szCs w:val="21"/>
        </w:rPr>
        <w:t>（4）如成交，本响应文件至本项目合同履行完毕止均保持有效，本供应商将按“采购文件”及政府采购法律、法规的规定履行合同责任和义务，并承诺不分包及转包他人。</w:t>
      </w:r>
    </w:p>
    <w:p w14:paraId="16CF18F1">
      <w:pPr>
        <w:spacing w:line="360" w:lineRule="auto"/>
        <w:rPr>
          <w:rFonts w:ascii="宋体" w:hAnsi="宋体"/>
          <w:szCs w:val="21"/>
        </w:rPr>
      </w:pPr>
      <w:r>
        <w:rPr>
          <w:rFonts w:ascii="宋体" w:hAnsi="宋体"/>
          <w:szCs w:val="21"/>
        </w:rPr>
        <w:t>（5）供应商同意按照贵方要求提供与响应有关的一切数据或资料。</w:t>
      </w:r>
    </w:p>
    <w:p w14:paraId="21FC8F9F">
      <w:pPr>
        <w:spacing w:line="360" w:lineRule="auto"/>
        <w:rPr>
          <w:rFonts w:ascii="宋体" w:hAnsi="宋体"/>
          <w:szCs w:val="21"/>
        </w:rPr>
      </w:pPr>
      <w:r>
        <w:rPr>
          <w:rFonts w:ascii="宋体" w:hAnsi="宋体"/>
          <w:szCs w:val="21"/>
        </w:rPr>
        <w:t>（6）与本项目有关的一切正式往来信函请寄：</w:t>
      </w:r>
    </w:p>
    <w:p w14:paraId="711E97D5">
      <w:pPr>
        <w:spacing w:line="360" w:lineRule="auto"/>
        <w:rPr>
          <w:rFonts w:ascii="宋体" w:hAnsi="宋体"/>
          <w:szCs w:val="21"/>
        </w:rPr>
      </w:pPr>
      <w:r>
        <w:rPr>
          <w:rFonts w:ascii="宋体" w:hAnsi="宋体"/>
          <w:szCs w:val="21"/>
        </w:rPr>
        <w:t>地址：</w:t>
      </w:r>
      <w:r>
        <w:rPr>
          <w:rFonts w:ascii="宋体" w:hAnsi="宋体"/>
          <w:szCs w:val="21"/>
          <w:u w:val="single"/>
        </w:rPr>
        <w:t xml:space="preserve">                      </w:t>
      </w:r>
      <w:r>
        <w:rPr>
          <w:rFonts w:ascii="宋体" w:hAnsi="宋体"/>
          <w:szCs w:val="21"/>
        </w:rPr>
        <w:t>邮编：</w:t>
      </w:r>
      <w:r>
        <w:rPr>
          <w:rFonts w:ascii="宋体" w:hAnsi="宋体"/>
          <w:szCs w:val="21"/>
          <w:u w:val="single"/>
        </w:rPr>
        <w:t xml:space="preserve">         </w:t>
      </w:r>
      <w:r>
        <w:rPr>
          <w:rFonts w:ascii="宋体" w:hAnsi="宋体"/>
          <w:szCs w:val="21"/>
        </w:rPr>
        <w:t xml:space="preserve">  电话：</w:t>
      </w:r>
      <w:r>
        <w:rPr>
          <w:rFonts w:ascii="宋体" w:hAnsi="宋体"/>
          <w:szCs w:val="21"/>
          <w:u w:val="single"/>
        </w:rPr>
        <w:t xml:space="preserve">            </w:t>
      </w:r>
    </w:p>
    <w:p w14:paraId="3DB3B4C0">
      <w:pPr>
        <w:spacing w:line="360" w:lineRule="auto"/>
        <w:rPr>
          <w:rFonts w:ascii="宋体" w:hAnsi="宋体"/>
          <w:szCs w:val="21"/>
        </w:rPr>
      </w:pPr>
      <w:r>
        <w:rPr>
          <w:rFonts w:ascii="宋体" w:hAnsi="宋体"/>
          <w:szCs w:val="21"/>
        </w:rPr>
        <w:t>传真：</w:t>
      </w:r>
      <w:r>
        <w:rPr>
          <w:rFonts w:ascii="宋体" w:hAnsi="宋体"/>
          <w:szCs w:val="21"/>
          <w:u w:val="single"/>
        </w:rPr>
        <w:t xml:space="preserve">           </w:t>
      </w:r>
      <w:r>
        <w:rPr>
          <w:rFonts w:ascii="宋体" w:hAnsi="宋体"/>
          <w:szCs w:val="21"/>
        </w:rPr>
        <w:t xml:space="preserve"> </w:t>
      </w:r>
    </w:p>
    <w:p w14:paraId="3229F2A8">
      <w:pPr>
        <w:spacing w:line="360" w:lineRule="auto"/>
        <w:rPr>
          <w:rFonts w:ascii="宋体" w:hAnsi="宋体"/>
          <w:szCs w:val="21"/>
        </w:rPr>
      </w:pPr>
      <w:r>
        <w:rPr>
          <w:rFonts w:ascii="宋体" w:hAnsi="宋体"/>
          <w:szCs w:val="21"/>
        </w:rPr>
        <w:t>供应商代表姓名</w:t>
      </w:r>
      <w:r>
        <w:rPr>
          <w:rFonts w:ascii="宋体" w:hAnsi="宋体"/>
          <w:szCs w:val="21"/>
          <w:u w:val="single"/>
        </w:rPr>
        <w:t xml:space="preserve">         </w:t>
      </w:r>
      <w:r>
        <w:rPr>
          <w:rFonts w:ascii="宋体" w:hAnsi="宋体"/>
          <w:szCs w:val="21"/>
        </w:rPr>
        <w:t xml:space="preserve">  职务：</w:t>
      </w:r>
      <w:r>
        <w:rPr>
          <w:rFonts w:ascii="宋体" w:hAnsi="宋体"/>
          <w:szCs w:val="21"/>
          <w:u w:val="single"/>
        </w:rPr>
        <w:t xml:space="preserve">             </w:t>
      </w:r>
      <w:r>
        <w:rPr>
          <w:rFonts w:ascii="宋体" w:hAnsi="宋体"/>
          <w:szCs w:val="21"/>
        </w:rPr>
        <w:t>邮箱：</w:t>
      </w:r>
      <w:r>
        <w:rPr>
          <w:rFonts w:ascii="宋体" w:hAnsi="宋体"/>
          <w:szCs w:val="21"/>
          <w:u w:val="single"/>
        </w:rPr>
        <w:t xml:space="preserve">              </w:t>
      </w:r>
    </w:p>
    <w:p w14:paraId="0E4EE6C2">
      <w:pPr>
        <w:spacing w:line="360" w:lineRule="auto"/>
        <w:rPr>
          <w:rFonts w:ascii="宋体" w:hAnsi="宋体"/>
          <w:szCs w:val="21"/>
        </w:rPr>
      </w:pPr>
    </w:p>
    <w:p w14:paraId="03F75E26">
      <w:pPr>
        <w:spacing w:line="360" w:lineRule="auto"/>
        <w:rPr>
          <w:rFonts w:ascii="宋体" w:hAnsi="宋体"/>
          <w:szCs w:val="21"/>
        </w:rPr>
      </w:pPr>
    </w:p>
    <w:p w14:paraId="43E377B9">
      <w:pPr>
        <w:spacing w:line="360" w:lineRule="auto"/>
        <w:rPr>
          <w:rFonts w:ascii="宋体" w:hAnsi="宋体"/>
          <w:szCs w:val="21"/>
          <w:u w:val="single"/>
        </w:rPr>
      </w:pPr>
      <w:r>
        <w:rPr>
          <w:rFonts w:ascii="宋体" w:hAnsi="宋体"/>
          <w:szCs w:val="21"/>
        </w:rPr>
        <w:t>供应商名称(电子签章)：：</w:t>
      </w:r>
      <w:r>
        <w:rPr>
          <w:rFonts w:ascii="宋体" w:hAnsi="宋体"/>
          <w:szCs w:val="21"/>
          <w:u w:val="single"/>
        </w:rPr>
        <w:t xml:space="preserve">                  </w:t>
      </w:r>
    </w:p>
    <w:p w14:paraId="0874DC96">
      <w:pPr>
        <w:spacing w:line="360" w:lineRule="auto"/>
        <w:rPr>
          <w:rFonts w:ascii="宋体" w:hAnsi="宋体"/>
          <w:szCs w:val="21"/>
        </w:rPr>
      </w:pPr>
    </w:p>
    <w:p w14:paraId="063F1AF2">
      <w:pPr>
        <w:spacing w:line="360" w:lineRule="auto"/>
        <w:rPr>
          <w:rFonts w:ascii="宋体" w:hAnsi="宋体"/>
          <w:szCs w:val="21"/>
        </w:rPr>
      </w:pPr>
    </w:p>
    <w:p w14:paraId="3DF96F16">
      <w:pPr>
        <w:spacing w:line="360" w:lineRule="auto"/>
        <w:rPr>
          <w:rFonts w:ascii="宋体" w:hAnsi="宋体"/>
          <w:szCs w:val="21"/>
        </w:rPr>
      </w:pPr>
      <w:r>
        <w:rPr>
          <w:rFonts w:ascii="宋体" w:hAnsi="宋体"/>
          <w:szCs w:val="21"/>
        </w:rPr>
        <w:t>日期：</w:t>
      </w:r>
      <w:r>
        <w:rPr>
          <w:rFonts w:ascii="宋体" w:hAnsi="宋体"/>
          <w:szCs w:val="21"/>
          <w:u w:val="single"/>
        </w:rPr>
        <w:t xml:space="preserve">      </w:t>
      </w:r>
      <w:r>
        <w:rPr>
          <w:rFonts w:ascii="宋体" w:hAnsi="宋体"/>
          <w:szCs w:val="21"/>
        </w:rPr>
        <w:t>年</w:t>
      </w:r>
      <w:r>
        <w:rPr>
          <w:rFonts w:ascii="宋体" w:hAnsi="宋体"/>
          <w:szCs w:val="21"/>
          <w:u w:val="single"/>
        </w:rPr>
        <w:t xml:space="preserve">    </w:t>
      </w:r>
      <w:r>
        <w:rPr>
          <w:rFonts w:ascii="宋体" w:hAnsi="宋体"/>
          <w:szCs w:val="21"/>
        </w:rPr>
        <w:t>月</w:t>
      </w:r>
      <w:r>
        <w:rPr>
          <w:rFonts w:ascii="宋体" w:hAnsi="宋体"/>
          <w:szCs w:val="21"/>
          <w:u w:val="single"/>
        </w:rPr>
        <w:t xml:space="preserve">   </w:t>
      </w:r>
      <w:r>
        <w:rPr>
          <w:rFonts w:ascii="宋体" w:hAnsi="宋体"/>
          <w:szCs w:val="21"/>
        </w:rPr>
        <w:t>日</w:t>
      </w:r>
    </w:p>
    <w:p w14:paraId="2527692C">
      <w:pPr>
        <w:rPr>
          <w:rFonts w:ascii="宋体" w:hAnsi="宋体"/>
          <w:b/>
          <w:szCs w:val="21"/>
        </w:rPr>
      </w:pPr>
      <w:r>
        <w:rPr>
          <w:rFonts w:ascii="宋体" w:hAnsi="宋体"/>
          <w:b/>
          <w:szCs w:val="21"/>
        </w:rPr>
        <w:br w:type="page"/>
      </w:r>
      <w:r>
        <w:rPr>
          <w:rFonts w:ascii="宋体" w:hAnsi="宋体"/>
          <w:b/>
          <w:szCs w:val="21"/>
        </w:rPr>
        <w:t>2．响应报价明细表格式：</w:t>
      </w:r>
    </w:p>
    <w:p w14:paraId="73FA9014">
      <w:pPr>
        <w:jc w:val="center"/>
        <w:rPr>
          <w:rFonts w:ascii="宋体" w:hAnsi="宋体"/>
          <w:b/>
          <w:szCs w:val="21"/>
        </w:rPr>
      </w:pPr>
      <w:r>
        <w:rPr>
          <w:rFonts w:ascii="宋体" w:hAnsi="宋体"/>
          <w:b/>
          <w:szCs w:val="21"/>
        </w:rPr>
        <w:t>响应报价明细表</w:t>
      </w:r>
    </w:p>
    <w:p w14:paraId="6E7639F6">
      <w:pPr>
        <w:ind w:firstLine="2415" w:firstLineChars="1150"/>
        <w:rPr>
          <w:rFonts w:ascii="宋体" w:hAnsi="宋体"/>
          <w:szCs w:val="21"/>
        </w:rPr>
      </w:pPr>
      <w:r>
        <w:rPr>
          <w:rFonts w:ascii="宋体" w:hAnsi="宋体"/>
          <w:szCs w:val="21"/>
        </w:rPr>
        <w:t xml:space="preserve">                            金额单位：人民币（元）</w:t>
      </w:r>
    </w:p>
    <w:tbl>
      <w:tblPr>
        <w:tblStyle w:val="51"/>
        <w:tblW w:w="8831"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67"/>
        <w:gridCol w:w="1135"/>
        <w:gridCol w:w="906"/>
        <w:gridCol w:w="1783"/>
        <w:gridCol w:w="812"/>
        <w:gridCol w:w="3628"/>
      </w:tblGrid>
      <w:tr w14:paraId="0896C0A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83" w:hRule="exact"/>
          <w:jc w:val="center"/>
        </w:trPr>
        <w:tc>
          <w:tcPr>
            <w:tcW w:w="567" w:type="dxa"/>
            <w:tcBorders>
              <w:top w:val="single" w:color="auto" w:sz="4" w:space="0"/>
              <w:left w:val="single" w:color="auto" w:sz="4" w:space="0"/>
              <w:bottom w:val="single" w:color="auto" w:sz="4" w:space="0"/>
              <w:right w:val="single" w:color="auto" w:sz="4" w:space="0"/>
            </w:tcBorders>
            <w:vAlign w:val="center"/>
          </w:tcPr>
          <w:p w14:paraId="489A8562">
            <w:pPr>
              <w:jc w:val="center"/>
              <w:rPr>
                <w:rFonts w:ascii="宋体" w:hAnsi="宋体"/>
                <w:spacing w:val="20"/>
                <w:szCs w:val="21"/>
              </w:rPr>
            </w:pPr>
            <w:r>
              <w:rPr>
                <w:rFonts w:ascii="宋体" w:hAnsi="宋体"/>
                <w:szCs w:val="21"/>
              </w:rPr>
              <w:t>序号</w:t>
            </w:r>
          </w:p>
        </w:tc>
        <w:tc>
          <w:tcPr>
            <w:tcW w:w="1135" w:type="dxa"/>
            <w:tcBorders>
              <w:top w:val="single" w:color="auto" w:sz="4" w:space="0"/>
              <w:left w:val="single" w:color="auto" w:sz="4" w:space="0"/>
              <w:bottom w:val="single" w:color="auto" w:sz="4" w:space="0"/>
              <w:right w:val="single" w:color="auto" w:sz="4" w:space="0"/>
            </w:tcBorders>
            <w:vAlign w:val="center"/>
          </w:tcPr>
          <w:p w14:paraId="6AFBD38B">
            <w:pPr>
              <w:jc w:val="center"/>
              <w:rPr>
                <w:rFonts w:ascii="宋体" w:hAnsi="宋体"/>
                <w:szCs w:val="21"/>
              </w:rPr>
            </w:pPr>
            <w:r>
              <w:rPr>
                <w:rFonts w:ascii="宋体" w:hAnsi="宋体"/>
                <w:szCs w:val="21"/>
              </w:rPr>
              <w:t>服务名称</w:t>
            </w:r>
          </w:p>
        </w:tc>
        <w:tc>
          <w:tcPr>
            <w:tcW w:w="906" w:type="dxa"/>
            <w:tcBorders>
              <w:top w:val="single" w:color="auto" w:sz="4" w:space="0"/>
              <w:left w:val="single" w:color="auto" w:sz="4" w:space="0"/>
              <w:bottom w:val="single" w:color="auto" w:sz="4" w:space="0"/>
              <w:right w:val="single" w:color="auto" w:sz="4" w:space="0"/>
            </w:tcBorders>
            <w:vAlign w:val="center"/>
          </w:tcPr>
          <w:p w14:paraId="59EF7E9F">
            <w:pPr>
              <w:jc w:val="center"/>
              <w:rPr>
                <w:rFonts w:ascii="宋体" w:hAnsi="宋体"/>
                <w:szCs w:val="21"/>
              </w:rPr>
            </w:pPr>
            <w:r>
              <w:rPr>
                <w:rFonts w:ascii="宋体" w:hAnsi="宋体"/>
                <w:szCs w:val="21"/>
              </w:rPr>
              <w:t>服务商</w:t>
            </w:r>
          </w:p>
        </w:tc>
        <w:tc>
          <w:tcPr>
            <w:tcW w:w="1783" w:type="dxa"/>
            <w:tcBorders>
              <w:top w:val="single" w:color="auto" w:sz="4" w:space="0"/>
              <w:left w:val="single" w:color="auto" w:sz="4" w:space="0"/>
              <w:bottom w:val="single" w:color="auto" w:sz="4" w:space="0"/>
              <w:right w:val="single" w:color="auto" w:sz="4" w:space="0"/>
            </w:tcBorders>
            <w:vAlign w:val="center"/>
          </w:tcPr>
          <w:p w14:paraId="53D96ECE">
            <w:pPr>
              <w:jc w:val="center"/>
              <w:rPr>
                <w:rFonts w:ascii="宋体" w:hAnsi="宋体"/>
                <w:szCs w:val="21"/>
              </w:rPr>
            </w:pPr>
            <w:r>
              <w:rPr>
                <w:rFonts w:ascii="宋体" w:hAnsi="宋体"/>
                <w:szCs w:val="21"/>
              </w:rPr>
              <w:t>单位及数量</w:t>
            </w:r>
          </w:p>
        </w:tc>
        <w:tc>
          <w:tcPr>
            <w:tcW w:w="812" w:type="dxa"/>
            <w:tcBorders>
              <w:top w:val="single" w:color="auto" w:sz="4" w:space="0"/>
              <w:left w:val="single" w:color="auto" w:sz="4" w:space="0"/>
              <w:bottom w:val="single" w:color="auto" w:sz="4" w:space="0"/>
              <w:right w:val="single" w:color="auto" w:sz="4" w:space="0"/>
            </w:tcBorders>
            <w:vAlign w:val="center"/>
          </w:tcPr>
          <w:p w14:paraId="577CB4E5">
            <w:pPr>
              <w:jc w:val="center"/>
              <w:rPr>
                <w:rFonts w:ascii="宋体" w:hAnsi="宋体"/>
                <w:szCs w:val="21"/>
              </w:rPr>
            </w:pPr>
            <w:r>
              <w:rPr>
                <w:rFonts w:ascii="宋体" w:hAnsi="宋体"/>
                <w:szCs w:val="21"/>
              </w:rPr>
              <w:t>单价</w:t>
            </w:r>
          </w:p>
        </w:tc>
        <w:tc>
          <w:tcPr>
            <w:tcW w:w="3628" w:type="dxa"/>
            <w:tcBorders>
              <w:top w:val="single" w:color="auto" w:sz="4" w:space="0"/>
              <w:left w:val="single" w:color="auto" w:sz="4" w:space="0"/>
              <w:bottom w:val="single" w:color="auto" w:sz="4" w:space="0"/>
              <w:right w:val="single" w:color="auto" w:sz="4" w:space="0"/>
            </w:tcBorders>
            <w:vAlign w:val="center"/>
          </w:tcPr>
          <w:p w14:paraId="663489C9">
            <w:pPr>
              <w:jc w:val="center"/>
              <w:rPr>
                <w:rFonts w:ascii="宋体" w:hAnsi="宋体"/>
                <w:szCs w:val="21"/>
              </w:rPr>
            </w:pPr>
            <w:r>
              <w:rPr>
                <w:rFonts w:ascii="宋体" w:hAnsi="宋体"/>
                <w:szCs w:val="21"/>
              </w:rPr>
              <w:t>合计</w:t>
            </w:r>
          </w:p>
        </w:tc>
      </w:tr>
      <w:tr w14:paraId="1628A29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83" w:hRule="exact"/>
          <w:jc w:val="center"/>
        </w:trPr>
        <w:tc>
          <w:tcPr>
            <w:tcW w:w="567" w:type="dxa"/>
            <w:tcBorders>
              <w:top w:val="single" w:color="auto" w:sz="4" w:space="0"/>
              <w:left w:val="single" w:color="auto" w:sz="4" w:space="0"/>
              <w:bottom w:val="single" w:color="auto" w:sz="4" w:space="0"/>
              <w:right w:val="single" w:color="auto" w:sz="4" w:space="0"/>
            </w:tcBorders>
            <w:vAlign w:val="center"/>
          </w:tcPr>
          <w:p w14:paraId="1A68CDD0">
            <w:pPr>
              <w:jc w:val="center"/>
              <w:rPr>
                <w:rFonts w:ascii="宋体" w:hAnsi="宋体"/>
                <w:spacing w:val="20"/>
                <w:szCs w:val="21"/>
              </w:rPr>
            </w:pPr>
          </w:p>
        </w:tc>
        <w:tc>
          <w:tcPr>
            <w:tcW w:w="1135" w:type="dxa"/>
            <w:tcBorders>
              <w:top w:val="single" w:color="auto" w:sz="4" w:space="0"/>
              <w:left w:val="single" w:color="auto" w:sz="4" w:space="0"/>
              <w:bottom w:val="single" w:color="auto" w:sz="4" w:space="0"/>
              <w:right w:val="single" w:color="auto" w:sz="4" w:space="0"/>
            </w:tcBorders>
            <w:vAlign w:val="center"/>
          </w:tcPr>
          <w:p w14:paraId="41AC5890">
            <w:pPr>
              <w:jc w:val="center"/>
              <w:rPr>
                <w:rFonts w:hint="eastAsia" w:ascii="宋体" w:hAnsi="宋体"/>
                <w:spacing w:val="20"/>
                <w:szCs w:val="21"/>
              </w:rPr>
            </w:pPr>
            <w:r>
              <w:rPr>
                <w:rFonts w:ascii="宋体" w:hAnsi="宋体"/>
                <w:bCs/>
                <w:szCs w:val="21"/>
              </w:rPr>
              <w:t>车辆租赁</w:t>
            </w:r>
            <w:r>
              <w:rPr>
                <w:rFonts w:hint="eastAsia" w:ascii="宋体" w:hAnsi="宋体"/>
                <w:bCs/>
                <w:szCs w:val="21"/>
              </w:rPr>
              <w:t>费</w:t>
            </w:r>
          </w:p>
        </w:tc>
        <w:tc>
          <w:tcPr>
            <w:tcW w:w="906" w:type="dxa"/>
            <w:tcBorders>
              <w:top w:val="single" w:color="auto" w:sz="4" w:space="0"/>
              <w:left w:val="single" w:color="auto" w:sz="4" w:space="0"/>
              <w:bottom w:val="single" w:color="auto" w:sz="4" w:space="0"/>
              <w:right w:val="single" w:color="auto" w:sz="4" w:space="0"/>
            </w:tcBorders>
            <w:vAlign w:val="center"/>
          </w:tcPr>
          <w:p w14:paraId="0BCE6867">
            <w:pPr>
              <w:jc w:val="center"/>
              <w:rPr>
                <w:rFonts w:ascii="宋体" w:hAnsi="宋体"/>
                <w:spacing w:val="20"/>
                <w:szCs w:val="21"/>
              </w:rPr>
            </w:pPr>
          </w:p>
        </w:tc>
        <w:tc>
          <w:tcPr>
            <w:tcW w:w="1783" w:type="dxa"/>
            <w:tcBorders>
              <w:top w:val="single" w:color="auto" w:sz="4" w:space="0"/>
              <w:left w:val="single" w:color="auto" w:sz="4" w:space="0"/>
              <w:bottom w:val="single" w:color="auto" w:sz="4" w:space="0"/>
              <w:right w:val="single" w:color="auto" w:sz="4" w:space="0"/>
            </w:tcBorders>
            <w:vAlign w:val="center"/>
          </w:tcPr>
          <w:p w14:paraId="0887F3F7">
            <w:pPr>
              <w:jc w:val="center"/>
              <w:rPr>
                <w:rFonts w:ascii="宋体" w:hAnsi="宋体"/>
                <w:spacing w:val="20"/>
                <w:szCs w:val="21"/>
              </w:rPr>
            </w:pPr>
          </w:p>
        </w:tc>
        <w:tc>
          <w:tcPr>
            <w:tcW w:w="812" w:type="dxa"/>
            <w:tcBorders>
              <w:top w:val="single" w:color="auto" w:sz="4" w:space="0"/>
              <w:left w:val="single" w:color="auto" w:sz="4" w:space="0"/>
              <w:bottom w:val="single" w:color="auto" w:sz="4" w:space="0"/>
              <w:right w:val="single" w:color="auto" w:sz="4" w:space="0"/>
            </w:tcBorders>
            <w:vAlign w:val="center"/>
          </w:tcPr>
          <w:p w14:paraId="62A6F537">
            <w:pPr>
              <w:jc w:val="center"/>
              <w:rPr>
                <w:rFonts w:ascii="宋体" w:hAnsi="宋体"/>
                <w:spacing w:val="20"/>
                <w:szCs w:val="21"/>
              </w:rPr>
            </w:pPr>
          </w:p>
        </w:tc>
        <w:tc>
          <w:tcPr>
            <w:tcW w:w="3628" w:type="dxa"/>
            <w:tcBorders>
              <w:top w:val="single" w:color="auto" w:sz="4" w:space="0"/>
              <w:left w:val="single" w:color="auto" w:sz="4" w:space="0"/>
              <w:bottom w:val="single" w:color="auto" w:sz="4" w:space="0"/>
              <w:right w:val="single" w:color="auto" w:sz="4" w:space="0"/>
            </w:tcBorders>
            <w:vAlign w:val="center"/>
          </w:tcPr>
          <w:p w14:paraId="3A1A1872">
            <w:pPr>
              <w:jc w:val="center"/>
              <w:rPr>
                <w:rFonts w:ascii="宋体" w:hAnsi="宋体"/>
                <w:spacing w:val="20"/>
                <w:szCs w:val="21"/>
              </w:rPr>
            </w:pPr>
          </w:p>
        </w:tc>
      </w:tr>
      <w:tr w14:paraId="1297138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83" w:hRule="exact"/>
          <w:jc w:val="center"/>
        </w:trPr>
        <w:tc>
          <w:tcPr>
            <w:tcW w:w="567" w:type="dxa"/>
            <w:tcBorders>
              <w:top w:val="single" w:color="auto" w:sz="4" w:space="0"/>
              <w:left w:val="single" w:color="auto" w:sz="4" w:space="0"/>
              <w:bottom w:val="single" w:color="auto" w:sz="4" w:space="0"/>
              <w:right w:val="single" w:color="auto" w:sz="4" w:space="0"/>
            </w:tcBorders>
            <w:vAlign w:val="center"/>
          </w:tcPr>
          <w:p w14:paraId="2FF3024E">
            <w:pPr>
              <w:jc w:val="center"/>
              <w:rPr>
                <w:rFonts w:ascii="宋体" w:hAnsi="宋体"/>
                <w:spacing w:val="20"/>
                <w:szCs w:val="21"/>
              </w:rPr>
            </w:pPr>
          </w:p>
        </w:tc>
        <w:tc>
          <w:tcPr>
            <w:tcW w:w="1135" w:type="dxa"/>
            <w:tcBorders>
              <w:top w:val="single" w:color="auto" w:sz="4" w:space="0"/>
              <w:left w:val="single" w:color="auto" w:sz="4" w:space="0"/>
              <w:bottom w:val="single" w:color="auto" w:sz="4" w:space="0"/>
              <w:right w:val="single" w:color="auto" w:sz="4" w:space="0"/>
            </w:tcBorders>
            <w:vAlign w:val="center"/>
          </w:tcPr>
          <w:p w14:paraId="18AC36B1">
            <w:pPr>
              <w:jc w:val="center"/>
              <w:rPr>
                <w:rFonts w:ascii="宋体" w:hAnsi="宋体"/>
                <w:spacing w:val="20"/>
                <w:szCs w:val="21"/>
              </w:rPr>
            </w:pPr>
            <w:r>
              <w:rPr>
                <w:rFonts w:ascii="宋体" w:hAnsi="宋体"/>
                <w:bCs/>
                <w:szCs w:val="21"/>
              </w:rPr>
              <w:t>驾驶员代驾服务</w:t>
            </w:r>
            <w:r>
              <w:rPr>
                <w:rFonts w:hint="eastAsia" w:ascii="宋体" w:hAnsi="宋体"/>
                <w:bCs/>
                <w:szCs w:val="21"/>
              </w:rPr>
              <w:t>及加班费</w:t>
            </w:r>
          </w:p>
        </w:tc>
        <w:tc>
          <w:tcPr>
            <w:tcW w:w="906" w:type="dxa"/>
            <w:tcBorders>
              <w:top w:val="single" w:color="auto" w:sz="4" w:space="0"/>
              <w:left w:val="single" w:color="auto" w:sz="4" w:space="0"/>
              <w:bottom w:val="single" w:color="auto" w:sz="4" w:space="0"/>
              <w:right w:val="single" w:color="auto" w:sz="4" w:space="0"/>
            </w:tcBorders>
            <w:vAlign w:val="center"/>
          </w:tcPr>
          <w:p w14:paraId="21BADB4D">
            <w:pPr>
              <w:jc w:val="center"/>
              <w:rPr>
                <w:rFonts w:ascii="宋体" w:hAnsi="宋体"/>
                <w:spacing w:val="20"/>
                <w:szCs w:val="21"/>
              </w:rPr>
            </w:pPr>
          </w:p>
        </w:tc>
        <w:tc>
          <w:tcPr>
            <w:tcW w:w="1783" w:type="dxa"/>
            <w:tcBorders>
              <w:top w:val="single" w:color="auto" w:sz="4" w:space="0"/>
              <w:left w:val="single" w:color="auto" w:sz="4" w:space="0"/>
              <w:bottom w:val="single" w:color="auto" w:sz="4" w:space="0"/>
              <w:right w:val="single" w:color="auto" w:sz="4" w:space="0"/>
            </w:tcBorders>
            <w:vAlign w:val="center"/>
          </w:tcPr>
          <w:p w14:paraId="187BD8E4">
            <w:pPr>
              <w:jc w:val="center"/>
              <w:rPr>
                <w:rFonts w:ascii="宋体" w:hAnsi="宋体"/>
                <w:spacing w:val="20"/>
                <w:szCs w:val="21"/>
              </w:rPr>
            </w:pPr>
          </w:p>
        </w:tc>
        <w:tc>
          <w:tcPr>
            <w:tcW w:w="812" w:type="dxa"/>
            <w:tcBorders>
              <w:top w:val="single" w:color="auto" w:sz="4" w:space="0"/>
              <w:left w:val="single" w:color="auto" w:sz="4" w:space="0"/>
              <w:bottom w:val="single" w:color="auto" w:sz="4" w:space="0"/>
              <w:right w:val="single" w:color="auto" w:sz="4" w:space="0"/>
            </w:tcBorders>
            <w:vAlign w:val="center"/>
          </w:tcPr>
          <w:p w14:paraId="623C53FB">
            <w:pPr>
              <w:jc w:val="center"/>
              <w:rPr>
                <w:rFonts w:ascii="宋体" w:hAnsi="宋体"/>
                <w:spacing w:val="20"/>
                <w:szCs w:val="21"/>
              </w:rPr>
            </w:pPr>
          </w:p>
        </w:tc>
        <w:tc>
          <w:tcPr>
            <w:tcW w:w="3628" w:type="dxa"/>
            <w:tcBorders>
              <w:top w:val="single" w:color="auto" w:sz="4" w:space="0"/>
              <w:left w:val="single" w:color="auto" w:sz="4" w:space="0"/>
              <w:bottom w:val="single" w:color="auto" w:sz="4" w:space="0"/>
              <w:right w:val="single" w:color="auto" w:sz="4" w:space="0"/>
            </w:tcBorders>
            <w:vAlign w:val="center"/>
          </w:tcPr>
          <w:p w14:paraId="3F6EA404">
            <w:pPr>
              <w:jc w:val="center"/>
              <w:rPr>
                <w:rFonts w:ascii="宋体" w:hAnsi="宋体"/>
                <w:spacing w:val="20"/>
                <w:szCs w:val="21"/>
              </w:rPr>
            </w:pPr>
          </w:p>
        </w:tc>
      </w:tr>
      <w:tr w14:paraId="6F0F060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83" w:hRule="exact"/>
          <w:jc w:val="center"/>
        </w:trPr>
        <w:tc>
          <w:tcPr>
            <w:tcW w:w="567" w:type="dxa"/>
            <w:tcBorders>
              <w:top w:val="single" w:color="auto" w:sz="4" w:space="0"/>
              <w:left w:val="single" w:color="auto" w:sz="4" w:space="0"/>
              <w:bottom w:val="single" w:color="auto" w:sz="4" w:space="0"/>
              <w:right w:val="single" w:color="auto" w:sz="4" w:space="0"/>
            </w:tcBorders>
            <w:vAlign w:val="center"/>
          </w:tcPr>
          <w:p w14:paraId="48D424D6">
            <w:pPr>
              <w:jc w:val="center"/>
              <w:rPr>
                <w:rFonts w:ascii="宋体" w:hAnsi="宋体"/>
                <w:spacing w:val="20"/>
                <w:szCs w:val="21"/>
              </w:rPr>
            </w:pPr>
          </w:p>
        </w:tc>
        <w:tc>
          <w:tcPr>
            <w:tcW w:w="1135" w:type="dxa"/>
            <w:tcBorders>
              <w:top w:val="single" w:color="auto" w:sz="4" w:space="0"/>
              <w:left w:val="single" w:color="auto" w:sz="4" w:space="0"/>
              <w:bottom w:val="single" w:color="auto" w:sz="4" w:space="0"/>
              <w:right w:val="single" w:color="auto" w:sz="4" w:space="0"/>
            </w:tcBorders>
            <w:vAlign w:val="center"/>
          </w:tcPr>
          <w:p w14:paraId="0D9611F1">
            <w:pPr>
              <w:jc w:val="center"/>
              <w:rPr>
                <w:rFonts w:ascii="宋体" w:hAnsi="宋体"/>
                <w:spacing w:val="20"/>
                <w:szCs w:val="21"/>
              </w:rPr>
            </w:pPr>
            <w:r>
              <w:rPr>
                <w:rFonts w:ascii="宋体" w:hAnsi="宋体"/>
                <w:bCs/>
                <w:szCs w:val="21"/>
              </w:rPr>
              <w:t>车辆调配服务</w:t>
            </w:r>
          </w:p>
        </w:tc>
        <w:tc>
          <w:tcPr>
            <w:tcW w:w="906" w:type="dxa"/>
            <w:tcBorders>
              <w:top w:val="single" w:color="auto" w:sz="4" w:space="0"/>
              <w:left w:val="single" w:color="auto" w:sz="4" w:space="0"/>
              <w:bottom w:val="single" w:color="auto" w:sz="4" w:space="0"/>
              <w:right w:val="single" w:color="auto" w:sz="4" w:space="0"/>
            </w:tcBorders>
            <w:vAlign w:val="center"/>
          </w:tcPr>
          <w:p w14:paraId="513B091D">
            <w:pPr>
              <w:jc w:val="center"/>
              <w:rPr>
                <w:rFonts w:ascii="宋体" w:hAnsi="宋体"/>
                <w:spacing w:val="20"/>
                <w:szCs w:val="21"/>
              </w:rPr>
            </w:pPr>
          </w:p>
        </w:tc>
        <w:tc>
          <w:tcPr>
            <w:tcW w:w="1783" w:type="dxa"/>
            <w:tcBorders>
              <w:top w:val="single" w:color="auto" w:sz="4" w:space="0"/>
              <w:left w:val="single" w:color="auto" w:sz="4" w:space="0"/>
              <w:bottom w:val="single" w:color="auto" w:sz="4" w:space="0"/>
              <w:right w:val="single" w:color="auto" w:sz="4" w:space="0"/>
            </w:tcBorders>
            <w:vAlign w:val="center"/>
          </w:tcPr>
          <w:p w14:paraId="60D99113">
            <w:pPr>
              <w:jc w:val="center"/>
              <w:rPr>
                <w:rFonts w:ascii="宋体" w:hAnsi="宋体"/>
                <w:spacing w:val="20"/>
                <w:szCs w:val="21"/>
              </w:rPr>
            </w:pPr>
          </w:p>
        </w:tc>
        <w:tc>
          <w:tcPr>
            <w:tcW w:w="812" w:type="dxa"/>
            <w:tcBorders>
              <w:top w:val="single" w:color="auto" w:sz="4" w:space="0"/>
              <w:left w:val="single" w:color="auto" w:sz="4" w:space="0"/>
              <w:bottom w:val="single" w:color="auto" w:sz="4" w:space="0"/>
              <w:right w:val="single" w:color="auto" w:sz="4" w:space="0"/>
            </w:tcBorders>
            <w:vAlign w:val="center"/>
          </w:tcPr>
          <w:p w14:paraId="159F6331">
            <w:pPr>
              <w:jc w:val="center"/>
              <w:rPr>
                <w:rFonts w:ascii="宋体" w:hAnsi="宋体"/>
                <w:spacing w:val="20"/>
                <w:szCs w:val="21"/>
              </w:rPr>
            </w:pPr>
          </w:p>
        </w:tc>
        <w:tc>
          <w:tcPr>
            <w:tcW w:w="3628" w:type="dxa"/>
            <w:tcBorders>
              <w:top w:val="single" w:color="auto" w:sz="4" w:space="0"/>
              <w:left w:val="single" w:color="auto" w:sz="4" w:space="0"/>
              <w:bottom w:val="single" w:color="auto" w:sz="4" w:space="0"/>
              <w:right w:val="single" w:color="auto" w:sz="4" w:space="0"/>
            </w:tcBorders>
            <w:vAlign w:val="center"/>
          </w:tcPr>
          <w:p w14:paraId="1EAD07C0">
            <w:pPr>
              <w:jc w:val="center"/>
              <w:rPr>
                <w:rFonts w:ascii="宋体" w:hAnsi="宋体"/>
                <w:spacing w:val="20"/>
                <w:szCs w:val="21"/>
              </w:rPr>
            </w:pPr>
          </w:p>
        </w:tc>
      </w:tr>
    </w:tbl>
    <w:p w14:paraId="2E66F3A4">
      <w:pPr>
        <w:rPr>
          <w:rFonts w:ascii="宋体" w:hAnsi="宋体"/>
          <w:spacing w:val="20"/>
          <w:szCs w:val="21"/>
          <w:u w:val="single"/>
        </w:rPr>
      </w:pPr>
    </w:p>
    <w:p w14:paraId="3E9D9DF0">
      <w:pPr>
        <w:spacing w:line="360" w:lineRule="auto"/>
        <w:rPr>
          <w:rFonts w:ascii="宋体" w:hAnsi="宋体"/>
          <w:spacing w:val="20"/>
          <w:szCs w:val="21"/>
        </w:rPr>
      </w:pPr>
    </w:p>
    <w:p w14:paraId="3FC0E557">
      <w:pPr>
        <w:pStyle w:val="17"/>
        <w:rPr>
          <w:rFonts w:ascii="宋体" w:hAnsi="宋体"/>
        </w:rPr>
      </w:pPr>
      <w:r>
        <w:rPr>
          <w:rFonts w:ascii="宋体" w:hAnsi="宋体"/>
          <w:szCs w:val="21"/>
        </w:rPr>
        <w:t>注：本表如</w:t>
      </w:r>
      <w:r>
        <w:rPr>
          <w:rFonts w:ascii="宋体" w:hAnsi="宋体"/>
        </w:rPr>
        <w:t>与广西政府采购云平台不一致的，以广西政府采购云平台为准。</w:t>
      </w:r>
    </w:p>
    <w:p w14:paraId="662B1CAF">
      <w:pPr>
        <w:jc w:val="left"/>
        <w:rPr>
          <w:rFonts w:ascii="宋体" w:hAnsi="宋体"/>
          <w:szCs w:val="21"/>
        </w:rPr>
      </w:pPr>
    </w:p>
    <w:p w14:paraId="1EF85CDD">
      <w:pPr>
        <w:spacing w:line="360" w:lineRule="auto"/>
        <w:rPr>
          <w:rFonts w:ascii="宋体" w:hAnsi="宋体"/>
          <w:spacing w:val="20"/>
          <w:szCs w:val="21"/>
        </w:rPr>
      </w:pPr>
    </w:p>
    <w:p w14:paraId="390F445B">
      <w:pPr>
        <w:spacing w:line="360" w:lineRule="auto"/>
        <w:rPr>
          <w:rFonts w:ascii="宋体" w:hAnsi="宋体"/>
          <w:szCs w:val="21"/>
        </w:rPr>
      </w:pPr>
      <w:r>
        <w:rPr>
          <w:rFonts w:ascii="宋体" w:hAnsi="宋体"/>
          <w:szCs w:val="21"/>
        </w:rPr>
        <w:t>供应商名称（电子签章）：</w:t>
      </w:r>
      <w:r>
        <w:rPr>
          <w:rFonts w:ascii="宋体" w:hAnsi="宋体"/>
          <w:szCs w:val="21"/>
          <w:u w:val="single"/>
        </w:rPr>
        <w:t xml:space="preserve">                          </w:t>
      </w:r>
    </w:p>
    <w:p w14:paraId="19BE2822">
      <w:pPr>
        <w:spacing w:line="360" w:lineRule="auto"/>
        <w:rPr>
          <w:rFonts w:ascii="宋体" w:hAnsi="宋体"/>
          <w:szCs w:val="21"/>
        </w:rPr>
        <w:sectPr>
          <w:headerReference r:id="rId20" w:type="default"/>
          <w:pgSz w:w="11906" w:h="16838"/>
          <w:pgMar w:top="1418" w:right="1133" w:bottom="1246" w:left="1418" w:header="851" w:footer="992" w:gutter="0"/>
          <w:pgNumType w:fmt="decimal"/>
          <w:cols w:space="720" w:num="1"/>
          <w:docGrid w:linePitch="312" w:charSpace="0"/>
        </w:sectPr>
      </w:pPr>
      <w:r>
        <w:rPr>
          <w:rFonts w:ascii="宋体" w:hAnsi="宋体"/>
          <w:szCs w:val="21"/>
        </w:rPr>
        <w:t>日  期：</w:t>
      </w:r>
      <w:r>
        <w:rPr>
          <w:rFonts w:ascii="宋体" w:hAnsi="宋体"/>
          <w:szCs w:val="21"/>
          <w:u w:val="single"/>
        </w:rPr>
        <w:t xml:space="preserve">         </w:t>
      </w:r>
      <w:r>
        <w:rPr>
          <w:rFonts w:ascii="宋体" w:hAnsi="宋体"/>
          <w:szCs w:val="21"/>
        </w:rPr>
        <w:t>年</w:t>
      </w:r>
      <w:r>
        <w:rPr>
          <w:rFonts w:ascii="宋体" w:hAnsi="宋体"/>
          <w:szCs w:val="21"/>
          <w:u w:val="single"/>
        </w:rPr>
        <w:t xml:space="preserve">   </w:t>
      </w:r>
      <w:r>
        <w:rPr>
          <w:rFonts w:ascii="宋体" w:hAnsi="宋体"/>
          <w:szCs w:val="21"/>
        </w:rPr>
        <w:t>月</w:t>
      </w:r>
      <w:r>
        <w:rPr>
          <w:rFonts w:ascii="宋体" w:hAnsi="宋体"/>
          <w:szCs w:val="21"/>
          <w:u w:val="single"/>
        </w:rPr>
        <w:t xml:space="preserve">   </w:t>
      </w:r>
      <w:r>
        <w:rPr>
          <w:rFonts w:ascii="宋体" w:hAnsi="宋体"/>
          <w:szCs w:val="21"/>
        </w:rPr>
        <w:t xml:space="preserve">日 </w:t>
      </w:r>
    </w:p>
    <w:p w14:paraId="2F16685C">
      <w:pPr>
        <w:spacing w:line="440" w:lineRule="exact"/>
        <w:jc w:val="center"/>
        <w:rPr>
          <w:rFonts w:ascii="宋体" w:hAnsi="宋体"/>
          <w:bCs/>
          <w:szCs w:val="21"/>
        </w:rPr>
      </w:pPr>
      <w:r>
        <w:rPr>
          <w:rFonts w:ascii="宋体" w:hAnsi="宋体"/>
          <w:bCs/>
          <w:szCs w:val="21"/>
        </w:rPr>
        <w:t>（1）车辆租赁报价表</w:t>
      </w:r>
    </w:p>
    <w:p w14:paraId="09AE5A41">
      <w:pPr>
        <w:spacing w:line="300" w:lineRule="exact"/>
        <w:contextualSpacing/>
        <w:rPr>
          <w:rFonts w:ascii="宋体" w:hAnsi="宋体"/>
          <w:szCs w:val="21"/>
          <w:u w:val="single"/>
        </w:rPr>
      </w:pPr>
      <w:r>
        <w:rPr>
          <w:rFonts w:ascii="宋体" w:hAnsi="宋体"/>
          <w:szCs w:val="21"/>
        </w:rPr>
        <w:t>项目名称：</w:t>
      </w:r>
      <w:r>
        <w:rPr>
          <w:rFonts w:ascii="宋体" w:hAnsi="宋体"/>
          <w:szCs w:val="21"/>
          <w:u w:val="single"/>
        </w:rPr>
        <w:t xml:space="preserve">                </w:t>
      </w:r>
      <w:r>
        <w:rPr>
          <w:rFonts w:ascii="宋体" w:hAnsi="宋体"/>
          <w:szCs w:val="21"/>
        </w:rPr>
        <w:t>项目编号：</w:t>
      </w:r>
      <w:r>
        <w:rPr>
          <w:rFonts w:ascii="宋体" w:hAnsi="宋体"/>
          <w:szCs w:val="21"/>
          <w:u w:val="single"/>
        </w:rPr>
        <w:t xml:space="preserve">                   </w:t>
      </w:r>
      <w:r>
        <w:rPr>
          <w:rFonts w:ascii="宋体" w:hAnsi="宋体"/>
          <w:szCs w:val="21"/>
        </w:rPr>
        <w:t xml:space="preserve">     </w:t>
      </w:r>
    </w:p>
    <w:p w14:paraId="00C9385F">
      <w:pPr>
        <w:spacing w:line="300" w:lineRule="exact"/>
        <w:contextualSpacing/>
        <w:rPr>
          <w:rFonts w:ascii="宋体" w:hAnsi="宋体"/>
          <w:szCs w:val="21"/>
        </w:rPr>
      </w:pPr>
      <w:r>
        <w:rPr>
          <w:rFonts w:ascii="宋体" w:hAnsi="宋体"/>
          <w:szCs w:val="21"/>
        </w:rPr>
        <w:t>供应商名称：</w:t>
      </w:r>
      <w:r>
        <w:rPr>
          <w:rFonts w:ascii="宋体" w:hAnsi="宋体"/>
          <w:szCs w:val="21"/>
          <w:u w:val="single"/>
        </w:rPr>
        <w:t xml:space="preserve">                                           </w:t>
      </w:r>
      <w:r>
        <w:rPr>
          <w:rFonts w:ascii="宋体" w:hAnsi="宋体"/>
          <w:szCs w:val="21"/>
        </w:rPr>
        <w:t xml:space="preserve">   </w:t>
      </w:r>
    </w:p>
    <w:p w14:paraId="4284564D">
      <w:pPr>
        <w:spacing w:line="300" w:lineRule="exact"/>
        <w:contextualSpacing/>
        <w:jc w:val="right"/>
        <w:rPr>
          <w:rFonts w:ascii="宋体" w:hAnsi="宋体"/>
          <w:szCs w:val="21"/>
        </w:rPr>
      </w:pPr>
      <w:r>
        <w:rPr>
          <w:rFonts w:ascii="宋体" w:hAnsi="宋体"/>
          <w:szCs w:val="21"/>
        </w:rPr>
        <w:t>单位：元</w:t>
      </w:r>
    </w:p>
    <w:tbl>
      <w:tblPr>
        <w:tblStyle w:val="51"/>
        <w:tblW w:w="530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1"/>
        <w:gridCol w:w="1369"/>
        <w:gridCol w:w="1327"/>
        <w:gridCol w:w="923"/>
        <w:gridCol w:w="1048"/>
        <w:gridCol w:w="1163"/>
        <w:gridCol w:w="1407"/>
        <w:gridCol w:w="1923"/>
      </w:tblGrid>
      <w:tr w14:paraId="377FD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3" w:hRule="atLeast"/>
          <w:jc w:val="center"/>
        </w:trPr>
        <w:tc>
          <w:tcPr>
            <w:tcW w:w="384" w:type="pct"/>
            <w:shd w:val="clear" w:color="auto" w:fill="auto"/>
            <w:vAlign w:val="center"/>
          </w:tcPr>
          <w:p w14:paraId="69EF8DE1">
            <w:pPr>
              <w:jc w:val="center"/>
              <w:rPr>
                <w:rFonts w:ascii="宋体" w:hAnsi="宋体"/>
                <w:b/>
                <w:kern w:val="0"/>
                <w:szCs w:val="21"/>
              </w:rPr>
            </w:pPr>
            <w:r>
              <w:rPr>
                <w:rFonts w:ascii="宋体" w:hAnsi="宋体"/>
                <w:b/>
                <w:kern w:val="0"/>
                <w:szCs w:val="21"/>
              </w:rPr>
              <w:t>项号</w:t>
            </w:r>
          </w:p>
        </w:tc>
        <w:tc>
          <w:tcPr>
            <w:tcW w:w="690" w:type="pct"/>
            <w:shd w:val="clear" w:color="auto" w:fill="auto"/>
            <w:vAlign w:val="center"/>
          </w:tcPr>
          <w:p w14:paraId="2622E81A">
            <w:pPr>
              <w:jc w:val="center"/>
              <w:rPr>
                <w:rFonts w:ascii="宋体" w:hAnsi="宋体"/>
                <w:b/>
                <w:kern w:val="0"/>
                <w:szCs w:val="21"/>
              </w:rPr>
            </w:pPr>
            <w:r>
              <w:rPr>
                <w:rFonts w:ascii="宋体" w:hAnsi="宋体"/>
                <w:b/>
                <w:kern w:val="0"/>
                <w:szCs w:val="21"/>
              </w:rPr>
              <w:t>服务名称</w:t>
            </w:r>
          </w:p>
        </w:tc>
        <w:tc>
          <w:tcPr>
            <w:tcW w:w="3926" w:type="pct"/>
            <w:gridSpan w:val="6"/>
            <w:shd w:val="clear" w:color="auto" w:fill="EBF1DE"/>
            <w:vAlign w:val="center"/>
          </w:tcPr>
          <w:p w14:paraId="242EEE7C">
            <w:pPr>
              <w:jc w:val="left"/>
              <w:rPr>
                <w:rFonts w:ascii="宋体" w:hAnsi="宋体"/>
                <w:b/>
                <w:kern w:val="0"/>
                <w:szCs w:val="21"/>
              </w:rPr>
            </w:pPr>
            <w:r>
              <w:rPr>
                <w:rFonts w:hint="eastAsia" w:ascii="宋体" w:hAnsi="宋体"/>
                <w:b/>
                <w:kern w:val="0"/>
                <w:szCs w:val="21"/>
              </w:rPr>
              <w:t>1.1按天租赁</w:t>
            </w:r>
          </w:p>
        </w:tc>
      </w:tr>
      <w:tr w14:paraId="5BA3D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0" w:hRule="atLeast"/>
          <w:jc w:val="center"/>
        </w:trPr>
        <w:tc>
          <w:tcPr>
            <w:tcW w:w="384" w:type="pct"/>
            <w:vMerge w:val="restart"/>
            <w:vAlign w:val="center"/>
          </w:tcPr>
          <w:p w14:paraId="3E8E4062">
            <w:pPr>
              <w:jc w:val="center"/>
              <w:rPr>
                <w:rFonts w:ascii="宋体" w:hAnsi="宋体"/>
                <w:szCs w:val="21"/>
              </w:rPr>
            </w:pPr>
            <w:r>
              <w:rPr>
                <w:rFonts w:ascii="宋体" w:hAnsi="宋体"/>
                <w:kern w:val="0"/>
                <w:szCs w:val="21"/>
              </w:rPr>
              <w:t>1</w:t>
            </w:r>
          </w:p>
        </w:tc>
        <w:tc>
          <w:tcPr>
            <w:tcW w:w="690" w:type="pct"/>
            <w:vMerge w:val="restart"/>
            <w:vAlign w:val="center"/>
          </w:tcPr>
          <w:p w14:paraId="7248B4E8">
            <w:pPr>
              <w:jc w:val="center"/>
              <w:rPr>
                <w:rFonts w:ascii="宋体" w:hAnsi="宋体"/>
                <w:szCs w:val="21"/>
              </w:rPr>
            </w:pPr>
            <w:r>
              <w:rPr>
                <w:rFonts w:hint="eastAsia" w:ascii="宋体" w:hAnsi="宋体"/>
                <w:kern w:val="0"/>
                <w:szCs w:val="21"/>
              </w:rPr>
              <w:t>第23届中国—东盟博览会接待用车招募及调度服务</w:t>
            </w:r>
          </w:p>
        </w:tc>
        <w:tc>
          <w:tcPr>
            <w:tcW w:w="669" w:type="pct"/>
            <w:vAlign w:val="center"/>
          </w:tcPr>
          <w:p w14:paraId="6A512928">
            <w:pPr>
              <w:spacing w:line="240" w:lineRule="exact"/>
              <w:jc w:val="center"/>
              <w:rPr>
                <w:rFonts w:ascii="宋体" w:hAnsi="宋体"/>
                <w:b/>
                <w:kern w:val="0"/>
                <w:szCs w:val="21"/>
              </w:rPr>
            </w:pPr>
            <w:r>
              <w:rPr>
                <w:rFonts w:ascii="宋体" w:hAnsi="宋体"/>
                <w:b/>
                <w:kern w:val="0"/>
                <w:szCs w:val="21"/>
              </w:rPr>
              <w:t>车辆类别</w:t>
            </w:r>
          </w:p>
        </w:tc>
        <w:tc>
          <w:tcPr>
            <w:tcW w:w="465" w:type="pct"/>
          </w:tcPr>
          <w:p w14:paraId="46A4CD8E">
            <w:pPr>
              <w:spacing w:line="240" w:lineRule="exact"/>
              <w:jc w:val="center"/>
              <w:rPr>
                <w:rFonts w:ascii="宋体" w:hAnsi="宋体"/>
                <w:b/>
                <w:kern w:val="0"/>
                <w:szCs w:val="21"/>
              </w:rPr>
            </w:pPr>
            <w:r>
              <w:rPr>
                <w:rFonts w:ascii="宋体" w:hAnsi="宋体"/>
                <w:b/>
                <w:kern w:val="0"/>
                <w:szCs w:val="21"/>
              </w:rPr>
              <w:t>承诺提供数量</w:t>
            </w:r>
          </w:p>
          <w:p w14:paraId="3B6E9B40">
            <w:pPr>
              <w:spacing w:line="240" w:lineRule="exact"/>
              <w:jc w:val="center"/>
              <w:rPr>
                <w:rFonts w:ascii="宋体" w:hAnsi="宋体"/>
                <w:b/>
                <w:kern w:val="0"/>
                <w:szCs w:val="21"/>
              </w:rPr>
            </w:pPr>
            <w:r>
              <w:rPr>
                <w:rFonts w:ascii="宋体" w:hAnsi="宋体"/>
                <w:b/>
                <w:kern w:val="0"/>
                <w:szCs w:val="21"/>
              </w:rPr>
              <w:t>(辆)</w:t>
            </w:r>
          </w:p>
        </w:tc>
        <w:tc>
          <w:tcPr>
            <w:tcW w:w="1114" w:type="pct"/>
            <w:gridSpan w:val="2"/>
            <w:vAlign w:val="center"/>
          </w:tcPr>
          <w:p w14:paraId="1D46B7D9">
            <w:pPr>
              <w:spacing w:line="240" w:lineRule="exact"/>
              <w:jc w:val="center"/>
              <w:rPr>
                <w:rFonts w:ascii="宋体" w:hAnsi="宋体"/>
                <w:b/>
                <w:kern w:val="0"/>
                <w:szCs w:val="21"/>
              </w:rPr>
            </w:pPr>
            <w:r>
              <w:rPr>
                <w:rFonts w:ascii="宋体" w:hAnsi="宋体"/>
                <w:b/>
                <w:kern w:val="0"/>
                <w:szCs w:val="21"/>
              </w:rPr>
              <w:t>价格</w:t>
            </w:r>
          </w:p>
          <w:p w14:paraId="3D07D241">
            <w:pPr>
              <w:spacing w:line="240" w:lineRule="exact"/>
              <w:jc w:val="center"/>
              <w:rPr>
                <w:rFonts w:ascii="宋体" w:hAnsi="宋体"/>
                <w:b/>
                <w:kern w:val="0"/>
                <w:szCs w:val="21"/>
              </w:rPr>
            </w:pPr>
            <w:r>
              <w:rPr>
                <w:rFonts w:ascii="宋体" w:hAnsi="宋体"/>
                <w:b/>
                <w:kern w:val="0"/>
                <w:szCs w:val="21"/>
              </w:rPr>
              <w:t>（元/辆·天）</w:t>
            </w:r>
          </w:p>
        </w:tc>
        <w:tc>
          <w:tcPr>
            <w:tcW w:w="709" w:type="pct"/>
            <w:vAlign w:val="center"/>
          </w:tcPr>
          <w:p w14:paraId="7019D9F5">
            <w:pPr>
              <w:spacing w:line="240" w:lineRule="exact"/>
              <w:jc w:val="center"/>
              <w:rPr>
                <w:rFonts w:ascii="宋体" w:hAnsi="宋体"/>
                <w:b/>
                <w:kern w:val="0"/>
                <w:szCs w:val="21"/>
              </w:rPr>
            </w:pPr>
            <w:r>
              <w:rPr>
                <w:rFonts w:ascii="宋体" w:hAnsi="宋体"/>
                <w:b/>
                <w:kern w:val="0"/>
                <w:szCs w:val="21"/>
              </w:rPr>
              <w:t>参考车型</w:t>
            </w:r>
          </w:p>
        </w:tc>
        <w:tc>
          <w:tcPr>
            <w:tcW w:w="969" w:type="pct"/>
            <w:vAlign w:val="center"/>
          </w:tcPr>
          <w:p w14:paraId="2ACB7DBF">
            <w:pPr>
              <w:spacing w:line="240" w:lineRule="exact"/>
              <w:jc w:val="center"/>
              <w:rPr>
                <w:rFonts w:ascii="宋体" w:hAnsi="宋体"/>
                <w:b/>
                <w:kern w:val="0"/>
                <w:szCs w:val="21"/>
              </w:rPr>
            </w:pPr>
            <w:r>
              <w:rPr>
                <w:rFonts w:ascii="宋体" w:hAnsi="宋体"/>
                <w:b/>
                <w:kern w:val="0"/>
                <w:szCs w:val="21"/>
              </w:rPr>
              <w:t>备注</w:t>
            </w:r>
          </w:p>
        </w:tc>
      </w:tr>
      <w:tr w14:paraId="11CCE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0" w:hRule="atLeast"/>
          <w:jc w:val="center"/>
        </w:trPr>
        <w:tc>
          <w:tcPr>
            <w:tcW w:w="384" w:type="pct"/>
            <w:vMerge w:val="continue"/>
            <w:vAlign w:val="center"/>
          </w:tcPr>
          <w:p w14:paraId="37A3AE55">
            <w:pPr>
              <w:jc w:val="center"/>
              <w:rPr>
                <w:rFonts w:ascii="宋体" w:hAnsi="宋体"/>
                <w:szCs w:val="21"/>
              </w:rPr>
            </w:pPr>
          </w:p>
        </w:tc>
        <w:tc>
          <w:tcPr>
            <w:tcW w:w="690" w:type="pct"/>
            <w:vMerge w:val="continue"/>
            <w:vAlign w:val="center"/>
          </w:tcPr>
          <w:p w14:paraId="1D63BD49">
            <w:pPr>
              <w:jc w:val="center"/>
              <w:rPr>
                <w:rFonts w:ascii="宋体" w:hAnsi="宋体"/>
                <w:szCs w:val="21"/>
              </w:rPr>
            </w:pPr>
          </w:p>
        </w:tc>
        <w:tc>
          <w:tcPr>
            <w:tcW w:w="669" w:type="pct"/>
            <w:vAlign w:val="center"/>
          </w:tcPr>
          <w:p w14:paraId="16615B29">
            <w:pPr>
              <w:spacing w:line="240" w:lineRule="exact"/>
              <w:jc w:val="center"/>
              <w:rPr>
                <w:rFonts w:ascii="宋体" w:hAnsi="宋体"/>
                <w:szCs w:val="21"/>
              </w:rPr>
            </w:pPr>
            <w:r>
              <w:rPr>
                <w:rFonts w:hint="eastAsia" w:ascii="宋体" w:hAnsi="宋体"/>
                <w:szCs w:val="21"/>
              </w:rPr>
              <w:t>高级轿车（国宾用车，5座）</w:t>
            </w:r>
          </w:p>
        </w:tc>
        <w:tc>
          <w:tcPr>
            <w:tcW w:w="465" w:type="pct"/>
            <w:vAlign w:val="center"/>
          </w:tcPr>
          <w:p w14:paraId="2FF2EBDE">
            <w:pPr>
              <w:spacing w:line="240" w:lineRule="exact"/>
              <w:jc w:val="center"/>
              <w:rPr>
                <w:rFonts w:ascii="宋体" w:hAnsi="宋体"/>
                <w:szCs w:val="21"/>
              </w:rPr>
            </w:pPr>
          </w:p>
        </w:tc>
        <w:tc>
          <w:tcPr>
            <w:tcW w:w="1114" w:type="pct"/>
            <w:gridSpan w:val="2"/>
            <w:vAlign w:val="center"/>
          </w:tcPr>
          <w:p w14:paraId="154F716D">
            <w:pPr>
              <w:spacing w:line="240" w:lineRule="exact"/>
              <w:jc w:val="center"/>
              <w:rPr>
                <w:rFonts w:ascii="宋体" w:hAnsi="宋体"/>
                <w:szCs w:val="21"/>
              </w:rPr>
            </w:pPr>
          </w:p>
        </w:tc>
        <w:tc>
          <w:tcPr>
            <w:tcW w:w="709" w:type="pct"/>
            <w:vAlign w:val="center"/>
          </w:tcPr>
          <w:p w14:paraId="23BF2AE8">
            <w:pPr>
              <w:spacing w:line="240" w:lineRule="exact"/>
              <w:jc w:val="center"/>
              <w:rPr>
                <w:rFonts w:ascii="宋体" w:hAnsi="宋体"/>
                <w:szCs w:val="21"/>
              </w:rPr>
            </w:pPr>
            <w:r>
              <w:rPr>
                <w:rFonts w:hint="eastAsia" w:ascii="宋体" w:hAnsi="宋体"/>
                <w:szCs w:val="21"/>
              </w:rPr>
              <w:t>红旗H9</w:t>
            </w:r>
          </w:p>
        </w:tc>
        <w:tc>
          <w:tcPr>
            <w:tcW w:w="969" w:type="pct"/>
            <w:vAlign w:val="center"/>
          </w:tcPr>
          <w:p w14:paraId="77DDC49E">
            <w:pPr>
              <w:spacing w:line="240" w:lineRule="exact"/>
              <w:jc w:val="center"/>
              <w:rPr>
                <w:rFonts w:ascii="宋体" w:hAnsi="宋体"/>
                <w:szCs w:val="21"/>
              </w:rPr>
            </w:pPr>
            <w:r>
              <w:rPr>
                <w:rFonts w:hint="eastAsia" w:ascii="宋体" w:hAnsi="宋体"/>
                <w:szCs w:val="21"/>
              </w:rPr>
              <w:t>裸车，注册年限3年内，含车辆专项检测费、异地运输费、专项技术支持费等</w:t>
            </w:r>
          </w:p>
        </w:tc>
      </w:tr>
      <w:tr w14:paraId="2F272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jc w:val="center"/>
        </w:trPr>
        <w:tc>
          <w:tcPr>
            <w:tcW w:w="384" w:type="pct"/>
            <w:vMerge w:val="continue"/>
            <w:vAlign w:val="center"/>
          </w:tcPr>
          <w:p w14:paraId="7CAF9A69">
            <w:pPr>
              <w:jc w:val="center"/>
              <w:rPr>
                <w:rFonts w:ascii="宋体" w:hAnsi="宋体"/>
                <w:kern w:val="0"/>
                <w:szCs w:val="21"/>
              </w:rPr>
            </w:pPr>
          </w:p>
        </w:tc>
        <w:tc>
          <w:tcPr>
            <w:tcW w:w="690" w:type="pct"/>
            <w:vMerge w:val="continue"/>
            <w:vAlign w:val="center"/>
          </w:tcPr>
          <w:p w14:paraId="77C3B9A8">
            <w:pPr>
              <w:jc w:val="center"/>
              <w:rPr>
                <w:rFonts w:hint="eastAsia" w:ascii="宋体" w:hAnsi="宋体"/>
                <w:kern w:val="0"/>
                <w:szCs w:val="21"/>
              </w:rPr>
            </w:pPr>
          </w:p>
        </w:tc>
        <w:tc>
          <w:tcPr>
            <w:tcW w:w="669" w:type="pct"/>
            <w:vAlign w:val="center"/>
          </w:tcPr>
          <w:p w14:paraId="2AB66AA1">
            <w:pPr>
              <w:spacing w:line="240" w:lineRule="exact"/>
              <w:jc w:val="center"/>
              <w:rPr>
                <w:rFonts w:ascii="宋体" w:hAnsi="宋体"/>
                <w:szCs w:val="21"/>
              </w:rPr>
            </w:pPr>
            <w:r>
              <w:rPr>
                <w:rFonts w:ascii="宋体" w:hAnsi="宋体"/>
                <w:szCs w:val="21"/>
              </w:rPr>
              <w:t>高级轿车</w:t>
            </w:r>
          </w:p>
          <w:p w14:paraId="33255B0F">
            <w:pPr>
              <w:spacing w:line="240" w:lineRule="exact"/>
              <w:jc w:val="center"/>
              <w:rPr>
                <w:rFonts w:ascii="宋体" w:hAnsi="宋体"/>
                <w:szCs w:val="21"/>
              </w:rPr>
            </w:pPr>
            <w:r>
              <w:rPr>
                <w:rFonts w:ascii="宋体" w:hAnsi="宋体"/>
                <w:szCs w:val="21"/>
              </w:rPr>
              <w:t>(5座)</w:t>
            </w:r>
          </w:p>
        </w:tc>
        <w:tc>
          <w:tcPr>
            <w:tcW w:w="465" w:type="pct"/>
            <w:vAlign w:val="center"/>
          </w:tcPr>
          <w:p w14:paraId="3B232D9C">
            <w:pPr>
              <w:spacing w:line="240" w:lineRule="exact"/>
              <w:jc w:val="center"/>
              <w:rPr>
                <w:rFonts w:ascii="宋体" w:hAnsi="宋体"/>
                <w:szCs w:val="21"/>
              </w:rPr>
            </w:pPr>
          </w:p>
        </w:tc>
        <w:tc>
          <w:tcPr>
            <w:tcW w:w="1114" w:type="pct"/>
            <w:gridSpan w:val="2"/>
            <w:vAlign w:val="center"/>
          </w:tcPr>
          <w:p w14:paraId="4F99875F">
            <w:pPr>
              <w:spacing w:line="240" w:lineRule="exact"/>
              <w:jc w:val="center"/>
              <w:rPr>
                <w:rFonts w:ascii="宋体" w:hAnsi="宋体"/>
                <w:szCs w:val="21"/>
              </w:rPr>
            </w:pPr>
          </w:p>
        </w:tc>
        <w:tc>
          <w:tcPr>
            <w:tcW w:w="709" w:type="pct"/>
            <w:vAlign w:val="center"/>
          </w:tcPr>
          <w:p w14:paraId="4FEB2F36">
            <w:pPr>
              <w:spacing w:line="240" w:lineRule="exact"/>
              <w:jc w:val="center"/>
              <w:rPr>
                <w:rFonts w:ascii="宋体" w:hAnsi="宋体"/>
                <w:szCs w:val="21"/>
              </w:rPr>
            </w:pPr>
            <w:r>
              <w:rPr>
                <w:rFonts w:ascii="宋体" w:hAnsi="宋体"/>
                <w:szCs w:val="21"/>
              </w:rPr>
              <w:t>奥迪A6、、奔驰E系列</w:t>
            </w:r>
            <w:r>
              <w:rPr>
                <w:rFonts w:hint="eastAsia" w:ascii="宋体" w:hAnsi="宋体"/>
                <w:szCs w:val="21"/>
              </w:rPr>
              <w:t>及同类车型</w:t>
            </w:r>
          </w:p>
        </w:tc>
        <w:tc>
          <w:tcPr>
            <w:tcW w:w="969" w:type="pct"/>
            <w:vAlign w:val="center"/>
          </w:tcPr>
          <w:p w14:paraId="0C7F1372">
            <w:pPr>
              <w:spacing w:line="240" w:lineRule="exact"/>
              <w:jc w:val="center"/>
              <w:rPr>
                <w:rFonts w:ascii="宋体" w:hAnsi="宋体"/>
                <w:szCs w:val="21"/>
              </w:rPr>
            </w:pPr>
            <w:r>
              <w:rPr>
                <w:rFonts w:ascii="宋体" w:hAnsi="宋体"/>
                <w:szCs w:val="21"/>
              </w:rPr>
              <w:t>注册年限6年内</w:t>
            </w:r>
          </w:p>
          <w:p w14:paraId="0219B451">
            <w:pPr>
              <w:spacing w:line="240" w:lineRule="exact"/>
              <w:jc w:val="center"/>
              <w:rPr>
                <w:rFonts w:ascii="宋体" w:hAnsi="宋体"/>
                <w:szCs w:val="21"/>
              </w:rPr>
            </w:pPr>
            <w:r>
              <w:rPr>
                <w:rFonts w:ascii="宋体" w:hAnsi="宋体"/>
                <w:szCs w:val="21"/>
              </w:rPr>
              <w:t>达到营运标准</w:t>
            </w:r>
          </w:p>
        </w:tc>
      </w:tr>
      <w:tr w14:paraId="5D40F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384" w:type="pct"/>
            <w:vMerge w:val="continue"/>
            <w:vAlign w:val="center"/>
          </w:tcPr>
          <w:p w14:paraId="0C316272">
            <w:pPr>
              <w:jc w:val="center"/>
              <w:rPr>
                <w:rFonts w:ascii="宋体" w:hAnsi="宋体"/>
                <w:szCs w:val="21"/>
              </w:rPr>
            </w:pPr>
          </w:p>
        </w:tc>
        <w:tc>
          <w:tcPr>
            <w:tcW w:w="690" w:type="pct"/>
            <w:vMerge w:val="continue"/>
            <w:vAlign w:val="center"/>
          </w:tcPr>
          <w:p w14:paraId="5D9A5E05">
            <w:pPr>
              <w:jc w:val="center"/>
              <w:rPr>
                <w:rFonts w:ascii="宋体" w:hAnsi="宋体"/>
                <w:szCs w:val="21"/>
              </w:rPr>
            </w:pPr>
          </w:p>
        </w:tc>
        <w:tc>
          <w:tcPr>
            <w:tcW w:w="669" w:type="pct"/>
            <w:vAlign w:val="center"/>
          </w:tcPr>
          <w:p w14:paraId="0615BEE9">
            <w:pPr>
              <w:spacing w:line="240" w:lineRule="exact"/>
              <w:jc w:val="center"/>
              <w:rPr>
                <w:rFonts w:ascii="宋体" w:hAnsi="宋体"/>
                <w:szCs w:val="21"/>
              </w:rPr>
            </w:pPr>
            <w:r>
              <w:rPr>
                <w:rFonts w:ascii="宋体" w:hAnsi="宋体"/>
                <w:szCs w:val="21"/>
              </w:rPr>
              <w:t>中级轿车</w:t>
            </w:r>
          </w:p>
          <w:p w14:paraId="0B49A300">
            <w:pPr>
              <w:spacing w:line="240" w:lineRule="exact"/>
              <w:jc w:val="center"/>
              <w:rPr>
                <w:rFonts w:ascii="宋体" w:hAnsi="宋体"/>
                <w:szCs w:val="21"/>
              </w:rPr>
            </w:pPr>
            <w:r>
              <w:rPr>
                <w:rFonts w:ascii="宋体" w:hAnsi="宋体"/>
                <w:szCs w:val="21"/>
              </w:rPr>
              <w:t>(5座)</w:t>
            </w:r>
          </w:p>
        </w:tc>
        <w:tc>
          <w:tcPr>
            <w:tcW w:w="465" w:type="pct"/>
            <w:vAlign w:val="center"/>
          </w:tcPr>
          <w:p w14:paraId="22FEECE0">
            <w:pPr>
              <w:spacing w:line="240" w:lineRule="exact"/>
              <w:jc w:val="center"/>
              <w:rPr>
                <w:rFonts w:ascii="宋体" w:hAnsi="宋体"/>
                <w:szCs w:val="21"/>
              </w:rPr>
            </w:pPr>
          </w:p>
        </w:tc>
        <w:tc>
          <w:tcPr>
            <w:tcW w:w="1114" w:type="pct"/>
            <w:gridSpan w:val="2"/>
            <w:vAlign w:val="center"/>
          </w:tcPr>
          <w:p w14:paraId="28D217DB">
            <w:pPr>
              <w:spacing w:line="240" w:lineRule="exact"/>
              <w:jc w:val="center"/>
              <w:rPr>
                <w:rFonts w:ascii="宋体" w:hAnsi="宋体"/>
                <w:szCs w:val="21"/>
              </w:rPr>
            </w:pPr>
          </w:p>
        </w:tc>
        <w:tc>
          <w:tcPr>
            <w:tcW w:w="709" w:type="pct"/>
            <w:vAlign w:val="center"/>
          </w:tcPr>
          <w:p w14:paraId="1EE9F52B">
            <w:pPr>
              <w:spacing w:line="240" w:lineRule="exact"/>
              <w:jc w:val="center"/>
              <w:rPr>
                <w:rFonts w:ascii="宋体" w:hAnsi="宋体"/>
                <w:szCs w:val="21"/>
              </w:rPr>
            </w:pPr>
            <w:r>
              <w:rPr>
                <w:rFonts w:ascii="宋体" w:hAnsi="宋体"/>
                <w:szCs w:val="21"/>
              </w:rPr>
              <w:t>帕萨特、凯美瑞、天籁</w:t>
            </w:r>
            <w:r>
              <w:rPr>
                <w:rFonts w:hint="eastAsia" w:ascii="宋体" w:hAnsi="宋体"/>
                <w:szCs w:val="21"/>
              </w:rPr>
              <w:t>及同类车型</w:t>
            </w:r>
          </w:p>
        </w:tc>
        <w:tc>
          <w:tcPr>
            <w:tcW w:w="969" w:type="pct"/>
            <w:vAlign w:val="center"/>
          </w:tcPr>
          <w:p w14:paraId="106F267A">
            <w:pPr>
              <w:spacing w:line="240" w:lineRule="exact"/>
              <w:jc w:val="center"/>
              <w:rPr>
                <w:rFonts w:ascii="宋体" w:hAnsi="宋体"/>
                <w:szCs w:val="21"/>
              </w:rPr>
            </w:pPr>
            <w:r>
              <w:rPr>
                <w:rFonts w:ascii="宋体" w:hAnsi="宋体"/>
                <w:szCs w:val="21"/>
              </w:rPr>
              <w:t>注册年限6年内</w:t>
            </w:r>
          </w:p>
          <w:p w14:paraId="1323BE1C">
            <w:pPr>
              <w:spacing w:line="240" w:lineRule="exact"/>
              <w:jc w:val="center"/>
              <w:rPr>
                <w:rFonts w:ascii="宋体" w:hAnsi="宋体"/>
                <w:szCs w:val="21"/>
              </w:rPr>
            </w:pPr>
            <w:r>
              <w:rPr>
                <w:rFonts w:ascii="宋体" w:hAnsi="宋体"/>
                <w:szCs w:val="21"/>
              </w:rPr>
              <w:t>达到营运标准</w:t>
            </w:r>
          </w:p>
        </w:tc>
      </w:tr>
      <w:tr w14:paraId="70B37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384" w:type="pct"/>
            <w:vMerge w:val="continue"/>
            <w:vAlign w:val="center"/>
          </w:tcPr>
          <w:p w14:paraId="2135131B">
            <w:pPr>
              <w:jc w:val="center"/>
              <w:rPr>
                <w:rFonts w:ascii="宋体" w:hAnsi="宋体"/>
                <w:kern w:val="0"/>
                <w:szCs w:val="21"/>
              </w:rPr>
            </w:pPr>
          </w:p>
        </w:tc>
        <w:tc>
          <w:tcPr>
            <w:tcW w:w="690" w:type="pct"/>
            <w:vMerge w:val="continue"/>
            <w:vAlign w:val="center"/>
          </w:tcPr>
          <w:p w14:paraId="0C2AACF5">
            <w:pPr>
              <w:jc w:val="center"/>
              <w:rPr>
                <w:rFonts w:ascii="宋体" w:hAnsi="宋体"/>
                <w:szCs w:val="21"/>
              </w:rPr>
            </w:pPr>
          </w:p>
        </w:tc>
        <w:tc>
          <w:tcPr>
            <w:tcW w:w="669" w:type="pct"/>
            <w:vAlign w:val="center"/>
          </w:tcPr>
          <w:p w14:paraId="5C39E4AE">
            <w:pPr>
              <w:spacing w:line="240" w:lineRule="exact"/>
              <w:jc w:val="center"/>
              <w:rPr>
                <w:rFonts w:ascii="宋体" w:hAnsi="宋体"/>
                <w:szCs w:val="21"/>
              </w:rPr>
            </w:pPr>
            <w:r>
              <w:rPr>
                <w:rFonts w:ascii="宋体" w:hAnsi="宋体"/>
                <w:szCs w:val="21"/>
              </w:rPr>
              <w:t>商务车</w:t>
            </w:r>
          </w:p>
          <w:p w14:paraId="3406D176">
            <w:pPr>
              <w:spacing w:line="240" w:lineRule="exact"/>
              <w:jc w:val="center"/>
              <w:rPr>
                <w:rFonts w:ascii="宋体" w:hAnsi="宋体"/>
                <w:szCs w:val="21"/>
              </w:rPr>
            </w:pPr>
            <w:r>
              <w:rPr>
                <w:rFonts w:ascii="宋体" w:hAnsi="宋体"/>
                <w:szCs w:val="21"/>
              </w:rPr>
              <w:t>(7座)</w:t>
            </w:r>
          </w:p>
        </w:tc>
        <w:tc>
          <w:tcPr>
            <w:tcW w:w="465" w:type="pct"/>
            <w:vAlign w:val="center"/>
          </w:tcPr>
          <w:p w14:paraId="049E6513">
            <w:pPr>
              <w:spacing w:line="240" w:lineRule="exact"/>
              <w:jc w:val="center"/>
              <w:rPr>
                <w:rFonts w:ascii="宋体" w:hAnsi="宋体"/>
                <w:szCs w:val="21"/>
              </w:rPr>
            </w:pPr>
          </w:p>
        </w:tc>
        <w:tc>
          <w:tcPr>
            <w:tcW w:w="1114" w:type="pct"/>
            <w:gridSpan w:val="2"/>
            <w:vAlign w:val="center"/>
          </w:tcPr>
          <w:p w14:paraId="4B984F23">
            <w:pPr>
              <w:spacing w:line="240" w:lineRule="exact"/>
              <w:jc w:val="center"/>
              <w:rPr>
                <w:rFonts w:ascii="宋体" w:hAnsi="宋体"/>
                <w:szCs w:val="21"/>
              </w:rPr>
            </w:pPr>
          </w:p>
        </w:tc>
        <w:tc>
          <w:tcPr>
            <w:tcW w:w="709" w:type="pct"/>
            <w:vAlign w:val="center"/>
          </w:tcPr>
          <w:p w14:paraId="2D20C543">
            <w:pPr>
              <w:spacing w:line="240" w:lineRule="exact"/>
              <w:jc w:val="center"/>
              <w:rPr>
                <w:rFonts w:ascii="宋体" w:hAnsi="宋体"/>
                <w:szCs w:val="21"/>
              </w:rPr>
            </w:pPr>
            <w:r>
              <w:rPr>
                <w:rFonts w:ascii="宋体" w:hAnsi="宋体"/>
                <w:szCs w:val="21"/>
              </w:rPr>
              <w:t>别克GL8</w:t>
            </w:r>
            <w:r>
              <w:rPr>
                <w:rFonts w:hint="eastAsia" w:ascii="宋体" w:hAnsi="宋体"/>
                <w:szCs w:val="21"/>
              </w:rPr>
              <w:t>及同类车型</w:t>
            </w:r>
          </w:p>
        </w:tc>
        <w:tc>
          <w:tcPr>
            <w:tcW w:w="969" w:type="pct"/>
            <w:vAlign w:val="center"/>
          </w:tcPr>
          <w:p w14:paraId="5D3C631F">
            <w:pPr>
              <w:spacing w:line="240" w:lineRule="exact"/>
              <w:jc w:val="center"/>
              <w:rPr>
                <w:rFonts w:ascii="宋体" w:hAnsi="宋体"/>
                <w:szCs w:val="21"/>
              </w:rPr>
            </w:pPr>
            <w:r>
              <w:rPr>
                <w:rFonts w:ascii="宋体" w:hAnsi="宋体"/>
                <w:szCs w:val="21"/>
              </w:rPr>
              <w:t>达到营运标准</w:t>
            </w:r>
          </w:p>
        </w:tc>
      </w:tr>
      <w:tr w14:paraId="0BA8F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384" w:type="pct"/>
            <w:vMerge w:val="continue"/>
            <w:vAlign w:val="center"/>
          </w:tcPr>
          <w:p w14:paraId="2FD7D458">
            <w:pPr>
              <w:jc w:val="center"/>
              <w:rPr>
                <w:rFonts w:ascii="宋体" w:hAnsi="宋体"/>
                <w:kern w:val="0"/>
                <w:szCs w:val="21"/>
              </w:rPr>
            </w:pPr>
          </w:p>
        </w:tc>
        <w:tc>
          <w:tcPr>
            <w:tcW w:w="690" w:type="pct"/>
            <w:vMerge w:val="continue"/>
            <w:vAlign w:val="center"/>
          </w:tcPr>
          <w:p w14:paraId="05F9F4A3">
            <w:pPr>
              <w:jc w:val="center"/>
              <w:rPr>
                <w:rFonts w:ascii="宋体" w:hAnsi="宋体"/>
                <w:szCs w:val="21"/>
              </w:rPr>
            </w:pPr>
          </w:p>
        </w:tc>
        <w:tc>
          <w:tcPr>
            <w:tcW w:w="669" w:type="pct"/>
            <w:vAlign w:val="center"/>
          </w:tcPr>
          <w:p w14:paraId="612ABB53">
            <w:pPr>
              <w:spacing w:line="240" w:lineRule="exact"/>
              <w:jc w:val="center"/>
              <w:rPr>
                <w:rFonts w:ascii="宋体" w:hAnsi="宋体"/>
                <w:szCs w:val="21"/>
              </w:rPr>
            </w:pPr>
            <w:r>
              <w:rPr>
                <w:rFonts w:ascii="宋体" w:hAnsi="宋体"/>
                <w:szCs w:val="21"/>
              </w:rPr>
              <w:t>轻客</w:t>
            </w:r>
          </w:p>
          <w:p w14:paraId="3F613C24">
            <w:pPr>
              <w:spacing w:line="240" w:lineRule="exact"/>
              <w:jc w:val="center"/>
              <w:rPr>
                <w:rFonts w:ascii="宋体" w:hAnsi="宋体"/>
                <w:szCs w:val="21"/>
              </w:rPr>
            </w:pPr>
            <w:r>
              <w:rPr>
                <w:rFonts w:ascii="宋体" w:hAnsi="宋体"/>
                <w:szCs w:val="21"/>
              </w:rPr>
              <w:t>(</w:t>
            </w:r>
            <w:r>
              <w:rPr>
                <w:rFonts w:hint="eastAsia" w:ascii="宋体" w:hAnsi="宋体"/>
                <w:szCs w:val="21"/>
              </w:rPr>
              <w:t>8-13</w:t>
            </w:r>
            <w:r>
              <w:rPr>
                <w:rFonts w:ascii="宋体" w:hAnsi="宋体"/>
                <w:szCs w:val="21"/>
              </w:rPr>
              <w:t>座)</w:t>
            </w:r>
          </w:p>
        </w:tc>
        <w:tc>
          <w:tcPr>
            <w:tcW w:w="465" w:type="pct"/>
            <w:vAlign w:val="center"/>
          </w:tcPr>
          <w:p w14:paraId="104CF484">
            <w:pPr>
              <w:spacing w:line="240" w:lineRule="exact"/>
              <w:jc w:val="center"/>
              <w:rPr>
                <w:rFonts w:ascii="宋体" w:hAnsi="宋体"/>
                <w:szCs w:val="21"/>
              </w:rPr>
            </w:pPr>
          </w:p>
        </w:tc>
        <w:tc>
          <w:tcPr>
            <w:tcW w:w="1114" w:type="pct"/>
            <w:gridSpan w:val="2"/>
            <w:vAlign w:val="center"/>
          </w:tcPr>
          <w:p w14:paraId="734D31B5">
            <w:pPr>
              <w:spacing w:line="240" w:lineRule="exact"/>
              <w:jc w:val="center"/>
              <w:rPr>
                <w:rFonts w:ascii="宋体" w:hAnsi="宋体"/>
                <w:szCs w:val="21"/>
              </w:rPr>
            </w:pPr>
          </w:p>
        </w:tc>
        <w:tc>
          <w:tcPr>
            <w:tcW w:w="709" w:type="pct"/>
            <w:vAlign w:val="center"/>
          </w:tcPr>
          <w:p w14:paraId="7378F113">
            <w:pPr>
              <w:spacing w:line="240" w:lineRule="exact"/>
              <w:jc w:val="center"/>
              <w:rPr>
                <w:rFonts w:ascii="宋体" w:hAnsi="宋体"/>
                <w:szCs w:val="21"/>
              </w:rPr>
            </w:pPr>
            <w:r>
              <w:rPr>
                <w:rFonts w:ascii="宋体" w:hAnsi="宋体"/>
                <w:szCs w:val="21"/>
              </w:rPr>
              <w:t>海狮</w:t>
            </w:r>
            <w:r>
              <w:rPr>
                <w:rFonts w:hint="eastAsia" w:ascii="宋体" w:hAnsi="宋体"/>
                <w:szCs w:val="21"/>
              </w:rPr>
              <w:t>及同类车型</w:t>
            </w:r>
          </w:p>
        </w:tc>
        <w:tc>
          <w:tcPr>
            <w:tcW w:w="969" w:type="pct"/>
            <w:vAlign w:val="center"/>
          </w:tcPr>
          <w:p w14:paraId="01C55DB8">
            <w:pPr>
              <w:spacing w:line="240" w:lineRule="exact"/>
              <w:jc w:val="center"/>
              <w:rPr>
                <w:rFonts w:ascii="宋体" w:hAnsi="宋体"/>
                <w:szCs w:val="21"/>
              </w:rPr>
            </w:pPr>
            <w:r>
              <w:rPr>
                <w:rFonts w:ascii="宋体" w:hAnsi="宋体"/>
                <w:szCs w:val="21"/>
              </w:rPr>
              <w:t>达到客车营运标准</w:t>
            </w:r>
          </w:p>
        </w:tc>
      </w:tr>
      <w:tr w14:paraId="0CD0D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384" w:type="pct"/>
            <w:vMerge w:val="continue"/>
            <w:vAlign w:val="center"/>
          </w:tcPr>
          <w:p w14:paraId="6C8D3330">
            <w:pPr>
              <w:jc w:val="center"/>
              <w:rPr>
                <w:rFonts w:ascii="宋体" w:hAnsi="宋体"/>
                <w:kern w:val="0"/>
                <w:szCs w:val="21"/>
              </w:rPr>
            </w:pPr>
          </w:p>
        </w:tc>
        <w:tc>
          <w:tcPr>
            <w:tcW w:w="690" w:type="pct"/>
            <w:vMerge w:val="continue"/>
            <w:vAlign w:val="center"/>
          </w:tcPr>
          <w:p w14:paraId="7FF1BC4C">
            <w:pPr>
              <w:jc w:val="center"/>
              <w:rPr>
                <w:rFonts w:ascii="宋体" w:hAnsi="宋体"/>
                <w:szCs w:val="21"/>
              </w:rPr>
            </w:pPr>
          </w:p>
        </w:tc>
        <w:tc>
          <w:tcPr>
            <w:tcW w:w="669" w:type="pct"/>
            <w:vAlign w:val="center"/>
          </w:tcPr>
          <w:p w14:paraId="77D1BB0C">
            <w:pPr>
              <w:spacing w:line="240" w:lineRule="exact"/>
              <w:jc w:val="center"/>
              <w:rPr>
                <w:rFonts w:ascii="宋体" w:hAnsi="宋体"/>
                <w:szCs w:val="21"/>
              </w:rPr>
            </w:pPr>
            <w:r>
              <w:rPr>
                <w:rFonts w:ascii="宋体" w:hAnsi="宋体"/>
                <w:szCs w:val="21"/>
              </w:rPr>
              <w:t>中型客车(</w:t>
            </w:r>
            <w:r>
              <w:rPr>
                <w:rFonts w:hint="eastAsia" w:ascii="宋体" w:hAnsi="宋体"/>
                <w:szCs w:val="21"/>
              </w:rPr>
              <w:t>15-23</w:t>
            </w:r>
            <w:r>
              <w:rPr>
                <w:rFonts w:ascii="宋体" w:hAnsi="宋体"/>
                <w:szCs w:val="21"/>
              </w:rPr>
              <w:t>座)</w:t>
            </w:r>
          </w:p>
        </w:tc>
        <w:tc>
          <w:tcPr>
            <w:tcW w:w="465" w:type="pct"/>
            <w:vAlign w:val="center"/>
          </w:tcPr>
          <w:p w14:paraId="4401BCE9">
            <w:pPr>
              <w:spacing w:line="240" w:lineRule="exact"/>
              <w:jc w:val="center"/>
              <w:rPr>
                <w:rFonts w:ascii="宋体" w:hAnsi="宋体"/>
                <w:szCs w:val="21"/>
              </w:rPr>
            </w:pPr>
          </w:p>
        </w:tc>
        <w:tc>
          <w:tcPr>
            <w:tcW w:w="1114" w:type="pct"/>
            <w:gridSpan w:val="2"/>
            <w:vAlign w:val="center"/>
          </w:tcPr>
          <w:p w14:paraId="11B912BC">
            <w:pPr>
              <w:spacing w:line="240" w:lineRule="exact"/>
              <w:jc w:val="center"/>
              <w:rPr>
                <w:rFonts w:ascii="宋体" w:hAnsi="宋体"/>
                <w:szCs w:val="21"/>
              </w:rPr>
            </w:pPr>
          </w:p>
        </w:tc>
        <w:tc>
          <w:tcPr>
            <w:tcW w:w="709" w:type="pct"/>
            <w:vAlign w:val="center"/>
          </w:tcPr>
          <w:p w14:paraId="041072D8">
            <w:pPr>
              <w:spacing w:line="240" w:lineRule="exact"/>
              <w:jc w:val="center"/>
              <w:rPr>
                <w:rFonts w:ascii="宋体" w:hAnsi="宋体"/>
                <w:szCs w:val="21"/>
              </w:rPr>
            </w:pPr>
            <w:r>
              <w:rPr>
                <w:rFonts w:ascii="宋体" w:hAnsi="宋体"/>
                <w:szCs w:val="21"/>
              </w:rPr>
              <w:t>考斯特</w:t>
            </w:r>
            <w:r>
              <w:rPr>
                <w:rFonts w:hint="eastAsia" w:ascii="宋体" w:hAnsi="宋体"/>
                <w:szCs w:val="21"/>
              </w:rPr>
              <w:t>及同类车型</w:t>
            </w:r>
          </w:p>
        </w:tc>
        <w:tc>
          <w:tcPr>
            <w:tcW w:w="969" w:type="pct"/>
            <w:vAlign w:val="center"/>
          </w:tcPr>
          <w:p w14:paraId="061272F5">
            <w:pPr>
              <w:spacing w:line="240" w:lineRule="exact"/>
              <w:jc w:val="center"/>
              <w:rPr>
                <w:rFonts w:ascii="宋体" w:hAnsi="宋体"/>
                <w:szCs w:val="21"/>
              </w:rPr>
            </w:pPr>
            <w:r>
              <w:rPr>
                <w:rFonts w:ascii="宋体" w:hAnsi="宋体"/>
                <w:szCs w:val="21"/>
              </w:rPr>
              <w:t>达到客车营运标准</w:t>
            </w:r>
          </w:p>
        </w:tc>
      </w:tr>
      <w:tr w14:paraId="7A9AB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384" w:type="pct"/>
            <w:vMerge w:val="continue"/>
            <w:vAlign w:val="center"/>
          </w:tcPr>
          <w:p w14:paraId="4265E501">
            <w:pPr>
              <w:jc w:val="center"/>
              <w:rPr>
                <w:rFonts w:ascii="宋体" w:hAnsi="宋体"/>
                <w:kern w:val="0"/>
                <w:szCs w:val="21"/>
              </w:rPr>
            </w:pPr>
          </w:p>
        </w:tc>
        <w:tc>
          <w:tcPr>
            <w:tcW w:w="690" w:type="pct"/>
            <w:vMerge w:val="continue"/>
            <w:vAlign w:val="center"/>
          </w:tcPr>
          <w:p w14:paraId="5A0F1EFE">
            <w:pPr>
              <w:jc w:val="center"/>
              <w:rPr>
                <w:rFonts w:ascii="宋体" w:hAnsi="宋体"/>
                <w:szCs w:val="21"/>
              </w:rPr>
            </w:pPr>
          </w:p>
        </w:tc>
        <w:tc>
          <w:tcPr>
            <w:tcW w:w="669" w:type="pct"/>
            <w:vAlign w:val="center"/>
          </w:tcPr>
          <w:p w14:paraId="1124E8FE">
            <w:pPr>
              <w:spacing w:line="240" w:lineRule="exact"/>
              <w:jc w:val="center"/>
              <w:rPr>
                <w:rFonts w:ascii="宋体" w:hAnsi="宋体"/>
                <w:szCs w:val="21"/>
              </w:rPr>
            </w:pPr>
            <w:r>
              <w:rPr>
                <w:rFonts w:ascii="宋体" w:hAnsi="宋体"/>
                <w:szCs w:val="21"/>
              </w:rPr>
              <w:t>大型客车(35座</w:t>
            </w:r>
            <w:r>
              <w:rPr>
                <w:rFonts w:hint="eastAsia" w:ascii="宋体" w:hAnsi="宋体"/>
                <w:szCs w:val="21"/>
              </w:rPr>
              <w:t>及</w:t>
            </w:r>
            <w:r>
              <w:rPr>
                <w:rFonts w:ascii="宋体" w:hAnsi="宋体"/>
                <w:szCs w:val="21"/>
              </w:rPr>
              <w:t>以上)</w:t>
            </w:r>
          </w:p>
        </w:tc>
        <w:tc>
          <w:tcPr>
            <w:tcW w:w="465" w:type="pct"/>
            <w:vAlign w:val="center"/>
          </w:tcPr>
          <w:p w14:paraId="500B0F45">
            <w:pPr>
              <w:spacing w:line="240" w:lineRule="exact"/>
              <w:jc w:val="center"/>
              <w:rPr>
                <w:rFonts w:ascii="宋体" w:hAnsi="宋体"/>
                <w:szCs w:val="21"/>
              </w:rPr>
            </w:pPr>
          </w:p>
        </w:tc>
        <w:tc>
          <w:tcPr>
            <w:tcW w:w="1114" w:type="pct"/>
            <w:gridSpan w:val="2"/>
            <w:vAlign w:val="center"/>
          </w:tcPr>
          <w:p w14:paraId="5355B058">
            <w:pPr>
              <w:spacing w:line="240" w:lineRule="exact"/>
              <w:jc w:val="center"/>
              <w:rPr>
                <w:rFonts w:ascii="宋体" w:hAnsi="宋体"/>
                <w:szCs w:val="21"/>
              </w:rPr>
            </w:pPr>
          </w:p>
        </w:tc>
        <w:tc>
          <w:tcPr>
            <w:tcW w:w="709" w:type="pct"/>
            <w:vAlign w:val="center"/>
          </w:tcPr>
          <w:p w14:paraId="195AF77D">
            <w:pPr>
              <w:spacing w:line="240" w:lineRule="exact"/>
              <w:jc w:val="center"/>
              <w:rPr>
                <w:rFonts w:ascii="宋体" w:hAnsi="宋体"/>
                <w:szCs w:val="21"/>
              </w:rPr>
            </w:pPr>
            <w:r>
              <w:rPr>
                <w:rFonts w:ascii="宋体" w:hAnsi="宋体"/>
                <w:szCs w:val="21"/>
              </w:rPr>
              <w:t>宇通</w:t>
            </w:r>
            <w:r>
              <w:rPr>
                <w:rFonts w:hint="eastAsia" w:ascii="宋体" w:hAnsi="宋体"/>
                <w:szCs w:val="21"/>
              </w:rPr>
              <w:t>及同类车型</w:t>
            </w:r>
          </w:p>
        </w:tc>
        <w:tc>
          <w:tcPr>
            <w:tcW w:w="969" w:type="pct"/>
            <w:vAlign w:val="center"/>
          </w:tcPr>
          <w:p w14:paraId="51D52FE1">
            <w:pPr>
              <w:spacing w:line="240" w:lineRule="exact"/>
              <w:jc w:val="center"/>
              <w:rPr>
                <w:rFonts w:ascii="宋体" w:hAnsi="宋体"/>
                <w:szCs w:val="21"/>
              </w:rPr>
            </w:pPr>
            <w:r>
              <w:rPr>
                <w:rFonts w:ascii="宋体" w:hAnsi="宋体"/>
                <w:szCs w:val="21"/>
              </w:rPr>
              <w:t>达到客车营运标准</w:t>
            </w:r>
          </w:p>
        </w:tc>
      </w:tr>
      <w:tr w14:paraId="53FBC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2" w:hRule="atLeast"/>
          <w:jc w:val="center"/>
        </w:trPr>
        <w:tc>
          <w:tcPr>
            <w:tcW w:w="384" w:type="pct"/>
            <w:vMerge w:val="continue"/>
            <w:shd w:val="clear" w:color="auto" w:fill="auto"/>
            <w:vAlign w:val="center"/>
          </w:tcPr>
          <w:p w14:paraId="1B7D1E5C">
            <w:pPr>
              <w:jc w:val="center"/>
              <w:rPr>
                <w:rFonts w:ascii="宋体" w:hAnsi="宋体"/>
                <w:kern w:val="0"/>
                <w:szCs w:val="21"/>
              </w:rPr>
            </w:pPr>
          </w:p>
        </w:tc>
        <w:tc>
          <w:tcPr>
            <w:tcW w:w="690" w:type="pct"/>
            <w:vMerge w:val="continue"/>
            <w:shd w:val="clear" w:color="auto" w:fill="auto"/>
            <w:vAlign w:val="center"/>
          </w:tcPr>
          <w:p w14:paraId="2A027555">
            <w:pPr>
              <w:jc w:val="center"/>
              <w:rPr>
                <w:rFonts w:ascii="宋体" w:hAnsi="宋体"/>
                <w:szCs w:val="21"/>
              </w:rPr>
            </w:pPr>
          </w:p>
        </w:tc>
        <w:tc>
          <w:tcPr>
            <w:tcW w:w="3926" w:type="pct"/>
            <w:gridSpan w:val="6"/>
            <w:shd w:val="clear" w:color="auto" w:fill="EBF1DE"/>
            <w:vAlign w:val="center"/>
          </w:tcPr>
          <w:p w14:paraId="3B5C036A">
            <w:pPr>
              <w:jc w:val="left"/>
              <w:rPr>
                <w:rFonts w:ascii="宋体" w:hAnsi="宋体"/>
                <w:szCs w:val="21"/>
              </w:rPr>
            </w:pPr>
            <w:r>
              <w:rPr>
                <w:rFonts w:hint="eastAsia" w:ascii="宋体" w:hAnsi="宋体"/>
                <w:b/>
                <w:bCs/>
                <w:szCs w:val="21"/>
              </w:rPr>
              <w:t>1.2按次租赁</w:t>
            </w:r>
          </w:p>
        </w:tc>
      </w:tr>
      <w:tr w14:paraId="72844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5" w:hRule="atLeast"/>
          <w:jc w:val="center"/>
        </w:trPr>
        <w:tc>
          <w:tcPr>
            <w:tcW w:w="384" w:type="pct"/>
            <w:vMerge w:val="continue"/>
            <w:vAlign w:val="center"/>
          </w:tcPr>
          <w:p w14:paraId="7C63EBF8">
            <w:pPr>
              <w:jc w:val="center"/>
              <w:rPr>
                <w:rFonts w:ascii="宋体" w:hAnsi="宋体"/>
                <w:kern w:val="0"/>
                <w:szCs w:val="21"/>
              </w:rPr>
            </w:pPr>
          </w:p>
        </w:tc>
        <w:tc>
          <w:tcPr>
            <w:tcW w:w="690" w:type="pct"/>
            <w:vMerge w:val="continue"/>
            <w:vAlign w:val="center"/>
          </w:tcPr>
          <w:p w14:paraId="20608B3F">
            <w:pPr>
              <w:jc w:val="center"/>
              <w:rPr>
                <w:rFonts w:ascii="宋体" w:hAnsi="宋体"/>
                <w:szCs w:val="21"/>
              </w:rPr>
            </w:pPr>
          </w:p>
        </w:tc>
        <w:tc>
          <w:tcPr>
            <w:tcW w:w="669" w:type="pct"/>
            <w:vAlign w:val="center"/>
          </w:tcPr>
          <w:p w14:paraId="32CAB6FF">
            <w:pPr>
              <w:spacing w:line="240" w:lineRule="exact"/>
              <w:jc w:val="center"/>
              <w:rPr>
                <w:rFonts w:ascii="宋体" w:hAnsi="宋体"/>
                <w:b/>
                <w:kern w:val="0"/>
                <w:szCs w:val="21"/>
              </w:rPr>
            </w:pPr>
            <w:r>
              <w:rPr>
                <w:rFonts w:ascii="宋体" w:hAnsi="宋体"/>
                <w:b/>
                <w:kern w:val="0"/>
                <w:szCs w:val="21"/>
              </w:rPr>
              <w:t>车辆类别</w:t>
            </w:r>
          </w:p>
        </w:tc>
        <w:tc>
          <w:tcPr>
            <w:tcW w:w="465" w:type="pct"/>
            <w:vAlign w:val="center"/>
          </w:tcPr>
          <w:p w14:paraId="25DB1693">
            <w:pPr>
              <w:spacing w:line="240" w:lineRule="exact"/>
              <w:jc w:val="center"/>
              <w:rPr>
                <w:rFonts w:ascii="宋体" w:hAnsi="宋体"/>
                <w:b/>
                <w:kern w:val="0"/>
                <w:szCs w:val="21"/>
              </w:rPr>
            </w:pPr>
            <w:r>
              <w:rPr>
                <w:rFonts w:ascii="宋体" w:hAnsi="宋体"/>
                <w:b/>
                <w:kern w:val="0"/>
                <w:szCs w:val="21"/>
              </w:rPr>
              <w:t>承诺提供数量</w:t>
            </w:r>
          </w:p>
          <w:p w14:paraId="60FDD93F">
            <w:pPr>
              <w:spacing w:line="240" w:lineRule="exact"/>
              <w:jc w:val="center"/>
              <w:rPr>
                <w:rFonts w:ascii="宋体" w:hAnsi="宋体"/>
                <w:b/>
                <w:kern w:val="0"/>
                <w:szCs w:val="21"/>
              </w:rPr>
            </w:pPr>
            <w:r>
              <w:rPr>
                <w:rFonts w:ascii="宋体" w:hAnsi="宋体"/>
                <w:b/>
                <w:kern w:val="0"/>
                <w:szCs w:val="21"/>
              </w:rPr>
              <w:t>(辆)</w:t>
            </w:r>
          </w:p>
        </w:tc>
        <w:tc>
          <w:tcPr>
            <w:tcW w:w="528" w:type="pct"/>
            <w:vAlign w:val="center"/>
          </w:tcPr>
          <w:p w14:paraId="0584298C">
            <w:pPr>
              <w:spacing w:line="240" w:lineRule="exact"/>
              <w:jc w:val="center"/>
              <w:rPr>
                <w:rFonts w:ascii="宋体" w:hAnsi="宋体"/>
                <w:b/>
                <w:kern w:val="0"/>
                <w:szCs w:val="21"/>
              </w:rPr>
            </w:pPr>
            <w:r>
              <w:rPr>
                <w:rFonts w:hint="eastAsia" w:ascii="宋体" w:hAnsi="宋体"/>
                <w:b/>
                <w:kern w:val="0"/>
                <w:szCs w:val="21"/>
              </w:rPr>
              <w:t>按次租赁价格（用车时长≤2小时）</w:t>
            </w:r>
          </w:p>
        </w:tc>
        <w:tc>
          <w:tcPr>
            <w:tcW w:w="586" w:type="pct"/>
            <w:vAlign w:val="center"/>
          </w:tcPr>
          <w:p w14:paraId="3A3A834D">
            <w:pPr>
              <w:spacing w:line="240" w:lineRule="exact"/>
              <w:jc w:val="center"/>
              <w:rPr>
                <w:rFonts w:ascii="宋体" w:hAnsi="宋体"/>
                <w:b/>
                <w:kern w:val="0"/>
                <w:szCs w:val="21"/>
              </w:rPr>
            </w:pPr>
            <w:r>
              <w:rPr>
                <w:rFonts w:hint="eastAsia" w:ascii="宋体" w:hAnsi="宋体"/>
                <w:b/>
                <w:kern w:val="0"/>
                <w:szCs w:val="21"/>
              </w:rPr>
              <w:t>按半天租赁价格（2小时＜用车时长≤5小时）</w:t>
            </w:r>
          </w:p>
        </w:tc>
        <w:tc>
          <w:tcPr>
            <w:tcW w:w="709" w:type="pct"/>
            <w:vAlign w:val="center"/>
          </w:tcPr>
          <w:p w14:paraId="71CBF796">
            <w:pPr>
              <w:spacing w:line="240" w:lineRule="exact"/>
              <w:jc w:val="center"/>
              <w:rPr>
                <w:rFonts w:ascii="宋体" w:hAnsi="宋体"/>
                <w:b/>
                <w:kern w:val="0"/>
                <w:szCs w:val="21"/>
              </w:rPr>
            </w:pPr>
            <w:r>
              <w:rPr>
                <w:rFonts w:ascii="宋体" w:hAnsi="宋体"/>
                <w:b/>
                <w:kern w:val="0"/>
                <w:szCs w:val="21"/>
              </w:rPr>
              <w:t>参考车型</w:t>
            </w:r>
          </w:p>
        </w:tc>
        <w:tc>
          <w:tcPr>
            <w:tcW w:w="969" w:type="pct"/>
            <w:vAlign w:val="center"/>
          </w:tcPr>
          <w:p w14:paraId="38E634CC">
            <w:pPr>
              <w:spacing w:line="240" w:lineRule="exact"/>
              <w:jc w:val="center"/>
              <w:rPr>
                <w:rFonts w:ascii="宋体" w:hAnsi="宋体"/>
                <w:b/>
                <w:kern w:val="0"/>
                <w:szCs w:val="21"/>
              </w:rPr>
            </w:pPr>
            <w:r>
              <w:rPr>
                <w:rFonts w:ascii="宋体" w:hAnsi="宋体"/>
                <w:b/>
                <w:kern w:val="0"/>
                <w:szCs w:val="21"/>
              </w:rPr>
              <w:t>备注</w:t>
            </w:r>
          </w:p>
        </w:tc>
      </w:tr>
      <w:tr w14:paraId="3B500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40" w:hRule="atLeast"/>
          <w:jc w:val="center"/>
        </w:trPr>
        <w:tc>
          <w:tcPr>
            <w:tcW w:w="384" w:type="pct"/>
            <w:vMerge w:val="continue"/>
            <w:vAlign w:val="center"/>
          </w:tcPr>
          <w:p w14:paraId="56BD08D0">
            <w:pPr>
              <w:jc w:val="center"/>
              <w:rPr>
                <w:rFonts w:ascii="宋体" w:hAnsi="宋体"/>
                <w:kern w:val="0"/>
                <w:szCs w:val="21"/>
              </w:rPr>
            </w:pPr>
          </w:p>
        </w:tc>
        <w:tc>
          <w:tcPr>
            <w:tcW w:w="690" w:type="pct"/>
            <w:vMerge w:val="continue"/>
            <w:vAlign w:val="center"/>
          </w:tcPr>
          <w:p w14:paraId="2D07FFAF">
            <w:pPr>
              <w:jc w:val="center"/>
              <w:rPr>
                <w:rFonts w:ascii="宋体" w:hAnsi="宋体"/>
                <w:szCs w:val="21"/>
              </w:rPr>
            </w:pPr>
          </w:p>
        </w:tc>
        <w:tc>
          <w:tcPr>
            <w:tcW w:w="669" w:type="pct"/>
            <w:vAlign w:val="center"/>
          </w:tcPr>
          <w:p w14:paraId="26E8BA89">
            <w:pPr>
              <w:spacing w:line="240" w:lineRule="exact"/>
              <w:jc w:val="center"/>
              <w:rPr>
                <w:rFonts w:hint="eastAsia" w:ascii="宋体" w:hAnsi="宋体"/>
                <w:szCs w:val="21"/>
              </w:rPr>
            </w:pPr>
            <w:r>
              <w:rPr>
                <w:rFonts w:hint="eastAsia" w:ascii="宋体" w:hAnsi="宋体"/>
                <w:szCs w:val="21"/>
              </w:rPr>
              <w:t>高级轿车（国宾用车，5座）</w:t>
            </w:r>
          </w:p>
        </w:tc>
        <w:tc>
          <w:tcPr>
            <w:tcW w:w="465" w:type="pct"/>
            <w:vAlign w:val="center"/>
          </w:tcPr>
          <w:p w14:paraId="4948EB11">
            <w:pPr>
              <w:jc w:val="center"/>
              <w:rPr>
                <w:rFonts w:ascii="宋体" w:hAnsi="宋体"/>
                <w:szCs w:val="21"/>
              </w:rPr>
            </w:pPr>
          </w:p>
        </w:tc>
        <w:tc>
          <w:tcPr>
            <w:tcW w:w="528" w:type="pct"/>
            <w:vAlign w:val="center"/>
          </w:tcPr>
          <w:p w14:paraId="0D6EC817">
            <w:pPr>
              <w:jc w:val="center"/>
              <w:rPr>
                <w:rFonts w:ascii="宋体" w:hAnsi="宋体"/>
                <w:szCs w:val="21"/>
              </w:rPr>
            </w:pPr>
          </w:p>
        </w:tc>
        <w:tc>
          <w:tcPr>
            <w:tcW w:w="586" w:type="pct"/>
            <w:vAlign w:val="center"/>
          </w:tcPr>
          <w:p w14:paraId="6DFED6D2">
            <w:pPr>
              <w:jc w:val="center"/>
              <w:rPr>
                <w:rFonts w:ascii="宋体" w:hAnsi="宋体"/>
                <w:szCs w:val="21"/>
              </w:rPr>
            </w:pPr>
          </w:p>
        </w:tc>
        <w:tc>
          <w:tcPr>
            <w:tcW w:w="709" w:type="pct"/>
            <w:vAlign w:val="center"/>
          </w:tcPr>
          <w:p w14:paraId="64842688">
            <w:pPr>
              <w:spacing w:line="240" w:lineRule="exact"/>
              <w:jc w:val="center"/>
              <w:rPr>
                <w:rFonts w:hint="eastAsia" w:ascii="宋体" w:hAnsi="宋体"/>
                <w:szCs w:val="21"/>
              </w:rPr>
            </w:pPr>
            <w:r>
              <w:rPr>
                <w:rFonts w:hint="eastAsia" w:ascii="宋体" w:hAnsi="宋体"/>
                <w:szCs w:val="21"/>
              </w:rPr>
              <w:t>红旗H9</w:t>
            </w:r>
          </w:p>
        </w:tc>
        <w:tc>
          <w:tcPr>
            <w:tcW w:w="969" w:type="pct"/>
            <w:vAlign w:val="center"/>
          </w:tcPr>
          <w:p w14:paraId="3CC70D24">
            <w:pPr>
              <w:spacing w:line="240" w:lineRule="exact"/>
              <w:jc w:val="center"/>
              <w:rPr>
                <w:rFonts w:hint="eastAsia" w:ascii="宋体" w:hAnsi="宋体"/>
                <w:szCs w:val="21"/>
              </w:rPr>
            </w:pPr>
            <w:r>
              <w:rPr>
                <w:rFonts w:hint="eastAsia" w:ascii="宋体" w:hAnsi="宋体"/>
                <w:szCs w:val="21"/>
              </w:rPr>
              <w:t>裸车，注册年限3年内，含车辆专项检测费、异地运输费、专项技术支持费等</w:t>
            </w:r>
          </w:p>
        </w:tc>
      </w:tr>
      <w:tr w14:paraId="3055F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384" w:type="pct"/>
            <w:vMerge w:val="continue"/>
            <w:vAlign w:val="center"/>
          </w:tcPr>
          <w:p w14:paraId="073CD4A8">
            <w:pPr>
              <w:jc w:val="center"/>
              <w:rPr>
                <w:rFonts w:ascii="宋体" w:hAnsi="宋体"/>
                <w:kern w:val="0"/>
                <w:szCs w:val="21"/>
              </w:rPr>
            </w:pPr>
          </w:p>
        </w:tc>
        <w:tc>
          <w:tcPr>
            <w:tcW w:w="690" w:type="pct"/>
            <w:vMerge w:val="continue"/>
            <w:vAlign w:val="center"/>
          </w:tcPr>
          <w:p w14:paraId="43B6EC60">
            <w:pPr>
              <w:jc w:val="center"/>
              <w:rPr>
                <w:rFonts w:ascii="宋体" w:hAnsi="宋体"/>
                <w:szCs w:val="21"/>
              </w:rPr>
            </w:pPr>
          </w:p>
        </w:tc>
        <w:tc>
          <w:tcPr>
            <w:tcW w:w="669" w:type="pct"/>
            <w:vAlign w:val="center"/>
          </w:tcPr>
          <w:p w14:paraId="5B96F351">
            <w:pPr>
              <w:spacing w:line="240" w:lineRule="exact"/>
              <w:jc w:val="center"/>
              <w:rPr>
                <w:rFonts w:ascii="宋体" w:hAnsi="宋体"/>
                <w:szCs w:val="21"/>
              </w:rPr>
            </w:pPr>
            <w:r>
              <w:rPr>
                <w:rFonts w:ascii="宋体" w:hAnsi="宋体"/>
                <w:szCs w:val="21"/>
              </w:rPr>
              <w:t>高级轿车</w:t>
            </w:r>
          </w:p>
          <w:p w14:paraId="49015F77">
            <w:pPr>
              <w:spacing w:line="240" w:lineRule="exact"/>
              <w:jc w:val="center"/>
              <w:rPr>
                <w:rFonts w:ascii="宋体" w:hAnsi="宋体"/>
                <w:szCs w:val="21"/>
              </w:rPr>
            </w:pPr>
            <w:r>
              <w:rPr>
                <w:rFonts w:ascii="宋体" w:hAnsi="宋体"/>
                <w:szCs w:val="21"/>
              </w:rPr>
              <w:t>(5座)</w:t>
            </w:r>
          </w:p>
        </w:tc>
        <w:tc>
          <w:tcPr>
            <w:tcW w:w="465" w:type="pct"/>
            <w:vAlign w:val="center"/>
          </w:tcPr>
          <w:p w14:paraId="54B8276E">
            <w:pPr>
              <w:jc w:val="center"/>
              <w:rPr>
                <w:rFonts w:ascii="宋体" w:hAnsi="宋体"/>
                <w:szCs w:val="21"/>
              </w:rPr>
            </w:pPr>
          </w:p>
        </w:tc>
        <w:tc>
          <w:tcPr>
            <w:tcW w:w="528" w:type="pct"/>
            <w:vAlign w:val="center"/>
          </w:tcPr>
          <w:p w14:paraId="37CD8093">
            <w:pPr>
              <w:jc w:val="center"/>
              <w:rPr>
                <w:rFonts w:ascii="宋体" w:hAnsi="宋体"/>
                <w:szCs w:val="21"/>
              </w:rPr>
            </w:pPr>
          </w:p>
        </w:tc>
        <w:tc>
          <w:tcPr>
            <w:tcW w:w="586" w:type="pct"/>
            <w:vAlign w:val="center"/>
          </w:tcPr>
          <w:p w14:paraId="61CA6A88">
            <w:pPr>
              <w:jc w:val="center"/>
              <w:rPr>
                <w:rFonts w:ascii="宋体" w:hAnsi="宋体"/>
                <w:szCs w:val="21"/>
              </w:rPr>
            </w:pPr>
          </w:p>
        </w:tc>
        <w:tc>
          <w:tcPr>
            <w:tcW w:w="709" w:type="pct"/>
            <w:vAlign w:val="center"/>
          </w:tcPr>
          <w:p w14:paraId="2D65C929">
            <w:pPr>
              <w:spacing w:line="240" w:lineRule="exact"/>
              <w:jc w:val="center"/>
              <w:rPr>
                <w:rFonts w:ascii="宋体" w:hAnsi="宋体"/>
                <w:szCs w:val="21"/>
              </w:rPr>
            </w:pPr>
            <w:r>
              <w:rPr>
                <w:rFonts w:ascii="宋体" w:hAnsi="宋体"/>
                <w:szCs w:val="21"/>
              </w:rPr>
              <w:t>奥迪A6、、奔驰E系列</w:t>
            </w:r>
            <w:r>
              <w:rPr>
                <w:rFonts w:hint="eastAsia" w:ascii="宋体" w:hAnsi="宋体"/>
                <w:szCs w:val="21"/>
              </w:rPr>
              <w:t>及同类车型</w:t>
            </w:r>
          </w:p>
        </w:tc>
        <w:tc>
          <w:tcPr>
            <w:tcW w:w="969" w:type="pct"/>
            <w:vAlign w:val="center"/>
          </w:tcPr>
          <w:p w14:paraId="34E2F6FF">
            <w:pPr>
              <w:spacing w:line="240" w:lineRule="exact"/>
              <w:jc w:val="center"/>
              <w:rPr>
                <w:rFonts w:ascii="宋体" w:hAnsi="宋体"/>
                <w:szCs w:val="21"/>
              </w:rPr>
            </w:pPr>
            <w:r>
              <w:rPr>
                <w:rFonts w:ascii="宋体" w:hAnsi="宋体"/>
                <w:szCs w:val="21"/>
              </w:rPr>
              <w:t>注册年限6年内</w:t>
            </w:r>
          </w:p>
          <w:p w14:paraId="022A6AF5">
            <w:pPr>
              <w:spacing w:line="240" w:lineRule="exact"/>
              <w:jc w:val="center"/>
              <w:rPr>
                <w:rFonts w:ascii="宋体" w:hAnsi="宋体"/>
                <w:szCs w:val="21"/>
              </w:rPr>
            </w:pPr>
            <w:r>
              <w:rPr>
                <w:rFonts w:ascii="宋体" w:hAnsi="宋体"/>
                <w:szCs w:val="21"/>
              </w:rPr>
              <w:t>达到营运标准</w:t>
            </w:r>
          </w:p>
        </w:tc>
      </w:tr>
      <w:tr w14:paraId="5C905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384" w:type="pct"/>
            <w:vMerge w:val="continue"/>
            <w:vAlign w:val="center"/>
          </w:tcPr>
          <w:p w14:paraId="6CCDEBCD">
            <w:pPr>
              <w:jc w:val="center"/>
              <w:rPr>
                <w:rFonts w:ascii="宋体" w:hAnsi="宋体"/>
                <w:kern w:val="0"/>
                <w:szCs w:val="21"/>
              </w:rPr>
            </w:pPr>
          </w:p>
        </w:tc>
        <w:tc>
          <w:tcPr>
            <w:tcW w:w="690" w:type="pct"/>
            <w:vMerge w:val="continue"/>
            <w:vAlign w:val="center"/>
          </w:tcPr>
          <w:p w14:paraId="32DC1175">
            <w:pPr>
              <w:jc w:val="center"/>
              <w:rPr>
                <w:rFonts w:ascii="宋体" w:hAnsi="宋体"/>
                <w:szCs w:val="21"/>
              </w:rPr>
            </w:pPr>
          </w:p>
        </w:tc>
        <w:tc>
          <w:tcPr>
            <w:tcW w:w="669" w:type="pct"/>
            <w:vAlign w:val="center"/>
          </w:tcPr>
          <w:p w14:paraId="3F968441">
            <w:pPr>
              <w:spacing w:line="240" w:lineRule="exact"/>
              <w:jc w:val="center"/>
              <w:rPr>
                <w:rFonts w:ascii="宋体" w:hAnsi="宋体"/>
                <w:szCs w:val="21"/>
              </w:rPr>
            </w:pPr>
            <w:r>
              <w:rPr>
                <w:rFonts w:ascii="宋体" w:hAnsi="宋体"/>
                <w:szCs w:val="21"/>
              </w:rPr>
              <w:t>中级轿车</w:t>
            </w:r>
          </w:p>
          <w:p w14:paraId="0C5C87C9">
            <w:pPr>
              <w:spacing w:line="240" w:lineRule="exact"/>
              <w:jc w:val="center"/>
              <w:rPr>
                <w:rFonts w:ascii="宋体" w:hAnsi="宋体"/>
                <w:szCs w:val="21"/>
              </w:rPr>
            </w:pPr>
            <w:r>
              <w:rPr>
                <w:rFonts w:ascii="宋体" w:hAnsi="宋体"/>
                <w:szCs w:val="21"/>
              </w:rPr>
              <w:t>(5座)</w:t>
            </w:r>
          </w:p>
        </w:tc>
        <w:tc>
          <w:tcPr>
            <w:tcW w:w="465" w:type="pct"/>
            <w:vAlign w:val="center"/>
          </w:tcPr>
          <w:p w14:paraId="54D1D926">
            <w:pPr>
              <w:jc w:val="center"/>
              <w:rPr>
                <w:rFonts w:ascii="宋体" w:hAnsi="宋体"/>
                <w:szCs w:val="21"/>
              </w:rPr>
            </w:pPr>
          </w:p>
        </w:tc>
        <w:tc>
          <w:tcPr>
            <w:tcW w:w="528" w:type="pct"/>
            <w:vAlign w:val="center"/>
          </w:tcPr>
          <w:p w14:paraId="11846A50">
            <w:pPr>
              <w:jc w:val="center"/>
              <w:rPr>
                <w:rFonts w:ascii="宋体" w:hAnsi="宋体"/>
                <w:szCs w:val="21"/>
              </w:rPr>
            </w:pPr>
          </w:p>
        </w:tc>
        <w:tc>
          <w:tcPr>
            <w:tcW w:w="586" w:type="pct"/>
            <w:vAlign w:val="center"/>
          </w:tcPr>
          <w:p w14:paraId="1FEF3AEF">
            <w:pPr>
              <w:jc w:val="center"/>
              <w:rPr>
                <w:rFonts w:ascii="宋体" w:hAnsi="宋体"/>
                <w:szCs w:val="21"/>
              </w:rPr>
            </w:pPr>
          </w:p>
        </w:tc>
        <w:tc>
          <w:tcPr>
            <w:tcW w:w="709" w:type="pct"/>
            <w:vAlign w:val="center"/>
          </w:tcPr>
          <w:p w14:paraId="37B49B52">
            <w:pPr>
              <w:spacing w:line="240" w:lineRule="exact"/>
              <w:jc w:val="center"/>
              <w:rPr>
                <w:rFonts w:ascii="宋体" w:hAnsi="宋体"/>
                <w:szCs w:val="21"/>
              </w:rPr>
            </w:pPr>
            <w:r>
              <w:rPr>
                <w:rFonts w:ascii="宋体" w:hAnsi="宋体"/>
                <w:szCs w:val="21"/>
              </w:rPr>
              <w:t>帕萨特、凯美瑞、天籁</w:t>
            </w:r>
            <w:r>
              <w:rPr>
                <w:rFonts w:hint="eastAsia" w:ascii="宋体" w:hAnsi="宋体"/>
                <w:szCs w:val="21"/>
              </w:rPr>
              <w:t>及同类车型</w:t>
            </w:r>
          </w:p>
        </w:tc>
        <w:tc>
          <w:tcPr>
            <w:tcW w:w="969" w:type="pct"/>
            <w:vAlign w:val="center"/>
          </w:tcPr>
          <w:p w14:paraId="26B770FB">
            <w:pPr>
              <w:spacing w:line="240" w:lineRule="exact"/>
              <w:jc w:val="center"/>
              <w:rPr>
                <w:rFonts w:ascii="宋体" w:hAnsi="宋体"/>
                <w:szCs w:val="21"/>
              </w:rPr>
            </w:pPr>
            <w:r>
              <w:rPr>
                <w:rFonts w:ascii="宋体" w:hAnsi="宋体"/>
                <w:szCs w:val="21"/>
              </w:rPr>
              <w:t>注册年限6年内</w:t>
            </w:r>
          </w:p>
          <w:p w14:paraId="66761F01">
            <w:pPr>
              <w:spacing w:line="240" w:lineRule="exact"/>
              <w:jc w:val="center"/>
              <w:rPr>
                <w:rFonts w:ascii="宋体" w:hAnsi="宋体"/>
                <w:szCs w:val="21"/>
              </w:rPr>
            </w:pPr>
            <w:r>
              <w:rPr>
                <w:rFonts w:ascii="宋体" w:hAnsi="宋体"/>
                <w:szCs w:val="21"/>
              </w:rPr>
              <w:t>达到营运标准</w:t>
            </w:r>
          </w:p>
        </w:tc>
      </w:tr>
      <w:tr w14:paraId="2EFA0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384" w:type="pct"/>
            <w:vMerge w:val="continue"/>
            <w:vAlign w:val="center"/>
          </w:tcPr>
          <w:p w14:paraId="27745C49">
            <w:pPr>
              <w:jc w:val="center"/>
              <w:rPr>
                <w:rFonts w:ascii="宋体" w:hAnsi="宋体"/>
                <w:kern w:val="0"/>
                <w:szCs w:val="21"/>
              </w:rPr>
            </w:pPr>
          </w:p>
        </w:tc>
        <w:tc>
          <w:tcPr>
            <w:tcW w:w="690" w:type="pct"/>
            <w:vMerge w:val="continue"/>
            <w:vAlign w:val="center"/>
          </w:tcPr>
          <w:p w14:paraId="36052906">
            <w:pPr>
              <w:jc w:val="center"/>
              <w:rPr>
                <w:rFonts w:ascii="宋体" w:hAnsi="宋体"/>
                <w:szCs w:val="21"/>
              </w:rPr>
            </w:pPr>
          </w:p>
        </w:tc>
        <w:tc>
          <w:tcPr>
            <w:tcW w:w="669" w:type="pct"/>
            <w:vAlign w:val="center"/>
          </w:tcPr>
          <w:p w14:paraId="7F03901C">
            <w:pPr>
              <w:spacing w:line="240" w:lineRule="exact"/>
              <w:jc w:val="center"/>
              <w:rPr>
                <w:rFonts w:ascii="宋体" w:hAnsi="宋体"/>
                <w:szCs w:val="21"/>
              </w:rPr>
            </w:pPr>
            <w:r>
              <w:rPr>
                <w:rFonts w:ascii="宋体" w:hAnsi="宋体"/>
                <w:szCs w:val="21"/>
              </w:rPr>
              <w:t>商务车</w:t>
            </w:r>
          </w:p>
          <w:p w14:paraId="46BC8692">
            <w:pPr>
              <w:spacing w:line="240" w:lineRule="exact"/>
              <w:jc w:val="center"/>
              <w:rPr>
                <w:rFonts w:ascii="宋体" w:hAnsi="宋体"/>
                <w:szCs w:val="21"/>
              </w:rPr>
            </w:pPr>
            <w:r>
              <w:rPr>
                <w:rFonts w:ascii="宋体" w:hAnsi="宋体"/>
                <w:szCs w:val="21"/>
              </w:rPr>
              <w:t>(7座)</w:t>
            </w:r>
          </w:p>
        </w:tc>
        <w:tc>
          <w:tcPr>
            <w:tcW w:w="465" w:type="pct"/>
            <w:vAlign w:val="center"/>
          </w:tcPr>
          <w:p w14:paraId="49836761">
            <w:pPr>
              <w:jc w:val="center"/>
              <w:rPr>
                <w:rFonts w:ascii="宋体" w:hAnsi="宋体"/>
                <w:szCs w:val="21"/>
              </w:rPr>
            </w:pPr>
          </w:p>
        </w:tc>
        <w:tc>
          <w:tcPr>
            <w:tcW w:w="528" w:type="pct"/>
            <w:vAlign w:val="center"/>
          </w:tcPr>
          <w:p w14:paraId="5121D3FF">
            <w:pPr>
              <w:jc w:val="center"/>
              <w:rPr>
                <w:rFonts w:ascii="宋体" w:hAnsi="宋体"/>
                <w:szCs w:val="21"/>
              </w:rPr>
            </w:pPr>
          </w:p>
        </w:tc>
        <w:tc>
          <w:tcPr>
            <w:tcW w:w="586" w:type="pct"/>
            <w:vAlign w:val="center"/>
          </w:tcPr>
          <w:p w14:paraId="19CEBCB9">
            <w:pPr>
              <w:jc w:val="center"/>
              <w:rPr>
                <w:rFonts w:ascii="宋体" w:hAnsi="宋体"/>
                <w:szCs w:val="21"/>
              </w:rPr>
            </w:pPr>
          </w:p>
        </w:tc>
        <w:tc>
          <w:tcPr>
            <w:tcW w:w="709" w:type="pct"/>
            <w:vAlign w:val="center"/>
          </w:tcPr>
          <w:p w14:paraId="2B2ACBF1">
            <w:pPr>
              <w:spacing w:line="240" w:lineRule="exact"/>
              <w:jc w:val="center"/>
              <w:rPr>
                <w:rFonts w:ascii="宋体" w:hAnsi="宋体"/>
                <w:szCs w:val="21"/>
              </w:rPr>
            </w:pPr>
            <w:r>
              <w:rPr>
                <w:rFonts w:ascii="宋体" w:hAnsi="宋体"/>
                <w:szCs w:val="21"/>
              </w:rPr>
              <w:t>别克GL8</w:t>
            </w:r>
            <w:r>
              <w:rPr>
                <w:rFonts w:hint="eastAsia" w:ascii="宋体" w:hAnsi="宋体"/>
                <w:szCs w:val="21"/>
              </w:rPr>
              <w:t>及同类车型</w:t>
            </w:r>
          </w:p>
        </w:tc>
        <w:tc>
          <w:tcPr>
            <w:tcW w:w="969" w:type="pct"/>
            <w:vAlign w:val="center"/>
          </w:tcPr>
          <w:p w14:paraId="23DEA203">
            <w:pPr>
              <w:spacing w:line="240" w:lineRule="exact"/>
              <w:jc w:val="center"/>
              <w:rPr>
                <w:rFonts w:ascii="宋体" w:hAnsi="宋体"/>
                <w:szCs w:val="21"/>
              </w:rPr>
            </w:pPr>
            <w:r>
              <w:rPr>
                <w:rFonts w:ascii="宋体" w:hAnsi="宋体"/>
                <w:szCs w:val="21"/>
              </w:rPr>
              <w:t>达到营运标准</w:t>
            </w:r>
          </w:p>
        </w:tc>
      </w:tr>
      <w:tr w14:paraId="37325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384" w:type="pct"/>
            <w:vMerge w:val="continue"/>
            <w:vAlign w:val="center"/>
          </w:tcPr>
          <w:p w14:paraId="4A251321">
            <w:pPr>
              <w:jc w:val="center"/>
              <w:rPr>
                <w:rFonts w:ascii="宋体" w:hAnsi="宋体"/>
                <w:kern w:val="0"/>
                <w:szCs w:val="21"/>
              </w:rPr>
            </w:pPr>
          </w:p>
        </w:tc>
        <w:tc>
          <w:tcPr>
            <w:tcW w:w="690" w:type="pct"/>
            <w:vMerge w:val="continue"/>
            <w:vAlign w:val="center"/>
          </w:tcPr>
          <w:p w14:paraId="0B5BB468">
            <w:pPr>
              <w:jc w:val="center"/>
              <w:rPr>
                <w:rFonts w:ascii="宋体" w:hAnsi="宋体"/>
                <w:szCs w:val="21"/>
              </w:rPr>
            </w:pPr>
          </w:p>
        </w:tc>
        <w:tc>
          <w:tcPr>
            <w:tcW w:w="669" w:type="pct"/>
            <w:vAlign w:val="center"/>
          </w:tcPr>
          <w:p w14:paraId="58249DF8">
            <w:pPr>
              <w:spacing w:line="240" w:lineRule="exact"/>
              <w:jc w:val="center"/>
              <w:rPr>
                <w:rFonts w:ascii="宋体" w:hAnsi="宋体"/>
                <w:szCs w:val="21"/>
              </w:rPr>
            </w:pPr>
            <w:r>
              <w:rPr>
                <w:rFonts w:ascii="宋体" w:hAnsi="宋体"/>
                <w:szCs w:val="21"/>
              </w:rPr>
              <w:t>轻客</w:t>
            </w:r>
          </w:p>
          <w:p w14:paraId="0FCD2909">
            <w:pPr>
              <w:spacing w:line="240" w:lineRule="exact"/>
              <w:jc w:val="center"/>
              <w:rPr>
                <w:rFonts w:ascii="宋体" w:hAnsi="宋体"/>
                <w:szCs w:val="21"/>
              </w:rPr>
            </w:pPr>
            <w:r>
              <w:rPr>
                <w:rFonts w:ascii="宋体" w:hAnsi="宋体"/>
                <w:szCs w:val="21"/>
              </w:rPr>
              <w:t>(</w:t>
            </w:r>
            <w:r>
              <w:rPr>
                <w:rFonts w:hint="eastAsia" w:ascii="宋体" w:hAnsi="宋体"/>
                <w:szCs w:val="21"/>
              </w:rPr>
              <w:t>8-13</w:t>
            </w:r>
            <w:r>
              <w:rPr>
                <w:rFonts w:ascii="宋体" w:hAnsi="宋体"/>
                <w:szCs w:val="21"/>
              </w:rPr>
              <w:t>座)</w:t>
            </w:r>
          </w:p>
        </w:tc>
        <w:tc>
          <w:tcPr>
            <w:tcW w:w="465" w:type="pct"/>
            <w:vAlign w:val="center"/>
          </w:tcPr>
          <w:p w14:paraId="4CABEE00">
            <w:pPr>
              <w:jc w:val="center"/>
              <w:rPr>
                <w:rFonts w:ascii="宋体" w:hAnsi="宋体"/>
                <w:szCs w:val="21"/>
              </w:rPr>
            </w:pPr>
          </w:p>
        </w:tc>
        <w:tc>
          <w:tcPr>
            <w:tcW w:w="528" w:type="pct"/>
            <w:vAlign w:val="center"/>
          </w:tcPr>
          <w:p w14:paraId="7AD64486">
            <w:pPr>
              <w:jc w:val="center"/>
              <w:rPr>
                <w:rFonts w:ascii="宋体" w:hAnsi="宋体"/>
                <w:szCs w:val="21"/>
              </w:rPr>
            </w:pPr>
          </w:p>
        </w:tc>
        <w:tc>
          <w:tcPr>
            <w:tcW w:w="586" w:type="pct"/>
            <w:vAlign w:val="center"/>
          </w:tcPr>
          <w:p w14:paraId="090FB04F">
            <w:pPr>
              <w:jc w:val="center"/>
              <w:rPr>
                <w:rFonts w:ascii="宋体" w:hAnsi="宋体"/>
                <w:szCs w:val="21"/>
              </w:rPr>
            </w:pPr>
          </w:p>
        </w:tc>
        <w:tc>
          <w:tcPr>
            <w:tcW w:w="709" w:type="pct"/>
            <w:vAlign w:val="center"/>
          </w:tcPr>
          <w:p w14:paraId="39EB8245">
            <w:pPr>
              <w:spacing w:line="240" w:lineRule="exact"/>
              <w:jc w:val="center"/>
              <w:rPr>
                <w:rFonts w:ascii="宋体" w:hAnsi="宋体"/>
                <w:szCs w:val="21"/>
              </w:rPr>
            </w:pPr>
            <w:r>
              <w:rPr>
                <w:rFonts w:ascii="宋体" w:hAnsi="宋体"/>
                <w:szCs w:val="21"/>
              </w:rPr>
              <w:t>海狮</w:t>
            </w:r>
            <w:r>
              <w:rPr>
                <w:rFonts w:hint="eastAsia" w:ascii="宋体" w:hAnsi="宋体"/>
                <w:szCs w:val="21"/>
              </w:rPr>
              <w:t>及同类车型</w:t>
            </w:r>
          </w:p>
        </w:tc>
        <w:tc>
          <w:tcPr>
            <w:tcW w:w="969" w:type="pct"/>
            <w:vAlign w:val="center"/>
          </w:tcPr>
          <w:p w14:paraId="1AF1540E">
            <w:pPr>
              <w:spacing w:line="240" w:lineRule="exact"/>
              <w:jc w:val="center"/>
              <w:rPr>
                <w:rFonts w:ascii="宋体" w:hAnsi="宋体"/>
                <w:szCs w:val="21"/>
              </w:rPr>
            </w:pPr>
            <w:r>
              <w:rPr>
                <w:rFonts w:ascii="宋体" w:hAnsi="宋体"/>
                <w:szCs w:val="21"/>
              </w:rPr>
              <w:t>达到客车营运标准</w:t>
            </w:r>
          </w:p>
        </w:tc>
      </w:tr>
      <w:tr w14:paraId="36562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384" w:type="pct"/>
            <w:vMerge w:val="continue"/>
            <w:vAlign w:val="center"/>
          </w:tcPr>
          <w:p w14:paraId="22829C61">
            <w:pPr>
              <w:jc w:val="center"/>
              <w:rPr>
                <w:rFonts w:ascii="宋体" w:hAnsi="宋体"/>
                <w:kern w:val="0"/>
                <w:szCs w:val="21"/>
              </w:rPr>
            </w:pPr>
          </w:p>
        </w:tc>
        <w:tc>
          <w:tcPr>
            <w:tcW w:w="690" w:type="pct"/>
            <w:vMerge w:val="continue"/>
            <w:vAlign w:val="center"/>
          </w:tcPr>
          <w:p w14:paraId="07B6044B">
            <w:pPr>
              <w:jc w:val="center"/>
              <w:rPr>
                <w:rFonts w:ascii="宋体" w:hAnsi="宋体"/>
                <w:szCs w:val="21"/>
              </w:rPr>
            </w:pPr>
          </w:p>
        </w:tc>
        <w:tc>
          <w:tcPr>
            <w:tcW w:w="669" w:type="pct"/>
            <w:vAlign w:val="center"/>
          </w:tcPr>
          <w:p w14:paraId="6CCF568F">
            <w:pPr>
              <w:spacing w:line="240" w:lineRule="exact"/>
              <w:jc w:val="center"/>
              <w:rPr>
                <w:rFonts w:ascii="宋体" w:hAnsi="宋体"/>
                <w:szCs w:val="21"/>
              </w:rPr>
            </w:pPr>
            <w:r>
              <w:rPr>
                <w:rFonts w:ascii="宋体" w:hAnsi="宋体"/>
                <w:szCs w:val="21"/>
              </w:rPr>
              <w:t>中型客车(</w:t>
            </w:r>
            <w:r>
              <w:rPr>
                <w:rFonts w:hint="eastAsia" w:ascii="宋体" w:hAnsi="宋体"/>
                <w:szCs w:val="21"/>
              </w:rPr>
              <w:t>15-23</w:t>
            </w:r>
            <w:r>
              <w:rPr>
                <w:rFonts w:ascii="宋体" w:hAnsi="宋体"/>
                <w:szCs w:val="21"/>
              </w:rPr>
              <w:t>座)</w:t>
            </w:r>
          </w:p>
        </w:tc>
        <w:tc>
          <w:tcPr>
            <w:tcW w:w="465" w:type="pct"/>
            <w:vAlign w:val="center"/>
          </w:tcPr>
          <w:p w14:paraId="69389752">
            <w:pPr>
              <w:jc w:val="center"/>
              <w:rPr>
                <w:rFonts w:ascii="宋体" w:hAnsi="宋体"/>
                <w:szCs w:val="21"/>
              </w:rPr>
            </w:pPr>
          </w:p>
        </w:tc>
        <w:tc>
          <w:tcPr>
            <w:tcW w:w="528" w:type="pct"/>
            <w:vAlign w:val="center"/>
          </w:tcPr>
          <w:p w14:paraId="3B1209DE">
            <w:pPr>
              <w:jc w:val="center"/>
              <w:rPr>
                <w:rFonts w:ascii="宋体" w:hAnsi="宋体"/>
                <w:szCs w:val="21"/>
              </w:rPr>
            </w:pPr>
          </w:p>
        </w:tc>
        <w:tc>
          <w:tcPr>
            <w:tcW w:w="586" w:type="pct"/>
            <w:vAlign w:val="center"/>
          </w:tcPr>
          <w:p w14:paraId="3E1164C3">
            <w:pPr>
              <w:jc w:val="center"/>
              <w:rPr>
                <w:rFonts w:ascii="宋体" w:hAnsi="宋体"/>
                <w:szCs w:val="21"/>
              </w:rPr>
            </w:pPr>
          </w:p>
        </w:tc>
        <w:tc>
          <w:tcPr>
            <w:tcW w:w="709" w:type="pct"/>
            <w:vAlign w:val="center"/>
          </w:tcPr>
          <w:p w14:paraId="3C5361E2">
            <w:pPr>
              <w:spacing w:line="240" w:lineRule="exact"/>
              <w:jc w:val="center"/>
              <w:rPr>
                <w:rFonts w:ascii="宋体" w:hAnsi="宋体"/>
                <w:szCs w:val="21"/>
              </w:rPr>
            </w:pPr>
            <w:r>
              <w:rPr>
                <w:rFonts w:ascii="宋体" w:hAnsi="宋体"/>
                <w:szCs w:val="21"/>
              </w:rPr>
              <w:t>考斯特</w:t>
            </w:r>
            <w:r>
              <w:rPr>
                <w:rFonts w:hint="eastAsia" w:ascii="宋体" w:hAnsi="宋体"/>
                <w:szCs w:val="21"/>
              </w:rPr>
              <w:t>及同类车型</w:t>
            </w:r>
          </w:p>
        </w:tc>
        <w:tc>
          <w:tcPr>
            <w:tcW w:w="969" w:type="pct"/>
            <w:vAlign w:val="center"/>
          </w:tcPr>
          <w:p w14:paraId="65DEFB28">
            <w:pPr>
              <w:spacing w:line="240" w:lineRule="exact"/>
              <w:jc w:val="center"/>
              <w:rPr>
                <w:rFonts w:ascii="宋体" w:hAnsi="宋体"/>
                <w:szCs w:val="21"/>
              </w:rPr>
            </w:pPr>
            <w:r>
              <w:rPr>
                <w:rFonts w:ascii="宋体" w:hAnsi="宋体"/>
                <w:szCs w:val="21"/>
              </w:rPr>
              <w:t>达到客车营运标准</w:t>
            </w:r>
          </w:p>
        </w:tc>
      </w:tr>
      <w:tr w14:paraId="219AC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384" w:type="pct"/>
            <w:vMerge w:val="continue"/>
            <w:vAlign w:val="center"/>
          </w:tcPr>
          <w:p w14:paraId="225C2006">
            <w:pPr>
              <w:jc w:val="center"/>
              <w:rPr>
                <w:rFonts w:ascii="宋体" w:hAnsi="宋体"/>
                <w:kern w:val="0"/>
                <w:szCs w:val="21"/>
              </w:rPr>
            </w:pPr>
          </w:p>
        </w:tc>
        <w:tc>
          <w:tcPr>
            <w:tcW w:w="690" w:type="pct"/>
            <w:vMerge w:val="continue"/>
            <w:vAlign w:val="center"/>
          </w:tcPr>
          <w:p w14:paraId="43454D23">
            <w:pPr>
              <w:jc w:val="center"/>
              <w:rPr>
                <w:rFonts w:ascii="宋体" w:hAnsi="宋体"/>
                <w:szCs w:val="21"/>
              </w:rPr>
            </w:pPr>
          </w:p>
        </w:tc>
        <w:tc>
          <w:tcPr>
            <w:tcW w:w="669" w:type="pct"/>
            <w:vAlign w:val="center"/>
          </w:tcPr>
          <w:p w14:paraId="54AD1214">
            <w:pPr>
              <w:spacing w:line="240" w:lineRule="exact"/>
              <w:jc w:val="center"/>
              <w:rPr>
                <w:rFonts w:ascii="宋体" w:hAnsi="宋体"/>
                <w:szCs w:val="21"/>
              </w:rPr>
            </w:pPr>
            <w:r>
              <w:rPr>
                <w:rFonts w:ascii="宋体" w:hAnsi="宋体"/>
                <w:szCs w:val="21"/>
              </w:rPr>
              <w:t>大型客车(35座</w:t>
            </w:r>
            <w:r>
              <w:rPr>
                <w:rFonts w:hint="eastAsia" w:ascii="宋体" w:hAnsi="宋体"/>
                <w:szCs w:val="21"/>
              </w:rPr>
              <w:t>及</w:t>
            </w:r>
            <w:r>
              <w:rPr>
                <w:rFonts w:ascii="宋体" w:hAnsi="宋体"/>
                <w:szCs w:val="21"/>
              </w:rPr>
              <w:t>以上)</w:t>
            </w:r>
          </w:p>
        </w:tc>
        <w:tc>
          <w:tcPr>
            <w:tcW w:w="465" w:type="pct"/>
            <w:vAlign w:val="center"/>
          </w:tcPr>
          <w:p w14:paraId="0E9B655B">
            <w:pPr>
              <w:jc w:val="center"/>
              <w:rPr>
                <w:rFonts w:ascii="宋体" w:hAnsi="宋体"/>
                <w:szCs w:val="21"/>
              </w:rPr>
            </w:pPr>
          </w:p>
        </w:tc>
        <w:tc>
          <w:tcPr>
            <w:tcW w:w="528" w:type="pct"/>
            <w:vAlign w:val="center"/>
          </w:tcPr>
          <w:p w14:paraId="7A8C1099">
            <w:pPr>
              <w:jc w:val="center"/>
              <w:rPr>
                <w:rFonts w:ascii="宋体" w:hAnsi="宋体"/>
                <w:szCs w:val="21"/>
              </w:rPr>
            </w:pPr>
          </w:p>
        </w:tc>
        <w:tc>
          <w:tcPr>
            <w:tcW w:w="586" w:type="pct"/>
            <w:vAlign w:val="center"/>
          </w:tcPr>
          <w:p w14:paraId="6A65B4CA">
            <w:pPr>
              <w:jc w:val="center"/>
              <w:rPr>
                <w:rFonts w:ascii="宋体" w:hAnsi="宋体"/>
                <w:szCs w:val="21"/>
              </w:rPr>
            </w:pPr>
          </w:p>
        </w:tc>
        <w:tc>
          <w:tcPr>
            <w:tcW w:w="709" w:type="pct"/>
            <w:vAlign w:val="center"/>
          </w:tcPr>
          <w:p w14:paraId="5AD5A949">
            <w:pPr>
              <w:spacing w:line="240" w:lineRule="exact"/>
              <w:jc w:val="center"/>
              <w:rPr>
                <w:rFonts w:ascii="宋体" w:hAnsi="宋体"/>
                <w:szCs w:val="21"/>
              </w:rPr>
            </w:pPr>
            <w:r>
              <w:rPr>
                <w:rFonts w:ascii="宋体" w:hAnsi="宋体"/>
                <w:szCs w:val="21"/>
              </w:rPr>
              <w:t>宇通</w:t>
            </w:r>
            <w:r>
              <w:rPr>
                <w:rFonts w:hint="eastAsia" w:ascii="宋体" w:hAnsi="宋体"/>
                <w:szCs w:val="21"/>
              </w:rPr>
              <w:t>及同类车型</w:t>
            </w:r>
          </w:p>
        </w:tc>
        <w:tc>
          <w:tcPr>
            <w:tcW w:w="969" w:type="pct"/>
            <w:vAlign w:val="center"/>
          </w:tcPr>
          <w:p w14:paraId="51CC31AE">
            <w:pPr>
              <w:spacing w:line="240" w:lineRule="exact"/>
              <w:jc w:val="center"/>
              <w:rPr>
                <w:rFonts w:ascii="宋体" w:hAnsi="宋体"/>
                <w:szCs w:val="21"/>
              </w:rPr>
            </w:pPr>
            <w:r>
              <w:rPr>
                <w:rFonts w:ascii="宋体" w:hAnsi="宋体"/>
                <w:szCs w:val="21"/>
              </w:rPr>
              <w:t>达到客车营运标准</w:t>
            </w:r>
          </w:p>
        </w:tc>
      </w:tr>
      <w:tr w14:paraId="0B585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04" w:hRule="atLeast"/>
          <w:jc w:val="center"/>
        </w:trPr>
        <w:tc>
          <w:tcPr>
            <w:tcW w:w="5000" w:type="pct"/>
            <w:gridSpan w:val="8"/>
            <w:vAlign w:val="center"/>
          </w:tcPr>
          <w:p w14:paraId="4A477AB8">
            <w:pPr>
              <w:widowControl/>
              <w:jc w:val="left"/>
              <w:textAlignment w:val="baseline"/>
              <w:rPr>
                <w:rFonts w:ascii="宋体" w:hAnsi="宋体"/>
                <w:b/>
                <w:bCs/>
                <w:kern w:val="0"/>
                <w:szCs w:val="21"/>
              </w:rPr>
            </w:pPr>
            <w:r>
              <w:rPr>
                <w:rFonts w:ascii="宋体" w:hAnsi="宋体"/>
                <w:b/>
                <w:bCs/>
                <w:kern w:val="0"/>
                <w:szCs w:val="21"/>
              </w:rPr>
              <w:t>注：</w:t>
            </w:r>
          </w:p>
          <w:p w14:paraId="333BBEAF">
            <w:pPr>
              <w:widowControl/>
              <w:jc w:val="left"/>
              <w:textAlignment w:val="baseline"/>
              <w:rPr>
                <w:rFonts w:ascii="宋体" w:hAnsi="宋体"/>
                <w:b/>
                <w:bCs/>
                <w:kern w:val="0"/>
                <w:szCs w:val="21"/>
              </w:rPr>
            </w:pPr>
            <w:r>
              <w:rPr>
                <w:rFonts w:hint="eastAsia" w:ascii="宋体" w:hAnsi="宋体"/>
                <w:b/>
                <w:bCs/>
                <w:kern w:val="0"/>
                <w:szCs w:val="21"/>
              </w:rPr>
              <w:t>1.本项报价为各项“（预估按天租赁采购数量×单价+预估按次租赁采购数量×200元/辆/天空置费）×预估使用天数5.5天”的合计，报价仅用于评审阶段价格分计算，实际发生费用据实结算。</w:t>
            </w:r>
          </w:p>
          <w:p w14:paraId="160F1140">
            <w:pPr>
              <w:widowControl/>
              <w:textAlignment w:val="baseline"/>
              <w:rPr>
                <w:rFonts w:hint="eastAsia" w:ascii="汉仪书宋二S" w:hAnsi="汉仪书宋二S" w:eastAsia="汉仪书宋二S" w:cs="汉仪书宋二S"/>
                <w:b/>
                <w:bCs/>
                <w:kern w:val="0"/>
                <w:szCs w:val="21"/>
              </w:rPr>
            </w:pPr>
            <w:r>
              <w:rPr>
                <w:rFonts w:hint="eastAsia" w:ascii="汉仪书宋二S" w:hAnsi="汉仪书宋二S" w:eastAsia="汉仪书宋二S" w:cs="汉仪书宋二S"/>
                <w:b/>
                <w:bCs/>
                <w:kern w:val="0"/>
                <w:szCs w:val="21"/>
              </w:rPr>
              <w:t>2.采购人按次租用车辆，按合同约定按次单价据实结算，如采购人当日按次租赁同一车辆费用超过按天租赁单价，则采用按天租赁单价结算；如按次租赁采购车辆当日未实现租赁使用的，由采购人按200元/辆/天标准向成交人支付车辆空置费。</w:t>
            </w:r>
          </w:p>
          <w:p w14:paraId="5B157746">
            <w:pPr>
              <w:widowControl/>
              <w:textAlignment w:val="baseline"/>
              <w:rPr>
                <w:rFonts w:hint="eastAsia" w:ascii="汉仪书宋二S" w:hAnsi="汉仪书宋二S" w:eastAsia="汉仪书宋二S" w:cs="汉仪书宋二S"/>
                <w:b/>
                <w:bCs/>
                <w:kern w:val="0"/>
                <w:szCs w:val="21"/>
              </w:rPr>
            </w:pPr>
            <w:r>
              <w:rPr>
                <w:rFonts w:hint="eastAsia" w:ascii="汉仪书宋二S" w:hAnsi="汉仪书宋二S" w:eastAsia="汉仪书宋二S" w:cs="汉仪书宋二S"/>
                <w:b/>
                <w:bCs/>
                <w:kern w:val="0"/>
                <w:szCs w:val="21"/>
              </w:rPr>
              <w:t>3.采购人推荐东博会参会贵宾团组按次租用车辆，相关租赁费用由参会贵宾团组与成交人自行结算。</w:t>
            </w:r>
          </w:p>
          <w:p w14:paraId="618DAD04">
            <w:pPr>
              <w:widowControl/>
              <w:jc w:val="left"/>
              <w:textAlignment w:val="baseline"/>
              <w:rPr>
                <w:rFonts w:ascii="宋体" w:hAnsi="宋体"/>
                <w:b/>
                <w:bCs/>
                <w:kern w:val="0"/>
                <w:szCs w:val="21"/>
              </w:rPr>
            </w:pPr>
            <w:r>
              <w:rPr>
                <w:rFonts w:hint="eastAsia" w:ascii="宋体" w:hAnsi="宋体"/>
                <w:b/>
                <w:bCs/>
                <w:kern w:val="0"/>
                <w:szCs w:val="21"/>
              </w:rPr>
              <w:t>4.</w:t>
            </w:r>
            <w:r>
              <w:rPr>
                <w:rFonts w:ascii="宋体" w:hAnsi="宋体"/>
                <w:b/>
                <w:bCs/>
                <w:kern w:val="0"/>
                <w:szCs w:val="21"/>
              </w:rPr>
              <w:t>租赁车辆超公里运行专项费用</w:t>
            </w:r>
            <w:r>
              <w:rPr>
                <w:rFonts w:ascii="宋体" w:hAnsi="宋体"/>
                <w:kern w:val="0"/>
                <w:szCs w:val="21"/>
              </w:rPr>
              <w:t>。租赁车辆超过100公里/辆·天里程的部分，按中级轿车3.5元/公里、商务车和高级轿车4.5元/公里、轻客5元/公里、中型客车7元/公里、大型客车8元/公里计价。价格包含车辆超里程费用、高速公路过路费、燃油费等相关费用，价格含税</w:t>
            </w:r>
            <w:r>
              <w:rPr>
                <w:rFonts w:hint="eastAsia" w:ascii="宋体" w:hAnsi="宋体"/>
                <w:kern w:val="0"/>
                <w:szCs w:val="21"/>
              </w:rPr>
              <w:t>。</w:t>
            </w:r>
          </w:p>
          <w:p w14:paraId="13336492">
            <w:pPr>
              <w:widowControl/>
              <w:jc w:val="left"/>
              <w:textAlignment w:val="baseline"/>
              <w:rPr>
                <w:rFonts w:ascii="宋体" w:hAnsi="宋体"/>
                <w:szCs w:val="21"/>
              </w:rPr>
            </w:pPr>
            <w:r>
              <w:rPr>
                <w:rFonts w:hint="eastAsia" w:ascii="宋体" w:hAnsi="宋体"/>
                <w:szCs w:val="21"/>
              </w:rPr>
              <w:t>5.</w:t>
            </w:r>
            <w:r>
              <w:rPr>
                <w:rFonts w:ascii="宋体" w:hAnsi="宋体"/>
                <w:szCs w:val="21"/>
              </w:rPr>
              <w:t>裸车</w:t>
            </w:r>
            <w:r>
              <w:rPr>
                <w:rFonts w:hint="eastAsia" w:ascii="宋体" w:hAnsi="宋体"/>
                <w:szCs w:val="21"/>
              </w:rPr>
              <w:t>租赁费</w:t>
            </w:r>
            <w:r>
              <w:rPr>
                <w:rFonts w:ascii="宋体" w:hAnsi="宋体"/>
                <w:szCs w:val="21"/>
              </w:rPr>
              <w:t>指租赁车辆不包含驾驶服务、燃油费、停车费、洗车费、过路费等使用车辆期间所产生的费用。裸车租赁上限价格按租赁车辆对应车型的半价计，价格含税。租用裸车所产生的油料费、洗车费、检车费、过路费、抽调驾驶员补助费、聘请驾驶员费用、擦车毛巾费、车标、手册资料费（含驾驶员手册记录用笔）及规定内的后勤保障费用据实结算。其中，燃油以绑定车辆加油卡的形式进行核算。</w:t>
            </w:r>
          </w:p>
          <w:p w14:paraId="35A60104">
            <w:pPr>
              <w:widowControl/>
              <w:jc w:val="left"/>
              <w:textAlignment w:val="baseline"/>
              <w:rPr>
                <w:rFonts w:ascii="宋体" w:hAnsi="宋体"/>
                <w:kern w:val="0"/>
                <w:szCs w:val="21"/>
              </w:rPr>
            </w:pPr>
            <w:r>
              <w:rPr>
                <w:rFonts w:hint="eastAsia" w:ascii="宋体" w:hAnsi="宋体"/>
                <w:kern w:val="0"/>
                <w:szCs w:val="21"/>
              </w:rPr>
              <w:t>6</w:t>
            </w:r>
            <w:r>
              <w:rPr>
                <w:rFonts w:ascii="宋体" w:hAnsi="宋体"/>
                <w:kern w:val="0"/>
                <w:szCs w:val="21"/>
              </w:rPr>
              <w:t>.</w:t>
            </w:r>
            <w:r>
              <w:rPr>
                <w:rFonts w:ascii="宋体" w:hAnsi="宋体"/>
                <w:szCs w:val="21"/>
              </w:rPr>
              <w:t>按实际租赁</w:t>
            </w:r>
            <w:r>
              <w:rPr>
                <w:rFonts w:hint="eastAsia" w:ascii="宋体" w:hAnsi="宋体"/>
                <w:szCs w:val="21"/>
              </w:rPr>
              <w:t>车型、</w:t>
            </w:r>
            <w:r>
              <w:rPr>
                <w:rFonts w:ascii="宋体" w:hAnsi="宋体"/>
                <w:szCs w:val="21"/>
              </w:rPr>
              <w:t>数量、</w:t>
            </w:r>
            <w:r>
              <w:rPr>
                <w:rFonts w:hint="eastAsia" w:ascii="宋体" w:hAnsi="宋体"/>
                <w:szCs w:val="21"/>
              </w:rPr>
              <w:t>使用</w:t>
            </w:r>
            <w:r>
              <w:rPr>
                <w:rFonts w:ascii="宋体" w:hAnsi="宋体"/>
                <w:szCs w:val="21"/>
              </w:rPr>
              <w:t>天数及成交单价据实结算。</w:t>
            </w:r>
          </w:p>
          <w:p w14:paraId="3C81D756">
            <w:pPr>
              <w:widowControl/>
              <w:jc w:val="left"/>
              <w:textAlignment w:val="baseline"/>
              <w:rPr>
                <w:rFonts w:ascii="宋体" w:hAnsi="宋体"/>
                <w:kern w:val="0"/>
                <w:szCs w:val="21"/>
              </w:rPr>
            </w:pPr>
            <w:r>
              <w:rPr>
                <w:rFonts w:hint="eastAsia" w:ascii="宋体" w:hAnsi="宋体"/>
                <w:kern w:val="0"/>
                <w:szCs w:val="21"/>
              </w:rPr>
              <w:t>7.</w:t>
            </w:r>
            <w:r>
              <w:rPr>
                <w:rFonts w:ascii="宋体" w:hAnsi="宋体"/>
                <w:kern w:val="0"/>
                <w:szCs w:val="21"/>
              </w:rPr>
              <w:t>实际使用车型及数量具有不确定性，但须保证满足采购人需要。</w:t>
            </w:r>
          </w:p>
          <w:p w14:paraId="5C2ED2C3">
            <w:pPr>
              <w:widowControl/>
              <w:jc w:val="left"/>
              <w:textAlignment w:val="baseline"/>
              <w:rPr>
                <w:rFonts w:ascii="宋体" w:hAnsi="宋体"/>
                <w:kern w:val="0"/>
                <w:szCs w:val="21"/>
              </w:rPr>
            </w:pPr>
            <w:r>
              <w:rPr>
                <w:rFonts w:hint="eastAsia" w:ascii="宋体" w:hAnsi="宋体"/>
                <w:kern w:val="0"/>
                <w:szCs w:val="21"/>
              </w:rPr>
              <w:t>8</w:t>
            </w:r>
            <w:r>
              <w:rPr>
                <w:rFonts w:ascii="宋体" w:hAnsi="宋体"/>
                <w:kern w:val="0"/>
                <w:szCs w:val="21"/>
              </w:rPr>
              <w:t>.供应商单价报价超过采购单价上限的，视为无效报价。</w:t>
            </w:r>
          </w:p>
        </w:tc>
      </w:tr>
    </w:tbl>
    <w:p w14:paraId="57475820">
      <w:pPr>
        <w:spacing w:line="360" w:lineRule="exact"/>
        <w:rPr>
          <w:rFonts w:ascii="宋体" w:hAnsi="宋体"/>
          <w:szCs w:val="21"/>
        </w:rPr>
      </w:pPr>
      <w:r>
        <w:rPr>
          <w:rFonts w:ascii="宋体" w:hAnsi="宋体"/>
          <w:szCs w:val="21"/>
        </w:rPr>
        <w:t>注：价格用人民币表示，单位为元；</w:t>
      </w:r>
      <w:r>
        <w:rPr>
          <w:rFonts w:ascii="宋体" w:hAnsi="宋体"/>
          <w:bCs/>
          <w:szCs w:val="21"/>
        </w:rPr>
        <w:t>所有报价</w:t>
      </w:r>
      <w:r>
        <w:rPr>
          <w:rFonts w:ascii="宋体" w:hAnsi="宋体"/>
          <w:szCs w:val="21"/>
        </w:rPr>
        <w:t>精确到小数点后两位数。</w:t>
      </w:r>
    </w:p>
    <w:p w14:paraId="670C9D9D">
      <w:pPr>
        <w:spacing w:line="360" w:lineRule="exact"/>
        <w:jc w:val="center"/>
        <w:rPr>
          <w:rFonts w:ascii="宋体" w:hAnsi="宋体"/>
          <w:kern w:val="0"/>
          <w:szCs w:val="21"/>
          <w:u w:val="single"/>
          <w:lang w:val="en"/>
        </w:rPr>
      </w:pPr>
      <w:r>
        <w:rPr>
          <w:rFonts w:ascii="宋体" w:hAnsi="宋体"/>
          <w:kern w:val="0"/>
          <w:szCs w:val="21"/>
        </w:rPr>
        <w:t xml:space="preserve">供应商（电子签章）： </w:t>
      </w:r>
      <w:r>
        <w:rPr>
          <w:rFonts w:ascii="宋体" w:hAnsi="宋体"/>
          <w:kern w:val="0"/>
          <w:szCs w:val="21"/>
          <w:u w:val="single"/>
          <w:lang w:val="en"/>
        </w:rPr>
        <w:t xml:space="preserve">                        </w:t>
      </w:r>
    </w:p>
    <w:p w14:paraId="6A076FA4">
      <w:pPr>
        <w:spacing w:line="360" w:lineRule="exact"/>
        <w:jc w:val="center"/>
        <w:rPr>
          <w:rFonts w:ascii="宋体" w:hAnsi="宋体"/>
          <w:kern w:val="0"/>
          <w:szCs w:val="21"/>
          <w:u w:val="single"/>
          <w:lang w:val="en"/>
        </w:rPr>
      </w:pPr>
      <w:r>
        <w:rPr>
          <w:rFonts w:ascii="宋体" w:hAnsi="宋体"/>
          <w:kern w:val="0"/>
          <w:szCs w:val="21"/>
        </w:rPr>
        <w:t>法定代表人或委托代理人（签字）</w:t>
      </w:r>
      <w:r>
        <w:rPr>
          <w:rFonts w:ascii="宋体" w:hAnsi="宋体"/>
          <w:kern w:val="0"/>
          <w:szCs w:val="21"/>
          <w:lang w:val="en"/>
        </w:rPr>
        <w:t>:</w:t>
      </w:r>
      <w:r>
        <w:rPr>
          <w:rFonts w:ascii="宋体" w:hAnsi="宋体"/>
          <w:kern w:val="0"/>
          <w:szCs w:val="21"/>
          <w:u w:val="single"/>
          <w:lang w:val="en"/>
        </w:rPr>
        <w:t xml:space="preserve">                  </w:t>
      </w:r>
    </w:p>
    <w:p w14:paraId="3A52DE17">
      <w:pPr>
        <w:spacing w:line="360" w:lineRule="exact"/>
        <w:jc w:val="center"/>
        <w:rPr>
          <w:rFonts w:ascii="宋体" w:hAnsi="宋体"/>
          <w:kern w:val="0"/>
          <w:szCs w:val="21"/>
          <w:u w:val="single"/>
          <w:lang w:val="en"/>
        </w:rPr>
      </w:pPr>
      <w:r>
        <w:rPr>
          <w:rFonts w:ascii="宋体" w:hAnsi="宋体"/>
          <w:kern w:val="0"/>
          <w:szCs w:val="21"/>
        </w:rPr>
        <w:t>日期</w:t>
      </w:r>
      <w:r>
        <w:rPr>
          <w:rFonts w:ascii="宋体" w:hAnsi="宋体"/>
          <w:kern w:val="0"/>
          <w:szCs w:val="21"/>
          <w:lang w:val="en"/>
        </w:rPr>
        <w:t xml:space="preserve">:  </w:t>
      </w:r>
      <w:r>
        <w:rPr>
          <w:rFonts w:ascii="宋体" w:hAnsi="宋体"/>
          <w:kern w:val="0"/>
          <w:szCs w:val="21"/>
          <w:u w:val="single"/>
          <w:lang w:val="en"/>
        </w:rPr>
        <w:t xml:space="preserve">                  </w:t>
      </w:r>
    </w:p>
    <w:p w14:paraId="181EE755">
      <w:pPr>
        <w:spacing w:line="360" w:lineRule="exact"/>
        <w:rPr>
          <w:rFonts w:ascii="宋体" w:hAnsi="宋体"/>
          <w:kern w:val="0"/>
          <w:szCs w:val="21"/>
        </w:rPr>
      </w:pPr>
      <w:r>
        <w:rPr>
          <w:rFonts w:ascii="宋体" w:hAnsi="宋体"/>
          <w:kern w:val="0"/>
          <w:szCs w:val="21"/>
        </w:rPr>
        <w:t>注</w:t>
      </w:r>
    </w:p>
    <w:p w14:paraId="749D6C96">
      <w:pPr>
        <w:spacing w:line="360" w:lineRule="auto"/>
        <w:ind w:firstLine="420" w:firstLineChars="200"/>
        <w:contextualSpacing/>
        <w:jc w:val="left"/>
        <w:rPr>
          <w:rFonts w:ascii="宋体" w:hAnsi="宋体"/>
          <w:szCs w:val="21"/>
        </w:rPr>
      </w:pPr>
      <w:r>
        <w:rPr>
          <w:rFonts w:ascii="宋体" w:hAnsi="宋体"/>
          <w:szCs w:val="21"/>
        </w:rPr>
        <w:t>1. 供应商的报价表必须加盖供应商电子签章并由法定代表人或者委托代理人签字或者电子签名，</w:t>
      </w:r>
      <w:r>
        <w:rPr>
          <w:rFonts w:ascii="宋体" w:hAnsi="宋体"/>
          <w:b/>
          <w:szCs w:val="21"/>
        </w:rPr>
        <w:t>否则其响应文件按无效处理</w:t>
      </w:r>
      <w:r>
        <w:rPr>
          <w:rFonts w:ascii="宋体" w:hAnsi="宋体"/>
          <w:szCs w:val="21"/>
        </w:rPr>
        <w:t>。</w:t>
      </w:r>
    </w:p>
    <w:p w14:paraId="565BA5FC">
      <w:pPr>
        <w:spacing w:line="360" w:lineRule="auto"/>
        <w:ind w:firstLine="420" w:firstLineChars="200"/>
        <w:contextualSpacing/>
        <w:jc w:val="left"/>
        <w:rPr>
          <w:rFonts w:ascii="宋体" w:hAnsi="宋体"/>
          <w:b/>
          <w:szCs w:val="21"/>
        </w:rPr>
      </w:pPr>
      <w:r>
        <w:rPr>
          <w:rFonts w:ascii="宋体" w:hAnsi="宋体"/>
          <w:bCs/>
          <w:szCs w:val="21"/>
        </w:rPr>
        <w:t>2.</w:t>
      </w:r>
      <w:r>
        <w:rPr>
          <w:rFonts w:ascii="宋体" w:hAnsi="宋体"/>
          <w:szCs w:val="21"/>
        </w:rPr>
        <w:t xml:space="preserve"> 报价一经涂改，应在涂改处加盖供应商公章或者加盖电子签章或者由法定代表人或者授权委托人签字（或者电子签名）</w:t>
      </w:r>
      <w:r>
        <w:rPr>
          <w:rFonts w:ascii="宋体" w:hAnsi="宋体"/>
          <w:b/>
          <w:szCs w:val="21"/>
        </w:rPr>
        <w:t>，否则其响应文件按无效处理。</w:t>
      </w:r>
    </w:p>
    <w:p w14:paraId="14FB992E">
      <w:pPr>
        <w:spacing w:line="360" w:lineRule="auto"/>
        <w:rPr>
          <w:rFonts w:ascii="宋体" w:hAnsi="宋体"/>
          <w:spacing w:val="20"/>
          <w:szCs w:val="21"/>
          <w:u w:val="single"/>
        </w:rPr>
      </w:pPr>
    </w:p>
    <w:p w14:paraId="13302B04">
      <w:pPr>
        <w:spacing w:line="360" w:lineRule="auto"/>
        <w:rPr>
          <w:rFonts w:hint="eastAsia" w:ascii="宋体" w:hAnsi="宋体"/>
          <w:spacing w:val="20"/>
          <w:szCs w:val="21"/>
          <w:u w:val="single"/>
        </w:rPr>
        <w:sectPr>
          <w:pgSz w:w="11906" w:h="16838"/>
          <w:pgMar w:top="1134" w:right="1133" w:bottom="850" w:left="1418" w:header="851" w:footer="992" w:gutter="0"/>
          <w:pgNumType w:fmt="decimal"/>
          <w:cols w:space="720" w:num="1"/>
          <w:docGrid w:linePitch="312" w:charSpace="0"/>
        </w:sectPr>
      </w:pPr>
    </w:p>
    <w:p w14:paraId="39EEFFDC">
      <w:pPr>
        <w:spacing w:after="120"/>
        <w:jc w:val="center"/>
        <w:rPr>
          <w:rFonts w:ascii="宋体" w:hAnsi="宋体"/>
          <w:bCs/>
          <w:szCs w:val="21"/>
        </w:rPr>
      </w:pPr>
      <w:r>
        <w:rPr>
          <w:rFonts w:ascii="宋体" w:hAnsi="宋体"/>
          <w:bCs/>
          <w:szCs w:val="21"/>
        </w:rPr>
        <w:t>（</w:t>
      </w:r>
      <w:r>
        <w:rPr>
          <w:rFonts w:hint="eastAsia" w:ascii="宋体" w:hAnsi="宋体"/>
          <w:bCs/>
          <w:szCs w:val="21"/>
        </w:rPr>
        <w:t>2</w:t>
      </w:r>
      <w:r>
        <w:rPr>
          <w:rFonts w:ascii="宋体" w:hAnsi="宋体"/>
          <w:bCs/>
          <w:szCs w:val="21"/>
        </w:rPr>
        <w:t>）驾驶员代驾服务</w:t>
      </w:r>
      <w:r>
        <w:rPr>
          <w:rFonts w:hint="eastAsia" w:ascii="宋体" w:hAnsi="宋体"/>
          <w:bCs/>
          <w:szCs w:val="21"/>
        </w:rPr>
        <w:t>及加班费</w:t>
      </w:r>
      <w:r>
        <w:rPr>
          <w:rFonts w:ascii="宋体" w:hAnsi="宋体"/>
          <w:bCs/>
          <w:szCs w:val="21"/>
        </w:rPr>
        <w:t>报价表</w:t>
      </w:r>
    </w:p>
    <w:p w14:paraId="20DA78BC">
      <w:pPr>
        <w:spacing w:line="360" w:lineRule="auto"/>
        <w:contextualSpacing/>
        <w:rPr>
          <w:rFonts w:ascii="宋体" w:hAnsi="宋体"/>
          <w:szCs w:val="21"/>
          <w:u w:val="single"/>
        </w:rPr>
      </w:pPr>
      <w:r>
        <w:rPr>
          <w:rFonts w:ascii="宋体" w:hAnsi="宋体"/>
          <w:szCs w:val="21"/>
        </w:rPr>
        <w:t>项目名称：</w:t>
      </w:r>
      <w:r>
        <w:rPr>
          <w:rFonts w:ascii="宋体" w:hAnsi="宋体"/>
          <w:szCs w:val="21"/>
          <w:u w:val="single"/>
        </w:rPr>
        <w:t xml:space="preserve">                </w:t>
      </w:r>
      <w:r>
        <w:rPr>
          <w:rFonts w:ascii="宋体" w:hAnsi="宋体"/>
          <w:szCs w:val="21"/>
        </w:rPr>
        <w:t>项目编号：</w:t>
      </w:r>
      <w:r>
        <w:rPr>
          <w:rFonts w:ascii="宋体" w:hAnsi="宋体"/>
          <w:szCs w:val="21"/>
          <w:u w:val="single"/>
        </w:rPr>
        <w:t xml:space="preserve">                   </w:t>
      </w:r>
      <w:r>
        <w:rPr>
          <w:rFonts w:ascii="宋体" w:hAnsi="宋体"/>
          <w:szCs w:val="21"/>
        </w:rPr>
        <w:t xml:space="preserve">     </w:t>
      </w:r>
    </w:p>
    <w:p w14:paraId="785687A8">
      <w:pPr>
        <w:spacing w:after="120"/>
        <w:rPr>
          <w:rFonts w:ascii="宋体" w:hAnsi="宋体"/>
          <w:bCs/>
          <w:szCs w:val="21"/>
        </w:rPr>
      </w:pPr>
      <w:r>
        <w:rPr>
          <w:rFonts w:ascii="宋体" w:hAnsi="宋体"/>
          <w:szCs w:val="21"/>
        </w:rPr>
        <w:t>供应商名称：</w:t>
      </w:r>
      <w:r>
        <w:rPr>
          <w:rFonts w:ascii="宋体" w:hAnsi="宋体"/>
          <w:szCs w:val="21"/>
          <w:u w:val="single"/>
        </w:rPr>
        <w:t xml:space="preserve">                                           </w:t>
      </w:r>
      <w:r>
        <w:rPr>
          <w:rFonts w:ascii="宋体" w:hAnsi="宋体"/>
          <w:szCs w:val="21"/>
        </w:rPr>
        <w:t xml:space="preserve"> </w:t>
      </w:r>
    </w:p>
    <w:tbl>
      <w:tblPr>
        <w:tblStyle w:val="5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6"/>
        <w:gridCol w:w="1530"/>
        <w:gridCol w:w="3727"/>
        <w:gridCol w:w="2393"/>
      </w:tblGrid>
      <w:tr w14:paraId="6F3A4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66" w:hRule="atLeast"/>
          <w:jc w:val="center"/>
        </w:trPr>
        <w:tc>
          <w:tcPr>
            <w:tcW w:w="390" w:type="pct"/>
            <w:vAlign w:val="center"/>
          </w:tcPr>
          <w:p w14:paraId="2A9F1D30">
            <w:pPr>
              <w:jc w:val="center"/>
              <w:rPr>
                <w:rFonts w:ascii="宋体" w:hAnsi="宋体"/>
                <w:b/>
                <w:kern w:val="0"/>
                <w:szCs w:val="21"/>
              </w:rPr>
            </w:pPr>
            <w:r>
              <w:rPr>
                <w:rFonts w:ascii="宋体" w:hAnsi="宋体"/>
                <w:b/>
                <w:kern w:val="0"/>
                <w:szCs w:val="21"/>
              </w:rPr>
              <w:t>项号</w:t>
            </w:r>
          </w:p>
        </w:tc>
        <w:tc>
          <w:tcPr>
            <w:tcW w:w="922" w:type="pct"/>
            <w:vAlign w:val="center"/>
          </w:tcPr>
          <w:p w14:paraId="352F764E">
            <w:pPr>
              <w:jc w:val="center"/>
              <w:rPr>
                <w:rFonts w:ascii="宋体" w:hAnsi="宋体"/>
                <w:b/>
                <w:kern w:val="0"/>
                <w:szCs w:val="21"/>
              </w:rPr>
            </w:pPr>
            <w:r>
              <w:rPr>
                <w:rFonts w:ascii="宋体" w:hAnsi="宋体"/>
                <w:b/>
                <w:kern w:val="0"/>
                <w:szCs w:val="21"/>
              </w:rPr>
              <w:t>标的名称</w:t>
            </w:r>
          </w:p>
        </w:tc>
        <w:tc>
          <w:tcPr>
            <w:tcW w:w="2246" w:type="pct"/>
            <w:vAlign w:val="center"/>
          </w:tcPr>
          <w:p w14:paraId="78DA6D31">
            <w:pPr>
              <w:jc w:val="center"/>
              <w:rPr>
                <w:rFonts w:ascii="宋体" w:hAnsi="宋体"/>
                <w:b/>
                <w:kern w:val="0"/>
                <w:szCs w:val="21"/>
              </w:rPr>
            </w:pPr>
            <w:r>
              <w:rPr>
                <w:rFonts w:ascii="宋体" w:hAnsi="宋体"/>
                <w:b/>
                <w:kern w:val="0"/>
                <w:szCs w:val="21"/>
              </w:rPr>
              <w:t>价格</w:t>
            </w:r>
          </w:p>
        </w:tc>
        <w:tc>
          <w:tcPr>
            <w:tcW w:w="1442" w:type="pct"/>
            <w:vAlign w:val="center"/>
          </w:tcPr>
          <w:p w14:paraId="6E9BEF5A">
            <w:pPr>
              <w:jc w:val="center"/>
              <w:rPr>
                <w:rFonts w:ascii="宋体" w:hAnsi="宋体"/>
                <w:b/>
                <w:kern w:val="0"/>
                <w:szCs w:val="21"/>
              </w:rPr>
            </w:pPr>
            <w:r>
              <w:rPr>
                <w:rFonts w:ascii="宋体" w:hAnsi="宋体"/>
                <w:b/>
                <w:kern w:val="0"/>
                <w:szCs w:val="21"/>
              </w:rPr>
              <w:t>备注</w:t>
            </w:r>
          </w:p>
        </w:tc>
      </w:tr>
      <w:tr w14:paraId="6CEE4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1" w:hRule="atLeast"/>
          <w:jc w:val="center"/>
        </w:trPr>
        <w:tc>
          <w:tcPr>
            <w:tcW w:w="390" w:type="pct"/>
            <w:vAlign w:val="center"/>
          </w:tcPr>
          <w:p w14:paraId="29E74A03">
            <w:pPr>
              <w:jc w:val="center"/>
              <w:rPr>
                <w:rFonts w:ascii="宋体" w:hAnsi="宋体"/>
                <w:szCs w:val="21"/>
              </w:rPr>
            </w:pPr>
            <w:r>
              <w:rPr>
                <w:rFonts w:ascii="宋体" w:hAnsi="宋体"/>
                <w:kern w:val="0"/>
                <w:szCs w:val="21"/>
              </w:rPr>
              <w:t>1</w:t>
            </w:r>
          </w:p>
        </w:tc>
        <w:tc>
          <w:tcPr>
            <w:tcW w:w="922" w:type="pct"/>
            <w:vAlign w:val="center"/>
          </w:tcPr>
          <w:p w14:paraId="290F1DFF">
            <w:pPr>
              <w:jc w:val="center"/>
              <w:rPr>
                <w:rFonts w:ascii="宋体" w:hAnsi="宋体"/>
                <w:kern w:val="0"/>
                <w:szCs w:val="21"/>
              </w:rPr>
            </w:pPr>
            <w:r>
              <w:rPr>
                <w:rFonts w:ascii="宋体" w:hAnsi="宋体"/>
                <w:kern w:val="0"/>
                <w:szCs w:val="21"/>
              </w:rPr>
              <w:t>代驾服务</w:t>
            </w:r>
          </w:p>
        </w:tc>
        <w:tc>
          <w:tcPr>
            <w:tcW w:w="2246" w:type="pct"/>
            <w:vAlign w:val="center"/>
          </w:tcPr>
          <w:p w14:paraId="43FE8F5C">
            <w:pPr>
              <w:jc w:val="center"/>
              <w:rPr>
                <w:rFonts w:ascii="宋体" w:hAnsi="宋体"/>
                <w:kern w:val="0"/>
                <w:szCs w:val="21"/>
              </w:rPr>
            </w:pPr>
            <w:r>
              <w:rPr>
                <w:rFonts w:ascii="宋体" w:hAnsi="宋体"/>
                <w:kern w:val="0"/>
                <w:szCs w:val="21"/>
              </w:rPr>
              <w:t>单价报价：</w:t>
            </w:r>
            <w:r>
              <w:rPr>
                <w:rFonts w:ascii="宋体" w:hAnsi="宋体"/>
                <w:kern w:val="0"/>
                <w:szCs w:val="21"/>
                <w:u w:val="single"/>
              </w:rPr>
              <w:t xml:space="preserve">    </w:t>
            </w:r>
            <w:r>
              <w:rPr>
                <w:rFonts w:ascii="宋体" w:hAnsi="宋体"/>
                <w:kern w:val="0"/>
                <w:szCs w:val="21"/>
              </w:rPr>
              <w:t>元/人·天（含税价）</w:t>
            </w:r>
          </w:p>
        </w:tc>
        <w:tc>
          <w:tcPr>
            <w:tcW w:w="1442" w:type="pct"/>
            <w:vAlign w:val="center"/>
          </w:tcPr>
          <w:p w14:paraId="17CEA074">
            <w:pPr>
              <w:widowControl/>
              <w:spacing w:line="420" w:lineRule="exact"/>
              <w:jc w:val="left"/>
              <w:textAlignment w:val="baseline"/>
              <w:rPr>
                <w:rFonts w:ascii="宋体" w:hAnsi="宋体"/>
                <w:kern w:val="0"/>
                <w:szCs w:val="21"/>
              </w:rPr>
            </w:pPr>
            <w:r>
              <w:rPr>
                <w:rFonts w:ascii="宋体" w:hAnsi="宋体"/>
                <w:kern w:val="0"/>
                <w:szCs w:val="21"/>
                <w:lang w:val="zh-CN"/>
              </w:rPr>
              <w:t>预估需求量约</w:t>
            </w:r>
            <w:r>
              <w:rPr>
                <w:rStyle w:val="58"/>
                <w:rFonts w:hint="eastAsia" w:ascii="宋体" w:hAnsi="宋体"/>
              </w:rPr>
              <w:t>10-20</w:t>
            </w:r>
            <w:r>
              <w:rPr>
                <w:rFonts w:ascii="宋体" w:hAnsi="宋体"/>
                <w:kern w:val="0"/>
                <w:szCs w:val="21"/>
                <w:lang w:val="zh-CN"/>
              </w:rPr>
              <w:t>人，具体实际使用驾驶员数量和天数具有不确定性，须保证满足需要。</w:t>
            </w:r>
          </w:p>
        </w:tc>
      </w:tr>
      <w:tr w14:paraId="51B5E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1" w:hRule="atLeast"/>
          <w:jc w:val="center"/>
        </w:trPr>
        <w:tc>
          <w:tcPr>
            <w:tcW w:w="390" w:type="pct"/>
            <w:vAlign w:val="center"/>
          </w:tcPr>
          <w:p w14:paraId="0C5D3F9D">
            <w:pPr>
              <w:jc w:val="center"/>
              <w:rPr>
                <w:rFonts w:hint="eastAsia" w:ascii="宋体" w:hAnsi="宋体"/>
                <w:kern w:val="0"/>
                <w:szCs w:val="21"/>
              </w:rPr>
            </w:pPr>
            <w:r>
              <w:rPr>
                <w:rFonts w:hint="eastAsia" w:ascii="宋体" w:hAnsi="宋体"/>
                <w:kern w:val="0"/>
                <w:szCs w:val="21"/>
              </w:rPr>
              <w:t>2</w:t>
            </w:r>
          </w:p>
        </w:tc>
        <w:tc>
          <w:tcPr>
            <w:tcW w:w="922" w:type="pct"/>
            <w:vAlign w:val="center"/>
          </w:tcPr>
          <w:p w14:paraId="705E1E8F">
            <w:pPr>
              <w:jc w:val="center"/>
              <w:rPr>
                <w:rFonts w:hint="eastAsia" w:ascii="宋体" w:hAnsi="宋体"/>
                <w:kern w:val="0"/>
                <w:szCs w:val="21"/>
              </w:rPr>
            </w:pPr>
            <w:r>
              <w:rPr>
                <w:rFonts w:hint="eastAsia" w:ascii="宋体" w:hAnsi="宋体"/>
                <w:kern w:val="0"/>
                <w:szCs w:val="21"/>
              </w:rPr>
              <w:t>驾驶员加班费</w:t>
            </w:r>
          </w:p>
        </w:tc>
        <w:tc>
          <w:tcPr>
            <w:tcW w:w="2246" w:type="pct"/>
            <w:vAlign w:val="center"/>
          </w:tcPr>
          <w:p w14:paraId="65C73A73">
            <w:pPr>
              <w:ind w:firstLine="210" w:firstLineChars="100"/>
              <w:rPr>
                <w:rFonts w:hint="eastAsia" w:ascii="宋体" w:hAnsi="宋体" w:cs="宋体"/>
                <w:kern w:val="0"/>
                <w:szCs w:val="21"/>
              </w:rPr>
            </w:pPr>
            <w:r>
              <w:rPr>
                <w:rFonts w:hint="eastAsia" w:ascii="宋体" w:hAnsi="宋体" w:cs="宋体"/>
                <w:kern w:val="0"/>
                <w:szCs w:val="21"/>
              </w:rPr>
              <w:t>大型客车：</w:t>
            </w:r>
            <w:r>
              <w:rPr>
                <w:rFonts w:hint="eastAsia" w:ascii="宋体" w:hAnsi="宋体" w:cs="宋体"/>
                <w:kern w:val="0"/>
                <w:szCs w:val="21"/>
                <w:u w:val="single"/>
              </w:rPr>
              <w:t xml:space="preserve">   </w:t>
            </w:r>
            <w:r>
              <w:rPr>
                <w:rFonts w:hint="eastAsia" w:ascii="宋体" w:hAnsi="宋体" w:cs="宋体"/>
                <w:kern w:val="0"/>
                <w:szCs w:val="21"/>
              </w:rPr>
              <w:t>元/小时·人次</w:t>
            </w:r>
          </w:p>
          <w:p w14:paraId="271A3A33">
            <w:pPr>
              <w:ind w:firstLine="210" w:firstLineChars="100"/>
              <w:rPr>
                <w:rFonts w:ascii="宋体" w:hAnsi="宋体"/>
                <w:kern w:val="0"/>
                <w:szCs w:val="21"/>
              </w:rPr>
            </w:pPr>
            <w:r>
              <w:rPr>
                <w:rFonts w:hint="eastAsia" w:ascii="宋体" w:hAnsi="宋体" w:cs="宋体"/>
                <w:kern w:val="0"/>
                <w:szCs w:val="21"/>
              </w:rPr>
              <w:t>其它车型：</w:t>
            </w:r>
            <w:r>
              <w:rPr>
                <w:rFonts w:hint="eastAsia" w:ascii="宋体" w:hAnsi="宋体" w:cs="宋体"/>
                <w:kern w:val="0"/>
                <w:szCs w:val="21"/>
                <w:u w:val="single"/>
              </w:rPr>
              <w:t xml:space="preserve">   </w:t>
            </w:r>
            <w:r>
              <w:rPr>
                <w:rFonts w:hint="eastAsia" w:ascii="宋体" w:hAnsi="宋体" w:cs="宋体"/>
                <w:kern w:val="0"/>
                <w:szCs w:val="21"/>
              </w:rPr>
              <w:t>元/小时·人次</w:t>
            </w:r>
          </w:p>
        </w:tc>
        <w:tc>
          <w:tcPr>
            <w:tcW w:w="1442" w:type="pct"/>
            <w:vAlign w:val="center"/>
          </w:tcPr>
          <w:p w14:paraId="34378A00">
            <w:pPr>
              <w:widowControl/>
              <w:spacing w:line="420" w:lineRule="exact"/>
              <w:jc w:val="left"/>
              <w:textAlignment w:val="baseline"/>
              <w:rPr>
                <w:rFonts w:ascii="宋体" w:hAnsi="宋体"/>
                <w:kern w:val="0"/>
                <w:szCs w:val="21"/>
                <w:lang w:val="zh-CN"/>
              </w:rPr>
            </w:pPr>
          </w:p>
        </w:tc>
      </w:tr>
    </w:tbl>
    <w:p w14:paraId="49CB23F9">
      <w:pPr>
        <w:widowControl/>
        <w:jc w:val="left"/>
        <w:textAlignment w:val="baseline"/>
        <w:rPr>
          <w:rFonts w:ascii="宋体" w:hAnsi="宋体"/>
          <w:kern w:val="0"/>
          <w:szCs w:val="21"/>
        </w:rPr>
      </w:pPr>
      <w:r>
        <w:rPr>
          <w:rFonts w:ascii="宋体" w:hAnsi="宋体"/>
          <w:kern w:val="0"/>
          <w:szCs w:val="21"/>
        </w:rPr>
        <w:t>备注：</w:t>
      </w:r>
    </w:p>
    <w:p w14:paraId="112FDC34">
      <w:pPr>
        <w:widowControl/>
        <w:ind w:firstLine="420" w:firstLineChars="200"/>
        <w:jc w:val="left"/>
        <w:textAlignment w:val="baseline"/>
        <w:rPr>
          <w:rFonts w:ascii="宋体" w:hAnsi="宋体"/>
          <w:kern w:val="0"/>
          <w:szCs w:val="21"/>
        </w:rPr>
      </w:pPr>
      <w:r>
        <w:rPr>
          <w:rFonts w:ascii="宋体" w:hAnsi="宋体"/>
          <w:kern w:val="0"/>
          <w:szCs w:val="21"/>
        </w:rPr>
        <w:t>1.驾驶员资质要求：</w:t>
      </w:r>
    </w:p>
    <w:p w14:paraId="741F7B13">
      <w:pPr>
        <w:widowControl/>
        <w:ind w:firstLine="420" w:firstLineChars="200"/>
        <w:jc w:val="left"/>
        <w:textAlignment w:val="baseline"/>
        <w:rPr>
          <w:rFonts w:ascii="宋体" w:hAnsi="宋体"/>
          <w:kern w:val="0"/>
          <w:szCs w:val="21"/>
        </w:rPr>
      </w:pPr>
      <w:r>
        <w:rPr>
          <w:rFonts w:ascii="宋体" w:hAnsi="宋体"/>
          <w:kern w:val="0"/>
          <w:szCs w:val="21"/>
        </w:rPr>
        <w:t>（1）驾驶员要求具有5年以上驾龄，持有C1（含C1）等级以上驾驶执照，身体健康,熟悉南宁市道路情况。</w:t>
      </w:r>
    </w:p>
    <w:p w14:paraId="76C16CFA">
      <w:pPr>
        <w:widowControl/>
        <w:ind w:firstLine="420" w:firstLineChars="200"/>
        <w:jc w:val="left"/>
        <w:textAlignment w:val="baseline"/>
        <w:rPr>
          <w:rFonts w:ascii="宋体" w:hAnsi="宋体"/>
          <w:kern w:val="0"/>
          <w:szCs w:val="21"/>
        </w:rPr>
      </w:pPr>
      <w:r>
        <w:rPr>
          <w:rFonts w:ascii="宋体" w:hAnsi="宋体"/>
          <w:kern w:val="0"/>
          <w:szCs w:val="21"/>
        </w:rPr>
        <w:t>（2）车辆驾驶员符合</w:t>
      </w:r>
      <w:r>
        <w:rPr>
          <w:rFonts w:hint="eastAsia" w:ascii="宋体" w:hAnsi="宋体"/>
          <w:kern w:val="0"/>
          <w:szCs w:val="21"/>
        </w:rPr>
        <w:t>指挥中心</w:t>
      </w:r>
      <w:r>
        <w:rPr>
          <w:rFonts w:ascii="宋体" w:hAnsi="宋体"/>
          <w:kern w:val="0"/>
          <w:szCs w:val="21"/>
        </w:rPr>
        <w:t>安全保卫部门审查，符合东博会接待车辆驾驶员安全要求。</w:t>
      </w:r>
    </w:p>
    <w:p w14:paraId="757EB45E">
      <w:pPr>
        <w:widowControl/>
        <w:ind w:firstLine="420" w:firstLineChars="200"/>
        <w:jc w:val="left"/>
        <w:textAlignment w:val="baseline"/>
        <w:rPr>
          <w:rFonts w:ascii="宋体" w:hAnsi="宋体"/>
          <w:kern w:val="0"/>
          <w:szCs w:val="21"/>
        </w:rPr>
      </w:pPr>
      <w:r>
        <w:rPr>
          <w:rFonts w:ascii="宋体" w:hAnsi="宋体"/>
          <w:kern w:val="0"/>
          <w:szCs w:val="21"/>
        </w:rPr>
        <w:t>（3）符合《南宁市出租汽车客运管理条例》中的驾驶员要求。</w:t>
      </w:r>
    </w:p>
    <w:p w14:paraId="18DA7C9A">
      <w:pPr>
        <w:widowControl/>
        <w:ind w:firstLine="420" w:firstLineChars="200"/>
        <w:jc w:val="left"/>
        <w:textAlignment w:val="baseline"/>
        <w:rPr>
          <w:rFonts w:ascii="宋体" w:hAnsi="宋体"/>
          <w:kern w:val="0"/>
          <w:szCs w:val="21"/>
        </w:rPr>
      </w:pPr>
      <w:r>
        <w:rPr>
          <w:rFonts w:ascii="宋体" w:hAnsi="宋体"/>
          <w:kern w:val="0"/>
          <w:szCs w:val="21"/>
        </w:rPr>
        <w:t>2.</w:t>
      </w:r>
      <w:r>
        <w:rPr>
          <w:rFonts w:ascii="宋体" w:hAnsi="宋体"/>
          <w:kern w:val="0"/>
          <w:szCs w:val="21"/>
          <w:lang w:val="en"/>
        </w:rPr>
        <w:t>上限</w:t>
      </w:r>
      <w:r>
        <w:rPr>
          <w:rFonts w:ascii="宋体" w:hAnsi="宋体"/>
          <w:kern w:val="0"/>
          <w:szCs w:val="21"/>
        </w:rPr>
        <w:t>价格</w:t>
      </w:r>
    </w:p>
    <w:p w14:paraId="10EADC91">
      <w:pPr>
        <w:widowControl/>
        <w:ind w:firstLine="420" w:firstLineChars="200"/>
        <w:jc w:val="left"/>
        <w:textAlignment w:val="baseline"/>
        <w:rPr>
          <w:rFonts w:ascii="宋体" w:hAnsi="宋体"/>
          <w:kern w:val="0"/>
          <w:szCs w:val="21"/>
        </w:rPr>
      </w:pPr>
      <w:r>
        <w:rPr>
          <w:rFonts w:ascii="宋体" w:hAnsi="宋体"/>
          <w:kern w:val="0"/>
          <w:szCs w:val="21"/>
        </w:rPr>
        <w:t>(1)</w:t>
      </w:r>
      <w:r>
        <w:rPr>
          <w:rFonts w:hint="eastAsia" w:ascii="宋体" w:hAnsi="宋体"/>
          <w:kern w:val="0"/>
          <w:szCs w:val="21"/>
        </w:rPr>
        <w:t>代驾</w:t>
      </w:r>
      <w:r>
        <w:rPr>
          <w:rFonts w:ascii="宋体" w:hAnsi="宋体"/>
          <w:kern w:val="0"/>
          <w:szCs w:val="21"/>
          <w:lang w:val="en"/>
        </w:rPr>
        <w:t>服务采购上限</w:t>
      </w:r>
      <w:r>
        <w:rPr>
          <w:rFonts w:ascii="宋体" w:hAnsi="宋体"/>
          <w:kern w:val="0"/>
          <w:szCs w:val="21"/>
        </w:rPr>
        <w:t>价格：按400元/人·天（10小时）计。</w:t>
      </w:r>
    </w:p>
    <w:p w14:paraId="1D1C5822">
      <w:pPr>
        <w:widowControl/>
        <w:ind w:firstLine="420" w:firstLineChars="200"/>
        <w:jc w:val="left"/>
        <w:textAlignment w:val="baseline"/>
        <w:rPr>
          <w:rFonts w:ascii="宋体" w:hAnsi="宋体"/>
          <w:kern w:val="0"/>
          <w:szCs w:val="21"/>
        </w:rPr>
      </w:pPr>
      <w:r>
        <w:rPr>
          <w:rFonts w:ascii="宋体" w:hAnsi="宋体"/>
          <w:kern w:val="0"/>
          <w:szCs w:val="21"/>
        </w:rPr>
        <w:t>(2)驾驶员加班费用：按照会期每天工作10小时标准，超出10小时为超时工作，按超时给予计算加班费。具体为：大型客车按80元/小时·人次计算，其它车型（中级轿车5座、商务车7座、高级轿车5座、轻客9-13座、中型客车15-23座）按50元/小时·人次计算。</w:t>
      </w:r>
    </w:p>
    <w:p w14:paraId="636DBF54">
      <w:pPr>
        <w:widowControl/>
        <w:ind w:firstLine="420" w:firstLineChars="200"/>
        <w:jc w:val="left"/>
        <w:textAlignment w:val="baseline"/>
        <w:rPr>
          <w:rFonts w:ascii="宋体" w:hAnsi="宋体"/>
          <w:kern w:val="0"/>
          <w:szCs w:val="21"/>
        </w:rPr>
      </w:pPr>
      <w:r>
        <w:rPr>
          <w:rFonts w:ascii="宋体" w:hAnsi="宋体"/>
          <w:kern w:val="0"/>
          <w:szCs w:val="21"/>
        </w:rPr>
        <w:t>(3)供应商单价报价超过采购单价上限的，视为无效报价。</w:t>
      </w:r>
    </w:p>
    <w:p w14:paraId="0451F573">
      <w:pPr>
        <w:widowControl/>
        <w:ind w:firstLine="422" w:firstLineChars="200"/>
        <w:jc w:val="left"/>
        <w:textAlignment w:val="baseline"/>
        <w:rPr>
          <w:rFonts w:ascii="宋体" w:hAnsi="宋体"/>
          <w:b/>
          <w:bCs/>
          <w:kern w:val="0"/>
          <w:szCs w:val="21"/>
        </w:rPr>
      </w:pPr>
      <w:r>
        <w:rPr>
          <w:rFonts w:ascii="宋体" w:hAnsi="宋体"/>
          <w:b/>
          <w:bCs/>
          <w:kern w:val="0"/>
          <w:szCs w:val="21"/>
        </w:rPr>
        <w:t>(4)根据驾驶员人数和实际服务天数及加班超时数，按采购成交单价据实结算。</w:t>
      </w:r>
    </w:p>
    <w:p w14:paraId="574200E3">
      <w:pPr>
        <w:widowControl/>
        <w:ind w:firstLine="420" w:firstLineChars="200"/>
        <w:jc w:val="left"/>
        <w:textAlignment w:val="baseline"/>
        <w:rPr>
          <w:rFonts w:ascii="宋体" w:hAnsi="宋体"/>
          <w:kern w:val="0"/>
          <w:szCs w:val="21"/>
        </w:rPr>
      </w:pPr>
      <w:r>
        <w:rPr>
          <w:rFonts w:ascii="宋体" w:hAnsi="宋体"/>
          <w:kern w:val="0"/>
          <w:szCs w:val="21"/>
        </w:rPr>
        <w:t>(5)实际使用驾驶员具有不确定性，须保证满足采购人需要。</w:t>
      </w:r>
    </w:p>
    <w:p w14:paraId="1A28E294">
      <w:pPr>
        <w:widowControl/>
        <w:ind w:firstLine="420" w:firstLineChars="200"/>
        <w:jc w:val="left"/>
        <w:textAlignment w:val="baseline"/>
        <w:rPr>
          <w:rFonts w:ascii="宋体" w:hAnsi="宋体"/>
          <w:kern w:val="0"/>
          <w:szCs w:val="21"/>
        </w:rPr>
      </w:pPr>
    </w:p>
    <w:p w14:paraId="2D8900A3">
      <w:pPr>
        <w:spacing w:line="360" w:lineRule="exact"/>
        <w:jc w:val="center"/>
        <w:rPr>
          <w:rFonts w:ascii="宋体" w:hAnsi="宋体"/>
          <w:kern w:val="0"/>
          <w:szCs w:val="21"/>
          <w:u w:val="single"/>
          <w:lang w:val="en"/>
        </w:rPr>
      </w:pPr>
      <w:r>
        <w:rPr>
          <w:rFonts w:ascii="宋体" w:hAnsi="宋体"/>
          <w:kern w:val="0"/>
          <w:szCs w:val="21"/>
        </w:rPr>
        <w:t xml:space="preserve">供应商（电子签章）： </w:t>
      </w:r>
      <w:r>
        <w:rPr>
          <w:rFonts w:ascii="宋体" w:hAnsi="宋体"/>
          <w:kern w:val="0"/>
          <w:szCs w:val="21"/>
          <w:u w:val="single"/>
          <w:lang w:val="en"/>
        </w:rPr>
        <w:t xml:space="preserve">                        </w:t>
      </w:r>
    </w:p>
    <w:p w14:paraId="7BEA41E1">
      <w:pPr>
        <w:spacing w:line="360" w:lineRule="exact"/>
        <w:jc w:val="center"/>
        <w:rPr>
          <w:rFonts w:ascii="宋体" w:hAnsi="宋体"/>
          <w:kern w:val="0"/>
          <w:szCs w:val="21"/>
          <w:u w:val="single"/>
          <w:lang w:val="en"/>
        </w:rPr>
      </w:pPr>
      <w:r>
        <w:rPr>
          <w:rFonts w:ascii="宋体" w:hAnsi="宋体"/>
          <w:kern w:val="0"/>
          <w:szCs w:val="21"/>
        </w:rPr>
        <w:t>法定代表人或委托代理人（签字）</w:t>
      </w:r>
      <w:r>
        <w:rPr>
          <w:rFonts w:ascii="宋体" w:hAnsi="宋体"/>
          <w:kern w:val="0"/>
          <w:szCs w:val="21"/>
          <w:lang w:val="en"/>
        </w:rPr>
        <w:t>:</w:t>
      </w:r>
      <w:r>
        <w:rPr>
          <w:rFonts w:ascii="宋体" w:hAnsi="宋体"/>
          <w:kern w:val="0"/>
          <w:szCs w:val="21"/>
          <w:u w:val="single"/>
          <w:lang w:val="en"/>
        </w:rPr>
        <w:t xml:space="preserve">                  </w:t>
      </w:r>
    </w:p>
    <w:p w14:paraId="64EE5EAE">
      <w:pPr>
        <w:spacing w:line="360" w:lineRule="exact"/>
        <w:jc w:val="center"/>
        <w:rPr>
          <w:rFonts w:ascii="宋体" w:hAnsi="宋体"/>
          <w:bCs/>
          <w:kern w:val="0"/>
          <w:szCs w:val="21"/>
        </w:rPr>
      </w:pPr>
      <w:r>
        <w:rPr>
          <w:rFonts w:ascii="宋体" w:hAnsi="宋体"/>
          <w:kern w:val="0"/>
          <w:szCs w:val="21"/>
        </w:rPr>
        <w:t>日期</w:t>
      </w:r>
      <w:r>
        <w:rPr>
          <w:rFonts w:ascii="宋体" w:hAnsi="宋体"/>
          <w:kern w:val="0"/>
          <w:szCs w:val="21"/>
          <w:lang w:val="en"/>
        </w:rPr>
        <w:t xml:space="preserve">:  </w:t>
      </w:r>
      <w:r>
        <w:rPr>
          <w:rFonts w:ascii="宋体" w:hAnsi="宋体"/>
          <w:kern w:val="0"/>
          <w:szCs w:val="21"/>
          <w:u w:val="single"/>
          <w:lang w:val="en"/>
        </w:rPr>
        <w:t xml:space="preserve">                   </w:t>
      </w:r>
    </w:p>
    <w:p w14:paraId="27B3227D">
      <w:pPr>
        <w:spacing w:line="360" w:lineRule="auto"/>
        <w:contextualSpacing/>
        <w:jc w:val="left"/>
        <w:rPr>
          <w:rFonts w:ascii="宋体" w:hAnsi="宋体"/>
          <w:szCs w:val="21"/>
        </w:rPr>
      </w:pPr>
      <w:r>
        <w:rPr>
          <w:rFonts w:ascii="宋体" w:hAnsi="宋体"/>
          <w:szCs w:val="21"/>
        </w:rPr>
        <w:t xml:space="preserve">注: </w:t>
      </w:r>
    </w:p>
    <w:p w14:paraId="1E3ED0C1">
      <w:pPr>
        <w:spacing w:line="360" w:lineRule="auto"/>
        <w:ind w:firstLine="420" w:firstLineChars="200"/>
        <w:contextualSpacing/>
        <w:jc w:val="left"/>
        <w:rPr>
          <w:rFonts w:ascii="宋体" w:hAnsi="宋体"/>
          <w:szCs w:val="21"/>
        </w:rPr>
      </w:pPr>
      <w:r>
        <w:rPr>
          <w:rFonts w:ascii="宋体" w:hAnsi="宋体"/>
          <w:szCs w:val="21"/>
        </w:rPr>
        <w:t>1. 供应商的报价表必须加盖供应商电子签章并由法定代表人或者委托代理人签字或者电子签名，</w:t>
      </w:r>
      <w:r>
        <w:rPr>
          <w:rFonts w:ascii="宋体" w:hAnsi="宋体"/>
          <w:b/>
          <w:szCs w:val="21"/>
        </w:rPr>
        <w:t>否则其响应文件按无效处理</w:t>
      </w:r>
      <w:r>
        <w:rPr>
          <w:rFonts w:ascii="宋体" w:hAnsi="宋体"/>
          <w:szCs w:val="21"/>
        </w:rPr>
        <w:t>。</w:t>
      </w:r>
    </w:p>
    <w:p w14:paraId="6ADB508E">
      <w:pPr>
        <w:spacing w:line="360" w:lineRule="auto"/>
        <w:ind w:firstLine="420" w:firstLineChars="200"/>
        <w:contextualSpacing/>
        <w:jc w:val="left"/>
        <w:rPr>
          <w:rFonts w:ascii="宋体" w:hAnsi="宋体"/>
          <w:bCs/>
          <w:szCs w:val="21"/>
        </w:rPr>
        <w:sectPr>
          <w:pgSz w:w="11906" w:h="16838"/>
          <w:pgMar w:top="1440" w:right="1800" w:bottom="1440" w:left="1800" w:header="851" w:footer="992" w:gutter="0"/>
          <w:pgNumType w:fmt="decimal"/>
          <w:cols w:space="720" w:num="1"/>
          <w:docGrid w:type="lines" w:linePitch="312" w:charSpace="0"/>
        </w:sectPr>
      </w:pPr>
      <w:r>
        <w:rPr>
          <w:rFonts w:ascii="宋体" w:hAnsi="宋体"/>
          <w:bCs/>
          <w:szCs w:val="21"/>
        </w:rPr>
        <w:t>2.</w:t>
      </w:r>
      <w:r>
        <w:rPr>
          <w:rFonts w:ascii="宋体" w:hAnsi="宋体"/>
          <w:szCs w:val="21"/>
        </w:rPr>
        <w:t xml:space="preserve"> 报价一经涂改，应在涂改处加盖供应商公章或者加盖电子签章或者由法定代表人或者授权委托人签字（或者电子签名）</w:t>
      </w:r>
      <w:r>
        <w:rPr>
          <w:rFonts w:ascii="宋体" w:hAnsi="宋体"/>
          <w:b/>
          <w:szCs w:val="21"/>
        </w:rPr>
        <w:t>，否则其响应文件按无效处理。</w:t>
      </w:r>
    </w:p>
    <w:p w14:paraId="7AAE4C9F">
      <w:pPr>
        <w:spacing w:after="120"/>
        <w:jc w:val="center"/>
        <w:rPr>
          <w:rFonts w:ascii="宋体" w:hAnsi="宋体"/>
          <w:bCs/>
          <w:szCs w:val="21"/>
        </w:rPr>
      </w:pPr>
      <w:r>
        <w:rPr>
          <w:rFonts w:ascii="宋体" w:hAnsi="宋体"/>
          <w:bCs/>
          <w:szCs w:val="21"/>
        </w:rPr>
        <w:t>（</w:t>
      </w:r>
      <w:r>
        <w:rPr>
          <w:rFonts w:hint="eastAsia" w:ascii="宋体" w:hAnsi="宋体"/>
          <w:bCs/>
          <w:szCs w:val="21"/>
        </w:rPr>
        <w:t>3</w:t>
      </w:r>
      <w:r>
        <w:rPr>
          <w:rFonts w:ascii="宋体" w:hAnsi="宋体"/>
          <w:bCs/>
          <w:szCs w:val="21"/>
        </w:rPr>
        <w:t>）车辆调配服务报价表</w:t>
      </w:r>
    </w:p>
    <w:p w14:paraId="0BBE657A">
      <w:pPr>
        <w:spacing w:line="360" w:lineRule="auto"/>
        <w:contextualSpacing/>
        <w:rPr>
          <w:rFonts w:ascii="宋体" w:hAnsi="宋体"/>
          <w:szCs w:val="21"/>
          <w:u w:val="single"/>
        </w:rPr>
      </w:pPr>
      <w:r>
        <w:rPr>
          <w:rFonts w:ascii="宋体" w:hAnsi="宋体"/>
          <w:szCs w:val="21"/>
        </w:rPr>
        <w:t>项目名称：</w:t>
      </w:r>
      <w:r>
        <w:rPr>
          <w:rFonts w:ascii="宋体" w:hAnsi="宋体"/>
          <w:szCs w:val="21"/>
          <w:u w:val="single"/>
        </w:rPr>
        <w:t xml:space="preserve">                </w:t>
      </w:r>
      <w:r>
        <w:rPr>
          <w:rFonts w:ascii="宋体" w:hAnsi="宋体"/>
          <w:szCs w:val="21"/>
        </w:rPr>
        <w:t>项目编号：</w:t>
      </w:r>
      <w:r>
        <w:rPr>
          <w:rFonts w:ascii="宋体" w:hAnsi="宋体"/>
          <w:szCs w:val="21"/>
          <w:u w:val="single"/>
        </w:rPr>
        <w:t xml:space="preserve">                   </w:t>
      </w:r>
      <w:r>
        <w:rPr>
          <w:rFonts w:ascii="宋体" w:hAnsi="宋体"/>
          <w:szCs w:val="21"/>
        </w:rPr>
        <w:t xml:space="preserve">     </w:t>
      </w:r>
    </w:p>
    <w:p w14:paraId="2247BA96">
      <w:pPr>
        <w:spacing w:after="120"/>
        <w:rPr>
          <w:rFonts w:ascii="宋体" w:hAnsi="宋体"/>
          <w:bCs/>
          <w:szCs w:val="21"/>
        </w:rPr>
      </w:pPr>
      <w:r>
        <w:rPr>
          <w:rFonts w:ascii="宋体" w:hAnsi="宋体"/>
          <w:szCs w:val="21"/>
        </w:rPr>
        <w:t>供应商名称：</w:t>
      </w:r>
      <w:r>
        <w:rPr>
          <w:rFonts w:ascii="宋体" w:hAnsi="宋体"/>
          <w:szCs w:val="21"/>
          <w:u w:val="single"/>
        </w:rPr>
        <w:t xml:space="preserve">                                           </w:t>
      </w:r>
      <w:r>
        <w:rPr>
          <w:rFonts w:ascii="宋体" w:hAnsi="宋体"/>
          <w:szCs w:val="21"/>
        </w:rPr>
        <w:t xml:space="preserve"> </w:t>
      </w:r>
    </w:p>
    <w:p w14:paraId="34CDC7FC">
      <w:pPr>
        <w:spacing w:after="120"/>
        <w:ind w:firstLine="210" w:firstLineChars="100"/>
        <w:rPr>
          <w:rFonts w:ascii="宋体" w:hAnsi="宋体"/>
          <w:szCs w:val="21"/>
        </w:rPr>
      </w:pPr>
    </w:p>
    <w:tbl>
      <w:tblPr>
        <w:tblStyle w:val="5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7"/>
        <w:gridCol w:w="1985"/>
        <w:gridCol w:w="4271"/>
        <w:gridCol w:w="2362"/>
      </w:tblGrid>
      <w:tr w14:paraId="0E1EC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866" w:hRule="atLeast"/>
          <w:jc w:val="center"/>
        </w:trPr>
        <w:tc>
          <w:tcPr>
            <w:tcW w:w="389" w:type="pct"/>
            <w:vAlign w:val="center"/>
          </w:tcPr>
          <w:p w14:paraId="557DF0ED">
            <w:pPr>
              <w:jc w:val="center"/>
              <w:rPr>
                <w:rFonts w:ascii="宋体" w:hAnsi="宋体"/>
                <w:b/>
                <w:kern w:val="0"/>
                <w:szCs w:val="21"/>
              </w:rPr>
            </w:pPr>
            <w:r>
              <w:rPr>
                <w:rFonts w:ascii="宋体" w:hAnsi="宋体"/>
                <w:b/>
                <w:kern w:val="0"/>
                <w:szCs w:val="21"/>
              </w:rPr>
              <w:t>项号</w:t>
            </w:r>
          </w:p>
        </w:tc>
        <w:tc>
          <w:tcPr>
            <w:tcW w:w="1062" w:type="pct"/>
            <w:vAlign w:val="center"/>
          </w:tcPr>
          <w:p w14:paraId="5B90A0E4">
            <w:pPr>
              <w:jc w:val="center"/>
              <w:rPr>
                <w:rFonts w:ascii="宋体" w:hAnsi="宋体"/>
                <w:b/>
                <w:kern w:val="0"/>
                <w:szCs w:val="21"/>
              </w:rPr>
            </w:pPr>
            <w:r>
              <w:rPr>
                <w:rFonts w:ascii="宋体" w:hAnsi="宋体"/>
                <w:b/>
                <w:kern w:val="0"/>
                <w:szCs w:val="21"/>
              </w:rPr>
              <w:t>标的名称</w:t>
            </w:r>
          </w:p>
        </w:tc>
        <w:tc>
          <w:tcPr>
            <w:tcW w:w="2285" w:type="pct"/>
            <w:vAlign w:val="center"/>
          </w:tcPr>
          <w:p w14:paraId="56794124">
            <w:pPr>
              <w:jc w:val="center"/>
              <w:rPr>
                <w:rFonts w:ascii="宋体" w:hAnsi="宋体"/>
                <w:b/>
                <w:kern w:val="0"/>
                <w:szCs w:val="21"/>
              </w:rPr>
            </w:pPr>
            <w:r>
              <w:rPr>
                <w:rFonts w:ascii="宋体" w:hAnsi="宋体"/>
                <w:b/>
                <w:kern w:val="0"/>
                <w:szCs w:val="21"/>
              </w:rPr>
              <w:t>价格</w:t>
            </w:r>
          </w:p>
        </w:tc>
        <w:tc>
          <w:tcPr>
            <w:tcW w:w="1264" w:type="pct"/>
            <w:vAlign w:val="center"/>
          </w:tcPr>
          <w:p w14:paraId="04C4D4A7">
            <w:pPr>
              <w:jc w:val="center"/>
              <w:rPr>
                <w:rFonts w:ascii="宋体" w:hAnsi="宋体"/>
                <w:b/>
                <w:kern w:val="0"/>
                <w:szCs w:val="21"/>
              </w:rPr>
            </w:pPr>
            <w:r>
              <w:rPr>
                <w:rFonts w:ascii="宋体" w:hAnsi="宋体"/>
                <w:b/>
                <w:kern w:val="0"/>
                <w:szCs w:val="21"/>
              </w:rPr>
              <w:t>备注</w:t>
            </w:r>
          </w:p>
        </w:tc>
      </w:tr>
      <w:tr w14:paraId="77F5A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1" w:hRule="atLeast"/>
          <w:jc w:val="center"/>
        </w:trPr>
        <w:tc>
          <w:tcPr>
            <w:tcW w:w="389" w:type="pct"/>
            <w:vAlign w:val="center"/>
          </w:tcPr>
          <w:p w14:paraId="4D6897FE">
            <w:pPr>
              <w:jc w:val="center"/>
              <w:rPr>
                <w:rFonts w:ascii="宋体" w:hAnsi="宋体"/>
                <w:szCs w:val="21"/>
              </w:rPr>
            </w:pPr>
            <w:r>
              <w:rPr>
                <w:rFonts w:ascii="宋体" w:hAnsi="宋体"/>
                <w:kern w:val="0"/>
                <w:szCs w:val="21"/>
              </w:rPr>
              <w:t>1</w:t>
            </w:r>
          </w:p>
        </w:tc>
        <w:tc>
          <w:tcPr>
            <w:tcW w:w="1062" w:type="pct"/>
            <w:vAlign w:val="center"/>
          </w:tcPr>
          <w:p w14:paraId="409BBB86">
            <w:pPr>
              <w:jc w:val="center"/>
              <w:rPr>
                <w:rFonts w:ascii="宋体" w:hAnsi="宋体"/>
                <w:kern w:val="0"/>
                <w:szCs w:val="21"/>
              </w:rPr>
            </w:pPr>
            <w:r>
              <w:rPr>
                <w:rFonts w:ascii="宋体" w:hAnsi="宋体"/>
                <w:kern w:val="0"/>
                <w:szCs w:val="21"/>
              </w:rPr>
              <w:t>车辆调配服务</w:t>
            </w:r>
          </w:p>
        </w:tc>
        <w:tc>
          <w:tcPr>
            <w:tcW w:w="2285" w:type="pct"/>
            <w:vAlign w:val="center"/>
          </w:tcPr>
          <w:p w14:paraId="3175CBC3">
            <w:pPr>
              <w:jc w:val="center"/>
              <w:rPr>
                <w:rFonts w:ascii="宋体" w:hAnsi="宋体"/>
                <w:kern w:val="0"/>
                <w:szCs w:val="21"/>
              </w:rPr>
            </w:pPr>
            <w:r>
              <w:rPr>
                <w:rFonts w:ascii="宋体" w:hAnsi="宋体"/>
                <w:kern w:val="0"/>
                <w:szCs w:val="21"/>
              </w:rPr>
              <w:t>单价报价：</w:t>
            </w:r>
            <w:r>
              <w:rPr>
                <w:rFonts w:ascii="宋体" w:hAnsi="宋体"/>
                <w:kern w:val="0"/>
                <w:szCs w:val="21"/>
                <w:u w:val="single"/>
              </w:rPr>
              <w:t xml:space="preserve">   </w:t>
            </w:r>
            <w:r>
              <w:rPr>
                <w:rFonts w:ascii="宋体" w:hAnsi="宋体"/>
                <w:kern w:val="0"/>
                <w:szCs w:val="21"/>
              </w:rPr>
              <w:t>（含税价）</w:t>
            </w:r>
          </w:p>
        </w:tc>
        <w:tc>
          <w:tcPr>
            <w:tcW w:w="1264" w:type="pct"/>
            <w:vAlign w:val="center"/>
          </w:tcPr>
          <w:p w14:paraId="0F16C7A4">
            <w:pPr>
              <w:jc w:val="center"/>
              <w:rPr>
                <w:rFonts w:ascii="宋体" w:hAnsi="宋体"/>
                <w:kern w:val="0"/>
                <w:szCs w:val="21"/>
              </w:rPr>
            </w:pPr>
            <w:r>
              <w:rPr>
                <w:rFonts w:ascii="宋体" w:hAnsi="宋体"/>
                <w:kern w:val="0"/>
                <w:szCs w:val="21"/>
              </w:rPr>
              <w:t>以采购人实际需求为准。</w:t>
            </w:r>
          </w:p>
        </w:tc>
      </w:tr>
    </w:tbl>
    <w:p w14:paraId="25833725">
      <w:pPr>
        <w:widowControl/>
        <w:jc w:val="left"/>
        <w:textAlignment w:val="baseline"/>
        <w:rPr>
          <w:rFonts w:ascii="宋体" w:hAnsi="宋体"/>
          <w:kern w:val="0"/>
          <w:szCs w:val="21"/>
        </w:rPr>
      </w:pPr>
      <w:r>
        <w:rPr>
          <w:rFonts w:ascii="宋体" w:hAnsi="宋体"/>
          <w:kern w:val="0"/>
          <w:szCs w:val="21"/>
        </w:rPr>
        <w:t>备注：</w:t>
      </w:r>
    </w:p>
    <w:p w14:paraId="35E748E7">
      <w:pPr>
        <w:widowControl/>
        <w:ind w:firstLine="420" w:firstLineChars="200"/>
        <w:jc w:val="left"/>
        <w:textAlignment w:val="baseline"/>
        <w:rPr>
          <w:rFonts w:ascii="宋体" w:hAnsi="宋体"/>
          <w:kern w:val="0"/>
          <w:szCs w:val="21"/>
          <w:lang w:val="en"/>
        </w:rPr>
      </w:pPr>
      <w:r>
        <w:rPr>
          <w:rFonts w:ascii="宋体" w:hAnsi="宋体"/>
          <w:kern w:val="0"/>
          <w:szCs w:val="21"/>
        </w:rPr>
        <w:t>1.</w:t>
      </w:r>
      <w:r>
        <w:rPr>
          <w:rFonts w:ascii="宋体" w:hAnsi="宋体"/>
          <w:kern w:val="0"/>
          <w:szCs w:val="21"/>
          <w:lang w:val="en"/>
        </w:rPr>
        <w:t>服务采购上限</w:t>
      </w:r>
      <w:r>
        <w:rPr>
          <w:rFonts w:ascii="宋体" w:hAnsi="宋体"/>
          <w:kern w:val="0"/>
          <w:szCs w:val="21"/>
        </w:rPr>
        <w:t>价格：</w:t>
      </w:r>
      <w:r>
        <w:rPr>
          <w:rFonts w:hint="eastAsia" w:ascii="宋体" w:hAnsi="宋体"/>
          <w:kern w:val="0"/>
          <w:szCs w:val="21"/>
        </w:rPr>
        <w:t>10</w:t>
      </w:r>
      <w:r>
        <w:rPr>
          <w:rFonts w:ascii="宋体" w:hAnsi="宋体"/>
          <w:kern w:val="0"/>
          <w:szCs w:val="21"/>
        </w:rPr>
        <w:t>万元</w:t>
      </w:r>
      <w:r>
        <w:rPr>
          <w:rFonts w:ascii="宋体" w:hAnsi="宋体"/>
          <w:kern w:val="0"/>
          <w:szCs w:val="21"/>
          <w:lang w:val="en"/>
        </w:rPr>
        <w:t>，</w:t>
      </w:r>
      <w:r>
        <w:rPr>
          <w:rFonts w:ascii="宋体" w:hAnsi="宋体"/>
          <w:kern w:val="0"/>
          <w:szCs w:val="21"/>
        </w:rPr>
        <w:t>供应商提供服务结束并通过项目验收合格后，采购人按采购成交单价全额支付。</w:t>
      </w:r>
    </w:p>
    <w:p w14:paraId="04E4A42F">
      <w:pPr>
        <w:widowControl/>
        <w:spacing w:line="420" w:lineRule="exact"/>
        <w:ind w:firstLine="420" w:firstLineChars="200"/>
        <w:jc w:val="left"/>
        <w:textAlignment w:val="baseline"/>
        <w:rPr>
          <w:rFonts w:ascii="宋体" w:hAnsi="宋体"/>
          <w:kern w:val="0"/>
          <w:szCs w:val="21"/>
        </w:rPr>
      </w:pPr>
      <w:r>
        <w:rPr>
          <w:rFonts w:ascii="宋体" w:hAnsi="宋体"/>
          <w:kern w:val="0"/>
          <w:szCs w:val="21"/>
        </w:rPr>
        <w:t>2.供应商单价报价超过采购单价上限的，视为无效报价。</w:t>
      </w:r>
    </w:p>
    <w:p w14:paraId="527B3F84">
      <w:pPr>
        <w:widowControl/>
        <w:ind w:firstLine="420" w:firstLineChars="200"/>
        <w:jc w:val="left"/>
        <w:textAlignment w:val="baseline"/>
        <w:rPr>
          <w:rFonts w:ascii="宋体" w:hAnsi="宋体"/>
          <w:kern w:val="0"/>
          <w:szCs w:val="21"/>
        </w:rPr>
      </w:pPr>
      <w:r>
        <w:rPr>
          <w:rFonts w:ascii="宋体" w:hAnsi="宋体"/>
          <w:kern w:val="0"/>
          <w:szCs w:val="21"/>
        </w:rPr>
        <w:t>。</w:t>
      </w:r>
    </w:p>
    <w:p w14:paraId="5D409DBE">
      <w:pPr>
        <w:keepNext/>
        <w:keepLines/>
        <w:spacing w:before="340" w:after="330" w:line="578" w:lineRule="auto"/>
        <w:outlineLvl w:val="0"/>
        <w:rPr>
          <w:rFonts w:ascii="宋体" w:hAnsi="宋体"/>
          <w:b/>
          <w:bCs/>
          <w:kern w:val="44"/>
          <w:szCs w:val="21"/>
        </w:rPr>
      </w:pPr>
    </w:p>
    <w:p w14:paraId="12F0665B">
      <w:pPr>
        <w:spacing w:line="360" w:lineRule="exact"/>
        <w:jc w:val="center"/>
        <w:rPr>
          <w:rFonts w:ascii="宋体" w:hAnsi="宋体"/>
          <w:kern w:val="0"/>
          <w:szCs w:val="21"/>
          <w:u w:val="single"/>
          <w:lang w:val="en"/>
        </w:rPr>
      </w:pPr>
      <w:r>
        <w:rPr>
          <w:rFonts w:ascii="宋体" w:hAnsi="宋体"/>
          <w:kern w:val="0"/>
          <w:szCs w:val="21"/>
        </w:rPr>
        <w:t xml:space="preserve">供应商（电子签章）： </w:t>
      </w:r>
      <w:r>
        <w:rPr>
          <w:rFonts w:ascii="宋体" w:hAnsi="宋体"/>
          <w:kern w:val="0"/>
          <w:szCs w:val="21"/>
          <w:u w:val="single"/>
          <w:lang w:val="en"/>
        </w:rPr>
        <w:t xml:space="preserve">                        </w:t>
      </w:r>
    </w:p>
    <w:p w14:paraId="2B936CDA">
      <w:pPr>
        <w:spacing w:line="360" w:lineRule="exact"/>
        <w:jc w:val="center"/>
        <w:rPr>
          <w:rFonts w:ascii="宋体" w:hAnsi="宋体"/>
          <w:kern w:val="0"/>
          <w:szCs w:val="21"/>
          <w:u w:val="single"/>
          <w:lang w:val="en"/>
        </w:rPr>
      </w:pPr>
      <w:r>
        <w:rPr>
          <w:rFonts w:ascii="宋体" w:hAnsi="宋体"/>
          <w:kern w:val="0"/>
          <w:szCs w:val="21"/>
        </w:rPr>
        <w:t>法定代表人或委托代理人（签字）</w:t>
      </w:r>
      <w:r>
        <w:rPr>
          <w:rFonts w:ascii="宋体" w:hAnsi="宋体"/>
          <w:kern w:val="0"/>
          <w:szCs w:val="21"/>
          <w:lang w:val="en"/>
        </w:rPr>
        <w:t>:</w:t>
      </w:r>
      <w:r>
        <w:rPr>
          <w:rFonts w:ascii="宋体" w:hAnsi="宋体"/>
          <w:kern w:val="0"/>
          <w:szCs w:val="21"/>
          <w:u w:val="single"/>
          <w:lang w:val="en"/>
        </w:rPr>
        <w:t xml:space="preserve">                  </w:t>
      </w:r>
    </w:p>
    <w:p w14:paraId="51C3BF16">
      <w:pPr>
        <w:spacing w:line="360" w:lineRule="exact"/>
        <w:jc w:val="center"/>
        <w:rPr>
          <w:rFonts w:ascii="宋体" w:hAnsi="宋体"/>
          <w:kern w:val="0"/>
          <w:szCs w:val="21"/>
        </w:rPr>
      </w:pPr>
      <w:r>
        <w:rPr>
          <w:rFonts w:ascii="宋体" w:hAnsi="宋体"/>
          <w:kern w:val="0"/>
          <w:szCs w:val="21"/>
        </w:rPr>
        <w:t>日期</w:t>
      </w:r>
      <w:r>
        <w:rPr>
          <w:rFonts w:ascii="宋体" w:hAnsi="宋体"/>
          <w:kern w:val="0"/>
          <w:szCs w:val="21"/>
          <w:lang w:val="en"/>
        </w:rPr>
        <w:t xml:space="preserve">:  </w:t>
      </w:r>
      <w:r>
        <w:rPr>
          <w:rFonts w:ascii="宋体" w:hAnsi="宋体"/>
          <w:kern w:val="0"/>
          <w:szCs w:val="21"/>
          <w:u w:val="single"/>
          <w:lang w:val="en"/>
        </w:rPr>
        <w:t xml:space="preserve">                   </w:t>
      </w:r>
    </w:p>
    <w:p w14:paraId="5D868B4D">
      <w:pPr>
        <w:spacing w:line="360" w:lineRule="auto"/>
        <w:contextualSpacing/>
        <w:jc w:val="left"/>
        <w:rPr>
          <w:rFonts w:ascii="宋体" w:hAnsi="宋体"/>
          <w:szCs w:val="21"/>
        </w:rPr>
      </w:pPr>
      <w:r>
        <w:rPr>
          <w:rFonts w:ascii="宋体" w:hAnsi="宋体"/>
          <w:szCs w:val="21"/>
        </w:rPr>
        <w:t xml:space="preserve">注: </w:t>
      </w:r>
    </w:p>
    <w:p w14:paraId="0D9B00C9">
      <w:pPr>
        <w:spacing w:line="360" w:lineRule="auto"/>
        <w:ind w:firstLine="420" w:firstLineChars="200"/>
        <w:contextualSpacing/>
        <w:jc w:val="left"/>
        <w:rPr>
          <w:rFonts w:ascii="宋体" w:hAnsi="宋体"/>
          <w:szCs w:val="21"/>
        </w:rPr>
      </w:pPr>
      <w:r>
        <w:rPr>
          <w:rFonts w:ascii="宋体" w:hAnsi="宋体"/>
          <w:szCs w:val="21"/>
        </w:rPr>
        <w:t>1. 供应商的报价表必须加盖供应商电子签章并由法定代表人或者委托代理人签字或者电子签名，</w:t>
      </w:r>
      <w:r>
        <w:rPr>
          <w:rFonts w:ascii="宋体" w:hAnsi="宋体"/>
          <w:b/>
          <w:szCs w:val="21"/>
        </w:rPr>
        <w:t>否则其响应文件按无效处理</w:t>
      </w:r>
      <w:r>
        <w:rPr>
          <w:rFonts w:ascii="宋体" w:hAnsi="宋体"/>
          <w:szCs w:val="21"/>
        </w:rPr>
        <w:t>。</w:t>
      </w:r>
    </w:p>
    <w:p w14:paraId="0E79E382">
      <w:pPr>
        <w:spacing w:line="360" w:lineRule="auto"/>
        <w:ind w:firstLine="420" w:firstLineChars="200"/>
        <w:contextualSpacing/>
        <w:jc w:val="left"/>
        <w:rPr>
          <w:rFonts w:ascii="宋体" w:hAnsi="宋体"/>
          <w:b/>
          <w:szCs w:val="21"/>
        </w:rPr>
      </w:pPr>
      <w:r>
        <w:rPr>
          <w:rFonts w:ascii="宋体" w:hAnsi="宋体"/>
          <w:bCs/>
          <w:szCs w:val="21"/>
        </w:rPr>
        <w:t>2.</w:t>
      </w:r>
      <w:r>
        <w:rPr>
          <w:rFonts w:ascii="宋体" w:hAnsi="宋体"/>
          <w:szCs w:val="21"/>
        </w:rPr>
        <w:t xml:space="preserve"> 报价一经涂改，应在涂改处加盖供应商公章或者加盖电子签章或者由法定代表人或者授权委托人签字（或者电子签名）</w:t>
      </w:r>
      <w:r>
        <w:rPr>
          <w:rFonts w:ascii="宋体" w:hAnsi="宋体"/>
          <w:b/>
          <w:szCs w:val="21"/>
        </w:rPr>
        <w:t>，否则其响应文件按无效处理。</w:t>
      </w:r>
    </w:p>
    <w:p w14:paraId="7519A673">
      <w:pPr>
        <w:spacing w:line="360" w:lineRule="auto"/>
        <w:rPr>
          <w:rFonts w:ascii="宋体" w:hAnsi="宋体"/>
          <w:spacing w:val="20"/>
          <w:szCs w:val="21"/>
          <w:u w:val="single"/>
        </w:rPr>
        <w:sectPr>
          <w:pgSz w:w="11906" w:h="16838"/>
          <w:pgMar w:top="1418" w:right="1133" w:bottom="1246" w:left="1418" w:header="851" w:footer="992" w:gutter="0"/>
          <w:pgNumType w:fmt="decimal"/>
          <w:cols w:space="720" w:num="1"/>
          <w:docGrid w:linePitch="312" w:charSpace="0"/>
        </w:sectPr>
      </w:pPr>
    </w:p>
    <w:p w14:paraId="74137AC4">
      <w:pPr>
        <w:snapToGrid w:val="0"/>
        <w:spacing w:before="50" w:after="120" w:afterLines="50"/>
        <w:jc w:val="left"/>
        <w:rPr>
          <w:rFonts w:ascii="宋体" w:hAnsi="宋体"/>
          <w:szCs w:val="21"/>
        </w:rPr>
      </w:pPr>
      <w:r>
        <w:rPr>
          <w:rFonts w:hint="eastAsia" w:ascii="宋体" w:hAnsi="宋体"/>
          <w:szCs w:val="21"/>
        </w:rPr>
        <w:t>3.</w:t>
      </w:r>
      <w:r>
        <w:rPr>
          <w:rFonts w:ascii="宋体" w:hAnsi="宋体"/>
          <w:szCs w:val="21"/>
        </w:rPr>
        <w:t>过低报价合理性的说明。（如有）</w:t>
      </w:r>
    </w:p>
    <w:p w14:paraId="2A59AE1C">
      <w:pPr>
        <w:spacing w:line="360" w:lineRule="auto"/>
        <w:ind w:firstLine="420" w:firstLineChars="200"/>
        <w:rPr>
          <w:rFonts w:ascii="宋体" w:hAnsi="宋体"/>
          <w:szCs w:val="21"/>
        </w:rPr>
      </w:pPr>
      <w:r>
        <w:rPr>
          <w:rFonts w:ascii="宋体" w:hAnsi="宋体"/>
          <w:szCs w:val="21"/>
        </w:rPr>
        <w:t>评审委员会认为的报价</w:t>
      </w:r>
      <w:r>
        <w:rPr>
          <w:rFonts w:hint="eastAsia" w:ascii="宋体" w:hAnsi="宋体"/>
          <w:szCs w:val="21"/>
        </w:rPr>
        <w:t>存在异常低价问题的情形</w:t>
      </w:r>
      <w:r>
        <w:rPr>
          <w:rFonts w:ascii="宋体" w:hAnsi="宋体"/>
          <w:szCs w:val="21"/>
        </w:rPr>
        <w:t>，供应商将被要求以书面方式提供</w:t>
      </w:r>
      <w:r>
        <w:rPr>
          <w:rFonts w:hint="eastAsia" w:ascii="宋体" w:hAnsi="宋体"/>
          <w:szCs w:val="21"/>
        </w:rPr>
        <w:t>项目具体成本测算等与报价合理性相关的书面说明及必要的证明材料</w:t>
      </w:r>
      <w:r>
        <w:rPr>
          <w:rFonts w:ascii="宋体" w:hAnsi="宋体"/>
          <w:szCs w:val="21"/>
        </w:rPr>
        <w:t>。为避免在评审现场因未能及时提供说明而导致被评审委员会作为无效</w:t>
      </w:r>
      <w:r>
        <w:rPr>
          <w:rFonts w:hint="eastAsia" w:ascii="宋体" w:hAnsi="宋体"/>
          <w:szCs w:val="21"/>
        </w:rPr>
        <w:t>响应</w:t>
      </w:r>
      <w:r>
        <w:rPr>
          <w:rFonts w:ascii="宋体" w:hAnsi="宋体"/>
          <w:szCs w:val="21"/>
        </w:rPr>
        <w:t>，供应商</w:t>
      </w:r>
      <w:r>
        <w:rPr>
          <w:rFonts w:hint="eastAsia" w:ascii="宋体" w:hAnsi="宋体"/>
        </w:rPr>
        <w:t>自行决定是否</w:t>
      </w:r>
      <w:r>
        <w:rPr>
          <w:rFonts w:ascii="宋体" w:hAnsi="宋体"/>
          <w:kern w:val="1"/>
          <w:szCs w:val="21"/>
        </w:rPr>
        <w:t>直接在</w:t>
      </w:r>
      <w:r>
        <w:rPr>
          <w:rFonts w:ascii="宋体" w:hAnsi="宋体"/>
          <w:szCs w:val="21"/>
        </w:rPr>
        <w:t>此处</w:t>
      </w:r>
      <w:r>
        <w:rPr>
          <w:rFonts w:hint="eastAsia" w:ascii="宋体" w:hAnsi="宋体"/>
          <w:szCs w:val="21"/>
        </w:rPr>
        <w:t>进行陈述</w:t>
      </w:r>
      <w:r>
        <w:rPr>
          <w:rFonts w:ascii="宋体" w:hAnsi="宋体"/>
          <w:szCs w:val="21"/>
        </w:rPr>
        <w:t>。格式自拟。</w:t>
      </w:r>
      <w:r>
        <w:rPr>
          <w:rFonts w:hint="eastAsia" w:ascii="宋体" w:hAnsi="宋体"/>
          <w:szCs w:val="21"/>
        </w:rPr>
        <w:t>（</w:t>
      </w:r>
      <w:r>
        <w:rPr>
          <w:rFonts w:hint="eastAsia" w:ascii="宋体" w:hAnsi="宋体"/>
          <w:kern w:val="1"/>
          <w:szCs w:val="21"/>
        </w:rPr>
        <w:t>具体要求详见第四章评审方法及标准“过低报价合理性的审查”</w:t>
      </w:r>
      <w:r>
        <w:rPr>
          <w:rFonts w:hint="eastAsia" w:ascii="宋体" w:hAnsi="宋体"/>
          <w:szCs w:val="21"/>
        </w:rPr>
        <w:t>）</w:t>
      </w:r>
    </w:p>
    <w:p w14:paraId="4D793A38">
      <w:pPr>
        <w:pStyle w:val="132"/>
        <w:jc w:val="center"/>
        <w:rPr>
          <w:rFonts w:ascii="宋体" w:hAnsi="宋体"/>
          <w:b/>
          <w:bCs/>
        </w:rPr>
      </w:pPr>
      <w:bookmarkStart w:id="106" w:name="_Hlk211331823"/>
    </w:p>
    <w:p w14:paraId="3EBB4C36">
      <w:pPr>
        <w:pStyle w:val="132"/>
        <w:jc w:val="center"/>
        <w:rPr>
          <w:rFonts w:ascii="宋体" w:hAnsi="宋体"/>
        </w:rPr>
      </w:pPr>
      <w:r>
        <w:rPr>
          <w:rFonts w:hint="eastAsia" w:ascii="宋体" w:hAnsi="宋体"/>
          <w:b/>
          <w:bCs/>
        </w:rPr>
        <w:t>产品成本测算表（参考格式）</w:t>
      </w:r>
    </w:p>
    <w:p w14:paraId="3267939A">
      <w:pPr>
        <w:spacing w:line="360" w:lineRule="auto"/>
        <w:rPr>
          <w:rFonts w:ascii="宋体" w:hAnsi="宋体"/>
        </w:rPr>
      </w:pPr>
    </w:p>
    <w:bookmarkEnd w:id="106"/>
    <w:tbl>
      <w:tblPr>
        <w:tblStyle w:val="51"/>
        <w:tblW w:w="4527" w:type="pct"/>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autofit"/>
        <w:tblCellMar>
          <w:top w:w="0" w:type="dxa"/>
          <w:left w:w="108" w:type="dxa"/>
          <w:bottom w:w="0" w:type="dxa"/>
          <w:right w:w="108" w:type="dxa"/>
        </w:tblCellMar>
      </w:tblPr>
      <w:tblGrid>
        <w:gridCol w:w="426"/>
        <w:gridCol w:w="339"/>
        <w:gridCol w:w="643"/>
        <w:gridCol w:w="477"/>
        <w:gridCol w:w="810"/>
        <w:gridCol w:w="1173"/>
        <w:gridCol w:w="949"/>
        <w:gridCol w:w="866"/>
        <w:gridCol w:w="1027"/>
        <w:gridCol w:w="761"/>
        <w:gridCol w:w="995"/>
      </w:tblGrid>
      <w:tr w14:paraId="5E2A02F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098" w:hRule="atLeast"/>
          <w:jc w:val="center"/>
        </w:trPr>
        <w:tc>
          <w:tcPr>
            <w:tcW w:w="245" w:type="pct"/>
            <w:shd w:val="clear" w:color="ADADAD" w:fill="auto"/>
            <w:vAlign w:val="center"/>
          </w:tcPr>
          <w:p w14:paraId="4A964892">
            <w:pPr>
              <w:ind w:left="-105" w:leftChars="-50" w:right="-105" w:rightChars="-50"/>
              <w:jc w:val="center"/>
              <w:rPr>
                <w:rFonts w:ascii="宋体" w:hAnsi="宋体" w:cs="宋体"/>
                <w:b/>
              </w:rPr>
            </w:pPr>
            <w:r>
              <w:rPr>
                <w:rFonts w:hint="eastAsia" w:ascii="宋体" w:hAnsi="宋体" w:cs="仿宋_GB2312"/>
                <w:b/>
              </w:rPr>
              <w:t>序号</w:t>
            </w:r>
          </w:p>
        </w:tc>
        <w:tc>
          <w:tcPr>
            <w:tcW w:w="201" w:type="pct"/>
            <w:shd w:val="clear" w:color="ADADAD" w:fill="auto"/>
            <w:vAlign w:val="center"/>
          </w:tcPr>
          <w:p w14:paraId="026AE9C7">
            <w:pPr>
              <w:spacing w:line="360" w:lineRule="auto"/>
              <w:ind w:left="-48" w:leftChars="-23" w:right="-65" w:rightChars="-31"/>
              <w:jc w:val="center"/>
              <w:rPr>
                <w:rFonts w:ascii="宋体" w:hAnsi="宋体" w:cs="宋体"/>
                <w:b/>
              </w:rPr>
            </w:pPr>
            <w:r>
              <w:rPr>
                <w:rFonts w:hint="eastAsia" w:ascii="宋体" w:hAnsi="宋体" w:cs="宋体"/>
                <w:b/>
              </w:rPr>
              <w:t>名称</w:t>
            </w:r>
          </w:p>
        </w:tc>
        <w:tc>
          <w:tcPr>
            <w:tcW w:w="380" w:type="pct"/>
            <w:shd w:val="clear" w:color="ADADAD" w:fill="auto"/>
            <w:vAlign w:val="center"/>
          </w:tcPr>
          <w:p w14:paraId="5A971783">
            <w:pPr>
              <w:spacing w:line="360" w:lineRule="auto"/>
              <w:ind w:left="-48" w:leftChars="-23" w:right="-65" w:rightChars="-31"/>
              <w:jc w:val="center"/>
              <w:rPr>
                <w:rFonts w:ascii="宋体" w:hAnsi="宋体" w:cs="宋体"/>
                <w:b/>
              </w:rPr>
            </w:pPr>
            <w:r>
              <w:rPr>
                <w:rFonts w:hint="eastAsia" w:ascii="宋体" w:hAnsi="宋体"/>
                <w:b/>
              </w:rPr>
              <w:t>品牌规格型号</w:t>
            </w:r>
          </w:p>
        </w:tc>
        <w:tc>
          <w:tcPr>
            <w:tcW w:w="282" w:type="pct"/>
            <w:tcBorders>
              <w:left w:val="single" w:color="auto" w:sz="4" w:space="0"/>
            </w:tcBorders>
            <w:shd w:val="clear" w:color="ADADAD" w:fill="auto"/>
            <w:vAlign w:val="center"/>
          </w:tcPr>
          <w:p w14:paraId="716DDA7A">
            <w:pPr>
              <w:spacing w:line="360" w:lineRule="auto"/>
              <w:ind w:left="-48" w:leftChars="-23" w:right="-65" w:rightChars="-31"/>
              <w:jc w:val="center"/>
              <w:rPr>
                <w:rFonts w:ascii="宋体" w:hAnsi="宋体" w:cs="宋体"/>
                <w:b/>
              </w:rPr>
            </w:pPr>
            <w:r>
              <w:rPr>
                <w:rFonts w:hint="eastAsia" w:ascii="宋体" w:hAnsi="宋体" w:cs="宋体"/>
                <w:b/>
              </w:rPr>
              <w:t>单位</w:t>
            </w:r>
          </w:p>
        </w:tc>
        <w:tc>
          <w:tcPr>
            <w:tcW w:w="478" w:type="pct"/>
            <w:tcBorders>
              <w:right w:val="single" w:color="auto" w:sz="4" w:space="0"/>
            </w:tcBorders>
            <w:shd w:val="clear" w:color="ADADAD" w:fill="auto"/>
            <w:vAlign w:val="center"/>
          </w:tcPr>
          <w:p w14:paraId="1E635BA8">
            <w:pPr>
              <w:spacing w:line="360" w:lineRule="auto"/>
              <w:ind w:left="-48" w:leftChars="-23" w:right="-65" w:rightChars="-31"/>
              <w:jc w:val="center"/>
              <w:rPr>
                <w:rFonts w:ascii="宋体" w:hAnsi="宋体" w:cs="宋体"/>
                <w:b/>
              </w:rPr>
            </w:pPr>
            <w:r>
              <w:rPr>
                <w:rFonts w:hint="eastAsia" w:ascii="宋体" w:hAnsi="宋体" w:cs="宋体"/>
                <w:b/>
              </w:rPr>
              <w:t>报价单价（</w:t>
            </w:r>
            <w:r>
              <w:rPr>
                <w:rFonts w:ascii="宋体" w:hAnsi="宋体" w:cs="宋体"/>
                <w:b/>
              </w:rPr>
              <w:t>元）</w:t>
            </w:r>
          </w:p>
        </w:tc>
        <w:tc>
          <w:tcPr>
            <w:tcW w:w="692" w:type="pct"/>
            <w:shd w:val="clear" w:color="ADADAD" w:fill="auto"/>
            <w:vAlign w:val="center"/>
          </w:tcPr>
          <w:p w14:paraId="64BFEDB5">
            <w:pPr>
              <w:spacing w:line="360" w:lineRule="auto"/>
              <w:ind w:left="-48" w:leftChars="-23" w:right="-65" w:rightChars="-31"/>
              <w:jc w:val="center"/>
              <w:rPr>
                <w:rFonts w:ascii="宋体" w:hAnsi="宋体" w:cs="宋体"/>
                <w:b/>
              </w:rPr>
            </w:pPr>
            <w:r>
              <w:rPr>
                <w:rFonts w:hint="eastAsia" w:ascii="宋体" w:hAnsi="宋体" w:cs="宋体"/>
                <w:b/>
              </w:rPr>
              <w:t>成本项目</w:t>
            </w:r>
          </w:p>
          <w:p w14:paraId="320F2301">
            <w:pPr>
              <w:spacing w:line="360" w:lineRule="auto"/>
              <w:ind w:right="-65" w:rightChars="-31"/>
              <w:rPr>
                <w:rFonts w:ascii="宋体" w:hAnsi="宋体" w:cs="宋体"/>
                <w:b/>
              </w:rPr>
            </w:pPr>
          </w:p>
        </w:tc>
        <w:tc>
          <w:tcPr>
            <w:tcW w:w="560" w:type="pct"/>
            <w:shd w:val="clear" w:color="ADADAD" w:fill="auto"/>
            <w:vAlign w:val="center"/>
          </w:tcPr>
          <w:p w14:paraId="09BEA692">
            <w:pPr>
              <w:spacing w:line="360" w:lineRule="auto"/>
              <w:ind w:left="-48" w:leftChars="-23" w:right="-65" w:rightChars="-31"/>
              <w:jc w:val="center"/>
              <w:rPr>
                <w:rFonts w:ascii="宋体" w:hAnsi="宋体" w:cs="宋体"/>
                <w:b/>
              </w:rPr>
            </w:pPr>
            <w:r>
              <w:rPr>
                <w:rFonts w:hint="eastAsia" w:ascii="宋体" w:hAnsi="宋体" w:cs="宋体"/>
                <w:b/>
              </w:rPr>
              <w:t>具体明细</w:t>
            </w:r>
          </w:p>
          <w:p w14:paraId="7208F445">
            <w:pPr>
              <w:spacing w:line="360" w:lineRule="auto"/>
              <w:ind w:left="-48" w:leftChars="-23" w:right="-65" w:rightChars="-31"/>
              <w:jc w:val="center"/>
              <w:rPr>
                <w:rFonts w:ascii="宋体" w:hAnsi="宋体" w:cs="宋体"/>
                <w:b/>
              </w:rPr>
            </w:pPr>
          </w:p>
        </w:tc>
        <w:tc>
          <w:tcPr>
            <w:tcW w:w="511" w:type="pct"/>
            <w:shd w:val="clear" w:color="ADADAD" w:fill="auto"/>
            <w:vAlign w:val="center"/>
          </w:tcPr>
          <w:p w14:paraId="5C8FF4F9">
            <w:pPr>
              <w:spacing w:line="360" w:lineRule="auto"/>
              <w:ind w:left="-48" w:leftChars="-23" w:right="-65" w:rightChars="-31"/>
              <w:jc w:val="center"/>
              <w:rPr>
                <w:rFonts w:ascii="宋体" w:hAnsi="宋体" w:cs="宋体"/>
                <w:b/>
              </w:rPr>
            </w:pPr>
            <w:r>
              <w:rPr>
                <w:rFonts w:hint="eastAsia" w:ascii="宋体" w:hAnsi="宋体" w:cs="宋体"/>
                <w:b/>
              </w:rPr>
              <w:t>单位产品用量</w:t>
            </w:r>
          </w:p>
          <w:p w14:paraId="19B5E2AE">
            <w:pPr>
              <w:spacing w:line="360" w:lineRule="auto"/>
              <w:ind w:left="-48" w:leftChars="-23" w:right="-65" w:rightChars="-31"/>
              <w:jc w:val="center"/>
              <w:rPr>
                <w:rFonts w:ascii="宋体" w:hAnsi="宋体" w:cs="宋体"/>
                <w:b/>
              </w:rPr>
            </w:pPr>
          </w:p>
        </w:tc>
        <w:tc>
          <w:tcPr>
            <w:tcW w:w="606" w:type="pct"/>
            <w:shd w:val="clear" w:color="ADADAD" w:fill="auto"/>
            <w:vAlign w:val="center"/>
          </w:tcPr>
          <w:p w14:paraId="71C5E81A">
            <w:pPr>
              <w:spacing w:line="360" w:lineRule="auto"/>
              <w:ind w:left="-48" w:leftChars="-23" w:right="-65" w:rightChars="-31"/>
              <w:jc w:val="center"/>
              <w:rPr>
                <w:rFonts w:ascii="宋体" w:hAnsi="宋体" w:cs="宋体"/>
                <w:b/>
              </w:rPr>
            </w:pPr>
            <w:r>
              <w:rPr>
                <w:rFonts w:hint="eastAsia" w:ascii="宋体" w:hAnsi="宋体" w:cs="宋体"/>
                <w:b/>
              </w:rPr>
              <w:t>单位成本（元）</w:t>
            </w:r>
          </w:p>
        </w:tc>
        <w:tc>
          <w:tcPr>
            <w:tcW w:w="449" w:type="pct"/>
            <w:tcBorders>
              <w:left w:val="single" w:color="auto" w:sz="4" w:space="0"/>
            </w:tcBorders>
            <w:shd w:val="clear" w:color="ADADAD" w:fill="auto"/>
            <w:vAlign w:val="center"/>
          </w:tcPr>
          <w:p w14:paraId="506624CE">
            <w:pPr>
              <w:spacing w:line="360" w:lineRule="auto"/>
              <w:ind w:left="-48" w:leftChars="-23" w:right="-65" w:rightChars="-31"/>
              <w:jc w:val="center"/>
              <w:rPr>
                <w:rFonts w:ascii="宋体" w:hAnsi="宋体" w:cs="宋体"/>
                <w:b/>
              </w:rPr>
            </w:pPr>
            <w:r>
              <w:rPr>
                <w:rFonts w:hint="eastAsia" w:ascii="宋体" w:hAnsi="宋体" w:cs="宋体"/>
                <w:b/>
              </w:rPr>
              <w:t>成本</w:t>
            </w:r>
            <w:r>
              <w:rPr>
                <w:rFonts w:ascii="宋体" w:hAnsi="宋体" w:cs="宋体"/>
                <w:b/>
              </w:rPr>
              <w:t>合计（元）</w:t>
            </w:r>
          </w:p>
        </w:tc>
        <w:tc>
          <w:tcPr>
            <w:tcW w:w="587" w:type="pct"/>
            <w:tcBorders>
              <w:left w:val="single" w:color="auto" w:sz="4" w:space="0"/>
            </w:tcBorders>
            <w:shd w:val="clear" w:color="ADADAD" w:fill="auto"/>
            <w:vAlign w:val="center"/>
          </w:tcPr>
          <w:p w14:paraId="799EDA4F">
            <w:pPr>
              <w:spacing w:line="360" w:lineRule="auto"/>
              <w:ind w:left="-48" w:leftChars="-23" w:right="-65" w:rightChars="-31"/>
              <w:jc w:val="center"/>
              <w:rPr>
                <w:rFonts w:ascii="宋体" w:hAnsi="宋体" w:cs="宋体"/>
                <w:b/>
              </w:rPr>
            </w:pPr>
            <w:r>
              <w:rPr>
                <w:rFonts w:hint="eastAsia" w:ascii="宋体" w:hAnsi="宋体" w:cs="宋体"/>
                <w:b/>
              </w:rPr>
              <w:t>备注（测算依据/证明材料）</w:t>
            </w:r>
          </w:p>
        </w:tc>
      </w:tr>
      <w:tr w14:paraId="6F62081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76" w:hRule="atLeast"/>
          <w:jc w:val="center"/>
        </w:trPr>
        <w:tc>
          <w:tcPr>
            <w:tcW w:w="245" w:type="pct"/>
            <w:vMerge w:val="restart"/>
            <w:vAlign w:val="center"/>
          </w:tcPr>
          <w:p w14:paraId="0CC141CF">
            <w:pPr>
              <w:numPr>
                <w:ilvl w:val="0"/>
                <w:numId w:val="6"/>
              </w:numPr>
              <w:tabs>
                <w:tab w:val="left" w:pos="61"/>
              </w:tabs>
              <w:jc w:val="center"/>
              <w:rPr>
                <w:rFonts w:ascii="宋体" w:hAnsi="宋体"/>
              </w:rPr>
            </w:pPr>
          </w:p>
        </w:tc>
        <w:tc>
          <w:tcPr>
            <w:tcW w:w="201" w:type="pct"/>
            <w:vMerge w:val="restart"/>
            <w:vAlign w:val="center"/>
          </w:tcPr>
          <w:p w14:paraId="6D0667E1">
            <w:pPr>
              <w:tabs>
                <w:tab w:val="left" w:pos="0"/>
                <w:tab w:val="left" w:pos="56"/>
              </w:tabs>
              <w:ind w:left="479" w:hanging="478" w:hangingChars="228"/>
              <w:jc w:val="center"/>
              <w:rPr>
                <w:rFonts w:ascii="宋体" w:hAnsi="宋体"/>
              </w:rPr>
            </w:pPr>
          </w:p>
        </w:tc>
        <w:tc>
          <w:tcPr>
            <w:tcW w:w="380" w:type="pct"/>
            <w:vMerge w:val="restart"/>
            <w:vAlign w:val="center"/>
          </w:tcPr>
          <w:p w14:paraId="29CC2018">
            <w:pPr>
              <w:spacing w:line="240" w:lineRule="atLeast"/>
              <w:ind w:left="-48" w:leftChars="-23" w:right="-65" w:rightChars="-31"/>
              <w:jc w:val="left"/>
              <w:rPr>
                <w:rFonts w:ascii="宋体" w:hAnsi="宋体" w:cs="宋体"/>
              </w:rPr>
            </w:pPr>
          </w:p>
        </w:tc>
        <w:tc>
          <w:tcPr>
            <w:tcW w:w="282" w:type="pct"/>
            <w:vMerge w:val="restart"/>
            <w:tcBorders>
              <w:left w:val="single" w:color="auto" w:sz="4" w:space="0"/>
            </w:tcBorders>
            <w:vAlign w:val="center"/>
          </w:tcPr>
          <w:p w14:paraId="16F80E37">
            <w:pPr>
              <w:spacing w:line="240" w:lineRule="atLeast"/>
              <w:ind w:left="-48" w:leftChars="-23" w:right="-65" w:rightChars="-31"/>
              <w:jc w:val="left"/>
              <w:rPr>
                <w:rFonts w:ascii="宋体" w:hAnsi="宋体" w:cs="宋体"/>
              </w:rPr>
            </w:pPr>
          </w:p>
        </w:tc>
        <w:tc>
          <w:tcPr>
            <w:tcW w:w="478" w:type="pct"/>
            <w:vMerge w:val="restart"/>
            <w:tcBorders>
              <w:left w:val="single" w:color="auto" w:sz="4" w:space="0"/>
              <w:right w:val="single" w:color="auto" w:sz="4" w:space="0"/>
            </w:tcBorders>
            <w:vAlign w:val="center"/>
          </w:tcPr>
          <w:p w14:paraId="4546111F">
            <w:pPr>
              <w:spacing w:line="240" w:lineRule="atLeast"/>
              <w:ind w:left="-48" w:leftChars="-23" w:right="-65" w:rightChars="-31"/>
              <w:jc w:val="left"/>
              <w:rPr>
                <w:rFonts w:ascii="宋体" w:hAnsi="宋体" w:cs="宋体"/>
              </w:rPr>
            </w:pPr>
          </w:p>
        </w:tc>
        <w:tc>
          <w:tcPr>
            <w:tcW w:w="692" w:type="pct"/>
            <w:vMerge w:val="restart"/>
            <w:tcBorders>
              <w:left w:val="single" w:color="auto" w:sz="4" w:space="0"/>
              <w:right w:val="single" w:color="auto" w:sz="4" w:space="0"/>
            </w:tcBorders>
            <w:vAlign w:val="center"/>
          </w:tcPr>
          <w:p w14:paraId="2C0BB47F">
            <w:pPr>
              <w:spacing w:line="240" w:lineRule="atLeast"/>
              <w:ind w:left="-48" w:leftChars="-23" w:right="-65" w:rightChars="-31"/>
              <w:jc w:val="left"/>
              <w:rPr>
                <w:rFonts w:ascii="宋体" w:hAnsi="宋体" w:cs="宋体"/>
              </w:rPr>
            </w:pPr>
            <w:r>
              <w:rPr>
                <w:rFonts w:hint="eastAsia" w:ascii="宋体" w:hAnsi="宋体" w:cs="宋体"/>
              </w:rPr>
              <w:t>原材料成本</w:t>
            </w:r>
          </w:p>
        </w:tc>
        <w:tc>
          <w:tcPr>
            <w:tcW w:w="560" w:type="pct"/>
            <w:tcBorders>
              <w:left w:val="single" w:color="auto" w:sz="4" w:space="0"/>
            </w:tcBorders>
            <w:vAlign w:val="center"/>
          </w:tcPr>
          <w:p w14:paraId="581824A2">
            <w:pPr>
              <w:spacing w:line="240" w:lineRule="atLeast"/>
              <w:ind w:left="-48" w:leftChars="-23" w:right="-65" w:rightChars="-31"/>
              <w:jc w:val="left"/>
              <w:rPr>
                <w:rFonts w:ascii="宋体" w:hAnsi="宋体" w:cs="宋体"/>
              </w:rPr>
            </w:pPr>
            <w:r>
              <w:rPr>
                <w:rFonts w:ascii="宋体" w:hAnsi="宋体" w:cs="宋体"/>
              </w:rPr>
              <w:t>原材料1</w:t>
            </w:r>
          </w:p>
        </w:tc>
        <w:tc>
          <w:tcPr>
            <w:tcW w:w="511" w:type="pct"/>
            <w:tcBorders>
              <w:left w:val="single" w:color="auto" w:sz="4" w:space="0"/>
            </w:tcBorders>
            <w:vAlign w:val="center"/>
          </w:tcPr>
          <w:p w14:paraId="3142330B">
            <w:pPr>
              <w:spacing w:line="240" w:lineRule="atLeast"/>
              <w:ind w:left="-48" w:leftChars="-23" w:right="-65" w:rightChars="-31"/>
              <w:jc w:val="left"/>
              <w:rPr>
                <w:rFonts w:ascii="宋体" w:hAnsi="宋体" w:cs="宋体"/>
              </w:rPr>
            </w:pPr>
          </w:p>
        </w:tc>
        <w:tc>
          <w:tcPr>
            <w:tcW w:w="606" w:type="pct"/>
            <w:tcBorders>
              <w:left w:val="single" w:color="auto" w:sz="4" w:space="0"/>
            </w:tcBorders>
            <w:vAlign w:val="center"/>
          </w:tcPr>
          <w:p w14:paraId="53ACFED1">
            <w:pPr>
              <w:spacing w:line="240" w:lineRule="atLeast"/>
              <w:ind w:left="-48" w:leftChars="-23" w:right="-65" w:rightChars="-31"/>
              <w:jc w:val="left"/>
              <w:rPr>
                <w:rFonts w:ascii="宋体" w:hAnsi="宋体" w:cs="宋体"/>
              </w:rPr>
            </w:pPr>
          </w:p>
        </w:tc>
        <w:tc>
          <w:tcPr>
            <w:tcW w:w="449" w:type="pct"/>
            <w:vMerge w:val="restart"/>
            <w:tcBorders>
              <w:left w:val="single" w:color="auto" w:sz="4" w:space="0"/>
            </w:tcBorders>
            <w:vAlign w:val="center"/>
          </w:tcPr>
          <w:p w14:paraId="2EB87F41">
            <w:pPr>
              <w:spacing w:line="240" w:lineRule="atLeast"/>
              <w:ind w:left="-48" w:leftChars="-23" w:right="-65" w:rightChars="-31"/>
              <w:jc w:val="left"/>
              <w:rPr>
                <w:rFonts w:ascii="宋体" w:hAnsi="宋体" w:cs="宋体"/>
              </w:rPr>
            </w:pPr>
          </w:p>
        </w:tc>
        <w:tc>
          <w:tcPr>
            <w:tcW w:w="587" w:type="pct"/>
            <w:tcBorders>
              <w:left w:val="single" w:color="auto" w:sz="4" w:space="0"/>
            </w:tcBorders>
            <w:vAlign w:val="center"/>
          </w:tcPr>
          <w:p w14:paraId="76F6A698">
            <w:pPr>
              <w:spacing w:line="240" w:lineRule="atLeast"/>
              <w:ind w:left="-48" w:leftChars="-23" w:right="-65" w:rightChars="-31"/>
              <w:jc w:val="left"/>
              <w:rPr>
                <w:rFonts w:ascii="宋体" w:hAnsi="宋体" w:cs="宋体"/>
              </w:rPr>
            </w:pPr>
          </w:p>
        </w:tc>
      </w:tr>
      <w:tr w14:paraId="225889D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76" w:hRule="atLeast"/>
          <w:jc w:val="center"/>
        </w:trPr>
        <w:tc>
          <w:tcPr>
            <w:tcW w:w="245" w:type="pct"/>
            <w:vMerge w:val="continue"/>
            <w:vAlign w:val="center"/>
          </w:tcPr>
          <w:p w14:paraId="1EDCF901">
            <w:pPr>
              <w:numPr>
                <w:ilvl w:val="0"/>
                <w:numId w:val="6"/>
              </w:numPr>
              <w:tabs>
                <w:tab w:val="left" w:pos="61"/>
              </w:tabs>
              <w:jc w:val="center"/>
              <w:rPr>
                <w:rFonts w:ascii="宋体" w:hAnsi="宋体"/>
              </w:rPr>
            </w:pPr>
          </w:p>
        </w:tc>
        <w:tc>
          <w:tcPr>
            <w:tcW w:w="201" w:type="pct"/>
            <w:vMerge w:val="continue"/>
            <w:vAlign w:val="center"/>
          </w:tcPr>
          <w:p w14:paraId="1E495A15">
            <w:pPr>
              <w:tabs>
                <w:tab w:val="left" w:pos="0"/>
                <w:tab w:val="left" w:pos="56"/>
              </w:tabs>
              <w:ind w:left="479" w:hanging="478" w:hangingChars="228"/>
              <w:jc w:val="center"/>
              <w:rPr>
                <w:rFonts w:ascii="宋体" w:hAnsi="宋体"/>
              </w:rPr>
            </w:pPr>
          </w:p>
        </w:tc>
        <w:tc>
          <w:tcPr>
            <w:tcW w:w="380" w:type="pct"/>
            <w:vMerge w:val="continue"/>
            <w:vAlign w:val="center"/>
          </w:tcPr>
          <w:p w14:paraId="7F118C60">
            <w:pPr>
              <w:spacing w:line="240" w:lineRule="atLeast"/>
              <w:ind w:left="-48" w:leftChars="-23" w:right="-65" w:rightChars="-31"/>
              <w:jc w:val="left"/>
              <w:rPr>
                <w:rFonts w:ascii="宋体" w:hAnsi="宋体" w:cs="宋体"/>
              </w:rPr>
            </w:pPr>
          </w:p>
        </w:tc>
        <w:tc>
          <w:tcPr>
            <w:tcW w:w="282" w:type="pct"/>
            <w:vMerge w:val="continue"/>
            <w:tcBorders>
              <w:left w:val="single" w:color="auto" w:sz="4" w:space="0"/>
            </w:tcBorders>
            <w:vAlign w:val="center"/>
          </w:tcPr>
          <w:p w14:paraId="5F433A48">
            <w:pPr>
              <w:spacing w:line="240" w:lineRule="atLeast"/>
              <w:ind w:left="-48" w:leftChars="-23" w:right="-65" w:rightChars="-31"/>
              <w:jc w:val="left"/>
              <w:rPr>
                <w:rFonts w:ascii="宋体" w:hAnsi="宋体" w:cs="宋体"/>
              </w:rPr>
            </w:pPr>
          </w:p>
        </w:tc>
        <w:tc>
          <w:tcPr>
            <w:tcW w:w="478" w:type="pct"/>
            <w:vMerge w:val="continue"/>
            <w:tcBorders>
              <w:left w:val="single" w:color="auto" w:sz="4" w:space="0"/>
              <w:right w:val="single" w:color="auto" w:sz="4" w:space="0"/>
            </w:tcBorders>
            <w:vAlign w:val="center"/>
          </w:tcPr>
          <w:p w14:paraId="311FBC4A">
            <w:pPr>
              <w:spacing w:line="240" w:lineRule="atLeast"/>
              <w:ind w:left="-48" w:leftChars="-23" w:right="-65" w:rightChars="-31"/>
              <w:jc w:val="left"/>
              <w:rPr>
                <w:rFonts w:ascii="宋体" w:hAnsi="宋体" w:cs="宋体"/>
              </w:rPr>
            </w:pPr>
          </w:p>
        </w:tc>
        <w:tc>
          <w:tcPr>
            <w:tcW w:w="692" w:type="pct"/>
            <w:vMerge w:val="continue"/>
            <w:tcBorders>
              <w:left w:val="single" w:color="auto" w:sz="4" w:space="0"/>
              <w:right w:val="single" w:color="auto" w:sz="4" w:space="0"/>
            </w:tcBorders>
            <w:vAlign w:val="center"/>
          </w:tcPr>
          <w:p w14:paraId="29873E72">
            <w:pPr>
              <w:spacing w:line="240" w:lineRule="atLeast"/>
              <w:ind w:left="-48" w:leftChars="-23" w:right="-65" w:rightChars="-31"/>
              <w:jc w:val="left"/>
              <w:rPr>
                <w:rFonts w:ascii="宋体" w:hAnsi="宋体" w:cs="宋体"/>
              </w:rPr>
            </w:pPr>
          </w:p>
        </w:tc>
        <w:tc>
          <w:tcPr>
            <w:tcW w:w="560" w:type="pct"/>
            <w:tcBorders>
              <w:left w:val="single" w:color="auto" w:sz="4" w:space="0"/>
            </w:tcBorders>
            <w:vAlign w:val="center"/>
          </w:tcPr>
          <w:p w14:paraId="447373E8">
            <w:pPr>
              <w:spacing w:line="240" w:lineRule="atLeast"/>
              <w:ind w:left="-48" w:leftChars="-23" w:right="-65" w:rightChars="-31"/>
              <w:jc w:val="left"/>
              <w:rPr>
                <w:rFonts w:ascii="宋体" w:hAnsi="宋体" w:cs="宋体"/>
              </w:rPr>
            </w:pPr>
            <w:r>
              <w:rPr>
                <w:rFonts w:hint="eastAsia" w:ascii="宋体" w:hAnsi="宋体" w:cs="宋体"/>
              </w:rPr>
              <w:t>...</w:t>
            </w:r>
          </w:p>
        </w:tc>
        <w:tc>
          <w:tcPr>
            <w:tcW w:w="511" w:type="pct"/>
            <w:tcBorders>
              <w:left w:val="single" w:color="auto" w:sz="4" w:space="0"/>
            </w:tcBorders>
            <w:vAlign w:val="center"/>
          </w:tcPr>
          <w:p w14:paraId="1C32529E">
            <w:pPr>
              <w:spacing w:line="240" w:lineRule="atLeast"/>
              <w:ind w:left="-48" w:leftChars="-23" w:right="-65" w:rightChars="-31"/>
              <w:jc w:val="left"/>
              <w:rPr>
                <w:rFonts w:ascii="宋体" w:hAnsi="宋体" w:cs="宋体"/>
              </w:rPr>
            </w:pPr>
          </w:p>
        </w:tc>
        <w:tc>
          <w:tcPr>
            <w:tcW w:w="606" w:type="pct"/>
            <w:tcBorders>
              <w:left w:val="single" w:color="auto" w:sz="4" w:space="0"/>
            </w:tcBorders>
            <w:vAlign w:val="center"/>
          </w:tcPr>
          <w:p w14:paraId="519827E0">
            <w:pPr>
              <w:spacing w:line="240" w:lineRule="atLeast"/>
              <w:ind w:left="-48" w:leftChars="-23" w:right="-65" w:rightChars="-31"/>
              <w:jc w:val="left"/>
              <w:rPr>
                <w:rFonts w:ascii="宋体" w:hAnsi="宋体" w:cs="宋体"/>
              </w:rPr>
            </w:pPr>
          </w:p>
        </w:tc>
        <w:tc>
          <w:tcPr>
            <w:tcW w:w="449" w:type="pct"/>
            <w:vMerge w:val="continue"/>
            <w:tcBorders>
              <w:left w:val="single" w:color="auto" w:sz="4" w:space="0"/>
            </w:tcBorders>
            <w:vAlign w:val="center"/>
          </w:tcPr>
          <w:p w14:paraId="553EAA38">
            <w:pPr>
              <w:spacing w:line="240" w:lineRule="atLeast"/>
              <w:ind w:left="-48" w:leftChars="-23" w:right="-65" w:rightChars="-31"/>
              <w:jc w:val="left"/>
              <w:rPr>
                <w:rFonts w:ascii="宋体" w:hAnsi="宋体" w:cs="宋体"/>
              </w:rPr>
            </w:pPr>
          </w:p>
        </w:tc>
        <w:tc>
          <w:tcPr>
            <w:tcW w:w="587" w:type="pct"/>
            <w:tcBorders>
              <w:left w:val="single" w:color="auto" w:sz="4" w:space="0"/>
            </w:tcBorders>
            <w:vAlign w:val="center"/>
          </w:tcPr>
          <w:p w14:paraId="60150B1F">
            <w:pPr>
              <w:spacing w:line="240" w:lineRule="atLeast"/>
              <w:ind w:left="-48" w:leftChars="-23" w:right="-65" w:rightChars="-31"/>
              <w:jc w:val="left"/>
              <w:rPr>
                <w:rFonts w:ascii="宋体" w:hAnsi="宋体" w:cs="宋体"/>
              </w:rPr>
            </w:pPr>
          </w:p>
        </w:tc>
      </w:tr>
      <w:tr w14:paraId="3613168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76" w:hRule="atLeast"/>
          <w:jc w:val="center"/>
        </w:trPr>
        <w:tc>
          <w:tcPr>
            <w:tcW w:w="245" w:type="pct"/>
            <w:vMerge w:val="continue"/>
            <w:vAlign w:val="center"/>
          </w:tcPr>
          <w:p w14:paraId="39ADC8D0">
            <w:pPr>
              <w:tabs>
                <w:tab w:val="left" w:pos="61"/>
              </w:tabs>
              <w:jc w:val="center"/>
              <w:rPr>
                <w:rFonts w:ascii="宋体" w:hAnsi="宋体"/>
              </w:rPr>
            </w:pPr>
          </w:p>
        </w:tc>
        <w:tc>
          <w:tcPr>
            <w:tcW w:w="201" w:type="pct"/>
            <w:vMerge w:val="continue"/>
            <w:vAlign w:val="center"/>
          </w:tcPr>
          <w:p w14:paraId="5AFDB21F">
            <w:pPr>
              <w:tabs>
                <w:tab w:val="left" w:pos="0"/>
                <w:tab w:val="left" w:pos="56"/>
              </w:tabs>
              <w:ind w:left="479" w:hanging="478" w:hangingChars="228"/>
              <w:jc w:val="center"/>
              <w:rPr>
                <w:rFonts w:ascii="宋体" w:hAnsi="宋体"/>
              </w:rPr>
            </w:pPr>
          </w:p>
        </w:tc>
        <w:tc>
          <w:tcPr>
            <w:tcW w:w="380" w:type="pct"/>
            <w:vMerge w:val="continue"/>
            <w:vAlign w:val="center"/>
          </w:tcPr>
          <w:p w14:paraId="51A731F1">
            <w:pPr>
              <w:spacing w:line="240" w:lineRule="atLeast"/>
              <w:ind w:left="-48" w:leftChars="-23" w:right="-65" w:rightChars="-31"/>
              <w:jc w:val="left"/>
              <w:rPr>
                <w:rFonts w:ascii="宋体" w:hAnsi="宋体" w:cs="宋体"/>
              </w:rPr>
            </w:pPr>
          </w:p>
        </w:tc>
        <w:tc>
          <w:tcPr>
            <w:tcW w:w="282" w:type="pct"/>
            <w:vMerge w:val="continue"/>
            <w:tcBorders>
              <w:left w:val="single" w:color="auto" w:sz="4" w:space="0"/>
            </w:tcBorders>
            <w:vAlign w:val="center"/>
          </w:tcPr>
          <w:p w14:paraId="1633CCDC">
            <w:pPr>
              <w:spacing w:line="240" w:lineRule="atLeast"/>
              <w:ind w:left="-48" w:leftChars="-23" w:right="-65" w:rightChars="-31"/>
              <w:jc w:val="left"/>
              <w:rPr>
                <w:rFonts w:ascii="宋体" w:hAnsi="宋体" w:cs="宋体"/>
              </w:rPr>
            </w:pPr>
          </w:p>
        </w:tc>
        <w:tc>
          <w:tcPr>
            <w:tcW w:w="478" w:type="pct"/>
            <w:vMerge w:val="continue"/>
            <w:tcBorders>
              <w:left w:val="single" w:color="auto" w:sz="4" w:space="0"/>
              <w:right w:val="single" w:color="auto" w:sz="4" w:space="0"/>
            </w:tcBorders>
            <w:vAlign w:val="center"/>
          </w:tcPr>
          <w:p w14:paraId="5C46D362">
            <w:pPr>
              <w:spacing w:line="240" w:lineRule="atLeast"/>
              <w:ind w:left="-48" w:leftChars="-23" w:right="-65" w:rightChars="-31"/>
              <w:jc w:val="left"/>
              <w:rPr>
                <w:rFonts w:ascii="宋体" w:hAnsi="宋体" w:cs="宋体"/>
              </w:rPr>
            </w:pPr>
          </w:p>
        </w:tc>
        <w:tc>
          <w:tcPr>
            <w:tcW w:w="692" w:type="pct"/>
            <w:vMerge w:val="restart"/>
            <w:tcBorders>
              <w:left w:val="single" w:color="auto" w:sz="4" w:space="0"/>
              <w:right w:val="single" w:color="auto" w:sz="4" w:space="0"/>
            </w:tcBorders>
            <w:vAlign w:val="center"/>
          </w:tcPr>
          <w:p w14:paraId="24285109">
            <w:pPr>
              <w:spacing w:line="240" w:lineRule="atLeast"/>
              <w:ind w:left="-48" w:leftChars="-23" w:right="-65" w:rightChars="-31"/>
              <w:jc w:val="left"/>
              <w:rPr>
                <w:rFonts w:ascii="宋体" w:hAnsi="宋体" w:cs="宋体"/>
              </w:rPr>
            </w:pPr>
            <w:r>
              <w:rPr>
                <w:rFonts w:hint="eastAsia" w:ascii="宋体" w:hAnsi="宋体" w:cs="宋体"/>
              </w:rPr>
              <w:t>人工成本</w:t>
            </w:r>
          </w:p>
        </w:tc>
        <w:tc>
          <w:tcPr>
            <w:tcW w:w="560" w:type="pct"/>
            <w:tcBorders>
              <w:left w:val="single" w:color="auto" w:sz="4" w:space="0"/>
            </w:tcBorders>
            <w:vAlign w:val="center"/>
          </w:tcPr>
          <w:p w14:paraId="39B99877">
            <w:pPr>
              <w:spacing w:line="240" w:lineRule="atLeast"/>
              <w:ind w:left="-48" w:leftChars="-23" w:right="-65" w:rightChars="-31"/>
              <w:jc w:val="left"/>
              <w:rPr>
                <w:rFonts w:ascii="宋体" w:hAnsi="宋体" w:cs="宋体"/>
              </w:rPr>
            </w:pPr>
            <w:r>
              <w:rPr>
                <w:rFonts w:ascii="宋体" w:hAnsi="宋体" w:cs="宋体"/>
              </w:rPr>
              <w:t>生产工人工资</w:t>
            </w:r>
          </w:p>
        </w:tc>
        <w:tc>
          <w:tcPr>
            <w:tcW w:w="511" w:type="pct"/>
            <w:tcBorders>
              <w:left w:val="single" w:color="auto" w:sz="4" w:space="0"/>
            </w:tcBorders>
            <w:vAlign w:val="center"/>
          </w:tcPr>
          <w:p w14:paraId="201AF10A">
            <w:pPr>
              <w:spacing w:line="240" w:lineRule="atLeast"/>
              <w:ind w:left="-48" w:leftChars="-23" w:right="-65" w:rightChars="-31"/>
              <w:jc w:val="left"/>
              <w:rPr>
                <w:rFonts w:ascii="宋体" w:hAnsi="宋体" w:cs="宋体"/>
              </w:rPr>
            </w:pPr>
          </w:p>
        </w:tc>
        <w:tc>
          <w:tcPr>
            <w:tcW w:w="606" w:type="pct"/>
            <w:tcBorders>
              <w:left w:val="single" w:color="auto" w:sz="4" w:space="0"/>
            </w:tcBorders>
            <w:vAlign w:val="center"/>
          </w:tcPr>
          <w:p w14:paraId="449DBE03">
            <w:pPr>
              <w:spacing w:line="240" w:lineRule="atLeast"/>
              <w:ind w:left="-48" w:leftChars="-23" w:right="-65" w:rightChars="-31"/>
              <w:jc w:val="left"/>
              <w:rPr>
                <w:rFonts w:ascii="宋体" w:hAnsi="宋体" w:cs="宋体"/>
              </w:rPr>
            </w:pPr>
          </w:p>
        </w:tc>
        <w:tc>
          <w:tcPr>
            <w:tcW w:w="449" w:type="pct"/>
            <w:vMerge w:val="continue"/>
            <w:tcBorders>
              <w:left w:val="single" w:color="auto" w:sz="4" w:space="0"/>
            </w:tcBorders>
            <w:vAlign w:val="center"/>
          </w:tcPr>
          <w:p w14:paraId="728F4776">
            <w:pPr>
              <w:spacing w:line="240" w:lineRule="atLeast"/>
              <w:ind w:left="-48" w:leftChars="-23" w:right="-65" w:rightChars="-31"/>
              <w:jc w:val="left"/>
              <w:rPr>
                <w:rFonts w:ascii="宋体" w:hAnsi="宋体" w:cs="宋体"/>
              </w:rPr>
            </w:pPr>
          </w:p>
        </w:tc>
        <w:tc>
          <w:tcPr>
            <w:tcW w:w="587" w:type="pct"/>
            <w:tcBorders>
              <w:left w:val="single" w:color="auto" w:sz="4" w:space="0"/>
            </w:tcBorders>
            <w:vAlign w:val="center"/>
          </w:tcPr>
          <w:p w14:paraId="7DB579EB">
            <w:pPr>
              <w:spacing w:line="240" w:lineRule="atLeast"/>
              <w:ind w:left="-48" w:leftChars="-23" w:right="-65" w:rightChars="-31"/>
              <w:jc w:val="left"/>
              <w:rPr>
                <w:rFonts w:ascii="宋体" w:hAnsi="宋体" w:cs="宋体"/>
              </w:rPr>
            </w:pPr>
          </w:p>
        </w:tc>
      </w:tr>
      <w:tr w14:paraId="09264EA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76" w:hRule="atLeast"/>
          <w:jc w:val="center"/>
        </w:trPr>
        <w:tc>
          <w:tcPr>
            <w:tcW w:w="245" w:type="pct"/>
            <w:vMerge w:val="continue"/>
            <w:vAlign w:val="center"/>
          </w:tcPr>
          <w:p w14:paraId="1554BB2D">
            <w:pPr>
              <w:tabs>
                <w:tab w:val="left" w:pos="61"/>
              </w:tabs>
              <w:jc w:val="center"/>
              <w:rPr>
                <w:rFonts w:ascii="宋体" w:hAnsi="宋体"/>
              </w:rPr>
            </w:pPr>
          </w:p>
        </w:tc>
        <w:tc>
          <w:tcPr>
            <w:tcW w:w="201" w:type="pct"/>
            <w:vMerge w:val="continue"/>
            <w:vAlign w:val="center"/>
          </w:tcPr>
          <w:p w14:paraId="6E9D574E">
            <w:pPr>
              <w:tabs>
                <w:tab w:val="left" w:pos="0"/>
                <w:tab w:val="left" w:pos="56"/>
              </w:tabs>
              <w:ind w:left="479" w:hanging="478" w:hangingChars="228"/>
              <w:jc w:val="center"/>
              <w:rPr>
                <w:rFonts w:ascii="宋体" w:hAnsi="宋体"/>
              </w:rPr>
            </w:pPr>
          </w:p>
        </w:tc>
        <w:tc>
          <w:tcPr>
            <w:tcW w:w="380" w:type="pct"/>
            <w:vMerge w:val="continue"/>
            <w:vAlign w:val="center"/>
          </w:tcPr>
          <w:p w14:paraId="252B40C0">
            <w:pPr>
              <w:spacing w:line="240" w:lineRule="atLeast"/>
              <w:ind w:left="-48" w:leftChars="-23" w:right="-65" w:rightChars="-31"/>
              <w:jc w:val="left"/>
              <w:rPr>
                <w:rFonts w:ascii="宋体" w:hAnsi="宋体" w:cs="宋体"/>
              </w:rPr>
            </w:pPr>
          </w:p>
        </w:tc>
        <w:tc>
          <w:tcPr>
            <w:tcW w:w="282" w:type="pct"/>
            <w:vMerge w:val="continue"/>
            <w:tcBorders>
              <w:left w:val="single" w:color="auto" w:sz="4" w:space="0"/>
            </w:tcBorders>
            <w:vAlign w:val="center"/>
          </w:tcPr>
          <w:p w14:paraId="075FD182">
            <w:pPr>
              <w:spacing w:line="240" w:lineRule="atLeast"/>
              <w:ind w:left="-48" w:leftChars="-23" w:right="-65" w:rightChars="-31"/>
              <w:jc w:val="left"/>
              <w:rPr>
                <w:rFonts w:ascii="宋体" w:hAnsi="宋体" w:cs="宋体"/>
              </w:rPr>
            </w:pPr>
          </w:p>
        </w:tc>
        <w:tc>
          <w:tcPr>
            <w:tcW w:w="478" w:type="pct"/>
            <w:vMerge w:val="continue"/>
            <w:tcBorders>
              <w:left w:val="single" w:color="auto" w:sz="4" w:space="0"/>
              <w:right w:val="single" w:color="auto" w:sz="4" w:space="0"/>
            </w:tcBorders>
            <w:vAlign w:val="center"/>
          </w:tcPr>
          <w:p w14:paraId="01F50DD8">
            <w:pPr>
              <w:spacing w:line="240" w:lineRule="atLeast"/>
              <w:ind w:left="-48" w:leftChars="-23" w:right="-65" w:rightChars="-31"/>
              <w:jc w:val="left"/>
              <w:rPr>
                <w:rFonts w:ascii="宋体" w:hAnsi="宋体" w:cs="宋体"/>
              </w:rPr>
            </w:pPr>
          </w:p>
        </w:tc>
        <w:tc>
          <w:tcPr>
            <w:tcW w:w="692" w:type="pct"/>
            <w:vMerge w:val="continue"/>
            <w:tcBorders>
              <w:left w:val="single" w:color="auto" w:sz="4" w:space="0"/>
              <w:right w:val="single" w:color="auto" w:sz="4" w:space="0"/>
            </w:tcBorders>
            <w:vAlign w:val="center"/>
          </w:tcPr>
          <w:p w14:paraId="3120D1FD">
            <w:pPr>
              <w:spacing w:line="240" w:lineRule="atLeast"/>
              <w:ind w:left="-48" w:leftChars="-23" w:right="-65" w:rightChars="-31"/>
              <w:jc w:val="left"/>
              <w:rPr>
                <w:rFonts w:ascii="宋体" w:hAnsi="宋体" w:cs="宋体"/>
              </w:rPr>
            </w:pPr>
          </w:p>
        </w:tc>
        <w:tc>
          <w:tcPr>
            <w:tcW w:w="560" w:type="pct"/>
            <w:tcBorders>
              <w:left w:val="single" w:color="auto" w:sz="4" w:space="0"/>
            </w:tcBorders>
            <w:vAlign w:val="center"/>
          </w:tcPr>
          <w:p w14:paraId="5324AB6E">
            <w:pPr>
              <w:spacing w:line="240" w:lineRule="atLeast"/>
              <w:ind w:left="-48" w:leftChars="-23" w:right="-65" w:rightChars="-31"/>
              <w:jc w:val="left"/>
              <w:rPr>
                <w:rFonts w:ascii="宋体" w:hAnsi="宋体" w:cs="宋体"/>
              </w:rPr>
            </w:pPr>
            <w:r>
              <w:rPr>
                <w:rFonts w:hint="eastAsia" w:ascii="宋体" w:hAnsi="宋体" w:cs="宋体"/>
              </w:rPr>
              <w:t>....</w:t>
            </w:r>
          </w:p>
        </w:tc>
        <w:tc>
          <w:tcPr>
            <w:tcW w:w="511" w:type="pct"/>
            <w:tcBorders>
              <w:left w:val="single" w:color="auto" w:sz="4" w:space="0"/>
            </w:tcBorders>
            <w:vAlign w:val="center"/>
          </w:tcPr>
          <w:p w14:paraId="40D1879B">
            <w:pPr>
              <w:spacing w:line="240" w:lineRule="atLeast"/>
              <w:ind w:left="-48" w:leftChars="-23" w:right="-65" w:rightChars="-31"/>
              <w:jc w:val="left"/>
              <w:rPr>
                <w:rFonts w:ascii="宋体" w:hAnsi="宋体" w:cs="宋体"/>
              </w:rPr>
            </w:pPr>
          </w:p>
        </w:tc>
        <w:tc>
          <w:tcPr>
            <w:tcW w:w="606" w:type="pct"/>
            <w:tcBorders>
              <w:left w:val="single" w:color="auto" w:sz="4" w:space="0"/>
            </w:tcBorders>
            <w:vAlign w:val="center"/>
          </w:tcPr>
          <w:p w14:paraId="414C2DAF">
            <w:pPr>
              <w:spacing w:line="240" w:lineRule="atLeast"/>
              <w:ind w:left="-48" w:leftChars="-23" w:right="-65" w:rightChars="-31"/>
              <w:jc w:val="left"/>
              <w:rPr>
                <w:rFonts w:ascii="宋体" w:hAnsi="宋体" w:cs="宋体"/>
              </w:rPr>
            </w:pPr>
          </w:p>
        </w:tc>
        <w:tc>
          <w:tcPr>
            <w:tcW w:w="449" w:type="pct"/>
            <w:vMerge w:val="continue"/>
            <w:tcBorders>
              <w:left w:val="single" w:color="auto" w:sz="4" w:space="0"/>
            </w:tcBorders>
            <w:vAlign w:val="center"/>
          </w:tcPr>
          <w:p w14:paraId="22816D64">
            <w:pPr>
              <w:spacing w:line="240" w:lineRule="atLeast"/>
              <w:ind w:left="-48" w:leftChars="-23" w:right="-65" w:rightChars="-31"/>
              <w:jc w:val="left"/>
              <w:rPr>
                <w:rFonts w:ascii="宋体" w:hAnsi="宋体" w:cs="宋体"/>
              </w:rPr>
            </w:pPr>
          </w:p>
        </w:tc>
        <w:tc>
          <w:tcPr>
            <w:tcW w:w="587" w:type="pct"/>
            <w:tcBorders>
              <w:left w:val="single" w:color="auto" w:sz="4" w:space="0"/>
            </w:tcBorders>
            <w:vAlign w:val="center"/>
          </w:tcPr>
          <w:p w14:paraId="5A4E4E7F">
            <w:pPr>
              <w:spacing w:line="240" w:lineRule="atLeast"/>
              <w:ind w:left="-48" w:leftChars="-23" w:right="-65" w:rightChars="-31"/>
              <w:jc w:val="left"/>
              <w:rPr>
                <w:rFonts w:ascii="宋体" w:hAnsi="宋体" w:cs="宋体"/>
              </w:rPr>
            </w:pPr>
          </w:p>
        </w:tc>
      </w:tr>
      <w:tr w14:paraId="61737BD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76" w:hRule="atLeast"/>
          <w:jc w:val="center"/>
        </w:trPr>
        <w:tc>
          <w:tcPr>
            <w:tcW w:w="245" w:type="pct"/>
            <w:vMerge w:val="continue"/>
            <w:vAlign w:val="center"/>
          </w:tcPr>
          <w:p w14:paraId="1DA53C4F">
            <w:pPr>
              <w:tabs>
                <w:tab w:val="left" w:pos="61"/>
              </w:tabs>
              <w:jc w:val="center"/>
              <w:rPr>
                <w:rFonts w:ascii="宋体" w:hAnsi="宋体"/>
              </w:rPr>
            </w:pPr>
          </w:p>
        </w:tc>
        <w:tc>
          <w:tcPr>
            <w:tcW w:w="201" w:type="pct"/>
            <w:vMerge w:val="continue"/>
            <w:vAlign w:val="center"/>
          </w:tcPr>
          <w:p w14:paraId="67076708">
            <w:pPr>
              <w:tabs>
                <w:tab w:val="left" w:pos="0"/>
                <w:tab w:val="left" w:pos="56"/>
              </w:tabs>
              <w:ind w:left="479" w:hanging="478" w:hangingChars="228"/>
              <w:jc w:val="center"/>
              <w:rPr>
                <w:rFonts w:ascii="宋体" w:hAnsi="宋体"/>
              </w:rPr>
            </w:pPr>
          </w:p>
        </w:tc>
        <w:tc>
          <w:tcPr>
            <w:tcW w:w="380" w:type="pct"/>
            <w:vMerge w:val="continue"/>
            <w:vAlign w:val="center"/>
          </w:tcPr>
          <w:p w14:paraId="220890EC">
            <w:pPr>
              <w:spacing w:line="240" w:lineRule="atLeast"/>
              <w:ind w:left="-48" w:leftChars="-23" w:right="-65" w:rightChars="-31"/>
              <w:jc w:val="left"/>
              <w:rPr>
                <w:rFonts w:ascii="宋体" w:hAnsi="宋体" w:cs="宋体"/>
              </w:rPr>
            </w:pPr>
          </w:p>
        </w:tc>
        <w:tc>
          <w:tcPr>
            <w:tcW w:w="282" w:type="pct"/>
            <w:vMerge w:val="continue"/>
            <w:tcBorders>
              <w:left w:val="single" w:color="auto" w:sz="4" w:space="0"/>
            </w:tcBorders>
            <w:vAlign w:val="center"/>
          </w:tcPr>
          <w:p w14:paraId="3DAC809B">
            <w:pPr>
              <w:spacing w:line="240" w:lineRule="atLeast"/>
              <w:ind w:left="-48" w:leftChars="-23" w:right="-65" w:rightChars="-31"/>
              <w:jc w:val="left"/>
              <w:rPr>
                <w:rFonts w:ascii="宋体" w:hAnsi="宋体" w:cs="宋体"/>
              </w:rPr>
            </w:pPr>
          </w:p>
        </w:tc>
        <w:tc>
          <w:tcPr>
            <w:tcW w:w="478" w:type="pct"/>
            <w:vMerge w:val="continue"/>
            <w:tcBorders>
              <w:left w:val="single" w:color="auto" w:sz="4" w:space="0"/>
              <w:right w:val="single" w:color="auto" w:sz="4" w:space="0"/>
            </w:tcBorders>
            <w:vAlign w:val="center"/>
          </w:tcPr>
          <w:p w14:paraId="1DCE901B">
            <w:pPr>
              <w:spacing w:line="240" w:lineRule="atLeast"/>
              <w:ind w:left="-48" w:leftChars="-23" w:right="-65" w:rightChars="-31"/>
              <w:jc w:val="left"/>
              <w:rPr>
                <w:rFonts w:ascii="宋体" w:hAnsi="宋体" w:cs="宋体"/>
              </w:rPr>
            </w:pPr>
          </w:p>
        </w:tc>
        <w:tc>
          <w:tcPr>
            <w:tcW w:w="692" w:type="pct"/>
            <w:vMerge w:val="restart"/>
            <w:tcBorders>
              <w:left w:val="single" w:color="auto" w:sz="4" w:space="0"/>
              <w:right w:val="single" w:color="auto" w:sz="4" w:space="0"/>
            </w:tcBorders>
            <w:vAlign w:val="center"/>
          </w:tcPr>
          <w:p w14:paraId="187B0E76">
            <w:pPr>
              <w:spacing w:line="240" w:lineRule="atLeast"/>
              <w:ind w:left="-48" w:leftChars="-23" w:right="-65" w:rightChars="-31"/>
              <w:jc w:val="left"/>
              <w:rPr>
                <w:rFonts w:ascii="宋体" w:hAnsi="宋体" w:cs="宋体"/>
              </w:rPr>
            </w:pPr>
            <w:r>
              <w:rPr>
                <w:rFonts w:hint="eastAsia" w:ascii="宋体" w:hAnsi="宋体" w:cs="宋体"/>
              </w:rPr>
              <w:t>制造费用</w:t>
            </w:r>
          </w:p>
        </w:tc>
        <w:tc>
          <w:tcPr>
            <w:tcW w:w="560" w:type="pct"/>
            <w:tcBorders>
              <w:left w:val="single" w:color="auto" w:sz="4" w:space="0"/>
            </w:tcBorders>
            <w:vAlign w:val="center"/>
          </w:tcPr>
          <w:p w14:paraId="43E6969D">
            <w:pPr>
              <w:spacing w:line="240" w:lineRule="atLeast"/>
              <w:ind w:left="-48" w:leftChars="-23" w:right="-65" w:rightChars="-31"/>
              <w:jc w:val="left"/>
              <w:rPr>
                <w:rFonts w:ascii="宋体" w:hAnsi="宋体" w:cs="宋体"/>
              </w:rPr>
            </w:pPr>
            <w:r>
              <w:rPr>
                <w:rFonts w:ascii="宋体" w:hAnsi="宋体" w:cs="宋体"/>
              </w:rPr>
              <w:t>设备折旧费</w:t>
            </w:r>
          </w:p>
        </w:tc>
        <w:tc>
          <w:tcPr>
            <w:tcW w:w="511" w:type="pct"/>
            <w:tcBorders>
              <w:left w:val="single" w:color="auto" w:sz="4" w:space="0"/>
            </w:tcBorders>
            <w:vAlign w:val="center"/>
          </w:tcPr>
          <w:p w14:paraId="002CE566">
            <w:pPr>
              <w:spacing w:line="240" w:lineRule="atLeast"/>
              <w:ind w:left="-48" w:leftChars="-23" w:right="-65" w:rightChars="-31"/>
              <w:jc w:val="left"/>
              <w:rPr>
                <w:rFonts w:ascii="宋体" w:hAnsi="宋体" w:cs="宋体"/>
              </w:rPr>
            </w:pPr>
          </w:p>
        </w:tc>
        <w:tc>
          <w:tcPr>
            <w:tcW w:w="606" w:type="pct"/>
            <w:tcBorders>
              <w:left w:val="single" w:color="auto" w:sz="4" w:space="0"/>
            </w:tcBorders>
            <w:vAlign w:val="center"/>
          </w:tcPr>
          <w:p w14:paraId="55691DCB">
            <w:pPr>
              <w:spacing w:line="240" w:lineRule="atLeast"/>
              <w:ind w:left="-48" w:leftChars="-23" w:right="-65" w:rightChars="-31"/>
              <w:jc w:val="left"/>
              <w:rPr>
                <w:rFonts w:ascii="宋体" w:hAnsi="宋体" w:cs="宋体"/>
              </w:rPr>
            </w:pPr>
          </w:p>
        </w:tc>
        <w:tc>
          <w:tcPr>
            <w:tcW w:w="449" w:type="pct"/>
            <w:vMerge w:val="continue"/>
            <w:tcBorders>
              <w:left w:val="single" w:color="auto" w:sz="4" w:space="0"/>
            </w:tcBorders>
            <w:vAlign w:val="center"/>
          </w:tcPr>
          <w:p w14:paraId="3CA8E73D">
            <w:pPr>
              <w:spacing w:line="240" w:lineRule="atLeast"/>
              <w:ind w:left="-48" w:leftChars="-23" w:right="-65" w:rightChars="-31"/>
              <w:jc w:val="left"/>
              <w:rPr>
                <w:rFonts w:ascii="宋体" w:hAnsi="宋体" w:cs="宋体"/>
              </w:rPr>
            </w:pPr>
          </w:p>
        </w:tc>
        <w:tc>
          <w:tcPr>
            <w:tcW w:w="587" w:type="pct"/>
            <w:tcBorders>
              <w:left w:val="single" w:color="auto" w:sz="4" w:space="0"/>
            </w:tcBorders>
            <w:vAlign w:val="center"/>
          </w:tcPr>
          <w:p w14:paraId="36BBE601">
            <w:pPr>
              <w:spacing w:line="240" w:lineRule="atLeast"/>
              <w:ind w:left="-48" w:leftChars="-23" w:right="-65" w:rightChars="-31"/>
              <w:jc w:val="left"/>
              <w:rPr>
                <w:rFonts w:ascii="宋体" w:hAnsi="宋体" w:cs="宋体"/>
              </w:rPr>
            </w:pPr>
          </w:p>
        </w:tc>
      </w:tr>
      <w:tr w14:paraId="0277582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76" w:hRule="atLeast"/>
          <w:jc w:val="center"/>
        </w:trPr>
        <w:tc>
          <w:tcPr>
            <w:tcW w:w="245" w:type="pct"/>
            <w:vMerge w:val="continue"/>
            <w:vAlign w:val="center"/>
          </w:tcPr>
          <w:p w14:paraId="2662F240">
            <w:pPr>
              <w:tabs>
                <w:tab w:val="left" w:pos="61"/>
              </w:tabs>
              <w:jc w:val="center"/>
              <w:rPr>
                <w:rFonts w:ascii="宋体" w:hAnsi="宋体"/>
              </w:rPr>
            </w:pPr>
          </w:p>
        </w:tc>
        <w:tc>
          <w:tcPr>
            <w:tcW w:w="201" w:type="pct"/>
            <w:vMerge w:val="continue"/>
            <w:vAlign w:val="center"/>
          </w:tcPr>
          <w:p w14:paraId="3CF4407D">
            <w:pPr>
              <w:tabs>
                <w:tab w:val="left" w:pos="0"/>
                <w:tab w:val="left" w:pos="56"/>
              </w:tabs>
              <w:ind w:left="479" w:hanging="478" w:hangingChars="228"/>
              <w:jc w:val="center"/>
              <w:rPr>
                <w:rFonts w:ascii="宋体" w:hAnsi="宋体"/>
              </w:rPr>
            </w:pPr>
          </w:p>
        </w:tc>
        <w:tc>
          <w:tcPr>
            <w:tcW w:w="380" w:type="pct"/>
            <w:vMerge w:val="continue"/>
            <w:vAlign w:val="center"/>
          </w:tcPr>
          <w:p w14:paraId="015AE0F1">
            <w:pPr>
              <w:spacing w:line="240" w:lineRule="atLeast"/>
              <w:ind w:left="-48" w:leftChars="-23" w:right="-65" w:rightChars="-31"/>
              <w:jc w:val="left"/>
              <w:rPr>
                <w:rFonts w:ascii="宋体" w:hAnsi="宋体" w:cs="宋体"/>
              </w:rPr>
            </w:pPr>
          </w:p>
        </w:tc>
        <w:tc>
          <w:tcPr>
            <w:tcW w:w="282" w:type="pct"/>
            <w:vMerge w:val="continue"/>
            <w:tcBorders>
              <w:left w:val="single" w:color="auto" w:sz="4" w:space="0"/>
            </w:tcBorders>
            <w:vAlign w:val="center"/>
          </w:tcPr>
          <w:p w14:paraId="167435C0">
            <w:pPr>
              <w:spacing w:line="240" w:lineRule="atLeast"/>
              <w:ind w:left="-48" w:leftChars="-23" w:right="-65" w:rightChars="-31"/>
              <w:jc w:val="left"/>
              <w:rPr>
                <w:rFonts w:ascii="宋体" w:hAnsi="宋体" w:cs="宋体"/>
              </w:rPr>
            </w:pPr>
          </w:p>
        </w:tc>
        <w:tc>
          <w:tcPr>
            <w:tcW w:w="478" w:type="pct"/>
            <w:vMerge w:val="continue"/>
            <w:tcBorders>
              <w:left w:val="single" w:color="auto" w:sz="4" w:space="0"/>
              <w:right w:val="single" w:color="auto" w:sz="4" w:space="0"/>
            </w:tcBorders>
            <w:vAlign w:val="center"/>
          </w:tcPr>
          <w:p w14:paraId="033EC313">
            <w:pPr>
              <w:spacing w:line="240" w:lineRule="atLeast"/>
              <w:ind w:left="-48" w:leftChars="-23" w:right="-65" w:rightChars="-31"/>
              <w:jc w:val="left"/>
              <w:rPr>
                <w:rFonts w:ascii="宋体" w:hAnsi="宋体" w:cs="宋体"/>
              </w:rPr>
            </w:pPr>
          </w:p>
        </w:tc>
        <w:tc>
          <w:tcPr>
            <w:tcW w:w="692" w:type="pct"/>
            <w:vMerge w:val="continue"/>
            <w:tcBorders>
              <w:left w:val="single" w:color="auto" w:sz="4" w:space="0"/>
              <w:right w:val="single" w:color="auto" w:sz="4" w:space="0"/>
            </w:tcBorders>
            <w:vAlign w:val="center"/>
          </w:tcPr>
          <w:p w14:paraId="19CE50FC">
            <w:pPr>
              <w:spacing w:line="240" w:lineRule="atLeast"/>
              <w:ind w:left="-48" w:leftChars="-23" w:right="-65" w:rightChars="-31"/>
              <w:jc w:val="left"/>
              <w:rPr>
                <w:rFonts w:ascii="宋体" w:hAnsi="宋体" w:cs="宋体"/>
              </w:rPr>
            </w:pPr>
          </w:p>
        </w:tc>
        <w:tc>
          <w:tcPr>
            <w:tcW w:w="560" w:type="pct"/>
            <w:tcBorders>
              <w:left w:val="single" w:color="auto" w:sz="4" w:space="0"/>
            </w:tcBorders>
            <w:vAlign w:val="center"/>
          </w:tcPr>
          <w:p w14:paraId="1B05A1AA">
            <w:pPr>
              <w:spacing w:line="240" w:lineRule="atLeast"/>
              <w:ind w:left="-48" w:leftChars="-23" w:right="-65" w:rightChars="-31"/>
              <w:jc w:val="left"/>
              <w:rPr>
                <w:rFonts w:ascii="宋体" w:hAnsi="宋体" w:cs="宋体"/>
              </w:rPr>
            </w:pPr>
            <w:r>
              <w:rPr>
                <w:rFonts w:hint="eastAsia" w:ascii="宋体" w:hAnsi="宋体" w:cs="宋体"/>
              </w:rPr>
              <w:t>...</w:t>
            </w:r>
          </w:p>
        </w:tc>
        <w:tc>
          <w:tcPr>
            <w:tcW w:w="511" w:type="pct"/>
            <w:tcBorders>
              <w:left w:val="single" w:color="auto" w:sz="4" w:space="0"/>
            </w:tcBorders>
            <w:vAlign w:val="center"/>
          </w:tcPr>
          <w:p w14:paraId="4217BBE1">
            <w:pPr>
              <w:spacing w:line="240" w:lineRule="atLeast"/>
              <w:ind w:left="-48" w:leftChars="-23" w:right="-65" w:rightChars="-31"/>
              <w:jc w:val="left"/>
              <w:rPr>
                <w:rFonts w:ascii="宋体" w:hAnsi="宋体" w:cs="宋体"/>
              </w:rPr>
            </w:pPr>
          </w:p>
        </w:tc>
        <w:tc>
          <w:tcPr>
            <w:tcW w:w="606" w:type="pct"/>
            <w:tcBorders>
              <w:left w:val="single" w:color="auto" w:sz="4" w:space="0"/>
            </w:tcBorders>
            <w:vAlign w:val="center"/>
          </w:tcPr>
          <w:p w14:paraId="238F8304">
            <w:pPr>
              <w:spacing w:line="240" w:lineRule="atLeast"/>
              <w:ind w:left="-48" w:leftChars="-23" w:right="-65" w:rightChars="-31"/>
              <w:jc w:val="left"/>
              <w:rPr>
                <w:rFonts w:ascii="宋体" w:hAnsi="宋体" w:cs="宋体"/>
              </w:rPr>
            </w:pPr>
          </w:p>
        </w:tc>
        <w:tc>
          <w:tcPr>
            <w:tcW w:w="449" w:type="pct"/>
            <w:vMerge w:val="continue"/>
            <w:tcBorders>
              <w:left w:val="single" w:color="auto" w:sz="4" w:space="0"/>
            </w:tcBorders>
            <w:vAlign w:val="center"/>
          </w:tcPr>
          <w:p w14:paraId="53A1EB32">
            <w:pPr>
              <w:spacing w:line="240" w:lineRule="atLeast"/>
              <w:ind w:left="-48" w:leftChars="-23" w:right="-65" w:rightChars="-31"/>
              <w:jc w:val="left"/>
              <w:rPr>
                <w:rFonts w:ascii="宋体" w:hAnsi="宋体" w:cs="宋体"/>
              </w:rPr>
            </w:pPr>
          </w:p>
        </w:tc>
        <w:tc>
          <w:tcPr>
            <w:tcW w:w="587" w:type="pct"/>
            <w:tcBorders>
              <w:left w:val="single" w:color="auto" w:sz="4" w:space="0"/>
            </w:tcBorders>
            <w:vAlign w:val="center"/>
          </w:tcPr>
          <w:p w14:paraId="05C8C698">
            <w:pPr>
              <w:spacing w:line="240" w:lineRule="atLeast"/>
              <w:ind w:left="-48" w:leftChars="-23" w:right="-65" w:rightChars="-31"/>
              <w:jc w:val="left"/>
              <w:rPr>
                <w:rFonts w:ascii="宋体" w:hAnsi="宋体" w:cs="宋体"/>
              </w:rPr>
            </w:pPr>
          </w:p>
        </w:tc>
      </w:tr>
      <w:tr w14:paraId="46E2DEE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76" w:hRule="atLeast"/>
          <w:jc w:val="center"/>
        </w:trPr>
        <w:tc>
          <w:tcPr>
            <w:tcW w:w="245" w:type="pct"/>
            <w:vMerge w:val="continue"/>
            <w:vAlign w:val="center"/>
          </w:tcPr>
          <w:p w14:paraId="377D02EB">
            <w:pPr>
              <w:tabs>
                <w:tab w:val="left" w:pos="61"/>
              </w:tabs>
              <w:jc w:val="center"/>
              <w:rPr>
                <w:rFonts w:ascii="宋体" w:hAnsi="宋体"/>
              </w:rPr>
            </w:pPr>
          </w:p>
        </w:tc>
        <w:tc>
          <w:tcPr>
            <w:tcW w:w="201" w:type="pct"/>
            <w:vMerge w:val="continue"/>
            <w:vAlign w:val="center"/>
          </w:tcPr>
          <w:p w14:paraId="51E5C0CC">
            <w:pPr>
              <w:tabs>
                <w:tab w:val="left" w:pos="0"/>
                <w:tab w:val="left" w:pos="56"/>
              </w:tabs>
              <w:ind w:left="479" w:hanging="478" w:hangingChars="228"/>
              <w:jc w:val="center"/>
              <w:rPr>
                <w:rFonts w:ascii="宋体" w:hAnsi="宋体"/>
              </w:rPr>
            </w:pPr>
          </w:p>
        </w:tc>
        <w:tc>
          <w:tcPr>
            <w:tcW w:w="380" w:type="pct"/>
            <w:vMerge w:val="continue"/>
            <w:vAlign w:val="center"/>
          </w:tcPr>
          <w:p w14:paraId="76223144">
            <w:pPr>
              <w:spacing w:line="240" w:lineRule="atLeast"/>
              <w:ind w:left="-48" w:leftChars="-23" w:right="-65" w:rightChars="-31"/>
              <w:jc w:val="left"/>
              <w:rPr>
                <w:rFonts w:ascii="宋体" w:hAnsi="宋体" w:cs="宋体"/>
              </w:rPr>
            </w:pPr>
          </w:p>
        </w:tc>
        <w:tc>
          <w:tcPr>
            <w:tcW w:w="282" w:type="pct"/>
            <w:vMerge w:val="continue"/>
            <w:tcBorders>
              <w:left w:val="single" w:color="auto" w:sz="4" w:space="0"/>
            </w:tcBorders>
            <w:vAlign w:val="center"/>
          </w:tcPr>
          <w:p w14:paraId="18C8F1C5">
            <w:pPr>
              <w:spacing w:line="240" w:lineRule="atLeast"/>
              <w:ind w:left="-48" w:leftChars="-23" w:right="-65" w:rightChars="-31"/>
              <w:jc w:val="left"/>
              <w:rPr>
                <w:rFonts w:ascii="宋体" w:hAnsi="宋体" w:cs="宋体"/>
              </w:rPr>
            </w:pPr>
          </w:p>
        </w:tc>
        <w:tc>
          <w:tcPr>
            <w:tcW w:w="478" w:type="pct"/>
            <w:vMerge w:val="continue"/>
            <w:tcBorders>
              <w:left w:val="single" w:color="auto" w:sz="4" w:space="0"/>
              <w:right w:val="single" w:color="auto" w:sz="4" w:space="0"/>
            </w:tcBorders>
            <w:vAlign w:val="center"/>
          </w:tcPr>
          <w:p w14:paraId="6FEFD3FA">
            <w:pPr>
              <w:spacing w:line="240" w:lineRule="atLeast"/>
              <w:ind w:left="-48" w:leftChars="-23" w:right="-65" w:rightChars="-31"/>
              <w:jc w:val="left"/>
              <w:rPr>
                <w:rFonts w:ascii="宋体" w:hAnsi="宋体" w:cs="宋体"/>
              </w:rPr>
            </w:pPr>
          </w:p>
        </w:tc>
        <w:tc>
          <w:tcPr>
            <w:tcW w:w="692" w:type="pct"/>
            <w:tcBorders>
              <w:left w:val="single" w:color="auto" w:sz="4" w:space="0"/>
              <w:right w:val="single" w:color="auto" w:sz="4" w:space="0"/>
            </w:tcBorders>
            <w:vAlign w:val="center"/>
          </w:tcPr>
          <w:p w14:paraId="5EA40D9D">
            <w:pPr>
              <w:spacing w:line="240" w:lineRule="atLeast"/>
              <w:ind w:left="-48" w:leftChars="-23" w:right="-65" w:rightChars="-31"/>
              <w:jc w:val="left"/>
              <w:rPr>
                <w:rFonts w:ascii="宋体" w:hAnsi="宋体" w:cs="宋体"/>
              </w:rPr>
            </w:pPr>
            <w:r>
              <w:rPr>
                <w:rFonts w:hint="eastAsia" w:ascii="宋体" w:hAnsi="宋体" w:cs="宋体"/>
              </w:rPr>
              <w:t>其他成本</w:t>
            </w:r>
          </w:p>
        </w:tc>
        <w:tc>
          <w:tcPr>
            <w:tcW w:w="560" w:type="pct"/>
            <w:tcBorders>
              <w:left w:val="single" w:color="auto" w:sz="4" w:space="0"/>
            </w:tcBorders>
            <w:vAlign w:val="center"/>
          </w:tcPr>
          <w:p w14:paraId="56AB1A2C">
            <w:pPr>
              <w:spacing w:line="240" w:lineRule="atLeast"/>
              <w:ind w:left="-48" w:leftChars="-23" w:right="-65" w:rightChars="-31"/>
              <w:jc w:val="left"/>
              <w:rPr>
                <w:rFonts w:ascii="宋体" w:hAnsi="宋体" w:cs="宋体"/>
              </w:rPr>
            </w:pPr>
          </w:p>
        </w:tc>
        <w:tc>
          <w:tcPr>
            <w:tcW w:w="511" w:type="pct"/>
            <w:tcBorders>
              <w:left w:val="single" w:color="auto" w:sz="4" w:space="0"/>
            </w:tcBorders>
            <w:vAlign w:val="center"/>
          </w:tcPr>
          <w:p w14:paraId="7D17F787">
            <w:pPr>
              <w:spacing w:line="240" w:lineRule="atLeast"/>
              <w:ind w:left="-48" w:leftChars="-23" w:right="-65" w:rightChars="-31"/>
              <w:jc w:val="left"/>
              <w:rPr>
                <w:rFonts w:ascii="宋体" w:hAnsi="宋体" w:cs="宋体"/>
              </w:rPr>
            </w:pPr>
          </w:p>
        </w:tc>
        <w:tc>
          <w:tcPr>
            <w:tcW w:w="606" w:type="pct"/>
            <w:tcBorders>
              <w:left w:val="single" w:color="auto" w:sz="4" w:space="0"/>
            </w:tcBorders>
            <w:vAlign w:val="center"/>
          </w:tcPr>
          <w:p w14:paraId="1B7FE550">
            <w:pPr>
              <w:spacing w:line="240" w:lineRule="atLeast"/>
              <w:ind w:left="-48" w:leftChars="-23" w:right="-65" w:rightChars="-31"/>
              <w:jc w:val="left"/>
              <w:rPr>
                <w:rFonts w:ascii="宋体" w:hAnsi="宋体" w:cs="宋体"/>
              </w:rPr>
            </w:pPr>
          </w:p>
        </w:tc>
        <w:tc>
          <w:tcPr>
            <w:tcW w:w="449" w:type="pct"/>
            <w:vMerge w:val="continue"/>
            <w:tcBorders>
              <w:left w:val="single" w:color="auto" w:sz="4" w:space="0"/>
            </w:tcBorders>
            <w:vAlign w:val="center"/>
          </w:tcPr>
          <w:p w14:paraId="148CFDDD">
            <w:pPr>
              <w:spacing w:line="240" w:lineRule="atLeast"/>
              <w:ind w:left="-48" w:leftChars="-23" w:right="-65" w:rightChars="-31"/>
              <w:jc w:val="left"/>
              <w:rPr>
                <w:rFonts w:ascii="宋体" w:hAnsi="宋体" w:cs="宋体"/>
              </w:rPr>
            </w:pPr>
          </w:p>
        </w:tc>
        <w:tc>
          <w:tcPr>
            <w:tcW w:w="587" w:type="pct"/>
            <w:tcBorders>
              <w:left w:val="single" w:color="auto" w:sz="4" w:space="0"/>
            </w:tcBorders>
            <w:vAlign w:val="center"/>
          </w:tcPr>
          <w:p w14:paraId="7FF3CBEA">
            <w:pPr>
              <w:spacing w:line="240" w:lineRule="atLeast"/>
              <w:ind w:left="-48" w:leftChars="-23" w:right="-65" w:rightChars="-31"/>
              <w:jc w:val="left"/>
              <w:rPr>
                <w:rFonts w:ascii="宋体" w:hAnsi="宋体" w:cs="宋体"/>
              </w:rPr>
            </w:pPr>
          </w:p>
        </w:tc>
      </w:tr>
      <w:tr w14:paraId="7A16A8F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76" w:hRule="atLeast"/>
          <w:jc w:val="center"/>
        </w:trPr>
        <w:tc>
          <w:tcPr>
            <w:tcW w:w="245" w:type="pct"/>
            <w:vAlign w:val="center"/>
          </w:tcPr>
          <w:p w14:paraId="088DE005">
            <w:pPr>
              <w:tabs>
                <w:tab w:val="left" w:pos="61"/>
              </w:tabs>
              <w:jc w:val="center"/>
              <w:rPr>
                <w:rFonts w:ascii="宋体" w:hAnsi="宋体"/>
              </w:rPr>
            </w:pPr>
            <w:r>
              <w:rPr>
                <w:rFonts w:hint="eastAsia" w:ascii="宋体" w:hAnsi="宋体"/>
              </w:rPr>
              <w:t>2</w:t>
            </w:r>
          </w:p>
        </w:tc>
        <w:tc>
          <w:tcPr>
            <w:tcW w:w="201" w:type="pct"/>
            <w:vAlign w:val="center"/>
          </w:tcPr>
          <w:p w14:paraId="45D7D7B6">
            <w:pPr>
              <w:tabs>
                <w:tab w:val="left" w:pos="0"/>
                <w:tab w:val="left" w:pos="56"/>
              </w:tabs>
              <w:ind w:left="479" w:hanging="478" w:hangingChars="228"/>
              <w:jc w:val="center"/>
              <w:rPr>
                <w:rFonts w:ascii="宋体" w:hAnsi="宋体"/>
              </w:rPr>
            </w:pPr>
          </w:p>
        </w:tc>
        <w:tc>
          <w:tcPr>
            <w:tcW w:w="380" w:type="pct"/>
            <w:vAlign w:val="center"/>
          </w:tcPr>
          <w:p w14:paraId="047B4E4B">
            <w:pPr>
              <w:spacing w:line="240" w:lineRule="atLeast"/>
              <w:ind w:left="-48" w:leftChars="-23" w:right="-65" w:rightChars="-31"/>
              <w:jc w:val="left"/>
              <w:rPr>
                <w:rFonts w:ascii="宋体" w:hAnsi="宋体" w:cs="宋体"/>
              </w:rPr>
            </w:pPr>
          </w:p>
        </w:tc>
        <w:tc>
          <w:tcPr>
            <w:tcW w:w="282" w:type="pct"/>
            <w:tcBorders>
              <w:left w:val="single" w:color="auto" w:sz="4" w:space="0"/>
            </w:tcBorders>
            <w:vAlign w:val="center"/>
          </w:tcPr>
          <w:p w14:paraId="09773950">
            <w:pPr>
              <w:spacing w:line="240" w:lineRule="atLeast"/>
              <w:ind w:left="-48" w:leftChars="-23" w:right="-65" w:rightChars="-31"/>
              <w:jc w:val="left"/>
              <w:rPr>
                <w:rFonts w:ascii="宋体" w:hAnsi="宋体" w:cs="宋体"/>
              </w:rPr>
            </w:pPr>
          </w:p>
        </w:tc>
        <w:tc>
          <w:tcPr>
            <w:tcW w:w="478" w:type="pct"/>
            <w:tcBorders>
              <w:left w:val="single" w:color="auto" w:sz="4" w:space="0"/>
              <w:right w:val="single" w:color="auto" w:sz="4" w:space="0"/>
            </w:tcBorders>
            <w:vAlign w:val="center"/>
          </w:tcPr>
          <w:p w14:paraId="3DDE7007">
            <w:pPr>
              <w:spacing w:line="240" w:lineRule="atLeast"/>
              <w:ind w:left="-48" w:leftChars="-23" w:right="-65" w:rightChars="-31"/>
              <w:jc w:val="left"/>
              <w:rPr>
                <w:rFonts w:ascii="宋体" w:hAnsi="宋体" w:cs="宋体"/>
              </w:rPr>
            </w:pPr>
          </w:p>
        </w:tc>
        <w:tc>
          <w:tcPr>
            <w:tcW w:w="692" w:type="pct"/>
            <w:tcBorders>
              <w:left w:val="single" w:color="auto" w:sz="4" w:space="0"/>
              <w:right w:val="single" w:color="auto" w:sz="4" w:space="0"/>
            </w:tcBorders>
          </w:tcPr>
          <w:p w14:paraId="197C9EB4">
            <w:pPr>
              <w:spacing w:line="240" w:lineRule="atLeast"/>
              <w:ind w:left="-48" w:leftChars="-23" w:right="-65" w:rightChars="-31"/>
              <w:jc w:val="left"/>
              <w:rPr>
                <w:rFonts w:ascii="宋体" w:hAnsi="宋体" w:cs="宋体"/>
              </w:rPr>
            </w:pPr>
          </w:p>
        </w:tc>
        <w:tc>
          <w:tcPr>
            <w:tcW w:w="560" w:type="pct"/>
            <w:tcBorders>
              <w:left w:val="single" w:color="auto" w:sz="4" w:space="0"/>
            </w:tcBorders>
            <w:vAlign w:val="center"/>
          </w:tcPr>
          <w:p w14:paraId="5CE110EB">
            <w:pPr>
              <w:spacing w:line="240" w:lineRule="atLeast"/>
              <w:ind w:left="-48" w:leftChars="-23" w:right="-65" w:rightChars="-31"/>
              <w:jc w:val="left"/>
              <w:rPr>
                <w:rFonts w:ascii="宋体" w:hAnsi="宋体" w:cs="宋体"/>
              </w:rPr>
            </w:pPr>
          </w:p>
        </w:tc>
        <w:tc>
          <w:tcPr>
            <w:tcW w:w="511" w:type="pct"/>
            <w:tcBorders>
              <w:left w:val="single" w:color="auto" w:sz="4" w:space="0"/>
            </w:tcBorders>
            <w:vAlign w:val="center"/>
          </w:tcPr>
          <w:p w14:paraId="4152E3AF">
            <w:pPr>
              <w:spacing w:line="240" w:lineRule="atLeast"/>
              <w:ind w:left="-48" w:leftChars="-23" w:right="-65" w:rightChars="-31"/>
              <w:jc w:val="left"/>
              <w:rPr>
                <w:rFonts w:ascii="宋体" w:hAnsi="宋体" w:cs="宋体"/>
              </w:rPr>
            </w:pPr>
          </w:p>
        </w:tc>
        <w:tc>
          <w:tcPr>
            <w:tcW w:w="606" w:type="pct"/>
            <w:tcBorders>
              <w:left w:val="single" w:color="auto" w:sz="4" w:space="0"/>
            </w:tcBorders>
            <w:vAlign w:val="center"/>
          </w:tcPr>
          <w:p w14:paraId="23F58206">
            <w:pPr>
              <w:spacing w:line="240" w:lineRule="atLeast"/>
              <w:ind w:left="-48" w:leftChars="-23" w:right="-65" w:rightChars="-31"/>
              <w:jc w:val="left"/>
              <w:rPr>
                <w:rFonts w:ascii="宋体" w:hAnsi="宋体" w:cs="宋体"/>
              </w:rPr>
            </w:pPr>
          </w:p>
        </w:tc>
        <w:tc>
          <w:tcPr>
            <w:tcW w:w="449" w:type="pct"/>
            <w:tcBorders>
              <w:left w:val="single" w:color="auto" w:sz="4" w:space="0"/>
            </w:tcBorders>
            <w:vAlign w:val="center"/>
          </w:tcPr>
          <w:p w14:paraId="1C89E4AB">
            <w:pPr>
              <w:spacing w:line="240" w:lineRule="atLeast"/>
              <w:ind w:left="-48" w:leftChars="-23" w:right="-65" w:rightChars="-31"/>
              <w:jc w:val="left"/>
              <w:rPr>
                <w:rFonts w:ascii="宋体" w:hAnsi="宋体" w:cs="宋体"/>
              </w:rPr>
            </w:pPr>
          </w:p>
        </w:tc>
        <w:tc>
          <w:tcPr>
            <w:tcW w:w="587" w:type="pct"/>
            <w:tcBorders>
              <w:left w:val="single" w:color="auto" w:sz="4" w:space="0"/>
            </w:tcBorders>
            <w:vAlign w:val="center"/>
          </w:tcPr>
          <w:p w14:paraId="71162858">
            <w:pPr>
              <w:spacing w:line="240" w:lineRule="atLeast"/>
              <w:ind w:left="-48" w:leftChars="-23" w:right="-65" w:rightChars="-31"/>
              <w:jc w:val="left"/>
              <w:rPr>
                <w:rFonts w:ascii="宋体" w:hAnsi="宋体" w:cs="宋体"/>
              </w:rPr>
            </w:pPr>
          </w:p>
        </w:tc>
      </w:tr>
      <w:tr w14:paraId="166F995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34" w:hRule="atLeast"/>
          <w:jc w:val="center"/>
        </w:trPr>
        <w:tc>
          <w:tcPr>
            <w:tcW w:w="245" w:type="pct"/>
            <w:tcBorders>
              <w:bottom w:val="single" w:color="auto" w:sz="4" w:space="0"/>
            </w:tcBorders>
            <w:vAlign w:val="center"/>
          </w:tcPr>
          <w:p w14:paraId="525CBBE9">
            <w:pPr>
              <w:tabs>
                <w:tab w:val="left" w:pos="82"/>
              </w:tabs>
              <w:jc w:val="center"/>
              <w:rPr>
                <w:rFonts w:ascii="宋体" w:hAnsi="宋体"/>
              </w:rPr>
            </w:pPr>
            <w:r>
              <w:rPr>
                <w:rFonts w:hint="eastAsia" w:ascii="宋体" w:hAnsi="宋体"/>
              </w:rPr>
              <w:t>…</w:t>
            </w:r>
          </w:p>
        </w:tc>
        <w:tc>
          <w:tcPr>
            <w:tcW w:w="201" w:type="pct"/>
            <w:tcBorders>
              <w:bottom w:val="single" w:color="auto" w:sz="4" w:space="0"/>
            </w:tcBorders>
            <w:vAlign w:val="center"/>
          </w:tcPr>
          <w:p w14:paraId="4AA1ABB1">
            <w:pPr>
              <w:spacing w:line="240" w:lineRule="atLeast"/>
              <w:ind w:left="-48" w:leftChars="-23" w:right="-65" w:rightChars="-31"/>
              <w:jc w:val="left"/>
              <w:rPr>
                <w:rFonts w:ascii="宋体" w:hAnsi="宋体" w:cs="宋体"/>
              </w:rPr>
            </w:pPr>
          </w:p>
        </w:tc>
        <w:tc>
          <w:tcPr>
            <w:tcW w:w="380" w:type="pct"/>
            <w:tcBorders>
              <w:bottom w:val="single" w:color="auto" w:sz="4" w:space="0"/>
            </w:tcBorders>
            <w:vAlign w:val="center"/>
          </w:tcPr>
          <w:p w14:paraId="37447B2B">
            <w:pPr>
              <w:spacing w:line="240" w:lineRule="atLeast"/>
              <w:ind w:left="-48" w:leftChars="-23" w:right="-65" w:rightChars="-31"/>
              <w:jc w:val="left"/>
              <w:rPr>
                <w:rFonts w:ascii="宋体" w:hAnsi="宋体" w:cs="宋体"/>
              </w:rPr>
            </w:pPr>
          </w:p>
        </w:tc>
        <w:tc>
          <w:tcPr>
            <w:tcW w:w="282" w:type="pct"/>
            <w:tcBorders>
              <w:left w:val="single" w:color="auto" w:sz="4" w:space="0"/>
              <w:bottom w:val="single" w:color="auto" w:sz="4" w:space="0"/>
            </w:tcBorders>
            <w:vAlign w:val="center"/>
          </w:tcPr>
          <w:p w14:paraId="5936009A">
            <w:pPr>
              <w:spacing w:line="240" w:lineRule="atLeast"/>
              <w:ind w:left="-48" w:leftChars="-23" w:right="-65" w:rightChars="-31"/>
              <w:jc w:val="left"/>
              <w:rPr>
                <w:rFonts w:ascii="宋体" w:hAnsi="宋体" w:cs="宋体"/>
              </w:rPr>
            </w:pPr>
          </w:p>
        </w:tc>
        <w:tc>
          <w:tcPr>
            <w:tcW w:w="478" w:type="pct"/>
            <w:tcBorders>
              <w:left w:val="single" w:color="auto" w:sz="4" w:space="0"/>
              <w:bottom w:val="single" w:color="auto" w:sz="4" w:space="0"/>
              <w:right w:val="single" w:color="auto" w:sz="4" w:space="0"/>
            </w:tcBorders>
            <w:vAlign w:val="center"/>
          </w:tcPr>
          <w:p w14:paraId="07C207F0">
            <w:pPr>
              <w:spacing w:line="240" w:lineRule="atLeast"/>
              <w:ind w:left="-48" w:leftChars="-23" w:right="-65" w:rightChars="-31"/>
              <w:jc w:val="left"/>
              <w:rPr>
                <w:rFonts w:ascii="宋体" w:hAnsi="宋体" w:cs="宋体"/>
              </w:rPr>
            </w:pPr>
          </w:p>
        </w:tc>
        <w:tc>
          <w:tcPr>
            <w:tcW w:w="692" w:type="pct"/>
            <w:tcBorders>
              <w:left w:val="single" w:color="auto" w:sz="4" w:space="0"/>
              <w:bottom w:val="single" w:color="auto" w:sz="4" w:space="0"/>
              <w:right w:val="single" w:color="auto" w:sz="4" w:space="0"/>
            </w:tcBorders>
          </w:tcPr>
          <w:p w14:paraId="39B73C8F">
            <w:pPr>
              <w:spacing w:line="240" w:lineRule="atLeast"/>
              <w:ind w:left="-48" w:leftChars="-23" w:right="-65" w:rightChars="-31"/>
              <w:jc w:val="left"/>
              <w:rPr>
                <w:rFonts w:ascii="宋体" w:hAnsi="宋体" w:cs="宋体"/>
              </w:rPr>
            </w:pPr>
          </w:p>
        </w:tc>
        <w:tc>
          <w:tcPr>
            <w:tcW w:w="560" w:type="pct"/>
            <w:tcBorders>
              <w:left w:val="single" w:color="auto" w:sz="4" w:space="0"/>
              <w:bottom w:val="single" w:color="auto" w:sz="4" w:space="0"/>
            </w:tcBorders>
            <w:vAlign w:val="center"/>
          </w:tcPr>
          <w:p w14:paraId="459B0088">
            <w:pPr>
              <w:spacing w:line="240" w:lineRule="atLeast"/>
              <w:ind w:left="-48" w:leftChars="-23" w:right="-65" w:rightChars="-31"/>
              <w:jc w:val="left"/>
              <w:rPr>
                <w:rFonts w:ascii="宋体" w:hAnsi="宋体" w:cs="宋体"/>
              </w:rPr>
            </w:pPr>
          </w:p>
        </w:tc>
        <w:tc>
          <w:tcPr>
            <w:tcW w:w="511" w:type="pct"/>
            <w:tcBorders>
              <w:left w:val="single" w:color="auto" w:sz="4" w:space="0"/>
              <w:bottom w:val="single" w:color="auto" w:sz="4" w:space="0"/>
            </w:tcBorders>
            <w:vAlign w:val="center"/>
          </w:tcPr>
          <w:p w14:paraId="66703F4A">
            <w:pPr>
              <w:spacing w:line="240" w:lineRule="atLeast"/>
              <w:ind w:left="-48" w:leftChars="-23" w:right="-65" w:rightChars="-31"/>
              <w:jc w:val="left"/>
              <w:rPr>
                <w:rFonts w:ascii="宋体" w:hAnsi="宋体" w:cs="宋体"/>
              </w:rPr>
            </w:pPr>
          </w:p>
          <w:p w14:paraId="7B38EA92">
            <w:pPr>
              <w:rPr>
                <w:rFonts w:ascii="宋体" w:hAnsi="宋体"/>
              </w:rPr>
            </w:pPr>
          </w:p>
        </w:tc>
        <w:tc>
          <w:tcPr>
            <w:tcW w:w="606" w:type="pct"/>
            <w:tcBorders>
              <w:left w:val="single" w:color="auto" w:sz="4" w:space="0"/>
              <w:bottom w:val="single" w:color="auto" w:sz="4" w:space="0"/>
            </w:tcBorders>
            <w:vAlign w:val="center"/>
          </w:tcPr>
          <w:p w14:paraId="518BEA6F">
            <w:pPr>
              <w:rPr>
                <w:rFonts w:ascii="宋体" w:hAnsi="宋体"/>
              </w:rPr>
            </w:pPr>
          </w:p>
        </w:tc>
        <w:tc>
          <w:tcPr>
            <w:tcW w:w="449" w:type="pct"/>
            <w:tcBorders>
              <w:left w:val="single" w:color="auto" w:sz="4" w:space="0"/>
              <w:bottom w:val="single" w:color="auto" w:sz="4" w:space="0"/>
            </w:tcBorders>
            <w:vAlign w:val="center"/>
          </w:tcPr>
          <w:p w14:paraId="7FAD86DA">
            <w:pPr>
              <w:spacing w:line="240" w:lineRule="atLeast"/>
              <w:ind w:left="-48" w:leftChars="-23" w:right="-65" w:rightChars="-31"/>
              <w:jc w:val="left"/>
              <w:rPr>
                <w:rFonts w:ascii="宋体" w:hAnsi="宋体" w:cs="宋体"/>
              </w:rPr>
            </w:pPr>
          </w:p>
        </w:tc>
        <w:tc>
          <w:tcPr>
            <w:tcW w:w="587" w:type="pct"/>
            <w:tcBorders>
              <w:left w:val="single" w:color="auto" w:sz="4" w:space="0"/>
              <w:bottom w:val="single" w:color="auto" w:sz="4" w:space="0"/>
            </w:tcBorders>
            <w:vAlign w:val="center"/>
          </w:tcPr>
          <w:p w14:paraId="3F1B53EE">
            <w:pPr>
              <w:spacing w:line="240" w:lineRule="atLeast"/>
              <w:ind w:left="-48" w:leftChars="-23" w:right="-65" w:rightChars="-31"/>
              <w:jc w:val="left"/>
              <w:rPr>
                <w:rFonts w:ascii="宋体" w:hAnsi="宋体" w:cs="宋体"/>
              </w:rPr>
            </w:pPr>
          </w:p>
        </w:tc>
      </w:tr>
    </w:tbl>
    <w:p w14:paraId="525999AF">
      <w:pPr>
        <w:spacing w:line="360" w:lineRule="auto"/>
        <w:jc w:val="left"/>
        <w:rPr>
          <w:rFonts w:ascii="宋体" w:hAnsi="宋体"/>
          <w:szCs w:val="21"/>
        </w:rPr>
      </w:pPr>
    </w:p>
    <w:p w14:paraId="52699F92">
      <w:pPr>
        <w:spacing w:line="360" w:lineRule="auto"/>
        <w:jc w:val="left"/>
        <w:rPr>
          <w:rFonts w:ascii="宋体" w:hAnsi="宋体"/>
          <w:szCs w:val="21"/>
        </w:rPr>
      </w:pPr>
      <w:r>
        <w:rPr>
          <w:rFonts w:hint="eastAsia" w:ascii="宋体" w:hAnsi="宋体"/>
          <w:szCs w:val="21"/>
        </w:rPr>
        <w:t>说明：项目具体成本测算等与报价合理性相关的书面说明及必要的证明材料，包括但不限于原材料成本、人工成本、制造费用等</w:t>
      </w:r>
    </w:p>
    <w:p w14:paraId="391B8B71">
      <w:pPr>
        <w:spacing w:line="360" w:lineRule="auto"/>
        <w:ind w:firstLine="6090" w:firstLineChars="2900"/>
        <w:jc w:val="left"/>
        <w:rPr>
          <w:rFonts w:ascii="宋体" w:hAnsi="宋体"/>
          <w:szCs w:val="21"/>
        </w:rPr>
      </w:pPr>
      <w:r>
        <w:rPr>
          <w:rFonts w:ascii="宋体" w:hAnsi="宋体"/>
          <w:szCs w:val="21"/>
        </w:rPr>
        <w:t>供应商名称（</w:t>
      </w:r>
      <w:r>
        <w:rPr>
          <w:rFonts w:hint="eastAsia" w:ascii="宋体" w:hAnsi="宋体"/>
          <w:szCs w:val="21"/>
        </w:rPr>
        <w:t>电子签章</w:t>
      </w:r>
      <w:r>
        <w:rPr>
          <w:rFonts w:ascii="宋体" w:hAnsi="宋体"/>
          <w:szCs w:val="21"/>
        </w:rPr>
        <w:t>）：</w:t>
      </w:r>
      <w:r>
        <w:rPr>
          <w:rFonts w:ascii="宋体" w:hAnsi="宋体"/>
          <w:szCs w:val="21"/>
          <w:u w:val="single"/>
        </w:rPr>
        <w:t xml:space="preserve">                          </w:t>
      </w:r>
    </w:p>
    <w:p w14:paraId="70C13B00">
      <w:pPr>
        <w:spacing w:line="360" w:lineRule="auto"/>
        <w:ind w:firstLine="6090" w:firstLineChars="2900"/>
        <w:jc w:val="left"/>
        <w:rPr>
          <w:rFonts w:ascii="宋体" w:hAnsi="宋体"/>
          <w:spacing w:val="20"/>
          <w:szCs w:val="21"/>
          <w:u w:val="single"/>
        </w:rPr>
      </w:pPr>
      <w:r>
        <w:rPr>
          <w:rFonts w:ascii="宋体" w:hAnsi="宋体"/>
          <w:szCs w:val="21"/>
        </w:rPr>
        <w:t>日  期</w:t>
      </w:r>
      <w:r>
        <w:rPr>
          <w:rFonts w:hint="eastAsia" w:ascii="宋体" w:hAnsi="宋体"/>
          <w:szCs w:val="21"/>
        </w:rPr>
        <w:t>：</w:t>
      </w:r>
      <w:r>
        <w:rPr>
          <w:rFonts w:ascii="宋体" w:hAnsi="宋体"/>
          <w:szCs w:val="21"/>
          <w:u w:val="single"/>
        </w:rPr>
        <w:t xml:space="preserve">         </w:t>
      </w:r>
      <w:r>
        <w:rPr>
          <w:rFonts w:ascii="宋体" w:hAnsi="宋体"/>
          <w:szCs w:val="21"/>
        </w:rPr>
        <w:t>年</w:t>
      </w:r>
      <w:r>
        <w:rPr>
          <w:rFonts w:ascii="宋体" w:hAnsi="宋体"/>
          <w:szCs w:val="21"/>
          <w:u w:val="single"/>
        </w:rPr>
        <w:t xml:space="preserve">   </w:t>
      </w:r>
      <w:r>
        <w:rPr>
          <w:rFonts w:ascii="宋体" w:hAnsi="宋体"/>
          <w:szCs w:val="21"/>
        </w:rPr>
        <w:t>月</w:t>
      </w:r>
      <w:r>
        <w:rPr>
          <w:rFonts w:ascii="宋体" w:hAnsi="宋体"/>
          <w:szCs w:val="21"/>
          <w:u w:val="single"/>
        </w:rPr>
        <w:t xml:space="preserve">   </w:t>
      </w:r>
      <w:r>
        <w:rPr>
          <w:rFonts w:ascii="宋体" w:hAnsi="宋体"/>
          <w:szCs w:val="21"/>
        </w:rPr>
        <w:t xml:space="preserve">日 </w:t>
      </w:r>
    </w:p>
    <w:p w14:paraId="40015DBF">
      <w:pPr>
        <w:snapToGrid w:val="0"/>
        <w:spacing w:before="50" w:after="120" w:afterLines="50"/>
        <w:jc w:val="left"/>
        <w:outlineLvl w:val="1"/>
        <w:rPr>
          <w:rFonts w:ascii="宋体" w:hAnsi="宋体"/>
          <w:szCs w:val="21"/>
        </w:rPr>
      </w:pPr>
      <w:r>
        <w:rPr>
          <w:rFonts w:ascii="宋体" w:hAnsi="宋体"/>
          <w:szCs w:val="21"/>
        </w:rPr>
        <w:br w:type="page"/>
      </w:r>
      <w:bookmarkStart w:id="107" w:name="_Hlk65852042"/>
      <w:r>
        <w:rPr>
          <w:rFonts w:hint="eastAsia" w:ascii="宋体" w:hAnsi="宋体"/>
          <w:szCs w:val="21"/>
        </w:rPr>
        <w:t>4</w:t>
      </w:r>
      <w:r>
        <w:rPr>
          <w:rFonts w:ascii="宋体" w:hAnsi="宋体"/>
          <w:szCs w:val="21"/>
        </w:rPr>
        <w:t>.开标一览表</w:t>
      </w:r>
    </w:p>
    <w:p w14:paraId="0F762DD9">
      <w:pPr>
        <w:widowControl/>
        <w:jc w:val="left"/>
        <w:rPr>
          <w:rFonts w:ascii="宋体" w:hAnsi="宋体"/>
          <w:szCs w:val="21"/>
        </w:rPr>
      </w:pPr>
    </w:p>
    <w:p w14:paraId="43C99FEB">
      <w:pPr>
        <w:widowControl/>
        <w:jc w:val="left"/>
        <w:rPr>
          <w:rFonts w:ascii="宋体" w:hAnsi="宋体"/>
          <w:szCs w:val="21"/>
        </w:rPr>
      </w:pPr>
    </w:p>
    <w:p w14:paraId="2908DC27">
      <w:pPr>
        <w:widowControl/>
        <w:jc w:val="left"/>
        <w:rPr>
          <w:rFonts w:ascii="宋体" w:hAnsi="宋体"/>
          <w:szCs w:val="21"/>
        </w:rPr>
      </w:pPr>
    </w:p>
    <w:p w14:paraId="53F29F94">
      <w:pPr>
        <w:rPr>
          <w:rFonts w:ascii="宋体" w:hAnsi="宋体"/>
          <w:b/>
          <w:szCs w:val="21"/>
        </w:rPr>
      </w:pPr>
    </w:p>
    <w:p w14:paraId="1DE0E1AF">
      <w:pPr>
        <w:rPr>
          <w:rFonts w:ascii="宋体" w:hAnsi="宋体"/>
          <w:b/>
          <w:szCs w:val="21"/>
        </w:rPr>
      </w:pPr>
    </w:p>
    <w:p w14:paraId="573EC626">
      <w:pPr>
        <w:rPr>
          <w:rFonts w:ascii="宋体" w:hAnsi="宋体"/>
          <w:b/>
          <w:szCs w:val="21"/>
        </w:rPr>
      </w:pPr>
      <w:r>
        <w:rPr>
          <w:rFonts w:ascii="宋体" w:hAnsi="宋体"/>
          <w:b/>
          <w:szCs w:val="21"/>
        </w:rPr>
        <w:t>格式详见广西政府采购云平台，且仅在广西政府采购云平台填写即可。</w:t>
      </w:r>
    </w:p>
    <w:p w14:paraId="1E4475E6">
      <w:pPr>
        <w:widowControl/>
        <w:jc w:val="left"/>
        <w:rPr>
          <w:rFonts w:ascii="宋体" w:hAnsi="宋体"/>
          <w:szCs w:val="21"/>
        </w:rPr>
      </w:pPr>
    </w:p>
    <w:bookmarkEnd w:id="107"/>
    <w:p w14:paraId="436BC714">
      <w:pPr>
        <w:spacing w:line="360" w:lineRule="auto"/>
        <w:ind w:firstLine="420"/>
        <w:rPr>
          <w:rFonts w:ascii="宋体" w:hAnsi="宋体"/>
          <w:szCs w:val="21"/>
        </w:rPr>
      </w:pPr>
    </w:p>
    <w:p w14:paraId="18C131E5">
      <w:pPr>
        <w:snapToGrid w:val="0"/>
        <w:spacing w:before="120" w:beforeLines="50" w:after="50" w:line="440" w:lineRule="exact"/>
        <w:jc w:val="left"/>
        <w:outlineLvl w:val="1"/>
        <w:rPr>
          <w:rFonts w:ascii="宋体" w:hAnsi="宋体"/>
          <w:bCs/>
          <w:sz w:val="24"/>
        </w:rPr>
      </w:pPr>
      <w:r>
        <w:rPr>
          <w:rFonts w:ascii="宋体" w:hAnsi="宋体"/>
          <w:bCs/>
          <w:sz w:val="24"/>
        </w:rPr>
        <w:t xml:space="preserve"> </w:t>
      </w:r>
    </w:p>
    <w:p w14:paraId="46A3D9AF"/>
    <w:sectPr>
      <w:pgSz w:w="11906" w:h="16838"/>
      <w:pgMar w:top="1418" w:right="1133" w:bottom="1246" w:left="1418" w:header="851" w:footer="992" w:gutter="0"/>
      <w:pgNumType w:fmt="decimal"/>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Verdana">
    <w:panose1 w:val="020B0604030504040204"/>
    <w:charset w:val="00"/>
    <w:family w:val="swiss"/>
    <w:pitch w:val="default"/>
    <w:sig w:usb0="A0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Cambria">
    <w:panose1 w:val="02040503050406030204"/>
    <w:charset w:val="00"/>
    <w:family w:val="roman"/>
    <w:pitch w:val="default"/>
    <w:sig w:usb0="E00006FF" w:usb1="420024FF" w:usb2="02000000" w:usb3="00000000" w:csb0="2000019F"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微软雅黑">
    <w:panose1 w:val="020B0503020204020204"/>
    <w:charset w:val="86"/>
    <w:family w:val="auto"/>
    <w:pitch w:val="default"/>
    <w:sig w:usb0="80000287" w:usb1="2ACF3C50" w:usb2="00000016" w:usb3="00000000" w:csb0="0004001F" w:csb1="00000000"/>
  </w:font>
  <w:font w:name="汉仪书宋二S">
    <w:altName w:val="微软雅黑"/>
    <w:panose1 w:val="00000000000000000000"/>
    <w:charset w:val="00"/>
    <w:family w:val="auto"/>
    <w:pitch w:val="default"/>
    <w:sig w:usb0="00000000" w:usb1="00000000" w:usb2="00000000" w:usb3="00000000" w:csb0="00040001" w:csb1="00000000"/>
  </w:font>
  <w:font w:name="东文宋体">
    <w:altName w:val="微软雅黑"/>
    <w:panose1 w:val="00000000000000000000"/>
    <w:charset w:val="00"/>
    <w:family w:val="auto"/>
    <w:pitch w:val="default"/>
    <w:sig w:usb0="00000000" w:usb1="00000000" w:usb2="00000000" w:usb3="00000000" w:csb0="00040001" w:csb1="00000000"/>
  </w:font>
  <w:font w:name="Wingdings 2">
    <w:panose1 w:val="05020102010507070707"/>
    <w:charset w:val="02"/>
    <w:family w:val="roman"/>
    <w:pitch w:val="default"/>
    <w:sig w:usb0="00000000" w:usb1="00000000" w:usb2="00000000" w:usb3="00000000" w:csb0="80000000" w:csb1="00000000"/>
  </w:font>
  <w:font w:name="Cambria Math">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6C1544">
    <w:pPr>
      <w:pStyle w:val="31"/>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D7CEA1">
    <w:pPr>
      <w:pStyle w:val="31"/>
      <w:framePr w:wrap="around" w:vAnchor="text" w:hAnchor="margin" w:xAlign="center" w:y="1"/>
      <w:rPr>
        <w:rStyle w:val="55"/>
      </w:rPr>
    </w:pPr>
    <w:r>
      <w:fldChar w:fldCharType="begin"/>
    </w:r>
    <w:r>
      <w:rPr>
        <w:rStyle w:val="55"/>
      </w:rPr>
      <w:instrText xml:space="preserve">PAGE  </w:instrText>
    </w:r>
    <w:r>
      <w:fldChar w:fldCharType="separate"/>
    </w:r>
    <w:r>
      <w:fldChar w:fldCharType="end"/>
    </w:r>
  </w:p>
  <w:p w14:paraId="5C1EDF03">
    <w:pPr>
      <w:pStyle w:val="3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0701A0">
    <w:pPr>
      <w:pStyle w:val="31"/>
      <w:ind w:right="360"/>
      <w:jc w:val="both"/>
      <w:rPr>
        <w:rFonts w:hint="eastAsia"/>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56C4C4">
    <w:pPr>
      <w:pStyle w:val="31"/>
      <w:jc w:val="right"/>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72A064D7">
                          <w:pPr>
                            <w:pStyle w:val="31"/>
                            <w:rPr>
                              <w:rStyle w:val="55"/>
                            </w:rPr>
                          </w:pPr>
                          <w:r>
                            <w:fldChar w:fldCharType="begin"/>
                          </w:r>
                          <w:r>
                            <w:rPr>
                              <w:rStyle w:val="55"/>
                            </w:rPr>
                            <w:instrText xml:space="preserve">PAGE  </w:instrText>
                          </w:r>
                          <w:r>
                            <w:fldChar w:fldCharType="separate"/>
                          </w:r>
                          <w:r>
                            <w:rPr>
                              <w:rStyle w:val="55"/>
                              <w:lang w:val="en-US" w:eastAsia="zh-CN"/>
                            </w:rPr>
                            <w:t>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14:paraId="72A064D7">
                    <w:pPr>
                      <w:pStyle w:val="31"/>
                      <w:rPr>
                        <w:rStyle w:val="55"/>
                      </w:rPr>
                    </w:pPr>
                    <w:r>
                      <w:fldChar w:fldCharType="begin"/>
                    </w:r>
                    <w:r>
                      <w:rPr>
                        <w:rStyle w:val="55"/>
                      </w:rPr>
                      <w:instrText xml:space="preserve">PAGE  </w:instrText>
                    </w:r>
                    <w:r>
                      <w:fldChar w:fldCharType="separate"/>
                    </w:r>
                    <w:r>
                      <w:rPr>
                        <w:rStyle w:val="55"/>
                        <w:lang w:val="en-US" w:eastAsia="zh-CN"/>
                      </w:rPr>
                      <w:t>8</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D34578">
    <w:pPr>
      <w:pStyle w:val="31"/>
      <w:jc w:val="center"/>
      <w:rPr>
        <w:rFonts w:hint="eastAsia"/>
      </w:rPr>
    </w:pPr>
    <w:r>
      <w:fldChar w:fldCharType="begin"/>
    </w:r>
    <w:r>
      <w:instrText xml:space="preserve">PAGE   \* MERGEFORMAT</w:instrText>
    </w:r>
    <w:r>
      <w:fldChar w:fldCharType="separate"/>
    </w:r>
    <w:r>
      <w:rPr>
        <w:lang w:val="zh-CN" w:eastAsia="zh-CN"/>
      </w:rPr>
      <w:t>1</w:t>
    </w:r>
    <w: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E0B34C">
    <w:pPr>
      <w:pStyle w:val="31"/>
      <w:jc w:val="right"/>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7EBB0790">
                          <w:pPr>
                            <w:pStyle w:val="31"/>
                            <w:rPr>
                              <w:rStyle w:val="55"/>
                            </w:rPr>
                          </w:pPr>
                          <w:r>
                            <w:fldChar w:fldCharType="begin"/>
                          </w:r>
                          <w:r>
                            <w:rPr>
                              <w:rStyle w:val="55"/>
                            </w:rPr>
                            <w:instrText xml:space="preserve">PAGE  </w:instrText>
                          </w:r>
                          <w:r>
                            <w:fldChar w:fldCharType="separate"/>
                          </w:r>
                          <w:r>
                            <w:rPr>
                              <w:rStyle w:val="55"/>
                              <w:lang w:val="en-US" w:eastAsia="zh-CN"/>
                            </w:rPr>
                            <w:t>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">
              <v:fill on="f" focussize="0,0"/>
              <v:stroke on="f" weight="0.5pt"/>
              <v:imagedata o:title=""/>
              <o:lock v:ext="edit" aspectratio="f"/>
              <v:textbox inset="0mm,0mm,0mm,0mm" style="mso-fit-shape-to-text:t;">
                <w:txbxContent>
                  <w:p w14:paraId="7EBB0790">
                    <w:pPr>
                      <w:pStyle w:val="31"/>
                      <w:rPr>
                        <w:rStyle w:val="55"/>
                      </w:rPr>
                    </w:pPr>
                    <w:r>
                      <w:fldChar w:fldCharType="begin"/>
                    </w:r>
                    <w:r>
                      <w:rPr>
                        <w:rStyle w:val="55"/>
                      </w:rPr>
                      <w:instrText xml:space="preserve">PAGE  </w:instrText>
                    </w:r>
                    <w:r>
                      <w:fldChar w:fldCharType="separate"/>
                    </w:r>
                    <w:r>
                      <w:rPr>
                        <w:rStyle w:val="55"/>
                        <w:lang w:val="en-US" w:eastAsia="zh-CN"/>
                      </w:rPr>
                      <w:t>8</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21CA44">
    <w:pPr>
      <w:pStyle w:val="31"/>
      <w:jc w:val="center"/>
      <w:rPr>
        <w:rFonts w:hint="eastAsia"/>
      </w:rPr>
    </w:pPr>
    <w:r>
      <w:fldChar w:fldCharType="begin"/>
    </w:r>
    <w:r>
      <w:instrText xml:space="preserve">PAGE   \* MERGEFORMAT</w:instrText>
    </w:r>
    <w:r>
      <w:fldChar w:fldCharType="separate"/>
    </w:r>
    <w:r>
      <w:rPr>
        <w:lang w:val="zh-CN" w:eastAsia="zh-CN"/>
      </w:rPr>
      <w:t>7</w:t>
    </w:r>
    <w:r>
      <w:fldChar w:fldCharType="end"/>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AC0085">
    <w:pPr>
      <w:pStyle w:val="31"/>
      <w:jc w:val="right"/>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76C17214">
                          <w:pPr>
                            <w:pStyle w:val="31"/>
                            <w:rPr>
                              <w:rStyle w:val="55"/>
                            </w:rPr>
                          </w:pPr>
                          <w:r>
                            <w:fldChar w:fldCharType="begin"/>
                          </w:r>
                          <w:r>
                            <w:rPr>
                              <w:rStyle w:val="55"/>
                            </w:rPr>
                            <w:instrText xml:space="preserve">PAGE  </w:instrText>
                          </w:r>
                          <w:r>
                            <w:fldChar w:fldCharType="separate"/>
                          </w:r>
                          <w:r>
                            <w:rPr>
                              <w:rStyle w:val="55"/>
                              <w:lang w:val="en-US" w:eastAsia="zh-CN"/>
                            </w:rPr>
                            <w:t>57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">
              <v:fill on="f" focussize="0,0"/>
              <v:stroke on="f" weight="0.5pt"/>
              <v:imagedata o:title=""/>
              <o:lock v:ext="edit" aspectratio="f"/>
              <v:textbox inset="0mm,0mm,0mm,0mm" style="mso-fit-shape-to-text:t;">
                <w:txbxContent>
                  <w:p w14:paraId="76C17214">
                    <w:pPr>
                      <w:pStyle w:val="31"/>
                      <w:rPr>
                        <w:rStyle w:val="55"/>
                      </w:rPr>
                    </w:pPr>
                    <w:r>
                      <w:fldChar w:fldCharType="begin"/>
                    </w:r>
                    <w:r>
                      <w:rPr>
                        <w:rStyle w:val="55"/>
                      </w:rPr>
                      <w:instrText xml:space="preserve">PAGE  </w:instrText>
                    </w:r>
                    <w:r>
                      <w:fldChar w:fldCharType="separate"/>
                    </w:r>
                    <w:r>
                      <w:rPr>
                        <w:rStyle w:val="55"/>
                        <w:lang w:val="en-US" w:eastAsia="zh-CN"/>
                      </w:rPr>
                      <w:t>57</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3F63CD">
    <w:pPr>
      <w:pStyle w:val="32"/>
      <w:pBdr>
        <w:bottom w:val="none" w:color="auto" w:sz="0" w:space="0"/>
      </w:pBd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C988E7">
    <w:pPr>
      <w:rPr>
        <w:sz w:val="18"/>
        <w:szCs w:val="18"/>
        <w:u w:val="single"/>
      </w:rPr>
    </w:pPr>
    <w:r>
      <w:rPr>
        <w:rFonts w:hint="eastAsia"/>
        <w:sz w:val="18"/>
        <w:szCs w:val="18"/>
        <w:u w:val="single"/>
      </w:rPr>
      <w:t xml:space="preserve">广西机电设备招标有限公司采购文件                                                           </w:t>
    </w:r>
    <w:r>
      <w:rPr>
        <w:sz w:val="18"/>
        <w:szCs w:val="18"/>
        <w:u w:val="single"/>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F1E0D7">
    <w:pPr>
      <w:pStyle w:val="32"/>
      <w:jc w:val="left"/>
    </w:pPr>
    <w:r>
      <w:rPr>
        <w:rFonts w:hint="eastAsia"/>
      </w:rPr>
      <w:t xml:space="preserve">广西机电设备招标有限公司采购文件                                                               </w:t>
    </w:r>
  </w:p>
  <w:p w14:paraId="4B494A6E">
    <w:pPr>
      <w:pStyle w:val="32"/>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37A5FE">
    <w:pPr>
      <w:pStyle w:val="32"/>
      <w:jc w:val="left"/>
    </w:pPr>
    <w:r>
      <w:rPr>
        <w:rFonts w:hint="eastAsia"/>
      </w:rPr>
      <w:t xml:space="preserve">广西机电设备招标有限公司采购文件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940E47">
    <w:pPr>
      <w:pStyle w:val="32"/>
      <w:jc w:val="left"/>
    </w:pPr>
    <w:r>
      <w:rPr>
        <w:rFonts w:hint="eastAsia"/>
      </w:rPr>
      <w:t xml:space="preserve">广西机电设备招标有限公司采购文件                                                         </w:t>
    </w:r>
  </w:p>
  <w:p w14:paraId="2B00665D">
    <w:pPr>
      <w:pStyle w:val="32"/>
      <w:pBdr>
        <w:bottom w:val="none" w:color="auto" w:sz="0" w:space="0"/>
      </w:pBdr>
      <w:jc w:val="lef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B390ED">
    <w:pPr>
      <w:pStyle w:val="32"/>
      <w:pBdr>
        <w:bottom w:val="single" w:color="auto" w:sz="6" w:space="0"/>
      </w:pBdr>
      <w:jc w:val="left"/>
    </w:pPr>
    <w:r>
      <w:rPr>
        <w:rFonts w:hint="eastAsia"/>
      </w:rPr>
      <w:t xml:space="preserve">广西机电设备招标有限公司采购文件                                                       </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7AC41B">
    <w:pPr>
      <w:pStyle w:val="32"/>
      <w:jc w:val="left"/>
      <w:rPr>
        <w:rFonts w:hint="eastAsia"/>
      </w:rPr>
    </w:pPr>
    <w:r>
      <w:rPr>
        <w:rFonts w:hint="eastAsia"/>
      </w:rPr>
      <w:t xml:space="preserve">广西机电设备招标有限公司采购文件                                                </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D13F45">
    <w:pPr>
      <w:pStyle w:val="32"/>
      <w:jc w:val="left"/>
      <w:rPr>
        <w:rFonts w:hint="eastAsia"/>
      </w:rPr>
    </w:pPr>
    <w:r>
      <w:rPr>
        <w:rFonts w:hint="eastAsia"/>
      </w:rPr>
      <w:t xml:space="preserve">广西机电设备招标有限公司采购文件                                               </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5A7A0A">
    <w:pPr>
      <w:rPr>
        <w:sz w:val="18"/>
        <w:szCs w:val="18"/>
        <w:u w:val="single"/>
      </w:rPr>
    </w:pPr>
    <w:r>
      <w:rPr>
        <w:rFonts w:hint="eastAsia"/>
        <w:sz w:val="18"/>
        <w:szCs w:val="18"/>
        <w:u w:val="single"/>
      </w:rPr>
      <w:t xml:space="preserve">广西机电设备招标有限公司采购文件                                                           </w:t>
    </w:r>
    <w:r>
      <w:rPr>
        <w:sz w:val="18"/>
        <w:szCs w:val="18"/>
        <w:u w:val="single"/>
      </w:rPr>
      <w:t xml:space="preserve">                 </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9FF6B4">
    <w:pPr>
      <w:rPr>
        <w:sz w:val="18"/>
        <w:szCs w:val="18"/>
        <w:u w:val="single"/>
      </w:rPr>
    </w:pPr>
    <w:r>
      <w:rPr>
        <w:rFonts w:hint="eastAsia"/>
        <w:sz w:val="18"/>
        <w:szCs w:val="18"/>
        <w:u w:val="single"/>
      </w:rPr>
      <w:t xml:space="preserve">广西机电设备招标有限公司采购文件                                                </w:t>
    </w:r>
    <w:r>
      <w:rPr>
        <w:sz w:val="18"/>
        <w:szCs w:val="18"/>
        <w:u w:val="single"/>
      </w:rPr>
      <w:t xml:space="preserve">           </w:t>
    </w:r>
    <w:r>
      <w:rPr>
        <w:rFonts w:hint="eastAsia"/>
        <w:sz w:val="18"/>
        <w:szCs w:val="18"/>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FD3482"/>
    <w:multiLevelType w:val="singleLevel"/>
    <w:tmpl w:val="80FD3482"/>
    <w:lvl w:ilvl="0" w:tentative="0">
      <w:start w:val="1"/>
      <w:numFmt w:val="chineseCounting"/>
      <w:suff w:val="nothing"/>
      <w:lvlText w:val="（%1）"/>
      <w:lvlJc w:val="left"/>
      <w:rPr>
        <w:rFonts w:hint="eastAsia"/>
      </w:rPr>
    </w:lvl>
  </w:abstractNum>
  <w:abstractNum w:abstractNumId="1">
    <w:nsid w:val="FEDF92B9"/>
    <w:multiLevelType w:val="singleLevel"/>
    <w:tmpl w:val="FEDF92B9"/>
    <w:lvl w:ilvl="0" w:tentative="0">
      <w:start w:val="1"/>
      <w:numFmt w:val="decimal"/>
      <w:suff w:val="nothing"/>
      <w:lvlText w:val="（%1）"/>
      <w:lvlJc w:val="left"/>
    </w:lvl>
  </w:abstractNum>
  <w:abstractNum w:abstractNumId="2">
    <w:nsid w:val="00000013"/>
    <w:multiLevelType w:val="multilevel"/>
    <w:tmpl w:val="00000013"/>
    <w:lvl w:ilvl="0" w:tentative="0">
      <w:start w:val="1"/>
      <w:numFmt w:val="decimal"/>
      <w:lvlText w:val="（%1）"/>
      <w:lvlJc w:val="left"/>
      <w:pPr>
        <w:ind w:left="1140" w:hanging="72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3">
    <w:nsid w:val="39F7D472"/>
    <w:multiLevelType w:val="singleLevel"/>
    <w:tmpl w:val="39F7D472"/>
    <w:lvl w:ilvl="0" w:tentative="0">
      <w:start w:val="1"/>
      <w:numFmt w:val="chineseCounting"/>
      <w:suff w:val="nothing"/>
      <w:lvlText w:val="（%1）"/>
      <w:lvlJc w:val="left"/>
      <w:rPr>
        <w:rFonts w:hint="eastAsia"/>
      </w:rPr>
    </w:lvl>
  </w:abstractNum>
  <w:abstractNum w:abstractNumId="4">
    <w:nsid w:val="3B026C45"/>
    <w:multiLevelType w:val="multilevel"/>
    <w:tmpl w:val="3B026C45"/>
    <w:lvl w:ilvl="0" w:tentative="0">
      <w:start w:val="1"/>
      <w:numFmt w:val="decimal"/>
      <w:lvlText w:val="%1"/>
      <w:lvlJc w:val="center"/>
      <w:pPr>
        <w:ind w:left="420" w:hanging="420"/>
      </w:pPr>
      <w:rPr>
        <w:rFonts w:hint="eastAsia"/>
        <w:b w:val="0"/>
        <w:i w:val="0"/>
        <w:color w:val="auto"/>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3F282008"/>
    <w:multiLevelType w:val="singleLevel"/>
    <w:tmpl w:val="3F282008"/>
    <w:lvl w:ilvl="0" w:tentative="0">
      <w:start w:val="4"/>
      <w:numFmt w:val="chineseCounting"/>
      <w:suff w:val="nothing"/>
      <w:lvlText w:val="%1、"/>
      <w:lvlJc w:val="left"/>
      <w:rPr>
        <w:rFonts w:hint="eastAsia"/>
      </w:rPr>
    </w:lvl>
  </w:abstractNum>
  <w:num w:numId="1">
    <w:abstractNumId w:val="5"/>
  </w:num>
  <w:num w:numId="2">
    <w:abstractNumId w:val="3"/>
  </w:num>
  <w:num w:numId="3">
    <w:abstractNumId w:val="1"/>
  </w:num>
  <w:num w:numId="4">
    <w:abstractNumId w:val="0"/>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kwMThmNjI1MTk2MGVlNzk2NTAwZDIxNmY0YTdlOTMifQ=="/>
  </w:docVars>
  <w:rsids>
    <w:rsidRoot w:val="00172A27"/>
    <w:rsid w:val="000003EF"/>
    <w:rsid w:val="000005B6"/>
    <w:rsid w:val="0000091B"/>
    <w:rsid w:val="00000D0A"/>
    <w:rsid w:val="00000D19"/>
    <w:rsid w:val="00000E1A"/>
    <w:rsid w:val="0000104A"/>
    <w:rsid w:val="000014EC"/>
    <w:rsid w:val="000016CE"/>
    <w:rsid w:val="00001B3E"/>
    <w:rsid w:val="00001CD6"/>
    <w:rsid w:val="00001D90"/>
    <w:rsid w:val="0000215C"/>
    <w:rsid w:val="00002584"/>
    <w:rsid w:val="00002A53"/>
    <w:rsid w:val="00002DDA"/>
    <w:rsid w:val="00003DAE"/>
    <w:rsid w:val="00004272"/>
    <w:rsid w:val="000055EE"/>
    <w:rsid w:val="000058D7"/>
    <w:rsid w:val="00005E55"/>
    <w:rsid w:val="000067B7"/>
    <w:rsid w:val="00006E2C"/>
    <w:rsid w:val="000074D7"/>
    <w:rsid w:val="000079FF"/>
    <w:rsid w:val="00007B0D"/>
    <w:rsid w:val="000102A9"/>
    <w:rsid w:val="00011095"/>
    <w:rsid w:val="00011775"/>
    <w:rsid w:val="00011D72"/>
    <w:rsid w:val="00012078"/>
    <w:rsid w:val="000127F0"/>
    <w:rsid w:val="0001283C"/>
    <w:rsid w:val="00012E43"/>
    <w:rsid w:val="0001306C"/>
    <w:rsid w:val="0001312F"/>
    <w:rsid w:val="00013607"/>
    <w:rsid w:val="00013748"/>
    <w:rsid w:val="00013D41"/>
    <w:rsid w:val="0001408B"/>
    <w:rsid w:val="000143A3"/>
    <w:rsid w:val="00014DD6"/>
    <w:rsid w:val="0001598C"/>
    <w:rsid w:val="0001618B"/>
    <w:rsid w:val="00016C31"/>
    <w:rsid w:val="00020BB1"/>
    <w:rsid w:val="00020BF0"/>
    <w:rsid w:val="000215B7"/>
    <w:rsid w:val="000217BF"/>
    <w:rsid w:val="00021C98"/>
    <w:rsid w:val="00021CCD"/>
    <w:rsid w:val="00021EE3"/>
    <w:rsid w:val="00022368"/>
    <w:rsid w:val="000228AB"/>
    <w:rsid w:val="000233CA"/>
    <w:rsid w:val="00023652"/>
    <w:rsid w:val="00024633"/>
    <w:rsid w:val="00024B6F"/>
    <w:rsid w:val="00024F95"/>
    <w:rsid w:val="0002560A"/>
    <w:rsid w:val="000256C1"/>
    <w:rsid w:val="00025CAB"/>
    <w:rsid w:val="00025DA0"/>
    <w:rsid w:val="000265D7"/>
    <w:rsid w:val="0002696D"/>
    <w:rsid w:val="0002754D"/>
    <w:rsid w:val="00027666"/>
    <w:rsid w:val="000276B2"/>
    <w:rsid w:val="00027A46"/>
    <w:rsid w:val="00027AF3"/>
    <w:rsid w:val="00030024"/>
    <w:rsid w:val="00030124"/>
    <w:rsid w:val="000305FD"/>
    <w:rsid w:val="0003084F"/>
    <w:rsid w:val="00030C2F"/>
    <w:rsid w:val="000311F9"/>
    <w:rsid w:val="00031757"/>
    <w:rsid w:val="00032533"/>
    <w:rsid w:val="00032686"/>
    <w:rsid w:val="0003274B"/>
    <w:rsid w:val="00032AD8"/>
    <w:rsid w:val="000331CC"/>
    <w:rsid w:val="0003322E"/>
    <w:rsid w:val="00033927"/>
    <w:rsid w:val="00035840"/>
    <w:rsid w:val="00035844"/>
    <w:rsid w:val="000368DB"/>
    <w:rsid w:val="00036BAA"/>
    <w:rsid w:val="0003738D"/>
    <w:rsid w:val="00037C63"/>
    <w:rsid w:val="00037CE4"/>
    <w:rsid w:val="00040187"/>
    <w:rsid w:val="00040AC1"/>
    <w:rsid w:val="000418B1"/>
    <w:rsid w:val="00041BFC"/>
    <w:rsid w:val="000424D6"/>
    <w:rsid w:val="00042BF9"/>
    <w:rsid w:val="00042F4A"/>
    <w:rsid w:val="00043295"/>
    <w:rsid w:val="00043829"/>
    <w:rsid w:val="000441ED"/>
    <w:rsid w:val="00044EE7"/>
    <w:rsid w:val="00045069"/>
    <w:rsid w:val="00045828"/>
    <w:rsid w:val="00045947"/>
    <w:rsid w:val="000462A8"/>
    <w:rsid w:val="00046360"/>
    <w:rsid w:val="0004653D"/>
    <w:rsid w:val="000465AB"/>
    <w:rsid w:val="00046662"/>
    <w:rsid w:val="00046900"/>
    <w:rsid w:val="00046E59"/>
    <w:rsid w:val="0004716B"/>
    <w:rsid w:val="000472E6"/>
    <w:rsid w:val="000479CD"/>
    <w:rsid w:val="000500E6"/>
    <w:rsid w:val="0005037C"/>
    <w:rsid w:val="000504FE"/>
    <w:rsid w:val="000513A7"/>
    <w:rsid w:val="00053BFC"/>
    <w:rsid w:val="000541A4"/>
    <w:rsid w:val="0005428F"/>
    <w:rsid w:val="00054870"/>
    <w:rsid w:val="00054ABD"/>
    <w:rsid w:val="00054F7D"/>
    <w:rsid w:val="00055230"/>
    <w:rsid w:val="00055557"/>
    <w:rsid w:val="00055A8A"/>
    <w:rsid w:val="00055E6D"/>
    <w:rsid w:val="00055FFC"/>
    <w:rsid w:val="0005625F"/>
    <w:rsid w:val="0005649E"/>
    <w:rsid w:val="00056597"/>
    <w:rsid w:val="0005700C"/>
    <w:rsid w:val="00057393"/>
    <w:rsid w:val="00057629"/>
    <w:rsid w:val="00057E45"/>
    <w:rsid w:val="000606B6"/>
    <w:rsid w:val="00060F97"/>
    <w:rsid w:val="00062637"/>
    <w:rsid w:val="0006313F"/>
    <w:rsid w:val="000631AC"/>
    <w:rsid w:val="000631B7"/>
    <w:rsid w:val="000637FF"/>
    <w:rsid w:val="000639D4"/>
    <w:rsid w:val="00063D47"/>
    <w:rsid w:val="00064A48"/>
    <w:rsid w:val="00064C80"/>
    <w:rsid w:val="000655D7"/>
    <w:rsid w:val="00065AB7"/>
    <w:rsid w:val="00065D71"/>
    <w:rsid w:val="000667DB"/>
    <w:rsid w:val="000673D8"/>
    <w:rsid w:val="00067B14"/>
    <w:rsid w:val="00067DE7"/>
    <w:rsid w:val="000706AC"/>
    <w:rsid w:val="00070950"/>
    <w:rsid w:val="000709D3"/>
    <w:rsid w:val="000712F8"/>
    <w:rsid w:val="00071309"/>
    <w:rsid w:val="00071A6A"/>
    <w:rsid w:val="00071C95"/>
    <w:rsid w:val="00072A95"/>
    <w:rsid w:val="00072E1C"/>
    <w:rsid w:val="00072E6E"/>
    <w:rsid w:val="00074923"/>
    <w:rsid w:val="00074FED"/>
    <w:rsid w:val="000750EA"/>
    <w:rsid w:val="00075286"/>
    <w:rsid w:val="00076417"/>
    <w:rsid w:val="00077698"/>
    <w:rsid w:val="00077733"/>
    <w:rsid w:val="00077891"/>
    <w:rsid w:val="000778ED"/>
    <w:rsid w:val="0007791D"/>
    <w:rsid w:val="0007797E"/>
    <w:rsid w:val="0008017C"/>
    <w:rsid w:val="00080AA6"/>
    <w:rsid w:val="0008186A"/>
    <w:rsid w:val="00081C1C"/>
    <w:rsid w:val="000822F0"/>
    <w:rsid w:val="00082611"/>
    <w:rsid w:val="0008264F"/>
    <w:rsid w:val="0008278B"/>
    <w:rsid w:val="00082969"/>
    <w:rsid w:val="00082EFD"/>
    <w:rsid w:val="0008372E"/>
    <w:rsid w:val="000839ED"/>
    <w:rsid w:val="00083A64"/>
    <w:rsid w:val="00083B97"/>
    <w:rsid w:val="00083DE9"/>
    <w:rsid w:val="0008480B"/>
    <w:rsid w:val="00084DAF"/>
    <w:rsid w:val="000856A1"/>
    <w:rsid w:val="0008572C"/>
    <w:rsid w:val="000859E6"/>
    <w:rsid w:val="00085F62"/>
    <w:rsid w:val="00085FB6"/>
    <w:rsid w:val="000866A9"/>
    <w:rsid w:val="00086C00"/>
    <w:rsid w:val="00086EC2"/>
    <w:rsid w:val="00087358"/>
    <w:rsid w:val="000873F5"/>
    <w:rsid w:val="00087AF8"/>
    <w:rsid w:val="00087E3D"/>
    <w:rsid w:val="000900DF"/>
    <w:rsid w:val="00090193"/>
    <w:rsid w:val="0009021F"/>
    <w:rsid w:val="00090373"/>
    <w:rsid w:val="00090FAF"/>
    <w:rsid w:val="00091B1D"/>
    <w:rsid w:val="00091D8D"/>
    <w:rsid w:val="0009229B"/>
    <w:rsid w:val="00093DF8"/>
    <w:rsid w:val="000941F6"/>
    <w:rsid w:val="000945C5"/>
    <w:rsid w:val="000947F1"/>
    <w:rsid w:val="000947FD"/>
    <w:rsid w:val="00094ECF"/>
    <w:rsid w:val="00094F56"/>
    <w:rsid w:val="0009592E"/>
    <w:rsid w:val="00095D1D"/>
    <w:rsid w:val="00096B35"/>
    <w:rsid w:val="00096DFE"/>
    <w:rsid w:val="0009715C"/>
    <w:rsid w:val="000973E6"/>
    <w:rsid w:val="000A0DB9"/>
    <w:rsid w:val="000A0EB1"/>
    <w:rsid w:val="000A10DB"/>
    <w:rsid w:val="000A1466"/>
    <w:rsid w:val="000A1F25"/>
    <w:rsid w:val="000A2968"/>
    <w:rsid w:val="000A346E"/>
    <w:rsid w:val="000A3515"/>
    <w:rsid w:val="000A3518"/>
    <w:rsid w:val="000A3F79"/>
    <w:rsid w:val="000A5540"/>
    <w:rsid w:val="000A59B9"/>
    <w:rsid w:val="000A5CFB"/>
    <w:rsid w:val="000A66A7"/>
    <w:rsid w:val="000A6F1D"/>
    <w:rsid w:val="000A70C7"/>
    <w:rsid w:val="000A7238"/>
    <w:rsid w:val="000A791D"/>
    <w:rsid w:val="000B09FE"/>
    <w:rsid w:val="000B0EFF"/>
    <w:rsid w:val="000B15EF"/>
    <w:rsid w:val="000B1AB1"/>
    <w:rsid w:val="000B2225"/>
    <w:rsid w:val="000B26D6"/>
    <w:rsid w:val="000B26E1"/>
    <w:rsid w:val="000B316D"/>
    <w:rsid w:val="000B3194"/>
    <w:rsid w:val="000B3741"/>
    <w:rsid w:val="000B3CFE"/>
    <w:rsid w:val="000B42D5"/>
    <w:rsid w:val="000B4EF3"/>
    <w:rsid w:val="000B522C"/>
    <w:rsid w:val="000B554C"/>
    <w:rsid w:val="000B588F"/>
    <w:rsid w:val="000B5D87"/>
    <w:rsid w:val="000B67AE"/>
    <w:rsid w:val="000B6F18"/>
    <w:rsid w:val="000B7189"/>
    <w:rsid w:val="000B7E6D"/>
    <w:rsid w:val="000C11FD"/>
    <w:rsid w:val="000C350A"/>
    <w:rsid w:val="000C3CDF"/>
    <w:rsid w:val="000C4020"/>
    <w:rsid w:val="000C41AA"/>
    <w:rsid w:val="000C4774"/>
    <w:rsid w:val="000C4959"/>
    <w:rsid w:val="000C4988"/>
    <w:rsid w:val="000C4E28"/>
    <w:rsid w:val="000C50DF"/>
    <w:rsid w:val="000C59D1"/>
    <w:rsid w:val="000C61CD"/>
    <w:rsid w:val="000C7045"/>
    <w:rsid w:val="000C757A"/>
    <w:rsid w:val="000C7A24"/>
    <w:rsid w:val="000C7D9F"/>
    <w:rsid w:val="000D1274"/>
    <w:rsid w:val="000D12D5"/>
    <w:rsid w:val="000D1B95"/>
    <w:rsid w:val="000D1C10"/>
    <w:rsid w:val="000D1E5A"/>
    <w:rsid w:val="000D38A6"/>
    <w:rsid w:val="000D3E1B"/>
    <w:rsid w:val="000D4061"/>
    <w:rsid w:val="000D4860"/>
    <w:rsid w:val="000D48FB"/>
    <w:rsid w:val="000D4B4F"/>
    <w:rsid w:val="000D4C66"/>
    <w:rsid w:val="000D4EC1"/>
    <w:rsid w:val="000D549B"/>
    <w:rsid w:val="000D55FD"/>
    <w:rsid w:val="000D5634"/>
    <w:rsid w:val="000D574F"/>
    <w:rsid w:val="000D5E20"/>
    <w:rsid w:val="000D6768"/>
    <w:rsid w:val="000E01DF"/>
    <w:rsid w:val="000E0FA4"/>
    <w:rsid w:val="000E1C04"/>
    <w:rsid w:val="000E2AD1"/>
    <w:rsid w:val="000E3D2F"/>
    <w:rsid w:val="000E4340"/>
    <w:rsid w:val="000E4712"/>
    <w:rsid w:val="000E4718"/>
    <w:rsid w:val="000E612C"/>
    <w:rsid w:val="000E6237"/>
    <w:rsid w:val="000E6D38"/>
    <w:rsid w:val="000E6FA0"/>
    <w:rsid w:val="000E72E7"/>
    <w:rsid w:val="000E72F6"/>
    <w:rsid w:val="000E75B3"/>
    <w:rsid w:val="000E7CC8"/>
    <w:rsid w:val="000F01C3"/>
    <w:rsid w:val="000F1264"/>
    <w:rsid w:val="000F1266"/>
    <w:rsid w:val="000F1B78"/>
    <w:rsid w:val="000F1E74"/>
    <w:rsid w:val="000F1F51"/>
    <w:rsid w:val="000F1FB0"/>
    <w:rsid w:val="000F2181"/>
    <w:rsid w:val="000F24AC"/>
    <w:rsid w:val="000F254B"/>
    <w:rsid w:val="000F2830"/>
    <w:rsid w:val="000F2F60"/>
    <w:rsid w:val="000F3326"/>
    <w:rsid w:val="000F4B3A"/>
    <w:rsid w:val="000F4EDD"/>
    <w:rsid w:val="000F5331"/>
    <w:rsid w:val="000F55C9"/>
    <w:rsid w:val="000F5E8B"/>
    <w:rsid w:val="000F6242"/>
    <w:rsid w:val="000F6F32"/>
    <w:rsid w:val="000F70F9"/>
    <w:rsid w:val="000F75A8"/>
    <w:rsid w:val="000F76E0"/>
    <w:rsid w:val="000F77B4"/>
    <w:rsid w:val="00100331"/>
    <w:rsid w:val="00101255"/>
    <w:rsid w:val="001016BB"/>
    <w:rsid w:val="0010251A"/>
    <w:rsid w:val="00102BC3"/>
    <w:rsid w:val="0010343B"/>
    <w:rsid w:val="00103458"/>
    <w:rsid w:val="00104AFF"/>
    <w:rsid w:val="001054B0"/>
    <w:rsid w:val="00105A06"/>
    <w:rsid w:val="00105B2E"/>
    <w:rsid w:val="00107326"/>
    <w:rsid w:val="001078F4"/>
    <w:rsid w:val="00110797"/>
    <w:rsid w:val="00111ECD"/>
    <w:rsid w:val="001121DD"/>
    <w:rsid w:val="0011227C"/>
    <w:rsid w:val="00112D04"/>
    <w:rsid w:val="00112DBF"/>
    <w:rsid w:val="00113646"/>
    <w:rsid w:val="00113992"/>
    <w:rsid w:val="0011487E"/>
    <w:rsid w:val="001149C5"/>
    <w:rsid w:val="0011539F"/>
    <w:rsid w:val="00116015"/>
    <w:rsid w:val="00116258"/>
    <w:rsid w:val="00116781"/>
    <w:rsid w:val="00117559"/>
    <w:rsid w:val="0012026D"/>
    <w:rsid w:val="00120457"/>
    <w:rsid w:val="001204EB"/>
    <w:rsid w:val="0012077F"/>
    <w:rsid w:val="00120813"/>
    <w:rsid w:val="0012099E"/>
    <w:rsid w:val="00120E60"/>
    <w:rsid w:val="0012130E"/>
    <w:rsid w:val="001213B0"/>
    <w:rsid w:val="00121741"/>
    <w:rsid w:val="00121832"/>
    <w:rsid w:val="0012235C"/>
    <w:rsid w:val="00122A75"/>
    <w:rsid w:val="00122B22"/>
    <w:rsid w:val="001241D1"/>
    <w:rsid w:val="00124985"/>
    <w:rsid w:val="00125609"/>
    <w:rsid w:val="00125FC1"/>
    <w:rsid w:val="00126655"/>
    <w:rsid w:val="00126707"/>
    <w:rsid w:val="001269E0"/>
    <w:rsid w:val="00126C18"/>
    <w:rsid w:val="00126EBE"/>
    <w:rsid w:val="0012725A"/>
    <w:rsid w:val="00127E1B"/>
    <w:rsid w:val="00127FC8"/>
    <w:rsid w:val="001318F4"/>
    <w:rsid w:val="0013190A"/>
    <w:rsid w:val="00131945"/>
    <w:rsid w:val="00131C94"/>
    <w:rsid w:val="00131DE6"/>
    <w:rsid w:val="001326DF"/>
    <w:rsid w:val="00132AD8"/>
    <w:rsid w:val="00132CCE"/>
    <w:rsid w:val="00133D01"/>
    <w:rsid w:val="00134510"/>
    <w:rsid w:val="00135A65"/>
    <w:rsid w:val="00136073"/>
    <w:rsid w:val="001361F7"/>
    <w:rsid w:val="001364D5"/>
    <w:rsid w:val="00136606"/>
    <w:rsid w:val="00136806"/>
    <w:rsid w:val="001369A6"/>
    <w:rsid w:val="00136A93"/>
    <w:rsid w:val="00136BD6"/>
    <w:rsid w:val="00136DBC"/>
    <w:rsid w:val="00136F77"/>
    <w:rsid w:val="00136FA8"/>
    <w:rsid w:val="00137856"/>
    <w:rsid w:val="00137AF6"/>
    <w:rsid w:val="00137BD8"/>
    <w:rsid w:val="00140291"/>
    <w:rsid w:val="001404CD"/>
    <w:rsid w:val="00140691"/>
    <w:rsid w:val="00140BCF"/>
    <w:rsid w:val="00141AA7"/>
    <w:rsid w:val="00141AE5"/>
    <w:rsid w:val="00141E8C"/>
    <w:rsid w:val="001422D4"/>
    <w:rsid w:val="00142890"/>
    <w:rsid w:val="00143DF9"/>
    <w:rsid w:val="001442C2"/>
    <w:rsid w:val="001449E1"/>
    <w:rsid w:val="00144D5F"/>
    <w:rsid w:val="00145054"/>
    <w:rsid w:val="00145135"/>
    <w:rsid w:val="00145F55"/>
    <w:rsid w:val="0014647C"/>
    <w:rsid w:val="00147916"/>
    <w:rsid w:val="0014795D"/>
    <w:rsid w:val="001479AA"/>
    <w:rsid w:val="00147F00"/>
    <w:rsid w:val="00150564"/>
    <w:rsid w:val="001506A7"/>
    <w:rsid w:val="00150882"/>
    <w:rsid w:val="00150A4A"/>
    <w:rsid w:val="001518B5"/>
    <w:rsid w:val="00151BBA"/>
    <w:rsid w:val="0015252D"/>
    <w:rsid w:val="00152656"/>
    <w:rsid w:val="00152C00"/>
    <w:rsid w:val="00152C2B"/>
    <w:rsid w:val="00152E98"/>
    <w:rsid w:val="00153084"/>
    <w:rsid w:val="00153BED"/>
    <w:rsid w:val="00154304"/>
    <w:rsid w:val="001546D6"/>
    <w:rsid w:val="0015477A"/>
    <w:rsid w:val="001549D0"/>
    <w:rsid w:val="00154F0A"/>
    <w:rsid w:val="0015563E"/>
    <w:rsid w:val="00156891"/>
    <w:rsid w:val="00156958"/>
    <w:rsid w:val="00156BA3"/>
    <w:rsid w:val="00157320"/>
    <w:rsid w:val="001579B9"/>
    <w:rsid w:val="00157CBD"/>
    <w:rsid w:val="001602EB"/>
    <w:rsid w:val="001610EB"/>
    <w:rsid w:val="00161C1F"/>
    <w:rsid w:val="00161C2F"/>
    <w:rsid w:val="00162013"/>
    <w:rsid w:val="001620B6"/>
    <w:rsid w:val="00162664"/>
    <w:rsid w:val="00162995"/>
    <w:rsid w:val="00163194"/>
    <w:rsid w:val="0016397B"/>
    <w:rsid w:val="00163DB9"/>
    <w:rsid w:val="001641BB"/>
    <w:rsid w:val="00164A8F"/>
    <w:rsid w:val="00164E8A"/>
    <w:rsid w:val="00164F8F"/>
    <w:rsid w:val="001650BB"/>
    <w:rsid w:val="0016529F"/>
    <w:rsid w:val="001658F5"/>
    <w:rsid w:val="00165F38"/>
    <w:rsid w:val="001661B8"/>
    <w:rsid w:val="00166237"/>
    <w:rsid w:val="00166416"/>
    <w:rsid w:val="0016644D"/>
    <w:rsid w:val="00166EE6"/>
    <w:rsid w:val="001672AF"/>
    <w:rsid w:val="00167629"/>
    <w:rsid w:val="0016783A"/>
    <w:rsid w:val="00170740"/>
    <w:rsid w:val="00170A14"/>
    <w:rsid w:val="0017112B"/>
    <w:rsid w:val="001726CF"/>
    <w:rsid w:val="00172BAF"/>
    <w:rsid w:val="00172EC0"/>
    <w:rsid w:val="00173191"/>
    <w:rsid w:val="001737FE"/>
    <w:rsid w:val="0017426E"/>
    <w:rsid w:val="00174E71"/>
    <w:rsid w:val="00176E50"/>
    <w:rsid w:val="0017723E"/>
    <w:rsid w:val="001772FF"/>
    <w:rsid w:val="001775DA"/>
    <w:rsid w:val="00177AD0"/>
    <w:rsid w:val="001808E8"/>
    <w:rsid w:val="00180AE0"/>
    <w:rsid w:val="00181135"/>
    <w:rsid w:val="00181C0B"/>
    <w:rsid w:val="00182382"/>
    <w:rsid w:val="00182A1C"/>
    <w:rsid w:val="00182DF8"/>
    <w:rsid w:val="00183951"/>
    <w:rsid w:val="00183CB0"/>
    <w:rsid w:val="00183CC7"/>
    <w:rsid w:val="001842FD"/>
    <w:rsid w:val="00185DB6"/>
    <w:rsid w:val="00186AE7"/>
    <w:rsid w:val="00187892"/>
    <w:rsid w:val="00187948"/>
    <w:rsid w:val="001879F2"/>
    <w:rsid w:val="00187DFB"/>
    <w:rsid w:val="001900A7"/>
    <w:rsid w:val="00190463"/>
    <w:rsid w:val="001913D1"/>
    <w:rsid w:val="00191435"/>
    <w:rsid w:val="00191F8F"/>
    <w:rsid w:val="00192213"/>
    <w:rsid w:val="001927A2"/>
    <w:rsid w:val="001927AF"/>
    <w:rsid w:val="00192C5B"/>
    <w:rsid w:val="001930B3"/>
    <w:rsid w:val="00193169"/>
    <w:rsid w:val="0019335B"/>
    <w:rsid w:val="0019394C"/>
    <w:rsid w:val="00193CA3"/>
    <w:rsid w:val="00193D49"/>
    <w:rsid w:val="0019423A"/>
    <w:rsid w:val="00195648"/>
    <w:rsid w:val="001959DC"/>
    <w:rsid w:val="00195F44"/>
    <w:rsid w:val="00195F61"/>
    <w:rsid w:val="00196019"/>
    <w:rsid w:val="00196A3F"/>
    <w:rsid w:val="00196B94"/>
    <w:rsid w:val="00196C83"/>
    <w:rsid w:val="00196E92"/>
    <w:rsid w:val="001A0614"/>
    <w:rsid w:val="001A0896"/>
    <w:rsid w:val="001A168C"/>
    <w:rsid w:val="001A1F4F"/>
    <w:rsid w:val="001A315B"/>
    <w:rsid w:val="001A3856"/>
    <w:rsid w:val="001A3F6D"/>
    <w:rsid w:val="001A4029"/>
    <w:rsid w:val="001A4A30"/>
    <w:rsid w:val="001A4C94"/>
    <w:rsid w:val="001A5DA1"/>
    <w:rsid w:val="001A636F"/>
    <w:rsid w:val="001A6601"/>
    <w:rsid w:val="001A775C"/>
    <w:rsid w:val="001A7CBA"/>
    <w:rsid w:val="001B064E"/>
    <w:rsid w:val="001B0A5F"/>
    <w:rsid w:val="001B1736"/>
    <w:rsid w:val="001B18AC"/>
    <w:rsid w:val="001B1AE6"/>
    <w:rsid w:val="001B1CC4"/>
    <w:rsid w:val="001B2033"/>
    <w:rsid w:val="001B32D3"/>
    <w:rsid w:val="001B32E4"/>
    <w:rsid w:val="001B3383"/>
    <w:rsid w:val="001B3778"/>
    <w:rsid w:val="001B3C66"/>
    <w:rsid w:val="001B3DDF"/>
    <w:rsid w:val="001B3E30"/>
    <w:rsid w:val="001B3F47"/>
    <w:rsid w:val="001B4ED3"/>
    <w:rsid w:val="001B50CC"/>
    <w:rsid w:val="001B5234"/>
    <w:rsid w:val="001B5355"/>
    <w:rsid w:val="001B6049"/>
    <w:rsid w:val="001B60D4"/>
    <w:rsid w:val="001B6482"/>
    <w:rsid w:val="001B6B84"/>
    <w:rsid w:val="001B7014"/>
    <w:rsid w:val="001B7C32"/>
    <w:rsid w:val="001B7CBF"/>
    <w:rsid w:val="001C0FC6"/>
    <w:rsid w:val="001C148A"/>
    <w:rsid w:val="001C15DB"/>
    <w:rsid w:val="001C1814"/>
    <w:rsid w:val="001C1FAC"/>
    <w:rsid w:val="001C21B9"/>
    <w:rsid w:val="001C2FDC"/>
    <w:rsid w:val="001C3D80"/>
    <w:rsid w:val="001C4361"/>
    <w:rsid w:val="001C51A3"/>
    <w:rsid w:val="001C5358"/>
    <w:rsid w:val="001C56D1"/>
    <w:rsid w:val="001C5E07"/>
    <w:rsid w:val="001C7792"/>
    <w:rsid w:val="001C7A8C"/>
    <w:rsid w:val="001D05FE"/>
    <w:rsid w:val="001D07C6"/>
    <w:rsid w:val="001D15D9"/>
    <w:rsid w:val="001D1747"/>
    <w:rsid w:val="001D2019"/>
    <w:rsid w:val="001D23EF"/>
    <w:rsid w:val="001D2B65"/>
    <w:rsid w:val="001D3185"/>
    <w:rsid w:val="001D3534"/>
    <w:rsid w:val="001D42DA"/>
    <w:rsid w:val="001D537F"/>
    <w:rsid w:val="001D547D"/>
    <w:rsid w:val="001D6E58"/>
    <w:rsid w:val="001D723E"/>
    <w:rsid w:val="001D7681"/>
    <w:rsid w:val="001D7E8C"/>
    <w:rsid w:val="001E0CA5"/>
    <w:rsid w:val="001E131D"/>
    <w:rsid w:val="001E1F74"/>
    <w:rsid w:val="001E1FA3"/>
    <w:rsid w:val="001E20BB"/>
    <w:rsid w:val="001E21AC"/>
    <w:rsid w:val="001E24A4"/>
    <w:rsid w:val="001E28CC"/>
    <w:rsid w:val="001E321D"/>
    <w:rsid w:val="001E38B1"/>
    <w:rsid w:val="001E40F5"/>
    <w:rsid w:val="001E478C"/>
    <w:rsid w:val="001E4865"/>
    <w:rsid w:val="001E4C00"/>
    <w:rsid w:val="001E4D12"/>
    <w:rsid w:val="001E4D56"/>
    <w:rsid w:val="001E60F0"/>
    <w:rsid w:val="001E6214"/>
    <w:rsid w:val="001E7179"/>
    <w:rsid w:val="001E71E6"/>
    <w:rsid w:val="001E72E0"/>
    <w:rsid w:val="001E7B04"/>
    <w:rsid w:val="001F0064"/>
    <w:rsid w:val="001F1396"/>
    <w:rsid w:val="001F16DF"/>
    <w:rsid w:val="001F1960"/>
    <w:rsid w:val="001F2EB1"/>
    <w:rsid w:val="001F3105"/>
    <w:rsid w:val="001F3DAE"/>
    <w:rsid w:val="001F40B0"/>
    <w:rsid w:val="001F4A98"/>
    <w:rsid w:val="001F4E02"/>
    <w:rsid w:val="001F538C"/>
    <w:rsid w:val="001F6159"/>
    <w:rsid w:val="001F62FF"/>
    <w:rsid w:val="001F63FA"/>
    <w:rsid w:val="001F6680"/>
    <w:rsid w:val="001F6CE9"/>
    <w:rsid w:val="001F6FB6"/>
    <w:rsid w:val="001F740D"/>
    <w:rsid w:val="001F792F"/>
    <w:rsid w:val="001F7AC9"/>
    <w:rsid w:val="001F7B9E"/>
    <w:rsid w:val="001F7BE1"/>
    <w:rsid w:val="001F7C97"/>
    <w:rsid w:val="00200A84"/>
    <w:rsid w:val="00200ABF"/>
    <w:rsid w:val="00200DCF"/>
    <w:rsid w:val="00200E44"/>
    <w:rsid w:val="002014F7"/>
    <w:rsid w:val="00201A35"/>
    <w:rsid w:val="00201A96"/>
    <w:rsid w:val="00202576"/>
    <w:rsid w:val="00202B50"/>
    <w:rsid w:val="00202EF9"/>
    <w:rsid w:val="00203204"/>
    <w:rsid w:val="00203236"/>
    <w:rsid w:val="002036E8"/>
    <w:rsid w:val="00203B3F"/>
    <w:rsid w:val="002043F2"/>
    <w:rsid w:val="002048AD"/>
    <w:rsid w:val="002051F7"/>
    <w:rsid w:val="0020531C"/>
    <w:rsid w:val="002067D2"/>
    <w:rsid w:val="0020695B"/>
    <w:rsid w:val="0020708A"/>
    <w:rsid w:val="00207642"/>
    <w:rsid w:val="00207F6A"/>
    <w:rsid w:val="00210256"/>
    <w:rsid w:val="00210394"/>
    <w:rsid w:val="0021076E"/>
    <w:rsid w:val="00211882"/>
    <w:rsid w:val="00212B08"/>
    <w:rsid w:val="00212EE4"/>
    <w:rsid w:val="00212F20"/>
    <w:rsid w:val="00213289"/>
    <w:rsid w:val="0021364B"/>
    <w:rsid w:val="00213819"/>
    <w:rsid w:val="00213825"/>
    <w:rsid w:val="00214189"/>
    <w:rsid w:val="00214ADD"/>
    <w:rsid w:val="0021525B"/>
    <w:rsid w:val="00216B19"/>
    <w:rsid w:val="00216B94"/>
    <w:rsid w:val="00216CCC"/>
    <w:rsid w:val="00216E16"/>
    <w:rsid w:val="00217250"/>
    <w:rsid w:val="0021738B"/>
    <w:rsid w:val="002175E6"/>
    <w:rsid w:val="00217F25"/>
    <w:rsid w:val="00220082"/>
    <w:rsid w:val="002203BD"/>
    <w:rsid w:val="002205B9"/>
    <w:rsid w:val="00220630"/>
    <w:rsid w:val="00220776"/>
    <w:rsid w:val="002210C8"/>
    <w:rsid w:val="002221C3"/>
    <w:rsid w:val="002223BA"/>
    <w:rsid w:val="00222572"/>
    <w:rsid w:val="0022299A"/>
    <w:rsid w:val="00222B91"/>
    <w:rsid w:val="002230FD"/>
    <w:rsid w:val="002232B3"/>
    <w:rsid w:val="002242DB"/>
    <w:rsid w:val="00224756"/>
    <w:rsid w:val="00224878"/>
    <w:rsid w:val="00224B93"/>
    <w:rsid w:val="0022514D"/>
    <w:rsid w:val="002254D7"/>
    <w:rsid w:val="00225ADB"/>
    <w:rsid w:val="00225CEE"/>
    <w:rsid w:val="00226447"/>
    <w:rsid w:val="002266DB"/>
    <w:rsid w:val="00226894"/>
    <w:rsid w:val="002268B0"/>
    <w:rsid w:val="00226A4A"/>
    <w:rsid w:val="00227577"/>
    <w:rsid w:val="002277E9"/>
    <w:rsid w:val="002279E3"/>
    <w:rsid w:val="002303A6"/>
    <w:rsid w:val="00230894"/>
    <w:rsid w:val="002308E9"/>
    <w:rsid w:val="002309DD"/>
    <w:rsid w:val="00230C2C"/>
    <w:rsid w:val="00230CBE"/>
    <w:rsid w:val="00231B36"/>
    <w:rsid w:val="00231F9E"/>
    <w:rsid w:val="00232498"/>
    <w:rsid w:val="0023254E"/>
    <w:rsid w:val="00232733"/>
    <w:rsid w:val="00232785"/>
    <w:rsid w:val="00232918"/>
    <w:rsid w:val="0023350C"/>
    <w:rsid w:val="002337A4"/>
    <w:rsid w:val="00233E70"/>
    <w:rsid w:val="00234281"/>
    <w:rsid w:val="00234C67"/>
    <w:rsid w:val="00234FD3"/>
    <w:rsid w:val="00235E3F"/>
    <w:rsid w:val="00236A66"/>
    <w:rsid w:val="00236B90"/>
    <w:rsid w:val="002371BF"/>
    <w:rsid w:val="00237427"/>
    <w:rsid w:val="002376E3"/>
    <w:rsid w:val="00237820"/>
    <w:rsid w:val="00237A87"/>
    <w:rsid w:val="002403A1"/>
    <w:rsid w:val="002404C3"/>
    <w:rsid w:val="002406A2"/>
    <w:rsid w:val="00240F64"/>
    <w:rsid w:val="00241129"/>
    <w:rsid w:val="00241840"/>
    <w:rsid w:val="00241C36"/>
    <w:rsid w:val="00241F48"/>
    <w:rsid w:val="002424A9"/>
    <w:rsid w:val="002427EB"/>
    <w:rsid w:val="002427F0"/>
    <w:rsid w:val="002428BD"/>
    <w:rsid w:val="002429C1"/>
    <w:rsid w:val="00242A17"/>
    <w:rsid w:val="00242E09"/>
    <w:rsid w:val="00242EEF"/>
    <w:rsid w:val="00243026"/>
    <w:rsid w:val="002432B7"/>
    <w:rsid w:val="0024349B"/>
    <w:rsid w:val="0024365F"/>
    <w:rsid w:val="00243BB5"/>
    <w:rsid w:val="0024400C"/>
    <w:rsid w:val="002440B2"/>
    <w:rsid w:val="002458CE"/>
    <w:rsid w:val="0024593E"/>
    <w:rsid w:val="00246513"/>
    <w:rsid w:val="00246B1D"/>
    <w:rsid w:val="00247BDE"/>
    <w:rsid w:val="00247CEA"/>
    <w:rsid w:val="00250B11"/>
    <w:rsid w:val="00251EB3"/>
    <w:rsid w:val="00252454"/>
    <w:rsid w:val="00252472"/>
    <w:rsid w:val="002525A9"/>
    <w:rsid w:val="0025329B"/>
    <w:rsid w:val="0025345B"/>
    <w:rsid w:val="002538BA"/>
    <w:rsid w:val="00253ABF"/>
    <w:rsid w:val="00253EC4"/>
    <w:rsid w:val="0025418A"/>
    <w:rsid w:val="00254240"/>
    <w:rsid w:val="00254266"/>
    <w:rsid w:val="00255A5B"/>
    <w:rsid w:val="00255BC2"/>
    <w:rsid w:val="002561BF"/>
    <w:rsid w:val="00256539"/>
    <w:rsid w:val="00256DEA"/>
    <w:rsid w:val="002572EB"/>
    <w:rsid w:val="00257C49"/>
    <w:rsid w:val="00257C4C"/>
    <w:rsid w:val="0026072F"/>
    <w:rsid w:val="00260952"/>
    <w:rsid w:val="00260A98"/>
    <w:rsid w:val="00261192"/>
    <w:rsid w:val="00261A11"/>
    <w:rsid w:val="00261CB5"/>
    <w:rsid w:val="0026202B"/>
    <w:rsid w:val="002625F2"/>
    <w:rsid w:val="00262869"/>
    <w:rsid w:val="00263268"/>
    <w:rsid w:val="00263413"/>
    <w:rsid w:val="002635F3"/>
    <w:rsid w:val="002637B6"/>
    <w:rsid w:val="0026431A"/>
    <w:rsid w:val="002644A4"/>
    <w:rsid w:val="0026495A"/>
    <w:rsid w:val="00265066"/>
    <w:rsid w:val="00265C93"/>
    <w:rsid w:val="00266300"/>
    <w:rsid w:val="0026640E"/>
    <w:rsid w:val="002664CA"/>
    <w:rsid w:val="00267883"/>
    <w:rsid w:val="00271150"/>
    <w:rsid w:val="00271B87"/>
    <w:rsid w:val="00271C7B"/>
    <w:rsid w:val="00271D11"/>
    <w:rsid w:val="0027296D"/>
    <w:rsid w:val="00272D84"/>
    <w:rsid w:val="002735DD"/>
    <w:rsid w:val="00273892"/>
    <w:rsid w:val="002747CC"/>
    <w:rsid w:val="00274830"/>
    <w:rsid w:val="0027494B"/>
    <w:rsid w:val="00274DF9"/>
    <w:rsid w:val="00275170"/>
    <w:rsid w:val="00275D77"/>
    <w:rsid w:val="00275FDA"/>
    <w:rsid w:val="002778F2"/>
    <w:rsid w:val="00277F52"/>
    <w:rsid w:val="002809A3"/>
    <w:rsid w:val="00280F6B"/>
    <w:rsid w:val="00281979"/>
    <w:rsid w:val="00281E85"/>
    <w:rsid w:val="002837F8"/>
    <w:rsid w:val="00283978"/>
    <w:rsid w:val="00283ACF"/>
    <w:rsid w:val="00283C0D"/>
    <w:rsid w:val="00283C99"/>
    <w:rsid w:val="0028473D"/>
    <w:rsid w:val="00284850"/>
    <w:rsid w:val="00284D22"/>
    <w:rsid w:val="00285326"/>
    <w:rsid w:val="00285DE8"/>
    <w:rsid w:val="002866E2"/>
    <w:rsid w:val="00290891"/>
    <w:rsid w:val="0029132B"/>
    <w:rsid w:val="00291A25"/>
    <w:rsid w:val="00291DA9"/>
    <w:rsid w:val="00292773"/>
    <w:rsid w:val="002927AC"/>
    <w:rsid w:val="00292A11"/>
    <w:rsid w:val="0029469F"/>
    <w:rsid w:val="00294A5F"/>
    <w:rsid w:val="0029506F"/>
    <w:rsid w:val="00295405"/>
    <w:rsid w:val="002954FB"/>
    <w:rsid w:val="0029618D"/>
    <w:rsid w:val="002964D9"/>
    <w:rsid w:val="002965BA"/>
    <w:rsid w:val="00296814"/>
    <w:rsid w:val="0029716C"/>
    <w:rsid w:val="0029798E"/>
    <w:rsid w:val="002A0DD4"/>
    <w:rsid w:val="002A2537"/>
    <w:rsid w:val="002A2AB8"/>
    <w:rsid w:val="002A2B8E"/>
    <w:rsid w:val="002A4B29"/>
    <w:rsid w:val="002A5126"/>
    <w:rsid w:val="002A5948"/>
    <w:rsid w:val="002A64F2"/>
    <w:rsid w:val="002A6590"/>
    <w:rsid w:val="002A7478"/>
    <w:rsid w:val="002A74AA"/>
    <w:rsid w:val="002A7B26"/>
    <w:rsid w:val="002B01AD"/>
    <w:rsid w:val="002B047F"/>
    <w:rsid w:val="002B11A6"/>
    <w:rsid w:val="002B1ACA"/>
    <w:rsid w:val="002B1C6E"/>
    <w:rsid w:val="002B2D78"/>
    <w:rsid w:val="002B32C9"/>
    <w:rsid w:val="002B3736"/>
    <w:rsid w:val="002B4054"/>
    <w:rsid w:val="002B4621"/>
    <w:rsid w:val="002B46FF"/>
    <w:rsid w:val="002B48A7"/>
    <w:rsid w:val="002B497D"/>
    <w:rsid w:val="002B4D0E"/>
    <w:rsid w:val="002B4F7B"/>
    <w:rsid w:val="002B542A"/>
    <w:rsid w:val="002B5495"/>
    <w:rsid w:val="002B54C5"/>
    <w:rsid w:val="002B55E5"/>
    <w:rsid w:val="002B653E"/>
    <w:rsid w:val="002B6703"/>
    <w:rsid w:val="002B6BCB"/>
    <w:rsid w:val="002B6D69"/>
    <w:rsid w:val="002B6F67"/>
    <w:rsid w:val="002B7411"/>
    <w:rsid w:val="002B7D02"/>
    <w:rsid w:val="002B7F1B"/>
    <w:rsid w:val="002C0083"/>
    <w:rsid w:val="002C00C0"/>
    <w:rsid w:val="002C032E"/>
    <w:rsid w:val="002C081A"/>
    <w:rsid w:val="002C108A"/>
    <w:rsid w:val="002C1553"/>
    <w:rsid w:val="002C1875"/>
    <w:rsid w:val="002C1F27"/>
    <w:rsid w:val="002C29BA"/>
    <w:rsid w:val="002C2CCD"/>
    <w:rsid w:val="002C2E7C"/>
    <w:rsid w:val="002C2E96"/>
    <w:rsid w:val="002C2F7F"/>
    <w:rsid w:val="002C2FB4"/>
    <w:rsid w:val="002C2FD3"/>
    <w:rsid w:val="002C3683"/>
    <w:rsid w:val="002C3B38"/>
    <w:rsid w:val="002C5319"/>
    <w:rsid w:val="002C6DC2"/>
    <w:rsid w:val="002C6DDA"/>
    <w:rsid w:val="002C713E"/>
    <w:rsid w:val="002C7335"/>
    <w:rsid w:val="002C79CC"/>
    <w:rsid w:val="002D053D"/>
    <w:rsid w:val="002D0B99"/>
    <w:rsid w:val="002D0D30"/>
    <w:rsid w:val="002D134A"/>
    <w:rsid w:val="002D1936"/>
    <w:rsid w:val="002D1CE8"/>
    <w:rsid w:val="002D2FB2"/>
    <w:rsid w:val="002D3782"/>
    <w:rsid w:val="002D3A97"/>
    <w:rsid w:val="002D48E6"/>
    <w:rsid w:val="002D499B"/>
    <w:rsid w:val="002D5010"/>
    <w:rsid w:val="002D5B16"/>
    <w:rsid w:val="002D5BA1"/>
    <w:rsid w:val="002D613A"/>
    <w:rsid w:val="002D62D2"/>
    <w:rsid w:val="002D769A"/>
    <w:rsid w:val="002D7789"/>
    <w:rsid w:val="002D77B7"/>
    <w:rsid w:val="002D7CC4"/>
    <w:rsid w:val="002D7DBC"/>
    <w:rsid w:val="002E02AA"/>
    <w:rsid w:val="002E0C21"/>
    <w:rsid w:val="002E0E96"/>
    <w:rsid w:val="002E1616"/>
    <w:rsid w:val="002E192A"/>
    <w:rsid w:val="002E2471"/>
    <w:rsid w:val="002E2B84"/>
    <w:rsid w:val="002E300A"/>
    <w:rsid w:val="002E3092"/>
    <w:rsid w:val="002E3543"/>
    <w:rsid w:val="002E3B82"/>
    <w:rsid w:val="002E3C95"/>
    <w:rsid w:val="002E40D7"/>
    <w:rsid w:val="002E474C"/>
    <w:rsid w:val="002E4BB3"/>
    <w:rsid w:val="002E5F0D"/>
    <w:rsid w:val="002E6D33"/>
    <w:rsid w:val="002E6EE7"/>
    <w:rsid w:val="002F0C6B"/>
    <w:rsid w:val="002F1CD0"/>
    <w:rsid w:val="002F1D5C"/>
    <w:rsid w:val="002F207F"/>
    <w:rsid w:val="002F24AF"/>
    <w:rsid w:val="002F32ED"/>
    <w:rsid w:val="002F3799"/>
    <w:rsid w:val="002F3869"/>
    <w:rsid w:val="002F43B6"/>
    <w:rsid w:val="002F49F9"/>
    <w:rsid w:val="002F515D"/>
    <w:rsid w:val="002F6673"/>
    <w:rsid w:val="002F66DB"/>
    <w:rsid w:val="002F6B16"/>
    <w:rsid w:val="002F6D83"/>
    <w:rsid w:val="002F7EB8"/>
    <w:rsid w:val="003000D8"/>
    <w:rsid w:val="00300191"/>
    <w:rsid w:val="0030086D"/>
    <w:rsid w:val="00300D86"/>
    <w:rsid w:val="003017E1"/>
    <w:rsid w:val="00301921"/>
    <w:rsid w:val="00302676"/>
    <w:rsid w:val="00302F6A"/>
    <w:rsid w:val="003040C0"/>
    <w:rsid w:val="00304B0A"/>
    <w:rsid w:val="00305CC7"/>
    <w:rsid w:val="00305EB6"/>
    <w:rsid w:val="00305F62"/>
    <w:rsid w:val="0030652B"/>
    <w:rsid w:val="0030688B"/>
    <w:rsid w:val="003070FF"/>
    <w:rsid w:val="003074FD"/>
    <w:rsid w:val="00307A2D"/>
    <w:rsid w:val="00307E65"/>
    <w:rsid w:val="00310204"/>
    <w:rsid w:val="00310272"/>
    <w:rsid w:val="00310D86"/>
    <w:rsid w:val="00310F34"/>
    <w:rsid w:val="00311088"/>
    <w:rsid w:val="00311327"/>
    <w:rsid w:val="003115FC"/>
    <w:rsid w:val="003119E0"/>
    <w:rsid w:val="00311E95"/>
    <w:rsid w:val="00312462"/>
    <w:rsid w:val="00312AF6"/>
    <w:rsid w:val="00312CB7"/>
    <w:rsid w:val="00312E68"/>
    <w:rsid w:val="0031351A"/>
    <w:rsid w:val="003140C5"/>
    <w:rsid w:val="0031499C"/>
    <w:rsid w:val="003161E5"/>
    <w:rsid w:val="00316413"/>
    <w:rsid w:val="00316C18"/>
    <w:rsid w:val="00317071"/>
    <w:rsid w:val="003170F2"/>
    <w:rsid w:val="003204DA"/>
    <w:rsid w:val="00320582"/>
    <w:rsid w:val="00321282"/>
    <w:rsid w:val="0032130E"/>
    <w:rsid w:val="0032187E"/>
    <w:rsid w:val="003218EA"/>
    <w:rsid w:val="00321F93"/>
    <w:rsid w:val="0032278A"/>
    <w:rsid w:val="0032279E"/>
    <w:rsid w:val="00322912"/>
    <w:rsid w:val="00322A25"/>
    <w:rsid w:val="00322AD5"/>
    <w:rsid w:val="00322D7E"/>
    <w:rsid w:val="00322EDB"/>
    <w:rsid w:val="0032318E"/>
    <w:rsid w:val="00324A14"/>
    <w:rsid w:val="00325668"/>
    <w:rsid w:val="00325798"/>
    <w:rsid w:val="003262AB"/>
    <w:rsid w:val="0032659C"/>
    <w:rsid w:val="00327292"/>
    <w:rsid w:val="003272FD"/>
    <w:rsid w:val="0032744E"/>
    <w:rsid w:val="00327480"/>
    <w:rsid w:val="00330290"/>
    <w:rsid w:val="00330A37"/>
    <w:rsid w:val="00330B81"/>
    <w:rsid w:val="00330BA9"/>
    <w:rsid w:val="003314E8"/>
    <w:rsid w:val="00331E93"/>
    <w:rsid w:val="00333A15"/>
    <w:rsid w:val="00333A6D"/>
    <w:rsid w:val="00333F1D"/>
    <w:rsid w:val="00335776"/>
    <w:rsid w:val="00335E73"/>
    <w:rsid w:val="00336075"/>
    <w:rsid w:val="0033621C"/>
    <w:rsid w:val="00336705"/>
    <w:rsid w:val="00336C5F"/>
    <w:rsid w:val="00336E5A"/>
    <w:rsid w:val="00336ED2"/>
    <w:rsid w:val="003374B9"/>
    <w:rsid w:val="003375AB"/>
    <w:rsid w:val="003378B1"/>
    <w:rsid w:val="003404C5"/>
    <w:rsid w:val="003408E2"/>
    <w:rsid w:val="003415A2"/>
    <w:rsid w:val="00342528"/>
    <w:rsid w:val="0034312D"/>
    <w:rsid w:val="0034330F"/>
    <w:rsid w:val="003434B6"/>
    <w:rsid w:val="00343669"/>
    <w:rsid w:val="00343C67"/>
    <w:rsid w:val="0034413A"/>
    <w:rsid w:val="00344BA3"/>
    <w:rsid w:val="00344BDC"/>
    <w:rsid w:val="00344D5E"/>
    <w:rsid w:val="00345475"/>
    <w:rsid w:val="00345EEC"/>
    <w:rsid w:val="0034641D"/>
    <w:rsid w:val="00346AE5"/>
    <w:rsid w:val="00346C56"/>
    <w:rsid w:val="00347782"/>
    <w:rsid w:val="00347D51"/>
    <w:rsid w:val="00347E11"/>
    <w:rsid w:val="00350195"/>
    <w:rsid w:val="003501EB"/>
    <w:rsid w:val="00350268"/>
    <w:rsid w:val="00350594"/>
    <w:rsid w:val="003518DC"/>
    <w:rsid w:val="0035214B"/>
    <w:rsid w:val="00352542"/>
    <w:rsid w:val="0035298B"/>
    <w:rsid w:val="0035326A"/>
    <w:rsid w:val="0035327A"/>
    <w:rsid w:val="003533C8"/>
    <w:rsid w:val="003534CB"/>
    <w:rsid w:val="00353FC5"/>
    <w:rsid w:val="00354407"/>
    <w:rsid w:val="00354730"/>
    <w:rsid w:val="00354B00"/>
    <w:rsid w:val="0035557E"/>
    <w:rsid w:val="003555CF"/>
    <w:rsid w:val="00355B59"/>
    <w:rsid w:val="00355D07"/>
    <w:rsid w:val="0035620E"/>
    <w:rsid w:val="00356219"/>
    <w:rsid w:val="003564B6"/>
    <w:rsid w:val="0035669E"/>
    <w:rsid w:val="00356AAB"/>
    <w:rsid w:val="0035738B"/>
    <w:rsid w:val="003574FA"/>
    <w:rsid w:val="00357563"/>
    <w:rsid w:val="00357C05"/>
    <w:rsid w:val="00357DE5"/>
    <w:rsid w:val="003601F2"/>
    <w:rsid w:val="0036071E"/>
    <w:rsid w:val="00360E0E"/>
    <w:rsid w:val="00361429"/>
    <w:rsid w:val="003618B0"/>
    <w:rsid w:val="00362E06"/>
    <w:rsid w:val="00363B12"/>
    <w:rsid w:val="0036423C"/>
    <w:rsid w:val="003648BB"/>
    <w:rsid w:val="00364D59"/>
    <w:rsid w:val="003654BE"/>
    <w:rsid w:val="003654DD"/>
    <w:rsid w:val="00365D2E"/>
    <w:rsid w:val="00365DBB"/>
    <w:rsid w:val="00365ECB"/>
    <w:rsid w:val="00366F81"/>
    <w:rsid w:val="003673E6"/>
    <w:rsid w:val="003675F0"/>
    <w:rsid w:val="00367A90"/>
    <w:rsid w:val="00367EE6"/>
    <w:rsid w:val="00370104"/>
    <w:rsid w:val="003701AB"/>
    <w:rsid w:val="003703EC"/>
    <w:rsid w:val="00370963"/>
    <w:rsid w:val="00371009"/>
    <w:rsid w:val="00371BC4"/>
    <w:rsid w:val="00371D64"/>
    <w:rsid w:val="003722E8"/>
    <w:rsid w:val="00372733"/>
    <w:rsid w:val="0037280D"/>
    <w:rsid w:val="003728E1"/>
    <w:rsid w:val="00372C4C"/>
    <w:rsid w:val="00373B9D"/>
    <w:rsid w:val="00374100"/>
    <w:rsid w:val="003745D0"/>
    <w:rsid w:val="00375B8A"/>
    <w:rsid w:val="00375BB2"/>
    <w:rsid w:val="00375C42"/>
    <w:rsid w:val="00375E04"/>
    <w:rsid w:val="00375E62"/>
    <w:rsid w:val="0037642E"/>
    <w:rsid w:val="00377D45"/>
    <w:rsid w:val="003801DC"/>
    <w:rsid w:val="00380E15"/>
    <w:rsid w:val="00380F51"/>
    <w:rsid w:val="00381070"/>
    <w:rsid w:val="00381993"/>
    <w:rsid w:val="00381B3A"/>
    <w:rsid w:val="00381F75"/>
    <w:rsid w:val="0038248C"/>
    <w:rsid w:val="00383E24"/>
    <w:rsid w:val="00384000"/>
    <w:rsid w:val="003847DB"/>
    <w:rsid w:val="00384837"/>
    <w:rsid w:val="00384F69"/>
    <w:rsid w:val="00385085"/>
    <w:rsid w:val="003856C6"/>
    <w:rsid w:val="00385E50"/>
    <w:rsid w:val="003860CA"/>
    <w:rsid w:val="0038685F"/>
    <w:rsid w:val="00386B07"/>
    <w:rsid w:val="00386B43"/>
    <w:rsid w:val="00386C77"/>
    <w:rsid w:val="00386CBA"/>
    <w:rsid w:val="00386FC4"/>
    <w:rsid w:val="003879A5"/>
    <w:rsid w:val="00387E69"/>
    <w:rsid w:val="003906C0"/>
    <w:rsid w:val="003911F2"/>
    <w:rsid w:val="00391268"/>
    <w:rsid w:val="003915D4"/>
    <w:rsid w:val="00391901"/>
    <w:rsid w:val="00391AC1"/>
    <w:rsid w:val="00391B2B"/>
    <w:rsid w:val="003923E6"/>
    <w:rsid w:val="00393FE9"/>
    <w:rsid w:val="0039476B"/>
    <w:rsid w:val="00395BEC"/>
    <w:rsid w:val="00396113"/>
    <w:rsid w:val="00396F26"/>
    <w:rsid w:val="003973FD"/>
    <w:rsid w:val="00397413"/>
    <w:rsid w:val="00397491"/>
    <w:rsid w:val="0039760C"/>
    <w:rsid w:val="003976E4"/>
    <w:rsid w:val="00397B53"/>
    <w:rsid w:val="00397E21"/>
    <w:rsid w:val="00397FDC"/>
    <w:rsid w:val="003A04AE"/>
    <w:rsid w:val="003A0667"/>
    <w:rsid w:val="003A19D6"/>
    <w:rsid w:val="003A1EE2"/>
    <w:rsid w:val="003A22DF"/>
    <w:rsid w:val="003A2372"/>
    <w:rsid w:val="003A2C9B"/>
    <w:rsid w:val="003A2D4E"/>
    <w:rsid w:val="003A3999"/>
    <w:rsid w:val="003A4462"/>
    <w:rsid w:val="003A4663"/>
    <w:rsid w:val="003A4BFF"/>
    <w:rsid w:val="003A4F4E"/>
    <w:rsid w:val="003A5D90"/>
    <w:rsid w:val="003A62DA"/>
    <w:rsid w:val="003A72DF"/>
    <w:rsid w:val="003A759F"/>
    <w:rsid w:val="003A7B14"/>
    <w:rsid w:val="003A7B7B"/>
    <w:rsid w:val="003A7D2A"/>
    <w:rsid w:val="003A7D38"/>
    <w:rsid w:val="003B08CD"/>
    <w:rsid w:val="003B14FD"/>
    <w:rsid w:val="003B2427"/>
    <w:rsid w:val="003B2835"/>
    <w:rsid w:val="003B2D7D"/>
    <w:rsid w:val="003B2F1D"/>
    <w:rsid w:val="003B3AC6"/>
    <w:rsid w:val="003B3C63"/>
    <w:rsid w:val="003B3E12"/>
    <w:rsid w:val="003B3FEB"/>
    <w:rsid w:val="003B4696"/>
    <w:rsid w:val="003B46D9"/>
    <w:rsid w:val="003B4E65"/>
    <w:rsid w:val="003B4EB6"/>
    <w:rsid w:val="003B5400"/>
    <w:rsid w:val="003B6031"/>
    <w:rsid w:val="003B6599"/>
    <w:rsid w:val="003B6E81"/>
    <w:rsid w:val="003B7A2A"/>
    <w:rsid w:val="003B7E05"/>
    <w:rsid w:val="003C052A"/>
    <w:rsid w:val="003C131E"/>
    <w:rsid w:val="003C19A5"/>
    <w:rsid w:val="003C1C85"/>
    <w:rsid w:val="003C1F69"/>
    <w:rsid w:val="003C2434"/>
    <w:rsid w:val="003C3037"/>
    <w:rsid w:val="003C323F"/>
    <w:rsid w:val="003C324C"/>
    <w:rsid w:val="003C3A2A"/>
    <w:rsid w:val="003C3E7F"/>
    <w:rsid w:val="003C3FF9"/>
    <w:rsid w:val="003C4482"/>
    <w:rsid w:val="003C5260"/>
    <w:rsid w:val="003C574F"/>
    <w:rsid w:val="003C612F"/>
    <w:rsid w:val="003C6468"/>
    <w:rsid w:val="003C6F11"/>
    <w:rsid w:val="003C7B0C"/>
    <w:rsid w:val="003D0AF6"/>
    <w:rsid w:val="003D0BFD"/>
    <w:rsid w:val="003D0DB4"/>
    <w:rsid w:val="003D11D9"/>
    <w:rsid w:val="003D1E5A"/>
    <w:rsid w:val="003D27A0"/>
    <w:rsid w:val="003D3990"/>
    <w:rsid w:val="003D42B5"/>
    <w:rsid w:val="003D42CB"/>
    <w:rsid w:val="003D43E2"/>
    <w:rsid w:val="003D461B"/>
    <w:rsid w:val="003D4B62"/>
    <w:rsid w:val="003D4E9A"/>
    <w:rsid w:val="003D51F4"/>
    <w:rsid w:val="003D52CB"/>
    <w:rsid w:val="003D5811"/>
    <w:rsid w:val="003D58C5"/>
    <w:rsid w:val="003D5FB3"/>
    <w:rsid w:val="003D6638"/>
    <w:rsid w:val="003D7667"/>
    <w:rsid w:val="003D7786"/>
    <w:rsid w:val="003D7FC4"/>
    <w:rsid w:val="003E0354"/>
    <w:rsid w:val="003E08DC"/>
    <w:rsid w:val="003E17CF"/>
    <w:rsid w:val="003E184A"/>
    <w:rsid w:val="003E1887"/>
    <w:rsid w:val="003E18C9"/>
    <w:rsid w:val="003E19E2"/>
    <w:rsid w:val="003E2538"/>
    <w:rsid w:val="003E278F"/>
    <w:rsid w:val="003E2E55"/>
    <w:rsid w:val="003E2F74"/>
    <w:rsid w:val="003E383A"/>
    <w:rsid w:val="003E3AF6"/>
    <w:rsid w:val="003E3C62"/>
    <w:rsid w:val="003E40AA"/>
    <w:rsid w:val="003E4296"/>
    <w:rsid w:val="003E43C8"/>
    <w:rsid w:val="003E4B5F"/>
    <w:rsid w:val="003E528F"/>
    <w:rsid w:val="003E530F"/>
    <w:rsid w:val="003E5A33"/>
    <w:rsid w:val="003E5D0E"/>
    <w:rsid w:val="003E65FD"/>
    <w:rsid w:val="003E69CF"/>
    <w:rsid w:val="003E6DA0"/>
    <w:rsid w:val="003E72DA"/>
    <w:rsid w:val="003E73CD"/>
    <w:rsid w:val="003F031C"/>
    <w:rsid w:val="003F05D0"/>
    <w:rsid w:val="003F0D94"/>
    <w:rsid w:val="003F101F"/>
    <w:rsid w:val="003F1622"/>
    <w:rsid w:val="003F1AA3"/>
    <w:rsid w:val="003F2005"/>
    <w:rsid w:val="003F207C"/>
    <w:rsid w:val="003F25B7"/>
    <w:rsid w:val="003F25EF"/>
    <w:rsid w:val="003F289B"/>
    <w:rsid w:val="003F3277"/>
    <w:rsid w:val="003F3928"/>
    <w:rsid w:val="003F3FC1"/>
    <w:rsid w:val="003F458C"/>
    <w:rsid w:val="003F48C4"/>
    <w:rsid w:val="003F4C79"/>
    <w:rsid w:val="003F4E06"/>
    <w:rsid w:val="003F4EA8"/>
    <w:rsid w:val="003F525C"/>
    <w:rsid w:val="003F5E3F"/>
    <w:rsid w:val="003F5F6E"/>
    <w:rsid w:val="003F67CB"/>
    <w:rsid w:val="003F70AA"/>
    <w:rsid w:val="003F71FE"/>
    <w:rsid w:val="003F759C"/>
    <w:rsid w:val="00400A20"/>
    <w:rsid w:val="00400AEC"/>
    <w:rsid w:val="00401241"/>
    <w:rsid w:val="00401CD0"/>
    <w:rsid w:val="004024AD"/>
    <w:rsid w:val="00402608"/>
    <w:rsid w:val="00402764"/>
    <w:rsid w:val="004029C9"/>
    <w:rsid w:val="00402B48"/>
    <w:rsid w:val="00403542"/>
    <w:rsid w:val="00403A15"/>
    <w:rsid w:val="00403A3E"/>
    <w:rsid w:val="00403DBE"/>
    <w:rsid w:val="00405461"/>
    <w:rsid w:val="00405477"/>
    <w:rsid w:val="0040566B"/>
    <w:rsid w:val="00405B56"/>
    <w:rsid w:val="004067F1"/>
    <w:rsid w:val="00406C91"/>
    <w:rsid w:val="00407403"/>
    <w:rsid w:val="00410441"/>
    <w:rsid w:val="0041078F"/>
    <w:rsid w:val="004108AD"/>
    <w:rsid w:val="004109ED"/>
    <w:rsid w:val="00410B78"/>
    <w:rsid w:val="00410FE6"/>
    <w:rsid w:val="0041102C"/>
    <w:rsid w:val="00411154"/>
    <w:rsid w:val="0041161B"/>
    <w:rsid w:val="004121CD"/>
    <w:rsid w:val="00412BDE"/>
    <w:rsid w:val="0041351D"/>
    <w:rsid w:val="00413FDE"/>
    <w:rsid w:val="004146E5"/>
    <w:rsid w:val="00414DE0"/>
    <w:rsid w:val="004150AC"/>
    <w:rsid w:val="004150FE"/>
    <w:rsid w:val="004158A0"/>
    <w:rsid w:val="00415CAD"/>
    <w:rsid w:val="00415D69"/>
    <w:rsid w:val="00415FAD"/>
    <w:rsid w:val="0041619C"/>
    <w:rsid w:val="00416523"/>
    <w:rsid w:val="0041747C"/>
    <w:rsid w:val="00417701"/>
    <w:rsid w:val="00417C68"/>
    <w:rsid w:val="00417D7A"/>
    <w:rsid w:val="004203AA"/>
    <w:rsid w:val="00420BA6"/>
    <w:rsid w:val="00420C84"/>
    <w:rsid w:val="00420E35"/>
    <w:rsid w:val="00420EED"/>
    <w:rsid w:val="0042121D"/>
    <w:rsid w:val="0042181C"/>
    <w:rsid w:val="00421F4C"/>
    <w:rsid w:val="00422508"/>
    <w:rsid w:val="0042267A"/>
    <w:rsid w:val="00422AB1"/>
    <w:rsid w:val="00422C59"/>
    <w:rsid w:val="00422CFC"/>
    <w:rsid w:val="00423915"/>
    <w:rsid w:val="0042412E"/>
    <w:rsid w:val="0042472D"/>
    <w:rsid w:val="004247B9"/>
    <w:rsid w:val="0042505E"/>
    <w:rsid w:val="004256CA"/>
    <w:rsid w:val="004257A7"/>
    <w:rsid w:val="00425EF9"/>
    <w:rsid w:val="0042642F"/>
    <w:rsid w:val="00427D16"/>
    <w:rsid w:val="00427DB2"/>
    <w:rsid w:val="004305C5"/>
    <w:rsid w:val="00430984"/>
    <w:rsid w:val="004318F9"/>
    <w:rsid w:val="0043244C"/>
    <w:rsid w:val="00432621"/>
    <w:rsid w:val="004326EF"/>
    <w:rsid w:val="004328FB"/>
    <w:rsid w:val="00432B9E"/>
    <w:rsid w:val="00432EAC"/>
    <w:rsid w:val="00433584"/>
    <w:rsid w:val="00433D67"/>
    <w:rsid w:val="004342CB"/>
    <w:rsid w:val="00434374"/>
    <w:rsid w:val="00434954"/>
    <w:rsid w:val="00435072"/>
    <w:rsid w:val="00435197"/>
    <w:rsid w:val="004363D1"/>
    <w:rsid w:val="0043678E"/>
    <w:rsid w:val="00436CF3"/>
    <w:rsid w:val="0043731F"/>
    <w:rsid w:val="00437810"/>
    <w:rsid w:val="00437B57"/>
    <w:rsid w:val="0044054A"/>
    <w:rsid w:val="00440CD7"/>
    <w:rsid w:val="00440D7A"/>
    <w:rsid w:val="00440F8E"/>
    <w:rsid w:val="004410BC"/>
    <w:rsid w:val="00441164"/>
    <w:rsid w:val="0044130A"/>
    <w:rsid w:val="004414D3"/>
    <w:rsid w:val="00441A6C"/>
    <w:rsid w:val="00441F3E"/>
    <w:rsid w:val="004420F9"/>
    <w:rsid w:val="0044278B"/>
    <w:rsid w:val="00443064"/>
    <w:rsid w:val="004435D7"/>
    <w:rsid w:val="00444188"/>
    <w:rsid w:val="00444473"/>
    <w:rsid w:val="004444D3"/>
    <w:rsid w:val="0044482D"/>
    <w:rsid w:val="00444927"/>
    <w:rsid w:val="00444FEA"/>
    <w:rsid w:val="004458AB"/>
    <w:rsid w:val="00445C9F"/>
    <w:rsid w:val="0044668C"/>
    <w:rsid w:val="00446D64"/>
    <w:rsid w:val="004479C3"/>
    <w:rsid w:val="004503A1"/>
    <w:rsid w:val="00450674"/>
    <w:rsid w:val="00450BE0"/>
    <w:rsid w:val="00450D8E"/>
    <w:rsid w:val="0045201A"/>
    <w:rsid w:val="0045255A"/>
    <w:rsid w:val="004526C7"/>
    <w:rsid w:val="00452BE5"/>
    <w:rsid w:val="00453DB3"/>
    <w:rsid w:val="00454B8F"/>
    <w:rsid w:val="00454C20"/>
    <w:rsid w:val="004558FA"/>
    <w:rsid w:val="0045590F"/>
    <w:rsid w:val="00455AB8"/>
    <w:rsid w:val="00455CAE"/>
    <w:rsid w:val="00455E9B"/>
    <w:rsid w:val="00456D15"/>
    <w:rsid w:val="00456E2B"/>
    <w:rsid w:val="004578E3"/>
    <w:rsid w:val="00460244"/>
    <w:rsid w:val="004602D4"/>
    <w:rsid w:val="00460529"/>
    <w:rsid w:val="00460847"/>
    <w:rsid w:val="00460A4B"/>
    <w:rsid w:val="00461074"/>
    <w:rsid w:val="00461252"/>
    <w:rsid w:val="0046159B"/>
    <w:rsid w:val="00461A84"/>
    <w:rsid w:val="00462286"/>
    <w:rsid w:val="004626DB"/>
    <w:rsid w:val="00462F25"/>
    <w:rsid w:val="004631A1"/>
    <w:rsid w:val="0046330C"/>
    <w:rsid w:val="00463717"/>
    <w:rsid w:val="00463754"/>
    <w:rsid w:val="004637CD"/>
    <w:rsid w:val="004642AE"/>
    <w:rsid w:val="004644E5"/>
    <w:rsid w:val="004653AD"/>
    <w:rsid w:val="00465498"/>
    <w:rsid w:val="00465A3C"/>
    <w:rsid w:val="00465F55"/>
    <w:rsid w:val="0046615C"/>
    <w:rsid w:val="00466414"/>
    <w:rsid w:val="0046650F"/>
    <w:rsid w:val="00466742"/>
    <w:rsid w:val="00466AE4"/>
    <w:rsid w:val="0046713B"/>
    <w:rsid w:val="004673C5"/>
    <w:rsid w:val="0046756D"/>
    <w:rsid w:val="00467B68"/>
    <w:rsid w:val="00467BC4"/>
    <w:rsid w:val="00470EB0"/>
    <w:rsid w:val="00470ED5"/>
    <w:rsid w:val="00471361"/>
    <w:rsid w:val="00471B51"/>
    <w:rsid w:val="00471F60"/>
    <w:rsid w:val="00472834"/>
    <w:rsid w:val="00472ADA"/>
    <w:rsid w:val="00472AF9"/>
    <w:rsid w:val="00472E55"/>
    <w:rsid w:val="00472E87"/>
    <w:rsid w:val="004740ED"/>
    <w:rsid w:val="00474322"/>
    <w:rsid w:val="00474620"/>
    <w:rsid w:val="004749E0"/>
    <w:rsid w:val="004750C4"/>
    <w:rsid w:val="0047548C"/>
    <w:rsid w:val="00476446"/>
    <w:rsid w:val="00477320"/>
    <w:rsid w:val="004779AB"/>
    <w:rsid w:val="004779CC"/>
    <w:rsid w:val="00477FA2"/>
    <w:rsid w:val="004801BA"/>
    <w:rsid w:val="0048028B"/>
    <w:rsid w:val="0048129F"/>
    <w:rsid w:val="00481C87"/>
    <w:rsid w:val="004824B9"/>
    <w:rsid w:val="004828B4"/>
    <w:rsid w:val="00482E73"/>
    <w:rsid w:val="00482F94"/>
    <w:rsid w:val="00483AF5"/>
    <w:rsid w:val="00483FBD"/>
    <w:rsid w:val="004840B7"/>
    <w:rsid w:val="00484204"/>
    <w:rsid w:val="00484850"/>
    <w:rsid w:val="00485352"/>
    <w:rsid w:val="00485E18"/>
    <w:rsid w:val="0048614C"/>
    <w:rsid w:val="0048639E"/>
    <w:rsid w:val="00487507"/>
    <w:rsid w:val="004876C2"/>
    <w:rsid w:val="004878B6"/>
    <w:rsid w:val="00487CD9"/>
    <w:rsid w:val="00490724"/>
    <w:rsid w:val="00490831"/>
    <w:rsid w:val="00491095"/>
    <w:rsid w:val="004918B1"/>
    <w:rsid w:val="00492410"/>
    <w:rsid w:val="00492611"/>
    <w:rsid w:val="00492C56"/>
    <w:rsid w:val="00492C6F"/>
    <w:rsid w:val="00492EFA"/>
    <w:rsid w:val="00492F1A"/>
    <w:rsid w:val="0049339A"/>
    <w:rsid w:val="00493782"/>
    <w:rsid w:val="00493CF5"/>
    <w:rsid w:val="00493E2D"/>
    <w:rsid w:val="00494B2E"/>
    <w:rsid w:val="004952A2"/>
    <w:rsid w:val="004952BD"/>
    <w:rsid w:val="0049590C"/>
    <w:rsid w:val="00495D9A"/>
    <w:rsid w:val="004962D8"/>
    <w:rsid w:val="004966E0"/>
    <w:rsid w:val="004969D3"/>
    <w:rsid w:val="004971AE"/>
    <w:rsid w:val="004974DE"/>
    <w:rsid w:val="004976EF"/>
    <w:rsid w:val="004A034F"/>
    <w:rsid w:val="004A0440"/>
    <w:rsid w:val="004A0E27"/>
    <w:rsid w:val="004A0ECC"/>
    <w:rsid w:val="004A1246"/>
    <w:rsid w:val="004A17FA"/>
    <w:rsid w:val="004A1FA8"/>
    <w:rsid w:val="004A213B"/>
    <w:rsid w:val="004A25D9"/>
    <w:rsid w:val="004A399B"/>
    <w:rsid w:val="004A3F18"/>
    <w:rsid w:val="004A4D06"/>
    <w:rsid w:val="004A4FC8"/>
    <w:rsid w:val="004A5232"/>
    <w:rsid w:val="004A55FF"/>
    <w:rsid w:val="004A61A6"/>
    <w:rsid w:val="004A6C65"/>
    <w:rsid w:val="004A76F0"/>
    <w:rsid w:val="004A7B7A"/>
    <w:rsid w:val="004B0A5F"/>
    <w:rsid w:val="004B11AD"/>
    <w:rsid w:val="004B15CE"/>
    <w:rsid w:val="004B2630"/>
    <w:rsid w:val="004B34B8"/>
    <w:rsid w:val="004B3724"/>
    <w:rsid w:val="004B3F15"/>
    <w:rsid w:val="004B51A3"/>
    <w:rsid w:val="004B534E"/>
    <w:rsid w:val="004B59CB"/>
    <w:rsid w:val="004B5E9F"/>
    <w:rsid w:val="004B6901"/>
    <w:rsid w:val="004B6F05"/>
    <w:rsid w:val="004C0712"/>
    <w:rsid w:val="004C0F0D"/>
    <w:rsid w:val="004C1838"/>
    <w:rsid w:val="004C1CE3"/>
    <w:rsid w:val="004C33F7"/>
    <w:rsid w:val="004C3BD1"/>
    <w:rsid w:val="004C3EF8"/>
    <w:rsid w:val="004C3FD7"/>
    <w:rsid w:val="004C5715"/>
    <w:rsid w:val="004C5AA1"/>
    <w:rsid w:val="004C600D"/>
    <w:rsid w:val="004C6374"/>
    <w:rsid w:val="004C64D0"/>
    <w:rsid w:val="004C683A"/>
    <w:rsid w:val="004C6B4F"/>
    <w:rsid w:val="004C6D63"/>
    <w:rsid w:val="004C6DF5"/>
    <w:rsid w:val="004C6F27"/>
    <w:rsid w:val="004C79D9"/>
    <w:rsid w:val="004D25E2"/>
    <w:rsid w:val="004D2D35"/>
    <w:rsid w:val="004D3A17"/>
    <w:rsid w:val="004D3C27"/>
    <w:rsid w:val="004D4AC2"/>
    <w:rsid w:val="004D5038"/>
    <w:rsid w:val="004D525C"/>
    <w:rsid w:val="004D5EBD"/>
    <w:rsid w:val="004D6314"/>
    <w:rsid w:val="004D6A67"/>
    <w:rsid w:val="004D71AA"/>
    <w:rsid w:val="004D7312"/>
    <w:rsid w:val="004D736E"/>
    <w:rsid w:val="004D7420"/>
    <w:rsid w:val="004E054D"/>
    <w:rsid w:val="004E07DA"/>
    <w:rsid w:val="004E1454"/>
    <w:rsid w:val="004E234B"/>
    <w:rsid w:val="004E2921"/>
    <w:rsid w:val="004E2BC5"/>
    <w:rsid w:val="004E305F"/>
    <w:rsid w:val="004E3C85"/>
    <w:rsid w:val="004E3FB6"/>
    <w:rsid w:val="004E41AF"/>
    <w:rsid w:val="004E4277"/>
    <w:rsid w:val="004E45CE"/>
    <w:rsid w:val="004E4F95"/>
    <w:rsid w:val="004E500F"/>
    <w:rsid w:val="004E53FC"/>
    <w:rsid w:val="004E578F"/>
    <w:rsid w:val="004E5CF5"/>
    <w:rsid w:val="004E5E88"/>
    <w:rsid w:val="004E67EA"/>
    <w:rsid w:val="004E7113"/>
    <w:rsid w:val="004E7540"/>
    <w:rsid w:val="004E76AF"/>
    <w:rsid w:val="004E76F3"/>
    <w:rsid w:val="004E7CC0"/>
    <w:rsid w:val="004E7FC0"/>
    <w:rsid w:val="004F05B8"/>
    <w:rsid w:val="004F1A7E"/>
    <w:rsid w:val="004F1EEE"/>
    <w:rsid w:val="004F2C3F"/>
    <w:rsid w:val="004F2F35"/>
    <w:rsid w:val="004F3434"/>
    <w:rsid w:val="004F3BE6"/>
    <w:rsid w:val="004F3D20"/>
    <w:rsid w:val="004F4978"/>
    <w:rsid w:val="004F4F47"/>
    <w:rsid w:val="004F56ED"/>
    <w:rsid w:val="004F5C0E"/>
    <w:rsid w:val="004F5D56"/>
    <w:rsid w:val="004F5FA0"/>
    <w:rsid w:val="004F6045"/>
    <w:rsid w:val="004F6147"/>
    <w:rsid w:val="004F614F"/>
    <w:rsid w:val="004F69FE"/>
    <w:rsid w:val="004F7197"/>
    <w:rsid w:val="004F752A"/>
    <w:rsid w:val="004F781C"/>
    <w:rsid w:val="004F7918"/>
    <w:rsid w:val="0050098F"/>
    <w:rsid w:val="00500B7B"/>
    <w:rsid w:val="00500BA2"/>
    <w:rsid w:val="00500C74"/>
    <w:rsid w:val="00500CC6"/>
    <w:rsid w:val="0050145C"/>
    <w:rsid w:val="00502649"/>
    <w:rsid w:val="0050280C"/>
    <w:rsid w:val="00502E30"/>
    <w:rsid w:val="005030DB"/>
    <w:rsid w:val="00503797"/>
    <w:rsid w:val="0050398F"/>
    <w:rsid w:val="00503F6D"/>
    <w:rsid w:val="00505B35"/>
    <w:rsid w:val="0050647B"/>
    <w:rsid w:val="005067EB"/>
    <w:rsid w:val="00506B64"/>
    <w:rsid w:val="005072D0"/>
    <w:rsid w:val="0050788C"/>
    <w:rsid w:val="00510DF4"/>
    <w:rsid w:val="00510E2F"/>
    <w:rsid w:val="005111E1"/>
    <w:rsid w:val="00511E0D"/>
    <w:rsid w:val="0051227C"/>
    <w:rsid w:val="0051254F"/>
    <w:rsid w:val="005130A1"/>
    <w:rsid w:val="00513D82"/>
    <w:rsid w:val="00513E25"/>
    <w:rsid w:val="005140F2"/>
    <w:rsid w:val="0051430B"/>
    <w:rsid w:val="005144B5"/>
    <w:rsid w:val="00514710"/>
    <w:rsid w:val="005162F1"/>
    <w:rsid w:val="00516603"/>
    <w:rsid w:val="005172C1"/>
    <w:rsid w:val="0051788F"/>
    <w:rsid w:val="00520235"/>
    <w:rsid w:val="005219BF"/>
    <w:rsid w:val="0052276B"/>
    <w:rsid w:val="00522FBE"/>
    <w:rsid w:val="005234BC"/>
    <w:rsid w:val="00523817"/>
    <w:rsid w:val="00523D53"/>
    <w:rsid w:val="00523F12"/>
    <w:rsid w:val="00523FCF"/>
    <w:rsid w:val="005241B4"/>
    <w:rsid w:val="00524E47"/>
    <w:rsid w:val="00525285"/>
    <w:rsid w:val="0052553B"/>
    <w:rsid w:val="00525BBB"/>
    <w:rsid w:val="00525C00"/>
    <w:rsid w:val="00526118"/>
    <w:rsid w:val="005263A4"/>
    <w:rsid w:val="005263EB"/>
    <w:rsid w:val="0052699C"/>
    <w:rsid w:val="0052700A"/>
    <w:rsid w:val="005273BC"/>
    <w:rsid w:val="00527A5E"/>
    <w:rsid w:val="00527BA9"/>
    <w:rsid w:val="005300E9"/>
    <w:rsid w:val="00530166"/>
    <w:rsid w:val="00530771"/>
    <w:rsid w:val="00530783"/>
    <w:rsid w:val="00530833"/>
    <w:rsid w:val="00530DE9"/>
    <w:rsid w:val="00531B21"/>
    <w:rsid w:val="005320EA"/>
    <w:rsid w:val="00532601"/>
    <w:rsid w:val="00533E77"/>
    <w:rsid w:val="0053625D"/>
    <w:rsid w:val="00536F59"/>
    <w:rsid w:val="00537507"/>
    <w:rsid w:val="00537A32"/>
    <w:rsid w:val="0054077E"/>
    <w:rsid w:val="00540889"/>
    <w:rsid w:val="005408E9"/>
    <w:rsid w:val="00540997"/>
    <w:rsid w:val="005412F3"/>
    <w:rsid w:val="00541413"/>
    <w:rsid w:val="005431C5"/>
    <w:rsid w:val="005431F0"/>
    <w:rsid w:val="005431FC"/>
    <w:rsid w:val="00543446"/>
    <w:rsid w:val="005439F9"/>
    <w:rsid w:val="00544329"/>
    <w:rsid w:val="00544453"/>
    <w:rsid w:val="005446AA"/>
    <w:rsid w:val="0054477A"/>
    <w:rsid w:val="00544D2B"/>
    <w:rsid w:val="005450A6"/>
    <w:rsid w:val="005451B1"/>
    <w:rsid w:val="005463FC"/>
    <w:rsid w:val="0054766B"/>
    <w:rsid w:val="005477A6"/>
    <w:rsid w:val="005477C1"/>
    <w:rsid w:val="00550AA6"/>
    <w:rsid w:val="005516BD"/>
    <w:rsid w:val="005527AC"/>
    <w:rsid w:val="005530E3"/>
    <w:rsid w:val="00553457"/>
    <w:rsid w:val="00553469"/>
    <w:rsid w:val="005539EC"/>
    <w:rsid w:val="00553A0B"/>
    <w:rsid w:val="00553C49"/>
    <w:rsid w:val="00554498"/>
    <w:rsid w:val="00554607"/>
    <w:rsid w:val="00554627"/>
    <w:rsid w:val="005547FF"/>
    <w:rsid w:val="00554930"/>
    <w:rsid w:val="00554EE3"/>
    <w:rsid w:val="00555E12"/>
    <w:rsid w:val="005563C9"/>
    <w:rsid w:val="00556583"/>
    <w:rsid w:val="005566AD"/>
    <w:rsid w:val="005574F9"/>
    <w:rsid w:val="00557902"/>
    <w:rsid w:val="00557A43"/>
    <w:rsid w:val="00560031"/>
    <w:rsid w:val="0056055D"/>
    <w:rsid w:val="00560624"/>
    <w:rsid w:val="005609DD"/>
    <w:rsid w:val="00560C38"/>
    <w:rsid w:val="00560DE2"/>
    <w:rsid w:val="00560FAC"/>
    <w:rsid w:val="005612D4"/>
    <w:rsid w:val="005613A3"/>
    <w:rsid w:val="005613A7"/>
    <w:rsid w:val="005619B7"/>
    <w:rsid w:val="00561C1C"/>
    <w:rsid w:val="005620C0"/>
    <w:rsid w:val="00562E3D"/>
    <w:rsid w:val="00563700"/>
    <w:rsid w:val="0056385C"/>
    <w:rsid w:val="00563ADB"/>
    <w:rsid w:val="00563F75"/>
    <w:rsid w:val="005640EB"/>
    <w:rsid w:val="00565514"/>
    <w:rsid w:val="00565567"/>
    <w:rsid w:val="005658D3"/>
    <w:rsid w:val="00565A55"/>
    <w:rsid w:val="00566000"/>
    <w:rsid w:val="00566845"/>
    <w:rsid w:val="00567EF7"/>
    <w:rsid w:val="0057034F"/>
    <w:rsid w:val="005704AC"/>
    <w:rsid w:val="00570584"/>
    <w:rsid w:val="005712D6"/>
    <w:rsid w:val="00571812"/>
    <w:rsid w:val="00571DCD"/>
    <w:rsid w:val="0057218C"/>
    <w:rsid w:val="00572C81"/>
    <w:rsid w:val="00572E70"/>
    <w:rsid w:val="00573369"/>
    <w:rsid w:val="005735D0"/>
    <w:rsid w:val="00573C20"/>
    <w:rsid w:val="0057418A"/>
    <w:rsid w:val="00574923"/>
    <w:rsid w:val="00574D59"/>
    <w:rsid w:val="00574E6D"/>
    <w:rsid w:val="00575302"/>
    <w:rsid w:val="005759DD"/>
    <w:rsid w:val="00575C24"/>
    <w:rsid w:val="00576226"/>
    <w:rsid w:val="005762EA"/>
    <w:rsid w:val="005767AE"/>
    <w:rsid w:val="00576F1E"/>
    <w:rsid w:val="00580390"/>
    <w:rsid w:val="00580A72"/>
    <w:rsid w:val="00580B47"/>
    <w:rsid w:val="00580E2B"/>
    <w:rsid w:val="005817B2"/>
    <w:rsid w:val="005819F7"/>
    <w:rsid w:val="00581C35"/>
    <w:rsid w:val="005824C6"/>
    <w:rsid w:val="00582674"/>
    <w:rsid w:val="0058271E"/>
    <w:rsid w:val="0058283F"/>
    <w:rsid w:val="0058312A"/>
    <w:rsid w:val="00583930"/>
    <w:rsid w:val="00583BFE"/>
    <w:rsid w:val="00583D8A"/>
    <w:rsid w:val="005840EF"/>
    <w:rsid w:val="005845A3"/>
    <w:rsid w:val="005848F8"/>
    <w:rsid w:val="00584E2F"/>
    <w:rsid w:val="00585151"/>
    <w:rsid w:val="0058525B"/>
    <w:rsid w:val="00585B3C"/>
    <w:rsid w:val="00585C03"/>
    <w:rsid w:val="00585CB6"/>
    <w:rsid w:val="0058619F"/>
    <w:rsid w:val="00586637"/>
    <w:rsid w:val="005868DC"/>
    <w:rsid w:val="005873E8"/>
    <w:rsid w:val="00587C46"/>
    <w:rsid w:val="00587F56"/>
    <w:rsid w:val="00587FD9"/>
    <w:rsid w:val="005908B9"/>
    <w:rsid w:val="00591265"/>
    <w:rsid w:val="00591283"/>
    <w:rsid w:val="005915A4"/>
    <w:rsid w:val="005924D3"/>
    <w:rsid w:val="005924F1"/>
    <w:rsid w:val="005925E3"/>
    <w:rsid w:val="00592E3B"/>
    <w:rsid w:val="0059304D"/>
    <w:rsid w:val="00593059"/>
    <w:rsid w:val="00593314"/>
    <w:rsid w:val="005933AE"/>
    <w:rsid w:val="00595156"/>
    <w:rsid w:val="005957B9"/>
    <w:rsid w:val="005959DB"/>
    <w:rsid w:val="00596832"/>
    <w:rsid w:val="00596CCB"/>
    <w:rsid w:val="00596DB6"/>
    <w:rsid w:val="005973C3"/>
    <w:rsid w:val="00597753"/>
    <w:rsid w:val="005977BB"/>
    <w:rsid w:val="00597E6F"/>
    <w:rsid w:val="005A0203"/>
    <w:rsid w:val="005A052F"/>
    <w:rsid w:val="005A0EFC"/>
    <w:rsid w:val="005A1018"/>
    <w:rsid w:val="005A1099"/>
    <w:rsid w:val="005A12EF"/>
    <w:rsid w:val="005A1980"/>
    <w:rsid w:val="005A1A26"/>
    <w:rsid w:val="005A1DAB"/>
    <w:rsid w:val="005A1F74"/>
    <w:rsid w:val="005A22F7"/>
    <w:rsid w:val="005A2593"/>
    <w:rsid w:val="005A3196"/>
    <w:rsid w:val="005A31FB"/>
    <w:rsid w:val="005A339E"/>
    <w:rsid w:val="005A3561"/>
    <w:rsid w:val="005A3757"/>
    <w:rsid w:val="005A3FD0"/>
    <w:rsid w:val="005A408B"/>
    <w:rsid w:val="005A4B38"/>
    <w:rsid w:val="005A4CE3"/>
    <w:rsid w:val="005A566A"/>
    <w:rsid w:val="005A61CD"/>
    <w:rsid w:val="005A6F80"/>
    <w:rsid w:val="005A7215"/>
    <w:rsid w:val="005A726F"/>
    <w:rsid w:val="005A7601"/>
    <w:rsid w:val="005A782E"/>
    <w:rsid w:val="005A793B"/>
    <w:rsid w:val="005A7949"/>
    <w:rsid w:val="005A79AE"/>
    <w:rsid w:val="005B081D"/>
    <w:rsid w:val="005B1142"/>
    <w:rsid w:val="005B1546"/>
    <w:rsid w:val="005B1E57"/>
    <w:rsid w:val="005B2054"/>
    <w:rsid w:val="005B2607"/>
    <w:rsid w:val="005B26FD"/>
    <w:rsid w:val="005B429E"/>
    <w:rsid w:val="005B44D0"/>
    <w:rsid w:val="005B4C55"/>
    <w:rsid w:val="005B4CD8"/>
    <w:rsid w:val="005B5B11"/>
    <w:rsid w:val="005B5C20"/>
    <w:rsid w:val="005B60BD"/>
    <w:rsid w:val="005B6837"/>
    <w:rsid w:val="005B730E"/>
    <w:rsid w:val="005B7879"/>
    <w:rsid w:val="005B78D4"/>
    <w:rsid w:val="005C00A0"/>
    <w:rsid w:val="005C0607"/>
    <w:rsid w:val="005C0A76"/>
    <w:rsid w:val="005C0F51"/>
    <w:rsid w:val="005C11E6"/>
    <w:rsid w:val="005C1F3B"/>
    <w:rsid w:val="005C208C"/>
    <w:rsid w:val="005C2E67"/>
    <w:rsid w:val="005C35ED"/>
    <w:rsid w:val="005C35FA"/>
    <w:rsid w:val="005C3AA3"/>
    <w:rsid w:val="005C4049"/>
    <w:rsid w:val="005C48FB"/>
    <w:rsid w:val="005C4D24"/>
    <w:rsid w:val="005C4DD7"/>
    <w:rsid w:val="005C539A"/>
    <w:rsid w:val="005C5C1B"/>
    <w:rsid w:val="005C65C6"/>
    <w:rsid w:val="005C688B"/>
    <w:rsid w:val="005C75CC"/>
    <w:rsid w:val="005C778A"/>
    <w:rsid w:val="005C794A"/>
    <w:rsid w:val="005C7B1F"/>
    <w:rsid w:val="005D03DC"/>
    <w:rsid w:val="005D04B6"/>
    <w:rsid w:val="005D107D"/>
    <w:rsid w:val="005D12BF"/>
    <w:rsid w:val="005D14E9"/>
    <w:rsid w:val="005D1B75"/>
    <w:rsid w:val="005D1C71"/>
    <w:rsid w:val="005D21A6"/>
    <w:rsid w:val="005D24F9"/>
    <w:rsid w:val="005D2888"/>
    <w:rsid w:val="005D29D5"/>
    <w:rsid w:val="005D3109"/>
    <w:rsid w:val="005D3E97"/>
    <w:rsid w:val="005D4095"/>
    <w:rsid w:val="005D4641"/>
    <w:rsid w:val="005D49FF"/>
    <w:rsid w:val="005D4D0A"/>
    <w:rsid w:val="005D5695"/>
    <w:rsid w:val="005D63D6"/>
    <w:rsid w:val="005D7ED3"/>
    <w:rsid w:val="005D7FAA"/>
    <w:rsid w:val="005E0862"/>
    <w:rsid w:val="005E0CC0"/>
    <w:rsid w:val="005E1375"/>
    <w:rsid w:val="005E147F"/>
    <w:rsid w:val="005E1CEB"/>
    <w:rsid w:val="005E2A30"/>
    <w:rsid w:val="005E2FF1"/>
    <w:rsid w:val="005E3850"/>
    <w:rsid w:val="005E3DEF"/>
    <w:rsid w:val="005E4E79"/>
    <w:rsid w:val="005E4E97"/>
    <w:rsid w:val="005E5C65"/>
    <w:rsid w:val="005E5DFA"/>
    <w:rsid w:val="005E682E"/>
    <w:rsid w:val="005E6F86"/>
    <w:rsid w:val="005E7479"/>
    <w:rsid w:val="005E75A1"/>
    <w:rsid w:val="005E7892"/>
    <w:rsid w:val="005E7A45"/>
    <w:rsid w:val="005E7E04"/>
    <w:rsid w:val="005F0219"/>
    <w:rsid w:val="005F0245"/>
    <w:rsid w:val="005F04ED"/>
    <w:rsid w:val="005F0652"/>
    <w:rsid w:val="005F07BE"/>
    <w:rsid w:val="005F0AF1"/>
    <w:rsid w:val="005F0FCE"/>
    <w:rsid w:val="005F1146"/>
    <w:rsid w:val="005F17F5"/>
    <w:rsid w:val="005F3411"/>
    <w:rsid w:val="005F3CEA"/>
    <w:rsid w:val="005F4914"/>
    <w:rsid w:val="005F4A97"/>
    <w:rsid w:val="005F4E44"/>
    <w:rsid w:val="005F4E85"/>
    <w:rsid w:val="005F546F"/>
    <w:rsid w:val="005F5479"/>
    <w:rsid w:val="005F5B32"/>
    <w:rsid w:val="005F66DC"/>
    <w:rsid w:val="005F6868"/>
    <w:rsid w:val="005F6E3E"/>
    <w:rsid w:val="005F731B"/>
    <w:rsid w:val="006002D9"/>
    <w:rsid w:val="0060060D"/>
    <w:rsid w:val="00600773"/>
    <w:rsid w:val="00600911"/>
    <w:rsid w:val="00600C6B"/>
    <w:rsid w:val="00600CF0"/>
    <w:rsid w:val="00601200"/>
    <w:rsid w:val="006013FB"/>
    <w:rsid w:val="00601F1A"/>
    <w:rsid w:val="00602746"/>
    <w:rsid w:val="0060294C"/>
    <w:rsid w:val="00603073"/>
    <w:rsid w:val="00603128"/>
    <w:rsid w:val="006033B6"/>
    <w:rsid w:val="006036E2"/>
    <w:rsid w:val="006037C5"/>
    <w:rsid w:val="00603A9D"/>
    <w:rsid w:val="00603DC4"/>
    <w:rsid w:val="00604F87"/>
    <w:rsid w:val="006052B9"/>
    <w:rsid w:val="00605607"/>
    <w:rsid w:val="00605E4D"/>
    <w:rsid w:val="00606458"/>
    <w:rsid w:val="0060645F"/>
    <w:rsid w:val="00606CC5"/>
    <w:rsid w:val="00606F86"/>
    <w:rsid w:val="00607141"/>
    <w:rsid w:val="00607B23"/>
    <w:rsid w:val="00607E93"/>
    <w:rsid w:val="0061023E"/>
    <w:rsid w:val="0061061E"/>
    <w:rsid w:val="00610EB2"/>
    <w:rsid w:val="00611189"/>
    <w:rsid w:val="00611AD0"/>
    <w:rsid w:val="006125C5"/>
    <w:rsid w:val="0061278B"/>
    <w:rsid w:val="00613E2B"/>
    <w:rsid w:val="006144BB"/>
    <w:rsid w:val="00615CB3"/>
    <w:rsid w:val="00616900"/>
    <w:rsid w:val="00616ACC"/>
    <w:rsid w:val="00616B2A"/>
    <w:rsid w:val="006173B8"/>
    <w:rsid w:val="0061744E"/>
    <w:rsid w:val="0061799E"/>
    <w:rsid w:val="00617ABE"/>
    <w:rsid w:val="00617CDA"/>
    <w:rsid w:val="00620356"/>
    <w:rsid w:val="006204AA"/>
    <w:rsid w:val="006204D9"/>
    <w:rsid w:val="006205AD"/>
    <w:rsid w:val="00621129"/>
    <w:rsid w:val="00621323"/>
    <w:rsid w:val="00621934"/>
    <w:rsid w:val="00622007"/>
    <w:rsid w:val="00622D41"/>
    <w:rsid w:val="00623D94"/>
    <w:rsid w:val="00623F1D"/>
    <w:rsid w:val="00624D93"/>
    <w:rsid w:val="006254B1"/>
    <w:rsid w:val="00626034"/>
    <w:rsid w:val="00627058"/>
    <w:rsid w:val="00630007"/>
    <w:rsid w:val="006305AE"/>
    <w:rsid w:val="00630928"/>
    <w:rsid w:val="00630940"/>
    <w:rsid w:val="00630B6A"/>
    <w:rsid w:val="006312F7"/>
    <w:rsid w:val="0063144C"/>
    <w:rsid w:val="006320CB"/>
    <w:rsid w:val="00632656"/>
    <w:rsid w:val="00632CD4"/>
    <w:rsid w:val="00632EDC"/>
    <w:rsid w:val="00632F67"/>
    <w:rsid w:val="0063315B"/>
    <w:rsid w:val="00633602"/>
    <w:rsid w:val="006345ED"/>
    <w:rsid w:val="006345EE"/>
    <w:rsid w:val="00634903"/>
    <w:rsid w:val="00634D1D"/>
    <w:rsid w:val="00635040"/>
    <w:rsid w:val="0063559F"/>
    <w:rsid w:val="006356A0"/>
    <w:rsid w:val="00636403"/>
    <w:rsid w:val="00637324"/>
    <w:rsid w:val="00640005"/>
    <w:rsid w:val="0064043A"/>
    <w:rsid w:val="0064099A"/>
    <w:rsid w:val="00641758"/>
    <w:rsid w:val="00641DF1"/>
    <w:rsid w:val="00642146"/>
    <w:rsid w:val="0064243B"/>
    <w:rsid w:val="00642B83"/>
    <w:rsid w:val="0064341D"/>
    <w:rsid w:val="006450A9"/>
    <w:rsid w:val="00645164"/>
    <w:rsid w:val="006469A2"/>
    <w:rsid w:val="00646AB8"/>
    <w:rsid w:val="00646D0D"/>
    <w:rsid w:val="006471F9"/>
    <w:rsid w:val="0064782E"/>
    <w:rsid w:val="00650691"/>
    <w:rsid w:val="006507E9"/>
    <w:rsid w:val="00650822"/>
    <w:rsid w:val="00650A98"/>
    <w:rsid w:val="00651C2B"/>
    <w:rsid w:val="00652863"/>
    <w:rsid w:val="0065290E"/>
    <w:rsid w:val="00652921"/>
    <w:rsid w:val="006529EE"/>
    <w:rsid w:val="00653829"/>
    <w:rsid w:val="00653C4B"/>
    <w:rsid w:val="00653D6D"/>
    <w:rsid w:val="00654978"/>
    <w:rsid w:val="00654B18"/>
    <w:rsid w:val="006560A2"/>
    <w:rsid w:val="00656401"/>
    <w:rsid w:val="006565FB"/>
    <w:rsid w:val="00656957"/>
    <w:rsid w:val="00656989"/>
    <w:rsid w:val="00656C32"/>
    <w:rsid w:val="00656F93"/>
    <w:rsid w:val="006572C7"/>
    <w:rsid w:val="006578FA"/>
    <w:rsid w:val="0066025F"/>
    <w:rsid w:val="006603D4"/>
    <w:rsid w:val="0066047B"/>
    <w:rsid w:val="00660524"/>
    <w:rsid w:val="00660E13"/>
    <w:rsid w:val="0066141F"/>
    <w:rsid w:val="00661731"/>
    <w:rsid w:val="00661B9D"/>
    <w:rsid w:val="006626DD"/>
    <w:rsid w:val="00662B82"/>
    <w:rsid w:val="00662E8A"/>
    <w:rsid w:val="00662EF9"/>
    <w:rsid w:val="00663136"/>
    <w:rsid w:val="00663BB8"/>
    <w:rsid w:val="00663F9C"/>
    <w:rsid w:val="00664085"/>
    <w:rsid w:val="0066419D"/>
    <w:rsid w:val="0066434A"/>
    <w:rsid w:val="006655C3"/>
    <w:rsid w:val="006661AE"/>
    <w:rsid w:val="006661E7"/>
    <w:rsid w:val="00666401"/>
    <w:rsid w:val="006667CC"/>
    <w:rsid w:val="0066711D"/>
    <w:rsid w:val="006674AF"/>
    <w:rsid w:val="00667861"/>
    <w:rsid w:val="00667DED"/>
    <w:rsid w:val="00667EF3"/>
    <w:rsid w:val="00667FEE"/>
    <w:rsid w:val="006701A1"/>
    <w:rsid w:val="006707CC"/>
    <w:rsid w:val="00670B0B"/>
    <w:rsid w:val="00670BA3"/>
    <w:rsid w:val="00670CAA"/>
    <w:rsid w:val="00670E7B"/>
    <w:rsid w:val="00670ECD"/>
    <w:rsid w:val="006711C8"/>
    <w:rsid w:val="00671EB9"/>
    <w:rsid w:val="00672482"/>
    <w:rsid w:val="0067279A"/>
    <w:rsid w:val="00673913"/>
    <w:rsid w:val="00673BEE"/>
    <w:rsid w:val="006740EF"/>
    <w:rsid w:val="0067429C"/>
    <w:rsid w:val="006746D0"/>
    <w:rsid w:val="0067478F"/>
    <w:rsid w:val="00675115"/>
    <w:rsid w:val="00675FA0"/>
    <w:rsid w:val="00677520"/>
    <w:rsid w:val="006777A9"/>
    <w:rsid w:val="00677A56"/>
    <w:rsid w:val="00677B79"/>
    <w:rsid w:val="00677D36"/>
    <w:rsid w:val="00677FAC"/>
    <w:rsid w:val="00680770"/>
    <w:rsid w:val="00680A37"/>
    <w:rsid w:val="00680B1F"/>
    <w:rsid w:val="00680E20"/>
    <w:rsid w:val="00681CEB"/>
    <w:rsid w:val="00681D97"/>
    <w:rsid w:val="00681F24"/>
    <w:rsid w:val="006823A7"/>
    <w:rsid w:val="006826D6"/>
    <w:rsid w:val="00682EDE"/>
    <w:rsid w:val="00682F49"/>
    <w:rsid w:val="00683589"/>
    <w:rsid w:val="006838FF"/>
    <w:rsid w:val="0068398D"/>
    <w:rsid w:val="00683A64"/>
    <w:rsid w:val="006840C7"/>
    <w:rsid w:val="0068431E"/>
    <w:rsid w:val="0068441B"/>
    <w:rsid w:val="0068476F"/>
    <w:rsid w:val="00684C89"/>
    <w:rsid w:val="0068553C"/>
    <w:rsid w:val="00686F72"/>
    <w:rsid w:val="0068744E"/>
    <w:rsid w:val="00687644"/>
    <w:rsid w:val="00687A58"/>
    <w:rsid w:val="00687CF6"/>
    <w:rsid w:val="00687D00"/>
    <w:rsid w:val="0069098B"/>
    <w:rsid w:val="006914F0"/>
    <w:rsid w:val="00691625"/>
    <w:rsid w:val="00692606"/>
    <w:rsid w:val="0069302C"/>
    <w:rsid w:val="006930F8"/>
    <w:rsid w:val="00693912"/>
    <w:rsid w:val="00693BDB"/>
    <w:rsid w:val="006940D3"/>
    <w:rsid w:val="006940F0"/>
    <w:rsid w:val="00694113"/>
    <w:rsid w:val="006949CD"/>
    <w:rsid w:val="0069551F"/>
    <w:rsid w:val="006957DC"/>
    <w:rsid w:val="00695B1A"/>
    <w:rsid w:val="00695C9D"/>
    <w:rsid w:val="006966DF"/>
    <w:rsid w:val="00697D3C"/>
    <w:rsid w:val="006A0747"/>
    <w:rsid w:val="006A0F53"/>
    <w:rsid w:val="006A18E6"/>
    <w:rsid w:val="006A1DBF"/>
    <w:rsid w:val="006A29F8"/>
    <w:rsid w:val="006A3D1B"/>
    <w:rsid w:val="006A414B"/>
    <w:rsid w:val="006A4D96"/>
    <w:rsid w:val="006A55B0"/>
    <w:rsid w:val="006A6C1F"/>
    <w:rsid w:val="006A7226"/>
    <w:rsid w:val="006A77AB"/>
    <w:rsid w:val="006A7D09"/>
    <w:rsid w:val="006B0078"/>
    <w:rsid w:val="006B0723"/>
    <w:rsid w:val="006B0794"/>
    <w:rsid w:val="006B0B8C"/>
    <w:rsid w:val="006B14B4"/>
    <w:rsid w:val="006B1692"/>
    <w:rsid w:val="006B199B"/>
    <w:rsid w:val="006B1ACD"/>
    <w:rsid w:val="006B1B0F"/>
    <w:rsid w:val="006B1E28"/>
    <w:rsid w:val="006B25B8"/>
    <w:rsid w:val="006B2652"/>
    <w:rsid w:val="006B3E1A"/>
    <w:rsid w:val="006B3F37"/>
    <w:rsid w:val="006B490E"/>
    <w:rsid w:val="006B4EB7"/>
    <w:rsid w:val="006B51B9"/>
    <w:rsid w:val="006B75B6"/>
    <w:rsid w:val="006B7772"/>
    <w:rsid w:val="006B7B40"/>
    <w:rsid w:val="006C0484"/>
    <w:rsid w:val="006C05A9"/>
    <w:rsid w:val="006C0734"/>
    <w:rsid w:val="006C1643"/>
    <w:rsid w:val="006C178D"/>
    <w:rsid w:val="006C179E"/>
    <w:rsid w:val="006C183B"/>
    <w:rsid w:val="006C1850"/>
    <w:rsid w:val="006C3887"/>
    <w:rsid w:val="006C3AB5"/>
    <w:rsid w:val="006C562C"/>
    <w:rsid w:val="006C61A8"/>
    <w:rsid w:val="006C65A0"/>
    <w:rsid w:val="006C690B"/>
    <w:rsid w:val="006C6934"/>
    <w:rsid w:val="006C6E7A"/>
    <w:rsid w:val="006C6E9F"/>
    <w:rsid w:val="006C76C7"/>
    <w:rsid w:val="006C7EC3"/>
    <w:rsid w:val="006D0603"/>
    <w:rsid w:val="006D0793"/>
    <w:rsid w:val="006D0F97"/>
    <w:rsid w:val="006D1A08"/>
    <w:rsid w:val="006D1FBD"/>
    <w:rsid w:val="006D2AB1"/>
    <w:rsid w:val="006D2DE5"/>
    <w:rsid w:val="006D2EBB"/>
    <w:rsid w:val="006D348B"/>
    <w:rsid w:val="006D3522"/>
    <w:rsid w:val="006D3530"/>
    <w:rsid w:val="006D3751"/>
    <w:rsid w:val="006D3870"/>
    <w:rsid w:val="006D4415"/>
    <w:rsid w:val="006D47F4"/>
    <w:rsid w:val="006D5683"/>
    <w:rsid w:val="006D60C9"/>
    <w:rsid w:val="006D7B59"/>
    <w:rsid w:val="006D7EAC"/>
    <w:rsid w:val="006E046B"/>
    <w:rsid w:val="006E0E44"/>
    <w:rsid w:val="006E17E8"/>
    <w:rsid w:val="006E1A47"/>
    <w:rsid w:val="006E2B76"/>
    <w:rsid w:val="006E37B2"/>
    <w:rsid w:val="006E3F38"/>
    <w:rsid w:val="006E54D2"/>
    <w:rsid w:val="006E566E"/>
    <w:rsid w:val="006E630E"/>
    <w:rsid w:val="006E6B34"/>
    <w:rsid w:val="006E737E"/>
    <w:rsid w:val="006E7887"/>
    <w:rsid w:val="006E7CBD"/>
    <w:rsid w:val="006F003B"/>
    <w:rsid w:val="006F0301"/>
    <w:rsid w:val="006F15A9"/>
    <w:rsid w:val="006F212D"/>
    <w:rsid w:val="006F27E3"/>
    <w:rsid w:val="006F28FB"/>
    <w:rsid w:val="006F316D"/>
    <w:rsid w:val="006F39CD"/>
    <w:rsid w:val="006F3DAA"/>
    <w:rsid w:val="006F3E1E"/>
    <w:rsid w:val="006F50BC"/>
    <w:rsid w:val="006F5642"/>
    <w:rsid w:val="006F63EF"/>
    <w:rsid w:val="006F647C"/>
    <w:rsid w:val="006F6796"/>
    <w:rsid w:val="006F6DAF"/>
    <w:rsid w:val="006F7DDF"/>
    <w:rsid w:val="00700123"/>
    <w:rsid w:val="007003B9"/>
    <w:rsid w:val="007004A0"/>
    <w:rsid w:val="007004CE"/>
    <w:rsid w:val="00700D03"/>
    <w:rsid w:val="0070109F"/>
    <w:rsid w:val="00701447"/>
    <w:rsid w:val="007016D3"/>
    <w:rsid w:val="007017DE"/>
    <w:rsid w:val="00701979"/>
    <w:rsid w:val="00701F65"/>
    <w:rsid w:val="007021DE"/>
    <w:rsid w:val="007023A5"/>
    <w:rsid w:val="00702F78"/>
    <w:rsid w:val="00702F7F"/>
    <w:rsid w:val="00703334"/>
    <w:rsid w:val="00703623"/>
    <w:rsid w:val="007037BE"/>
    <w:rsid w:val="00703C9A"/>
    <w:rsid w:val="00703E2E"/>
    <w:rsid w:val="00703FAC"/>
    <w:rsid w:val="00704583"/>
    <w:rsid w:val="00704A0E"/>
    <w:rsid w:val="00705495"/>
    <w:rsid w:val="007055DE"/>
    <w:rsid w:val="007056E8"/>
    <w:rsid w:val="0070698D"/>
    <w:rsid w:val="00706A57"/>
    <w:rsid w:val="00706F45"/>
    <w:rsid w:val="00706FCE"/>
    <w:rsid w:val="00707892"/>
    <w:rsid w:val="007103E2"/>
    <w:rsid w:val="007104DD"/>
    <w:rsid w:val="00710889"/>
    <w:rsid w:val="00710B4F"/>
    <w:rsid w:val="00711196"/>
    <w:rsid w:val="00711B3F"/>
    <w:rsid w:val="007121B4"/>
    <w:rsid w:val="007125D5"/>
    <w:rsid w:val="00712886"/>
    <w:rsid w:val="00712D7E"/>
    <w:rsid w:val="007132A9"/>
    <w:rsid w:val="0071424A"/>
    <w:rsid w:val="00714306"/>
    <w:rsid w:val="007150D4"/>
    <w:rsid w:val="00716ECD"/>
    <w:rsid w:val="00717844"/>
    <w:rsid w:val="0071786A"/>
    <w:rsid w:val="00717B75"/>
    <w:rsid w:val="00717ECB"/>
    <w:rsid w:val="00717FE8"/>
    <w:rsid w:val="00720220"/>
    <w:rsid w:val="007203E3"/>
    <w:rsid w:val="00720C72"/>
    <w:rsid w:val="00721056"/>
    <w:rsid w:val="007213E4"/>
    <w:rsid w:val="0072163E"/>
    <w:rsid w:val="00721B12"/>
    <w:rsid w:val="00722F50"/>
    <w:rsid w:val="007239F9"/>
    <w:rsid w:val="00723F70"/>
    <w:rsid w:val="0072492D"/>
    <w:rsid w:val="00724F6C"/>
    <w:rsid w:val="0072578A"/>
    <w:rsid w:val="0072662E"/>
    <w:rsid w:val="00726866"/>
    <w:rsid w:val="00726CC5"/>
    <w:rsid w:val="00726F7A"/>
    <w:rsid w:val="0072750D"/>
    <w:rsid w:val="00730355"/>
    <w:rsid w:val="0073158E"/>
    <w:rsid w:val="00731690"/>
    <w:rsid w:val="0073172A"/>
    <w:rsid w:val="00731C19"/>
    <w:rsid w:val="007322D1"/>
    <w:rsid w:val="00732705"/>
    <w:rsid w:val="00732773"/>
    <w:rsid w:val="00732EBC"/>
    <w:rsid w:val="00733465"/>
    <w:rsid w:val="00733672"/>
    <w:rsid w:val="0073379C"/>
    <w:rsid w:val="00733A82"/>
    <w:rsid w:val="00733E3B"/>
    <w:rsid w:val="00733FFC"/>
    <w:rsid w:val="00734118"/>
    <w:rsid w:val="0073414D"/>
    <w:rsid w:val="00734289"/>
    <w:rsid w:val="007345C7"/>
    <w:rsid w:val="00735046"/>
    <w:rsid w:val="00735263"/>
    <w:rsid w:val="00735626"/>
    <w:rsid w:val="00735C2D"/>
    <w:rsid w:val="00736733"/>
    <w:rsid w:val="00736D4A"/>
    <w:rsid w:val="007371A6"/>
    <w:rsid w:val="00737264"/>
    <w:rsid w:val="00737308"/>
    <w:rsid w:val="00737BA6"/>
    <w:rsid w:val="0074090A"/>
    <w:rsid w:val="007409B2"/>
    <w:rsid w:val="00740DDE"/>
    <w:rsid w:val="00740FB1"/>
    <w:rsid w:val="00741510"/>
    <w:rsid w:val="00742058"/>
    <w:rsid w:val="007435B1"/>
    <w:rsid w:val="00743ADC"/>
    <w:rsid w:val="00744416"/>
    <w:rsid w:val="00744493"/>
    <w:rsid w:val="007445DD"/>
    <w:rsid w:val="00744C97"/>
    <w:rsid w:val="007456EB"/>
    <w:rsid w:val="00745A19"/>
    <w:rsid w:val="007462EC"/>
    <w:rsid w:val="00746589"/>
    <w:rsid w:val="0074663B"/>
    <w:rsid w:val="007500E5"/>
    <w:rsid w:val="0075090A"/>
    <w:rsid w:val="00750B94"/>
    <w:rsid w:val="00750F63"/>
    <w:rsid w:val="00751195"/>
    <w:rsid w:val="007522AF"/>
    <w:rsid w:val="00752BA2"/>
    <w:rsid w:val="007533C9"/>
    <w:rsid w:val="007539CB"/>
    <w:rsid w:val="0075437B"/>
    <w:rsid w:val="007544A9"/>
    <w:rsid w:val="007549F4"/>
    <w:rsid w:val="00755D9A"/>
    <w:rsid w:val="0075645F"/>
    <w:rsid w:val="007564C4"/>
    <w:rsid w:val="00756B31"/>
    <w:rsid w:val="00757425"/>
    <w:rsid w:val="00757A66"/>
    <w:rsid w:val="007605E5"/>
    <w:rsid w:val="007615F8"/>
    <w:rsid w:val="00761AC8"/>
    <w:rsid w:val="0076206F"/>
    <w:rsid w:val="00762CF0"/>
    <w:rsid w:val="007632E0"/>
    <w:rsid w:val="0076362F"/>
    <w:rsid w:val="00763C1F"/>
    <w:rsid w:val="00763DE9"/>
    <w:rsid w:val="00764453"/>
    <w:rsid w:val="00764801"/>
    <w:rsid w:val="00764C4A"/>
    <w:rsid w:val="0076515D"/>
    <w:rsid w:val="007655FA"/>
    <w:rsid w:val="007658E5"/>
    <w:rsid w:val="00765AA7"/>
    <w:rsid w:val="00766DC3"/>
    <w:rsid w:val="007679EB"/>
    <w:rsid w:val="00770D94"/>
    <w:rsid w:val="00771631"/>
    <w:rsid w:val="00771A6B"/>
    <w:rsid w:val="00771F9B"/>
    <w:rsid w:val="0077261D"/>
    <w:rsid w:val="0077271B"/>
    <w:rsid w:val="00772ADE"/>
    <w:rsid w:val="0077338B"/>
    <w:rsid w:val="00773552"/>
    <w:rsid w:val="007755CC"/>
    <w:rsid w:val="007755CD"/>
    <w:rsid w:val="00775E74"/>
    <w:rsid w:val="00775F75"/>
    <w:rsid w:val="007761E1"/>
    <w:rsid w:val="007762CD"/>
    <w:rsid w:val="0077650F"/>
    <w:rsid w:val="00777290"/>
    <w:rsid w:val="007777F7"/>
    <w:rsid w:val="00777920"/>
    <w:rsid w:val="00780273"/>
    <w:rsid w:val="00780956"/>
    <w:rsid w:val="0078233F"/>
    <w:rsid w:val="00782630"/>
    <w:rsid w:val="00782D8F"/>
    <w:rsid w:val="00782F00"/>
    <w:rsid w:val="00782FC5"/>
    <w:rsid w:val="0078357E"/>
    <w:rsid w:val="0078385A"/>
    <w:rsid w:val="007839E7"/>
    <w:rsid w:val="007841FF"/>
    <w:rsid w:val="007846C1"/>
    <w:rsid w:val="00784CBB"/>
    <w:rsid w:val="00785009"/>
    <w:rsid w:val="00785621"/>
    <w:rsid w:val="00785E26"/>
    <w:rsid w:val="00785EFF"/>
    <w:rsid w:val="007864E5"/>
    <w:rsid w:val="00786824"/>
    <w:rsid w:val="0078724C"/>
    <w:rsid w:val="00787C9D"/>
    <w:rsid w:val="007906CA"/>
    <w:rsid w:val="007910B0"/>
    <w:rsid w:val="00791503"/>
    <w:rsid w:val="0079220D"/>
    <w:rsid w:val="00792A53"/>
    <w:rsid w:val="007934D4"/>
    <w:rsid w:val="0079374C"/>
    <w:rsid w:val="007938D1"/>
    <w:rsid w:val="007939BD"/>
    <w:rsid w:val="00793C16"/>
    <w:rsid w:val="00793F4D"/>
    <w:rsid w:val="00793FBD"/>
    <w:rsid w:val="00795610"/>
    <w:rsid w:val="00795792"/>
    <w:rsid w:val="00796016"/>
    <w:rsid w:val="00796287"/>
    <w:rsid w:val="00796366"/>
    <w:rsid w:val="00796AC3"/>
    <w:rsid w:val="00796C5E"/>
    <w:rsid w:val="0079775B"/>
    <w:rsid w:val="007A0692"/>
    <w:rsid w:val="007A0B62"/>
    <w:rsid w:val="007A0C5A"/>
    <w:rsid w:val="007A11B0"/>
    <w:rsid w:val="007A1236"/>
    <w:rsid w:val="007A1266"/>
    <w:rsid w:val="007A1D32"/>
    <w:rsid w:val="007A2091"/>
    <w:rsid w:val="007A21A0"/>
    <w:rsid w:val="007A22B8"/>
    <w:rsid w:val="007A25B2"/>
    <w:rsid w:val="007A2A69"/>
    <w:rsid w:val="007A2A6F"/>
    <w:rsid w:val="007A39D3"/>
    <w:rsid w:val="007A3BDD"/>
    <w:rsid w:val="007A3E20"/>
    <w:rsid w:val="007A3E4D"/>
    <w:rsid w:val="007A4506"/>
    <w:rsid w:val="007A538A"/>
    <w:rsid w:val="007A57AE"/>
    <w:rsid w:val="007A5E8D"/>
    <w:rsid w:val="007A6C21"/>
    <w:rsid w:val="007A6E20"/>
    <w:rsid w:val="007A73DA"/>
    <w:rsid w:val="007A74B2"/>
    <w:rsid w:val="007B07C4"/>
    <w:rsid w:val="007B0B94"/>
    <w:rsid w:val="007B11EC"/>
    <w:rsid w:val="007B17A6"/>
    <w:rsid w:val="007B1F57"/>
    <w:rsid w:val="007B3D31"/>
    <w:rsid w:val="007B4597"/>
    <w:rsid w:val="007B47A0"/>
    <w:rsid w:val="007B5174"/>
    <w:rsid w:val="007B52EC"/>
    <w:rsid w:val="007B5336"/>
    <w:rsid w:val="007B55BA"/>
    <w:rsid w:val="007B55C5"/>
    <w:rsid w:val="007B57D2"/>
    <w:rsid w:val="007B5E43"/>
    <w:rsid w:val="007B6A17"/>
    <w:rsid w:val="007B70FB"/>
    <w:rsid w:val="007B74DB"/>
    <w:rsid w:val="007C0482"/>
    <w:rsid w:val="007C0832"/>
    <w:rsid w:val="007C123C"/>
    <w:rsid w:val="007C1DC9"/>
    <w:rsid w:val="007C20FE"/>
    <w:rsid w:val="007C2678"/>
    <w:rsid w:val="007C274B"/>
    <w:rsid w:val="007C298F"/>
    <w:rsid w:val="007C2C41"/>
    <w:rsid w:val="007C2FF2"/>
    <w:rsid w:val="007C3435"/>
    <w:rsid w:val="007C376A"/>
    <w:rsid w:val="007C3888"/>
    <w:rsid w:val="007C3E04"/>
    <w:rsid w:val="007C456F"/>
    <w:rsid w:val="007C4A77"/>
    <w:rsid w:val="007C53A3"/>
    <w:rsid w:val="007C54E9"/>
    <w:rsid w:val="007C55BE"/>
    <w:rsid w:val="007C5AB5"/>
    <w:rsid w:val="007C7119"/>
    <w:rsid w:val="007C766F"/>
    <w:rsid w:val="007C7AD6"/>
    <w:rsid w:val="007C7C59"/>
    <w:rsid w:val="007C7DC7"/>
    <w:rsid w:val="007D1E09"/>
    <w:rsid w:val="007D35A0"/>
    <w:rsid w:val="007D40F5"/>
    <w:rsid w:val="007D46D8"/>
    <w:rsid w:val="007D4892"/>
    <w:rsid w:val="007D48E9"/>
    <w:rsid w:val="007D532C"/>
    <w:rsid w:val="007D53CB"/>
    <w:rsid w:val="007D5857"/>
    <w:rsid w:val="007D5E14"/>
    <w:rsid w:val="007D6F86"/>
    <w:rsid w:val="007D72EB"/>
    <w:rsid w:val="007D7CD6"/>
    <w:rsid w:val="007E0F8F"/>
    <w:rsid w:val="007E14A4"/>
    <w:rsid w:val="007E1C37"/>
    <w:rsid w:val="007E28AE"/>
    <w:rsid w:val="007E2F83"/>
    <w:rsid w:val="007E317C"/>
    <w:rsid w:val="007E3562"/>
    <w:rsid w:val="007E3E82"/>
    <w:rsid w:val="007E44F9"/>
    <w:rsid w:val="007E5E79"/>
    <w:rsid w:val="007E5ED9"/>
    <w:rsid w:val="007E5EDC"/>
    <w:rsid w:val="007E60AD"/>
    <w:rsid w:val="007E6646"/>
    <w:rsid w:val="007E6C51"/>
    <w:rsid w:val="007E6E28"/>
    <w:rsid w:val="007E7232"/>
    <w:rsid w:val="007E72AB"/>
    <w:rsid w:val="007E7891"/>
    <w:rsid w:val="007E7AE4"/>
    <w:rsid w:val="007E7B16"/>
    <w:rsid w:val="007F0378"/>
    <w:rsid w:val="007F0684"/>
    <w:rsid w:val="007F06B6"/>
    <w:rsid w:val="007F06E8"/>
    <w:rsid w:val="007F0AF8"/>
    <w:rsid w:val="007F137F"/>
    <w:rsid w:val="007F1391"/>
    <w:rsid w:val="007F219A"/>
    <w:rsid w:val="007F385C"/>
    <w:rsid w:val="007F3F16"/>
    <w:rsid w:val="007F404A"/>
    <w:rsid w:val="007F4981"/>
    <w:rsid w:val="007F4D3F"/>
    <w:rsid w:val="007F4D49"/>
    <w:rsid w:val="007F58A3"/>
    <w:rsid w:val="007F59DB"/>
    <w:rsid w:val="007F65DB"/>
    <w:rsid w:val="007F6761"/>
    <w:rsid w:val="007F6BC4"/>
    <w:rsid w:val="007F70D4"/>
    <w:rsid w:val="007F76B6"/>
    <w:rsid w:val="007F79BE"/>
    <w:rsid w:val="0080009A"/>
    <w:rsid w:val="00800120"/>
    <w:rsid w:val="008001B8"/>
    <w:rsid w:val="00800599"/>
    <w:rsid w:val="0080073F"/>
    <w:rsid w:val="008011BE"/>
    <w:rsid w:val="0080143D"/>
    <w:rsid w:val="00801CB1"/>
    <w:rsid w:val="00802515"/>
    <w:rsid w:val="00802AA7"/>
    <w:rsid w:val="00802B6F"/>
    <w:rsid w:val="00802C08"/>
    <w:rsid w:val="00802C7C"/>
    <w:rsid w:val="00803108"/>
    <w:rsid w:val="008039D0"/>
    <w:rsid w:val="00803ACE"/>
    <w:rsid w:val="00803EB7"/>
    <w:rsid w:val="008040BB"/>
    <w:rsid w:val="008041C2"/>
    <w:rsid w:val="008046E2"/>
    <w:rsid w:val="008054B3"/>
    <w:rsid w:val="00805B99"/>
    <w:rsid w:val="00806E9B"/>
    <w:rsid w:val="00807090"/>
    <w:rsid w:val="0080733C"/>
    <w:rsid w:val="00807926"/>
    <w:rsid w:val="00807A15"/>
    <w:rsid w:val="00807A2C"/>
    <w:rsid w:val="00807AB5"/>
    <w:rsid w:val="00807EEA"/>
    <w:rsid w:val="008100A2"/>
    <w:rsid w:val="008107F5"/>
    <w:rsid w:val="00810E30"/>
    <w:rsid w:val="00810ED7"/>
    <w:rsid w:val="00813871"/>
    <w:rsid w:val="008138D8"/>
    <w:rsid w:val="00813AEB"/>
    <w:rsid w:val="00814AB2"/>
    <w:rsid w:val="00814CAD"/>
    <w:rsid w:val="00815424"/>
    <w:rsid w:val="0081587D"/>
    <w:rsid w:val="00815AF2"/>
    <w:rsid w:val="00816320"/>
    <w:rsid w:val="008163C7"/>
    <w:rsid w:val="008171B1"/>
    <w:rsid w:val="00817D96"/>
    <w:rsid w:val="00817F9A"/>
    <w:rsid w:val="00820CCC"/>
    <w:rsid w:val="008227FA"/>
    <w:rsid w:val="008229A2"/>
    <w:rsid w:val="00823667"/>
    <w:rsid w:val="00823C3A"/>
    <w:rsid w:val="0082443D"/>
    <w:rsid w:val="008246FE"/>
    <w:rsid w:val="00824792"/>
    <w:rsid w:val="00824A9E"/>
    <w:rsid w:val="00825EA0"/>
    <w:rsid w:val="00825F58"/>
    <w:rsid w:val="008268CF"/>
    <w:rsid w:val="00826F8E"/>
    <w:rsid w:val="008270EE"/>
    <w:rsid w:val="00827497"/>
    <w:rsid w:val="00827D53"/>
    <w:rsid w:val="0083026B"/>
    <w:rsid w:val="00830995"/>
    <w:rsid w:val="00831472"/>
    <w:rsid w:val="00831612"/>
    <w:rsid w:val="00831789"/>
    <w:rsid w:val="00831EC1"/>
    <w:rsid w:val="00832696"/>
    <w:rsid w:val="008326A2"/>
    <w:rsid w:val="00832832"/>
    <w:rsid w:val="008329FF"/>
    <w:rsid w:val="00832AFF"/>
    <w:rsid w:val="00832ECB"/>
    <w:rsid w:val="00833526"/>
    <w:rsid w:val="008340EC"/>
    <w:rsid w:val="00834ACC"/>
    <w:rsid w:val="00834B47"/>
    <w:rsid w:val="00835459"/>
    <w:rsid w:val="00835609"/>
    <w:rsid w:val="00835DF4"/>
    <w:rsid w:val="0083659E"/>
    <w:rsid w:val="008365C4"/>
    <w:rsid w:val="00836D76"/>
    <w:rsid w:val="00837C41"/>
    <w:rsid w:val="00837C92"/>
    <w:rsid w:val="00837F0F"/>
    <w:rsid w:val="008416E5"/>
    <w:rsid w:val="0084210C"/>
    <w:rsid w:val="00842AD4"/>
    <w:rsid w:val="00842BBA"/>
    <w:rsid w:val="00842D41"/>
    <w:rsid w:val="00843029"/>
    <w:rsid w:val="008430CB"/>
    <w:rsid w:val="00843420"/>
    <w:rsid w:val="00843B5D"/>
    <w:rsid w:val="0084410A"/>
    <w:rsid w:val="008447C7"/>
    <w:rsid w:val="008447D4"/>
    <w:rsid w:val="00844FEB"/>
    <w:rsid w:val="0084506C"/>
    <w:rsid w:val="008454BD"/>
    <w:rsid w:val="0084562F"/>
    <w:rsid w:val="0084581C"/>
    <w:rsid w:val="00845BE7"/>
    <w:rsid w:val="008462BA"/>
    <w:rsid w:val="008463F3"/>
    <w:rsid w:val="00846D76"/>
    <w:rsid w:val="008471B2"/>
    <w:rsid w:val="0085005F"/>
    <w:rsid w:val="0085062F"/>
    <w:rsid w:val="00851307"/>
    <w:rsid w:val="008515B1"/>
    <w:rsid w:val="00851789"/>
    <w:rsid w:val="00851F92"/>
    <w:rsid w:val="00852508"/>
    <w:rsid w:val="00852E5B"/>
    <w:rsid w:val="00853498"/>
    <w:rsid w:val="00853677"/>
    <w:rsid w:val="008537EC"/>
    <w:rsid w:val="00853ACD"/>
    <w:rsid w:val="00853ACF"/>
    <w:rsid w:val="00853F1F"/>
    <w:rsid w:val="008544D3"/>
    <w:rsid w:val="00855143"/>
    <w:rsid w:val="008551EE"/>
    <w:rsid w:val="008558A1"/>
    <w:rsid w:val="0085642F"/>
    <w:rsid w:val="0085649E"/>
    <w:rsid w:val="008572D7"/>
    <w:rsid w:val="008573AF"/>
    <w:rsid w:val="00857645"/>
    <w:rsid w:val="00857D80"/>
    <w:rsid w:val="008602FC"/>
    <w:rsid w:val="008606F1"/>
    <w:rsid w:val="00860989"/>
    <w:rsid w:val="00860CF9"/>
    <w:rsid w:val="00861BF1"/>
    <w:rsid w:val="008622D3"/>
    <w:rsid w:val="0086268A"/>
    <w:rsid w:val="008628BF"/>
    <w:rsid w:val="008639A2"/>
    <w:rsid w:val="00863BBB"/>
    <w:rsid w:val="0086401E"/>
    <w:rsid w:val="008640FD"/>
    <w:rsid w:val="0086426C"/>
    <w:rsid w:val="0086445F"/>
    <w:rsid w:val="008646E1"/>
    <w:rsid w:val="0086564F"/>
    <w:rsid w:val="00865681"/>
    <w:rsid w:val="00866618"/>
    <w:rsid w:val="00866832"/>
    <w:rsid w:val="00866858"/>
    <w:rsid w:val="00866DF4"/>
    <w:rsid w:val="00867B6B"/>
    <w:rsid w:val="00870AFC"/>
    <w:rsid w:val="00870AFD"/>
    <w:rsid w:val="00871452"/>
    <w:rsid w:val="008715CC"/>
    <w:rsid w:val="00872589"/>
    <w:rsid w:val="00872770"/>
    <w:rsid w:val="00873754"/>
    <w:rsid w:val="00873814"/>
    <w:rsid w:val="008743EF"/>
    <w:rsid w:val="00875138"/>
    <w:rsid w:val="008752FC"/>
    <w:rsid w:val="00875FA4"/>
    <w:rsid w:val="00876044"/>
    <w:rsid w:val="008763C8"/>
    <w:rsid w:val="0087660D"/>
    <w:rsid w:val="00877D6E"/>
    <w:rsid w:val="00877E35"/>
    <w:rsid w:val="0088014E"/>
    <w:rsid w:val="00880BAB"/>
    <w:rsid w:val="00881604"/>
    <w:rsid w:val="008817FF"/>
    <w:rsid w:val="00881E99"/>
    <w:rsid w:val="008820C1"/>
    <w:rsid w:val="0088239C"/>
    <w:rsid w:val="00882745"/>
    <w:rsid w:val="008828F7"/>
    <w:rsid w:val="0088294F"/>
    <w:rsid w:val="00882A65"/>
    <w:rsid w:val="00882E58"/>
    <w:rsid w:val="0088302A"/>
    <w:rsid w:val="008835B1"/>
    <w:rsid w:val="008836F9"/>
    <w:rsid w:val="008837DE"/>
    <w:rsid w:val="00883B3F"/>
    <w:rsid w:val="008851BE"/>
    <w:rsid w:val="00885538"/>
    <w:rsid w:val="00885CA8"/>
    <w:rsid w:val="00886188"/>
    <w:rsid w:val="00887063"/>
    <w:rsid w:val="00887908"/>
    <w:rsid w:val="00887BD8"/>
    <w:rsid w:val="00887F1B"/>
    <w:rsid w:val="008900CF"/>
    <w:rsid w:val="00891602"/>
    <w:rsid w:val="00892011"/>
    <w:rsid w:val="008922CF"/>
    <w:rsid w:val="008923D1"/>
    <w:rsid w:val="008925B9"/>
    <w:rsid w:val="008928F3"/>
    <w:rsid w:val="008931AA"/>
    <w:rsid w:val="008937CB"/>
    <w:rsid w:val="0089427B"/>
    <w:rsid w:val="0089483C"/>
    <w:rsid w:val="00894844"/>
    <w:rsid w:val="00894A6B"/>
    <w:rsid w:val="00894A7F"/>
    <w:rsid w:val="00895922"/>
    <w:rsid w:val="00895E5A"/>
    <w:rsid w:val="0089601F"/>
    <w:rsid w:val="008960C3"/>
    <w:rsid w:val="008974C9"/>
    <w:rsid w:val="00897502"/>
    <w:rsid w:val="00897855"/>
    <w:rsid w:val="008A0E63"/>
    <w:rsid w:val="008A1450"/>
    <w:rsid w:val="008A15A7"/>
    <w:rsid w:val="008A173F"/>
    <w:rsid w:val="008A1EFD"/>
    <w:rsid w:val="008A2340"/>
    <w:rsid w:val="008A238A"/>
    <w:rsid w:val="008A2783"/>
    <w:rsid w:val="008A2790"/>
    <w:rsid w:val="008A2C5D"/>
    <w:rsid w:val="008A33B4"/>
    <w:rsid w:val="008A3B87"/>
    <w:rsid w:val="008A3C32"/>
    <w:rsid w:val="008A3EE7"/>
    <w:rsid w:val="008A42CE"/>
    <w:rsid w:val="008A4680"/>
    <w:rsid w:val="008A473D"/>
    <w:rsid w:val="008A4F57"/>
    <w:rsid w:val="008A52CE"/>
    <w:rsid w:val="008A574C"/>
    <w:rsid w:val="008A6A25"/>
    <w:rsid w:val="008A70F7"/>
    <w:rsid w:val="008B0968"/>
    <w:rsid w:val="008B0BA7"/>
    <w:rsid w:val="008B1E06"/>
    <w:rsid w:val="008B1FAB"/>
    <w:rsid w:val="008B20A4"/>
    <w:rsid w:val="008B2F1A"/>
    <w:rsid w:val="008B31AD"/>
    <w:rsid w:val="008B331F"/>
    <w:rsid w:val="008B3A87"/>
    <w:rsid w:val="008B3C1F"/>
    <w:rsid w:val="008B4243"/>
    <w:rsid w:val="008B42D0"/>
    <w:rsid w:val="008B4953"/>
    <w:rsid w:val="008B4A6D"/>
    <w:rsid w:val="008B4E19"/>
    <w:rsid w:val="008B4F72"/>
    <w:rsid w:val="008B5A96"/>
    <w:rsid w:val="008B5E1D"/>
    <w:rsid w:val="008B5F58"/>
    <w:rsid w:val="008B6367"/>
    <w:rsid w:val="008B63AD"/>
    <w:rsid w:val="008B646F"/>
    <w:rsid w:val="008B658C"/>
    <w:rsid w:val="008B7546"/>
    <w:rsid w:val="008C0557"/>
    <w:rsid w:val="008C0771"/>
    <w:rsid w:val="008C0845"/>
    <w:rsid w:val="008C092D"/>
    <w:rsid w:val="008C1779"/>
    <w:rsid w:val="008C196C"/>
    <w:rsid w:val="008C1C57"/>
    <w:rsid w:val="008C1DC1"/>
    <w:rsid w:val="008C28B3"/>
    <w:rsid w:val="008C2A2B"/>
    <w:rsid w:val="008C3591"/>
    <w:rsid w:val="008C3A88"/>
    <w:rsid w:val="008C3AC1"/>
    <w:rsid w:val="008C3C11"/>
    <w:rsid w:val="008C4EB8"/>
    <w:rsid w:val="008C51A8"/>
    <w:rsid w:val="008C5856"/>
    <w:rsid w:val="008C5CB4"/>
    <w:rsid w:val="008C61B0"/>
    <w:rsid w:val="008C6FD3"/>
    <w:rsid w:val="008C70EB"/>
    <w:rsid w:val="008C7FA7"/>
    <w:rsid w:val="008D07F1"/>
    <w:rsid w:val="008D0C0E"/>
    <w:rsid w:val="008D155D"/>
    <w:rsid w:val="008D15E6"/>
    <w:rsid w:val="008D217D"/>
    <w:rsid w:val="008D229E"/>
    <w:rsid w:val="008D24C5"/>
    <w:rsid w:val="008D36D2"/>
    <w:rsid w:val="008D3C13"/>
    <w:rsid w:val="008D3FE4"/>
    <w:rsid w:val="008D415F"/>
    <w:rsid w:val="008D499F"/>
    <w:rsid w:val="008D4DF4"/>
    <w:rsid w:val="008D547C"/>
    <w:rsid w:val="008D5506"/>
    <w:rsid w:val="008D5DAB"/>
    <w:rsid w:val="008D6164"/>
    <w:rsid w:val="008D6641"/>
    <w:rsid w:val="008D67EC"/>
    <w:rsid w:val="008D6847"/>
    <w:rsid w:val="008D688E"/>
    <w:rsid w:val="008D6968"/>
    <w:rsid w:val="008D6C68"/>
    <w:rsid w:val="008D71F3"/>
    <w:rsid w:val="008D7AFD"/>
    <w:rsid w:val="008D7BE6"/>
    <w:rsid w:val="008D7E3E"/>
    <w:rsid w:val="008D7EA6"/>
    <w:rsid w:val="008E0029"/>
    <w:rsid w:val="008E01BA"/>
    <w:rsid w:val="008E0219"/>
    <w:rsid w:val="008E0386"/>
    <w:rsid w:val="008E0DE2"/>
    <w:rsid w:val="008E16F9"/>
    <w:rsid w:val="008E1CA4"/>
    <w:rsid w:val="008E2BCC"/>
    <w:rsid w:val="008E2D38"/>
    <w:rsid w:val="008E2ED0"/>
    <w:rsid w:val="008E38C7"/>
    <w:rsid w:val="008E489A"/>
    <w:rsid w:val="008E4C7D"/>
    <w:rsid w:val="008E5A4E"/>
    <w:rsid w:val="008E5E16"/>
    <w:rsid w:val="008E5F5F"/>
    <w:rsid w:val="008E6D37"/>
    <w:rsid w:val="008E6F6B"/>
    <w:rsid w:val="008E7155"/>
    <w:rsid w:val="008E71FB"/>
    <w:rsid w:val="008E7365"/>
    <w:rsid w:val="008E7838"/>
    <w:rsid w:val="008E7874"/>
    <w:rsid w:val="008E7BEB"/>
    <w:rsid w:val="008F0248"/>
    <w:rsid w:val="008F078E"/>
    <w:rsid w:val="008F07B8"/>
    <w:rsid w:val="008F0838"/>
    <w:rsid w:val="008F0932"/>
    <w:rsid w:val="008F0A62"/>
    <w:rsid w:val="008F0EF5"/>
    <w:rsid w:val="008F1238"/>
    <w:rsid w:val="008F1892"/>
    <w:rsid w:val="008F257A"/>
    <w:rsid w:val="008F35D9"/>
    <w:rsid w:val="008F3793"/>
    <w:rsid w:val="008F438C"/>
    <w:rsid w:val="008F525C"/>
    <w:rsid w:val="008F540C"/>
    <w:rsid w:val="008F6060"/>
    <w:rsid w:val="008F6426"/>
    <w:rsid w:val="008F6B8B"/>
    <w:rsid w:val="00900731"/>
    <w:rsid w:val="0090146E"/>
    <w:rsid w:val="009014C6"/>
    <w:rsid w:val="00901E4D"/>
    <w:rsid w:val="00902EEF"/>
    <w:rsid w:val="009030CA"/>
    <w:rsid w:val="00903424"/>
    <w:rsid w:val="009038F8"/>
    <w:rsid w:val="00903F71"/>
    <w:rsid w:val="00904173"/>
    <w:rsid w:val="00904206"/>
    <w:rsid w:val="00904BDA"/>
    <w:rsid w:val="00904CF7"/>
    <w:rsid w:val="00905456"/>
    <w:rsid w:val="00905829"/>
    <w:rsid w:val="00905F98"/>
    <w:rsid w:val="0090621C"/>
    <w:rsid w:val="00906618"/>
    <w:rsid w:val="00906B8C"/>
    <w:rsid w:val="00906C4A"/>
    <w:rsid w:val="00907FD2"/>
    <w:rsid w:val="009100B1"/>
    <w:rsid w:val="009104A4"/>
    <w:rsid w:val="00910866"/>
    <w:rsid w:val="00910F70"/>
    <w:rsid w:val="0091103D"/>
    <w:rsid w:val="009110AD"/>
    <w:rsid w:val="009111CC"/>
    <w:rsid w:val="009114FF"/>
    <w:rsid w:val="00911A79"/>
    <w:rsid w:val="00911B90"/>
    <w:rsid w:val="00911C5C"/>
    <w:rsid w:val="00911D8B"/>
    <w:rsid w:val="009127CC"/>
    <w:rsid w:val="00912AAF"/>
    <w:rsid w:val="00912B65"/>
    <w:rsid w:val="00912BC1"/>
    <w:rsid w:val="00914D40"/>
    <w:rsid w:val="009158B9"/>
    <w:rsid w:val="0091620A"/>
    <w:rsid w:val="00916863"/>
    <w:rsid w:val="0091728E"/>
    <w:rsid w:val="00917458"/>
    <w:rsid w:val="009176C9"/>
    <w:rsid w:val="0092096D"/>
    <w:rsid w:val="009214DE"/>
    <w:rsid w:val="00921B1B"/>
    <w:rsid w:val="00921E56"/>
    <w:rsid w:val="009221ED"/>
    <w:rsid w:val="0092259C"/>
    <w:rsid w:val="00922B73"/>
    <w:rsid w:val="00922F30"/>
    <w:rsid w:val="009231A0"/>
    <w:rsid w:val="009235C9"/>
    <w:rsid w:val="009235EC"/>
    <w:rsid w:val="00926F12"/>
    <w:rsid w:val="009275F0"/>
    <w:rsid w:val="00927CE1"/>
    <w:rsid w:val="00927DE3"/>
    <w:rsid w:val="00930591"/>
    <w:rsid w:val="009305F9"/>
    <w:rsid w:val="00930609"/>
    <w:rsid w:val="0093071F"/>
    <w:rsid w:val="00930B72"/>
    <w:rsid w:val="0093196E"/>
    <w:rsid w:val="00931A58"/>
    <w:rsid w:val="00932113"/>
    <w:rsid w:val="0093264C"/>
    <w:rsid w:val="00932AD7"/>
    <w:rsid w:val="00932BD2"/>
    <w:rsid w:val="00932E71"/>
    <w:rsid w:val="009331AA"/>
    <w:rsid w:val="0093385B"/>
    <w:rsid w:val="00933CB4"/>
    <w:rsid w:val="00934790"/>
    <w:rsid w:val="009352C5"/>
    <w:rsid w:val="00935534"/>
    <w:rsid w:val="0093562F"/>
    <w:rsid w:val="00935978"/>
    <w:rsid w:val="00935F61"/>
    <w:rsid w:val="009360BB"/>
    <w:rsid w:val="00936B1F"/>
    <w:rsid w:val="00937808"/>
    <w:rsid w:val="009379F0"/>
    <w:rsid w:val="00937A67"/>
    <w:rsid w:val="00937A6A"/>
    <w:rsid w:val="0094115A"/>
    <w:rsid w:val="0094144F"/>
    <w:rsid w:val="00942B2E"/>
    <w:rsid w:val="00942D0E"/>
    <w:rsid w:val="00943238"/>
    <w:rsid w:val="0094352D"/>
    <w:rsid w:val="00943768"/>
    <w:rsid w:val="00943CFE"/>
    <w:rsid w:val="00943F96"/>
    <w:rsid w:val="00943FA2"/>
    <w:rsid w:val="0094494D"/>
    <w:rsid w:val="00944E59"/>
    <w:rsid w:val="00945401"/>
    <w:rsid w:val="009459F4"/>
    <w:rsid w:val="00945ABE"/>
    <w:rsid w:val="00945E58"/>
    <w:rsid w:val="00946127"/>
    <w:rsid w:val="00946907"/>
    <w:rsid w:val="00946E16"/>
    <w:rsid w:val="0095063C"/>
    <w:rsid w:val="00950CAE"/>
    <w:rsid w:val="009512EC"/>
    <w:rsid w:val="00951992"/>
    <w:rsid w:val="009519A8"/>
    <w:rsid w:val="0095234A"/>
    <w:rsid w:val="009524FE"/>
    <w:rsid w:val="00952A5C"/>
    <w:rsid w:val="0095315A"/>
    <w:rsid w:val="009532F2"/>
    <w:rsid w:val="009534DD"/>
    <w:rsid w:val="009535C2"/>
    <w:rsid w:val="00953A73"/>
    <w:rsid w:val="00954D5A"/>
    <w:rsid w:val="009551A8"/>
    <w:rsid w:val="0095540A"/>
    <w:rsid w:val="0095640A"/>
    <w:rsid w:val="00956B6C"/>
    <w:rsid w:val="00956DE3"/>
    <w:rsid w:val="00957B5B"/>
    <w:rsid w:val="009601CB"/>
    <w:rsid w:val="0096044C"/>
    <w:rsid w:val="0096059A"/>
    <w:rsid w:val="0096081E"/>
    <w:rsid w:val="00960D39"/>
    <w:rsid w:val="00960F7E"/>
    <w:rsid w:val="009611A5"/>
    <w:rsid w:val="009614BD"/>
    <w:rsid w:val="0096193B"/>
    <w:rsid w:val="00961ABC"/>
    <w:rsid w:val="00962E6A"/>
    <w:rsid w:val="00963188"/>
    <w:rsid w:val="00963240"/>
    <w:rsid w:val="00963440"/>
    <w:rsid w:val="00963B82"/>
    <w:rsid w:val="00964475"/>
    <w:rsid w:val="00964A6E"/>
    <w:rsid w:val="00964FB4"/>
    <w:rsid w:val="009666BD"/>
    <w:rsid w:val="00966AC9"/>
    <w:rsid w:val="00966BFB"/>
    <w:rsid w:val="0096720E"/>
    <w:rsid w:val="00967530"/>
    <w:rsid w:val="00967CDA"/>
    <w:rsid w:val="00970048"/>
    <w:rsid w:val="00970278"/>
    <w:rsid w:val="00970847"/>
    <w:rsid w:val="00970858"/>
    <w:rsid w:val="00971831"/>
    <w:rsid w:val="00971B0F"/>
    <w:rsid w:val="0097216D"/>
    <w:rsid w:val="00972486"/>
    <w:rsid w:val="00972799"/>
    <w:rsid w:val="00972D8F"/>
    <w:rsid w:val="009735A7"/>
    <w:rsid w:val="00973C2B"/>
    <w:rsid w:val="00973FC5"/>
    <w:rsid w:val="0097437B"/>
    <w:rsid w:val="0097441E"/>
    <w:rsid w:val="0097517A"/>
    <w:rsid w:val="00975AEC"/>
    <w:rsid w:val="00975FB0"/>
    <w:rsid w:val="009762C7"/>
    <w:rsid w:val="0097670F"/>
    <w:rsid w:val="00976BB1"/>
    <w:rsid w:val="00976C61"/>
    <w:rsid w:val="00976ECA"/>
    <w:rsid w:val="00977532"/>
    <w:rsid w:val="009803EC"/>
    <w:rsid w:val="00981215"/>
    <w:rsid w:val="009812FC"/>
    <w:rsid w:val="009813BF"/>
    <w:rsid w:val="009819CD"/>
    <w:rsid w:val="0098256C"/>
    <w:rsid w:val="00982C0D"/>
    <w:rsid w:val="00982E78"/>
    <w:rsid w:val="009832BE"/>
    <w:rsid w:val="00983B0F"/>
    <w:rsid w:val="00983D98"/>
    <w:rsid w:val="00983EA1"/>
    <w:rsid w:val="009844B4"/>
    <w:rsid w:val="0098453B"/>
    <w:rsid w:val="00984D82"/>
    <w:rsid w:val="0098572B"/>
    <w:rsid w:val="00985CDA"/>
    <w:rsid w:val="0098603A"/>
    <w:rsid w:val="00986137"/>
    <w:rsid w:val="00986B96"/>
    <w:rsid w:val="0098740B"/>
    <w:rsid w:val="00987B9A"/>
    <w:rsid w:val="00987C6F"/>
    <w:rsid w:val="0099018C"/>
    <w:rsid w:val="00990549"/>
    <w:rsid w:val="00990708"/>
    <w:rsid w:val="0099078A"/>
    <w:rsid w:val="00990A3C"/>
    <w:rsid w:val="00990B18"/>
    <w:rsid w:val="00990C3D"/>
    <w:rsid w:val="00991603"/>
    <w:rsid w:val="0099199D"/>
    <w:rsid w:val="00991B9A"/>
    <w:rsid w:val="00991C09"/>
    <w:rsid w:val="00992EA9"/>
    <w:rsid w:val="00993499"/>
    <w:rsid w:val="009934DB"/>
    <w:rsid w:val="009939CB"/>
    <w:rsid w:val="00993D95"/>
    <w:rsid w:val="00994664"/>
    <w:rsid w:val="009948FE"/>
    <w:rsid w:val="009956CC"/>
    <w:rsid w:val="00995756"/>
    <w:rsid w:val="00997125"/>
    <w:rsid w:val="00997582"/>
    <w:rsid w:val="009A0208"/>
    <w:rsid w:val="009A05D0"/>
    <w:rsid w:val="009A0648"/>
    <w:rsid w:val="009A0B05"/>
    <w:rsid w:val="009A1B80"/>
    <w:rsid w:val="009A21EE"/>
    <w:rsid w:val="009A253B"/>
    <w:rsid w:val="009A3C6E"/>
    <w:rsid w:val="009A4973"/>
    <w:rsid w:val="009A5D0D"/>
    <w:rsid w:val="009A640C"/>
    <w:rsid w:val="009A6698"/>
    <w:rsid w:val="009A68E7"/>
    <w:rsid w:val="009A6A04"/>
    <w:rsid w:val="009A6A34"/>
    <w:rsid w:val="009A78A6"/>
    <w:rsid w:val="009A7B46"/>
    <w:rsid w:val="009B01AE"/>
    <w:rsid w:val="009B04F2"/>
    <w:rsid w:val="009B0A43"/>
    <w:rsid w:val="009B0EEC"/>
    <w:rsid w:val="009B123D"/>
    <w:rsid w:val="009B1323"/>
    <w:rsid w:val="009B1676"/>
    <w:rsid w:val="009B1C1B"/>
    <w:rsid w:val="009B1E55"/>
    <w:rsid w:val="009B2E60"/>
    <w:rsid w:val="009B35BF"/>
    <w:rsid w:val="009B4C3E"/>
    <w:rsid w:val="009B4D2F"/>
    <w:rsid w:val="009B5038"/>
    <w:rsid w:val="009B5157"/>
    <w:rsid w:val="009B56BE"/>
    <w:rsid w:val="009B573C"/>
    <w:rsid w:val="009B583F"/>
    <w:rsid w:val="009B5DB6"/>
    <w:rsid w:val="009B604A"/>
    <w:rsid w:val="009B6E0F"/>
    <w:rsid w:val="009B71D8"/>
    <w:rsid w:val="009B7356"/>
    <w:rsid w:val="009B753E"/>
    <w:rsid w:val="009B7A8A"/>
    <w:rsid w:val="009C0491"/>
    <w:rsid w:val="009C0978"/>
    <w:rsid w:val="009C099B"/>
    <w:rsid w:val="009C0AA5"/>
    <w:rsid w:val="009C0B86"/>
    <w:rsid w:val="009C1ADB"/>
    <w:rsid w:val="009C37BF"/>
    <w:rsid w:val="009C398A"/>
    <w:rsid w:val="009C4676"/>
    <w:rsid w:val="009C4FAC"/>
    <w:rsid w:val="009C5CBD"/>
    <w:rsid w:val="009C5CCF"/>
    <w:rsid w:val="009C5E7B"/>
    <w:rsid w:val="009C5FC3"/>
    <w:rsid w:val="009C60E9"/>
    <w:rsid w:val="009C6629"/>
    <w:rsid w:val="009C71F3"/>
    <w:rsid w:val="009C7896"/>
    <w:rsid w:val="009D0292"/>
    <w:rsid w:val="009D0530"/>
    <w:rsid w:val="009D0C23"/>
    <w:rsid w:val="009D0CF4"/>
    <w:rsid w:val="009D0D52"/>
    <w:rsid w:val="009D140A"/>
    <w:rsid w:val="009D1A74"/>
    <w:rsid w:val="009D2215"/>
    <w:rsid w:val="009D2B87"/>
    <w:rsid w:val="009D3160"/>
    <w:rsid w:val="009D3219"/>
    <w:rsid w:val="009D39E1"/>
    <w:rsid w:val="009D3D90"/>
    <w:rsid w:val="009D43C4"/>
    <w:rsid w:val="009D45A9"/>
    <w:rsid w:val="009D4C5D"/>
    <w:rsid w:val="009D645F"/>
    <w:rsid w:val="009D6D3F"/>
    <w:rsid w:val="009D7410"/>
    <w:rsid w:val="009D7601"/>
    <w:rsid w:val="009D7622"/>
    <w:rsid w:val="009E075E"/>
    <w:rsid w:val="009E1788"/>
    <w:rsid w:val="009E1908"/>
    <w:rsid w:val="009E2011"/>
    <w:rsid w:val="009E233D"/>
    <w:rsid w:val="009E2463"/>
    <w:rsid w:val="009E2B4C"/>
    <w:rsid w:val="009E2C55"/>
    <w:rsid w:val="009E2E3F"/>
    <w:rsid w:val="009E2F8C"/>
    <w:rsid w:val="009E2FAC"/>
    <w:rsid w:val="009E3309"/>
    <w:rsid w:val="009E44A4"/>
    <w:rsid w:val="009E46DD"/>
    <w:rsid w:val="009E4A34"/>
    <w:rsid w:val="009E4E3B"/>
    <w:rsid w:val="009E59F4"/>
    <w:rsid w:val="009E5D7E"/>
    <w:rsid w:val="009E61B0"/>
    <w:rsid w:val="009E63F0"/>
    <w:rsid w:val="009E664F"/>
    <w:rsid w:val="009E7BCD"/>
    <w:rsid w:val="009F012F"/>
    <w:rsid w:val="009F0316"/>
    <w:rsid w:val="009F05AC"/>
    <w:rsid w:val="009F07AE"/>
    <w:rsid w:val="009F086C"/>
    <w:rsid w:val="009F0EA6"/>
    <w:rsid w:val="009F103C"/>
    <w:rsid w:val="009F1387"/>
    <w:rsid w:val="009F1443"/>
    <w:rsid w:val="009F14F3"/>
    <w:rsid w:val="009F1778"/>
    <w:rsid w:val="009F1EEE"/>
    <w:rsid w:val="009F1FA6"/>
    <w:rsid w:val="009F239C"/>
    <w:rsid w:val="009F2E88"/>
    <w:rsid w:val="009F4825"/>
    <w:rsid w:val="009F49FF"/>
    <w:rsid w:val="009F4D3A"/>
    <w:rsid w:val="009F4E76"/>
    <w:rsid w:val="009F5BD7"/>
    <w:rsid w:val="009F5CE6"/>
    <w:rsid w:val="009F60E0"/>
    <w:rsid w:val="009F68A3"/>
    <w:rsid w:val="009F6B75"/>
    <w:rsid w:val="009F6C90"/>
    <w:rsid w:val="009F7297"/>
    <w:rsid w:val="009F7355"/>
    <w:rsid w:val="009F74DB"/>
    <w:rsid w:val="009F77DF"/>
    <w:rsid w:val="009F7813"/>
    <w:rsid w:val="00A00221"/>
    <w:rsid w:val="00A00437"/>
    <w:rsid w:val="00A005C0"/>
    <w:rsid w:val="00A0083A"/>
    <w:rsid w:val="00A00935"/>
    <w:rsid w:val="00A00DDA"/>
    <w:rsid w:val="00A00F7E"/>
    <w:rsid w:val="00A01385"/>
    <w:rsid w:val="00A01B9D"/>
    <w:rsid w:val="00A02089"/>
    <w:rsid w:val="00A02A2F"/>
    <w:rsid w:val="00A02C0A"/>
    <w:rsid w:val="00A03066"/>
    <w:rsid w:val="00A0310F"/>
    <w:rsid w:val="00A03652"/>
    <w:rsid w:val="00A03A2A"/>
    <w:rsid w:val="00A0480E"/>
    <w:rsid w:val="00A04844"/>
    <w:rsid w:val="00A04ABF"/>
    <w:rsid w:val="00A054A8"/>
    <w:rsid w:val="00A06ED8"/>
    <w:rsid w:val="00A07147"/>
    <w:rsid w:val="00A07570"/>
    <w:rsid w:val="00A10103"/>
    <w:rsid w:val="00A11137"/>
    <w:rsid w:val="00A111EA"/>
    <w:rsid w:val="00A1135E"/>
    <w:rsid w:val="00A11447"/>
    <w:rsid w:val="00A11B67"/>
    <w:rsid w:val="00A11DEE"/>
    <w:rsid w:val="00A12405"/>
    <w:rsid w:val="00A12B28"/>
    <w:rsid w:val="00A12DF2"/>
    <w:rsid w:val="00A13EAB"/>
    <w:rsid w:val="00A1500C"/>
    <w:rsid w:val="00A162DF"/>
    <w:rsid w:val="00A16324"/>
    <w:rsid w:val="00A17013"/>
    <w:rsid w:val="00A17AF1"/>
    <w:rsid w:val="00A17B4D"/>
    <w:rsid w:val="00A17B91"/>
    <w:rsid w:val="00A20220"/>
    <w:rsid w:val="00A20CAE"/>
    <w:rsid w:val="00A2107F"/>
    <w:rsid w:val="00A2146D"/>
    <w:rsid w:val="00A216BF"/>
    <w:rsid w:val="00A21C7C"/>
    <w:rsid w:val="00A22082"/>
    <w:rsid w:val="00A23269"/>
    <w:rsid w:val="00A233B1"/>
    <w:rsid w:val="00A23F95"/>
    <w:rsid w:val="00A2457D"/>
    <w:rsid w:val="00A24E61"/>
    <w:rsid w:val="00A25E6E"/>
    <w:rsid w:val="00A26462"/>
    <w:rsid w:val="00A26700"/>
    <w:rsid w:val="00A2670F"/>
    <w:rsid w:val="00A26B21"/>
    <w:rsid w:val="00A274E2"/>
    <w:rsid w:val="00A309AC"/>
    <w:rsid w:val="00A30B97"/>
    <w:rsid w:val="00A30BDB"/>
    <w:rsid w:val="00A31193"/>
    <w:rsid w:val="00A312FC"/>
    <w:rsid w:val="00A31CD3"/>
    <w:rsid w:val="00A31F4F"/>
    <w:rsid w:val="00A31F9A"/>
    <w:rsid w:val="00A3288D"/>
    <w:rsid w:val="00A3307A"/>
    <w:rsid w:val="00A33F89"/>
    <w:rsid w:val="00A3466E"/>
    <w:rsid w:val="00A34B85"/>
    <w:rsid w:val="00A34BDA"/>
    <w:rsid w:val="00A34F8F"/>
    <w:rsid w:val="00A352BD"/>
    <w:rsid w:val="00A358DC"/>
    <w:rsid w:val="00A362FE"/>
    <w:rsid w:val="00A36A2B"/>
    <w:rsid w:val="00A40342"/>
    <w:rsid w:val="00A4164A"/>
    <w:rsid w:val="00A417B2"/>
    <w:rsid w:val="00A4189A"/>
    <w:rsid w:val="00A41C3D"/>
    <w:rsid w:val="00A41F2E"/>
    <w:rsid w:val="00A42159"/>
    <w:rsid w:val="00A42416"/>
    <w:rsid w:val="00A42D6D"/>
    <w:rsid w:val="00A42DF3"/>
    <w:rsid w:val="00A432A0"/>
    <w:rsid w:val="00A4354B"/>
    <w:rsid w:val="00A43E26"/>
    <w:rsid w:val="00A43EC3"/>
    <w:rsid w:val="00A43F0A"/>
    <w:rsid w:val="00A43FF9"/>
    <w:rsid w:val="00A44220"/>
    <w:rsid w:val="00A454CD"/>
    <w:rsid w:val="00A46541"/>
    <w:rsid w:val="00A465E9"/>
    <w:rsid w:val="00A46A4B"/>
    <w:rsid w:val="00A47774"/>
    <w:rsid w:val="00A47BC1"/>
    <w:rsid w:val="00A50899"/>
    <w:rsid w:val="00A512A2"/>
    <w:rsid w:val="00A5216F"/>
    <w:rsid w:val="00A52254"/>
    <w:rsid w:val="00A52401"/>
    <w:rsid w:val="00A52622"/>
    <w:rsid w:val="00A5287D"/>
    <w:rsid w:val="00A53729"/>
    <w:rsid w:val="00A550F7"/>
    <w:rsid w:val="00A55431"/>
    <w:rsid w:val="00A560C7"/>
    <w:rsid w:val="00A562BE"/>
    <w:rsid w:val="00A56A4F"/>
    <w:rsid w:val="00A56DDE"/>
    <w:rsid w:val="00A571F5"/>
    <w:rsid w:val="00A57205"/>
    <w:rsid w:val="00A57839"/>
    <w:rsid w:val="00A5787F"/>
    <w:rsid w:val="00A57914"/>
    <w:rsid w:val="00A57A70"/>
    <w:rsid w:val="00A57E73"/>
    <w:rsid w:val="00A60242"/>
    <w:rsid w:val="00A60436"/>
    <w:rsid w:val="00A607D9"/>
    <w:rsid w:val="00A60C3A"/>
    <w:rsid w:val="00A60EC2"/>
    <w:rsid w:val="00A61039"/>
    <w:rsid w:val="00A612AC"/>
    <w:rsid w:val="00A6190A"/>
    <w:rsid w:val="00A6209A"/>
    <w:rsid w:val="00A621B7"/>
    <w:rsid w:val="00A62AC5"/>
    <w:rsid w:val="00A63037"/>
    <w:rsid w:val="00A6323E"/>
    <w:rsid w:val="00A63478"/>
    <w:rsid w:val="00A63AAC"/>
    <w:rsid w:val="00A63AF3"/>
    <w:rsid w:val="00A63D28"/>
    <w:rsid w:val="00A6419E"/>
    <w:rsid w:val="00A64B15"/>
    <w:rsid w:val="00A64E8C"/>
    <w:rsid w:val="00A64EF8"/>
    <w:rsid w:val="00A65E01"/>
    <w:rsid w:val="00A664B6"/>
    <w:rsid w:val="00A6677B"/>
    <w:rsid w:val="00A66AC3"/>
    <w:rsid w:val="00A67466"/>
    <w:rsid w:val="00A67D1C"/>
    <w:rsid w:val="00A70065"/>
    <w:rsid w:val="00A710AC"/>
    <w:rsid w:val="00A717AD"/>
    <w:rsid w:val="00A7186E"/>
    <w:rsid w:val="00A71FC9"/>
    <w:rsid w:val="00A725DB"/>
    <w:rsid w:val="00A73738"/>
    <w:rsid w:val="00A73D7C"/>
    <w:rsid w:val="00A73E8F"/>
    <w:rsid w:val="00A7475B"/>
    <w:rsid w:val="00A747DC"/>
    <w:rsid w:val="00A74CC1"/>
    <w:rsid w:val="00A74D4E"/>
    <w:rsid w:val="00A75204"/>
    <w:rsid w:val="00A753BD"/>
    <w:rsid w:val="00A75E35"/>
    <w:rsid w:val="00A761EE"/>
    <w:rsid w:val="00A767D8"/>
    <w:rsid w:val="00A76B33"/>
    <w:rsid w:val="00A76D4A"/>
    <w:rsid w:val="00A76F54"/>
    <w:rsid w:val="00A77933"/>
    <w:rsid w:val="00A77BEC"/>
    <w:rsid w:val="00A77F98"/>
    <w:rsid w:val="00A80343"/>
    <w:rsid w:val="00A80813"/>
    <w:rsid w:val="00A80B2E"/>
    <w:rsid w:val="00A80EA4"/>
    <w:rsid w:val="00A81536"/>
    <w:rsid w:val="00A819DD"/>
    <w:rsid w:val="00A81C95"/>
    <w:rsid w:val="00A822D7"/>
    <w:rsid w:val="00A83768"/>
    <w:rsid w:val="00A83A16"/>
    <w:rsid w:val="00A83CA5"/>
    <w:rsid w:val="00A84336"/>
    <w:rsid w:val="00A84863"/>
    <w:rsid w:val="00A84EBD"/>
    <w:rsid w:val="00A84EDD"/>
    <w:rsid w:val="00A84F34"/>
    <w:rsid w:val="00A8542C"/>
    <w:rsid w:val="00A8620E"/>
    <w:rsid w:val="00A864B2"/>
    <w:rsid w:val="00A864E9"/>
    <w:rsid w:val="00A86CC9"/>
    <w:rsid w:val="00A87906"/>
    <w:rsid w:val="00A87958"/>
    <w:rsid w:val="00A87D0C"/>
    <w:rsid w:val="00A87E9E"/>
    <w:rsid w:val="00A901BE"/>
    <w:rsid w:val="00A904E2"/>
    <w:rsid w:val="00A90D2E"/>
    <w:rsid w:val="00A9115E"/>
    <w:rsid w:val="00A912E7"/>
    <w:rsid w:val="00A91E97"/>
    <w:rsid w:val="00A92BCF"/>
    <w:rsid w:val="00A93095"/>
    <w:rsid w:val="00A938E8"/>
    <w:rsid w:val="00A95EE7"/>
    <w:rsid w:val="00A96085"/>
    <w:rsid w:val="00A96424"/>
    <w:rsid w:val="00A96F39"/>
    <w:rsid w:val="00A96F5C"/>
    <w:rsid w:val="00A97DBF"/>
    <w:rsid w:val="00AA04FA"/>
    <w:rsid w:val="00AA19A6"/>
    <w:rsid w:val="00AA1AED"/>
    <w:rsid w:val="00AA20B1"/>
    <w:rsid w:val="00AA22E3"/>
    <w:rsid w:val="00AA22F5"/>
    <w:rsid w:val="00AA262E"/>
    <w:rsid w:val="00AA2C89"/>
    <w:rsid w:val="00AA3451"/>
    <w:rsid w:val="00AA364A"/>
    <w:rsid w:val="00AA43BD"/>
    <w:rsid w:val="00AA46E6"/>
    <w:rsid w:val="00AA48C1"/>
    <w:rsid w:val="00AA52CC"/>
    <w:rsid w:val="00AA60A4"/>
    <w:rsid w:val="00AA6240"/>
    <w:rsid w:val="00AA682F"/>
    <w:rsid w:val="00AA73A8"/>
    <w:rsid w:val="00AA784D"/>
    <w:rsid w:val="00AA7A8A"/>
    <w:rsid w:val="00AB006F"/>
    <w:rsid w:val="00AB1A9F"/>
    <w:rsid w:val="00AB2483"/>
    <w:rsid w:val="00AB3037"/>
    <w:rsid w:val="00AB3184"/>
    <w:rsid w:val="00AB33F9"/>
    <w:rsid w:val="00AB3CEC"/>
    <w:rsid w:val="00AB3E8B"/>
    <w:rsid w:val="00AB4AFF"/>
    <w:rsid w:val="00AB537C"/>
    <w:rsid w:val="00AB5887"/>
    <w:rsid w:val="00AB5B81"/>
    <w:rsid w:val="00AB5C13"/>
    <w:rsid w:val="00AB5D24"/>
    <w:rsid w:val="00AB64E5"/>
    <w:rsid w:val="00AB6C31"/>
    <w:rsid w:val="00AB7213"/>
    <w:rsid w:val="00AB7442"/>
    <w:rsid w:val="00AB7888"/>
    <w:rsid w:val="00AC0BBF"/>
    <w:rsid w:val="00AC1226"/>
    <w:rsid w:val="00AC1686"/>
    <w:rsid w:val="00AC179A"/>
    <w:rsid w:val="00AC2484"/>
    <w:rsid w:val="00AC24F6"/>
    <w:rsid w:val="00AC299E"/>
    <w:rsid w:val="00AC2CC9"/>
    <w:rsid w:val="00AC2F23"/>
    <w:rsid w:val="00AC318F"/>
    <w:rsid w:val="00AC3535"/>
    <w:rsid w:val="00AC3DC3"/>
    <w:rsid w:val="00AC449D"/>
    <w:rsid w:val="00AC55C2"/>
    <w:rsid w:val="00AC5A40"/>
    <w:rsid w:val="00AC5C6A"/>
    <w:rsid w:val="00AC5D05"/>
    <w:rsid w:val="00AC65AF"/>
    <w:rsid w:val="00AC7052"/>
    <w:rsid w:val="00AC70AF"/>
    <w:rsid w:val="00AC7703"/>
    <w:rsid w:val="00AC7736"/>
    <w:rsid w:val="00AC7E57"/>
    <w:rsid w:val="00AD0508"/>
    <w:rsid w:val="00AD0558"/>
    <w:rsid w:val="00AD05B2"/>
    <w:rsid w:val="00AD0DCF"/>
    <w:rsid w:val="00AD10E5"/>
    <w:rsid w:val="00AD1DF3"/>
    <w:rsid w:val="00AD1FC8"/>
    <w:rsid w:val="00AD1FF4"/>
    <w:rsid w:val="00AD23CC"/>
    <w:rsid w:val="00AD31EC"/>
    <w:rsid w:val="00AD3498"/>
    <w:rsid w:val="00AD35A4"/>
    <w:rsid w:val="00AD37F0"/>
    <w:rsid w:val="00AD3C2A"/>
    <w:rsid w:val="00AD3E6B"/>
    <w:rsid w:val="00AD4379"/>
    <w:rsid w:val="00AD4E47"/>
    <w:rsid w:val="00AD5D9A"/>
    <w:rsid w:val="00AD6676"/>
    <w:rsid w:val="00AD6833"/>
    <w:rsid w:val="00AD715B"/>
    <w:rsid w:val="00AD77FA"/>
    <w:rsid w:val="00AE0323"/>
    <w:rsid w:val="00AE1923"/>
    <w:rsid w:val="00AE1D4C"/>
    <w:rsid w:val="00AE2457"/>
    <w:rsid w:val="00AE252A"/>
    <w:rsid w:val="00AE2565"/>
    <w:rsid w:val="00AE2BAC"/>
    <w:rsid w:val="00AE3B43"/>
    <w:rsid w:val="00AE48A4"/>
    <w:rsid w:val="00AE4F38"/>
    <w:rsid w:val="00AE507F"/>
    <w:rsid w:val="00AE5427"/>
    <w:rsid w:val="00AE67C4"/>
    <w:rsid w:val="00AE6873"/>
    <w:rsid w:val="00AE6D21"/>
    <w:rsid w:val="00AE70EF"/>
    <w:rsid w:val="00AE7169"/>
    <w:rsid w:val="00AE7523"/>
    <w:rsid w:val="00AE7F9B"/>
    <w:rsid w:val="00AF0D16"/>
    <w:rsid w:val="00AF1DE2"/>
    <w:rsid w:val="00AF2806"/>
    <w:rsid w:val="00AF2A30"/>
    <w:rsid w:val="00AF3BEC"/>
    <w:rsid w:val="00AF406C"/>
    <w:rsid w:val="00AF428A"/>
    <w:rsid w:val="00AF4370"/>
    <w:rsid w:val="00AF498E"/>
    <w:rsid w:val="00AF4AF0"/>
    <w:rsid w:val="00AF4E90"/>
    <w:rsid w:val="00AF5912"/>
    <w:rsid w:val="00AF59AE"/>
    <w:rsid w:val="00AF5B5D"/>
    <w:rsid w:val="00AF5D8B"/>
    <w:rsid w:val="00AF5DBD"/>
    <w:rsid w:val="00AF60BF"/>
    <w:rsid w:val="00AF629F"/>
    <w:rsid w:val="00AF6AEC"/>
    <w:rsid w:val="00AF6B59"/>
    <w:rsid w:val="00AF7341"/>
    <w:rsid w:val="00AF7D80"/>
    <w:rsid w:val="00B0063B"/>
    <w:rsid w:val="00B00F17"/>
    <w:rsid w:val="00B01DB9"/>
    <w:rsid w:val="00B01E36"/>
    <w:rsid w:val="00B03086"/>
    <w:rsid w:val="00B03B4D"/>
    <w:rsid w:val="00B04293"/>
    <w:rsid w:val="00B04643"/>
    <w:rsid w:val="00B04C10"/>
    <w:rsid w:val="00B055B1"/>
    <w:rsid w:val="00B0575B"/>
    <w:rsid w:val="00B05779"/>
    <w:rsid w:val="00B068E4"/>
    <w:rsid w:val="00B068FF"/>
    <w:rsid w:val="00B06BA0"/>
    <w:rsid w:val="00B06EA8"/>
    <w:rsid w:val="00B1069E"/>
    <w:rsid w:val="00B115ED"/>
    <w:rsid w:val="00B117CB"/>
    <w:rsid w:val="00B117D7"/>
    <w:rsid w:val="00B11972"/>
    <w:rsid w:val="00B12516"/>
    <w:rsid w:val="00B12732"/>
    <w:rsid w:val="00B13785"/>
    <w:rsid w:val="00B13B8E"/>
    <w:rsid w:val="00B142E0"/>
    <w:rsid w:val="00B14312"/>
    <w:rsid w:val="00B14CF7"/>
    <w:rsid w:val="00B14E1D"/>
    <w:rsid w:val="00B15237"/>
    <w:rsid w:val="00B154C1"/>
    <w:rsid w:val="00B17485"/>
    <w:rsid w:val="00B22822"/>
    <w:rsid w:val="00B22EBA"/>
    <w:rsid w:val="00B231BC"/>
    <w:rsid w:val="00B23278"/>
    <w:rsid w:val="00B23573"/>
    <w:rsid w:val="00B23ABE"/>
    <w:rsid w:val="00B23B67"/>
    <w:rsid w:val="00B24B78"/>
    <w:rsid w:val="00B24E97"/>
    <w:rsid w:val="00B25FEF"/>
    <w:rsid w:val="00B26303"/>
    <w:rsid w:val="00B26797"/>
    <w:rsid w:val="00B26BE1"/>
    <w:rsid w:val="00B26C98"/>
    <w:rsid w:val="00B26E4F"/>
    <w:rsid w:val="00B271E8"/>
    <w:rsid w:val="00B275D8"/>
    <w:rsid w:val="00B27680"/>
    <w:rsid w:val="00B27DA7"/>
    <w:rsid w:val="00B27F36"/>
    <w:rsid w:val="00B313F6"/>
    <w:rsid w:val="00B32022"/>
    <w:rsid w:val="00B323E3"/>
    <w:rsid w:val="00B32506"/>
    <w:rsid w:val="00B32BF9"/>
    <w:rsid w:val="00B32F66"/>
    <w:rsid w:val="00B3325C"/>
    <w:rsid w:val="00B33364"/>
    <w:rsid w:val="00B33678"/>
    <w:rsid w:val="00B33DDF"/>
    <w:rsid w:val="00B33FD6"/>
    <w:rsid w:val="00B34406"/>
    <w:rsid w:val="00B3463B"/>
    <w:rsid w:val="00B34827"/>
    <w:rsid w:val="00B34AFD"/>
    <w:rsid w:val="00B3512D"/>
    <w:rsid w:val="00B353C6"/>
    <w:rsid w:val="00B354E2"/>
    <w:rsid w:val="00B358C1"/>
    <w:rsid w:val="00B3652D"/>
    <w:rsid w:val="00B36705"/>
    <w:rsid w:val="00B37073"/>
    <w:rsid w:val="00B40037"/>
    <w:rsid w:val="00B412F3"/>
    <w:rsid w:val="00B41861"/>
    <w:rsid w:val="00B41A1A"/>
    <w:rsid w:val="00B42107"/>
    <w:rsid w:val="00B4226E"/>
    <w:rsid w:val="00B428D3"/>
    <w:rsid w:val="00B4371F"/>
    <w:rsid w:val="00B440D1"/>
    <w:rsid w:val="00B44A28"/>
    <w:rsid w:val="00B44CF2"/>
    <w:rsid w:val="00B453BC"/>
    <w:rsid w:val="00B457E4"/>
    <w:rsid w:val="00B457F9"/>
    <w:rsid w:val="00B45869"/>
    <w:rsid w:val="00B45A65"/>
    <w:rsid w:val="00B45BBA"/>
    <w:rsid w:val="00B462D8"/>
    <w:rsid w:val="00B46347"/>
    <w:rsid w:val="00B46444"/>
    <w:rsid w:val="00B46E16"/>
    <w:rsid w:val="00B4762E"/>
    <w:rsid w:val="00B47DE4"/>
    <w:rsid w:val="00B507E3"/>
    <w:rsid w:val="00B51909"/>
    <w:rsid w:val="00B51CE3"/>
    <w:rsid w:val="00B52EAD"/>
    <w:rsid w:val="00B52F36"/>
    <w:rsid w:val="00B531A4"/>
    <w:rsid w:val="00B53A39"/>
    <w:rsid w:val="00B53E30"/>
    <w:rsid w:val="00B5474A"/>
    <w:rsid w:val="00B549A7"/>
    <w:rsid w:val="00B54B97"/>
    <w:rsid w:val="00B55825"/>
    <w:rsid w:val="00B558AD"/>
    <w:rsid w:val="00B55D4F"/>
    <w:rsid w:val="00B55E9E"/>
    <w:rsid w:val="00B563D1"/>
    <w:rsid w:val="00B56591"/>
    <w:rsid w:val="00B56ACA"/>
    <w:rsid w:val="00B57320"/>
    <w:rsid w:val="00B574FC"/>
    <w:rsid w:val="00B5752D"/>
    <w:rsid w:val="00B577AE"/>
    <w:rsid w:val="00B57AC2"/>
    <w:rsid w:val="00B60A5C"/>
    <w:rsid w:val="00B60E24"/>
    <w:rsid w:val="00B61068"/>
    <w:rsid w:val="00B6118D"/>
    <w:rsid w:val="00B61410"/>
    <w:rsid w:val="00B62C41"/>
    <w:rsid w:val="00B64054"/>
    <w:rsid w:val="00B64A9A"/>
    <w:rsid w:val="00B666F5"/>
    <w:rsid w:val="00B66A53"/>
    <w:rsid w:val="00B66C43"/>
    <w:rsid w:val="00B6706A"/>
    <w:rsid w:val="00B6718B"/>
    <w:rsid w:val="00B6739C"/>
    <w:rsid w:val="00B674BE"/>
    <w:rsid w:val="00B67A5D"/>
    <w:rsid w:val="00B67BF5"/>
    <w:rsid w:val="00B70240"/>
    <w:rsid w:val="00B706E0"/>
    <w:rsid w:val="00B70E68"/>
    <w:rsid w:val="00B7111B"/>
    <w:rsid w:val="00B71BEA"/>
    <w:rsid w:val="00B71D0E"/>
    <w:rsid w:val="00B71D2A"/>
    <w:rsid w:val="00B71D57"/>
    <w:rsid w:val="00B71DE3"/>
    <w:rsid w:val="00B72616"/>
    <w:rsid w:val="00B7351F"/>
    <w:rsid w:val="00B743DF"/>
    <w:rsid w:val="00B74B6F"/>
    <w:rsid w:val="00B752A3"/>
    <w:rsid w:val="00B75640"/>
    <w:rsid w:val="00B75690"/>
    <w:rsid w:val="00B76433"/>
    <w:rsid w:val="00B76743"/>
    <w:rsid w:val="00B76EBE"/>
    <w:rsid w:val="00B77355"/>
    <w:rsid w:val="00B7786C"/>
    <w:rsid w:val="00B77E94"/>
    <w:rsid w:val="00B80321"/>
    <w:rsid w:val="00B81B04"/>
    <w:rsid w:val="00B81FE7"/>
    <w:rsid w:val="00B82AE5"/>
    <w:rsid w:val="00B82D16"/>
    <w:rsid w:val="00B838E8"/>
    <w:rsid w:val="00B847A7"/>
    <w:rsid w:val="00B84EB3"/>
    <w:rsid w:val="00B85FEE"/>
    <w:rsid w:val="00B863E7"/>
    <w:rsid w:val="00B8778B"/>
    <w:rsid w:val="00B87C95"/>
    <w:rsid w:val="00B9031C"/>
    <w:rsid w:val="00B90653"/>
    <w:rsid w:val="00B91213"/>
    <w:rsid w:val="00B925DB"/>
    <w:rsid w:val="00B9333B"/>
    <w:rsid w:val="00B934DE"/>
    <w:rsid w:val="00B938E4"/>
    <w:rsid w:val="00B94269"/>
    <w:rsid w:val="00B947BF"/>
    <w:rsid w:val="00B94A1E"/>
    <w:rsid w:val="00B94B69"/>
    <w:rsid w:val="00B94E55"/>
    <w:rsid w:val="00B94F87"/>
    <w:rsid w:val="00B951C1"/>
    <w:rsid w:val="00B9556E"/>
    <w:rsid w:val="00B95A50"/>
    <w:rsid w:val="00B95D2C"/>
    <w:rsid w:val="00B95DC7"/>
    <w:rsid w:val="00B963A6"/>
    <w:rsid w:val="00B96B43"/>
    <w:rsid w:val="00B96C52"/>
    <w:rsid w:val="00B96C53"/>
    <w:rsid w:val="00B96E50"/>
    <w:rsid w:val="00B973D0"/>
    <w:rsid w:val="00B975CF"/>
    <w:rsid w:val="00BA0471"/>
    <w:rsid w:val="00BA0F89"/>
    <w:rsid w:val="00BA1049"/>
    <w:rsid w:val="00BA179D"/>
    <w:rsid w:val="00BA17A7"/>
    <w:rsid w:val="00BA1AFD"/>
    <w:rsid w:val="00BA217B"/>
    <w:rsid w:val="00BA2A85"/>
    <w:rsid w:val="00BA4525"/>
    <w:rsid w:val="00BA475F"/>
    <w:rsid w:val="00BA4BFB"/>
    <w:rsid w:val="00BA510A"/>
    <w:rsid w:val="00BA51F6"/>
    <w:rsid w:val="00BA5B47"/>
    <w:rsid w:val="00BA5ED6"/>
    <w:rsid w:val="00BA62EF"/>
    <w:rsid w:val="00BA648B"/>
    <w:rsid w:val="00BA6818"/>
    <w:rsid w:val="00BA77DE"/>
    <w:rsid w:val="00BA782E"/>
    <w:rsid w:val="00BA7A25"/>
    <w:rsid w:val="00BA7B21"/>
    <w:rsid w:val="00BA7F1B"/>
    <w:rsid w:val="00BB05F4"/>
    <w:rsid w:val="00BB0630"/>
    <w:rsid w:val="00BB0CA5"/>
    <w:rsid w:val="00BB0F61"/>
    <w:rsid w:val="00BB12F6"/>
    <w:rsid w:val="00BB13AC"/>
    <w:rsid w:val="00BB14DD"/>
    <w:rsid w:val="00BB174C"/>
    <w:rsid w:val="00BB3436"/>
    <w:rsid w:val="00BB3A7C"/>
    <w:rsid w:val="00BB3C90"/>
    <w:rsid w:val="00BB3D9E"/>
    <w:rsid w:val="00BB48F9"/>
    <w:rsid w:val="00BB491B"/>
    <w:rsid w:val="00BB51DC"/>
    <w:rsid w:val="00BB5776"/>
    <w:rsid w:val="00BB591D"/>
    <w:rsid w:val="00BB5B56"/>
    <w:rsid w:val="00BB6172"/>
    <w:rsid w:val="00BB6853"/>
    <w:rsid w:val="00BB6B0B"/>
    <w:rsid w:val="00BB6C0B"/>
    <w:rsid w:val="00BB6DEB"/>
    <w:rsid w:val="00BB6E54"/>
    <w:rsid w:val="00BB6F1C"/>
    <w:rsid w:val="00BB7144"/>
    <w:rsid w:val="00BB772D"/>
    <w:rsid w:val="00BB7A21"/>
    <w:rsid w:val="00BB7BF1"/>
    <w:rsid w:val="00BB7DB2"/>
    <w:rsid w:val="00BC062E"/>
    <w:rsid w:val="00BC091B"/>
    <w:rsid w:val="00BC13E1"/>
    <w:rsid w:val="00BC147D"/>
    <w:rsid w:val="00BC14C0"/>
    <w:rsid w:val="00BC23C0"/>
    <w:rsid w:val="00BC265E"/>
    <w:rsid w:val="00BC2978"/>
    <w:rsid w:val="00BC3563"/>
    <w:rsid w:val="00BC3677"/>
    <w:rsid w:val="00BC5795"/>
    <w:rsid w:val="00BC5D84"/>
    <w:rsid w:val="00BC66F9"/>
    <w:rsid w:val="00BC6794"/>
    <w:rsid w:val="00BC6B0B"/>
    <w:rsid w:val="00BC730B"/>
    <w:rsid w:val="00BC7C23"/>
    <w:rsid w:val="00BD00C1"/>
    <w:rsid w:val="00BD0750"/>
    <w:rsid w:val="00BD0E33"/>
    <w:rsid w:val="00BD1B8C"/>
    <w:rsid w:val="00BD1C96"/>
    <w:rsid w:val="00BD1D83"/>
    <w:rsid w:val="00BD283C"/>
    <w:rsid w:val="00BD35F1"/>
    <w:rsid w:val="00BD37BA"/>
    <w:rsid w:val="00BD383C"/>
    <w:rsid w:val="00BD4B63"/>
    <w:rsid w:val="00BD4CCC"/>
    <w:rsid w:val="00BD5031"/>
    <w:rsid w:val="00BD541B"/>
    <w:rsid w:val="00BD601C"/>
    <w:rsid w:val="00BD70AE"/>
    <w:rsid w:val="00BD7218"/>
    <w:rsid w:val="00BE0DCB"/>
    <w:rsid w:val="00BE1859"/>
    <w:rsid w:val="00BE24E9"/>
    <w:rsid w:val="00BE2D0C"/>
    <w:rsid w:val="00BE3970"/>
    <w:rsid w:val="00BE422F"/>
    <w:rsid w:val="00BE4477"/>
    <w:rsid w:val="00BE4973"/>
    <w:rsid w:val="00BE4B93"/>
    <w:rsid w:val="00BE538C"/>
    <w:rsid w:val="00BE6738"/>
    <w:rsid w:val="00BE756C"/>
    <w:rsid w:val="00BE7822"/>
    <w:rsid w:val="00BE7934"/>
    <w:rsid w:val="00BE7AC2"/>
    <w:rsid w:val="00BF01F1"/>
    <w:rsid w:val="00BF04AD"/>
    <w:rsid w:val="00BF07D6"/>
    <w:rsid w:val="00BF0A42"/>
    <w:rsid w:val="00BF1740"/>
    <w:rsid w:val="00BF2184"/>
    <w:rsid w:val="00BF2F32"/>
    <w:rsid w:val="00BF381C"/>
    <w:rsid w:val="00BF4607"/>
    <w:rsid w:val="00BF4733"/>
    <w:rsid w:val="00BF498B"/>
    <w:rsid w:val="00BF4EB8"/>
    <w:rsid w:val="00BF5363"/>
    <w:rsid w:val="00BF5D42"/>
    <w:rsid w:val="00BF60CD"/>
    <w:rsid w:val="00BF6690"/>
    <w:rsid w:val="00BF74EB"/>
    <w:rsid w:val="00BF7E99"/>
    <w:rsid w:val="00C0040C"/>
    <w:rsid w:val="00C00469"/>
    <w:rsid w:val="00C0047B"/>
    <w:rsid w:val="00C010FA"/>
    <w:rsid w:val="00C01B68"/>
    <w:rsid w:val="00C01BB0"/>
    <w:rsid w:val="00C0279B"/>
    <w:rsid w:val="00C02F70"/>
    <w:rsid w:val="00C03FC3"/>
    <w:rsid w:val="00C042FB"/>
    <w:rsid w:val="00C047D8"/>
    <w:rsid w:val="00C05422"/>
    <w:rsid w:val="00C05541"/>
    <w:rsid w:val="00C0591B"/>
    <w:rsid w:val="00C0643E"/>
    <w:rsid w:val="00C06FD8"/>
    <w:rsid w:val="00C0716F"/>
    <w:rsid w:val="00C07452"/>
    <w:rsid w:val="00C07AE4"/>
    <w:rsid w:val="00C10A2E"/>
    <w:rsid w:val="00C10E4A"/>
    <w:rsid w:val="00C10F84"/>
    <w:rsid w:val="00C1163D"/>
    <w:rsid w:val="00C11958"/>
    <w:rsid w:val="00C11D67"/>
    <w:rsid w:val="00C11E76"/>
    <w:rsid w:val="00C12084"/>
    <w:rsid w:val="00C120B4"/>
    <w:rsid w:val="00C129C1"/>
    <w:rsid w:val="00C13EC6"/>
    <w:rsid w:val="00C14064"/>
    <w:rsid w:val="00C14145"/>
    <w:rsid w:val="00C14748"/>
    <w:rsid w:val="00C14817"/>
    <w:rsid w:val="00C14D49"/>
    <w:rsid w:val="00C15346"/>
    <w:rsid w:val="00C15E18"/>
    <w:rsid w:val="00C16DA8"/>
    <w:rsid w:val="00C17CD2"/>
    <w:rsid w:val="00C17D16"/>
    <w:rsid w:val="00C17EC4"/>
    <w:rsid w:val="00C202DC"/>
    <w:rsid w:val="00C20431"/>
    <w:rsid w:val="00C20D32"/>
    <w:rsid w:val="00C20DA8"/>
    <w:rsid w:val="00C20DF3"/>
    <w:rsid w:val="00C21563"/>
    <w:rsid w:val="00C21792"/>
    <w:rsid w:val="00C21910"/>
    <w:rsid w:val="00C21E6C"/>
    <w:rsid w:val="00C21FFB"/>
    <w:rsid w:val="00C2200C"/>
    <w:rsid w:val="00C220B5"/>
    <w:rsid w:val="00C22309"/>
    <w:rsid w:val="00C224D0"/>
    <w:rsid w:val="00C22E40"/>
    <w:rsid w:val="00C22E4B"/>
    <w:rsid w:val="00C22E7B"/>
    <w:rsid w:val="00C23E65"/>
    <w:rsid w:val="00C240D2"/>
    <w:rsid w:val="00C24652"/>
    <w:rsid w:val="00C24886"/>
    <w:rsid w:val="00C24A19"/>
    <w:rsid w:val="00C24A20"/>
    <w:rsid w:val="00C251CF"/>
    <w:rsid w:val="00C25770"/>
    <w:rsid w:val="00C2619D"/>
    <w:rsid w:val="00C262DD"/>
    <w:rsid w:val="00C26352"/>
    <w:rsid w:val="00C2636E"/>
    <w:rsid w:val="00C268C6"/>
    <w:rsid w:val="00C27B63"/>
    <w:rsid w:val="00C27F83"/>
    <w:rsid w:val="00C3074B"/>
    <w:rsid w:val="00C30904"/>
    <w:rsid w:val="00C310EC"/>
    <w:rsid w:val="00C318AF"/>
    <w:rsid w:val="00C31D26"/>
    <w:rsid w:val="00C321FC"/>
    <w:rsid w:val="00C324F0"/>
    <w:rsid w:val="00C3267E"/>
    <w:rsid w:val="00C327BC"/>
    <w:rsid w:val="00C33435"/>
    <w:rsid w:val="00C3360B"/>
    <w:rsid w:val="00C3385B"/>
    <w:rsid w:val="00C34193"/>
    <w:rsid w:val="00C342B1"/>
    <w:rsid w:val="00C35323"/>
    <w:rsid w:val="00C35747"/>
    <w:rsid w:val="00C35A2D"/>
    <w:rsid w:val="00C3671C"/>
    <w:rsid w:val="00C3678C"/>
    <w:rsid w:val="00C368B2"/>
    <w:rsid w:val="00C36FB7"/>
    <w:rsid w:val="00C37102"/>
    <w:rsid w:val="00C37435"/>
    <w:rsid w:val="00C37A49"/>
    <w:rsid w:val="00C4227F"/>
    <w:rsid w:val="00C42302"/>
    <w:rsid w:val="00C43770"/>
    <w:rsid w:val="00C43DB2"/>
    <w:rsid w:val="00C43F3C"/>
    <w:rsid w:val="00C44B2F"/>
    <w:rsid w:val="00C4508E"/>
    <w:rsid w:val="00C45463"/>
    <w:rsid w:val="00C46905"/>
    <w:rsid w:val="00C4786D"/>
    <w:rsid w:val="00C47DE2"/>
    <w:rsid w:val="00C50543"/>
    <w:rsid w:val="00C505BA"/>
    <w:rsid w:val="00C50835"/>
    <w:rsid w:val="00C5157D"/>
    <w:rsid w:val="00C52726"/>
    <w:rsid w:val="00C52A31"/>
    <w:rsid w:val="00C52CEE"/>
    <w:rsid w:val="00C530B7"/>
    <w:rsid w:val="00C53869"/>
    <w:rsid w:val="00C53C97"/>
    <w:rsid w:val="00C56DA7"/>
    <w:rsid w:val="00C56EA1"/>
    <w:rsid w:val="00C57277"/>
    <w:rsid w:val="00C57319"/>
    <w:rsid w:val="00C57A60"/>
    <w:rsid w:val="00C57C31"/>
    <w:rsid w:val="00C60E54"/>
    <w:rsid w:val="00C60ED4"/>
    <w:rsid w:val="00C61032"/>
    <w:rsid w:val="00C61102"/>
    <w:rsid w:val="00C61E12"/>
    <w:rsid w:val="00C620C3"/>
    <w:rsid w:val="00C6241F"/>
    <w:rsid w:val="00C624A9"/>
    <w:rsid w:val="00C62B22"/>
    <w:rsid w:val="00C63304"/>
    <w:rsid w:val="00C63BC0"/>
    <w:rsid w:val="00C63D7F"/>
    <w:rsid w:val="00C63FA3"/>
    <w:rsid w:val="00C64D09"/>
    <w:rsid w:val="00C65AE0"/>
    <w:rsid w:val="00C661CD"/>
    <w:rsid w:val="00C66925"/>
    <w:rsid w:val="00C66FFA"/>
    <w:rsid w:val="00C6779C"/>
    <w:rsid w:val="00C67BA4"/>
    <w:rsid w:val="00C702FB"/>
    <w:rsid w:val="00C70B35"/>
    <w:rsid w:val="00C7112E"/>
    <w:rsid w:val="00C71A7E"/>
    <w:rsid w:val="00C71B29"/>
    <w:rsid w:val="00C71C06"/>
    <w:rsid w:val="00C71FAC"/>
    <w:rsid w:val="00C7234C"/>
    <w:rsid w:val="00C7346A"/>
    <w:rsid w:val="00C736A6"/>
    <w:rsid w:val="00C737B3"/>
    <w:rsid w:val="00C73BEB"/>
    <w:rsid w:val="00C73F09"/>
    <w:rsid w:val="00C744C0"/>
    <w:rsid w:val="00C74D6B"/>
    <w:rsid w:val="00C7524C"/>
    <w:rsid w:val="00C75AA9"/>
    <w:rsid w:val="00C766FC"/>
    <w:rsid w:val="00C76D6D"/>
    <w:rsid w:val="00C776FD"/>
    <w:rsid w:val="00C7774B"/>
    <w:rsid w:val="00C77879"/>
    <w:rsid w:val="00C77DF2"/>
    <w:rsid w:val="00C8020F"/>
    <w:rsid w:val="00C804E2"/>
    <w:rsid w:val="00C81842"/>
    <w:rsid w:val="00C8201D"/>
    <w:rsid w:val="00C8225E"/>
    <w:rsid w:val="00C82DF5"/>
    <w:rsid w:val="00C83948"/>
    <w:rsid w:val="00C83FC0"/>
    <w:rsid w:val="00C84351"/>
    <w:rsid w:val="00C84552"/>
    <w:rsid w:val="00C848BA"/>
    <w:rsid w:val="00C84F98"/>
    <w:rsid w:val="00C852CD"/>
    <w:rsid w:val="00C85810"/>
    <w:rsid w:val="00C86A07"/>
    <w:rsid w:val="00C87468"/>
    <w:rsid w:val="00C8799A"/>
    <w:rsid w:val="00C87FF5"/>
    <w:rsid w:val="00C903B9"/>
    <w:rsid w:val="00C90800"/>
    <w:rsid w:val="00C90877"/>
    <w:rsid w:val="00C91770"/>
    <w:rsid w:val="00C91C46"/>
    <w:rsid w:val="00C91E35"/>
    <w:rsid w:val="00C921B9"/>
    <w:rsid w:val="00C93087"/>
    <w:rsid w:val="00C93165"/>
    <w:rsid w:val="00C93944"/>
    <w:rsid w:val="00C9424C"/>
    <w:rsid w:val="00C94297"/>
    <w:rsid w:val="00C94660"/>
    <w:rsid w:val="00C94796"/>
    <w:rsid w:val="00C94C8D"/>
    <w:rsid w:val="00C9533D"/>
    <w:rsid w:val="00C95411"/>
    <w:rsid w:val="00C955AD"/>
    <w:rsid w:val="00C955D7"/>
    <w:rsid w:val="00C95F4E"/>
    <w:rsid w:val="00C96502"/>
    <w:rsid w:val="00C9688C"/>
    <w:rsid w:val="00C971AB"/>
    <w:rsid w:val="00C97654"/>
    <w:rsid w:val="00C978C8"/>
    <w:rsid w:val="00C97BC4"/>
    <w:rsid w:val="00C97E35"/>
    <w:rsid w:val="00CA043B"/>
    <w:rsid w:val="00CA062B"/>
    <w:rsid w:val="00CA0CFC"/>
    <w:rsid w:val="00CA1C86"/>
    <w:rsid w:val="00CA1CBB"/>
    <w:rsid w:val="00CA1D40"/>
    <w:rsid w:val="00CA2076"/>
    <w:rsid w:val="00CA2E6A"/>
    <w:rsid w:val="00CA301A"/>
    <w:rsid w:val="00CA33FB"/>
    <w:rsid w:val="00CA3632"/>
    <w:rsid w:val="00CA3981"/>
    <w:rsid w:val="00CA4552"/>
    <w:rsid w:val="00CA46A4"/>
    <w:rsid w:val="00CA4B8E"/>
    <w:rsid w:val="00CA4CB1"/>
    <w:rsid w:val="00CA52BC"/>
    <w:rsid w:val="00CA5A78"/>
    <w:rsid w:val="00CA5BD2"/>
    <w:rsid w:val="00CA6039"/>
    <w:rsid w:val="00CA6484"/>
    <w:rsid w:val="00CA68D4"/>
    <w:rsid w:val="00CB0479"/>
    <w:rsid w:val="00CB0A16"/>
    <w:rsid w:val="00CB0F3D"/>
    <w:rsid w:val="00CB1696"/>
    <w:rsid w:val="00CB1DCD"/>
    <w:rsid w:val="00CB2774"/>
    <w:rsid w:val="00CB285D"/>
    <w:rsid w:val="00CB2A32"/>
    <w:rsid w:val="00CB41FA"/>
    <w:rsid w:val="00CB4562"/>
    <w:rsid w:val="00CB47F9"/>
    <w:rsid w:val="00CB4D3C"/>
    <w:rsid w:val="00CB4F91"/>
    <w:rsid w:val="00CB5516"/>
    <w:rsid w:val="00CB5679"/>
    <w:rsid w:val="00CB5713"/>
    <w:rsid w:val="00CB68A2"/>
    <w:rsid w:val="00CB731B"/>
    <w:rsid w:val="00CB74A7"/>
    <w:rsid w:val="00CB7F3B"/>
    <w:rsid w:val="00CC01EB"/>
    <w:rsid w:val="00CC0A7F"/>
    <w:rsid w:val="00CC150E"/>
    <w:rsid w:val="00CC158F"/>
    <w:rsid w:val="00CC1F66"/>
    <w:rsid w:val="00CC25FD"/>
    <w:rsid w:val="00CC2932"/>
    <w:rsid w:val="00CC2CA2"/>
    <w:rsid w:val="00CC2E5B"/>
    <w:rsid w:val="00CC2E62"/>
    <w:rsid w:val="00CC2FBC"/>
    <w:rsid w:val="00CC30CE"/>
    <w:rsid w:val="00CC327F"/>
    <w:rsid w:val="00CC3624"/>
    <w:rsid w:val="00CC474A"/>
    <w:rsid w:val="00CC4BE7"/>
    <w:rsid w:val="00CC4C03"/>
    <w:rsid w:val="00CC4C62"/>
    <w:rsid w:val="00CC4D1A"/>
    <w:rsid w:val="00CC4EF2"/>
    <w:rsid w:val="00CC56A1"/>
    <w:rsid w:val="00CC61AA"/>
    <w:rsid w:val="00CC6875"/>
    <w:rsid w:val="00CC71A0"/>
    <w:rsid w:val="00CC75C2"/>
    <w:rsid w:val="00CC778A"/>
    <w:rsid w:val="00CC7F41"/>
    <w:rsid w:val="00CD0246"/>
    <w:rsid w:val="00CD03CF"/>
    <w:rsid w:val="00CD0842"/>
    <w:rsid w:val="00CD157B"/>
    <w:rsid w:val="00CD1B67"/>
    <w:rsid w:val="00CD21FE"/>
    <w:rsid w:val="00CD23D6"/>
    <w:rsid w:val="00CD2656"/>
    <w:rsid w:val="00CD365A"/>
    <w:rsid w:val="00CD3911"/>
    <w:rsid w:val="00CD3912"/>
    <w:rsid w:val="00CD3F18"/>
    <w:rsid w:val="00CD45E3"/>
    <w:rsid w:val="00CD4B8D"/>
    <w:rsid w:val="00CD5618"/>
    <w:rsid w:val="00CD5857"/>
    <w:rsid w:val="00CD5FFD"/>
    <w:rsid w:val="00CD688F"/>
    <w:rsid w:val="00CD6ACE"/>
    <w:rsid w:val="00CD7CCB"/>
    <w:rsid w:val="00CE02E6"/>
    <w:rsid w:val="00CE1043"/>
    <w:rsid w:val="00CE1B0F"/>
    <w:rsid w:val="00CE1F2E"/>
    <w:rsid w:val="00CE1F54"/>
    <w:rsid w:val="00CE31E5"/>
    <w:rsid w:val="00CE344C"/>
    <w:rsid w:val="00CE3564"/>
    <w:rsid w:val="00CE3ADC"/>
    <w:rsid w:val="00CE419A"/>
    <w:rsid w:val="00CE4A7E"/>
    <w:rsid w:val="00CE5D82"/>
    <w:rsid w:val="00CE6528"/>
    <w:rsid w:val="00CE6B16"/>
    <w:rsid w:val="00CE6BB0"/>
    <w:rsid w:val="00CE6F27"/>
    <w:rsid w:val="00CE7054"/>
    <w:rsid w:val="00CE76D3"/>
    <w:rsid w:val="00CE79FE"/>
    <w:rsid w:val="00CE7B16"/>
    <w:rsid w:val="00CE7E16"/>
    <w:rsid w:val="00CF010F"/>
    <w:rsid w:val="00CF01A9"/>
    <w:rsid w:val="00CF072B"/>
    <w:rsid w:val="00CF0ADD"/>
    <w:rsid w:val="00CF0AFE"/>
    <w:rsid w:val="00CF0D20"/>
    <w:rsid w:val="00CF1132"/>
    <w:rsid w:val="00CF176A"/>
    <w:rsid w:val="00CF20CC"/>
    <w:rsid w:val="00CF2344"/>
    <w:rsid w:val="00CF28EE"/>
    <w:rsid w:val="00CF2E9D"/>
    <w:rsid w:val="00CF3159"/>
    <w:rsid w:val="00CF3471"/>
    <w:rsid w:val="00CF347A"/>
    <w:rsid w:val="00CF402D"/>
    <w:rsid w:val="00CF431B"/>
    <w:rsid w:val="00CF500C"/>
    <w:rsid w:val="00CF5577"/>
    <w:rsid w:val="00CF62A8"/>
    <w:rsid w:val="00CF67BC"/>
    <w:rsid w:val="00CF6D2B"/>
    <w:rsid w:val="00CF6DF4"/>
    <w:rsid w:val="00CF6EA7"/>
    <w:rsid w:val="00CF6EFA"/>
    <w:rsid w:val="00CF75DB"/>
    <w:rsid w:val="00CF7684"/>
    <w:rsid w:val="00D0024E"/>
    <w:rsid w:val="00D00F0F"/>
    <w:rsid w:val="00D00FC1"/>
    <w:rsid w:val="00D00FC7"/>
    <w:rsid w:val="00D01CE9"/>
    <w:rsid w:val="00D0212E"/>
    <w:rsid w:val="00D02668"/>
    <w:rsid w:val="00D0406E"/>
    <w:rsid w:val="00D0482E"/>
    <w:rsid w:val="00D04A80"/>
    <w:rsid w:val="00D04F7B"/>
    <w:rsid w:val="00D050A6"/>
    <w:rsid w:val="00D0512C"/>
    <w:rsid w:val="00D06211"/>
    <w:rsid w:val="00D067E7"/>
    <w:rsid w:val="00D06E9F"/>
    <w:rsid w:val="00D06FFF"/>
    <w:rsid w:val="00D07B7D"/>
    <w:rsid w:val="00D113E7"/>
    <w:rsid w:val="00D116F0"/>
    <w:rsid w:val="00D119B8"/>
    <w:rsid w:val="00D11B26"/>
    <w:rsid w:val="00D122BD"/>
    <w:rsid w:val="00D12A77"/>
    <w:rsid w:val="00D12E24"/>
    <w:rsid w:val="00D12E4D"/>
    <w:rsid w:val="00D13CD4"/>
    <w:rsid w:val="00D14332"/>
    <w:rsid w:val="00D15178"/>
    <w:rsid w:val="00D1522A"/>
    <w:rsid w:val="00D15901"/>
    <w:rsid w:val="00D15B0C"/>
    <w:rsid w:val="00D167E6"/>
    <w:rsid w:val="00D16F7A"/>
    <w:rsid w:val="00D16F9B"/>
    <w:rsid w:val="00D17457"/>
    <w:rsid w:val="00D17611"/>
    <w:rsid w:val="00D17E36"/>
    <w:rsid w:val="00D17E92"/>
    <w:rsid w:val="00D20677"/>
    <w:rsid w:val="00D21A5A"/>
    <w:rsid w:val="00D21BA4"/>
    <w:rsid w:val="00D22863"/>
    <w:rsid w:val="00D22A36"/>
    <w:rsid w:val="00D23502"/>
    <w:rsid w:val="00D24778"/>
    <w:rsid w:val="00D25ADF"/>
    <w:rsid w:val="00D25BE6"/>
    <w:rsid w:val="00D25C2E"/>
    <w:rsid w:val="00D25D00"/>
    <w:rsid w:val="00D25FFA"/>
    <w:rsid w:val="00D264A4"/>
    <w:rsid w:val="00D26C79"/>
    <w:rsid w:val="00D26DF4"/>
    <w:rsid w:val="00D26E87"/>
    <w:rsid w:val="00D27086"/>
    <w:rsid w:val="00D27CDB"/>
    <w:rsid w:val="00D30458"/>
    <w:rsid w:val="00D30B67"/>
    <w:rsid w:val="00D30BE1"/>
    <w:rsid w:val="00D30D2F"/>
    <w:rsid w:val="00D31333"/>
    <w:rsid w:val="00D31529"/>
    <w:rsid w:val="00D3190D"/>
    <w:rsid w:val="00D3320D"/>
    <w:rsid w:val="00D3345B"/>
    <w:rsid w:val="00D33974"/>
    <w:rsid w:val="00D340C1"/>
    <w:rsid w:val="00D34219"/>
    <w:rsid w:val="00D346EB"/>
    <w:rsid w:val="00D34895"/>
    <w:rsid w:val="00D350F8"/>
    <w:rsid w:val="00D353B8"/>
    <w:rsid w:val="00D35DEF"/>
    <w:rsid w:val="00D362D1"/>
    <w:rsid w:val="00D36FEC"/>
    <w:rsid w:val="00D3723B"/>
    <w:rsid w:val="00D374CF"/>
    <w:rsid w:val="00D377B1"/>
    <w:rsid w:val="00D37996"/>
    <w:rsid w:val="00D37DF7"/>
    <w:rsid w:val="00D405B2"/>
    <w:rsid w:val="00D4101C"/>
    <w:rsid w:val="00D411AB"/>
    <w:rsid w:val="00D4180D"/>
    <w:rsid w:val="00D41BD7"/>
    <w:rsid w:val="00D41D83"/>
    <w:rsid w:val="00D41E32"/>
    <w:rsid w:val="00D42078"/>
    <w:rsid w:val="00D42726"/>
    <w:rsid w:val="00D42A50"/>
    <w:rsid w:val="00D42CC1"/>
    <w:rsid w:val="00D42F6C"/>
    <w:rsid w:val="00D43A1F"/>
    <w:rsid w:val="00D44755"/>
    <w:rsid w:val="00D44866"/>
    <w:rsid w:val="00D45EDA"/>
    <w:rsid w:val="00D46126"/>
    <w:rsid w:val="00D47048"/>
    <w:rsid w:val="00D474B0"/>
    <w:rsid w:val="00D47580"/>
    <w:rsid w:val="00D508A2"/>
    <w:rsid w:val="00D50DFF"/>
    <w:rsid w:val="00D512A4"/>
    <w:rsid w:val="00D5138A"/>
    <w:rsid w:val="00D51A7A"/>
    <w:rsid w:val="00D521C2"/>
    <w:rsid w:val="00D53401"/>
    <w:rsid w:val="00D5370C"/>
    <w:rsid w:val="00D53A72"/>
    <w:rsid w:val="00D54213"/>
    <w:rsid w:val="00D54F96"/>
    <w:rsid w:val="00D5509A"/>
    <w:rsid w:val="00D56D7F"/>
    <w:rsid w:val="00D57027"/>
    <w:rsid w:val="00D570F3"/>
    <w:rsid w:val="00D57379"/>
    <w:rsid w:val="00D578DF"/>
    <w:rsid w:val="00D60147"/>
    <w:rsid w:val="00D6064B"/>
    <w:rsid w:val="00D608CE"/>
    <w:rsid w:val="00D609B2"/>
    <w:rsid w:val="00D609BF"/>
    <w:rsid w:val="00D60C25"/>
    <w:rsid w:val="00D60DEF"/>
    <w:rsid w:val="00D61D9D"/>
    <w:rsid w:val="00D62119"/>
    <w:rsid w:val="00D6217D"/>
    <w:rsid w:val="00D6231B"/>
    <w:rsid w:val="00D62DFA"/>
    <w:rsid w:val="00D63ACC"/>
    <w:rsid w:val="00D640F3"/>
    <w:rsid w:val="00D65E2D"/>
    <w:rsid w:val="00D66949"/>
    <w:rsid w:val="00D67A60"/>
    <w:rsid w:val="00D70016"/>
    <w:rsid w:val="00D70178"/>
    <w:rsid w:val="00D701D4"/>
    <w:rsid w:val="00D703F6"/>
    <w:rsid w:val="00D7100B"/>
    <w:rsid w:val="00D71336"/>
    <w:rsid w:val="00D71461"/>
    <w:rsid w:val="00D71471"/>
    <w:rsid w:val="00D714AC"/>
    <w:rsid w:val="00D71C56"/>
    <w:rsid w:val="00D7211E"/>
    <w:rsid w:val="00D72859"/>
    <w:rsid w:val="00D72BCB"/>
    <w:rsid w:val="00D72C2A"/>
    <w:rsid w:val="00D73826"/>
    <w:rsid w:val="00D73AC8"/>
    <w:rsid w:val="00D73C72"/>
    <w:rsid w:val="00D73DDB"/>
    <w:rsid w:val="00D7519D"/>
    <w:rsid w:val="00D75281"/>
    <w:rsid w:val="00D75B25"/>
    <w:rsid w:val="00D7657C"/>
    <w:rsid w:val="00D76BAD"/>
    <w:rsid w:val="00D76E8B"/>
    <w:rsid w:val="00D76F14"/>
    <w:rsid w:val="00D76F16"/>
    <w:rsid w:val="00D7706C"/>
    <w:rsid w:val="00D77433"/>
    <w:rsid w:val="00D80A82"/>
    <w:rsid w:val="00D80F0E"/>
    <w:rsid w:val="00D810BB"/>
    <w:rsid w:val="00D814EC"/>
    <w:rsid w:val="00D81801"/>
    <w:rsid w:val="00D8205D"/>
    <w:rsid w:val="00D825C5"/>
    <w:rsid w:val="00D82A69"/>
    <w:rsid w:val="00D82E60"/>
    <w:rsid w:val="00D82FCF"/>
    <w:rsid w:val="00D844C1"/>
    <w:rsid w:val="00D846FB"/>
    <w:rsid w:val="00D84B97"/>
    <w:rsid w:val="00D84E58"/>
    <w:rsid w:val="00D84E93"/>
    <w:rsid w:val="00D85673"/>
    <w:rsid w:val="00D8567A"/>
    <w:rsid w:val="00D86512"/>
    <w:rsid w:val="00D86695"/>
    <w:rsid w:val="00D867A8"/>
    <w:rsid w:val="00D86A06"/>
    <w:rsid w:val="00D86ABB"/>
    <w:rsid w:val="00D86AD8"/>
    <w:rsid w:val="00D87080"/>
    <w:rsid w:val="00D87115"/>
    <w:rsid w:val="00D879C1"/>
    <w:rsid w:val="00D9051D"/>
    <w:rsid w:val="00D90A77"/>
    <w:rsid w:val="00D90BA1"/>
    <w:rsid w:val="00D91893"/>
    <w:rsid w:val="00D91911"/>
    <w:rsid w:val="00D91B8A"/>
    <w:rsid w:val="00D9376B"/>
    <w:rsid w:val="00D93E53"/>
    <w:rsid w:val="00D941BA"/>
    <w:rsid w:val="00D9449B"/>
    <w:rsid w:val="00D94A33"/>
    <w:rsid w:val="00D95349"/>
    <w:rsid w:val="00D967F6"/>
    <w:rsid w:val="00D97CB3"/>
    <w:rsid w:val="00DA018F"/>
    <w:rsid w:val="00DA037D"/>
    <w:rsid w:val="00DA0ADB"/>
    <w:rsid w:val="00DA182E"/>
    <w:rsid w:val="00DA1E23"/>
    <w:rsid w:val="00DA32AF"/>
    <w:rsid w:val="00DA33EF"/>
    <w:rsid w:val="00DA35AD"/>
    <w:rsid w:val="00DA3EAD"/>
    <w:rsid w:val="00DA3EE9"/>
    <w:rsid w:val="00DA4370"/>
    <w:rsid w:val="00DA477A"/>
    <w:rsid w:val="00DA4973"/>
    <w:rsid w:val="00DA5172"/>
    <w:rsid w:val="00DA5259"/>
    <w:rsid w:val="00DA545B"/>
    <w:rsid w:val="00DA5A10"/>
    <w:rsid w:val="00DA5D6A"/>
    <w:rsid w:val="00DA67B4"/>
    <w:rsid w:val="00DA6B61"/>
    <w:rsid w:val="00DA6CF4"/>
    <w:rsid w:val="00DA70E8"/>
    <w:rsid w:val="00DA73AF"/>
    <w:rsid w:val="00DA7CFE"/>
    <w:rsid w:val="00DB0056"/>
    <w:rsid w:val="00DB016D"/>
    <w:rsid w:val="00DB0C10"/>
    <w:rsid w:val="00DB0C40"/>
    <w:rsid w:val="00DB0DD9"/>
    <w:rsid w:val="00DB1023"/>
    <w:rsid w:val="00DB1950"/>
    <w:rsid w:val="00DB2032"/>
    <w:rsid w:val="00DB2A7D"/>
    <w:rsid w:val="00DB30F4"/>
    <w:rsid w:val="00DB39E2"/>
    <w:rsid w:val="00DB3A12"/>
    <w:rsid w:val="00DB3D95"/>
    <w:rsid w:val="00DB3E37"/>
    <w:rsid w:val="00DB3EE0"/>
    <w:rsid w:val="00DB49CD"/>
    <w:rsid w:val="00DB4D2C"/>
    <w:rsid w:val="00DB4E7F"/>
    <w:rsid w:val="00DB4FAD"/>
    <w:rsid w:val="00DB59FC"/>
    <w:rsid w:val="00DB5AB4"/>
    <w:rsid w:val="00DB6E07"/>
    <w:rsid w:val="00DB73D7"/>
    <w:rsid w:val="00DB7541"/>
    <w:rsid w:val="00DB7D54"/>
    <w:rsid w:val="00DB7ED2"/>
    <w:rsid w:val="00DC00C5"/>
    <w:rsid w:val="00DC0D2B"/>
    <w:rsid w:val="00DC0E44"/>
    <w:rsid w:val="00DC17AE"/>
    <w:rsid w:val="00DC1926"/>
    <w:rsid w:val="00DC1C01"/>
    <w:rsid w:val="00DC1E36"/>
    <w:rsid w:val="00DC2670"/>
    <w:rsid w:val="00DC2886"/>
    <w:rsid w:val="00DC2A62"/>
    <w:rsid w:val="00DC2C50"/>
    <w:rsid w:val="00DC30EE"/>
    <w:rsid w:val="00DC390F"/>
    <w:rsid w:val="00DC3A85"/>
    <w:rsid w:val="00DC3E38"/>
    <w:rsid w:val="00DC46CB"/>
    <w:rsid w:val="00DC5CE2"/>
    <w:rsid w:val="00DC5DB6"/>
    <w:rsid w:val="00DC6BB2"/>
    <w:rsid w:val="00DC7552"/>
    <w:rsid w:val="00DC7624"/>
    <w:rsid w:val="00DC7C54"/>
    <w:rsid w:val="00DC7D21"/>
    <w:rsid w:val="00DD0024"/>
    <w:rsid w:val="00DD0241"/>
    <w:rsid w:val="00DD0E81"/>
    <w:rsid w:val="00DD2301"/>
    <w:rsid w:val="00DD2520"/>
    <w:rsid w:val="00DD28FB"/>
    <w:rsid w:val="00DD30CB"/>
    <w:rsid w:val="00DD3791"/>
    <w:rsid w:val="00DD3A1E"/>
    <w:rsid w:val="00DD4752"/>
    <w:rsid w:val="00DD488F"/>
    <w:rsid w:val="00DD4D46"/>
    <w:rsid w:val="00DD4DAF"/>
    <w:rsid w:val="00DD56E2"/>
    <w:rsid w:val="00DD5948"/>
    <w:rsid w:val="00DD6294"/>
    <w:rsid w:val="00DD67E5"/>
    <w:rsid w:val="00DD6A57"/>
    <w:rsid w:val="00DD6DE4"/>
    <w:rsid w:val="00DD7848"/>
    <w:rsid w:val="00DD7EAF"/>
    <w:rsid w:val="00DE013A"/>
    <w:rsid w:val="00DE0DAC"/>
    <w:rsid w:val="00DE0FBE"/>
    <w:rsid w:val="00DE1B18"/>
    <w:rsid w:val="00DE1D5F"/>
    <w:rsid w:val="00DE20F1"/>
    <w:rsid w:val="00DE21F5"/>
    <w:rsid w:val="00DE2445"/>
    <w:rsid w:val="00DE2792"/>
    <w:rsid w:val="00DE2EB4"/>
    <w:rsid w:val="00DE34E7"/>
    <w:rsid w:val="00DE357C"/>
    <w:rsid w:val="00DE3650"/>
    <w:rsid w:val="00DE37AE"/>
    <w:rsid w:val="00DE38E9"/>
    <w:rsid w:val="00DE3A21"/>
    <w:rsid w:val="00DE3CCD"/>
    <w:rsid w:val="00DE3CE5"/>
    <w:rsid w:val="00DE4063"/>
    <w:rsid w:val="00DE472C"/>
    <w:rsid w:val="00DE5E6C"/>
    <w:rsid w:val="00DE6425"/>
    <w:rsid w:val="00DE6EB9"/>
    <w:rsid w:val="00DE7B6E"/>
    <w:rsid w:val="00DF0532"/>
    <w:rsid w:val="00DF074F"/>
    <w:rsid w:val="00DF0B4D"/>
    <w:rsid w:val="00DF12B3"/>
    <w:rsid w:val="00DF1783"/>
    <w:rsid w:val="00DF1842"/>
    <w:rsid w:val="00DF1A16"/>
    <w:rsid w:val="00DF1C08"/>
    <w:rsid w:val="00DF21F4"/>
    <w:rsid w:val="00DF2583"/>
    <w:rsid w:val="00DF26B1"/>
    <w:rsid w:val="00DF2CE5"/>
    <w:rsid w:val="00DF2E7F"/>
    <w:rsid w:val="00DF3158"/>
    <w:rsid w:val="00DF3219"/>
    <w:rsid w:val="00DF3DA5"/>
    <w:rsid w:val="00DF4435"/>
    <w:rsid w:val="00DF467D"/>
    <w:rsid w:val="00DF47D2"/>
    <w:rsid w:val="00DF47F8"/>
    <w:rsid w:val="00DF4FB9"/>
    <w:rsid w:val="00DF6037"/>
    <w:rsid w:val="00DF60F3"/>
    <w:rsid w:val="00DF7942"/>
    <w:rsid w:val="00DF7C09"/>
    <w:rsid w:val="00E001D0"/>
    <w:rsid w:val="00E00419"/>
    <w:rsid w:val="00E00569"/>
    <w:rsid w:val="00E0064F"/>
    <w:rsid w:val="00E00737"/>
    <w:rsid w:val="00E0085F"/>
    <w:rsid w:val="00E00A9C"/>
    <w:rsid w:val="00E00EF7"/>
    <w:rsid w:val="00E01412"/>
    <w:rsid w:val="00E014CA"/>
    <w:rsid w:val="00E01CA7"/>
    <w:rsid w:val="00E02E95"/>
    <w:rsid w:val="00E033BA"/>
    <w:rsid w:val="00E03692"/>
    <w:rsid w:val="00E036E5"/>
    <w:rsid w:val="00E0382F"/>
    <w:rsid w:val="00E03980"/>
    <w:rsid w:val="00E03D17"/>
    <w:rsid w:val="00E041EC"/>
    <w:rsid w:val="00E04674"/>
    <w:rsid w:val="00E047AD"/>
    <w:rsid w:val="00E050F0"/>
    <w:rsid w:val="00E058EE"/>
    <w:rsid w:val="00E05FC9"/>
    <w:rsid w:val="00E06676"/>
    <w:rsid w:val="00E06836"/>
    <w:rsid w:val="00E06840"/>
    <w:rsid w:val="00E06A0D"/>
    <w:rsid w:val="00E0706D"/>
    <w:rsid w:val="00E075DE"/>
    <w:rsid w:val="00E07AA3"/>
    <w:rsid w:val="00E07AB5"/>
    <w:rsid w:val="00E11DB0"/>
    <w:rsid w:val="00E1213E"/>
    <w:rsid w:val="00E124E7"/>
    <w:rsid w:val="00E12CBB"/>
    <w:rsid w:val="00E12D6C"/>
    <w:rsid w:val="00E12EDF"/>
    <w:rsid w:val="00E132F3"/>
    <w:rsid w:val="00E13E81"/>
    <w:rsid w:val="00E14268"/>
    <w:rsid w:val="00E1448C"/>
    <w:rsid w:val="00E14B7B"/>
    <w:rsid w:val="00E14D04"/>
    <w:rsid w:val="00E1520B"/>
    <w:rsid w:val="00E15B3A"/>
    <w:rsid w:val="00E15B76"/>
    <w:rsid w:val="00E16380"/>
    <w:rsid w:val="00E16B28"/>
    <w:rsid w:val="00E16D2F"/>
    <w:rsid w:val="00E17206"/>
    <w:rsid w:val="00E1720E"/>
    <w:rsid w:val="00E17B40"/>
    <w:rsid w:val="00E17D6E"/>
    <w:rsid w:val="00E17F71"/>
    <w:rsid w:val="00E21224"/>
    <w:rsid w:val="00E22E87"/>
    <w:rsid w:val="00E2360B"/>
    <w:rsid w:val="00E23C52"/>
    <w:rsid w:val="00E23C67"/>
    <w:rsid w:val="00E23CEF"/>
    <w:rsid w:val="00E25014"/>
    <w:rsid w:val="00E25696"/>
    <w:rsid w:val="00E25709"/>
    <w:rsid w:val="00E2631F"/>
    <w:rsid w:val="00E265C0"/>
    <w:rsid w:val="00E26A6B"/>
    <w:rsid w:val="00E27665"/>
    <w:rsid w:val="00E278AC"/>
    <w:rsid w:val="00E278D3"/>
    <w:rsid w:val="00E27BEE"/>
    <w:rsid w:val="00E3052B"/>
    <w:rsid w:val="00E30729"/>
    <w:rsid w:val="00E30D5D"/>
    <w:rsid w:val="00E30DCA"/>
    <w:rsid w:val="00E31710"/>
    <w:rsid w:val="00E32188"/>
    <w:rsid w:val="00E328D8"/>
    <w:rsid w:val="00E32CE2"/>
    <w:rsid w:val="00E32D37"/>
    <w:rsid w:val="00E33A4B"/>
    <w:rsid w:val="00E33C12"/>
    <w:rsid w:val="00E33F65"/>
    <w:rsid w:val="00E34142"/>
    <w:rsid w:val="00E3495E"/>
    <w:rsid w:val="00E3737C"/>
    <w:rsid w:val="00E37667"/>
    <w:rsid w:val="00E406DA"/>
    <w:rsid w:val="00E40850"/>
    <w:rsid w:val="00E4085B"/>
    <w:rsid w:val="00E40ADA"/>
    <w:rsid w:val="00E415FC"/>
    <w:rsid w:val="00E4170E"/>
    <w:rsid w:val="00E41943"/>
    <w:rsid w:val="00E4199C"/>
    <w:rsid w:val="00E4225A"/>
    <w:rsid w:val="00E430B6"/>
    <w:rsid w:val="00E43398"/>
    <w:rsid w:val="00E43FB8"/>
    <w:rsid w:val="00E44214"/>
    <w:rsid w:val="00E44A83"/>
    <w:rsid w:val="00E44BFF"/>
    <w:rsid w:val="00E44C59"/>
    <w:rsid w:val="00E44E7C"/>
    <w:rsid w:val="00E44E8D"/>
    <w:rsid w:val="00E45377"/>
    <w:rsid w:val="00E4549D"/>
    <w:rsid w:val="00E45BF2"/>
    <w:rsid w:val="00E45DEA"/>
    <w:rsid w:val="00E472A3"/>
    <w:rsid w:val="00E47684"/>
    <w:rsid w:val="00E47D29"/>
    <w:rsid w:val="00E47F9B"/>
    <w:rsid w:val="00E50C4C"/>
    <w:rsid w:val="00E50EA9"/>
    <w:rsid w:val="00E51829"/>
    <w:rsid w:val="00E51E48"/>
    <w:rsid w:val="00E52C5F"/>
    <w:rsid w:val="00E5324B"/>
    <w:rsid w:val="00E538FD"/>
    <w:rsid w:val="00E54291"/>
    <w:rsid w:val="00E5459C"/>
    <w:rsid w:val="00E549C2"/>
    <w:rsid w:val="00E557B5"/>
    <w:rsid w:val="00E56BD8"/>
    <w:rsid w:val="00E56F3C"/>
    <w:rsid w:val="00E57173"/>
    <w:rsid w:val="00E57B6A"/>
    <w:rsid w:val="00E6036F"/>
    <w:rsid w:val="00E607D4"/>
    <w:rsid w:val="00E60952"/>
    <w:rsid w:val="00E60D85"/>
    <w:rsid w:val="00E61E23"/>
    <w:rsid w:val="00E620A6"/>
    <w:rsid w:val="00E6210D"/>
    <w:rsid w:val="00E62171"/>
    <w:rsid w:val="00E62768"/>
    <w:rsid w:val="00E636D1"/>
    <w:rsid w:val="00E63F38"/>
    <w:rsid w:val="00E6462C"/>
    <w:rsid w:val="00E64656"/>
    <w:rsid w:val="00E6499A"/>
    <w:rsid w:val="00E652FF"/>
    <w:rsid w:val="00E65BCA"/>
    <w:rsid w:val="00E66281"/>
    <w:rsid w:val="00E66365"/>
    <w:rsid w:val="00E669D5"/>
    <w:rsid w:val="00E67497"/>
    <w:rsid w:val="00E676F9"/>
    <w:rsid w:val="00E714F7"/>
    <w:rsid w:val="00E71702"/>
    <w:rsid w:val="00E719D3"/>
    <w:rsid w:val="00E720FD"/>
    <w:rsid w:val="00E720FE"/>
    <w:rsid w:val="00E72A86"/>
    <w:rsid w:val="00E72C29"/>
    <w:rsid w:val="00E73583"/>
    <w:rsid w:val="00E73BE1"/>
    <w:rsid w:val="00E74EE7"/>
    <w:rsid w:val="00E758E0"/>
    <w:rsid w:val="00E76052"/>
    <w:rsid w:val="00E76782"/>
    <w:rsid w:val="00E76956"/>
    <w:rsid w:val="00E77030"/>
    <w:rsid w:val="00E779CB"/>
    <w:rsid w:val="00E77C4F"/>
    <w:rsid w:val="00E80B80"/>
    <w:rsid w:val="00E814BC"/>
    <w:rsid w:val="00E81603"/>
    <w:rsid w:val="00E81A4E"/>
    <w:rsid w:val="00E81FCA"/>
    <w:rsid w:val="00E83CFF"/>
    <w:rsid w:val="00E83D1B"/>
    <w:rsid w:val="00E84AB4"/>
    <w:rsid w:val="00E84B48"/>
    <w:rsid w:val="00E84EBF"/>
    <w:rsid w:val="00E8590A"/>
    <w:rsid w:val="00E85F07"/>
    <w:rsid w:val="00E85F38"/>
    <w:rsid w:val="00E85FC0"/>
    <w:rsid w:val="00E861A8"/>
    <w:rsid w:val="00E86ED2"/>
    <w:rsid w:val="00E87629"/>
    <w:rsid w:val="00E87846"/>
    <w:rsid w:val="00E87853"/>
    <w:rsid w:val="00E87A66"/>
    <w:rsid w:val="00E90346"/>
    <w:rsid w:val="00E90402"/>
    <w:rsid w:val="00E90423"/>
    <w:rsid w:val="00E9047F"/>
    <w:rsid w:val="00E90630"/>
    <w:rsid w:val="00E912CC"/>
    <w:rsid w:val="00E91621"/>
    <w:rsid w:val="00E91C47"/>
    <w:rsid w:val="00E91D47"/>
    <w:rsid w:val="00E92935"/>
    <w:rsid w:val="00E9342F"/>
    <w:rsid w:val="00E935D9"/>
    <w:rsid w:val="00E949D3"/>
    <w:rsid w:val="00E96473"/>
    <w:rsid w:val="00E9686D"/>
    <w:rsid w:val="00E97928"/>
    <w:rsid w:val="00E97A5E"/>
    <w:rsid w:val="00EA04A2"/>
    <w:rsid w:val="00EA0BD4"/>
    <w:rsid w:val="00EA0D57"/>
    <w:rsid w:val="00EA0E45"/>
    <w:rsid w:val="00EA1848"/>
    <w:rsid w:val="00EA1EAD"/>
    <w:rsid w:val="00EA205B"/>
    <w:rsid w:val="00EA3D6B"/>
    <w:rsid w:val="00EA45CC"/>
    <w:rsid w:val="00EA4907"/>
    <w:rsid w:val="00EA4974"/>
    <w:rsid w:val="00EA4A2E"/>
    <w:rsid w:val="00EA4E69"/>
    <w:rsid w:val="00EA5618"/>
    <w:rsid w:val="00EA5645"/>
    <w:rsid w:val="00EA59A0"/>
    <w:rsid w:val="00EA6303"/>
    <w:rsid w:val="00EA6872"/>
    <w:rsid w:val="00EA697A"/>
    <w:rsid w:val="00EA6B90"/>
    <w:rsid w:val="00EA6B93"/>
    <w:rsid w:val="00EA6EA1"/>
    <w:rsid w:val="00EA6ED6"/>
    <w:rsid w:val="00EA714F"/>
    <w:rsid w:val="00EA7A0F"/>
    <w:rsid w:val="00EB04B5"/>
    <w:rsid w:val="00EB09CB"/>
    <w:rsid w:val="00EB1073"/>
    <w:rsid w:val="00EB199B"/>
    <w:rsid w:val="00EB1D24"/>
    <w:rsid w:val="00EB1DFC"/>
    <w:rsid w:val="00EB210B"/>
    <w:rsid w:val="00EB269D"/>
    <w:rsid w:val="00EB2979"/>
    <w:rsid w:val="00EB39F9"/>
    <w:rsid w:val="00EB3BCE"/>
    <w:rsid w:val="00EB3CC7"/>
    <w:rsid w:val="00EB47E5"/>
    <w:rsid w:val="00EB5877"/>
    <w:rsid w:val="00EB5CAD"/>
    <w:rsid w:val="00EB5CE3"/>
    <w:rsid w:val="00EB5D52"/>
    <w:rsid w:val="00EB6195"/>
    <w:rsid w:val="00EB621E"/>
    <w:rsid w:val="00EB65A1"/>
    <w:rsid w:val="00EB6633"/>
    <w:rsid w:val="00EB684B"/>
    <w:rsid w:val="00EB7584"/>
    <w:rsid w:val="00EB7939"/>
    <w:rsid w:val="00EB7C89"/>
    <w:rsid w:val="00EC0683"/>
    <w:rsid w:val="00EC0698"/>
    <w:rsid w:val="00EC0BF9"/>
    <w:rsid w:val="00EC0DD2"/>
    <w:rsid w:val="00EC0E14"/>
    <w:rsid w:val="00EC0E73"/>
    <w:rsid w:val="00EC13D5"/>
    <w:rsid w:val="00EC1543"/>
    <w:rsid w:val="00EC1BC1"/>
    <w:rsid w:val="00EC23B5"/>
    <w:rsid w:val="00EC25EB"/>
    <w:rsid w:val="00EC2961"/>
    <w:rsid w:val="00EC2C2F"/>
    <w:rsid w:val="00EC2CF2"/>
    <w:rsid w:val="00EC2D88"/>
    <w:rsid w:val="00EC2E03"/>
    <w:rsid w:val="00EC3159"/>
    <w:rsid w:val="00EC323A"/>
    <w:rsid w:val="00EC34E3"/>
    <w:rsid w:val="00EC3A7F"/>
    <w:rsid w:val="00EC3B32"/>
    <w:rsid w:val="00EC3D4A"/>
    <w:rsid w:val="00EC4820"/>
    <w:rsid w:val="00EC5DD1"/>
    <w:rsid w:val="00EC5E9D"/>
    <w:rsid w:val="00EC6ADB"/>
    <w:rsid w:val="00EC6C74"/>
    <w:rsid w:val="00EC70DF"/>
    <w:rsid w:val="00EC70F7"/>
    <w:rsid w:val="00EC7EB7"/>
    <w:rsid w:val="00ED053F"/>
    <w:rsid w:val="00ED1071"/>
    <w:rsid w:val="00ED1A2D"/>
    <w:rsid w:val="00ED241C"/>
    <w:rsid w:val="00ED246C"/>
    <w:rsid w:val="00ED28D4"/>
    <w:rsid w:val="00ED291F"/>
    <w:rsid w:val="00ED2936"/>
    <w:rsid w:val="00ED2F2E"/>
    <w:rsid w:val="00ED35C0"/>
    <w:rsid w:val="00ED3A50"/>
    <w:rsid w:val="00ED46D7"/>
    <w:rsid w:val="00ED4A0D"/>
    <w:rsid w:val="00ED542F"/>
    <w:rsid w:val="00ED5977"/>
    <w:rsid w:val="00ED5B96"/>
    <w:rsid w:val="00ED6A8D"/>
    <w:rsid w:val="00ED6B2E"/>
    <w:rsid w:val="00ED6F52"/>
    <w:rsid w:val="00ED710B"/>
    <w:rsid w:val="00ED7133"/>
    <w:rsid w:val="00EE11F8"/>
    <w:rsid w:val="00EE1486"/>
    <w:rsid w:val="00EE27E2"/>
    <w:rsid w:val="00EE2819"/>
    <w:rsid w:val="00EE2EC4"/>
    <w:rsid w:val="00EE38B4"/>
    <w:rsid w:val="00EE392A"/>
    <w:rsid w:val="00EE3F23"/>
    <w:rsid w:val="00EE4383"/>
    <w:rsid w:val="00EE59ED"/>
    <w:rsid w:val="00EE6168"/>
    <w:rsid w:val="00EE6853"/>
    <w:rsid w:val="00EE6C9F"/>
    <w:rsid w:val="00EE7E5F"/>
    <w:rsid w:val="00EF04B9"/>
    <w:rsid w:val="00EF067D"/>
    <w:rsid w:val="00EF102C"/>
    <w:rsid w:val="00EF105D"/>
    <w:rsid w:val="00EF155A"/>
    <w:rsid w:val="00EF176F"/>
    <w:rsid w:val="00EF1978"/>
    <w:rsid w:val="00EF24F5"/>
    <w:rsid w:val="00EF2565"/>
    <w:rsid w:val="00EF27D0"/>
    <w:rsid w:val="00EF28B1"/>
    <w:rsid w:val="00EF2C82"/>
    <w:rsid w:val="00EF2DE8"/>
    <w:rsid w:val="00EF32F6"/>
    <w:rsid w:val="00EF34F8"/>
    <w:rsid w:val="00EF4580"/>
    <w:rsid w:val="00EF539F"/>
    <w:rsid w:val="00EF5632"/>
    <w:rsid w:val="00EF662C"/>
    <w:rsid w:val="00EF6928"/>
    <w:rsid w:val="00EF6E11"/>
    <w:rsid w:val="00EF6E56"/>
    <w:rsid w:val="00EF75DC"/>
    <w:rsid w:val="00F0129A"/>
    <w:rsid w:val="00F016E4"/>
    <w:rsid w:val="00F019E4"/>
    <w:rsid w:val="00F03A7D"/>
    <w:rsid w:val="00F03C06"/>
    <w:rsid w:val="00F04097"/>
    <w:rsid w:val="00F045E2"/>
    <w:rsid w:val="00F04724"/>
    <w:rsid w:val="00F05409"/>
    <w:rsid w:val="00F05F94"/>
    <w:rsid w:val="00F063EA"/>
    <w:rsid w:val="00F0689B"/>
    <w:rsid w:val="00F06A9B"/>
    <w:rsid w:val="00F06E52"/>
    <w:rsid w:val="00F06E7C"/>
    <w:rsid w:val="00F06F62"/>
    <w:rsid w:val="00F078FD"/>
    <w:rsid w:val="00F079EC"/>
    <w:rsid w:val="00F07EC3"/>
    <w:rsid w:val="00F100E0"/>
    <w:rsid w:val="00F10625"/>
    <w:rsid w:val="00F1079D"/>
    <w:rsid w:val="00F10F97"/>
    <w:rsid w:val="00F11209"/>
    <w:rsid w:val="00F1134A"/>
    <w:rsid w:val="00F11A83"/>
    <w:rsid w:val="00F11C39"/>
    <w:rsid w:val="00F11CEB"/>
    <w:rsid w:val="00F12388"/>
    <w:rsid w:val="00F1248F"/>
    <w:rsid w:val="00F1264C"/>
    <w:rsid w:val="00F13573"/>
    <w:rsid w:val="00F13E9C"/>
    <w:rsid w:val="00F14673"/>
    <w:rsid w:val="00F1469A"/>
    <w:rsid w:val="00F1480E"/>
    <w:rsid w:val="00F149A3"/>
    <w:rsid w:val="00F1525F"/>
    <w:rsid w:val="00F15443"/>
    <w:rsid w:val="00F15BD1"/>
    <w:rsid w:val="00F1677E"/>
    <w:rsid w:val="00F16802"/>
    <w:rsid w:val="00F16E20"/>
    <w:rsid w:val="00F170D1"/>
    <w:rsid w:val="00F1767B"/>
    <w:rsid w:val="00F20E6E"/>
    <w:rsid w:val="00F20F9C"/>
    <w:rsid w:val="00F211C1"/>
    <w:rsid w:val="00F21AEF"/>
    <w:rsid w:val="00F21EEB"/>
    <w:rsid w:val="00F22157"/>
    <w:rsid w:val="00F229C9"/>
    <w:rsid w:val="00F23077"/>
    <w:rsid w:val="00F234F2"/>
    <w:rsid w:val="00F2578C"/>
    <w:rsid w:val="00F25F15"/>
    <w:rsid w:val="00F26758"/>
    <w:rsid w:val="00F26877"/>
    <w:rsid w:val="00F2691D"/>
    <w:rsid w:val="00F26B08"/>
    <w:rsid w:val="00F27950"/>
    <w:rsid w:val="00F27C7B"/>
    <w:rsid w:val="00F30562"/>
    <w:rsid w:val="00F30972"/>
    <w:rsid w:val="00F30CB3"/>
    <w:rsid w:val="00F3163A"/>
    <w:rsid w:val="00F31A97"/>
    <w:rsid w:val="00F320EB"/>
    <w:rsid w:val="00F32E30"/>
    <w:rsid w:val="00F3344A"/>
    <w:rsid w:val="00F3372C"/>
    <w:rsid w:val="00F33FEC"/>
    <w:rsid w:val="00F3447C"/>
    <w:rsid w:val="00F35519"/>
    <w:rsid w:val="00F35842"/>
    <w:rsid w:val="00F36501"/>
    <w:rsid w:val="00F36694"/>
    <w:rsid w:val="00F36CD4"/>
    <w:rsid w:val="00F37033"/>
    <w:rsid w:val="00F373F8"/>
    <w:rsid w:val="00F3767D"/>
    <w:rsid w:val="00F378E0"/>
    <w:rsid w:val="00F37CAF"/>
    <w:rsid w:val="00F4093E"/>
    <w:rsid w:val="00F40970"/>
    <w:rsid w:val="00F40CB9"/>
    <w:rsid w:val="00F40CE4"/>
    <w:rsid w:val="00F40EC8"/>
    <w:rsid w:val="00F4105B"/>
    <w:rsid w:val="00F4170C"/>
    <w:rsid w:val="00F41879"/>
    <w:rsid w:val="00F41CFF"/>
    <w:rsid w:val="00F4243B"/>
    <w:rsid w:val="00F42646"/>
    <w:rsid w:val="00F42EA6"/>
    <w:rsid w:val="00F43598"/>
    <w:rsid w:val="00F43A0D"/>
    <w:rsid w:val="00F44755"/>
    <w:rsid w:val="00F46613"/>
    <w:rsid w:val="00F4667C"/>
    <w:rsid w:val="00F46963"/>
    <w:rsid w:val="00F46D0D"/>
    <w:rsid w:val="00F47047"/>
    <w:rsid w:val="00F4798F"/>
    <w:rsid w:val="00F47D8C"/>
    <w:rsid w:val="00F50392"/>
    <w:rsid w:val="00F503C5"/>
    <w:rsid w:val="00F50828"/>
    <w:rsid w:val="00F50AA7"/>
    <w:rsid w:val="00F51296"/>
    <w:rsid w:val="00F53002"/>
    <w:rsid w:val="00F531AB"/>
    <w:rsid w:val="00F5331C"/>
    <w:rsid w:val="00F533B5"/>
    <w:rsid w:val="00F539C7"/>
    <w:rsid w:val="00F5410C"/>
    <w:rsid w:val="00F54455"/>
    <w:rsid w:val="00F54714"/>
    <w:rsid w:val="00F54865"/>
    <w:rsid w:val="00F54BA2"/>
    <w:rsid w:val="00F558D4"/>
    <w:rsid w:val="00F55913"/>
    <w:rsid w:val="00F55C38"/>
    <w:rsid w:val="00F55FFC"/>
    <w:rsid w:val="00F56709"/>
    <w:rsid w:val="00F56DAD"/>
    <w:rsid w:val="00F56F60"/>
    <w:rsid w:val="00F577C6"/>
    <w:rsid w:val="00F57800"/>
    <w:rsid w:val="00F578F4"/>
    <w:rsid w:val="00F57A73"/>
    <w:rsid w:val="00F603F5"/>
    <w:rsid w:val="00F6185D"/>
    <w:rsid w:val="00F62238"/>
    <w:rsid w:val="00F62391"/>
    <w:rsid w:val="00F62596"/>
    <w:rsid w:val="00F62A2D"/>
    <w:rsid w:val="00F63658"/>
    <w:rsid w:val="00F63A0E"/>
    <w:rsid w:val="00F63E05"/>
    <w:rsid w:val="00F642C3"/>
    <w:rsid w:val="00F642E8"/>
    <w:rsid w:val="00F64B72"/>
    <w:rsid w:val="00F64FC3"/>
    <w:rsid w:val="00F655FC"/>
    <w:rsid w:val="00F65A96"/>
    <w:rsid w:val="00F65B4B"/>
    <w:rsid w:val="00F66224"/>
    <w:rsid w:val="00F669B5"/>
    <w:rsid w:val="00F66E54"/>
    <w:rsid w:val="00F66F43"/>
    <w:rsid w:val="00F70042"/>
    <w:rsid w:val="00F70CFC"/>
    <w:rsid w:val="00F7113A"/>
    <w:rsid w:val="00F7132A"/>
    <w:rsid w:val="00F71CFD"/>
    <w:rsid w:val="00F721EA"/>
    <w:rsid w:val="00F726C7"/>
    <w:rsid w:val="00F72B0E"/>
    <w:rsid w:val="00F72BF8"/>
    <w:rsid w:val="00F72D40"/>
    <w:rsid w:val="00F72F42"/>
    <w:rsid w:val="00F73016"/>
    <w:rsid w:val="00F731D2"/>
    <w:rsid w:val="00F7371F"/>
    <w:rsid w:val="00F73A5D"/>
    <w:rsid w:val="00F73C9D"/>
    <w:rsid w:val="00F73E94"/>
    <w:rsid w:val="00F744F3"/>
    <w:rsid w:val="00F74FA0"/>
    <w:rsid w:val="00F75320"/>
    <w:rsid w:val="00F75913"/>
    <w:rsid w:val="00F76222"/>
    <w:rsid w:val="00F76CE0"/>
    <w:rsid w:val="00F76D63"/>
    <w:rsid w:val="00F77748"/>
    <w:rsid w:val="00F77E2A"/>
    <w:rsid w:val="00F8050A"/>
    <w:rsid w:val="00F80C8A"/>
    <w:rsid w:val="00F81169"/>
    <w:rsid w:val="00F82251"/>
    <w:rsid w:val="00F82462"/>
    <w:rsid w:val="00F83339"/>
    <w:rsid w:val="00F83355"/>
    <w:rsid w:val="00F83651"/>
    <w:rsid w:val="00F83EA1"/>
    <w:rsid w:val="00F84C88"/>
    <w:rsid w:val="00F84CA9"/>
    <w:rsid w:val="00F854D4"/>
    <w:rsid w:val="00F85A8A"/>
    <w:rsid w:val="00F85C4B"/>
    <w:rsid w:val="00F85E5F"/>
    <w:rsid w:val="00F85FCB"/>
    <w:rsid w:val="00F8681C"/>
    <w:rsid w:val="00F86C07"/>
    <w:rsid w:val="00F87A7C"/>
    <w:rsid w:val="00F87D3C"/>
    <w:rsid w:val="00F90299"/>
    <w:rsid w:val="00F9075E"/>
    <w:rsid w:val="00F912FF"/>
    <w:rsid w:val="00F92E46"/>
    <w:rsid w:val="00F92F04"/>
    <w:rsid w:val="00F93617"/>
    <w:rsid w:val="00F9431A"/>
    <w:rsid w:val="00F946AF"/>
    <w:rsid w:val="00F94CF3"/>
    <w:rsid w:val="00F957C9"/>
    <w:rsid w:val="00F96182"/>
    <w:rsid w:val="00F963DA"/>
    <w:rsid w:val="00F9643D"/>
    <w:rsid w:val="00F967F7"/>
    <w:rsid w:val="00F97D21"/>
    <w:rsid w:val="00FA00D8"/>
    <w:rsid w:val="00FA106A"/>
    <w:rsid w:val="00FA2240"/>
    <w:rsid w:val="00FA27B3"/>
    <w:rsid w:val="00FA4EBE"/>
    <w:rsid w:val="00FA5B44"/>
    <w:rsid w:val="00FA68B5"/>
    <w:rsid w:val="00FA6D91"/>
    <w:rsid w:val="00FA745F"/>
    <w:rsid w:val="00FA7753"/>
    <w:rsid w:val="00FA77BD"/>
    <w:rsid w:val="00FA7FCE"/>
    <w:rsid w:val="00FB02A6"/>
    <w:rsid w:val="00FB1253"/>
    <w:rsid w:val="00FB16E3"/>
    <w:rsid w:val="00FB188E"/>
    <w:rsid w:val="00FB1E94"/>
    <w:rsid w:val="00FB20FB"/>
    <w:rsid w:val="00FB21C9"/>
    <w:rsid w:val="00FB240E"/>
    <w:rsid w:val="00FB280F"/>
    <w:rsid w:val="00FB2DD9"/>
    <w:rsid w:val="00FB3415"/>
    <w:rsid w:val="00FB35FD"/>
    <w:rsid w:val="00FB39F9"/>
    <w:rsid w:val="00FB3F40"/>
    <w:rsid w:val="00FB40EA"/>
    <w:rsid w:val="00FB4245"/>
    <w:rsid w:val="00FB44B4"/>
    <w:rsid w:val="00FB502D"/>
    <w:rsid w:val="00FB5254"/>
    <w:rsid w:val="00FB57A2"/>
    <w:rsid w:val="00FB636E"/>
    <w:rsid w:val="00FB6773"/>
    <w:rsid w:val="00FB75DE"/>
    <w:rsid w:val="00FB791F"/>
    <w:rsid w:val="00FB7943"/>
    <w:rsid w:val="00FB7C6D"/>
    <w:rsid w:val="00FB7F47"/>
    <w:rsid w:val="00FC01A7"/>
    <w:rsid w:val="00FC109F"/>
    <w:rsid w:val="00FC1B2C"/>
    <w:rsid w:val="00FC2034"/>
    <w:rsid w:val="00FC247E"/>
    <w:rsid w:val="00FC2DF9"/>
    <w:rsid w:val="00FC317E"/>
    <w:rsid w:val="00FC36C0"/>
    <w:rsid w:val="00FC3C1A"/>
    <w:rsid w:val="00FC3FA0"/>
    <w:rsid w:val="00FC49E2"/>
    <w:rsid w:val="00FC4ED3"/>
    <w:rsid w:val="00FC503A"/>
    <w:rsid w:val="00FC56DF"/>
    <w:rsid w:val="00FC57F9"/>
    <w:rsid w:val="00FC58F4"/>
    <w:rsid w:val="00FC63AC"/>
    <w:rsid w:val="00FC6D9B"/>
    <w:rsid w:val="00FC7517"/>
    <w:rsid w:val="00FC7803"/>
    <w:rsid w:val="00FC799F"/>
    <w:rsid w:val="00FC7B89"/>
    <w:rsid w:val="00FD0020"/>
    <w:rsid w:val="00FD11D9"/>
    <w:rsid w:val="00FD11F8"/>
    <w:rsid w:val="00FD1613"/>
    <w:rsid w:val="00FD1FEB"/>
    <w:rsid w:val="00FD36F8"/>
    <w:rsid w:val="00FD3EA0"/>
    <w:rsid w:val="00FD4189"/>
    <w:rsid w:val="00FD4326"/>
    <w:rsid w:val="00FD4789"/>
    <w:rsid w:val="00FD4BC6"/>
    <w:rsid w:val="00FD53A3"/>
    <w:rsid w:val="00FD5C7D"/>
    <w:rsid w:val="00FD5EAE"/>
    <w:rsid w:val="00FD6286"/>
    <w:rsid w:val="00FD6A99"/>
    <w:rsid w:val="00FE064B"/>
    <w:rsid w:val="00FE098C"/>
    <w:rsid w:val="00FE0AF5"/>
    <w:rsid w:val="00FE0D21"/>
    <w:rsid w:val="00FE162B"/>
    <w:rsid w:val="00FE21E9"/>
    <w:rsid w:val="00FE2D16"/>
    <w:rsid w:val="00FE31B2"/>
    <w:rsid w:val="00FE3716"/>
    <w:rsid w:val="00FE4D74"/>
    <w:rsid w:val="00FE559F"/>
    <w:rsid w:val="00FE6AAF"/>
    <w:rsid w:val="00FE6DAE"/>
    <w:rsid w:val="00FE6E03"/>
    <w:rsid w:val="00FE7473"/>
    <w:rsid w:val="00FF0CD1"/>
    <w:rsid w:val="00FF0F4C"/>
    <w:rsid w:val="00FF2DF6"/>
    <w:rsid w:val="00FF33A9"/>
    <w:rsid w:val="00FF3582"/>
    <w:rsid w:val="00FF3907"/>
    <w:rsid w:val="00FF3BC9"/>
    <w:rsid w:val="00FF3DCE"/>
    <w:rsid w:val="00FF4F68"/>
    <w:rsid w:val="00FF5044"/>
    <w:rsid w:val="00FF52DE"/>
    <w:rsid w:val="00FF565C"/>
    <w:rsid w:val="00FF579F"/>
    <w:rsid w:val="00FF59C9"/>
    <w:rsid w:val="00FF5F0C"/>
    <w:rsid w:val="00FF601C"/>
    <w:rsid w:val="00FF64BE"/>
    <w:rsid w:val="00FF653B"/>
    <w:rsid w:val="00FF70B5"/>
    <w:rsid w:val="00FF7189"/>
    <w:rsid w:val="00FF7721"/>
    <w:rsid w:val="00FF7F30"/>
    <w:rsid w:val="011A11A4"/>
    <w:rsid w:val="014B5B44"/>
    <w:rsid w:val="018C5F7F"/>
    <w:rsid w:val="01BE4069"/>
    <w:rsid w:val="01BE5800"/>
    <w:rsid w:val="01E46F65"/>
    <w:rsid w:val="024144A6"/>
    <w:rsid w:val="02E536DD"/>
    <w:rsid w:val="03F06C42"/>
    <w:rsid w:val="03FD97B9"/>
    <w:rsid w:val="041B3357"/>
    <w:rsid w:val="049F025D"/>
    <w:rsid w:val="04C34346"/>
    <w:rsid w:val="04E30437"/>
    <w:rsid w:val="059160E1"/>
    <w:rsid w:val="05C23037"/>
    <w:rsid w:val="05F41FAA"/>
    <w:rsid w:val="063B78DC"/>
    <w:rsid w:val="069526BD"/>
    <w:rsid w:val="076E0F6D"/>
    <w:rsid w:val="07E84F31"/>
    <w:rsid w:val="0839529D"/>
    <w:rsid w:val="097640A4"/>
    <w:rsid w:val="09974C33"/>
    <w:rsid w:val="09B82947"/>
    <w:rsid w:val="0AC563D2"/>
    <w:rsid w:val="0BF958C7"/>
    <w:rsid w:val="0C3F3332"/>
    <w:rsid w:val="0C5A09A9"/>
    <w:rsid w:val="0CDB719E"/>
    <w:rsid w:val="0E0812B7"/>
    <w:rsid w:val="0E2E7579"/>
    <w:rsid w:val="0EAB6A73"/>
    <w:rsid w:val="0ED72541"/>
    <w:rsid w:val="0F4D0707"/>
    <w:rsid w:val="0FBA2A45"/>
    <w:rsid w:val="0FC41654"/>
    <w:rsid w:val="0FDE7285"/>
    <w:rsid w:val="10B373C2"/>
    <w:rsid w:val="113666B5"/>
    <w:rsid w:val="118C2ED5"/>
    <w:rsid w:val="11B83D31"/>
    <w:rsid w:val="12795B29"/>
    <w:rsid w:val="12F62B63"/>
    <w:rsid w:val="135A6E08"/>
    <w:rsid w:val="13696837"/>
    <w:rsid w:val="13855ACF"/>
    <w:rsid w:val="13B31AEC"/>
    <w:rsid w:val="13FE3FBA"/>
    <w:rsid w:val="140E1568"/>
    <w:rsid w:val="14404369"/>
    <w:rsid w:val="16BF46FB"/>
    <w:rsid w:val="175D674F"/>
    <w:rsid w:val="17CD2550"/>
    <w:rsid w:val="18114189"/>
    <w:rsid w:val="18F06F2D"/>
    <w:rsid w:val="1917074A"/>
    <w:rsid w:val="19223571"/>
    <w:rsid w:val="19AD7F51"/>
    <w:rsid w:val="1BA50D14"/>
    <w:rsid w:val="1BA677E7"/>
    <w:rsid w:val="1BBF3588"/>
    <w:rsid w:val="1BDF68E4"/>
    <w:rsid w:val="1C625D30"/>
    <w:rsid w:val="1C7671E3"/>
    <w:rsid w:val="1C777601"/>
    <w:rsid w:val="1C8A493E"/>
    <w:rsid w:val="1CB11B53"/>
    <w:rsid w:val="1CCB6998"/>
    <w:rsid w:val="1CD6623F"/>
    <w:rsid w:val="1CF90898"/>
    <w:rsid w:val="1CFA0FE7"/>
    <w:rsid w:val="1D8C69C4"/>
    <w:rsid w:val="1E1C7C6C"/>
    <w:rsid w:val="1E786F00"/>
    <w:rsid w:val="1EC93A19"/>
    <w:rsid w:val="1EFA3CA0"/>
    <w:rsid w:val="1F1F65F5"/>
    <w:rsid w:val="1F343C02"/>
    <w:rsid w:val="1F9F20EA"/>
    <w:rsid w:val="1FAC7E53"/>
    <w:rsid w:val="1FE9363A"/>
    <w:rsid w:val="20517FE3"/>
    <w:rsid w:val="20CE2C18"/>
    <w:rsid w:val="211A16EC"/>
    <w:rsid w:val="217C1DAF"/>
    <w:rsid w:val="218220DE"/>
    <w:rsid w:val="222C76C6"/>
    <w:rsid w:val="22466CF3"/>
    <w:rsid w:val="22A344E7"/>
    <w:rsid w:val="22D629B4"/>
    <w:rsid w:val="22DE3197"/>
    <w:rsid w:val="22F42D37"/>
    <w:rsid w:val="230E0741"/>
    <w:rsid w:val="23F63E16"/>
    <w:rsid w:val="243A32C2"/>
    <w:rsid w:val="25093A3B"/>
    <w:rsid w:val="25236D0D"/>
    <w:rsid w:val="252F645D"/>
    <w:rsid w:val="258858A9"/>
    <w:rsid w:val="25A7119C"/>
    <w:rsid w:val="26757E2C"/>
    <w:rsid w:val="26790701"/>
    <w:rsid w:val="273508EE"/>
    <w:rsid w:val="27483692"/>
    <w:rsid w:val="276F6E45"/>
    <w:rsid w:val="278066D7"/>
    <w:rsid w:val="27827B0F"/>
    <w:rsid w:val="27886287"/>
    <w:rsid w:val="27F53526"/>
    <w:rsid w:val="27FA5E76"/>
    <w:rsid w:val="27FE7F94"/>
    <w:rsid w:val="28690FE5"/>
    <w:rsid w:val="288E2BD2"/>
    <w:rsid w:val="28DC50AB"/>
    <w:rsid w:val="28E55271"/>
    <w:rsid w:val="2923374B"/>
    <w:rsid w:val="29BD796F"/>
    <w:rsid w:val="2AAC3644"/>
    <w:rsid w:val="2B7DD7F2"/>
    <w:rsid w:val="2B8946FF"/>
    <w:rsid w:val="2C0A4741"/>
    <w:rsid w:val="2CA61832"/>
    <w:rsid w:val="2CB43801"/>
    <w:rsid w:val="2CF86E08"/>
    <w:rsid w:val="2D9B15EF"/>
    <w:rsid w:val="2E304308"/>
    <w:rsid w:val="2E5F4C31"/>
    <w:rsid w:val="2E6F7E34"/>
    <w:rsid w:val="2EB26D79"/>
    <w:rsid w:val="2EF59941"/>
    <w:rsid w:val="2F7145F4"/>
    <w:rsid w:val="2FF78A0F"/>
    <w:rsid w:val="30580298"/>
    <w:rsid w:val="30646F90"/>
    <w:rsid w:val="30CB0402"/>
    <w:rsid w:val="31B66D5F"/>
    <w:rsid w:val="324D2681"/>
    <w:rsid w:val="34457450"/>
    <w:rsid w:val="34CC3AA6"/>
    <w:rsid w:val="34FD4189"/>
    <w:rsid w:val="35373F98"/>
    <w:rsid w:val="35A029FC"/>
    <w:rsid w:val="35A7B9B4"/>
    <w:rsid w:val="35E1219E"/>
    <w:rsid w:val="363B7932"/>
    <w:rsid w:val="3679323D"/>
    <w:rsid w:val="36D15C2A"/>
    <w:rsid w:val="36F96883"/>
    <w:rsid w:val="36FA4BBC"/>
    <w:rsid w:val="371D61FE"/>
    <w:rsid w:val="374B5AC3"/>
    <w:rsid w:val="38187E4F"/>
    <w:rsid w:val="3820445B"/>
    <w:rsid w:val="38210467"/>
    <w:rsid w:val="38401B73"/>
    <w:rsid w:val="384B1D2A"/>
    <w:rsid w:val="39780BBB"/>
    <w:rsid w:val="39D617F2"/>
    <w:rsid w:val="3A242E79"/>
    <w:rsid w:val="3B610C15"/>
    <w:rsid w:val="3B731AB5"/>
    <w:rsid w:val="3B833738"/>
    <w:rsid w:val="3B874762"/>
    <w:rsid w:val="3C2527C5"/>
    <w:rsid w:val="3C5AAE9D"/>
    <w:rsid w:val="3CAF43BF"/>
    <w:rsid w:val="3D6F75C9"/>
    <w:rsid w:val="3D79D1EC"/>
    <w:rsid w:val="3DAED806"/>
    <w:rsid w:val="3DE90F01"/>
    <w:rsid w:val="3E266E35"/>
    <w:rsid w:val="3F592D90"/>
    <w:rsid w:val="3F7F04D5"/>
    <w:rsid w:val="3F9F34D9"/>
    <w:rsid w:val="3FA05678"/>
    <w:rsid w:val="3FAE1BA5"/>
    <w:rsid w:val="3FB98410"/>
    <w:rsid w:val="3FD797E8"/>
    <w:rsid w:val="40615707"/>
    <w:rsid w:val="40956EC5"/>
    <w:rsid w:val="40A005F0"/>
    <w:rsid w:val="41032081"/>
    <w:rsid w:val="4137DD06"/>
    <w:rsid w:val="414B5EF7"/>
    <w:rsid w:val="417E1386"/>
    <w:rsid w:val="422B6BF4"/>
    <w:rsid w:val="42347713"/>
    <w:rsid w:val="43B00A8F"/>
    <w:rsid w:val="447D8BE4"/>
    <w:rsid w:val="45511B47"/>
    <w:rsid w:val="45A15DDB"/>
    <w:rsid w:val="45B22926"/>
    <w:rsid w:val="461C6516"/>
    <w:rsid w:val="462E6F3B"/>
    <w:rsid w:val="4681712C"/>
    <w:rsid w:val="468B6718"/>
    <w:rsid w:val="473B23EB"/>
    <w:rsid w:val="47B32EAB"/>
    <w:rsid w:val="47C40E8C"/>
    <w:rsid w:val="47FFF431"/>
    <w:rsid w:val="48201667"/>
    <w:rsid w:val="48B1218F"/>
    <w:rsid w:val="48B14AB0"/>
    <w:rsid w:val="48D6123C"/>
    <w:rsid w:val="49150F51"/>
    <w:rsid w:val="49480BD4"/>
    <w:rsid w:val="499A00B5"/>
    <w:rsid w:val="499F04DF"/>
    <w:rsid w:val="49CB3BFF"/>
    <w:rsid w:val="4AA4619B"/>
    <w:rsid w:val="4AB23376"/>
    <w:rsid w:val="4B284D77"/>
    <w:rsid w:val="4BEC1507"/>
    <w:rsid w:val="4BFE9B96"/>
    <w:rsid w:val="4CD363C9"/>
    <w:rsid w:val="4D54F194"/>
    <w:rsid w:val="4D7F6702"/>
    <w:rsid w:val="4DAA2A72"/>
    <w:rsid w:val="4EB60150"/>
    <w:rsid w:val="4F123950"/>
    <w:rsid w:val="4F134C73"/>
    <w:rsid w:val="4FBA240D"/>
    <w:rsid w:val="504517F3"/>
    <w:rsid w:val="50607291"/>
    <w:rsid w:val="507519D9"/>
    <w:rsid w:val="50DE0760"/>
    <w:rsid w:val="50EC442B"/>
    <w:rsid w:val="52127D7D"/>
    <w:rsid w:val="52412A63"/>
    <w:rsid w:val="53763D4D"/>
    <w:rsid w:val="538D45BD"/>
    <w:rsid w:val="54135280"/>
    <w:rsid w:val="5526139C"/>
    <w:rsid w:val="552B2D26"/>
    <w:rsid w:val="554E1470"/>
    <w:rsid w:val="55986D51"/>
    <w:rsid w:val="55D42624"/>
    <w:rsid w:val="55EF8CCD"/>
    <w:rsid w:val="55FFDA51"/>
    <w:rsid w:val="56133CA0"/>
    <w:rsid w:val="569914FD"/>
    <w:rsid w:val="56DD4ABD"/>
    <w:rsid w:val="5703231E"/>
    <w:rsid w:val="57116442"/>
    <w:rsid w:val="578D3493"/>
    <w:rsid w:val="5857652F"/>
    <w:rsid w:val="586A7A45"/>
    <w:rsid w:val="58914C8B"/>
    <w:rsid w:val="58E3423E"/>
    <w:rsid w:val="58F23ED5"/>
    <w:rsid w:val="5956205C"/>
    <w:rsid w:val="599E6CB8"/>
    <w:rsid w:val="59E031E2"/>
    <w:rsid w:val="5AA974E8"/>
    <w:rsid w:val="5ABFE12A"/>
    <w:rsid w:val="5AD424FD"/>
    <w:rsid w:val="5B6B7507"/>
    <w:rsid w:val="5B8340E7"/>
    <w:rsid w:val="5B8D0599"/>
    <w:rsid w:val="5B937814"/>
    <w:rsid w:val="5BA627EA"/>
    <w:rsid w:val="5BAA125C"/>
    <w:rsid w:val="5C06784E"/>
    <w:rsid w:val="5C6E79F1"/>
    <w:rsid w:val="5C8657B1"/>
    <w:rsid w:val="5CA73484"/>
    <w:rsid w:val="5CE5499C"/>
    <w:rsid w:val="5D77243C"/>
    <w:rsid w:val="5D822C9D"/>
    <w:rsid w:val="5DFFB287"/>
    <w:rsid w:val="5E2F13E4"/>
    <w:rsid w:val="5E65EBA8"/>
    <w:rsid w:val="5EC546B7"/>
    <w:rsid w:val="5ECA7476"/>
    <w:rsid w:val="5EE01513"/>
    <w:rsid w:val="5F7FF09E"/>
    <w:rsid w:val="5FA9036D"/>
    <w:rsid w:val="5FB8F879"/>
    <w:rsid w:val="5FE20A6A"/>
    <w:rsid w:val="5FE80DF1"/>
    <w:rsid w:val="60394F33"/>
    <w:rsid w:val="607A028C"/>
    <w:rsid w:val="60C761CB"/>
    <w:rsid w:val="61904268"/>
    <w:rsid w:val="61922827"/>
    <w:rsid w:val="61985AAE"/>
    <w:rsid w:val="619B21A0"/>
    <w:rsid w:val="61C95215"/>
    <w:rsid w:val="620863D2"/>
    <w:rsid w:val="625B109E"/>
    <w:rsid w:val="626058BD"/>
    <w:rsid w:val="62D70238"/>
    <w:rsid w:val="62FC85F7"/>
    <w:rsid w:val="634E5810"/>
    <w:rsid w:val="63A81226"/>
    <w:rsid w:val="650A079C"/>
    <w:rsid w:val="652A4CE7"/>
    <w:rsid w:val="65E5355A"/>
    <w:rsid w:val="674A3D4F"/>
    <w:rsid w:val="676B9E30"/>
    <w:rsid w:val="677B80C0"/>
    <w:rsid w:val="679006E0"/>
    <w:rsid w:val="67933A22"/>
    <w:rsid w:val="6864772D"/>
    <w:rsid w:val="68A82939"/>
    <w:rsid w:val="68BC6A3B"/>
    <w:rsid w:val="68D26F09"/>
    <w:rsid w:val="69FD54E8"/>
    <w:rsid w:val="6A121AD7"/>
    <w:rsid w:val="6A324C79"/>
    <w:rsid w:val="6A3C248C"/>
    <w:rsid w:val="6AD23B35"/>
    <w:rsid w:val="6B777EAB"/>
    <w:rsid w:val="6C3226C6"/>
    <w:rsid w:val="6C545FF5"/>
    <w:rsid w:val="6C591BE2"/>
    <w:rsid w:val="6CF76FE7"/>
    <w:rsid w:val="6D3373E6"/>
    <w:rsid w:val="6D490543"/>
    <w:rsid w:val="6D7F0896"/>
    <w:rsid w:val="6E0A4A26"/>
    <w:rsid w:val="6E113896"/>
    <w:rsid w:val="6E5E1B6C"/>
    <w:rsid w:val="6EB57A17"/>
    <w:rsid w:val="6EB6F834"/>
    <w:rsid w:val="6EEF71D1"/>
    <w:rsid w:val="6F021A16"/>
    <w:rsid w:val="6F1D40CE"/>
    <w:rsid w:val="6F6233ED"/>
    <w:rsid w:val="6F65CF99"/>
    <w:rsid w:val="6FDB029C"/>
    <w:rsid w:val="6FED8A17"/>
    <w:rsid w:val="6FFF59ED"/>
    <w:rsid w:val="7051517A"/>
    <w:rsid w:val="70D85BD1"/>
    <w:rsid w:val="715B338A"/>
    <w:rsid w:val="716A7ADC"/>
    <w:rsid w:val="71DE2E53"/>
    <w:rsid w:val="721F39FF"/>
    <w:rsid w:val="729E121E"/>
    <w:rsid w:val="72E23A7A"/>
    <w:rsid w:val="72F6179B"/>
    <w:rsid w:val="738003CA"/>
    <w:rsid w:val="73C56EED"/>
    <w:rsid w:val="73FFE027"/>
    <w:rsid w:val="74FFDD8B"/>
    <w:rsid w:val="758D4AB4"/>
    <w:rsid w:val="75D12961"/>
    <w:rsid w:val="75FF59A7"/>
    <w:rsid w:val="765941C5"/>
    <w:rsid w:val="76FBF426"/>
    <w:rsid w:val="773B6CD4"/>
    <w:rsid w:val="776CEDA7"/>
    <w:rsid w:val="777FB3B2"/>
    <w:rsid w:val="77DF0C5F"/>
    <w:rsid w:val="77E30949"/>
    <w:rsid w:val="77F16A53"/>
    <w:rsid w:val="77FFA999"/>
    <w:rsid w:val="783525A0"/>
    <w:rsid w:val="786F12BD"/>
    <w:rsid w:val="786F1AA9"/>
    <w:rsid w:val="7872551D"/>
    <w:rsid w:val="79126974"/>
    <w:rsid w:val="7920071D"/>
    <w:rsid w:val="79C52BC7"/>
    <w:rsid w:val="79C747F6"/>
    <w:rsid w:val="7A36659D"/>
    <w:rsid w:val="7A6027C1"/>
    <w:rsid w:val="7A854A12"/>
    <w:rsid w:val="7B237820"/>
    <w:rsid w:val="7B4D2536"/>
    <w:rsid w:val="7B974622"/>
    <w:rsid w:val="7BEB6BD1"/>
    <w:rsid w:val="7D4E72F0"/>
    <w:rsid w:val="7D75686C"/>
    <w:rsid w:val="7DFBA461"/>
    <w:rsid w:val="7DFDD217"/>
    <w:rsid w:val="7E5F1206"/>
    <w:rsid w:val="7E9219F9"/>
    <w:rsid w:val="7EE8677F"/>
    <w:rsid w:val="7EF46206"/>
    <w:rsid w:val="7EF87B3E"/>
    <w:rsid w:val="7F7CCBEB"/>
    <w:rsid w:val="7F7F2E72"/>
    <w:rsid w:val="7F7F9445"/>
    <w:rsid w:val="7F924DA0"/>
    <w:rsid w:val="7FB54A5D"/>
    <w:rsid w:val="7FBEE4D9"/>
    <w:rsid w:val="7FDD6FAC"/>
    <w:rsid w:val="7FE71FA7"/>
    <w:rsid w:val="7FE91A1D"/>
    <w:rsid w:val="7FF46C92"/>
    <w:rsid w:val="7FF7FC13"/>
    <w:rsid w:val="7FF82D93"/>
    <w:rsid w:val="7FFF0C54"/>
    <w:rsid w:val="9D4B5CFF"/>
    <w:rsid w:val="9DD95776"/>
    <w:rsid w:val="9FBB7A29"/>
    <w:rsid w:val="A3DFE923"/>
    <w:rsid w:val="A3E65CB1"/>
    <w:rsid w:val="AEBF3037"/>
    <w:rsid w:val="AFB76FDE"/>
    <w:rsid w:val="B6FFDAF9"/>
    <w:rsid w:val="B7FCD7FB"/>
    <w:rsid w:val="B7FE5004"/>
    <w:rsid w:val="BBBF71DB"/>
    <w:rsid w:val="BCEF321B"/>
    <w:rsid w:val="BDF5F42E"/>
    <w:rsid w:val="BEABD74D"/>
    <w:rsid w:val="BFA7A76C"/>
    <w:rsid w:val="BFE9A805"/>
    <w:rsid w:val="BFEFCAA3"/>
    <w:rsid w:val="BFFD0FEA"/>
    <w:rsid w:val="C97E98F3"/>
    <w:rsid w:val="CA9FC1E0"/>
    <w:rsid w:val="CD5F7252"/>
    <w:rsid w:val="D3DC1FAD"/>
    <w:rsid w:val="D6FD7C1D"/>
    <w:rsid w:val="D7FF2A01"/>
    <w:rsid w:val="DAE3D920"/>
    <w:rsid w:val="DC668123"/>
    <w:rsid w:val="DDDFDB1E"/>
    <w:rsid w:val="DE35DADA"/>
    <w:rsid w:val="DEF71246"/>
    <w:rsid w:val="DF95811E"/>
    <w:rsid w:val="DFC72486"/>
    <w:rsid w:val="DFF939C3"/>
    <w:rsid w:val="DFFA7D19"/>
    <w:rsid w:val="DFFF3E72"/>
    <w:rsid w:val="E3EF8978"/>
    <w:rsid w:val="E76F5F70"/>
    <w:rsid w:val="E9FA4920"/>
    <w:rsid w:val="ECE8854D"/>
    <w:rsid w:val="EEBD38C1"/>
    <w:rsid w:val="EFFFDD10"/>
    <w:rsid w:val="F0FF29FF"/>
    <w:rsid w:val="F37D637C"/>
    <w:rsid w:val="F3F7693B"/>
    <w:rsid w:val="F493997C"/>
    <w:rsid w:val="F4F26EAA"/>
    <w:rsid w:val="F57F72C8"/>
    <w:rsid w:val="F7FD8193"/>
    <w:rsid w:val="F8294573"/>
    <w:rsid w:val="F9EE31E4"/>
    <w:rsid w:val="FBDF20E2"/>
    <w:rsid w:val="FCB378D3"/>
    <w:rsid w:val="FCBEE52C"/>
    <w:rsid w:val="FD7B67B7"/>
    <w:rsid w:val="FDB7D0BD"/>
    <w:rsid w:val="FDF3B0D2"/>
    <w:rsid w:val="FDFFB92C"/>
    <w:rsid w:val="FE6DE387"/>
    <w:rsid w:val="FE7ECFF8"/>
    <w:rsid w:val="FE7F99D5"/>
    <w:rsid w:val="FEDCFFA4"/>
    <w:rsid w:val="FEE3B73F"/>
    <w:rsid w:val="FEFA1F77"/>
    <w:rsid w:val="FF37DC62"/>
    <w:rsid w:val="FF7DB5B9"/>
    <w:rsid w:val="FF9BC3D3"/>
    <w:rsid w:val="FFD7121D"/>
    <w:rsid w:val="FFE77E24"/>
    <w:rsid w:val="FFF76853"/>
    <w:rsid w:val="FFFF0E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qFormat="1"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99" w:semiHidden="0" w:name="Body Text"/>
    <w:lsdException w:qFormat="1" w:unhideWhenUsed="0" w:uiPriority="99" w:semiHidden="0" w:name="Body Text Indent"/>
    <w:lsdException w:unhideWhenUsed="0" w:uiPriority="0" w:semiHidden="0" w:name="List Continue"/>
    <w:lsdException w:qFormat="1"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99"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59"/>
    <w:qFormat/>
    <w:uiPriority w:val="9"/>
    <w:pPr>
      <w:keepNext/>
      <w:keepLines/>
      <w:spacing w:before="340" w:after="330" w:line="576" w:lineRule="auto"/>
      <w:outlineLvl w:val="0"/>
    </w:pPr>
    <w:rPr>
      <w:b/>
      <w:bCs/>
      <w:kern w:val="44"/>
      <w:sz w:val="44"/>
      <w:szCs w:val="44"/>
    </w:rPr>
  </w:style>
  <w:style w:type="paragraph" w:styleId="3">
    <w:name w:val="heading 2"/>
    <w:basedOn w:val="1"/>
    <w:next w:val="1"/>
    <w:link w:val="60"/>
    <w:qFormat/>
    <w:uiPriority w:val="0"/>
    <w:pPr>
      <w:keepNext/>
      <w:keepLines/>
      <w:spacing w:before="260" w:after="260" w:line="413" w:lineRule="auto"/>
      <w:outlineLvl w:val="1"/>
    </w:pPr>
    <w:rPr>
      <w:rFonts w:ascii="Arial" w:hAnsi="Arial" w:eastAsia="黑体"/>
      <w:b/>
      <w:bCs/>
      <w:sz w:val="32"/>
      <w:szCs w:val="32"/>
    </w:rPr>
  </w:style>
  <w:style w:type="paragraph" w:styleId="4">
    <w:name w:val="heading 3"/>
    <w:basedOn w:val="1"/>
    <w:next w:val="1"/>
    <w:link w:val="61"/>
    <w:qFormat/>
    <w:uiPriority w:val="0"/>
    <w:pPr>
      <w:keepNext/>
      <w:keepLines/>
      <w:spacing w:before="260" w:after="260" w:line="413" w:lineRule="auto"/>
      <w:outlineLvl w:val="2"/>
    </w:pPr>
    <w:rPr>
      <w:b/>
      <w:bCs/>
      <w:sz w:val="32"/>
      <w:szCs w:val="32"/>
    </w:rPr>
  </w:style>
  <w:style w:type="paragraph" w:styleId="5">
    <w:name w:val="heading 4"/>
    <w:basedOn w:val="1"/>
    <w:next w:val="1"/>
    <w:link w:val="62"/>
    <w:qFormat/>
    <w:uiPriority w:val="0"/>
    <w:pPr>
      <w:keepNext/>
      <w:keepLines/>
      <w:widowControl/>
      <w:spacing w:before="120" w:after="120" w:line="360" w:lineRule="auto"/>
      <w:jc w:val="center"/>
      <w:outlineLvl w:val="3"/>
    </w:pPr>
    <w:rPr>
      <w:rFonts w:ascii="Arial" w:hAnsi="Arial" w:eastAsia="黑体"/>
      <w:kern w:val="0"/>
      <w:sz w:val="28"/>
      <w:szCs w:val="20"/>
    </w:rPr>
  </w:style>
  <w:style w:type="paragraph" w:styleId="6">
    <w:name w:val="heading 5"/>
    <w:basedOn w:val="1"/>
    <w:next w:val="7"/>
    <w:link w:val="63"/>
    <w:qFormat/>
    <w:uiPriority w:val="0"/>
    <w:pPr>
      <w:keepNext/>
      <w:keepLines/>
      <w:spacing w:before="280" w:after="290" w:line="372" w:lineRule="auto"/>
      <w:outlineLvl w:val="4"/>
    </w:pPr>
    <w:rPr>
      <w:b/>
      <w:sz w:val="28"/>
    </w:rPr>
  </w:style>
  <w:style w:type="paragraph" w:styleId="8">
    <w:name w:val="heading 6"/>
    <w:basedOn w:val="1"/>
    <w:next w:val="7"/>
    <w:link w:val="64"/>
    <w:qFormat/>
    <w:uiPriority w:val="0"/>
    <w:pPr>
      <w:keepNext/>
      <w:keepLines/>
      <w:spacing w:before="240" w:after="64" w:line="317" w:lineRule="auto"/>
      <w:outlineLvl w:val="5"/>
    </w:pPr>
    <w:rPr>
      <w:rFonts w:ascii="Arial" w:hAnsi="Arial" w:eastAsia="黑体"/>
      <w:b/>
      <w:sz w:val="24"/>
    </w:rPr>
  </w:style>
  <w:style w:type="paragraph" w:styleId="9">
    <w:name w:val="heading 7"/>
    <w:basedOn w:val="1"/>
    <w:next w:val="7"/>
    <w:link w:val="65"/>
    <w:qFormat/>
    <w:uiPriority w:val="0"/>
    <w:pPr>
      <w:keepNext/>
      <w:keepLines/>
      <w:spacing w:before="240" w:after="64" w:line="317" w:lineRule="auto"/>
      <w:outlineLvl w:val="6"/>
    </w:pPr>
    <w:rPr>
      <w:b/>
      <w:sz w:val="24"/>
    </w:rPr>
  </w:style>
  <w:style w:type="paragraph" w:styleId="10">
    <w:name w:val="heading 8"/>
    <w:basedOn w:val="1"/>
    <w:next w:val="7"/>
    <w:link w:val="66"/>
    <w:qFormat/>
    <w:uiPriority w:val="0"/>
    <w:pPr>
      <w:keepNext/>
      <w:keepLines/>
      <w:spacing w:before="240" w:after="64" w:line="317" w:lineRule="auto"/>
      <w:outlineLvl w:val="7"/>
    </w:pPr>
    <w:rPr>
      <w:rFonts w:ascii="Arial" w:hAnsi="Arial" w:eastAsia="黑体"/>
      <w:sz w:val="24"/>
    </w:rPr>
  </w:style>
  <w:style w:type="paragraph" w:styleId="11">
    <w:name w:val="heading 9"/>
    <w:basedOn w:val="1"/>
    <w:next w:val="7"/>
    <w:link w:val="67"/>
    <w:qFormat/>
    <w:uiPriority w:val="0"/>
    <w:pPr>
      <w:keepNext/>
      <w:keepLines/>
      <w:spacing w:before="240" w:after="64" w:line="317" w:lineRule="auto"/>
      <w:outlineLvl w:val="8"/>
    </w:pPr>
    <w:rPr>
      <w:rFonts w:ascii="Arial" w:hAnsi="Arial" w:eastAsia="黑体"/>
    </w:rPr>
  </w:style>
  <w:style w:type="character" w:default="1" w:styleId="53">
    <w:name w:val="Default Paragraph Font"/>
    <w:qFormat/>
    <w:uiPriority w:val="0"/>
  </w:style>
  <w:style w:type="table" w:default="1" w:styleId="51">
    <w:name w:val="Normal Table"/>
    <w:semiHidden/>
    <w:qFormat/>
    <w:uiPriority w:val="0"/>
    <w:tblPr>
      <w:tblCellMar>
        <w:top w:w="0" w:type="dxa"/>
        <w:left w:w="108" w:type="dxa"/>
        <w:bottom w:w="0" w:type="dxa"/>
        <w:right w:w="108" w:type="dxa"/>
      </w:tblCellMar>
    </w:tblPr>
  </w:style>
  <w:style w:type="paragraph" w:styleId="7">
    <w:name w:val="Normal Indent"/>
    <w:basedOn w:val="1"/>
    <w:qFormat/>
    <w:uiPriority w:val="0"/>
    <w:pPr>
      <w:ind w:firstLine="420"/>
    </w:pPr>
    <w:rPr>
      <w:szCs w:val="20"/>
    </w:rPr>
  </w:style>
  <w:style w:type="paragraph" w:styleId="12">
    <w:name w:val="List 3"/>
    <w:basedOn w:val="1"/>
    <w:qFormat/>
    <w:uiPriority w:val="0"/>
    <w:pPr>
      <w:ind w:left="100" w:leftChars="400" w:hanging="200" w:hangingChars="200"/>
    </w:pPr>
  </w:style>
  <w:style w:type="paragraph" w:styleId="13">
    <w:name w:val="toc 7"/>
    <w:basedOn w:val="1"/>
    <w:next w:val="1"/>
    <w:qFormat/>
    <w:uiPriority w:val="0"/>
    <w:pPr>
      <w:tabs>
        <w:tab w:val="right" w:leader="dot" w:pos="9185"/>
      </w:tabs>
      <w:adjustRightInd w:val="0"/>
      <w:spacing w:line="312" w:lineRule="atLeast"/>
      <w:ind w:left="2520"/>
      <w:textAlignment w:val="baseline"/>
    </w:pPr>
    <w:rPr>
      <w:kern w:val="0"/>
      <w:szCs w:val="20"/>
    </w:rPr>
  </w:style>
  <w:style w:type="paragraph" w:styleId="14">
    <w:name w:val="List Number"/>
    <w:basedOn w:val="1"/>
    <w:qFormat/>
    <w:uiPriority w:val="0"/>
    <w:pPr>
      <w:widowControl/>
      <w:tabs>
        <w:tab w:val="left" w:pos="454"/>
        <w:tab w:val="left" w:pos="720"/>
        <w:tab w:val="left" w:pos="840"/>
      </w:tabs>
      <w:spacing w:after="156" w:afterLines="50"/>
      <w:ind w:left="454" w:hanging="284"/>
      <w:jc w:val="left"/>
    </w:pPr>
    <w:rPr>
      <w:kern w:val="0"/>
      <w:sz w:val="24"/>
      <w:szCs w:val="20"/>
    </w:rPr>
  </w:style>
  <w:style w:type="paragraph" w:styleId="15">
    <w:name w:val="caption"/>
    <w:basedOn w:val="1"/>
    <w:next w:val="1"/>
    <w:qFormat/>
    <w:uiPriority w:val="0"/>
    <w:pPr>
      <w:spacing w:before="152" w:after="160"/>
    </w:pPr>
    <w:rPr>
      <w:rFonts w:ascii="Arial" w:hAnsi="Arial" w:eastAsia="黑体" w:cs="Arial"/>
      <w:sz w:val="20"/>
      <w:szCs w:val="20"/>
    </w:rPr>
  </w:style>
  <w:style w:type="paragraph" w:styleId="16">
    <w:name w:val="Document Map"/>
    <w:basedOn w:val="1"/>
    <w:link w:val="68"/>
    <w:qFormat/>
    <w:uiPriority w:val="0"/>
    <w:pPr>
      <w:shd w:val="clear" w:color="auto" w:fill="000080"/>
      <w:adjustRightInd w:val="0"/>
      <w:spacing w:line="312" w:lineRule="atLeast"/>
      <w:textAlignment w:val="baseline"/>
    </w:pPr>
    <w:rPr>
      <w:kern w:val="0"/>
      <w:szCs w:val="20"/>
    </w:rPr>
  </w:style>
  <w:style w:type="paragraph" w:styleId="17">
    <w:name w:val="annotation text"/>
    <w:basedOn w:val="1"/>
    <w:link w:val="69"/>
    <w:qFormat/>
    <w:uiPriority w:val="0"/>
    <w:pPr>
      <w:jc w:val="left"/>
    </w:pPr>
  </w:style>
  <w:style w:type="paragraph" w:styleId="18">
    <w:name w:val="Body Text 3"/>
    <w:basedOn w:val="1"/>
    <w:link w:val="70"/>
    <w:qFormat/>
    <w:uiPriority w:val="0"/>
    <w:pPr>
      <w:spacing w:line="500" w:lineRule="exact"/>
    </w:pPr>
    <w:rPr>
      <w:b/>
      <w:bCs/>
      <w:sz w:val="24"/>
    </w:rPr>
  </w:style>
  <w:style w:type="paragraph" w:styleId="19">
    <w:name w:val="Body Text"/>
    <w:basedOn w:val="1"/>
    <w:link w:val="71"/>
    <w:qFormat/>
    <w:uiPriority w:val="99"/>
    <w:pPr>
      <w:spacing w:line="380" w:lineRule="exact"/>
    </w:pPr>
    <w:rPr>
      <w:sz w:val="24"/>
    </w:rPr>
  </w:style>
  <w:style w:type="paragraph" w:styleId="20">
    <w:name w:val="Body Text Indent"/>
    <w:basedOn w:val="1"/>
    <w:link w:val="72"/>
    <w:qFormat/>
    <w:uiPriority w:val="99"/>
    <w:pPr>
      <w:ind w:firstLine="830" w:firstLineChars="352"/>
    </w:pPr>
    <w:rPr>
      <w:rFonts w:ascii="仿宋_GB2312" w:eastAsia="仿宋_GB2312"/>
      <w:sz w:val="32"/>
      <w:szCs w:val="20"/>
    </w:rPr>
  </w:style>
  <w:style w:type="paragraph" w:styleId="21">
    <w:name w:val="List Number 3"/>
    <w:basedOn w:val="1"/>
    <w:qFormat/>
    <w:uiPriority w:val="0"/>
    <w:pPr>
      <w:tabs>
        <w:tab w:val="left" w:pos="1200"/>
      </w:tabs>
      <w:ind w:left="1200" w:leftChars="400" w:hanging="360" w:hangingChars="200"/>
    </w:pPr>
  </w:style>
  <w:style w:type="paragraph" w:styleId="22">
    <w:name w:val="List 2"/>
    <w:basedOn w:val="1"/>
    <w:qFormat/>
    <w:uiPriority w:val="0"/>
    <w:pPr>
      <w:ind w:left="100" w:leftChars="200" w:hanging="200" w:hangingChars="200"/>
    </w:pPr>
    <w:rPr>
      <w:sz w:val="28"/>
    </w:rPr>
  </w:style>
  <w:style w:type="paragraph" w:styleId="23">
    <w:name w:val="Block Text"/>
    <w:basedOn w:val="1"/>
    <w:qFormat/>
    <w:uiPriority w:val="0"/>
    <w:pPr>
      <w:adjustRightInd w:val="0"/>
      <w:ind w:left="420" w:right="33"/>
      <w:jc w:val="left"/>
      <w:textAlignment w:val="baseline"/>
    </w:pPr>
    <w:rPr>
      <w:kern w:val="0"/>
      <w:sz w:val="24"/>
      <w:szCs w:val="20"/>
    </w:rPr>
  </w:style>
  <w:style w:type="paragraph" w:styleId="24">
    <w:name w:val="toc 5"/>
    <w:basedOn w:val="1"/>
    <w:next w:val="1"/>
    <w:qFormat/>
    <w:uiPriority w:val="0"/>
    <w:pPr>
      <w:tabs>
        <w:tab w:val="right" w:leader="dot" w:pos="9185"/>
      </w:tabs>
      <w:adjustRightInd w:val="0"/>
      <w:spacing w:line="312" w:lineRule="atLeast"/>
      <w:ind w:left="1680"/>
      <w:textAlignment w:val="baseline"/>
    </w:pPr>
    <w:rPr>
      <w:kern w:val="0"/>
      <w:szCs w:val="20"/>
    </w:rPr>
  </w:style>
  <w:style w:type="paragraph" w:styleId="25">
    <w:name w:val="toc 3"/>
    <w:basedOn w:val="1"/>
    <w:next w:val="1"/>
    <w:qFormat/>
    <w:uiPriority w:val="39"/>
    <w:pPr>
      <w:ind w:left="840" w:leftChars="400"/>
    </w:pPr>
  </w:style>
  <w:style w:type="paragraph" w:styleId="26">
    <w:name w:val="Plain Text"/>
    <w:basedOn w:val="1"/>
    <w:link w:val="73"/>
    <w:qFormat/>
    <w:uiPriority w:val="99"/>
    <w:rPr>
      <w:rFonts w:ascii="宋体" w:hAnsi="Courier New" w:cs="Courier New"/>
      <w:szCs w:val="21"/>
    </w:rPr>
  </w:style>
  <w:style w:type="paragraph" w:styleId="27">
    <w:name w:val="toc 8"/>
    <w:basedOn w:val="1"/>
    <w:next w:val="1"/>
    <w:qFormat/>
    <w:uiPriority w:val="0"/>
    <w:pPr>
      <w:tabs>
        <w:tab w:val="right" w:leader="dot" w:pos="9185"/>
      </w:tabs>
      <w:adjustRightInd w:val="0"/>
      <w:spacing w:line="312" w:lineRule="atLeast"/>
      <w:ind w:left="2940"/>
      <w:textAlignment w:val="baseline"/>
    </w:pPr>
    <w:rPr>
      <w:kern w:val="0"/>
      <w:szCs w:val="20"/>
    </w:rPr>
  </w:style>
  <w:style w:type="paragraph" w:styleId="28">
    <w:name w:val="Date"/>
    <w:basedOn w:val="1"/>
    <w:next w:val="1"/>
    <w:link w:val="74"/>
    <w:qFormat/>
    <w:uiPriority w:val="0"/>
    <w:pPr>
      <w:ind w:left="100" w:leftChars="2500"/>
    </w:pPr>
    <w:rPr>
      <w:rFonts w:ascii="宋体" w:hAnsi="Courier New"/>
      <w:szCs w:val="21"/>
    </w:rPr>
  </w:style>
  <w:style w:type="paragraph" w:styleId="29">
    <w:name w:val="Body Text Indent 2"/>
    <w:basedOn w:val="1"/>
    <w:link w:val="75"/>
    <w:qFormat/>
    <w:uiPriority w:val="0"/>
    <w:pPr>
      <w:ind w:firstLine="630"/>
    </w:pPr>
    <w:rPr>
      <w:sz w:val="32"/>
      <w:szCs w:val="20"/>
    </w:rPr>
  </w:style>
  <w:style w:type="paragraph" w:styleId="30">
    <w:name w:val="Balloon Text"/>
    <w:basedOn w:val="1"/>
    <w:link w:val="76"/>
    <w:qFormat/>
    <w:uiPriority w:val="0"/>
    <w:rPr>
      <w:sz w:val="18"/>
      <w:szCs w:val="18"/>
    </w:rPr>
  </w:style>
  <w:style w:type="paragraph" w:styleId="31">
    <w:name w:val="footer"/>
    <w:basedOn w:val="1"/>
    <w:link w:val="77"/>
    <w:qFormat/>
    <w:uiPriority w:val="0"/>
    <w:pPr>
      <w:tabs>
        <w:tab w:val="center" w:pos="4153"/>
        <w:tab w:val="right" w:pos="8306"/>
      </w:tabs>
      <w:snapToGrid w:val="0"/>
      <w:jc w:val="left"/>
    </w:pPr>
    <w:rPr>
      <w:sz w:val="18"/>
      <w:szCs w:val="18"/>
    </w:rPr>
  </w:style>
  <w:style w:type="paragraph" w:styleId="32">
    <w:name w:val="header"/>
    <w:basedOn w:val="1"/>
    <w:link w:val="78"/>
    <w:qFormat/>
    <w:uiPriority w:val="99"/>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39"/>
    <w:pPr>
      <w:tabs>
        <w:tab w:val="right" w:leader="dot" w:pos="8398"/>
      </w:tabs>
      <w:spacing w:before="120" w:after="120"/>
      <w:ind w:firstLine="240" w:firstLineChars="100"/>
      <w:jc w:val="left"/>
    </w:pPr>
    <w:rPr>
      <w:rFonts w:ascii="宋体" w:hAnsi="宋体"/>
      <w:b/>
      <w:bCs/>
      <w:caps/>
      <w:sz w:val="24"/>
      <w:lang w:val="en-US" w:eastAsia="zh-CN"/>
    </w:rPr>
  </w:style>
  <w:style w:type="paragraph" w:styleId="34">
    <w:name w:val="toc 4"/>
    <w:basedOn w:val="1"/>
    <w:next w:val="1"/>
    <w:qFormat/>
    <w:uiPriority w:val="0"/>
    <w:pPr>
      <w:tabs>
        <w:tab w:val="right" w:leader="dot" w:pos="9185"/>
      </w:tabs>
      <w:adjustRightInd w:val="0"/>
      <w:spacing w:line="312" w:lineRule="atLeast"/>
      <w:ind w:left="1260"/>
      <w:textAlignment w:val="baseline"/>
    </w:pPr>
    <w:rPr>
      <w:kern w:val="0"/>
      <w:szCs w:val="20"/>
    </w:rPr>
  </w:style>
  <w:style w:type="paragraph" w:styleId="35">
    <w:name w:val="List"/>
    <w:basedOn w:val="1"/>
    <w:qFormat/>
    <w:uiPriority w:val="0"/>
    <w:pPr>
      <w:ind w:left="200" w:hanging="200" w:hangingChars="200"/>
    </w:pPr>
    <w:rPr>
      <w:sz w:val="28"/>
    </w:rPr>
  </w:style>
  <w:style w:type="paragraph" w:styleId="36">
    <w:name w:val="toc 6"/>
    <w:basedOn w:val="1"/>
    <w:next w:val="1"/>
    <w:qFormat/>
    <w:uiPriority w:val="0"/>
    <w:pPr>
      <w:tabs>
        <w:tab w:val="right" w:leader="dot" w:pos="9185"/>
      </w:tabs>
      <w:adjustRightInd w:val="0"/>
      <w:spacing w:line="312" w:lineRule="atLeast"/>
      <w:ind w:left="2100"/>
      <w:textAlignment w:val="baseline"/>
    </w:pPr>
    <w:rPr>
      <w:kern w:val="0"/>
      <w:szCs w:val="20"/>
    </w:rPr>
  </w:style>
  <w:style w:type="paragraph" w:styleId="37">
    <w:name w:val="List 5"/>
    <w:basedOn w:val="1"/>
    <w:qFormat/>
    <w:uiPriority w:val="0"/>
    <w:pPr>
      <w:ind w:left="2100" w:hanging="420"/>
    </w:pPr>
    <w:rPr>
      <w:szCs w:val="20"/>
    </w:rPr>
  </w:style>
  <w:style w:type="paragraph" w:styleId="38">
    <w:name w:val="Body Text Indent 3"/>
    <w:basedOn w:val="1"/>
    <w:link w:val="79"/>
    <w:qFormat/>
    <w:uiPriority w:val="0"/>
    <w:pPr>
      <w:spacing w:after="120"/>
      <w:ind w:left="420" w:leftChars="200"/>
    </w:pPr>
    <w:rPr>
      <w:sz w:val="16"/>
      <w:szCs w:val="16"/>
    </w:rPr>
  </w:style>
  <w:style w:type="paragraph" w:styleId="39">
    <w:name w:val="toc 2"/>
    <w:basedOn w:val="1"/>
    <w:next w:val="1"/>
    <w:qFormat/>
    <w:uiPriority w:val="39"/>
    <w:pPr>
      <w:ind w:left="420" w:leftChars="200"/>
    </w:pPr>
  </w:style>
  <w:style w:type="paragraph" w:styleId="40">
    <w:name w:val="toc 9"/>
    <w:basedOn w:val="1"/>
    <w:next w:val="1"/>
    <w:qFormat/>
    <w:uiPriority w:val="0"/>
    <w:pPr>
      <w:tabs>
        <w:tab w:val="right" w:leader="dot" w:pos="9185"/>
      </w:tabs>
      <w:adjustRightInd w:val="0"/>
      <w:spacing w:line="312" w:lineRule="atLeast"/>
      <w:ind w:left="3360"/>
      <w:textAlignment w:val="baseline"/>
    </w:pPr>
    <w:rPr>
      <w:kern w:val="0"/>
      <w:szCs w:val="20"/>
    </w:rPr>
  </w:style>
  <w:style w:type="paragraph" w:styleId="41">
    <w:name w:val="Body Text 2"/>
    <w:basedOn w:val="1"/>
    <w:link w:val="80"/>
    <w:qFormat/>
    <w:uiPriority w:val="0"/>
    <w:pPr>
      <w:spacing w:after="120" w:line="480" w:lineRule="auto"/>
    </w:pPr>
  </w:style>
  <w:style w:type="paragraph" w:styleId="42">
    <w:name w:val="List 4"/>
    <w:basedOn w:val="1"/>
    <w:qFormat/>
    <w:uiPriority w:val="0"/>
    <w:pPr>
      <w:ind w:left="100" w:leftChars="600" w:hanging="200" w:hangingChars="200"/>
    </w:pPr>
  </w:style>
  <w:style w:type="paragraph" w:styleId="43">
    <w:name w:val="List Continue 2"/>
    <w:basedOn w:val="1"/>
    <w:qFormat/>
    <w:uiPriority w:val="0"/>
    <w:pPr>
      <w:spacing w:after="120"/>
      <w:ind w:left="840" w:leftChars="400"/>
    </w:pPr>
  </w:style>
  <w:style w:type="paragraph" w:styleId="44">
    <w:name w:val="HTML Preformatted"/>
    <w:basedOn w:val="1"/>
    <w:link w:val="8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hAnsi="Courier New" w:eastAsia="黑体"/>
      <w:kern w:val="0"/>
      <w:sz w:val="20"/>
      <w:szCs w:val="20"/>
    </w:rPr>
  </w:style>
  <w:style w:type="paragraph" w:styleId="45">
    <w:name w:val="Normal (Web)"/>
    <w:basedOn w:val="1"/>
    <w:qFormat/>
    <w:uiPriority w:val="99"/>
    <w:pPr>
      <w:widowControl/>
      <w:spacing w:before="100" w:beforeAutospacing="1" w:after="100" w:afterAutospacing="1"/>
      <w:jc w:val="left"/>
    </w:pPr>
    <w:rPr>
      <w:rFonts w:ascii="宋体" w:hAnsi="宋体"/>
      <w:kern w:val="0"/>
      <w:sz w:val="24"/>
    </w:rPr>
  </w:style>
  <w:style w:type="paragraph" w:styleId="46">
    <w:name w:val="index 1"/>
    <w:basedOn w:val="1"/>
    <w:next w:val="1"/>
    <w:qFormat/>
    <w:uiPriority w:val="0"/>
    <w:pPr>
      <w:spacing w:line="400" w:lineRule="exact"/>
      <w:ind w:firstLine="420" w:firstLineChars="200"/>
    </w:pPr>
    <w:rPr>
      <w:rFonts w:ascii="宋体" w:hAnsi="Courier New"/>
      <w:b/>
      <w:szCs w:val="20"/>
    </w:rPr>
  </w:style>
  <w:style w:type="paragraph" w:styleId="47">
    <w:name w:val="Title"/>
    <w:basedOn w:val="1"/>
    <w:link w:val="82"/>
    <w:qFormat/>
    <w:uiPriority w:val="0"/>
    <w:pPr>
      <w:jc w:val="center"/>
    </w:pPr>
    <w:rPr>
      <w:sz w:val="30"/>
    </w:rPr>
  </w:style>
  <w:style w:type="paragraph" w:styleId="48">
    <w:name w:val="annotation subject"/>
    <w:basedOn w:val="17"/>
    <w:next w:val="17"/>
    <w:link w:val="83"/>
    <w:qFormat/>
    <w:uiPriority w:val="0"/>
    <w:rPr>
      <w:b/>
      <w:bCs/>
    </w:rPr>
  </w:style>
  <w:style w:type="paragraph" w:styleId="49">
    <w:name w:val="Body Text First Indent"/>
    <w:basedOn w:val="19"/>
    <w:link w:val="84"/>
    <w:qFormat/>
    <w:uiPriority w:val="0"/>
    <w:pPr>
      <w:spacing w:after="120" w:line="240" w:lineRule="auto"/>
      <w:ind w:firstLine="420" w:firstLineChars="100"/>
    </w:pPr>
    <w:rPr>
      <w:sz w:val="21"/>
    </w:rPr>
  </w:style>
  <w:style w:type="paragraph" w:styleId="50">
    <w:name w:val="Body Text First Indent 2"/>
    <w:basedOn w:val="20"/>
    <w:link w:val="85"/>
    <w:qFormat/>
    <w:uiPriority w:val="0"/>
    <w:pPr>
      <w:spacing w:after="120"/>
      <w:ind w:left="420" w:leftChars="200" w:firstLine="420" w:firstLineChars="200"/>
    </w:pPr>
    <w:rPr>
      <w:rFonts w:ascii="Times New Roman" w:eastAsia="宋体"/>
      <w:sz w:val="21"/>
      <w:szCs w:val="24"/>
    </w:rPr>
  </w:style>
  <w:style w:type="table" w:styleId="52">
    <w:name w:val="Table Grid"/>
    <w:basedOn w:val="5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4">
    <w:name w:val="Strong"/>
    <w:qFormat/>
    <w:uiPriority w:val="22"/>
    <w:rPr>
      <w:b/>
      <w:bCs/>
    </w:rPr>
  </w:style>
  <w:style w:type="character" w:styleId="55">
    <w:name w:val="page number"/>
    <w:qFormat/>
    <w:uiPriority w:val="0"/>
  </w:style>
  <w:style w:type="character" w:styleId="56">
    <w:name w:val="FollowedHyperlink"/>
    <w:qFormat/>
    <w:uiPriority w:val="99"/>
    <w:rPr>
      <w:color w:val="800080"/>
      <w:u w:val="single"/>
    </w:rPr>
  </w:style>
  <w:style w:type="character" w:styleId="57">
    <w:name w:val="Hyperlink"/>
    <w:qFormat/>
    <w:uiPriority w:val="99"/>
    <w:rPr>
      <w:color w:val="0000FF"/>
      <w:u w:val="single"/>
    </w:rPr>
  </w:style>
  <w:style w:type="character" w:styleId="58">
    <w:name w:val="annotation reference"/>
    <w:qFormat/>
    <w:uiPriority w:val="0"/>
    <w:rPr>
      <w:sz w:val="21"/>
      <w:szCs w:val="21"/>
    </w:rPr>
  </w:style>
  <w:style w:type="character" w:customStyle="1" w:styleId="59">
    <w:name w:val="标题 1 字符"/>
    <w:link w:val="2"/>
    <w:qFormat/>
    <w:uiPriority w:val="9"/>
    <w:rPr>
      <w:rFonts w:eastAsia="宋体"/>
      <w:b/>
      <w:bCs/>
      <w:kern w:val="44"/>
      <w:sz w:val="44"/>
      <w:szCs w:val="44"/>
      <w:lang w:val="en-US" w:eastAsia="zh-CN" w:bidi="ar-SA"/>
    </w:rPr>
  </w:style>
  <w:style w:type="character" w:customStyle="1" w:styleId="60">
    <w:name w:val="标题 2 字符"/>
    <w:link w:val="3"/>
    <w:qFormat/>
    <w:uiPriority w:val="0"/>
    <w:rPr>
      <w:rFonts w:ascii="Arial" w:hAnsi="Arial" w:eastAsia="黑体"/>
      <w:b/>
      <w:bCs/>
      <w:kern w:val="2"/>
      <w:sz w:val="32"/>
      <w:szCs w:val="32"/>
    </w:rPr>
  </w:style>
  <w:style w:type="character" w:customStyle="1" w:styleId="61">
    <w:name w:val="标题 3 字符"/>
    <w:link w:val="4"/>
    <w:qFormat/>
    <w:uiPriority w:val="0"/>
    <w:rPr>
      <w:b/>
      <w:bCs/>
      <w:kern w:val="2"/>
      <w:sz w:val="32"/>
      <w:szCs w:val="32"/>
    </w:rPr>
  </w:style>
  <w:style w:type="character" w:customStyle="1" w:styleId="62">
    <w:name w:val="标题 4 字符"/>
    <w:link w:val="5"/>
    <w:qFormat/>
    <w:uiPriority w:val="0"/>
    <w:rPr>
      <w:rFonts w:ascii="Arial" w:hAnsi="Arial" w:eastAsia="黑体"/>
      <w:sz w:val="28"/>
    </w:rPr>
  </w:style>
  <w:style w:type="character" w:customStyle="1" w:styleId="63">
    <w:name w:val="标题 5 字符"/>
    <w:link w:val="6"/>
    <w:qFormat/>
    <w:uiPriority w:val="0"/>
    <w:rPr>
      <w:b/>
      <w:kern w:val="2"/>
      <w:sz w:val="28"/>
      <w:szCs w:val="24"/>
    </w:rPr>
  </w:style>
  <w:style w:type="character" w:customStyle="1" w:styleId="64">
    <w:name w:val="标题 6 字符"/>
    <w:link w:val="8"/>
    <w:qFormat/>
    <w:uiPriority w:val="0"/>
    <w:rPr>
      <w:rFonts w:ascii="Arial" w:hAnsi="Arial" w:eastAsia="黑体"/>
      <w:b/>
      <w:kern w:val="2"/>
      <w:sz w:val="24"/>
      <w:szCs w:val="24"/>
    </w:rPr>
  </w:style>
  <w:style w:type="character" w:customStyle="1" w:styleId="65">
    <w:name w:val="标题 7 字符"/>
    <w:link w:val="9"/>
    <w:qFormat/>
    <w:uiPriority w:val="0"/>
    <w:rPr>
      <w:b/>
      <w:kern w:val="2"/>
      <w:sz w:val="24"/>
      <w:szCs w:val="24"/>
    </w:rPr>
  </w:style>
  <w:style w:type="character" w:customStyle="1" w:styleId="66">
    <w:name w:val="标题 8 字符"/>
    <w:link w:val="10"/>
    <w:qFormat/>
    <w:uiPriority w:val="0"/>
    <w:rPr>
      <w:rFonts w:ascii="Arial" w:hAnsi="Arial" w:eastAsia="黑体"/>
      <w:kern w:val="2"/>
      <w:sz w:val="24"/>
      <w:szCs w:val="24"/>
    </w:rPr>
  </w:style>
  <w:style w:type="character" w:customStyle="1" w:styleId="67">
    <w:name w:val="标题 9 字符"/>
    <w:link w:val="11"/>
    <w:qFormat/>
    <w:uiPriority w:val="0"/>
    <w:rPr>
      <w:rFonts w:ascii="Arial" w:hAnsi="Arial" w:eastAsia="黑体"/>
      <w:kern w:val="2"/>
      <w:sz w:val="21"/>
      <w:szCs w:val="24"/>
    </w:rPr>
  </w:style>
  <w:style w:type="character" w:customStyle="1" w:styleId="68">
    <w:name w:val="文档结构图 字符"/>
    <w:link w:val="16"/>
    <w:qFormat/>
    <w:uiPriority w:val="0"/>
    <w:rPr>
      <w:sz w:val="21"/>
      <w:shd w:val="clear" w:color="auto" w:fill="000080"/>
    </w:rPr>
  </w:style>
  <w:style w:type="character" w:customStyle="1" w:styleId="69">
    <w:name w:val="批注文字 字符"/>
    <w:link w:val="17"/>
    <w:qFormat/>
    <w:uiPriority w:val="0"/>
    <w:rPr>
      <w:kern w:val="2"/>
      <w:sz w:val="21"/>
      <w:szCs w:val="24"/>
    </w:rPr>
  </w:style>
  <w:style w:type="character" w:customStyle="1" w:styleId="70">
    <w:name w:val="正文文本 3 字符"/>
    <w:link w:val="18"/>
    <w:qFormat/>
    <w:uiPriority w:val="0"/>
    <w:rPr>
      <w:b/>
      <w:bCs/>
      <w:kern w:val="2"/>
      <w:sz w:val="24"/>
      <w:szCs w:val="24"/>
    </w:rPr>
  </w:style>
  <w:style w:type="character" w:customStyle="1" w:styleId="71">
    <w:name w:val="正文文本 字符2"/>
    <w:link w:val="19"/>
    <w:qFormat/>
    <w:uiPriority w:val="99"/>
    <w:rPr>
      <w:kern w:val="2"/>
      <w:sz w:val="24"/>
      <w:szCs w:val="24"/>
    </w:rPr>
  </w:style>
  <w:style w:type="character" w:customStyle="1" w:styleId="72">
    <w:name w:val="正文文本缩进 字符"/>
    <w:link w:val="20"/>
    <w:qFormat/>
    <w:uiPriority w:val="99"/>
    <w:rPr>
      <w:rFonts w:ascii="仿宋_GB2312" w:eastAsia="仿宋_GB2312"/>
      <w:kern w:val="2"/>
      <w:sz w:val="32"/>
    </w:rPr>
  </w:style>
  <w:style w:type="character" w:customStyle="1" w:styleId="73">
    <w:name w:val="纯文本 字符2"/>
    <w:link w:val="26"/>
    <w:qFormat/>
    <w:uiPriority w:val="99"/>
    <w:rPr>
      <w:rFonts w:ascii="宋体" w:hAnsi="Courier New" w:eastAsia="宋体" w:cs="Courier New"/>
      <w:kern w:val="2"/>
      <w:sz w:val="21"/>
      <w:szCs w:val="21"/>
      <w:lang w:val="en-US" w:eastAsia="zh-CN" w:bidi="ar-SA"/>
    </w:rPr>
  </w:style>
  <w:style w:type="character" w:customStyle="1" w:styleId="74">
    <w:name w:val="日期 字符"/>
    <w:link w:val="28"/>
    <w:qFormat/>
    <w:uiPriority w:val="0"/>
    <w:rPr>
      <w:rFonts w:ascii="宋体" w:hAnsi="Courier New" w:cs="Courier New"/>
      <w:kern w:val="2"/>
      <w:sz w:val="21"/>
      <w:szCs w:val="21"/>
    </w:rPr>
  </w:style>
  <w:style w:type="character" w:customStyle="1" w:styleId="75">
    <w:name w:val="正文文本缩进 2 字符"/>
    <w:link w:val="29"/>
    <w:qFormat/>
    <w:uiPriority w:val="0"/>
    <w:rPr>
      <w:kern w:val="2"/>
      <w:sz w:val="32"/>
    </w:rPr>
  </w:style>
  <w:style w:type="character" w:customStyle="1" w:styleId="76">
    <w:name w:val="批注框文本 字符"/>
    <w:link w:val="30"/>
    <w:qFormat/>
    <w:uiPriority w:val="0"/>
    <w:rPr>
      <w:kern w:val="2"/>
      <w:sz w:val="18"/>
      <w:szCs w:val="18"/>
    </w:rPr>
  </w:style>
  <w:style w:type="character" w:customStyle="1" w:styleId="77">
    <w:name w:val="页脚 字符"/>
    <w:link w:val="31"/>
    <w:qFormat/>
    <w:uiPriority w:val="0"/>
    <w:rPr>
      <w:kern w:val="2"/>
      <w:sz w:val="18"/>
      <w:szCs w:val="18"/>
    </w:rPr>
  </w:style>
  <w:style w:type="character" w:customStyle="1" w:styleId="78">
    <w:name w:val="页眉 字符"/>
    <w:link w:val="32"/>
    <w:qFormat/>
    <w:uiPriority w:val="99"/>
    <w:rPr>
      <w:kern w:val="2"/>
      <w:sz w:val="18"/>
      <w:szCs w:val="18"/>
    </w:rPr>
  </w:style>
  <w:style w:type="character" w:customStyle="1" w:styleId="79">
    <w:name w:val="正文文本缩进 3 字符"/>
    <w:link w:val="38"/>
    <w:qFormat/>
    <w:uiPriority w:val="0"/>
    <w:rPr>
      <w:kern w:val="2"/>
      <w:sz w:val="16"/>
      <w:szCs w:val="16"/>
    </w:rPr>
  </w:style>
  <w:style w:type="character" w:customStyle="1" w:styleId="80">
    <w:name w:val="正文文本 2 字符"/>
    <w:link w:val="41"/>
    <w:qFormat/>
    <w:uiPriority w:val="0"/>
    <w:rPr>
      <w:kern w:val="2"/>
      <w:sz w:val="21"/>
      <w:szCs w:val="24"/>
    </w:rPr>
  </w:style>
  <w:style w:type="character" w:customStyle="1" w:styleId="81">
    <w:name w:val="HTML 预设格式 字符"/>
    <w:link w:val="44"/>
    <w:qFormat/>
    <w:uiPriority w:val="0"/>
    <w:rPr>
      <w:rFonts w:ascii="黑体" w:hAnsi="Courier New" w:eastAsia="黑体" w:cs="Courier New"/>
    </w:rPr>
  </w:style>
  <w:style w:type="character" w:customStyle="1" w:styleId="82">
    <w:name w:val="标题 字符"/>
    <w:link w:val="47"/>
    <w:qFormat/>
    <w:uiPriority w:val="0"/>
    <w:rPr>
      <w:kern w:val="2"/>
      <w:sz w:val="30"/>
      <w:szCs w:val="24"/>
    </w:rPr>
  </w:style>
  <w:style w:type="character" w:customStyle="1" w:styleId="83">
    <w:name w:val="批注主题 字符"/>
    <w:link w:val="48"/>
    <w:qFormat/>
    <w:uiPriority w:val="0"/>
    <w:rPr>
      <w:b/>
      <w:bCs/>
      <w:kern w:val="2"/>
      <w:sz w:val="21"/>
      <w:szCs w:val="24"/>
    </w:rPr>
  </w:style>
  <w:style w:type="character" w:customStyle="1" w:styleId="84">
    <w:name w:val="正文文本首行缩进 字符"/>
    <w:link w:val="49"/>
    <w:qFormat/>
    <w:uiPriority w:val="0"/>
    <w:rPr>
      <w:kern w:val="2"/>
      <w:sz w:val="21"/>
      <w:szCs w:val="24"/>
    </w:rPr>
  </w:style>
  <w:style w:type="character" w:customStyle="1" w:styleId="85">
    <w:name w:val="正文文本首行缩进 2 字符"/>
    <w:link w:val="50"/>
    <w:qFormat/>
    <w:uiPriority w:val="0"/>
    <w:rPr>
      <w:kern w:val="2"/>
      <w:sz w:val="21"/>
      <w:szCs w:val="24"/>
    </w:rPr>
  </w:style>
  <w:style w:type="character" w:customStyle="1" w:styleId="86">
    <w:name w:val="style11"/>
    <w:qFormat/>
    <w:uiPriority w:val="0"/>
    <w:rPr>
      <w:rFonts w:hint="default" w:ascii="Arial" w:hAnsi="Arial" w:cs="Arial"/>
    </w:rPr>
  </w:style>
  <w:style w:type="character" w:customStyle="1" w:styleId="87">
    <w:name w:val="short_text1"/>
    <w:qFormat/>
    <w:uiPriority w:val="0"/>
    <w:rPr>
      <w:sz w:val="26"/>
    </w:rPr>
  </w:style>
  <w:style w:type="character" w:customStyle="1" w:styleId="88">
    <w:name w:val="white"/>
    <w:qFormat/>
    <w:uiPriority w:val="0"/>
  </w:style>
  <w:style w:type="character" w:customStyle="1" w:styleId="89">
    <w:name w:val="text11"/>
    <w:qFormat/>
    <w:uiPriority w:val="0"/>
    <w:rPr>
      <w:rFonts w:hint="default" w:ascii="Verdana" w:hAnsi="Verdana"/>
      <w:color w:val="4E4E4E"/>
      <w:sz w:val="18"/>
      <w:szCs w:val="18"/>
    </w:rPr>
  </w:style>
  <w:style w:type="character" w:customStyle="1" w:styleId="90">
    <w:name w:val="mark8"/>
    <w:qFormat/>
    <w:uiPriority w:val="0"/>
    <w:rPr>
      <w:b/>
      <w:bCs/>
      <w:sz w:val="21"/>
      <w:szCs w:val="21"/>
    </w:rPr>
  </w:style>
  <w:style w:type="character" w:customStyle="1" w:styleId="91">
    <w:name w:val="纯文本 Char1"/>
    <w:qFormat/>
    <w:uiPriority w:val="0"/>
    <w:rPr>
      <w:rFonts w:ascii="宋体" w:hAnsi="Courier New" w:eastAsia="宋体" w:cs="Courier New"/>
      <w:kern w:val="2"/>
      <w:sz w:val="21"/>
      <w:szCs w:val="21"/>
      <w:lang w:val="en-US" w:eastAsia="zh-CN" w:bidi="ar-SA"/>
    </w:rPr>
  </w:style>
  <w:style w:type="character" w:customStyle="1" w:styleId="92">
    <w:name w:val="f151"/>
    <w:qFormat/>
    <w:uiPriority w:val="0"/>
    <w:rPr>
      <w:sz w:val="23"/>
      <w:szCs w:val="23"/>
    </w:rPr>
  </w:style>
  <w:style w:type="character" w:customStyle="1" w:styleId="93">
    <w:name w:val="062"/>
    <w:qFormat/>
    <w:uiPriority w:val="0"/>
    <w:rPr>
      <w:rFonts w:ascii="宋体" w:hAnsi="宋体"/>
      <w:b/>
      <w:bCs/>
      <w:sz w:val="32"/>
    </w:rPr>
  </w:style>
  <w:style w:type="character" w:customStyle="1" w:styleId="94">
    <w:name w:val="gray12"/>
    <w:qFormat/>
    <w:uiPriority w:val="0"/>
  </w:style>
  <w:style w:type="character" w:customStyle="1" w:styleId="95">
    <w:name w:val="1ji Char"/>
    <w:link w:val="96"/>
    <w:qFormat/>
    <w:uiPriority w:val="0"/>
    <w:rPr>
      <w:rFonts w:ascii="宋体" w:hAnsi="宋体" w:eastAsia="宋体"/>
      <w:b/>
      <w:bCs/>
      <w:kern w:val="44"/>
      <w:sz w:val="36"/>
      <w:szCs w:val="44"/>
      <w:lang w:val="en-US" w:eastAsia="zh-CN" w:bidi="ar-SA"/>
    </w:rPr>
  </w:style>
  <w:style w:type="paragraph" w:customStyle="1" w:styleId="96">
    <w:name w:val="1ji"/>
    <w:basedOn w:val="2"/>
    <w:link w:val="95"/>
    <w:qFormat/>
    <w:uiPriority w:val="0"/>
    <w:pPr>
      <w:keepLines w:val="0"/>
      <w:widowControl/>
      <w:spacing w:before="0" w:after="0" w:line="240" w:lineRule="auto"/>
      <w:jc w:val="center"/>
    </w:pPr>
    <w:rPr>
      <w:rFonts w:ascii="宋体" w:hAnsi="宋体"/>
      <w:sz w:val="36"/>
    </w:rPr>
  </w:style>
  <w:style w:type="character" w:customStyle="1" w:styleId="97">
    <w:name w:val="font01"/>
    <w:qFormat/>
    <w:uiPriority w:val="0"/>
    <w:rPr>
      <w:rFonts w:hint="eastAsia" w:ascii="宋体" w:hAnsi="宋体" w:eastAsia="宋体"/>
      <w:color w:val="000000"/>
      <w:sz w:val="22"/>
      <w:szCs w:val="22"/>
      <w:u w:val="none"/>
    </w:rPr>
  </w:style>
  <w:style w:type="character" w:customStyle="1" w:styleId="98">
    <w:name w:val="small"/>
    <w:qFormat/>
    <w:uiPriority w:val="0"/>
  </w:style>
  <w:style w:type="character" w:customStyle="1" w:styleId="99">
    <w:name w:val="apple-converted-space"/>
    <w:qFormat/>
    <w:uiPriority w:val="0"/>
  </w:style>
  <w:style w:type="character" w:customStyle="1" w:styleId="100">
    <w:name w:val="case31"/>
    <w:qFormat/>
    <w:uiPriority w:val="0"/>
    <w:rPr>
      <w:rFonts w:hint="default"/>
      <w:sz w:val="21"/>
      <w:szCs w:val="21"/>
    </w:rPr>
  </w:style>
  <w:style w:type="character" w:customStyle="1" w:styleId="101">
    <w:name w:val="graytext1"/>
    <w:qFormat/>
    <w:uiPriority w:val="0"/>
    <w:rPr>
      <w:color w:val="666666"/>
    </w:rPr>
  </w:style>
  <w:style w:type="character" w:customStyle="1" w:styleId="102">
    <w:name w:val="标题3 Char"/>
    <w:link w:val="103"/>
    <w:qFormat/>
    <w:uiPriority w:val="0"/>
    <w:rPr>
      <w:rFonts w:ascii="宋体" w:hAnsi="宋体"/>
      <w:b/>
      <w:bCs/>
      <w:kern w:val="44"/>
      <w:sz w:val="24"/>
      <w:szCs w:val="24"/>
    </w:rPr>
  </w:style>
  <w:style w:type="paragraph" w:customStyle="1" w:styleId="103">
    <w:name w:val="标题3"/>
    <w:basedOn w:val="2"/>
    <w:link w:val="102"/>
    <w:qFormat/>
    <w:uiPriority w:val="0"/>
    <w:pPr>
      <w:spacing w:before="0" w:beforeLines="50" w:after="0" w:afterLines="50" w:line="400" w:lineRule="exact"/>
    </w:pPr>
    <w:rPr>
      <w:rFonts w:ascii="宋体" w:hAnsi="宋体"/>
      <w:sz w:val="24"/>
      <w:szCs w:val="24"/>
    </w:rPr>
  </w:style>
  <w:style w:type="character" w:customStyle="1" w:styleId="104">
    <w:name w:val="1051"/>
    <w:qFormat/>
    <w:uiPriority w:val="0"/>
    <w:rPr>
      <w:sz w:val="21"/>
      <w:szCs w:val="21"/>
    </w:rPr>
  </w:style>
  <w:style w:type="character" w:customStyle="1" w:styleId="105">
    <w:name w:val="content2"/>
    <w:qFormat/>
    <w:uiPriority w:val="0"/>
  </w:style>
  <w:style w:type="character" w:customStyle="1" w:styleId="106">
    <w:name w:val="z-窗体顶端 字符"/>
    <w:link w:val="107"/>
    <w:qFormat/>
    <w:uiPriority w:val="0"/>
    <w:rPr>
      <w:rFonts w:ascii="Arial"/>
      <w:vanish/>
      <w:kern w:val="2"/>
      <w:sz w:val="16"/>
      <w:szCs w:val="24"/>
    </w:rPr>
  </w:style>
  <w:style w:type="paragraph" w:customStyle="1" w:styleId="107">
    <w:name w:val="HTML Top of Form"/>
    <w:basedOn w:val="1"/>
    <w:next w:val="1"/>
    <w:link w:val="106"/>
    <w:qFormat/>
    <w:uiPriority w:val="0"/>
    <w:pPr>
      <w:pBdr>
        <w:bottom w:val="single" w:color="auto" w:sz="6" w:space="1"/>
      </w:pBdr>
      <w:jc w:val="center"/>
    </w:pPr>
    <w:rPr>
      <w:rFonts w:ascii="Arial"/>
      <w:vanish/>
      <w:sz w:val="16"/>
    </w:rPr>
  </w:style>
  <w:style w:type="character" w:customStyle="1" w:styleId="108">
    <w:name w:val="unnamed3"/>
    <w:qFormat/>
    <w:uiPriority w:val="0"/>
  </w:style>
  <w:style w:type="character" w:customStyle="1" w:styleId="109">
    <w:name w:val="批注文字 Char2"/>
    <w:qFormat/>
    <w:uiPriority w:val="0"/>
    <w:rPr>
      <w:kern w:val="2"/>
      <w:sz w:val="21"/>
      <w:szCs w:val="24"/>
      <w:lang w:bidi="ar-SA"/>
    </w:rPr>
  </w:style>
  <w:style w:type="character" w:customStyle="1" w:styleId="110">
    <w:name w:val="style21"/>
    <w:qFormat/>
    <w:uiPriority w:val="0"/>
    <w:rPr>
      <w:sz w:val="17"/>
      <w:szCs w:val="17"/>
    </w:rPr>
  </w:style>
  <w:style w:type="paragraph" w:customStyle="1" w:styleId="111">
    <w:name w:val="Char"/>
    <w:basedOn w:val="1"/>
    <w:qFormat/>
    <w:uiPriority w:val="0"/>
    <w:pPr>
      <w:widowControl/>
      <w:spacing w:line="500" w:lineRule="exact"/>
      <w:outlineLvl w:val="2"/>
    </w:pPr>
    <w:rPr>
      <w:rFonts w:ascii="黑体" w:hAnsi="Verdana" w:eastAsia="黑体" w:cs="黑体"/>
      <w:kern w:val="0"/>
      <w:sz w:val="28"/>
      <w:szCs w:val="28"/>
      <w:lang w:eastAsia="en-US"/>
    </w:rPr>
  </w:style>
  <w:style w:type="paragraph" w:customStyle="1" w:styleId="112">
    <w:name w:val="Char1"/>
    <w:basedOn w:val="1"/>
    <w:qFormat/>
    <w:uiPriority w:val="0"/>
    <w:rPr>
      <w:szCs w:val="21"/>
    </w:rPr>
  </w:style>
  <w:style w:type="paragraph" w:customStyle="1" w:styleId="113">
    <w:name w:val="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14">
    <w:name w:val=" 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15">
    <w:name w:val="xl21"/>
    <w:basedOn w:val="1"/>
    <w:qFormat/>
    <w:uiPriority w:val="0"/>
    <w:pPr>
      <w:widowControl/>
      <w:spacing w:before="100" w:beforeAutospacing="1" w:after="100" w:afterAutospacing="1"/>
      <w:jc w:val="center"/>
    </w:pPr>
    <w:rPr>
      <w:rFonts w:ascii="宋体" w:hAnsi="宋体"/>
      <w:b/>
      <w:bCs/>
      <w:kern w:val="0"/>
      <w:sz w:val="28"/>
      <w:szCs w:val="28"/>
    </w:rPr>
  </w:style>
  <w:style w:type="paragraph" w:customStyle="1" w:styleId="116">
    <w:name w:val="List Paragraph1"/>
    <w:basedOn w:val="1"/>
    <w:qFormat/>
    <w:uiPriority w:val="0"/>
    <w:pPr>
      <w:ind w:firstLine="420" w:firstLineChars="200"/>
    </w:pPr>
    <w:rPr>
      <w:rFonts w:ascii="Calibri" w:hAnsi="Calibri"/>
      <w:szCs w:val="22"/>
    </w:rPr>
  </w:style>
  <w:style w:type="paragraph" w:styleId="117">
    <w:name w:val="List Paragraph"/>
    <w:basedOn w:val="1"/>
    <w:qFormat/>
    <w:uiPriority w:val="34"/>
    <w:pPr>
      <w:ind w:firstLine="420" w:firstLineChars="200"/>
    </w:pPr>
    <w:rPr>
      <w:rFonts w:ascii="Calibri" w:hAnsi="Calibri"/>
      <w:szCs w:val="22"/>
    </w:rPr>
  </w:style>
  <w:style w:type="paragraph" w:customStyle="1" w:styleId="118">
    <w:name w:val=" Char Char Char Char Char Char Char"/>
    <w:basedOn w:val="1"/>
    <w:qFormat/>
    <w:uiPriority w:val="0"/>
  </w:style>
  <w:style w:type="paragraph" w:customStyle="1" w:styleId="119">
    <w:name w:val=" Char"/>
    <w:basedOn w:val="1"/>
    <w:qFormat/>
    <w:uiPriority w:val="0"/>
    <w:pPr>
      <w:tabs>
        <w:tab w:val="left" w:pos="360"/>
      </w:tabs>
      <w:ind w:left="252" w:hanging="252" w:hangingChars="140"/>
    </w:pPr>
    <w:rPr>
      <w:rFonts w:ascii="宋体"/>
      <w:sz w:val="18"/>
      <w:szCs w:val="18"/>
    </w:rPr>
  </w:style>
  <w:style w:type="paragraph" w:customStyle="1" w:styleId="120">
    <w:name w:val="次小点说明 Char"/>
    <w:basedOn w:val="7"/>
    <w:qFormat/>
    <w:uiPriority w:val="0"/>
    <w:pPr>
      <w:ind w:firstLine="0"/>
    </w:pPr>
    <w:rPr>
      <w:sz w:val="24"/>
      <w:szCs w:val="24"/>
    </w:rPr>
  </w:style>
  <w:style w:type="paragraph" w:customStyle="1" w:styleId="121">
    <w:name w:val=" Char Char Char"/>
    <w:basedOn w:val="16"/>
    <w:qFormat/>
    <w:uiPriority w:val="0"/>
    <w:pPr>
      <w:adjustRightInd/>
      <w:spacing w:line="240" w:lineRule="auto"/>
      <w:textAlignment w:val="auto"/>
    </w:pPr>
    <w:rPr>
      <w:rFonts w:ascii="Tahoma" w:hAnsi="Tahoma"/>
      <w:kern w:val="2"/>
      <w:sz w:val="24"/>
      <w:szCs w:val="24"/>
    </w:rPr>
  </w:style>
  <w:style w:type="paragraph" w:customStyle="1" w:styleId="122">
    <w:name w:val="Char Char Char1"/>
    <w:basedOn w:val="16"/>
    <w:qFormat/>
    <w:uiPriority w:val="0"/>
    <w:pPr>
      <w:adjustRightInd/>
      <w:spacing w:line="240" w:lineRule="auto"/>
      <w:textAlignment w:val="auto"/>
    </w:pPr>
    <w:rPr>
      <w:rFonts w:ascii="Tahoma" w:hAnsi="Tahoma"/>
      <w:kern w:val="2"/>
      <w:sz w:val="24"/>
      <w:szCs w:val="24"/>
    </w:rPr>
  </w:style>
  <w:style w:type="paragraph" w:customStyle="1" w:styleId="123">
    <w:name w:val="五号正文（标准）"/>
    <w:basedOn w:val="1"/>
    <w:qFormat/>
    <w:uiPriority w:val="0"/>
    <w:pPr>
      <w:spacing w:line="360" w:lineRule="auto"/>
      <w:ind w:right="55" w:firstLine="560" w:firstLineChars="200"/>
    </w:pPr>
    <w:rPr>
      <w:rFonts w:eastAsia="仿宋_GB2312"/>
      <w:sz w:val="28"/>
      <w:szCs w:val="20"/>
    </w:rPr>
  </w:style>
  <w:style w:type="paragraph" w:customStyle="1" w:styleId="124">
    <w:name w:val="a9"/>
    <w:basedOn w:val="1"/>
    <w:qFormat/>
    <w:uiPriority w:val="0"/>
    <w:pPr>
      <w:widowControl/>
      <w:spacing w:before="100" w:beforeAutospacing="1" w:after="100" w:afterAutospacing="1"/>
      <w:jc w:val="left"/>
    </w:pPr>
    <w:rPr>
      <w:rFonts w:ascii="宋体" w:hAnsi="宋体" w:cs="宋体"/>
      <w:kern w:val="0"/>
      <w:sz w:val="24"/>
    </w:rPr>
  </w:style>
  <w:style w:type="paragraph" w:customStyle="1" w:styleId="125">
    <w:name w:val="默认段落字体 Para Char"/>
    <w:basedOn w:val="1"/>
    <w:qFormat/>
    <w:uiPriority w:val="0"/>
    <w:pPr>
      <w:adjustRightInd w:val="0"/>
      <w:spacing w:line="360" w:lineRule="auto"/>
    </w:pPr>
    <w:rPr>
      <w:kern w:val="0"/>
      <w:sz w:val="24"/>
      <w:szCs w:val="20"/>
    </w:rPr>
  </w:style>
  <w:style w:type="paragraph" w:customStyle="1" w:styleId="126">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pPr>
    <w:rPr>
      <w:kern w:val="0"/>
      <w:szCs w:val="21"/>
    </w:rPr>
  </w:style>
  <w:style w:type="paragraph" w:customStyle="1" w:styleId="127">
    <w:name w:val="样式1"/>
    <w:basedOn w:val="1"/>
    <w:qFormat/>
    <w:uiPriority w:val="0"/>
    <w:pPr>
      <w:spacing w:before="120" w:after="120" w:line="300" w:lineRule="auto"/>
    </w:pPr>
    <w:rPr>
      <w:rFonts w:ascii="宋体" w:hAnsi="宋体"/>
      <w:b/>
      <w:sz w:val="24"/>
      <w:szCs w:val="20"/>
    </w:rPr>
  </w:style>
  <w:style w:type="paragraph" w:customStyle="1" w:styleId="128">
    <w:name w:val="xl31"/>
    <w:basedOn w:val="1"/>
    <w:qFormat/>
    <w:uiPriority w:val="0"/>
    <w:pPr>
      <w:widowControl/>
      <w:pBdr>
        <w:bottom w:val="single" w:color="auto" w:sz="4" w:space="0"/>
        <w:right w:val="single" w:color="auto" w:sz="4" w:space="0"/>
      </w:pBdr>
      <w:spacing w:before="100" w:beforeAutospacing="1" w:after="100" w:afterAutospacing="1"/>
      <w:jc w:val="center"/>
    </w:pPr>
    <w:rPr>
      <w:rFonts w:ascii="宋体" w:hAnsi="宋体"/>
      <w:kern w:val="0"/>
      <w:szCs w:val="21"/>
    </w:rPr>
  </w:style>
  <w:style w:type="paragraph" w:customStyle="1" w:styleId="129">
    <w:name w:val="Char Char Char Char Char Char Char Char Char Char Char Char Char Char Char Char"/>
    <w:basedOn w:val="1"/>
    <w:qFormat/>
    <w:uiPriority w:val="0"/>
    <w:pPr>
      <w:tabs>
        <w:tab w:val="left" w:pos="360"/>
      </w:tabs>
      <w:spacing w:line="360" w:lineRule="auto"/>
      <w:ind w:left="482" w:firstLine="200" w:firstLineChars="200"/>
    </w:pPr>
    <w:rPr>
      <w:rFonts w:ascii="宋体"/>
      <w:sz w:val="24"/>
    </w:rPr>
  </w:style>
  <w:style w:type="paragraph" w:customStyle="1" w:styleId="130">
    <w:name w:val="缺省文本"/>
    <w:basedOn w:val="1"/>
    <w:qFormat/>
    <w:uiPriority w:val="0"/>
    <w:pPr>
      <w:autoSpaceDE w:val="0"/>
      <w:autoSpaceDN w:val="0"/>
      <w:adjustRightInd w:val="0"/>
      <w:spacing w:line="360" w:lineRule="auto"/>
      <w:jc w:val="left"/>
    </w:pPr>
    <w:rPr>
      <w:kern w:val="0"/>
      <w:sz w:val="24"/>
      <w:szCs w:val="20"/>
    </w:rPr>
  </w:style>
  <w:style w:type="paragraph" w:customStyle="1" w:styleId="131">
    <w:name w:val="默认段落字体 Para Char1"/>
    <w:next w:val="1"/>
    <w:qFormat/>
    <w:uiPriority w:val="0"/>
    <w:pPr>
      <w:keepNext/>
      <w:keepLines/>
      <w:tabs>
        <w:tab w:val="left" w:pos="360"/>
      </w:tabs>
      <w:snapToGrid w:val="0"/>
      <w:spacing w:before="240" w:after="240"/>
      <w:outlineLvl w:val="7"/>
    </w:pPr>
    <w:rPr>
      <w:rFonts w:ascii="Arial" w:hAnsi="Arial" w:eastAsia="宋体" w:cs="Arial"/>
      <w:kern w:val="2"/>
      <w:lang w:val="en-US" w:eastAsia="zh-CN" w:bidi="ar-SA"/>
    </w:rPr>
  </w:style>
  <w:style w:type="paragraph" w:customStyle="1" w:styleId="132">
    <w:name w:val="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3">
    <w:name w:val=" Char Char Char Char Char Char Char Char Char Char Char Char Char Char Char Char"/>
    <w:basedOn w:val="1"/>
    <w:qFormat/>
    <w:uiPriority w:val="0"/>
    <w:pPr>
      <w:tabs>
        <w:tab w:val="left" w:pos="360"/>
      </w:tabs>
      <w:spacing w:line="360" w:lineRule="auto"/>
      <w:ind w:left="482" w:firstLine="200" w:firstLineChars="200"/>
    </w:pPr>
    <w:rPr>
      <w:rFonts w:ascii="宋体"/>
      <w:sz w:val="24"/>
    </w:rPr>
  </w:style>
  <w:style w:type="paragraph" w:customStyle="1" w:styleId="134">
    <w:name w:val="图"/>
    <w:basedOn w:val="1"/>
    <w:qFormat/>
    <w:uiPriority w:val="0"/>
    <w:pPr>
      <w:keepNext/>
      <w:adjustRightInd w:val="0"/>
      <w:snapToGrid w:val="0"/>
      <w:spacing w:before="60" w:after="60" w:line="300" w:lineRule="auto"/>
      <w:jc w:val="center"/>
    </w:pPr>
    <w:rPr>
      <w:spacing w:val="20"/>
      <w:kern w:val="0"/>
      <w:sz w:val="24"/>
      <w:szCs w:val="20"/>
    </w:rPr>
  </w:style>
  <w:style w:type="paragraph" w:customStyle="1" w:styleId="135">
    <w:name w:val="xl30"/>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kern w:val="0"/>
      <w:szCs w:val="21"/>
    </w:rPr>
  </w:style>
  <w:style w:type="paragraph" w:customStyle="1" w:styleId="136">
    <w:name w:val="正文首行缩进两字符"/>
    <w:basedOn w:val="1"/>
    <w:qFormat/>
    <w:uiPriority w:val="0"/>
    <w:pPr>
      <w:spacing w:line="360" w:lineRule="auto"/>
      <w:ind w:firstLine="200" w:firstLineChars="200"/>
    </w:pPr>
  </w:style>
  <w:style w:type="paragraph" w:customStyle="1" w:styleId="137">
    <w:name w:val="TOC Heading"/>
    <w:basedOn w:val="2"/>
    <w:next w:val="1"/>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138">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rPr>
  </w:style>
  <w:style w:type="paragraph" w:customStyle="1" w:styleId="139">
    <w:name w:val="表内文字"/>
    <w:basedOn w:val="1"/>
    <w:qFormat/>
    <w:uiPriority w:val="0"/>
    <w:pPr>
      <w:snapToGrid w:val="0"/>
      <w:spacing w:before="50" w:after="50"/>
      <w:jc w:val="center"/>
    </w:pPr>
    <w:rPr>
      <w:rFonts w:ascii="仿宋_GB2312" w:hAnsi="宋体" w:eastAsia="仿宋_GB2312"/>
      <w:b/>
      <w:color w:val="000000"/>
      <w:sz w:val="32"/>
      <w:szCs w:val="32"/>
    </w:rPr>
  </w:style>
  <w:style w:type="paragraph" w:customStyle="1" w:styleId="140">
    <w:name w:val="Default Paragraph Font Para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141">
    <w:name w:val="样式 标题 3 + (中文) 黑体 小四 非加粗 段前: 7.8 磅 段后: 0 磅 行距: 固定值 20 磅"/>
    <w:basedOn w:val="4"/>
    <w:qFormat/>
    <w:uiPriority w:val="0"/>
    <w:pPr>
      <w:spacing w:before="0" w:after="0" w:line="400" w:lineRule="exact"/>
    </w:pPr>
    <w:rPr>
      <w:rFonts w:eastAsia="黑体" w:cs="宋体"/>
      <w:b w:val="0"/>
      <w:bCs w:val="0"/>
      <w:sz w:val="24"/>
      <w:szCs w:val="20"/>
    </w:rPr>
  </w:style>
  <w:style w:type="paragraph" w:customStyle="1" w:styleId="142">
    <w:name w:val="xl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b/>
      <w:bCs/>
      <w:kern w:val="0"/>
      <w:sz w:val="24"/>
    </w:rPr>
  </w:style>
  <w:style w:type="paragraph" w:customStyle="1" w:styleId="143">
    <w:name w:val="1"/>
    <w:basedOn w:val="1"/>
    <w:next w:val="26"/>
    <w:qFormat/>
    <w:uiPriority w:val="0"/>
    <w:rPr>
      <w:rFonts w:ascii="宋体" w:hAnsi="Courier New"/>
      <w:szCs w:val="20"/>
    </w:rPr>
  </w:style>
  <w:style w:type="paragraph" w:customStyle="1" w:styleId="144">
    <w:name w:val="Char2"/>
    <w:basedOn w:val="1"/>
    <w:qFormat/>
    <w:uiPriority w:val="0"/>
    <w:pPr>
      <w:widowControl/>
      <w:spacing w:after="160" w:line="240" w:lineRule="exact"/>
      <w:jc w:val="left"/>
    </w:pPr>
    <w:rPr>
      <w:rFonts w:ascii="Verdana" w:hAnsi="Verdana"/>
      <w:kern w:val="0"/>
      <w:szCs w:val="20"/>
      <w:lang w:eastAsia="en-US"/>
    </w:rPr>
  </w:style>
  <w:style w:type="paragraph" w:customStyle="1" w:styleId="145">
    <w:name w:val="Char3"/>
    <w:basedOn w:val="1"/>
    <w:qFormat/>
    <w:uiPriority w:val="0"/>
    <w:pPr>
      <w:widowControl/>
      <w:spacing w:line="500" w:lineRule="exact"/>
      <w:outlineLvl w:val="2"/>
    </w:pPr>
    <w:rPr>
      <w:rFonts w:ascii="黑体" w:hAnsi="Verdana" w:eastAsia="黑体" w:cs="黑体"/>
      <w:kern w:val="0"/>
      <w:sz w:val="28"/>
      <w:szCs w:val="28"/>
      <w:lang w:eastAsia="en-US"/>
    </w:rPr>
  </w:style>
  <w:style w:type="paragraph" w:customStyle="1" w:styleId="146">
    <w:name w:val="Char Char Char"/>
    <w:basedOn w:val="1"/>
    <w:qFormat/>
    <w:uiPriority w:val="0"/>
    <w:rPr>
      <w:rFonts w:ascii="Tahoma" w:hAnsi="Tahoma"/>
      <w:sz w:val="24"/>
      <w:szCs w:val="20"/>
    </w:rPr>
  </w:style>
  <w:style w:type="paragraph" w:customStyle="1" w:styleId="147">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48">
    <w:name w:val=" Char Char Char Char Char Char Char Char Char Char Char Char Char"/>
    <w:basedOn w:val="16"/>
    <w:qFormat/>
    <w:uiPriority w:val="0"/>
    <w:pPr>
      <w:adjustRightInd/>
      <w:spacing w:line="240" w:lineRule="auto"/>
      <w:textAlignment w:val="auto"/>
    </w:pPr>
    <w:rPr>
      <w:rFonts w:ascii="Tahoma" w:hAnsi="Tahoma"/>
      <w:kern w:val="2"/>
      <w:sz w:val="24"/>
      <w:szCs w:val="24"/>
    </w:rPr>
  </w:style>
  <w:style w:type="paragraph" w:customStyle="1" w:styleId="149">
    <w:name w:val="样式 首行缩进:  2 字符"/>
    <w:basedOn w:val="1"/>
    <w:qFormat/>
    <w:uiPriority w:val="0"/>
    <w:pPr>
      <w:spacing w:line="400" w:lineRule="exact"/>
      <w:ind w:firstLine="200" w:firstLineChars="200"/>
    </w:pPr>
    <w:rPr>
      <w:rFonts w:cs="宋体"/>
      <w:sz w:val="24"/>
    </w:rPr>
  </w:style>
  <w:style w:type="paragraph" w:customStyle="1" w:styleId="150">
    <w:name w:val=" Char Char Char Char Char Char1 Char"/>
    <w:basedOn w:val="1"/>
    <w:qFormat/>
    <w:uiPriority w:val="0"/>
    <w:pPr>
      <w:widowControl/>
      <w:spacing w:after="160" w:line="240" w:lineRule="exact"/>
      <w:jc w:val="left"/>
    </w:pPr>
    <w:rPr>
      <w:rFonts w:ascii="Arial" w:hAnsi="Arial" w:eastAsia="Times New Roman" w:cs="Verdana"/>
      <w:b/>
      <w:kern w:val="0"/>
      <w:sz w:val="24"/>
      <w:szCs w:val="20"/>
      <w:lang w:eastAsia="en-US"/>
    </w:rPr>
  </w:style>
  <w:style w:type="paragraph" w:customStyle="1" w:styleId="151">
    <w:name w:val="表格"/>
    <w:basedOn w:val="1"/>
    <w:qFormat/>
    <w:uiPriority w:val="0"/>
    <w:pPr>
      <w:spacing w:line="400" w:lineRule="exact"/>
    </w:pPr>
    <w:rPr>
      <w:sz w:val="24"/>
    </w:rPr>
  </w:style>
  <w:style w:type="paragraph" w:customStyle="1" w:styleId="152">
    <w:name w:val="默认段落字体 Para Char Char Char Char Char Char Char Char Char1 Char Char Char Char"/>
    <w:basedOn w:val="1"/>
    <w:qFormat/>
    <w:uiPriority w:val="0"/>
    <w:rPr>
      <w:rFonts w:ascii="Tahoma" w:hAnsi="Tahoma"/>
      <w:sz w:val="24"/>
      <w:szCs w:val="20"/>
    </w:rPr>
  </w:style>
  <w:style w:type="paragraph" w:customStyle="1" w:styleId="153">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154">
    <w:name w:val="Char Char Char Char Char Char Char"/>
    <w:basedOn w:val="1"/>
    <w:qFormat/>
    <w:uiPriority w:val="0"/>
  </w:style>
  <w:style w:type="paragraph" w:customStyle="1" w:styleId="155">
    <w:name w:val=" Char2"/>
    <w:basedOn w:val="1"/>
    <w:qFormat/>
    <w:uiPriority w:val="0"/>
    <w:pPr>
      <w:widowControl/>
      <w:spacing w:after="160" w:line="240" w:lineRule="exact"/>
      <w:jc w:val="left"/>
    </w:pPr>
    <w:rPr>
      <w:rFonts w:ascii="Verdana" w:hAnsi="Verdana"/>
      <w:kern w:val="0"/>
      <w:szCs w:val="20"/>
      <w:lang w:eastAsia="en-US"/>
    </w:rPr>
  </w:style>
  <w:style w:type="paragraph" w:customStyle="1" w:styleId="156">
    <w:name w:val="Revision"/>
    <w:unhideWhenUsed/>
    <w:qFormat/>
    <w:uiPriority w:val="99"/>
    <w:rPr>
      <w:rFonts w:ascii="Times New Roman" w:hAnsi="Times New Roman" w:eastAsia="宋体" w:cs="Times New Roman"/>
      <w:kern w:val="2"/>
      <w:sz w:val="21"/>
      <w:szCs w:val="24"/>
      <w:lang w:val="en-US" w:eastAsia="zh-CN" w:bidi="ar-SA"/>
    </w:rPr>
  </w:style>
  <w:style w:type="paragraph" w:customStyle="1" w:styleId="157">
    <w:name w:val="F2"/>
    <w:basedOn w:val="1"/>
    <w:qFormat/>
    <w:uiPriority w:val="0"/>
    <w:pPr>
      <w:autoSpaceDE w:val="0"/>
      <w:autoSpaceDN w:val="0"/>
      <w:adjustRightInd w:val="0"/>
      <w:ind w:firstLine="601"/>
      <w:textAlignment w:val="baseline"/>
    </w:pPr>
    <w:rPr>
      <w:kern w:val="0"/>
      <w:sz w:val="24"/>
      <w:szCs w:val="20"/>
    </w:rPr>
  </w:style>
  <w:style w:type="paragraph" w:customStyle="1" w:styleId="158">
    <w:name w:val="普通 (Web)"/>
    <w:basedOn w:val="1"/>
    <w:qFormat/>
    <w:uiPriority w:val="0"/>
    <w:pPr>
      <w:widowControl/>
      <w:spacing w:before="100" w:beforeAutospacing="1" w:after="100" w:afterAutospacing="1"/>
      <w:jc w:val="left"/>
    </w:pPr>
    <w:rPr>
      <w:rFonts w:ascii="宋体" w:hAnsi="宋体"/>
      <w:kern w:val="0"/>
      <w:sz w:val="24"/>
    </w:rPr>
  </w:style>
  <w:style w:type="paragraph" w:customStyle="1" w:styleId="159">
    <w:name w:val="tgt1"/>
    <w:basedOn w:val="1"/>
    <w:qFormat/>
    <w:uiPriority w:val="0"/>
    <w:pPr>
      <w:widowControl/>
      <w:spacing w:after="150"/>
      <w:jc w:val="left"/>
    </w:pPr>
    <w:rPr>
      <w:rFonts w:ascii="宋体" w:hAnsi="宋体" w:cs="宋体"/>
      <w:kern w:val="0"/>
      <w:sz w:val="24"/>
    </w:rPr>
  </w:style>
  <w:style w:type="paragraph" w:customStyle="1" w:styleId="160">
    <w:name w:val="正文段"/>
    <w:basedOn w:val="1"/>
    <w:qFormat/>
    <w:uiPriority w:val="0"/>
    <w:pPr>
      <w:widowControl/>
      <w:snapToGrid w:val="0"/>
      <w:spacing w:after="156" w:afterLines="50"/>
      <w:ind w:firstLine="200" w:firstLineChars="200"/>
    </w:pPr>
    <w:rPr>
      <w:kern w:val="0"/>
      <w:sz w:val="24"/>
      <w:szCs w:val="20"/>
    </w:rPr>
  </w:style>
  <w:style w:type="paragraph" w:customStyle="1" w:styleId="161">
    <w:name w:val="Char Char Char Char Char Char Char Char Char Char Char Char Char"/>
    <w:basedOn w:val="16"/>
    <w:qFormat/>
    <w:uiPriority w:val="0"/>
    <w:pPr>
      <w:adjustRightInd/>
      <w:spacing w:line="240" w:lineRule="auto"/>
      <w:textAlignment w:val="auto"/>
    </w:pPr>
    <w:rPr>
      <w:rFonts w:ascii="Tahoma" w:hAnsi="Tahoma"/>
      <w:kern w:val="2"/>
      <w:sz w:val="24"/>
      <w:szCs w:val="24"/>
    </w:rPr>
  </w:style>
  <w:style w:type="paragraph" w:customStyle="1" w:styleId="162">
    <w:name w:val="2ji"/>
    <w:basedOn w:val="3"/>
    <w:qFormat/>
    <w:uiPriority w:val="0"/>
    <w:pPr>
      <w:adjustRightInd w:val="0"/>
      <w:spacing w:before="0" w:after="0" w:line="360" w:lineRule="auto"/>
      <w:textAlignment w:val="baseline"/>
    </w:pPr>
    <w:rPr>
      <w:rFonts w:ascii="宋体" w:hAnsi="宋体" w:eastAsia="宋体"/>
      <w:kern w:val="0"/>
      <w:sz w:val="21"/>
      <w:szCs w:val="21"/>
    </w:rPr>
  </w:style>
  <w:style w:type="paragraph" w:customStyle="1" w:styleId="163">
    <w:name w:val="Char Char Char Char Char Char1 Char"/>
    <w:basedOn w:val="1"/>
    <w:qFormat/>
    <w:uiPriority w:val="0"/>
    <w:pPr>
      <w:widowControl/>
      <w:spacing w:after="160" w:line="240" w:lineRule="exact"/>
      <w:jc w:val="left"/>
    </w:pPr>
    <w:rPr>
      <w:rFonts w:ascii="Arial" w:hAnsi="Arial" w:eastAsia="Times New Roman" w:cs="Verdana"/>
      <w:b/>
      <w:kern w:val="0"/>
      <w:sz w:val="24"/>
      <w:szCs w:val="20"/>
      <w:lang w:eastAsia="en-US"/>
    </w:rPr>
  </w:style>
  <w:style w:type="paragraph" w:customStyle="1" w:styleId="164">
    <w:name w:val="2-2ji"/>
    <w:basedOn w:val="3"/>
    <w:qFormat/>
    <w:uiPriority w:val="0"/>
    <w:pPr>
      <w:adjustRightInd w:val="0"/>
      <w:spacing w:before="0" w:after="0" w:line="360" w:lineRule="auto"/>
      <w:jc w:val="center"/>
      <w:textAlignment w:val="baseline"/>
    </w:pPr>
    <w:rPr>
      <w:rFonts w:ascii="宋体" w:hAnsi="宋体" w:eastAsia="宋体"/>
      <w:bCs w:val="0"/>
      <w:kern w:val="0"/>
      <w:sz w:val="36"/>
    </w:rPr>
  </w:style>
  <w:style w:type="paragraph" w:customStyle="1" w:styleId="165">
    <w:name w:val="444"/>
    <w:basedOn w:val="1"/>
    <w:qFormat/>
    <w:uiPriority w:val="0"/>
    <w:pPr>
      <w:adjustRightInd w:val="0"/>
      <w:spacing w:line="312" w:lineRule="atLeast"/>
      <w:jc w:val="center"/>
      <w:textAlignment w:val="baseline"/>
    </w:pPr>
    <w:rPr>
      <w:b/>
      <w:kern w:val="0"/>
      <w:sz w:val="36"/>
      <w:szCs w:val="36"/>
    </w:rPr>
  </w:style>
  <w:style w:type="paragraph" w:customStyle="1" w:styleId="166">
    <w:name w:val="Table Paragraph"/>
    <w:basedOn w:val="1"/>
    <w:qFormat/>
    <w:uiPriority w:val="1"/>
    <w:pPr>
      <w:autoSpaceDE w:val="0"/>
      <w:autoSpaceDN w:val="0"/>
      <w:adjustRightInd w:val="0"/>
      <w:jc w:val="left"/>
    </w:pPr>
    <w:rPr>
      <w:kern w:val="0"/>
      <w:sz w:val="24"/>
    </w:rPr>
  </w:style>
  <w:style w:type="character" w:customStyle="1" w:styleId="167">
    <w:name w:val="fd"/>
    <w:qFormat/>
    <w:uiPriority w:val="0"/>
  </w:style>
  <w:style w:type="paragraph" w:customStyle="1" w:styleId="168">
    <w:name w:val="paragraphindent"/>
    <w:basedOn w:val="1"/>
    <w:qFormat/>
    <w:uiPriority w:val="0"/>
    <w:pPr>
      <w:widowControl/>
      <w:spacing w:before="100" w:beforeAutospacing="1" w:after="100" w:afterAutospacing="1"/>
      <w:jc w:val="left"/>
    </w:pPr>
    <w:rPr>
      <w:rFonts w:ascii="宋体" w:hAnsi="宋体" w:cs="宋体"/>
      <w:kern w:val="0"/>
      <w:sz w:val="24"/>
    </w:rPr>
  </w:style>
  <w:style w:type="character" w:customStyle="1" w:styleId="169">
    <w:name w:val="批注文字 字符1"/>
    <w:qFormat/>
    <w:uiPriority w:val="0"/>
    <w:rPr>
      <w:kern w:val="2"/>
      <w:sz w:val="21"/>
      <w:szCs w:val="24"/>
    </w:rPr>
  </w:style>
  <w:style w:type="character" w:customStyle="1" w:styleId="170">
    <w:name w:val="Unresolved Mention"/>
    <w:unhideWhenUsed/>
    <w:qFormat/>
    <w:uiPriority w:val="99"/>
    <w:rPr>
      <w:color w:val="605E5C"/>
      <w:shd w:val="clear" w:color="auto" w:fill="E1DFDD"/>
    </w:rPr>
  </w:style>
  <w:style w:type="character" w:customStyle="1" w:styleId="171">
    <w:name w:val="纯文本 字符1"/>
    <w:qFormat/>
    <w:uiPriority w:val="99"/>
    <w:rPr>
      <w:rFonts w:ascii="宋体" w:hAnsi="Courier New" w:eastAsia="宋体" w:cs="Courier New"/>
      <w:kern w:val="2"/>
      <w:sz w:val="21"/>
      <w:szCs w:val="21"/>
      <w:lang w:val="en-US" w:eastAsia="zh-CN" w:bidi="ar-SA"/>
    </w:rPr>
  </w:style>
  <w:style w:type="character" w:customStyle="1" w:styleId="172">
    <w:name w:val="正文文本 字符1"/>
    <w:qFormat/>
    <w:uiPriority w:val="99"/>
    <w:rPr>
      <w:kern w:val="2"/>
      <w:sz w:val="24"/>
      <w:szCs w:val="24"/>
    </w:rPr>
  </w:style>
  <w:style w:type="paragraph" w:customStyle="1" w:styleId="173">
    <w:name w:val="正文-2字符首行缩进"/>
    <w:basedOn w:val="1"/>
    <w:link w:val="174"/>
    <w:qFormat/>
    <w:uiPriority w:val="0"/>
    <w:pPr>
      <w:widowControl/>
      <w:spacing w:line="360" w:lineRule="auto"/>
      <w:ind w:firstLine="200" w:firstLineChars="200"/>
    </w:pPr>
    <w:rPr>
      <w:rFonts w:ascii="仿宋_GB2312" w:hAnsi="Calibri" w:eastAsia="仿宋_GB2312"/>
      <w:kern w:val="0"/>
      <w:sz w:val="28"/>
      <w:szCs w:val="22"/>
    </w:rPr>
  </w:style>
  <w:style w:type="character" w:customStyle="1" w:styleId="174">
    <w:name w:val="正文-2字符首行缩进 Char"/>
    <w:link w:val="173"/>
    <w:qFormat/>
    <w:uiPriority w:val="0"/>
    <w:rPr>
      <w:rFonts w:ascii="仿宋_GB2312" w:hAnsi="Calibri" w:eastAsia="仿宋_GB2312"/>
      <w:sz w:val="28"/>
      <w:szCs w:val="22"/>
    </w:rPr>
  </w:style>
  <w:style w:type="paragraph" w:customStyle="1" w:styleId="175">
    <w:name w:val="列出段落1"/>
    <w:basedOn w:val="1"/>
    <w:qFormat/>
    <w:uiPriority w:val="99"/>
    <w:pPr>
      <w:ind w:firstLine="420" w:firstLineChars="200"/>
    </w:pPr>
    <w:rPr>
      <w:rFonts w:ascii="等线" w:hAnsi="等线" w:eastAsia="等线"/>
    </w:rPr>
  </w:style>
  <w:style w:type="character" w:customStyle="1" w:styleId="176">
    <w:name w:val="正文文本 字符"/>
    <w:qFormat/>
    <w:uiPriority w:val="99"/>
    <w:rPr>
      <w:kern w:val="2"/>
      <w:sz w:val="24"/>
      <w:szCs w:val="24"/>
    </w:rPr>
  </w:style>
  <w:style w:type="character" w:customStyle="1" w:styleId="177">
    <w:name w:val="纯文本 字符"/>
    <w:qFormat/>
    <w:uiPriority w:val="99"/>
    <w:rPr>
      <w:rFonts w:ascii="宋体" w:hAnsi="Courier New" w:eastAsia="宋体" w:cs="Courier New"/>
      <w:kern w:val="2"/>
      <w:sz w:val="21"/>
      <w:szCs w:val="21"/>
      <w:lang w:val="en-US" w:eastAsia="zh-CN" w:bidi="ar-SA"/>
    </w:rPr>
  </w:style>
  <w:style w:type="paragraph" w:customStyle="1" w:styleId="178">
    <w:name w:val="UserStyle_0"/>
    <w:qFormat/>
    <w:uiPriority w:val="0"/>
    <w:pPr>
      <w:textAlignment w:val="baseline"/>
    </w:pPr>
    <w:rPr>
      <w:rFonts w:ascii="Times New Roman" w:hAnsi="Times New Roman" w:eastAsia="宋体" w:cs="宋体"/>
      <w:color w:val="00000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header" Target="header3.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5" Type="http://schemas.openxmlformats.org/officeDocument/2006/relationships/fontTable" Target="fontTable.xml"/><Relationship Id="rId24" Type="http://schemas.openxmlformats.org/officeDocument/2006/relationships/numbering" Target="numbering.xml"/><Relationship Id="rId23" Type="http://schemas.openxmlformats.org/officeDocument/2006/relationships/customXml" Target="../customXml/item1.xml"/><Relationship Id="rId22" Type="http://schemas.openxmlformats.org/officeDocument/2006/relationships/image" Target="media/image1.emf"/><Relationship Id="rId21" Type="http://schemas.openxmlformats.org/officeDocument/2006/relationships/theme" Target="theme/theme1.xml"/><Relationship Id="rId20" Type="http://schemas.openxmlformats.org/officeDocument/2006/relationships/header" Target="header10.xml"/><Relationship Id="rId2" Type="http://schemas.openxmlformats.org/officeDocument/2006/relationships/settings" Target="settings.xml"/><Relationship Id="rId19" Type="http://schemas.openxmlformats.org/officeDocument/2006/relationships/header" Target="header9.xml"/><Relationship Id="rId18" Type="http://schemas.openxmlformats.org/officeDocument/2006/relationships/footer" Target="footer8.xml"/><Relationship Id="rId17" Type="http://schemas.openxmlformats.org/officeDocument/2006/relationships/header" Target="header8.xml"/><Relationship Id="rId16" Type="http://schemas.openxmlformats.org/officeDocument/2006/relationships/header" Target="header7.xml"/><Relationship Id="rId15" Type="http://schemas.openxmlformats.org/officeDocument/2006/relationships/header" Target="header6.xml"/><Relationship Id="rId14" Type="http://schemas.openxmlformats.org/officeDocument/2006/relationships/footer" Target="footer7.xml"/><Relationship Id="rId13" Type="http://schemas.openxmlformats.org/officeDocument/2006/relationships/footer" Target="footer6.xml"/><Relationship Id="rId12" Type="http://schemas.openxmlformats.org/officeDocument/2006/relationships/header" Target="header5.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78</Pages>
  <Words>6812</Words>
  <Characters>7393</Characters>
  <Lines>419</Lines>
  <Paragraphs>118</Paragraphs>
  <TotalTime>1</TotalTime>
  <ScaleCrop>false</ScaleCrop>
  <LinksUpToDate>false</LinksUpToDate>
  <CharactersWithSpaces>7447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2026-07-10T03:27:00Z</dcterms:created>
  <dc:creator>微软用户</dc:creator>
  <cp:lastModifiedBy>旷若兰</cp:lastModifiedBy>
  <cp:lastPrinted>2024-07-11T01:56:00Z</cp:lastPrinted>
  <dcterms:modified xsi:type="dcterms:W3CDTF">2026-07-13T08:12:19Z</dcterms:modified>
  <dc:title>桂财采〔2009〕 号</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Subject">
    <vt:lpwstr/>
  </property>
  <property fmtid="{D5CDD505-2E9C-101B-9397-08002B2CF9AE}" pid="4" name="Keywords">
    <vt:lpwstr/>
  </property>
  <property fmtid="{D5CDD505-2E9C-101B-9397-08002B2CF9AE}" pid="5" name="_Author">
    <vt:lpwstr>΢û</vt:lpwstr>
  </property>
  <property fmtid="{D5CDD505-2E9C-101B-9397-08002B2CF9AE}" pid="6" name="_Category">
    <vt:lpwstr/>
  </property>
  <property fmtid="{D5CDD505-2E9C-101B-9397-08002B2CF9AE}" pid="7" name="Slides">
    <vt:lpwstr>0</vt:lpwstr>
  </property>
  <property fmtid="{D5CDD505-2E9C-101B-9397-08002B2CF9AE}" pid="8" name="Categories">
    <vt:lpwstr/>
  </property>
  <property fmtid="{D5CDD505-2E9C-101B-9397-08002B2CF9AE}" pid="9" name="Approval Level">
    <vt:lpwstr/>
  </property>
  <property fmtid="{D5CDD505-2E9C-101B-9397-08002B2CF9AE}" pid="10" name="_Comments">
    <vt:lpwstr/>
  </property>
  <property fmtid="{D5CDD505-2E9C-101B-9397-08002B2CF9AE}" pid="11" name="Assigned To">
    <vt:lpwstr/>
  </property>
  <property fmtid="{D5CDD505-2E9C-101B-9397-08002B2CF9AE}" pid="12" name="ContentTypeId">
    <vt:lpwstr>0x010100766A5C3ADF4EA94E9357209EBD74570E</vt:lpwstr>
  </property>
  <property fmtid="{D5CDD505-2E9C-101B-9397-08002B2CF9AE}" pid="13" name="ICV">
    <vt:lpwstr>F053937F6C1D4A87890412EC818F4638_13</vt:lpwstr>
  </property>
  <property fmtid="{D5CDD505-2E9C-101B-9397-08002B2CF9AE}" pid="14" name="KSOTemplateDocerSaveRecord">
    <vt:lpwstr>eyJoZGlkIjoiNTE0MGNiMDA3Mjk4ZWJiYzljN2U1MGRlNTRmMzhhMjUiLCJ1c2VySWQiOiIxNzQwNDIyNzc4In0=</vt:lpwstr>
  </property>
</Properties>
</file>