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BEA1CF1">
      <w:pPr>
        <w:pStyle w:val="20"/>
        <w:kinsoku w:val="0"/>
        <w:overflowPunct w:val="0"/>
        <w:rPr>
          <w:rFonts w:ascii="Arial" w:hAnsi="Arial" w:cs="Arial"/>
          <w:color w:val="auto"/>
          <w:highlight w:val="none"/>
        </w:rPr>
      </w:pPr>
      <w:bookmarkStart w:id="0" w:name="_Toc217446030"/>
      <w:bookmarkStart w:id="1" w:name="_Toc183682338"/>
      <w:r>
        <w:rPr>
          <w:rFonts w:ascii="Arial" w:hAnsi="Arial" w:cs="Arial"/>
          <w:color w:val="auto"/>
          <w:highlight w:val="none"/>
        </w:rPr>
        <w:drawing>
          <wp:anchor distT="0" distB="0" distL="114300" distR="114300" simplePos="0" relativeHeight="251663360" behindDoc="0" locked="0" layoutInCell="1" allowOverlap="1">
            <wp:simplePos x="0" y="0"/>
            <wp:positionH relativeFrom="column">
              <wp:posOffset>533400</wp:posOffset>
            </wp:positionH>
            <wp:positionV relativeFrom="paragraph">
              <wp:posOffset>-179705</wp:posOffset>
            </wp:positionV>
            <wp:extent cx="4654550" cy="584200"/>
            <wp:effectExtent l="0" t="0" r="12700" b="6350"/>
            <wp:wrapNone/>
            <wp:docPr id="3"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1-2-1LOGO中英文全称横式"/>
                    <pic:cNvPicPr>
                      <a:picLocks noChangeAspect="1"/>
                    </pic:cNvPicPr>
                  </pic:nvPicPr>
                  <pic:blipFill>
                    <a:blip r:embed="rId23"/>
                    <a:stretch>
                      <a:fillRect/>
                    </a:stretch>
                  </pic:blipFill>
                  <pic:spPr>
                    <a:xfrm>
                      <a:off x="0" y="0"/>
                      <a:ext cx="4654550" cy="584200"/>
                    </a:xfrm>
                    <a:prstGeom prst="rect">
                      <a:avLst/>
                    </a:prstGeom>
                    <a:noFill/>
                    <a:ln>
                      <a:noFill/>
                    </a:ln>
                  </pic:spPr>
                </pic:pic>
              </a:graphicData>
            </a:graphic>
          </wp:anchor>
        </w:drawing>
      </w:r>
      <w:r>
        <w:rPr>
          <w:rFonts w:ascii="Arial" w:hAnsi="Arial" w:cs="Arial"/>
          <w:color w:val="auto"/>
          <w:highlight w:val="none"/>
        </w:rPr>
        <w:drawing>
          <wp:anchor distT="0" distB="0" distL="114300" distR="114300" simplePos="0" relativeHeight="251662336" behindDoc="1" locked="0" layoutInCell="1" allowOverlap="1">
            <wp:simplePos x="0" y="0"/>
            <wp:positionH relativeFrom="column">
              <wp:posOffset>-901700</wp:posOffset>
            </wp:positionH>
            <wp:positionV relativeFrom="paragraph">
              <wp:posOffset>-883285</wp:posOffset>
            </wp:positionV>
            <wp:extent cx="7752715" cy="10779760"/>
            <wp:effectExtent l="0" t="0" r="635" b="2540"/>
            <wp:wrapNone/>
            <wp:docPr id="2" name="图片 6"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2-2-3辅助图形3白底"/>
                    <pic:cNvPicPr>
                      <a:picLocks noChangeAspect="1"/>
                    </pic:cNvPicPr>
                  </pic:nvPicPr>
                  <pic:blipFill>
                    <a:blip r:embed="rId24"/>
                    <a:stretch>
                      <a:fillRect/>
                    </a:stretch>
                  </pic:blipFill>
                  <pic:spPr>
                    <a:xfrm>
                      <a:off x="0" y="0"/>
                      <a:ext cx="7752715" cy="10779760"/>
                    </a:xfrm>
                    <a:prstGeom prst="rect">
                      <a:avLst/>
                    </a:prstGeom>
                    <a:noFill/>
                    <a:ln>
                      <a:noFill/>
                    </a:ln>
                  </pic:spPr>
                </pic:pic>
              </a:graphicData>
            </a:graphic>
          </wp:anchor>
        </w:drawing>
      </w:r>
    </w:p>
    <w:p w14:paraId="054DC209">
      <w:pPr>
        <w:tabs>
          <w:tab w:val="left" w:pos="1710"/>
        </w:tabs>
        <w:rPr>
          <w:rFonts w:ascii="Arial" w:hAnsi="Arial" w:cs="Arial"/>
          <w:color w:val="auto"/>
          <w:highlight w:val="none"/>
        </w:rPr>
      </w:pPr>
    </w:p>
    <w:p w14:paraId="2C864B4A">
      <w:pPr>
        <w:tabs>
          <w:tab w:val="left" w:pos="1710"/>
        </w:tabs>
        <w:rPr>
          <w:rFonts w:ascii="Arial" w:hAnsi="Arial" w:cs="Arial"/>
          <w:color w:val="auto"/>
          <w:highlight w:val="none"/>
        </w:rPr>
      </w:pPr>
    </w:p>
    <w:p w14:paraId="14B63A3E">
      <w:pPr>
        <w:tabs>
          <w:tab w:val="left" w:pos="1710"/>
        </w:tabs>
        <w:rPr>
          <w:rFonts w:ascii="Arial" w:hAnsi="Arial" w:cs="Arial"/>
          <w:color w:val="auto"/>
          <w:highlight w:val="none"/>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830"/>
      </w:tblGrid>
      <w:tr w14:paraId="5346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594" w:type="dxa"/>
            <w:gridSpan w:val="2"/>
            <w:tcBorders>
              <w:top w:val="nil"/>
              <w:left w:val="nil"/>
              <w:right w:val="nil"/>
            </w:tcBorders>
          </w:tcPr>
          <w:p w14:paraId="4290B44C">
            <w:pPr>
              <w:snapToGrid w:val="0"/>
              <w:spacing w:line="240" w:lineRule="atLeast"/>
              <w:jc w:val="center"/>
              <w:rPr>
                <w:rFonts w:ascii="Arial" w:hAnsi="Arial" w:cs="Arial"/>
                <w:b/>
                <w:color w:val="auto"/>
                <w:sz w:val="60"/>
                <w:szCs w:val="60"/>
                <w:highlight w:val="none"/>
              </w:rPr>
            </w:pPr>
            <w:r>
              <w:rPr>
                <w:rFonts w:ascii="Arial" w:hAnsi="Arial" w:cs="Arial"/>
                <w:b/>
                <w:color w:val="auto"/>
                <w:sz w:val="60"/>
                <w:szCs w:val="60"/>
                <w:highlight w:val="none"/>
              </w:rPr>
              <w:t>招  标  文  件</w:t>
            </w:r>
          </w:p>
        </w:tc>
      </w:tr>
      <w:tr w14:paraId="4816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exact"/>
          <w:jc w:val="center"/>
        </w:trPr>
        <w:tc>
          <w:tcPr>
            <w:tcW w:w="1764" w:type="dxa"/>
            <w:vAlign w:val="center"/>
          </w:tcPr>
          <w:p w14:paraId="3F4650D5">
            <w:pPr>
              <w:rPr>
                <w:rFonts w:ascii="Arial" w:hAnsi="Arial" w:cs="Arial"/>
                <w:b/>
                <w:color w:val="auto"/>
                <w:sz w:val="32"/>
                <w:szCs w:val="32"/>
                <w:highlight w:val="none"/>
              </w:rPr>
            </w:pPr>
            <w:r>
              <w:rPr>
                <w:rFonts w:ascii="Arial" w:hAnsi="Arial" w:cs="Arial"/>
                <w:b/>
                <w:color w:val="auto"/>
                <w:sz w:val="32"/>
                <w:szCs w:val="32"/>
                <w:highlight w:val="none"/>
              </w:rPr>
              <w:t>项目名称：</w:t>
            </w:r>
          </w:p>
        </w:tc>
        <w:tc>
          <w:tcPr>
            <w:tcW w:w="5830" w:type="dxa"/>
            <w:vAlign w:val="center"/>
          </w:tcPr>
          <w:p w14:paraId="43FBEA7B">
            <w:pPr>
              <w:rPr>
                <w:rFonts w:hint="eastAsia" w:ascii="Arial" w:hAnsi="Arial" w:eastAsia="宋体" w:cs="Arial"/>
                <w:b/>
                <w:color w:val="auto"/>
                <w:sz w:val="32"/>
                <w:szCs w:val="32"/>
                <w:highlight w:val="none"/>
                <w:lang w:eastAsia="zh-CN"/>
              </w:rPr>
            </w:pPr>
            <w:r>
              <w:rPr>
                <w:rFonts w:hint="eastAsia" w:ascii="Arial" w:hAnsi="Arial" w:cs="Arial"/>
                <w:b/>
                <w:color w:val="auto"/>
                <w:sz w:val="32"/>
                <w:szCs w:val="32"/>
                <w:highlight w:val="none"/>
                <w:lang w:eastAsia="zh-CN"/>
              </w:rPr>
              <w:t>256排CT等GE设备一批维保服务</w:t>
            </w:r>
          </w:p>
        </w:tc>
      </w:tr>
      <w:tr w14:paraId="69522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7E7A529E">
            <w:pPr>
              <w:rPr>
                <w:rFonts w:ascii="Arial" w:hAnsi="Arial" w:cs="Arial"/>
                <w:b/>
                <w:color w:val="auto"/>
                <w:sz w:val="32"/>
                <w:szCs w:val="32"/>
                <w:highlight w:val="none"/>
              </w:rPr>
            </w:pPr>
            <w:r>
              <w:rPr>
                <w:rFonts w:ascii="Arial" w:hAnsi="Arial" w:cs="Arial"/>
                <w:b/>
                <w:color w:val="auto"/>
                <w:sz w:val="32"/>
                <w:szCs w:val="32"/>
                <w:highlight w:val="none"/>
              </w:rPr>
              <w:t>项目编号：</w:t>
            </w:r>
          </w:p>
        </w:tc>
        <w:tc>
          <w:tcPr>
            <w:tcW w:w="5830" w:type="dxa"/>
            <w:vAlign w:val="center"/>
          </w:tcPr>
          <w:p w14:paraId="2196B8D5">
            <w:pPr>
              <w:rPr>
                <w:rFonts w:hint="eastAsia" w:ascii="Arial" w:hAnsi="Arial" w:eastAsia="宋体" w:cs="Arial"/>
                <w:b/>
                <w:color w:val="auto"/>
                <w:sz w:val="32"/>
                <w:szCs w:val="32"/>
                <w:highlight w:val="none"/>
                <w:lang w:eastAsia="zh-CN"/>
              </w:rPr>
            </w:pPr>
            <w:r>
              <w:rPr>
                <w:rFonts w:hint="eastAsia" w:ascii="Arial" w:hAnsi="Arial" w:cs="Arial"/>
                <w:b/>
                <w:color w:val="auto"/>
                <w:sz w:val="32"/>
                <w:szCs w:val="32"/>
                <w:highlight w:val="none"/>
                <w:lang w:eastAsia="zh-CN"/>
              </w:rPr>
              <w:t>GXZC2026-G3-002039-JDZB</w:t>
            </w:r>
          </w:p>
        </w:tc>
      </w:tr>
      <w:tr w14:paraId="2FDA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5235AEC1">
            <w:pPr>
              <w:rPr>
                <w:rFonts w:ascii="Arial" w:hAnsi="Arial" w:cs="Arial"/>
                <w:b/>
                <w:color w:val="auto"/>
                <w:sz w:val="32"/>
                <w:szCs w:val="32"/>
                <w:highlight w:val="none"/>
              </w:rPr>
            </w:pPr>
            <w:r>
              <w:rPr>
                <w:rFonts w:ascii="Arial" w:hAnsi="Arial" w:cs="Arial"/>
                <w:b/>
                <w:color w:val="auto"/>
                <w:sz w:val="32"/>
                <w:szCs w:val="32"/>
                <w:highlight w:val="none"/>
              </w:rPr>
              <w:t>联系电话：</w:t>
            </w:r>
          </w:p>
        </w:tc>
        <w:tc>
          <w:tcPr>
            <w:tcW w:w="5830" w:type="dxa"/>
            <w:vAlign w:val="center"/>
          </w:tcPr>
          <w:p w14:paraId="1A8BB20A">
            <w:pPr>
              <w:rPr>
                <w:rFonts w:ascii="Arial" w:hAnsi="Arial" w:cs="Arial"/>
                <w:b/>
                <w:color w:val="auto"/>
                <w:sz w:val="32"/>
                <w:szCs w:val="32"/>
                <w:highlight w:val="none"/>
              </w:rPr>
            </w:pPr>
            <w:r>
              <w:rPr>
                <w:rFonts w:ascii="Arial" w:hAnsi="Arial" w:cs="Arial"/>
                <w:b/>
                <w:color w:val="auto"/>
                <w:sz w:val="32"/>
                <w:szCs w:val="32"/>
                <w:highlight w:val="none"/>
              </w:rPr>
              <w:t>0773-3696789转2</w:t>
            </w:r>
          </w:p>
        </w:tc>
      </w:tr>
    </w:tbl>
    <w:p w14:paraId="389A1927">
      <w:pPr>
        <w:tabs>
          <w:tab w:val="left" w:pos="1710"/>
        </w:tabs>
        <w:rPr>
          <w:rFonts w:ascii="Arial" w:hAnsi="Arial" w:cs="Arial"/>
          <w:color w:val="auto"/>
          <w:highlight w:val="none"/>
        </w:rPr>
      </w:pPr>
    </w:p>
    <w:p w14:paraId="169576EE">
      <w:pPr>
        <w:rPr>
          <w:rFonts w:ascii="Arial" w:hAnsi="Arial" w:cs="Arial"/>
          <w:color w:val="auto"/>
          <w:highlight w:val="none"/>
        </w:rPr>
      </w:pPr>
    </w:p>
    <w:p w14:paraId="55635FD3">
      <w:pPr>
        <w:rPr>
          <w:rFonts w:ascii="Arial" w:hAnsi="Arial" w:cs="Arial"/>
          <w:color w:val="auto"/>
          <w:highlight w:val="none"/>
        </w:rPr>
      </w:pPr>
    </w:p>
    <w:p w14:paraId="031E9273">
      <w:pPr>
        <w:rPr>
          <w:rFonts w:ascii="Arial" w:hAnsi="Arial" w:cs="Arial"/>
          <w:color w:val="auto"/>
          <w:highlight w:val="none"/>
        </w:rPr>
      </w:pPr>
    </w:p>
    <w:p w14:paraId="1E459A1C">
      <w:pPr>
        <w:rPr>
          <w:rFonts w:ascii="Arial" w:hAnsi="Arial" w:cs="Arial"/>
          <w:color w:val="auto"/>
          <w:highlight w:val="none"/>
        </w:rPr>
      </w:pPr>
    </w:p>
    <w:p w14:paraId="00353302">
      <w:pPr>
        <w:rPr>
          <w:rFonts w:ascii="Arial" w:hAnsi="Arial" w:cs="Arial"/>
          <w:color w:val="auto"/>
          <w:highlight w:val="none"/>
        </w:rPr>
      </w:pPr>
    </w:p>
    <w:p w14:paraId="7419A70B">
      <w:pPr>
        <w:rPr>
          <w:rFonts w:ascii="Arial" w:hAnsi="Arial" w:cs="Arial"/>
          <w:color w:val="auto"/>
          <w:highlight w:val="none"/>
        </w:rPr>
      </w:pPr>
    </w:p>
    <w:p w14:paraId="755E6A0A">
      <w:pPr>
        <w:rPr>
          <w:rFonts w:ascii="Arial" w:hAnsi="Arial" w:cs="Arial"/>
          <w:color w:val="auto"/>
          <w:highlight w:val="none"/>
        </w:rPr>
      </w:pPr>
    </w:p>
    <w:p w14:paraId="0E8AA14C">
      <w:pPr>
        <w:rPr>
          <w:rFonts w:ascii="Arial" w:hAnsi="Arial" w:cs="Arial"/>
          <w:color w:val="auto"/>
          <w:highlight w:val="none"/>
        </w:rPr>
      </w:pPr>
    </w:p>
    <w:p w14:paraId="7BBEF6BF">
      <w:pPr>
        <w:rPr>
          <w:rFonts w:ascii="Arial" w:hAnsi="Arial" w:cs="Arial"/>
          <w:color w:val="auto"/>
          <w:highlight w:val="none"/>
        </w:rPr>
      </w:pPr>
    </w:p>
    <w:p w14:paraId="75687DC0">
      <w:pPr>
        <w:rPr>
          <w:rFonts w:ascii="Arial" w:hAnsi="Arial" w:cs="Arial"/>
          <w:color w:val="auto"/>
          <w:highlight w:val="none"/>
        </w:rPr>
      </w:pPr>
    </w:p>
    <w:p w14:paraId="1771758A">
      <w:pPr>
        <w:rPr>
          <w:rFonts w:ascii="Arial" w:hAnsi="Arial" w:cs="Arial"/>
          <w:color w:val="auto"/>
          <w:highlight w:val="none"/>
        </w:rPr>
      </w:pPr>
    </w:p>
    <w:p w14:paraId="75976A32">
      <w:pPr>
        <w:rPr>
          <w:rFonts w:ascii="Arial" w:hAnsi="Arial" w:cs="Arial"/>
          <w:color w:val="auto"/>
          <w:highlight w:val="none"/>
        </w:rPr>
      </w:pPr>
    </w:p>
    <w:p w14:paraId="74A74C3B">
      <w:pPr>
        <w:rPr>
          <w:rFonts w:ascii="Arial" w:hAnsi="Arial" w:cs="Arial"/>
          <w:color w:val="auto"/>
          <w:highlight w:val="none"/>
        </w:rPr>
      </w:pPr>
    </w:p>
    <w:p w14:paraId="7E9E45DB">
      <w:pPr>
        <w:rPr>
          <w:rFonts w:ascii="Arial" w:hAnsi="Arial" w:cs="Arial"/>
          <w:color w:val="auto"/>
          <w:highlight w:val="none"/>
        </w:rPr>
      </w:pPr>
    </w:p>
    <w:tbl>
      <w:tblPr>
        <w:tblStyle w:val="52"/>
        <w:tblW w:w="0" w:type="auto"/>
        <w:jc w:val="center"/>
        <w:tblLayout w:type="fixed"/>
        <w:tblCellMar>
          <w:top w:w="0" w:type="dxa"/>
          <w:left w:w="108" w:type="dxa"/>
          <w:bottom w:w="0" w:type="dxa"/>
          <w:right w:w="108" w:type="dxa"/>
        </w:tblCellMar>
      </w:tblPr>
      <w:tblGrid>
        <w:gridCol w:w="2707"/>
        <w:gridCol w:w="6"/>
        <w:gridCol w:w="5571"/>
      </w:tblGrid>
      <w:tr w14:paraId="383FD576">
        <w:tblPrEx>
          <w:tblCellMar>
            <w:top w:w="0" w:type="dxa"/>
            <w:left w:w="108" w:type="dxa"/>
            <w:bottom w:w="0" w:type="dxa"/>
            <w:right w:w="108" w:type="dxa"/>
          </w:tblCellMar>
        </w:tblPrEx>
        <w:trPr>
          <w:trHeight w:val="703" w:hRule="atLeast"/>
          <w:jc w:val="center"/>
        </w:trPr>
        <w:tc>
          <w:tcPr>
            <w:tcW w:w="2707" w:type="dxa"/>
            <w:vAlign w:val="center"/>
          </w:tcPr>
          <w:p w14:paraId="395622F4">
            <w:pPr>
              <w:autoSpaceDE w:val="0"/>
              <w:autoSpaceDN w:val="0"/>
              <w:adjustRightInd w:val="0"/>
              <w:jc w:val="right"/>
              <w:rPr>
                <w:rFonts w:ascii="Arial" w:hAnsi="Arial" w:cs="Arial"/>
                <w:b/>
                <w:color w:val="auto"/>
                <w:sz w:val="32"/>
                <w:szCs w:val="32"/>
                <w:highlight w:val="none"/>
              </w:rPr>
            </w:pPr>
            <w:r>
              <w:rPr>
                <w:rFonts w:ascii="Arial" w:hAnsi="Arial" w:cs="Arial"/>
                <w:b/>
                <w:color w:val="auto"/>
                <w:sz w:val="32"/>
                <w:szCs w:val="32"/>
                <w:highlight w:val="none"/>
              </w:rPr>
              <w:t xml:space="preserve">  采购人：</w:t>
            </w:r>
          </w:p>
        </w:tc>
        <w:tc>
          <w:tcPr>
            <w:tcW w:w="5577" w:type="dxa"/>
            <w:gridSpan w:val="2"/>
            <w:vAlign w:val="center"/>
          </w:tcPr>
          <w:p w14:paraId="31D1BFA1">
            <w:pPr>
              <w:autoSpaceDE w:val="0"/>
              <w:autoSpaceDN w:val="0"/>
              <w:adjustRightInd w:val="0"/>
              <w:jc w:val="left"/>
              <w:rPr>
                <w:rFonts w:ascii="Arial" w:hAnsi="Arial" w:cs="Arial"/>
                <w:b/>
                <w:color w:val="auto"/>
                <w:sz w:val="32"/>
                <w:szCs w:val="32"/>
                <w:highlight w:val="none"/>
              </w:rPr>
            </w:pPr>
            <w:r>
              <w:rPr>
                <w:rFonts w:hint="eastAsia" w:ascii="Arial" w:hAnsi="Arial" w:cs="Arial"/>
                <w:b/>
                <w:color w:val="auto"/>
                <w:sz w:val="32"/>
                <w:szCs w:val="32"/>
                <w:highlight w:val="none"/>
              </w:rPr>
              <w:t>桂林医科大学第一附属医院</w:t>
            </w:r>
          </w:p>
        </w:tc>
      </w:tr>
      <w:tr w14:paraId="7CA40F58">
        <w:tblPrEx>
          <w:tblCellMar>
            <w:top w:w="0" w:type="dxa"/>
            <w:left w:w="108" w:type="dxa"/>
            <w:bottom w:w="0" w:type="dxa"/>
            <w:right w:w="108" w:type="dxa"/>
          </w:tblCellMar>
        </w:tblPrEx>
        <w:trPr>
          <w:trHeight w:val="703" w:hRule="atLeast"/>
          <w:jc w:val="center"/>
        </w:trPr>
        <w:tc>
          <w:tcPr>
            <w:tcW w:w="2713" w:type="dxa"/>
            <w:gridSpan w:val="2"/>
          </w:tcPr>
          <w:p w14:paraId="06C5E44D">
            <w:pPr>
              <w:autoSpaceDE w:val="0"/>
              <w:autoSpaceDN w:val="0"/>
              <w:adjustRightInd w:val="0"/>
              <w:jc w:val="right"/>
              <w:rPr>
                <w:rFonts w:ascii="Arial" w:hAnsi="Arial" w:cs="Arial"/>
                <w:b/>
                <w:color w:val="auto"/>
                <w:sz w:val="32"/>
                <w:szCs w:val="32"/>
                <w:highlight w:val="none"/>
              </w:rPr>
            </w:pPr>
            <w:r>
              <w:rPr>
                <w:rFonts w:ascii="Arial" w:hAnsi="Arial" w:cs="Arial"/>
                <w:b/>
                <w:color w:val="auto"/>
                <w:sz w:val="32"/>
                <w:szCs w:val="32"/>
                <w:highlight w:val="none"/>
              </w:rPr>
              <w:t>采购代理机构：</w:t>
            </w:r>
          </w:p>
        </w:tc>
        <w:tc>
          <w:tcPr>
            <w:tcW w:w="5571" w:type="dxa"/>
          </w:tcPr>
          <w:p w14:paraId="6B5C17ED">
            <w:pPr>
              <w:autoSpaceDE w:val="0"/>
              <w:autoSpaceDN w:val="0"/>
              <w:adjustRightInd w:val="0"/>
              <w:rPr>
                <w:rFonts w:ascii="Arial" w:hAnsi="Arial" w:cs="Arial"/>
                <w:b/>
                <w:color w:val="auto"/>
                <w:sz w:val="32"/>
                <w:szCs w:val="32"/>
                <w:highlight w:val="none"/>
                <w:u w:val="single"/>
              </w:rPr>
            </w:pPr>
            <w:r>
              <w:rPr>
                <w:rFonts w:ascii="Arial" w:hAnsi="Arial" w:cs="Arial"/>
                <w:b/>
                <w:color w:val="auto"/>
                <w:sz w:val="32"/>
                <w:szCs w:val="32"/>
                <w:highlight w:val="none"/>
              </w:rPr>
              <w:t>广西机电设备招标有限公司</w:t>
            </w:r>
          </w:p>
        </w:tc>
      </w:tr>
    </w:tbl>
    <w:p w14:paraId="39E0CF06">
      <w:pPr>
        <w:rPr>
          <w:rFonts w:ascii="Arial" w:hAnsi="Arial" w:cs="Arial"/>
          <w:color w:val="auto"/>
          <w:highlight w:val="none"/>
        </w:rPr>
      </w:pPr>
    </w:p>
    <w:p w14:paraId="1102427A">
      <w:pPr>
        <w:ind w:firstLine="321" w:firstLineChars="100"/>
        <w:jc w:val="center"/>
        <w:rPr>
          <w:rFonts w:ascii="Arial" w:hAnsi="Arial" w:cs="Arial"/>
          <w:b/>
          <w:color w:val="auto"/>
          <w:sz w:val="32"/>
          <w:szCs w:val="32"/>
          <w:highlight w:val="none"/>
        </w:rPr>
        <w:sectPr>
          <w:headerReference r:id="rId5" w:type="first"/>
          <w:footerReference r:id="rId8" w:type="first"/>
          <w:headerReference r:id="rId3" w:type="default"/>
          <w:footerReference r:id="rId6" w:type="default"/>
          <w:headerReference r:id="rId4" w:type="even"/>
          <w:footerReference r:id="rId7" w:type="even"/>
          <w:type w:val="nextColumn"/>
          <w:pgSz w:w="11906" w:h="16838"/>
          <w:pgMar w:top="1418" w:right="1418" w:bottom="1246" w:left="1418" w:header="851" w:footer="992" w:gutter="0"/>
          <w:pgNumType w:start="0"/>
          <w:cols w:space="720" w:num="1"/>
          <w:titlePg/>
          <w:docGrid w:linePitch="312" w:charSpace="0"/>
        </w:sectPr>
      </w:pPr>
      <w:bookmarkStart w:id="2" w:name="_Toc32587"/>
      <w:r>
        <w:rPr>
          <w:rFonts w:ascii="Arial" w:hAnsi="Arial" w:cs="Arial"/>
          <w:b/>
          <w:color w:val="auto"/>
          <w:sz w:val="32"/>
          <w:szCs w:val="32"/>
          <w:highlight w:val="none"/>
        </w:rPr>
        <w:t>202</w:t>
      </w:r>
      <w:r>
        <w:rPr>
          <w:rFonts w:hint="eastAsia" w:ascii="Arial" w:hAnsi="Arial" w:cs="Arial"/>
          <w:b/>
          <w:color w:val="auto"/>
          <w:sz w:val="32"/>
          <w:szCs w:val="32"/>
          <w:highlight w:val="none"/>
        </w:rPr>
        <w:t>6</w:t>
      </w:r>
      <w:r>
        <w:rPr>
          <w:rFonts w:ascii="Arial" w:hAnsi="Arial" w:cs="Arial"/>
          <w:b/>
          <w:color w:val="auto"/>
          <w:sz w:val="32"/>
          <w:szCs w:val="32"/>
          <w:highlight w:val="none"/>
        </w:rPr>
        <w:t>年</w:t>
      </w:r>
      <w:r>
        <w:rPr>
          <w:rFonts w:hint="eastAsia" w:ascii="Arial" w:hAnsi="Arial" w:cs="Arial"/>
          <w:b/>
          <w:color w:val="auto"/>
          <w:sz w:val="32"/>
          <w:szCs w:val="32"/>
          <w:highlight w:val="none"/>
          <w:lang w:val="en-US" w:eastAsia="zh-CN"/>
        </w:rPr>
        <w:t>6</w:t>
      </w:r>
      <w:r>
        <w:rPr>
          <w:rFonts w:ascii="Arial" w:hAnsi="Arial" w:cs="Arial"/>
          <w:b/>
          <w:color w:val="auto"/>
          <w:sz w:val="32"/>
          <w:szCs w:val="32"/>
          <w:highlight w:val="none"/>
        </w:rPr>
        <w:t>月</w:t>
      </w:r>
    </w:p>
    <w:p w14:paraId="17829564">
      <w:pPr>
        <w:pStyle w:val="27"/>
        <w:snapToGrid w:val="0"/>
        <w:spacing w:before="120" w:after="120"/>
        <w:jc w:val="center"/>
        <w:outlineLvl w:val="0"/>
        <w:rPr>
          <w:rFonts w:ascii="Arial" w:hAnsi="Arial" w:cs="Arial"/>
          <w:color w:val="auto"/>
          <w:sz w:val="40"/>
          <w:szCs w:val="40"/>
          <w:highlight w:val="none"/>
        </w:rPr>
      </w:pPr>
      <w:bookmarkStart w:id="3" w:name="_Toc23480"/>
      <w:bookmarkStart w:id="4" w:name="_Toc3821"/>
      <w:bookmarkStart w:id="5" w:name="_Toc3061"/>
      <w:bookmarkStart w:id="6" w:name="_Toc26041"/>
      <w:r>
        <w:rPr>
          <w:rFonts w:ascii="Arial" w:hAnsi="Arial" w:cs="Arial"/>
          <w:color w:val="auto"/>
          <w:sz w:val="40"/>
          <w:szCs w:val="40"/>
          <w:highlight w:val="none"/>
        </w:rPr>
        <w:t>目    录</w:t>
      </w:r>
      <w:bookmarkEnd w:id="2"/>
      <w:bookmarkEnd w:id="3"/>
      <w:bookmarkEnd w:id="4"/>
      <w:bookmarkEnd w:id="5"/>
      <w:bookmarkEnd w:id="6"/>
    </w:p>
    <w:p w14:paraId="6EFD9069">
      <w:pPr>
        <w:pStyle w:val="34"/>
        <w:tabs>
          <w:tab w:val="right" w:leader="dot" w:pos="9070"/>
          <w:tab w:val="clear" w:pos="8398"/>
        </w:tabs>
        <w:rPr>
          <w:color w:val="auto"/>
          <w:highlight w:val="none"/>
        </w:rPr>
      </w:pPr>
      <w:r>
        <w:rPr>
          <w:rFonts w:ascii="Arial" w:hAnsi="Arial" w:cs="Arial"/>
          <w:color w:val="auto"/>
          <w:highlight w:val="none"/>
        </w:rPr>
        <w:fldChar w:fldCharType="begin"/>
      </w:r>
      <w:r>
        <w:rPr>
          <w:rStyle w:val="58"/>
          <w:rFonts w:ascii="Arial" w:hAnsi="Arial" w:cs="Arial"/>
          <w:color w:val="auto"/>
          <w:highlight w:val="none"/>
        </w:rPr>
        <w:instrText xml:space="preserve"> TOC \o "1-1" \h \z \u </w:instrText>
      </w:r>
      <w:r>
        <w:rPr>
          <w:rFonts w:ascii="Arial" w:hAnsi="Arial" w:cs="Arial"/>
          <w:color w:val="auto"/>
          <w:highlight w:val="none"/>
        </w:rPr>
        <w:fldChar w:fldCharType="separate"/>
      </w:r>
      <w:r>
        <w:rPr>
          <w:rFonts w:ascii="Arial" w:hAnsi="Arial" w:cs="Arial"/>
          <w:color w:val="auto"/>
          <w:szCs w:val="28"/>
          <w:highlight w:val="none"/>
        </w:rPr>
        <w:fldChar w:fldCharType="begin"/>
      </w:r>
      <w:r>
        <w:rPr>
          <w:rFonts w:ascii="Arial" w:hAnsi="Arial" w:cs="Arial"/>
          <w:color w:val="auto"/>
          <w:szCs w:val="28"/>
          <w:highlight w:val="none"/>
        </w:rPr>
        <w:instrText xml:space="preserve"> HYPERLINK \l _Toc21865 </w:instrText>
      </w:r>
      <w:r>
        <w:rPr>
          <w:rFonts w:ascii="Arial" w:hAnsi="Arial" w:cs="Arial"/>
          <w:color w:val="auto"/>
          <w:szCs w:val="28"/>
          <w:highlight w:val="none"/>
        </w:rPr>
        <w:fldChar w:fldCharType="separate"/>
      </w:r>
      <w:r>
        <w:rPr>
          <w:rFonts w:ascii="Arial" w:hAnsi="Arial" w:cs="Arial"/>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_Toc21865 \h </w:instrText>
      </w:r>
      <w:r>
        <w:rPr>
          <w:color w:val="auto"/>
          <w:highlight w:val="none"/>
        </w:rPr>
        <w:fldChar w:fldCharType="separate"/>
      </w:r>
      <w:r>
        <w:rPr>
          <w:color w:val="auto"/>
          <w:highlight w:val="none"/>
        </w:rPr>
        <w:t>1</w:t>
      </w:r>
      <w:r>
        <w:rPr>
          <w:color w:val="auto"/>
          <w:highlight w:val="none"/>
        </w:rPr>
        <w:fldChar w:fldCharType="end"/>
      </w:r>
      <w:r>
        <w:rPr>
          <w:rFonts w:ascii="Arial" w:hAnsi="Arial" w:cs="Arial"/>
          <w:color w:val="auto"/>
          <w:szCs w:val="28"/>
          <w:highlight w:val="none"/>
        </w:rPr>
        <w:fldChar w:fldCharType="end"/>
      </w:r>
    </w:p>
    <w:p w14:paraId="2F03C0A6">
      <w:pPr>
        <w:pStyle w:val="34"/>
        <w:tabs>
          <w:tab w:val="right" w:leader="dot" w:pos="9070"/>
          <w:tab w:val="clear" w:pos="8398"/>
        </w:tabs>
        <w:rPr>
          <w:color w:val="auto"/>
          <w:highlight w:val="none"/>
        </w:rPr>
      </w:pPr>
      <w:r>
        <w:rPr>
          <w:rFonts w:ascii="Arial" w:hAnsi="Arial" w:cs="Arial"/>
          <w:color w:val="auto"/>
          <w:szCs w:val="28"/>
          <w:highlight w:val="none"/>
        </w:rPr>
        <w:fldChar w:fldCharType="begin"/>
      </w:r>
      <w:r>
        <w:rPr>
          <w:rFonts w:ascii="Arial" w:hAnsi="Arial" w:cs="Arial"/>
          <w:color w:val="auto"/>
          <w:szCs w:val="28"/>
          <w:highlight w:val="none"/>
        </w:rPr>
        <w:instrText xml:space="preserve"> HYPERLINK \l _Toc21114 </w:instrText>
      </w:r>
      <w:r>
        <w:rPr>
          <w:rFonts w:ascii="Arial" w:hAnsi="Arial" w:cs="Arial"/>
          <w:color w:val="auto"/>
          <w:szCs w:val="28"/>
          <w:highlight w:val="none"/>
        </w:rPr>
        <w:fldChar w:fldCharType="separate"/>
      </w:r>
      <w:r>
        <w:rPr>
          <w:rFonts w:ascii="Arial" w:hAnsi="Arial" w:cs="Arial"/>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_Toc21114 \h </w:instrText>
      </w:r>
      <w:r>
        <w:rPr>
          <w:color w:val="auto"/>
          <w:highlight w:val="none"/>
        </w:rPr>
        <w:fldChar w:fldCharType="separate"/>
      </w:r>
      <w:r>
        <w:rPr>
          <w:color w:val="auto"/>
          <w:highlight w:val="none"/>
        </w:rPr>
        <w:t>4</w:t>
      </w:r>
      <w:r>
        <w:rPr>
          <w:color w:val="auto"/>
          <w:highlight w:val="none"/>
        </w:rPr>
        <w:fldChar w:fldCharType="end"/>
      </w:r>
      <w:r>
        <w:rPr>
          <w:rFonts w:ascii="Arial" w:hAnsi="Arial" w:cs="Arial"/>
          <w:color w:val="auto"/>
          <w:szCs w:val="28"/>
          <w:highlight w:val="none"/>
        </w:rPr>
        <w:fldChar w:fldCharType="end"/>
      </w:r>
    </w:p>
    <w:p w14:paraId="55168291">
      <w:pPr>
        <w:pStyle w:val="34"/>
        <w:tabs>
          <w:tab w:val="right" w:leader="dot" w:pos="9070"/>
          <w:tab w:val="clear" w:pos="8398"/>
        </w:tabs>
        <w:rPr>
          <w:color w:val="auto"/>
          <w:highlight w:val="none"/>
        </w:rPr>
      </w:pPr>
      <w:r>
        <w:rPr>
          <w:rFonts w:ascii="Arial" w:hAnsi="Arial" w:cs="Arial"/>
          <w:color w:val="auto"/>
          <w:szCs w:val="28"/>
          <w:highlight w:val="none"/>
        </w:rPr>
        <w:fldChar w:fldCharType="begin"/>
      </w:r>
      <w:r>
        <w:rPr>
          <w:rFonts w:ascii="Arial" w:hAnsi="Arial" w:cs="Arial"/>
          <w:color w:val="auto"/>
          <w:szCs w:val="28"/>
          <w:highlight w:val="none"/>
        </w:rPr>
        <w:instrText xml:space="preserve"> HYPERLINK \l _Toc15150 </w:instrText>
      </w:r>
      <w:r>
        <w:rPr>
          <w:rFonts w:ascii="Arial" w:hAnsi="Arial" w:cs="Arial"/>
          <w:color w:val="auto"/>
          <w:szCs w:val="28"/>
          <w:highlight w:val="none"/>
        </w:rPr>
        <w:fldChar w:fldCharType="separate"/>
      </w:r>
      <w:r>
        <w:rPr>
          <w:rFonts w:ascii="Arial" w:hAnsi="Arial" w:cs="Arial"/>
          <w:color w:val="auto"/>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_Toc15150 \h </w:instrText>
      </w:r>
      <w:r>
        <w:rPr>
          <w:color w:val="auto"/>
          <w:highlight w:val="none"/>
        </w:rPr>
        <w:fldChar w:fldCharType="separate"/>
      </w:r>
      <w:r>
        <w:rPr>
          <w:color w:val="auto"/>
          <w:highlight w:val="none"/>
        </w:rPr>
        <w:t>13</w:t>
      </w:r>
      <w:r>
        <w:rPr>
          <w:color w:val="auto"/>
          <w:highlight w:val="none"/>
        </w:rPr>
        <w:fldChar w:fldCharType="end"/>
      </w:r>
      <w:r>
        <w:rPr>
          <w:rFonts w:ascii="Arial" w:hAnsi="Arial" w:cs="Arial"/>
          <w:color w:val="auto"/>
          <w:szCs w:val="28"/>
          <w:highlight w:val="none"/>
        </w:rPr>
        <w:fldChar w:fldCharType="end"/>
      </w:r>
    </w:p>
    <w:p w14:paraId="77E5EE50">
      <w:pPr>
        <w:pStyle w:val="34"/>
        <w:tabs>
          <w:tab w:val="right" w:leader="dot" w:pos="9070"/>
          <w:tab w:val="clear" w:pos="8398"/>
        </w:tabs>
        <w:rPr>
          <w:color w:val="auto"/>
          <w:highlight w:val="none"/>
        </w:rPr>
      </w:pPr>
      <w:r>
        <w:rPr>
          <w:rFonts w:ascii="Arial" w:hAnsi="Arial" w:cs="Arial"/>
          <w:color w:val="auto"/>
          <w:szCs w:val="28"/>
          <w:highlight w:val="none"/>
        </w:rPr>
        <w:fldChar w:fldCharType="begin"/>
      </w:r>
      <w:r>
        <w:rPr>
          <w:rFonts w:ascii="Arial" w:hAnsi="Arial" w:cs="Arial"/>
          <w:color w:val="auto"/>
          <w:szCs w:val="28"/>
          <w:highlight w:val="none"/>
        </w:rPr>
        <w:instrText xml:space="preserve"> HYPERLINK \l _Toc23753 </w:instrText>
      </w:r>
      <w:r>
        <w:rPr>
          <w:rFonts w:ascii="Arial" w:hAnsi="Arial" w:cs="Arial"/>
          <w:color w:val="auto"/>
          <w:szCs w:val="28"/>
          <w:highlight w:val="none"/>
        </w:rPr>
        <w:fldChar w:fldCharType="separate"/>
      </w:r>
      <w:r>
        <w:rPr>
          <w:rFonts w:ascii="Arial" w:hAnsi="Arial" w:cs="Arial"/>
          <w:color w:val="auto"/>
          <w:highlight w:val="none"/>
        </w:rPr>
        <w:t>第四章  评审方法及标准</w:t>
      </w:r>
      <w:r>
        <w:rPr>
          <w:color w:val="auto"/>
          <w:highlight w:val="none"/>
        </w:rPr>
        <w:tab/>
      </w:r>
      <w:r>
        <w:rPr>
          <w:color w:val="auto"/>
          <w:highlight w:val="none"/>
        </w:rPr>
        <w:fldChar w:fldCharType="begin"/>
      </w:r>
      <w:r>
        <w:rPr>
          <w:color w:val="auto"/>
          <w:highlight w:val="none"/>
        </w:rPr>
        <w:instrText xml:space="preserve"> PAGEREF _Toc23753 \h </w:instrText>
      </w:r>
      <w:r>
        <w:rPr>
          <w:color w:val="auto"/>
          <w:highlight w:val="none"/>
        </w:rPr>
        <w:fldChar w:fldCharType="separate"/>
      </w:r>
      <w:r>
        <w:rPr>
          <w:color w:val="auto"/>
          <w:highlight w:val="none"/>
        </w:rPr>
        <w:t>33</w:t>
      </w:r>
      <w:r>
        <w:rPr>
          <w:color w:val="auto"/>
          <w:highlight w:val="none"/>
        </w:rPr>
        <w:fldChar w:fldCharType="end"/>
      </w:r>
      <w:r>
        <w:rPr>
          <w:rFonts w:ascii="Arial" w:hAnsi="Arial" w:cs="Arial"/>
          <w:color w:val="auto"/>
          <w:szCs w:val="28"/>
          <w:highlight w:val="none"/>
        </w:rPr>
        <w:fldChar w:fldCharType="end"/>
      </w:r>
    </w:p>
    <w:p w14:paraId="012F0B0B">
      <w:pPr>
        <w:pStyle w:val="34"/>
        <w:tabs>
          <w:tab w:val="right" w:leader="dot" w:pos="9070"/>
          <w:tab w:val="clear" w:pos="8398"/>
        </w:tabs>
        <w:rPr>
          <w:color w:val="auto"/>
          <w:highlight w:val="none"/>
        </w:rPr>
      </w:pPr>
      <w:r>
        <w:rPr>
          <w:rFonts w:ascii="Arial" w:hAnsi="Arial" w:cs="Arial"/>
          <w:color w:val="auto"/>
          <w:szCs w:val="28"/>
          <w:highlight w:val="none"/>
        </w:rPr>
        <w:fldChar w:fldCharType="begin"/>
      </w:r>
      <w:r>
        <w:rPr>
          <w:rFonts w:ascii="Arial" w:hAnsi="Arial" w:cs="Arial"/>
          <w:color w:val="auto"/>
          <w:szCs w:val="28"/>
          <w:highlight w:val="none"/>
        </w:rPr>
        <w:instrText xml:space="preserve"> HYPERLINK \l _Toc12930 </w:instrText>
      </w:r>
      <w:r>
        <w:rPr>
          <w:rFonts w:ascii="Arial" w:hAnsi="Arial" w:cs="Arial"/>
          <w:color w:val="auto"/>
          <w:szCs w:val="28"/>
          <w:highlight w:val="none"/>
        </w:rPr>
        <w:fldChar w:fldCharType="separate"/>
      </w:r>
      <w:r>
        <w:rPr>
          <w:rFonts w:ascii="Arial" w:hAnsi="Arial" w:cs="Arial"/>
          <w:bCs/>
          <w:color w:val="auto"/>
          <w:highlight w:val="none"/>
        </w:rPr>
        <w:t>第五章  合同主要条款格式</w:t>
      </w:r>
      <w:r>
        <w:rPr>
          <w:color w:val="auto"/>
          <w:highlight w:val="none"/>
        </w:rPr>
        <w:tab/>
      </w:r>
      <w:r>
        <w:rPr>
          <w:color w:val="auto"/>
          <w:highlight w:val="none"/>
        </w:rPr>
        <w:fldChar w:fldCharType="begin"/>
      </w:r>
      <w:r>
        <w:rPr>
          <w:color w:val="auto"/>
          <w:highlight w:val="none"/>
        </w:rPr>
        <w:instrText xml:space="preserve"> PAGEREF _Toc12930 \h </w:instrText>
      </w:r>
      <w:r>
        <w:rPr>
          <w:color w:val="auto"/>
          <w:highlight w:val="none"/>
        </w:rPr>
        <w:fldChar w:fldCharType="separate"/>
      </w:r>
      <w:r>
        <w:rPr>
          <w:color w:val="auto"/>
          <w:highlight w:val="none"/>
        </w:rPr>
        <w:t>43</w:t>
      </w:r>
      <w:r>
        <w:rPr>
          <w:color w:val="auto"/>
          <w:highlight w:val="none"/>
        </w:rPr>
        <w:fldChar w:fldCharType="end"/>
      </w:r>
      <w:r>
        <w:rPr>
          <w:rFonts w:ascii="Arial" w:hAnsi="Arial" w:cs="Arial"/>
          <w:color w:val="auto"/>
          <w:szCs w:val="28"/>
          <w:highlight w:val="none"/>
        </w:rPr>
        <w:fldChar w:fldCharType="end"/>
      </w:r>
    </w:p>
    <w:p w14:paraId="36184173">
      <w:pPr>
        <w:pStyle w:val="34"/>
        <w:tabs>
          <w:tab w:val="right" w:leader="dot" w:pos="9070"/>
          <w:tab w:val="clear" w:pos="8398"/>
        </w:tabs>
        <w:rPr>
          <w:color w:val="auto"/>
          <w:highlight w:val="none"/>
        </w:rPr>
      </w:pPr>
      <w:r>
        <w:rPr>
          <w:rFonts w:ascii="Arial" w:hAnsi="Arial" w:cs="Arial"/>
          <w:color w:val="auto"/>
          <w:szCs w:val="28"/>
          <w:highlight w:val="none"/>
        </w:rPr>
        <w:fldChar w:fldCharType="begin"/>
      </w:r>
      <w:r>
        <w:rPr>
          <w:rFonts w:ascii="Arial" w:hAnsi="Arial" w:cs="Arial"/>
          <w:color w:val="auto"/>
          <w:szCs w:val="28"/>
          <w:highlight w:val="none"/>
        </w:rPr>
        <w:instrText xml:space="preserve"> HYPERLINK \l _Toc22700 </w:instrText>
      </w:r>
      <w:r>
        <w:rPr>
          <w:rFonts w:ascii="Arial" w:hAnsi="Arial" w:cs="Arial"/>
          <w:color w:val="auto"/>
          <w:szCs w:val="28"/>
          <w:highlight w:val="none"/>
        </w:rPr>
        <w:fldChar w:fldCharType="separate"/>
      </w:r>
      <w:r>
        <w:rPr>
          <w:rFonts w:ascii="Arial" w:hAnsi="Arial" w:cs="Arial"/>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_Toc22700 \h </w:instrText>
      </w:r>
      <w:r>
        <w:rPr>
          <w:color w:val="auto"/>
          <w:highlight w:val="none"/>
        </w:rPr>
        <w:fldChar w:fldCharType="separate"/>
      </w:r>
      <w:r>
        <w:rPr>
          <w:color w:val="auto"/>
          <w:highlight w:val="none"/>
        </w:rPr>
        <w:t>49</w:t>
      </w:r>
      <w:r>
        <w:rPr>
          <w:color w:val="auto"/>
          <w:highlight w:val="none"/>
        </w:rPr>
        <w:fldChar w:fldCharType="end"/>
      </w:r>
      <w:r>
        <w:rPr>
          <w:rFonts w:ascii="Arial" w:hAnsi="Arial" w:cs="Arial"/>
          <w:color w:val="auto"/>
          <w:szCs w:val="28"/>
          <w:highlight w:val="none"/>
        </w:rPr>
        <w:fldChar w:fldCharType="end"/>
      </w:r>
    </w:p>
    <w:p w14:paraId="6A8F231E">
      <w:pPr>
        <w:pStyle w:val="34"/>
        <w:ind w:firstLine="241"/>
        <w:rPr>
          <w:rFonts w:ascii="Arial" w:hAnsi="Arial" w:cs="Arial"/>
          <w:color w:val="auto"/>
          <w:sz w:val="28"/>
          <w:szCs w:val="28"/>
          <w:highlight w:val="none"/>
        </w:rPr>
      </w:pPr>
      <w:r>
        <w:rPr>
          <w:rFonts w:ascii="Arial" w:hAnsi="Arial" w:cs="Arial"/>
          <w:color w:val="auto"/>
          <w:szCs w:val="28"/>
          <w:highlight w:val="none"/>
        </w:rPr>
        <w:fldChar w:fldCharType="end"/>
      </w:r>
    </w:p>
    <w:p w14:paraId="25A6EDF8">
      <w:pPr>
        <w:spacing w:beforeLines="50" w:line="480" w:lineRule="exact"/>
        <w:rPr>
          <w:rFonts w:ascii="Arial" w:hAnsi="Arial" w:cs="Arial"/>
          <w:color w:val="auto"/>
          <w:sz w:val="28"/>
          <w:szCs w:val="28"/>
          <w:highlight w:val="none"/>
        </w:rPr>
      </w:pPr>
    </w:p>
    <w:p w14:paraId="08E6038C">
      <w:pPr>
        <w:spacing w:beforeLines="50" w:line="480" w:lineRule="exact"/>
        <w:rPr>
          <w:rFonts w:ascii="Arial" w:hAnsi="Arial" w:cs="Arial"/>
          <w:color w:val="auto"/>
          <w:sz w:val="30"/>
          <w:highlight w:val="none"/>
        </w:rPr>
        <w:sectPr>
          <w:headerReference r:id="rId9" w:type="first"/>
          <w:pgSz w:w="11906" w:h="16838"/>
          <w:pgMar w:top="1418" w:right="1418" w:bottom="1246" w:left="1418" w:header="851" w:footer="992" w:gutter="0"/>
          <w:pgNumType w:start="0"/>
          <w:cols w:space="720" w:num="1"/>
          <w:titlePg/>
          <w:docGrid w:linePitch="312" w:charSpace="0"/>
        </w:sectPr>
      </w:pPr>
    </w:p>
    <w:p w14:paraId="255B64AF">
      <w:pPr>
        <w:pStyle w:val="2"/>
        <w:snapToGrid w:val="0"/>
        <w:spacing w:before="0" w:after="0" w:line="240" w:lineRule="auto"/>
        <w:jc w:val="center"/>
        <w:rPr>
          <w:rFonts w:ascii="Arial" w:hAnsi="Arial" w:cs="Arial"/>
          <w:color w:val="auto"/>
          <w:highlight w:val="none"/>
        </w:rPr>
      </w:pPr>
      <w:bookmarkStart w:id="7" w:name="_Toc254970489"/>
      <w:bookmarkStart w:id="8" w:name="_Toc254970630"/>
      <w:bookmarkStart w:id="9" w:name="_Toc21865"/>
      <w:r>
        <w:rPr>
          <w:rFonts w:ascii="Arial" w:hAnsi="Arial" w:cs="Arial"/>
          <w:color w:val="auto"/>
          <w:highlight w:val="none"/>
        </w:rPr>
        <w:t xml:space="preserve">第一章  </w:t>
      </w:r>
      <w:bookmarkEnd w:id="7"/>
      <w:bookmarkEnd w:id="8"/>
      <w:r>
        <w:rPr>
          <w:rFonts w:ascii="Arial" w:hAnsi="Arial" w:cs="Arial"/>
          <w:color w:val="auto"/>
          <w:highlight w:val="none"/>
        </w:rPr>
        <w:t>招标公告</w:t>
      </w:r>
      <w:bookmarkEnd w:id="9"/>
    </w:p>
    <w:p w14:paraId="0881A6F5">
      <w:pPr>
        <w:spacing w:line="400" w:lineRule="exact"/>
        <w:jc w:val="center"/>
        <w:rPr>
          <w:rFonts w:ascii="Arial" w:hAnsi="Arial" w:cs="Arial"/>
          <w:b/>
          <w:color w:val="auto"/>
          <w:sz w:val="24"/>
          <w:highlight w:val="none"/>
        </w:rPr>
      </w:pPr>
      <w:r>
        <w:rPr>
          <w:rFonts w:ascii="Arial" w:hAnsi="Arial" w:cs="Arial"/>
          <w:color w:val="auto"/>
          <w:kern w:val="0"/>
          <w:sz w:val="24"/>
          <w:highlight w:val="none"/>
        </w:rPr>
        <w:t>广西机电设备招标有限公司关于</w:t>
      </w:r>
      <w:r>
        <w:rPr>
          <w:rFonts w:hint="eastAsia" w:ascii="Arial" w:hAnsi="Arial" w:cs="Arial"/>
          <w:color w:val="auto"/>
          <w:kern w:val="0"/>
          <w:sz w:val="24"/>
          <w:highlight w:val="none"/>
          <w:lang w:eastAsia="zh-CN"/>
        </w:rPr>
        <w:t>256排CT等GE设备一批维保服务</w:t>
      </w:r>
      <w:r>
        <w:rPr>
          <w:rFonts w:ascii="Arial" w:hAnsi="Arial" w:cs="Arial"/>
          <w:color w:val="auto"/>
          <w:sz w:val="24"/>
          <w:highlight w:val="none"/>
        </w:rPr>
        <w:t xml:space="preserve"> (</w:t>
      </w:r>
      <w:r>
        <w:rPr>
          <w:rFonts w:hint="eastAsia" w:ascii="Arial" w:hAnsi="Arial" w:cs="Arial"/>
          <w:color w:val="auto"/>
          <w:sz w:val="24"/>
          <w:highlight w:val="none"/>
          <w:lang w:eastAsia="zh-CN"/>
        </w:rPr>
        <w:t>GXZC2026-G3-002039-JDZB</w:t>
      </w:r>
      <w:r>
        <w:rPr>
          <w:rFonts w:ascii="Arial" w:hAnsi="Arial" w:cs="Arial"/>
          <w:color w:val="auto"/>
          <w:sz w:val="24"/>
          <w:highlight w:val="none"/>
        </w:rPr>
        <w:t>)</w:t>
      </w:r>
      <w:r>
        <w:rPr>
          <w:rFonts w:ascii="Arial" w:hAnsi="Arial" w:cs="Arial"/>
          <w:color w:val="auto"/>
          <w:kern w:val="0"/>
          <w:sz w:val="24"/>
          <w:highlight w:val="none"/>
        </w:rPr>
        <w:t>公开招标公告</w:t>
      </w:r>
    </w:p>
    <w:p w14:paraId="7283D083">
      <w:pPr>
        <w:ind w:firstLine="409" w:firstLineChars="195"/>
        <w:jc w:val="left"/>
        <w:rPr>
          <w:rFonts w:ascii="Arial" w:hAnsi="Arial" w:cs="Arial"/>
          <w:color w:val="auto"/>
          <w:kern w:val="0"/>
          <w:szCs w:val="21"/>
          <w:highlight w:val="none"/>
        </w:rPr>
      </w:pPr>
    </w:p>
    <w:p w14:paraId="35F5B9D7">
      <w:pPr>
        <w:spacing w:line="312" w:lineRule="auto"/>
        <w:ind w:firstLine="420" w:firstLineChars="200"/>
        <w:jc w:val="left"/>
        <w:rPr>
          <w:rFonts w:ascii="Arial" w:hAnsi="Arial" w:cs="Arial"/>
          <w:b/>
          <w:bCs/>
          <w:color w:val="auto"/>
          <w:kern w:val="0"/>
          <w:sz w:val="22"/>
          <w:szCs w:val="22"/>
          <w:highlight w:val="none"/>
        </w:rPr>
      </w:pPr>
      <w:bookmarkStart w:id="10" w:name="_Hlk132795121"/>
      <w:bookmarkStart w:id="11" w:name="_Hlk132877709"/>
      <w:r>
        <w:rPr>
          <w:rFonts w:ascii="Arial" w:hAnsi="Arial" w:cs="Arial"/>
          <w:color w:val="auto"/>
          <w:szCs w:val="21"/>
          <w:highlight w:val="none"/>
        </w:rPr>
        <w:t>项目概况：</w:t>
      </w:r>
      <w:r>
        <w:rPr>
          <w:rFonts w:hint="eastAsia" w:ascii="Arial" w:hAnsi="Arial" w:cs="Arial"/>
          <w:color w:val="auto"/>
          <w:kern w:val="0"/>
          <w:szCs w:val="21"/>
          <w:highlight w:val="none"/>
          <w:lang w:eastAsia="zh-CN"/>
        </w:rPr>
        <w:t>256排CT等GE设备一批维保服务</w:t>
      </w:r>
      <w:r>
        <w:rPr>
          <w:rFonts w:ascii="Arial" w:hAnsi="Arial" w:cs="Arial"/>
          <w:color w:val="auto"/>
          <w:szCs w:val="21"/>
          <w:highlight w:val="none"/>
        </w:rPr>
        <w:t>招标项目的潜在投标人应在广西政府采购云平台（https://www.gcy.zfcg.gxzf.gov.cn/）获取招标文件，并于202</w:t>
      </w:r>
      <w:r>
        <w:rPr>
          <w:rFonts w:hint="eastAsia" w:ascii="Arial" w:hAnsi="Arial" w:cs="Arial"/>
          <w:color w:val="auto"/>
          <w:szCs w:val="21"/>
          <w:highlight w:val="none"/>
        </w:rPr>
        <w:t>6</w:t>
      </w:r>
      <w:r>
        <w:rPr>
          <w:rFonts w:ascii="Arial" w:hAnsi="Arial" w:cs="Arial"/>
          <w:color w:val="auto"/>
          <w:szCs w:val="21"/>
          <w:highlight w:val="none"/>
        </w:rPr>
        <w:t>年</w:t>
      </w:r>
      <w:r>
        <w:rPr>
          <w:rFonts w:hint="eastAsia" w:ascii="Arial" w:hAnsi="Arial" w:cs="Arial"/>
          <w:color w:val="auto"/>
          <w:szCs w:val="21"/>
          <w:highlight w:val="none"/>
          <w:lang w:val="en-US" w:eastAsia="zh-CN"/>
        </w:rPr>
        <w:t>7</w:t>
      </w:r>
      <w:r>
        <w:rPr>
          <w:rFonts w:hint="eastAsia" w:ascii="Arial" w:hAnsi="Arial" w:cs="Arial"/>
          <w:color w:val="auto"/>
          <w:szCs w:val="21"/>
          <w:highlight w:val="none"/>
        </w:rPr>
        <w:t xml:space="preserve"> 月</w:t>
      </w:r>
      <w:r>
        <w:rPr>
          <w:rFonts w:hint="eastAsia" w:ascii="Arial" w:hAnsi="Arial" w:cs="Arial"/>
          <w:color w:val="auto"/>
          <w:szCs w:val="21"/>
          <w:highlight w:val="none"/>
          <w:lang w:val="en-US" w:eastAsia="zh-CN"/>
        </w:rPr>
        <w:t>21</w:t>
      </w:r>
      <w:r>
        <w:rPr>
          <w:rFonts w:hint="eastAsia" w:ascii="Arial" w:hAnsi="Arial" w:cs="Arial"/>
          <w:color w:val="auto"/>
          <w:szCs w:val="21"/>
          <w:highlight w:val="none"/>
        </w:rPr>
        <w:t>日</w:t>
      </w:r>
      <w:r>
        <w:rPr>
          <w:rFonts w:ascii="Arial" w:hAnsi="Arial" w:cs="Arial"/>
          <w:color w:val="auto"/>
          <w:szCs w:val="21"/>
          <w:highlight w:val="none"/>
        </w:rPr>
        <w:t>9点30分（北京时间）前递交投标文件。</w:t>
      </w:r>
      <w:bookmarkEnd w:id="10"/>
    </w:p>
    <w:bookmarkEnd w:id="11"/>
    <w:p w14:paraId="68F6C346">
      <w:pPr>
        <w:spacing w:line="312" w:lineRule="auto"/>
        <w:ind w:firstLine="442" w:firstLineChars="200"/>
        <w:jc w:val="left"/>
        <w:rPr>
          <w:rFonts w:ascii="Arial" w:hAnsi="Arial" w:cs="Arial"/>
          <w:b/>
          <w:bCs/>
          <w:color w:val="auto"/>
          <w:kern w:val="0"/>
          <w:sz w:val="22"/>
          <w:szCs w:val="22"/>
          <w:highlight w:val="none"/>
        </w:rPr>
      </w:pPr>
      <w:r>
        <w:rPr>
          <w:rFonts w:ascii="Arial" w:hAnsi="Arial" w:cs="Arial"/>
          <w:b/>
          <w:bCs/>
          <w:color w:val="auto"/>
          <w:kern w:val="0"/>
          <w:sz w:val="22"/>
          <w:szCs w:val="22"/>
          <w:highlight w:val="none"/>
        </w:rPr>
        <w:t>一、项目基本情况</w:t>
      </w:r>
    </w:p>
    <w:p w14:paraId="5909130E">
      <w:pPr>
        <w:spacing w:line="312" w:lineRule="auto"/>
        <w:ind w:firstLine="420" w:firstLineChars="200"/>
        <w:jc w:val="left"/>
        <w:rPr>
          <w:rFonts w:hint="eastAsia" w:ascii="Arial" w:hAnsi="Arial" w:eastAsia="宋体" w:cs="Arial"/>
          <w:color w:val="auto"/>
          <w:kern w:val="0"/>
          <w:szCs w:val="21"/>
          <w:highlight w:val="none"/>
          <w:lang w:eastAsia="zh-CN"/>
        </w:rPr>
      </w:pPr>
      <w:r>
        <w:rPr>
          <w:rFonts w:ascii="Arial" w:hAnsi="Arial" w:cs="Arial"/>
          <w:color w:val="auto"/>
          <w:kern w:val="0"/>
          <w:szCs w:val="21"/>
          <w:highlight w:val="none"/>
        </w:rPr>
        <w:t>项目编号：</w:t>
      </w:r>
      <w:r>
        <w:rPr>
          <w:rFonts w:hint="eastAsia" w:ascii="Arial" w:hAnsi="Arial" w:cs="Arial"/>
          <w:color w:val="auto"/>
          <w:kern w:val="0"/>
          <w:szCs w:val="21"/>
          <w:highlight w:val="none"/>
          <w:lang w:eastAsia="zh-CN"/>
        </w:rPr>
        <w:t>GXZC2026-G3-002039-JDZB</w:t>
      </w:r>
    </w:p>
    <w:p w14:paraId="7937AD0F">
      <w:pPr>
        <w:spacing w:line="312" w:lineRule="auto"/>
        <w:ind w:firstLine="420" w:firstLineChars="200"/>
        <w:jc w:val="left"/>
        <w:rPr>
          <w:rFonts w:hint="eastAsia" w:ascii="Arial" w:hAnsi="Arial" w:eastAsia="宋体" w:cs="Arial"/>
          <w:color w:val="auto"/>
          <w:kern w:val="0"/>
          <w:szCs w:val="21"/>
          <w:highlight w:val="none"/>
          <w:lang w:eastAsia="zh-CN"/>
        </w:rPr>
      </w:pPr>
      <w:r>
        <w:rPr>
          <w:rFonts w:ascii="Arial" w:hAnsi="Arial" w:cs="Arial"/>
          <w:color w:val="auto"/>
          <w:kern w:val="0"/>
          <w:szCs w:val="21"/>
          <w:highlight w:val="none"/>
        </w:rPr>
        <w:t>项目名称：</w:t>
      </w:r>
      <w:r>
        <w:rPr>
          <w:rFonts w:hint="eastAsia" w:ascii="Arial" w:hAnsi="Arial" w:cs="Arial"/>
          <w:color w:val="auto"/>
          <w:kern w:val="0"/>
          <w:szCs w:val="21"/>
          <w:highlight w:val="none"/>
          <w:lang w:eastAsia="zh-CN"/>
        </w:rPr>
        <w:t>256排CT等GE设备一批维保服务</w:t>
      </w:r>
    </w:p>
    <w:p w14:paraId="25D0BA94">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预算总金额（元）：</w:t>
      </w:r>
      <w:r>
        <w:rPr>
          <w:rFonts w:hint="eastAsia" w:ascii="Arial" w:hAnsi="Arial" w:cs="Arial"/>
          <w:color w:val="auto"/>
          <w:kern w:val="0"/>
          <w:szCs w:val="21"/>
          <w:highlight w:val="none"/>
        </w:rPr>
        <w:t>17397000</w:t>
      </w:r>
    </w:p>
    <w:p w14:paraId="4EC7957C">
      <w:pPr>
        <w:tabs>
          <w:tab w:val="left" w:pos="3150"/>
        </w:tabs>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采购需求：</w:t>
      </w:r>
    </w:p>
    <w:p w14:paraId="14CC1E35">
      <w:pPr>
        <w:tabs>
          <w:tab w:val="left" w:pos="3150"/>
        </w:tabs>
        <w:spacing w:line="312" w:lineRule="auto"/>
        <w:ind w:firstLine="420" w:firstLineChars="200"/>
        <w:jc w:val="left"/>
        <w:rPr>
          <w:rFonts w:hint="eastAsia" w:ascii="Arial" w:hAnsi="Arial" w:eastAsia="宋体" w:cs="Arial"/>
          <w:color w:val="auto"/>
          <w:kern w:val="0"/>
          <w:szCs w:val="21"/>
          <w:highlight w:val="none"/>
          <w:lang w:eastAsia="zh-CN"/>
        </w:rPr>
      </w:pPr>
      <w:r>
        <w:rPr>
          <w:rFonts w:ascii="Arial" w:hAnsi="Arial" w:cs="Arial"/>
          <w:color w:val="auto"/>
          <w:kern w:val="0"/>
          <w:szCs w:val="21"/>
          <w:highlight w:val="none"/>
        </w:rPr>
        <w:t>标项</w:t>
      </w:r>
      <w:r>
        <w:rPr>
          <w:rFonts w:hint="eastAsia" w:ascii="Arial" w:hAnsi="Arial" w:cs="Arial"/>
          <w:color w:val="auto"/>
          <w:kern w:val="0"/>
          <w:szCs w:val="21"/>
          <w:highlight w:val="none"/>
        </w:rPr>
        <w:t>名称：</w:t>
      </w:r>
      <w:r>
        <w:rPr>
          <w:rFonts w:hint="eastAsia" w:ascii="Arial" w:hAnsi="Arial" w:cs="Arial"/>
          <w:color w:val="auto"/>
          <w:kern w:val="0"/>
          <w:szCs w:val="21"/>
          <w:highlight w:val="none"/>
          <w:lang w:eastAsia="zh-CN"/>
        </w:rPr>
        <w:t>256排CT等GE设备一批维保服务</w:t>
      </w:r>
    </w:p>
    <w:p w14:paraId="36824B3F">
      <w:pPr>
        <w:tabs>
          <w:tab w:val="left" w:pos="3150"/>
        </w:tabs>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数量：1</w:t>
      </w:r>
    </w:p>
    <w:p w14:paraId="20E6359E">
      <w:pPr>
        <w:tabs>
          <w:tab w:val="left" w:pos="3150"/>
        </w:tabs>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预算金额（元）：</w:t>
      </w:r>
      <w:r>
        <w:rPr>
          <w:rFonts w:hint="eastAsia" w:ascii="Arial" w:hAnsi="Arial" w:cs="Arial"/>
          <w:color w:val="auto"/>
          <w:kern w:val="0"/>
          <w:szCs w:val="21"/>
          <w:highlight w:val="none"/>
        </w:rPr>
        <w:t>17397000</w:t>
      </w:r>
    </w:p>
    <w:p w14:paraId="0CEB222D">
      <w:pPr>
        <w:tabs>
          <w:tab w:val="left" w:pos="3150"/>
        </w:tabs>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简要规格描述或项目基本概况介绍、用途：</w:t>
      </w:r>
      <w:r>
        <w:rPr>
          <w:rFonts w:hint="eastAsia" w:ascii="Arial" w:hAnsi="Arial" w:cs="Arial"/>
          <w:color w:val="auto"/>
          <w:kern w:val="0"/>
          <w:szCs w:val="21"/>
          <w:highlight w:val="none"/>
        </w:rPr>
        <w:t>包含放射科GE 256排CT维保一台（3年）、放射科GE 128排CT维保二台（3年）、健康体检中心GE 62排CT维保一台（3年），</w:t>
      </w:r>
      <w:r>
        <w:rPr>
          <w:rFonts w:ascii="Arial" w:hAnsi="Arial" w:cs="Arial"/>
          <w:color w:val="auto"/>
          <w:kern w:val="0"/>
          <w:szCs w:val="21"/>
          <w:highlight w:val="none"/>
        </w:rPr>
        <w:t>如需</w:t>
      </w:r>
      <w:r>
        <w:rPr>
          <w:rFonts w:ascii="Arial" w:hAnsi="Arial" w:cs="Arial"/>
          <w:color w:val="auto"/>
          <w:szCs w:val="21"/>
          <w:highlight w:val="none"/>
        </w:rPr>
        <w:t>进一步</w:t>
      </w:r>
      <w:r>
        <w:rPr>
          <w:rFonts w:ascii="Arial" w:hAnsi="Arial" w:cs="Arial"/>
          <w:color w:val="auto"/>
          <w:kern w:val="0"/>
          <w:szCs w:val="21"/>
          <w:highlight w:val="none"/>
        </w:rPr>
        <w:t>了解详细内容，详见招标文件。</w:t>
      </w:r>
    </w:p>
    <w:p w14:paraId="25902C57">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最高限价（元）：</w:t>
      </w:r>
      <w:r>
        <w:rPr>
          <w:rFonts w:hint="eastAsia" w:ascii="Arial" w:hAnsi="Arial" w:cs="Arial"/>
          <w:color w:val="auto"/>
          <w:kern w:val="0"/>
          <w:szCs w:val="21"/>
          <w:highlight w:val="none"/>
        </w:rPr>
        <w:t>17196000</w:t>
      </w:r>
    </w:p>
    <w:p w14:paraId="2C6CC3C1">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合同履行期限：自合同签订之日起</w:t>
      </w:r>
      <w:r>
        <w:rPr>
          <w:rFonts w:hint="eastAsia" w:ascii="Arial" w:hAnsi="Arial" w:cs="Arial"/>
          <w:color w:val="auto"/>
          <w:kern w:val="0"/>
          <w:szCs w:val="21"/>
          <w:highlight w:val="none"/>
        </w:rPr>
        <w:t>3</w:t>
      </w:r>
      <w:r>
        <w:rPr>
          <w:rFonts w:ascii="Arial" w:hAnsi="Arial" w:cs="Arial"/>
          <w:color w:val="auto"/>
          <w:kern w:val="0"/>
          <w:szCs w:val="21"/>
          <w:highlight w:val="none"/>
        </w:rPr>
        <w:t>年。</w:t>
      </w:r>
    </w:p>
    <w:p w14:paraId="6CC7BC0F">
      <w:pPr>
        <w:spacing w:line="312" w:lineRule="auto"/>
        <w:ind w:firstLine="420" w:firstLineChars="200"/>
        <w:jc w:val="left"/>
        <w:rPr>
          <w:rFonts w:ascii="Arial" w:hAnsi="Arial" w:cs="Arial"/>
          <w:color w:val="auto"/>
          <w:kern w:val="0"/>
          <w:szCs w:val="21"/>
          <w:highlight w:val="none"/>
        </w:rPr>
      </w:pPr>
      <w:r>
        <w:rPr>
          <w:rFonts w:hint="eastAsia" w:ascii="Arial" w:hAnsi="Arial" w:cs="Arial"/>
          <w:color w:val="auto"/>
          <w:kern w:val="0"/>
          <w:szCs w:val="21"/>
          <w:highlight w:val="none"/>
        </w:rPr>
        <w:t>本标项（否）接受联合体投标</w:t>
      </w:r>
    </w:p>
    <w:p w14:paraId="68BE2A7A">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备注：</w:t>
      </w:r>
    </w:p>
    <w:p w14:paraId="0D8429D4">
      <w:pPr>
        <w:tabs>
          <w:tab w:val="left" w:pos="3150"/>
        </w:tabs>
        <w:spacing w:line="312" w:lineRule="auto"/>
        <w:ind w:firstLine="420" w:firstLineChars="200"/>
        <w:jc w:val="left"/>
        <w:rPr>
          <w:rFonts w:ascii="Arial" w:hAnsi="Arial" w:cs="Arial"/>
          <w:color w:val="auto"/>
          <w:kern w:val="0"/>
          <w:szCs w:val="21"/>
          <w:highlight w:val="none"/>
        </w:rPr>
      </w:pPr>
    </w:p>
    <w:p w14:paraId="55AA0982">
      <w:pPr>
        <w:spacing w:line="312" w:lineRule="auto"/>
        <w:ind w:firstLine="442" w:firstLineChars="200"/>
        <w:jc w:val="left"/>
        <w:rPr>
          <w:rFonts w:ascii="Arial" w:hAnsi="Arial" w:cs="Arial"/>
          <w:b/>
          <w:bCs/>
          <w:color w:val="auto"/>
          <w:kern w:val="0"/>
          <w:sz w:val="22"/>
          <w:szCs w:val="22"/>
          <w:highlight w:val="none"/>
        </w:rPr>
      </w:pPr>
      <w:r>
        <w:rPr>
          <w:rFonts w:ascii="Arial" w:hAnsi="Arial" w:cs="Arial"/>
          <w:b/>
          <w:bCs/>
          <w:color w:val="auto"/>
          <w:kern w:val="0"/>
          <w:sz w:val="22"/>
          <w:szCs w:val="22"/>
          <w:highlight w:val="none"/>
        </w:rPr>
        <w:t>二、申请人的资格要求</w:t>
      </w:r>
    </w:p>
    <w:p w14:paraId="4B212464">
      <w:pPr>
        <w:spacing w:line="312" w:lineRule="auto"/>
        <w:ind w:firstLine="420" w:firstLineChars="200"/>
        <w:jc w:val="left"/>
        <w:rPr>
          <w:rFonts w:ascii="Arial" w:hAnsi="Arial" w:cs="Arial"/>
          <w:color w:val="auto"/>
          <w:szCs w:val="21"/>
          <w:highlight w:val="none"/>
        </w:rPr>
      </w:pPr>
      <w:r>
        <w:rPr>
          <w:rFonts w:ascii="Arial" w:hAnsi="Arial" w:cs="Arial"/>
          <w:color w:val="auto"/>
          <w:kern w:val="0"/>
          <w:szCs w:val="21"/>
          <w:highlight w:val="none"/>
        </w:rPr>
        <w:t>1.满足《中华人民共和国政府采购法》第二十二条规定；</w:t>
      </w:r>
    </w:p>
    <w:p w14:paraId="7DC8011A">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2.落实政府采购政策需满足的资格要求：</w:t>
      </w:r>
      <w:bookmarkStart w:id="12" w:name="_Hlk132878088"/>
      <w:bookmarkStart w:id="13" w:name="_Hlk132880574"/>
      <w:r>
        <w:rPr>
          <w:rFonts w:ascii="Arial" w:hAnsi="Arial" w:cs="Arial"/>
          <w:color w:val="auto"/>
          <w:kern w:val="0"/>
          <w:szCs w:val="21"/>
          <w:highlight w:val="none"/>
        </w:rPr>
        <w:t>本项目非专门面向中小微企业采购</w:t>
      </w:r>
    </w:p>
    <w:bookmarkEnd w:id="12"/>
    <w:bookmarkEnd w:id="13"/>
    <w:p w14:paraId="051AE2ED">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3.本项目的特定资格要求</w:t>
      </w:r>
    </w:p>
    <w:p w14:paraId="40BA487D">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（1）资质要求：无</w:t>
      </w:r>
      <w:r>
        <w:rPr>
          <w:rFonts w:hint="eastAsia" w:ascii="Arial" w:hAnsi="Arial" w:cs="Arial"/>
          <w:color w:val="auto"/>
          <w:kern w:val="0"/>
          <w:szCs w:val="21"/>
          <w:highlight w:val="none"/>
        </w:rPr>
        <w:t>。</w:t>
      </w:r>
    </w:p>
    <w:p w14:paraId="133DAFF8">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（2）业绩要求：无。</w:t>
      </w:r>
    </w:p>
    <w:p w14:paraId="34876126">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（3）其他要求：无。</w:t>
      </w:r>
    </w:p>
    <w:p w14:paraId="09346C4F">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3B7A5B14">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（5）未被列入失信被执行人、重大税收违法失信主体、政府采购严重违法失信行为记录名单。</w:t>
      </w:r>
    </w:p>
    <w:p w14:paraId="34D79239">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（6）本项目不允许分包。</w:t>
      </w:r>
    </w:p>
    <w:p w14:paraId="77B55368">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（7）</w:t>
      </w:r>
      <w:r>
        <w:rPr>
          <w:rFonts w:hint="eastAsia" w:ascii="Arial" w:hAnsi="Arial" w:cs="Arial"/>
          <w:color w:val="auto"/>
          <w:kern w:val="0"/>
          <w:szCs w:val="21"/>
          <w:highlight w:val="none"/>
        </w:rPr>
        <w:t>本项目不接受联合体投标。</w:t>
      </w:r>
    </w:p>
    <w:p w14:paraId="145DAF66">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（8）按照招标公告规定获得招标文件。</w:t>
      </w:r>
    </w:p>
    <w:p w14:paraId="0F062DEB">
      <w:pPr>
        <w:spacing w:line="312" w:lineRule="auto"/>
        <w:ind w:firstLine="442" w:firstLineChars="200"/>
        <w:jc w:val="left"/>
        <w:rPr>
          <w:rFonts w:ascii="Arial" w:hAnsi="Arial" w:cs="Arial"/>
          <w:b/>
          <w:bCs/>
          <w:color w:val="auto"/>
          <w:kern w:val="0"/>
          <w:sz w:val="22"/>
          <w:szCs w:val="22"/>
          <w:highlight w:val="none"/>
        </w:rPr>
      </w:pPr>
      <w:r>
        <w:rPr>
          <w:rFonts w:ascii="Arial" w:hAnsi="Arial" w:cs="Arial"/>
          <w:b/>
          <w:bCs/>
          <w:color w:val="auto"/>
          <w:kern w:val="0"/>
          <w:sz w:val="22"/>
          <w:szCs w:val="22"/>
          <w:highlight w:val="none"/>
        </w:rPr>
        <w:t>三、获取招标文件</w:t>
      </w:r>
    </w:p>
    <w:p w14:paraId="27F13B86">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时间：202</w:t>
      </w:r>
      <w:r>
        <w:rPr>
          <w:rFonts w:hint="eastAsia" w:ascii="Arial" w:hAnsi="Arial" w:cs="Arial"/>
          <w:color w:val="auto"/>
          <w:szCs w:val="21"/>
          <w:highlight w:val="none"/>
        </w:rPr>
        <w:t>6</w:t>
      </w:r>
      <w:r>
        <w:rPr>
          <w:rFonts w:ascii="Arial" w:hAnsi="Arial" w:cs="Arial"/>
          <w:color w:val="auto"/>
          <w:szCs w:val="21"/>
          <w:highlight w:val="none"/>
        </w:rPr>
        <w:t>年</w:t>
      </w:r>
      <w:r>
        <w:rPr>
          <w:rFonts w:hint="eastAsia" w:ascii="Arial" w:hAnsi="Arial" w:cs="Arial"/>
          <w:color w:val="auto"/>
          <w:szCs w:val="21"/>
          <w:highlight w:val="none"/>
          <w:lang w:val="en-US" w:eastAsia="zh-CN"/>
        </w:rPr>
        <w:t>6</w:t>
      </w:r>
      <w:r>
        <w:rPr>
          <w:rFonts w:ascii="Arial" w:hAnsi="Arial" w:cs="Arial"/>
          <w:color w:val="auto"/>
          <w:szCs w:val="21"/>
          <w:highlight w:val="none"/>
        </w:rPr>
        <w:t>月</w:t>
      </w:r>
      <w:r>
        <w:rPr>
          <w:rFonts w:hint="eastAsia" w:ascii="Arial" w:hAnsi="Arial" w:cs="Arial"/>
          <w:color w:val="auto"/>
          <w:szCs w:val="21"/>
          <w:highlight w:val="none"/>
          <w:lang w:val="en-US" w:eastAsia="zh-CN"/>
        </w:rPr>
        <w:t>29</w:t>
      </w:r>
      <w:r>
        <w:rPr>
          <w:rFonts w:ascii="Arial" w:hAnsi="Arial" w:cs="Arial"/>
          <w:color w:val="auto"/>
          <w:szCs w:val="21"/>
          <w:highlight w:val="none"/>
        </w:rPr>
        <w:t>日至202</w:t>
      </w:r>
      <w:r>
        <w:rPr>
          <w:rFonts w:hint="eastAsia" w:ascii="Arial" w:hAnsi="Arial" w:cs="Arial"/>
          <w:color w:val="auto"/>
          <w:szCs w:val="21"/>
          <w:highlight w:val="none"/>
        </w:rPr>
        <w:t>6</w:t>
      </w:r>
      <w:r>
        <w:rPr>
          <w:rFonts w:ascii="Arial" w:hAnsi="Arial" w:cs="Arial"/>
          <w:color w:val="auto"/>
          <w:szCs w:val="21"/>
          <w:highlight w:val="none"/>
        </w:rPr>
        <w:t>年</w:t>
      </w:r>
      <w:r>
        <w:rPr>
          <w:rFonts w:hint="eastAsia" w:ascii="Arial" w:hAnsi="Arial" w:cs="Arial"/>
          <w:color w:val="auto"/>
          <w:szCs w:val="21"/>
          <w:highlight w:val="none"/>
          <w:lang w:val="en-US" w:eastAsia="zh-CN"/>
        </w:rPr>
        <w:t>7</w:t>
      </w:r>
      <w:r>
        <w:rPr>
          <w:rFonts w:hint="eastAsia" w:ascii="Arial" w:hAnsi="Arial" w:cs="Arial"/>
          <w:color w:val="auto"/>
          <w:szCs w:val="21"/>
          <w:highlight w:val="none"/>
        </w:rPr>
        <w:t xml:space="preserve"> 月 </w:t>
      </w:r>
      <w:r>
        <w:rPr>
          <w:rFonts w:hint="eastAsia" w:ascii="Arial" w:hAnsi="Arial" w:cs="Arial"/>
          <w:color w:val="auto"/>
          <w:szCs w:val="21"/>
          <w:highlight w:val="none"/>
          <w:lang w:val="en-US" w:eastAsia="zh-CN"/>
        </w:rPr>
        <w:t>6</w:t>
      </w:r>
      <w:r>
        <w:rPr>
          <w:rFonts w:hint="eastAsia" w:ascii="Arial" w:hAnsi="Arial" w:cs="Arial"/>
          <w:color w:val="auto"/>
          <w:szCs w:val="21"/>
          <w:highlight w:val="none"/>
        </w:rPr>
        <w:t>日</w:t>
      </w:r>
      <w:r>
        <w:rPr>
          <w:rFonts w:ascii="Arial" w:hAnsi="Arial" w:cs="Arial"/>
          <w:color w:val="auto"/>
          <w:szCs w:val="21"/>
          <w:highlight w:val="none"/>
        </w:rPr>
        <w:t xml:space="preserve"> ，每天上午00:00至12:00，下午12:00至23:59（北京时间，法定节假日除外）</w:t>
      </w:r>
    </w:p>
    <w:p w14:paraId="69B63673">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 xml:space="preserve">地点（网址）：广西政府采购云平台 （https://www.gcy.zfcg.gxzf.gov.cn/） </w:t>
      </w:r>
    </w:p>
    <w:p w14:paraId="23CFCDDC">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方式：供应商登录广西政府采购云平台https://www.gcy.zfcg.gxzf.gov.cn/在线申请获取采购文件（进入“项目采购”应用，在获取采购文件菜单中选择项目，申请获取采购文件）</w:t>
      </w:r>
    </w:p>
    <w:p w14:paraId="10083E84">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 xml:space="preserve">售价（元）：0  </w:t>
      </w:r>
    </w:p>
    <w:p w14:paraId="6A35C6AF">
      <w:pPr>
        <w:spacing w:line="312" w:lineRule="auto"/>
        <w:ind w:firstLine="442" w:firstLineChars="200"/>
        <w:jc w:val="left"/>
        <w:rPr>
          <w:rFonts w:ascii="Arial" w:hAnsi="Arial" w:cs="Arial"/>
          <w:b/>
          <w:bCs/>
          <w:color w:val="auto"/>
          <w:kern w:val="0"/>
          <w:sz w:val="22"/>
          <w:szCs w:val="22"/>
          <w:highlight w:val="none"/>
        </w:rPr>
      </w:pPr>
      <w:r>
        <w:rPr>
          <w:rFonts w:ascii="Arial" w:hAnsi="Arial" w:cs="Arial"/>
          <w:b/>
          <w:bCs/>
          <w:color w:val="auto"/>
          <w:kern w:val="0"/>
          <w:sz w:val="22"/>
          <w:szCs w:val="22"/>
          <w:highlight w:val="none"/>
        </w:rPr>
        <w:t>四、提交投标文件截止时间、开标时间和地点</w:t>
      </w:r>
    </w:p>
    <w:p w14:paraId="57819E3B">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提交投标文件截止时间：202</w:t>
      </w:r>
      <w:r>
        <w:rPr>
          <w:rFonts w:hint="eastAsia" w:ascii="Arial" w:hAnsi="Arial" w:cs="Arial"/>
          <w:color w:val="auto"/>
          <w:szCs w:val="21"/>
          <w:highlight w:val="none"/>
        </w:rPr>
        <w:t>6</w:t>
      </w:r>
      <w:r>
        <w:rPr>
          <w:rFonts w:ascii="Arial" w:hAnsi="Arial" w:cs="Arial"/>
          <w:color w:val="auto"/>
          <w:szCs w:val="21"/>
          <w:highlight w:val="none"/>
        </w:rPr>
        <w:t>年</w:t>
      </w:r>
      <w:r>
        <w:rPr>
          <w:rFonts w:hint="eastAsia" w:ascii="Arial" w:hAnsi="Arial" w:cs="Arial"/>
          <w:color w:val="auto"/>
          <w:szCs w:val="21"/>
          <w:highlight w:val="none"/>
          <w:lang w:val="en-US" w:eastAsia="zh-CN"/>
        </w:rPr>
        <w:t>7</w:t>
      </w:r>
      <w:r>
        <w:rPr>
          <w:rFonts w:hint="eastAsia" w:ascii="Arial" w:hAnsi="Arial" w:cs="Arial"/>
          <w:color w:val="auto"/>
          <w:szCs w:val="21"/>
          <w:highlight w:val="none"/>
        </w:rPr>
        <w:t>月</w:t>
      </w:r>
      <w:r>
        <w:rPr>
          <w:rFonts w:hint="eastAsia" w:ascii="Arial" w:hAnsi="Arial" w:cs="Arial"/>
          <w:color w:val="auto"/>
          <w:szCs w:val="21"/>
          <w:highlight w:val="none"/>
          <w:lang w:val="en-US" w:eastAsia="zh-CN"/>
        </w:rPr>
        <w:t>21</w:t>
      </w:r>
      <w:r>
        <w:rPr>
          <w:rFonts w:hint="eastAsia" w:ascii="Arial" w:hAnsi="Arial" w:cs="Arial"/>
          <w:color w:val="auto"/>
          <w:szCs w:val="21"/>
          <w:highlight w:val="none"/>
        </w:rPr>
        <w:t>日</w:t>
      </w:r>
      <w:r>
        <w:rPr>
          <w:rFonts w:ascii="Arial" w:hAnsi="Arial" w:cs="Arial"/>
          <w:color w:val="auto"/>
          <w:szCs w:val="21"/>
          <w:highlight w:val="none"/>
        </w:rPr>
        <w:t>09:30（北京时间）</w:t>
      </w:r>
    </w:p>
    <w:p w14:paraId="425B7229">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地点（网址）：</w:t>
      </w:r>
      <w:r>
        <w:rPr>
          <w:rFonts w:hint="eastAsia" w:ascii="Arial" w:hAnsi="Arial" w:cs="Arial"/>
          <w:color w:val="auto"/>
          <w:szCs w:val="21"/>
          <w:highlight w:val="none"/>
        </w:rPr>
        <w:t>本项目为全流程电子化项目，没有现场递交投标文件及现场开标环节，通过广西政府采购云平台（https://www.gcy.zfcg.gxzf.gov.cn/）实行在线电子投标，供应商应先安装广西政府采购云平台新版客户端（请自行前往广西政府采购网-办事服务-下载专区进行下载），并按照本项目招标文件和广西政府采购云平台的要求使用CA认证编制、加密投标文件后在投标截止时间前上传至 广西政府采购云平台，供应商在广西政府采购云平台提交电子版投标文件时，请填写参加远程开标活动经办人联系方式。</w:t>
      </w:r>
    </w:p>
    <w:p w14:paraId="66BD538B">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开标时间：202</w:t>
      </w:r>
      <w:r>
        <w:rPr>
          <w:rFonts w:hint="eastAsia" w:ascii="Arial" w:hAnsi="Arial" w:cs="Arial"/>
          <w:color w:val="auto"/>
          <w:szCs w:val="21"/>
          <w:highlight w:val="none"/>
        </w:rPr>
        <w:t>6</w:t>
      </w:r>
      <w:r>
        <w:rPr>
          <w:rFonts w:ascii="Arial" w:hAnsi="Arial" w:cs="Arial"/>
          <w:color w:val="auto"/>
          <w:szCs w:val="21"/>
          <w:highlight w:val="none"/>
        </w:rPr>
        <w:t>年</w:t>
      </w:r>
      <w:r>
        <w:rPr>
          <w:rFonts w:hint="eastAsia" w:ascii="Arial" w:hAnsi="Arial" w:cs="Arial"/>
          <w:color w:val="auto"/>
          <w:szCs w:val="21"/>
          <w:highlight w:val="none"/>
          <w:lang w:val="en-US" w:eastAsia="zh-CN"/>
        </w:rPr>
        <w:t>7</w:t>
      </w:r>
      <w:r>
        <w:rPr>
          <w:rFonts w:hint="eastAsia" w:ascii="Arial" w:hAnsi="Arial" w:cs="Arial"/>
          <w:color w:val="auto"/>
          <w:szCs w:val="21"/>
          <w:highlight w:val="none"/>
        </w:rPr>
        <w:t>月</w:t>
      </w:r>
      <w:r>
        <w:rPr>
          <w:rFonts w:hint="eastAsia" w:ascii="Arial" w:hAnsi="Arial" w:cs="Arial"/>
          <w:color w:val="auto"/>
          <w:szCs w:val="21"/>
          <w:highlight w:val="none"/>
          <w:lang w:val="en-US" w:eastAsia="zh-CN"/>
        </w:rPr>
        <w:t>21</w:t>
      </w:r>
      <w:r>
        <w:rPr>
          <w:rFonts w:hint="eastAsia" w:ascii="Arial" w:hAnsi="Arial" w:cs="Arial"/>
          <w:color w:val="auto"/>
          <w:szCs w:val="21"/>
          <w:highlight w:val="none"/>
        </w:rPr>
        <w:t>日</w:t>
      </w:r>
      <w:r>
        <w:rPr>
          <w:rFonts w:ascii="Arial" w:hAnsi="Arial" w:cs="Arial"/>
          <w:color w:val="auto"/>
          <w:szCs w:val="21"/>
          <w:highlight w:val="none"/>
        </w:rPr>
        <w:t xml:space="preserve">09:30 </w:t>
      </w:r>
    </w:p>
    <w:p w14:paraId="6A7CAD01">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开标地点：通过广西政府采购云平台实行在线解密开启。</w:t>
      </w:r>
    </w:p>
    <w:p w14:paraId="3F05F69E">
      <w:pPr>
        <w:spacing w:line="312" w:lineRule="auto"/>
        <w:ind w:firstLine="442" w:firstLineChars="200"/>
        <w:jc w:val="left"/>
        <w:rPr>
          <w:rFonts w:ascii="Arial" w:hAnsi="Arial" w:cs="Arial"/>
          <w:b/>
          <w:bCs/>
          <w:color w:val="auto"/>
          <w:kern w:val="0"/>
          <w:sz w:val="22"/>
          <w:szCs w:val="22"/>
          <w:highlight w:val="none"/>
        </w:rPr>
      </w:pPr>
      <w:r>
        <w:rPr>
          <w:rFonts w:ascii="Arial" w:hAnsi="Arial" w:cs="Arial"/>
          <w:b/>
          <w:bCs/>
          <w:color w:val="auto"/>
          <w:kern w:val="0"/>
          <w:sz w:val="22"/>
          <w:szCs w:val="22"/>
          <w:highlight w:val="none"/>
        </w:rPr>
        <w:t>五、公告期限</w:t>
      </w:r>
    </w:p>
    <w:p w14:paraId="601A50D6">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自本公告发布之日起5个工作日。</w:t>
      </w:r>
    </w:p>
    <w:p w14:paraId="74DB3F98">
      <w:pPr>
        <w:spacing w:line="312" w:lineRule="auto"/>
        <w:ind w:firstLine="442" w:firstLineChars="200"/>
        <w:jc w:val="left"/>
        <w:rPr>
          <w:rFonts w:ascii="Arial" w:hAnsi="Arial" w:cs="Arial"/>
          <w:b/>
          <w:bCs/>
          <w:color w:val="auto"/>
          <w:kern w:val="0"/>
          <w:sz w:val="22"/>
          <w:szCs w:val="22"/>
          <w:highlight w:val="none"/>
        </w:rPr>
      </w:pPr>
      <w:r>
        <w:rPr>
          <w:rFonts w:ascii="Arial" w:hAnsi="Arial" w:cs="Arial"/>
          <w:b/>
          <w:bCs/>
          <w:color w:val="auto"/>
          <w:kern w:val="0"/>
          <w:sz w:val="22"/>
          <w:szCs w:val="22"/>
          <w:highlight w:val="none"/>
        </w:rPr>
        <w:t>六、其他补充事宜</w:t>
      </w:r>
    </w:p>
    <w:p w14:paraId="57D118D3">
      <w:pPr>
        <w:snapToGrid w:val="0"/>
        <w:spacing w:line="300" w:lineRule="auto"/>
        <w:ind w:firstLine="420" w:firstLineChars="200"/>
        <w:jc w:val="left"/>
        <w:rPr>
          <w:rFonts w:ascii="Arial" w:hAnsi="Arial" w:cs="Arial"/>
          <w:color w:val="auto"/>
          <w:szCs w:val="21"/>
          <w:highlight w:val="none"/>
        </w:rPr>
      </w:pPr>
      <w:r>
        <w:rPr>
          <w:rFonts w:ascii="Arial" w:hAnsi="Arial" w:cs="Arial"/>
          <w:color w:val="auto"/>
          <w:szCs w:val="21"/>
          <w:highlight w:val="none"/>
        </w:rPr>
        <w:t xml:space="preserve">1.公告发布媒体：广西政府采购网、中国政府采购网 </w:t>
      </w:r>
    </w:p>
    <w:p w14:paraId="3A23331D">
      <w:pPr>
        <w:snapToGrid w:val="0"/>
        <w:spacing w:line="300" w:lineRule="auto"/>
        <w:ind w:firstLine="420" w:firstLineChars="200"/>
        <w:jc w:val="left"/>
        <w:rPr>
          <w:rFonts w:ascii="Arial" w:hAnsi="Arial" w:cs="Arial"/>
          <w:color w:val="auto"/>
          <w:szCs w:val="21"/>
          <w:highlight w:val="none"/>
        </w:rPr>
      </w:pPr>
      <w:r>
        <w:rPr>
          <w:rFonts w:ascii="Arial" w:hAnsi="Arial" w:cs="Arial"/>
          <w:color w:val="auto"/>
          <w:szCs w:val="21"/>
          <w:highlight w:val="none"/>
        </w:rPr>
        <w:t>2.需落实的政府采购政策：本项目适用政府采购促进中小企业、监狱企业发展、促进残疾人就业、</w:t>
      </w:r>
      <w:r>
        <w:rPr>
          <w:rFonts w:ascii="Arial" w:hAnsi="Arial" w:cs="Arial"/>
          <w:color w:val="auto"/>
          <w:highlight w:val="none"/>
        </w:rPr>
        <w:t>节能环保</w:t>
      </w:r>
      <w:r>
        <w:rPr>
          <w:rFonts w:hint="eastAsia" w:ascii="Arial" w:hAnsi="Arial" w:cs="Arial"/>
          <w:color w:val="auto"/>
          <w:highlight w:val="none"/>
        </w:rPr>
        <w:t>、对本国产品的支持</w:t>
      </w:r>
      <w:r>
        <w:rPr>
          <w:rFonts w:ascii="Arial" w:hAnsi="Arial" w:cs="Arial"/>
          <w:color w:val="auto"/>
          <w:szCs w:val="21"/>
          <w:highlight w:val="none"/>
        </w:rPr>
        <w:t>等有关政策，具体详见招标文件。</w:t>
      </w:r>
    </w:p>
    <w:p w14:paraId="34DE7D77">
      <w:pPr>
        <w:snapToGrid w:val="0"/>
        <w:spacing w:line="300" w:lineRule="auto"/>
        <w:ind w:firstLine="420" w:firstLineChars="200"/>
        <w:jc w:val="left"/>
        <w:rPr>
          <w:rFonts w:ascii="Arial" w:hAnsi="Arial" w:cs="Arial"/>
          <w:color w:val="auto"/>
          <w:szCs w:val="21"/>
          <w:highlight w:val="none"/>
        </w:rPr>
      </w:pPr>
      <w:bookmarkStart w:id="14" w:name="_Hlk88997182"/>
      <w:r>
        <w:rPr>
          <w:rFonts w:ascii="Arial" w:hAnsi="Arial" w:cs="Arial"/>
          <w:color w:val="auto"/>
          <w:szCs w:val="21"/>
          <w:highlight w:val="none"/>
        </w:rPr>
        <w:t>3.投标文件解密时间：截标时间后30分钟内（</w:t>
      </w:r>
      <w:r>
        <w:rPr>
          <w:rFonts w:hint="eastAsia" w:ascii="Arial" w:hAnsi="Arial" w:cs="Arial"/>
          <w:color w:val="auto"/>
          <w:szCs w:val="21"/>
          <w:highlight w:val="none"/>
        </w:rPr>
        <w:t>2026年</w:t>
      </w:r>
      <w:r>
        <w:rPr>
          <w:rFonts w:hint="eastAsia" w:ascii="Arial" w:hAnsi="Arial" w:cs="Arial"/>
          <w:color w:val="auto"/>
          <w:szCs w:val="21"/>
          <w:highlight w:val="none"/>
          <w:lang w:val="en-US" w:eastAsia="zh-CN"/>
        </w:rPr>
        <w:t>7</w:t>
      </w:r>
      <w:r>
        <w:rPr>
          <w:rFonts w:hint="eastAsia" w:ascii="Arial" w:hAnsi="Arial" w:cs="Arial"/>
          <w:color w:val="auto"/>
          <w:szCs w:val="21"/>
          <w:highlight w:val="none"/>
        </w:rPr>
        <w:t>月</w:t>
      </w:r>
      <w:r>
        <w:rPr>
          <w:rFonts w:hint="eastAsia" w:ascii="Arial" w:hAnsi="Arial" w:cs="Arial"/>
          <w:color w:val="auto"/>
          <w:szCs w:val="21"/>
          <w:highlight w:val="none"/>
          <w:lang w:val="en-US" w:eastAsia="zh-CN"/>
        </w:rPr>
        <w:t>21</w:t>
      </w:r>
      <w:r>
        <w:rPr>
          <w:rFonts w:hint="eastAsia" w:ascii="Arial" w:hAnsi="Arial" w:cs="Arial"/>
          <w:color w:val="auto"/>
          <w:szCs w:val="21"/>
          <w:highlight w:val="none"/>
        </w:rPr>
        <w:t>日</w:t>
      </w:r>
      <w:r>
        <w:rPr>
          <w:rFonts w:ascii="Arial" w:hAnsi="Arial" w:cs="Arial"/>
          <w:color w:val="auto"/>
          <w:szCs w:val="21"/>
          <w:highlight w:val="none"/>
        </w:rPr>
        <w:t>上午9时30分至10时00分）供应商可以登录政采云平台，用“项目采购-开标评标”功能进行解密投标文件。</w:t>
      </w:r>
      <w:r>
        <w:rPr>
          <w:rFonts w:hint="eastAsia" w:ascii="Arial" w:hAnsi="Arial" w:cs="Arial"/>
          <w:color w:val="auto"/>
          <w:szCs w:val="21"/>
          <w:highlight w:val="none"/>
        </w:rPr>
        <w:t>若供应商在规定时间内无法解密或解密失败，可以以电子备份投标文件作为依据【在接到无法解密或解密失败的通知后，供应商可根据自身实际情况按通知时要求的时间提交电子备份投标文件】，若供应商在规定时间内无法解密或解密失败且未提供电子备份投标文件的（包含提供的电子备份文件无效或无法解密的情况），视为投标无效。</w:t>
      </w:r>
    </w:p>
    <w:bookmarkEnd w:id="14"/>
    <w:p w14:paraId="20A35DBF">
      <w:pPr>
        <w:snapToGrid w:val="0"/>
        <w:spacing w:line="300" w:lineRule="auto"/>
        <w:ind w:firstLine="420" w:firstLineChars="200"/>
        <w:rPr>
          <w:rFonts w:ascii="Arial" w:hAnsi="Arial" w:cs="Arial"/>
          <w:color w:val="auto"/>
          <w:szCs w:val="21"/>
          <w:highlight w:val="none"/>
        </w:rPr>
      </w:pPr>
      <w:r>
        <w:rPr>
          <w:rFonts w:ascii="Arial" w:hAnsi="Arial" w:cs="Arial"/>
          <w:color w:val="auto"/>
          <w:szCs w:val="21"/>
          <w:highlight w:val="none"/>
        </w:rPr>
        <w:t>4.“政采云”平台电子投标相关事宜：</w:t>
      </w:r>
    </w:p>
    <w:p w14:paraId="444784E2">
      <w:pPr>
        <w:snapToGrid w:val="0"/>
        <w:spacing w:line="300" w:lineRule="auto"/>
        <w:ind w:firstLine="420" w:firstLineChars="200"/>
        <w:rPr>
          <w:rFonts w:ascii="Arial" w:hAnsi="Arial" w:cs="Arial"/>
          <w:color w:val="auto"/>
          <w:szCs w:val="21"/>
          <w:highlight w:val="none"/>
        </w:rPr>
      </w:pPr>
      <w:r>
        <w:rPr>
          <w:rFonts w:ascii="Arial" w:hAnsi="Arial" w:cs="Arial"/>
          <w:color w:val="auto"/>
          <w:kern w:val="0"/>
          <w:szCs w:val="21"/>
          <w:highlight w:val="none"/>
        </w:rPr>
        <w:t>（1）</w:t>
      </w:r>
      <w:r>
        <w:rPr>
          <w:rFonts w:ascii="Arial" w:hAnsi="Arial" w:cs="Arial"/>
          <w:color w:val="auto"/>
          <w:szCs w:val="21"/>
          <w:highlight w:val="none"/>
        </w:rPr>
        <w:t>未进行网上注册并办理数字证书（CA认证）的供应商将无法参与本项目政府采购活动，潜在供应商应当在响应截止时间前，完成广西政府采购云平台上的CA数字证书办理及投标文件的提交。完成CA数字证书办理预计7日左右，建议各供应商抓紧时间办理。</w:t>
      </w:r>
    </w:p>
    <w:p w14:paraId="2BF569F6">
      <w:pPr>
        <w:snapToGrid w:val="0"/>
        <w:spacing w:line="300" w:lineRule="auto"/>
        <w:ind w:firstLine="420" w:firstLineChars="200"/>
        <w:rPr>
          <w:rFonts w:ascii="Arial" w:hAnsi="Arial" w:cs="Arial"/>
          <w:color w:val="auto"/>
          <w:kern w:val="0"/>
          <w:szCs w:val="21"/>
          <w:highlight w:val="none"/>
        </w:rPr>
      </w:pPr>
      <w:r>
        <w:rPr>
          <w:rFonts w:ascii="Arial" w:hAnsi="Arial" w:cs="Arial"/>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39BD6A87">
      <w:pPr>
        <w:snapToGrid w:val="0"/>
        <w:spacing w:line="30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若对项目采购电子交易系统操作有疑问，可登录“政采云”平台（https://www.gcy.zfcg.gxzf.gov.cn/），点击右侧咨询小采获取采小蜜智能服务管家帮助或点击右侧帮助文档查看供应商指南或拨打政采云服务热线95763获取热线服务帮助。</w:t>
      </w:r>
    </w:p>
    <w:p w14:paraId="4BE3B42F">
      <w:pPr>
        <w:spacing w:line="312" w:lineRule="auto"/>
        <w:ind w:firstLine="442" w:firstLineChars="200"/>
        <w:jc w:val="left"/>
        <w:rPr>
          <w:rFonts w:ascii="Arial" w:hAnsi="Arial" w:cs="Arial"/>
          <w:b/>
          <w:bCs/>
          <w:color w:val="auto"/>
          <w:kern w:val="0"/>
          <w:sz w:val="22"/>
          <w:szCs w:val="22"/>
          <w:highlight w:val="none"/>
        </w:rPr>
      </w:pPr>
      <w:r>
        <w:rPr>
          <w:rFonts w:hint="eastAsia" w:ascii="Arial" w:hAnsi="Arial" w:cs="Arial"/>
          <w:b/>
          <w:bCs/>
          <w:color w:val="auto"/>
          <w:kern w:val="0"/>
          <w:sz w:val="22"/>
          <w:szCs w:val="22"/>
          <w:highlight w:val="none"/>
        </w:rPr>
        <w:t>5.本项目采用远程异地评审。</w:t>
      </w:r>
    </w:p>
    <w:p w14:paraId="1A20DDA1">
      <w:pPr>
        <w:spacing w:line="312" w:lineRule="auto"/>
        <w:ind w:firstLine="442" w:firstLineChars="200"/>
        <w:jc w:val="left"/>
        <w:rPr>
          <w:rFonts w:ascii="Arial" w:hAnsi="Arial" w:cs="Arial"/>
          <w:b/>
          <w:bCs/>
          <w:color w:val="auto"/>
          <w:kern w:val="0"/>
          <w:sz w:val="22"/>
          <w:szCs w:val="22"/>
          <w:highlight w:val="none"/>
        </w:rPr>
      </w:pPr>
      <w:r>
        <w:rPr>
          <w:rFonts w:ascii="Arial" w:hAnsi="Arial" w:cs="Arial"/>
          <w:b/>
          <w:bCs/>
          <w:color w:val="auto"/>
          <w:kern w:val="0"/>
          <w:sz w:val="22"/>
          <w:szCs w:val="22"/>
          <w:highlight w:val="none"/>
        </w:rPr>
        <w:t>七、对本次招标提出询问，请按以下方式联系</w:t>
      </w:r>
    </w:p>
    <w:p w14:paraId="259806DB">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1.采购人信息</w:t>
      </w:r>
    </w:p>
    <w:p w14:paraId="2E2744E9">
      <w:pPr>
        <w:spacing w:line="312" w:lineRule="auto"/>
        <w:ind w:firstLine="420" w:firstLineChars="200"/>
        <w:jc w:val="left"/>
        <w:rPr>
          <w:rFonts w:ascii="Arial" w:hAnsi="Arial" w:cs="Arial"/>
          <w:color w:val="auto"/>
          <w:kern w:val="0"/>
          <w:szCs w:val="21"/>
          <w:highlight w:val="none"/>
          <w:u w:val="single"/>
        </w:rPr>
      </w:pPr>
      <w:r>
        <w:rPr>
          <w:rFonts w:ascii="Arial" w:hAnsi="Arial" w:cs="Arial"/>
          <w:color w:val="auto"/>
          <w:kern w:val="0"/>
          <w:szCs w:val="21"/>
          <w:highlight w:val="none"/>
        </w:rPr>
        <w:t>名称：</w:t>
      </w:r>
      <w:r>
        <w:rPr>
          <w:rFonts w:hint="eastAsia" w:ascii="Arial" w:hAnsi="Arial" w:cs="Arial"/>
          <w:color w:val="auto"/>
          <w:kern w:val="0"/>
          <w:szCs w:val="21"/>
          <w:highlight w:val="none"/>
          <w:u w:val="single"/>
        </w:rPr>
        <w:t>桂林医科大学第一附属医院</w:t>
      </w:r>
    </w:p>
    <w:p w14:paraId="0294F41B">
      <w:pPr>
        <w:widowControl/>
        <w:spacing w:line="288" w:lineRule="auto"/>
        <w:ind w:left="420" w:leftChars="200"/>
        <w:jc w:val="left"/>
        <w:rPr>
          <w:rFonts w:ascii="Arial" w:hAnsi="Arial" w:cs="Arial"/>
          <w:color w:val="auto"/>
          <w:kern w:val="0"/>
          <w:szCs w:val="21"/>
          <w:highlight w:val="none"/>
        </w:rPr>
      </w:pPr>
      <w:r>
        <w:rPr>
          <w:rFonts w:ascii="Arial" w:hAnsi="Arial" w:cs="Arial"/>
          <w:color w:val="auto"/>
          <w:kern w:val="0"/>
          <w:szCs w:val="21"/>
          <w:highlight w:val="none"/>
        </w:rPr>
        <w:t>地址：</w:t>
      </w:r>
      <w:r>
        <w:rPr>
          <w:rFonts w:ascii="Arial" w:hAnsi="Arial" w:cs="Arial"/>
          <w:color w:val="auto"/>
          <w:kern w:val="0"/>
          <w:szCs w:val="21"/>
          <w:highlight w:val="none"/>
          <w:u w:val="single"/>
        </w:rPr>
        <w:t>桂林市秀峰区乐群路15号</w:t>
      </w:r>
    </w:p>
    <w:p w14:paraId="1DBE798C">
      <w:pPr>
        <w:widowControl/>
        <w:spacing w:line="288" w:lineRule="auto"/>
        <w:ind w:left="420" w:leftChars="200"/>
        <w:jc w:val="left"/>
        <w:rPr>
          <w:rFonts w:ascii="Arial" w:hAnsi="Arial" w:cs="Arial"/>
          <w:color w:val="auto"/>
          <w:kern w:val="0"/>
          <w:szCs w:val="21"/>
          <w:highlight w:val="none"/>
        </w:rPr>
      </w:pPr>
      <w:r>
        <w:rPr>
          <w:rFonts w:ascii="Arial" w:hAnsi="Arial" w:cs="Arial"/>
          <w:color w:val="auto"/>
          <w:kern w:val="0"/>
          <w:szCs w:val="21"/>
          <w:highlight w:val="none"/>
        </w:rPr>
        <w:t>项目联系人：</w:t>
      </w:r>
      <w:r>
        <w:rPr>
          <w:rFonts w:hint="eastAsia" w:ascii="Arial" w:hAnsi="Arial" w:cs="Arial"/>
          <w:color w:val="auto"/>
          <w:kern w:val="0"/>
          <w:szCs w:val="21"/>
          <w:highlight w:val="none"/>
          <w:u w:val="single"/>
        </w:rPr>
        <w:t>唐老师</w:t>
      </w:r>
    </w:p>
    <w:p w14:paraId="02DD7288">
      <w:pPr>
        <w:widowControl/>
        <w:spacing w:line="288" w:lineRule="auto"/>
        <w:ind w:left="420" w:leftChars="200"/>
        <w:jc w:val="left"/>
        <w:rPr>
          <w:rFonts w:ascii="Arial" w:hAnsi="Arial" w:cs="Arial"/>
          <w:color w:val="auto"/>
          <w:kern w:val="0"/>
          <w:szCs w:val="21"/>
          <w:highlight w:val="none"/>
          <w:u w:val="single"/>
        </w:rPr>
      </w:pPr>
      <w:r>
        <w:rPr>
          <w:rFonts w:ascii="Arial" w:hAnsi="Arial" w:cs="Arial"/>
          <w:color w:val="auto"/>
          <w:kern w:val="0"/>
          <w:szCs w:val="21"/>
          <w:highlight w:val="none"/>
        </w:rPr>
        <w:t>项目联系方式：</w:t>
      </w:r>
      <w:r>
        <w:rPr>
          <w:rFonts w:ascii="Arial" w:hAnsi="Arial" w:cs="Arial"/>
          <w:color w:val="auto"/>
          <w:kern w:val="0"/>
          <w:szCs w:val="21"/>
          <w:highlight w:val="none"/>
          <w:u w:val="single"/>
        </w:rPr>
        <w:t>0773-2802050</w:t>
      </w:r>
    </w:p>
    <w:p w14:paraId="4BF48AE6">
      <w:pPr>
        <w:widowControl/>
        <w:spacing w:line="288" w:lineRule="auto"/>
        <w:ind w:left="420" w:leftChars="200"/>
        <w:jc w:val="left"/>
        <w:rPr>
          <w:rFonts w:ascii="Arial" w:hAnsi="Arial" w:cs="Arial"/>
          <w:color w:val="auto"/>
          <w:kern w:val="0"/>
          <w:szCs w:val="21"/>
          <w:highlight w:val="none"/>
        </w:rPr>
      </w:pPr>
      <w:r>
        <w:rPr>
          <w:rFonts w:ascii="Arial" w:hAnsi="Arial" w:cs="Arial"/>
          <w:color w:val="auto"/>
          <w:kern w:val="0"/>
          <w:szCs w:val="21"/>
          <w:highlight w:val="none"/>
        </w:rPr>
        <w:t>邮箱：gyzbcg@163.com</w:t>
      </w:r>
    </w:p>
    <w:p w14:paraId="594C3C07">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2、采购代理机构信息</w:t>
      </w:r>
    </w:p>
    <w:p w14:paraId="5401CCEB">
      <w:pPr>
        <w:spacing w:line="312" w:lineRule="auto"/>
        <w:ind w:firstLine="420" w:firstLineChars="200"/>
        <w:jc w:val="left"/>
        <w:rPr>
          <w:rFonts w:ascii="Arial" w:hAnsi="Arial" w:cs="Arial"/>
          <w:color w:val="auto"/>
          <w:kern w:val="0"/>
          <w:szCs w:val="21"/>
          <w:highlight w:val="none"/>
          <w:u w:val="single"/>
        </w:rPr>
      </w:pPr>
      <w:r>
        <w:rPr>
          <w:rFonts w:ascii="Arial" w:hAnsi="Arial" w:cs="Arial"/>
          <w:color w:val="auto"/>
          <w:kern w:val="0"/>
          <w:szCs w:val="21"/>
          <w:highlight w:val="none"/>
        </w:rPr>
        <w:t>名称：</w:t>
      </w:r>
      <w:r>
        <w:rPr>
          <w:rFonts w:ascii="Arial" w:hAnsi="Arial" w:cs="Arial"/>
          <w:color w:val="auto"/>
          <w:kern w:val="0"/>
          <w:szCs w:val="21"/>
          <w:highlight w:val="none"/>
          <w:u w:val="single"/>
        </w:rPr>
        <w:t>广西机电设备招标有限公司</w:t>
      </w:r>
    </w:p>
    <w:p w14:paraId="75CAF0C4">
      <w:pPr>
        <w:spacing w:line="312" w:lineRule="auto"/>
        <w:ind w:firstLine="420" w:firstLineChars="200"/>
        <w:jc w:val="left"/>
        <w:rPr>
          <w:rFonts w:ascii="Arial" w:hAnsi="Arial" w:cs="Arial"/>
          <w:color w:val="auto"/>
          <w:kern w:val="0"/>
          <w:szCs w:val="21"/>
          <w:highlight w:val="none"/>
          <w:u w:val="single"/>
        </w:rPr>
      </w:pPr>
      <w:r>
        <w:rPr>
          <w:rFonts w:ascii="Arial" w:hAnsi="Arial" w:cs="Arial"/>
          <w:color w:val="auto"/>
          <w:kern w:val="0"/>
          <w:szCs w:val="21"/>
          <w:highlight w:val="none"/>
        </w:rPr>
        <w:t>地址：</w:t>
      </w:r>
      <w:r>
        <w:rPr>
          <w:rFonts w:ascii="Arial" w:hAnsi="Arial" w:cs="Arial"/>
          <w:color w:val="auto"/>
          <w:kern w:val="0"/>
          <w:szCs w:val="21"/>
          <w:highlight w:val="none"/>
          <w:u w:val="single"/>
        </w:rPr>
        <w:t>桂林市骖鸾路31号湘商大厦6楼603（桂林分公司）</w:t>
      </w:r>
    </w:p>
    <w:p w14:paraId="4AD2E3AD">
      <w:pPr>
        <w:spacing w:line="312" w:lineRule="auto"/>
        <w:ind w:firstLine="420" w:firstLineChars="200"/>
        <w:jc w:val="left"/>
        <w:rPr>
          <w:rFonts w:ascii="Arial" w:hAnsi="Arial" w:cs="Arial"/>
          <w:color w:val="auto"/>
          <w:kern w:val="0"/>
          <w:szCs w:val="21"/>
          <w:highlight w:val="none"/>
          <w:u w:val="single"/>
        </w:rPr>
      </w:pPr>
      <w:r>
        <w:rPr>
          <w:rFonts w:ascii="Arial" w:hAnsi="Arial" w:cs="Arial"/>
          <w:color w:val="auto"/>
          <w:kern w:val="0"/>
          <w:szCs w:val="21"/>
          <w:highlight w:val="none"/>
        </w:rPr>
        <w:t>项目联系人：</w:t>
      </w:r>
      <w:r>
        <w:rPr>
          <w:rFonts w:ascii="Arial" w:hAnsi="Arial" w:cs="Arial"/>
          <w:color w:val="auto"/>
          <w:kern w:val="0"/>
          <w:szCs w:val="21"/>
          <w:highlight w:val="none"/>
          <w:u w:val="single"/>
        </w:rPr>
        <w:t>曾昭卉</w:t>
      </w:r>
      <w:r>
        <w:rPr>
          <w:rFonts w:hint="eastAsia" w:ascii="Arial" w:hAnsi="Arial" w:cs="Arial"/>
          <w:color w:val="auto"/>
          <w:kern w:val="0"/>
          <w:szCs w:val="21"/>
          <w:highlight w:val="none"/>
          <w:u w:val="single"/>
        </w:rPr>
        <w:t>、栗晓奇</w:t>
      </w:r>
    </w:p>
    <w:p w14:paraId="69FFC5A8">
      <w:pPr>
        <w:spacing w:line="312" w:lineRule="auto"/>
        <w:ind w:firstLine="420" w:firstLineChars="200"/>
        <w:jc w:val="left"/>
        <w:rPr>
          <w:rFonts w:ascii="Arial" w:hAnsi="Arial" w:cs="Arial"/>
          <w:b/>
          <w:bCs/>
          <w:color w:val="auto"/>
          <w:kern w:val="0"/>
          <w:szCs w:val="21"/>
          <w:highlight w:val="none"/>
        </w:rPr>
      </w:pPr>
      <w:r>
        <w:rPr>
          <w:rFonts w:ascii="Arial" w:hAnsi="Arial" w:cs="Arial"/>
          <w:color w:val="auto"/>
          <w:kern w:val="0"/>
          <w:szCs w:val="21"/>
          <w:highlight w:val="none"/>
        </w:rPr>
        <w:t>联系方式：</w:t>
      </w:r>
      <w:r>
        <w:rPr>
          <w:rFonts w:ascii="Arial" w:hAnsi="Arial" w:cs="Arial"/>
          <w:color w:val="auto"/>
          <w:kern w:val="0"/>
          <w:szCs w:val="21"/>
          <w:highlight w:val="none"/>
          <w:u w:val="single"/>
        </w:rPr>
        <w:t xml:space="preserve"> 0773-3696789转2 </w:t>
      </w:r>
    </w:p>
    <w:p w14:paraId="53436D24">
      <w:pPr>
        <w:spacing w:line="312" w:lineRule="auto"/>
        <w:ind w:firstLine="422" w:firstLineChars="200"/>
        <w:jc w:val="left"/>
        <w:rPr>
          <w:rFonts w:ascii="Arial" w:hAnsi="Arial" w:cs="Arial"/>
          <w:b/>
          <w:bCs/>
          <w:color w:val="auto"/>
          <w:kern w:val="0"/>
          <w:szCs w:val="21"/>
          <w:highlight w:val="none"/>
        </w:rPr>
      </w:pPr>
    </w:p>
    <w:p w14:paraId="07DBBFB7">
      <w:pPr>
        <w:spacing w:line="312" w:lineRule="auto"/>
        <w:ind w:firstLine="420" w:firstLineChars="200"/>
        <w:jc w:val="right"/>
        <w:rPr>
          <w:rFonts w:ascii="Arial" w:hAnsi="Arial" w:cs="Arial"/>
          <w:color w:val="auto"/>
          <w:kern w:val="0"/>
          <w:szCs w:val="21"/>
          <w:highlight w:val="none"/>
        </w:rPr>
      </w:pPr>
      <w:r>
        <w:rPr>
          <w:rFonts w:ascii="Arial" w:hAnsi="Arial" w:cs="Arial"/>
          <w:color w:val="auto"/>
          <w:kern w:val="0"/>
          <w:szCs w:val="21"/>
          <w:highlight w:val="none"/>
        </w:rPr>
        <w:t>广西机电设备招标有限公司</w:t>
      </w:r>
    </w:p>
    <w:p w14:paraId="53D2C8B7">
      <w:pPr>
        <w:spacing w:line="312" w:lineRule="auto"/>
        <w:ind w:firstLine="420" w:firstLineChars="200"/>
        <w:jc w:val="right"/>
        <w:rPr>
          <w:rFonts w:ascii="Arial" w:hAnsi="Arial" w:cs="Arial"/>
          <w:color w:val="auto"/>
          <w:kern w:val="0"/>
          <w:sz w:val="18"/>
          <w:szCs w:val="18"/>
          <w:highlight w:val="none"/>
        </w:rPr>
      </w:pPr>
      <w:r>
        <w:rPr>
          <w:rFonts w:ascii="Arial" w:hAnsi="Arial" w:cs="Arial"/>
          <w:color w:val="auto"/>
          <w:kern w:val="0"/>
          <w:szCs w:val="21"/>
          <w:highlight w:val="none"/>
        </w:rPr>
        <w:t>202</w:t>
      </w:r>
      <w:r>
        <w:rPr>
          <w:rFonts w:hint="eastAsia" w:ascii="Arial" w:hAnsi="Arial" w:cs="Arial"/>
          <w:color w:val="auto"/>
          <w:kern w:val="0"/>
          <w:szCs w:val="21"/>
          <w:highlight w:val="none"/>
        </w:rPr>
        <w:t>6</w:t>
      </w:r>
      <w:r>
        <w:rPr>
          <w:rFonts w:ascii="Arial" w:hAnsi="Arial" w:cs="Arial"/>
          <w:color w:val="auto"/>
          <w:kern w:val="0"/>
          <w:szCs w:val="21"/>
          <w:highlight w:val="none"/>
        </w:rPr>
        <w:t>年</w:t>
      </w:r>
      <w:r>
        <w:rPr>
          <w:rFonts w:hint="eastAsia" w:ascii="Arial" w:hAnsi="Arial" w:cs="Arial"/>
          <w:color w:val="auto"/>
          <w:kern w:val="0"/>
          <w:szCs w:val="21"/>
          <w:highlight w:val="none"/>
          <w:lang w:val="en-US" w:eastAsia="zh-CN"/>
        </w:rPr>
        <w:t>6</w:t>
      </w:r>
      <w:r>
        <w:rPr>
          <w:rFonts w:ascii="Arial" w:hAnsi="Arial" w:cs="Arial"/>
          <w:color w:val="auto"/>
          <w:kern w:val="0"/>
          <w:szCs w:val="21"/>
          <w:highlight w:val="none"/>
        </w:rPr>
        <w:t>月</w:t>
      </w:r>
      <w:r>
        <w:rPr>
          <w:rFonts w:hint="eastAsia" w:ascii="Arial" w:hAnsi="Arial" w:cs="Arial"/>
          <w:color w:val="auto"/>
          <w:kern w:val="0"/>
          <w:szCs w:val="21"/>
          <w:highlight w:val="none"/>
          <w:lang w:val="en-US" w:eastAsia="zh-CN"/>
        </w:rPr>
        <w:t>29</w:t>
      </w:r>
      <w:r>
        <w:rPr>
          <w:rFonts w:ascii="Arial" w:hAnsi="Arial" w:cs="Arial"/>
          <w:color w:val="auto"/>
          <w:kern w:val="0"/>
          <w:szCs w:val="21"/>
          <w:highlight w:val="none"/>
        </w:rPr>
        <w:t>日</w:t>
      </w:r>
    </w:p>
    <w:p w14:paraId="2F3C4182">
      <w:pPr>
        <w:pStyle w:val="27"/>
        <w:snapToGrid w:val="0"/>
        <w:spacing w:before="120" w:after="120" w:line="320" w:lineRule="exact"/>
        <w:outlineLvl w:val="0"/>
        <w:rPr>
          <w:rFonts w:ascii="Arial" w:hAnsi="Arial" w:cs="Arial"/>
          <w:color w:val="auto"/>
          <w:highlight w:val="none"/>
        </w:rPr>
        <w:sectPr>
          <w:headerReference r:id="rId11" w:type="first"/>
          <w:footerReference r:id="rId13" w:type="first"/>
          <w:headerReference r:id="rId10" w:type="default"/>
          <w:footerReference r:id="rId12" w:type="default"/>
          <w:pgSz w:w="11906" w:h="16838"/>
          <w:pgMar w:top="1135" w:right="1133" w:bottom="1246" w:left="1418" w:header="851" w:footer="903" w:gutter="0"/>
          <w:pgNumType w:start="1"/>
          <w:cols w:space="720" w:num="1"/>
          <w:docGrid w:linePitch="312" w:charSpace="0"/>
        </w:sectPr>
      </w:pPr>
    </w:p>
    <w:p w14:paraId="14326001">
      <w:pPr>
        <w:rPr>
          <w:rFonts w:ascii="Arial" w:hAnsi="Arial" w:cs="Arial"/>
          <w:color w:val="auto"/>
          <w:highlight w:val="none"/>
        </w:rPr>
      </w:pPr>
      <w:r>
        <w:rPr>
          <w:rFonts w:ascii="Arial" w:hAnsi="Arial" w:cs="Arial"/>
          <w:color w:val="auto"/>
          <w:highlight w:val="none"/>
        </w:rPr>
        <w:br w:type="page"/>
      </w:r>
    </w:p>
    <w:p w14:paraId="0FC1DCFA">
      <w:pPr>
        <w:pStyle w:val="2"/>
        <w:snapToGrid w:val="0"/>
        <w:spacing w:before="0" w:after="0" w:line="240" w:lineRule="auto"/>
        <w:jc w:val="center"/>
        <w:rPr>
          <w:rFonts w:ascii="Arial" w:hAnsi="Arial" w:cs="Arial"/>
          <w:color w:val="auto"/>
          <w:highlight w:val="none"/>
        </w:rPr>
      </w:pPr>
      <w:bookmarkStart w:id="15" w:name="_Toc21114"/>
      <w:r>
        <w:rPr>
          <w:rFonts w:ascii="Arial" w:hAnsi="Arial" w:cs="Arial"/>
          <w:color w:val="auto"/>
          <w:highlight w:val="none"/>
        </w:rPr>
        <w:t>第二章  采购需求</w:t>
      </w:r>
      <w:bookmarkEnd w:id="15"/>
    </w:p>
    <w:p w14:paraId="4B6CDEED">
      <w:pPr>
        <w:spacing w:line="360" w:lineRule="auto"/>
        <w:rPr>
          <w:rFonts w:ascii="Arial" w:hAnsi="Arial" w:cs="Arial"/>
          <w:b/>
          <w:bCs/>
          <w:color w:val="auto"/>
          <w:szCs w:val="21"/>
          <w:highlight w:val="none"/>
        </w:rPr>
      </w:pPr>
      <w:r>
        <w:rPr>
          <w:rFonts w:ascii="Arial" w:hAnsi="Arial" w:cs="Arial"/>
          <w:b/>
          <w:bCs/>
          <w:color w:val="auto"/>
          <w:szCs w:val="21"/>
          <w:highlight w:val="none"/>
        </w:rPr>
        <w:t>说明：标注“▲”的条款或要求系指实质性条款或实质性要求，必须满足，如存在负偏离将导致投标被否决。</w:t>
      </w:r>
    </w:p>
    <w:p w14:paraId="519DA163">
      <w:pPr>
        <w:numPr>
          <w:ilvl w:val="0"/>
          <w:numId w:val="1"/>
        </w:numPr>
        <w:spacing w:line="360" w:lineRule="auto"/>
        <w:rPr>
          <w:rFonts w:ascii="Arial" w:hAnsi="Arial" w:cs="Arial"/>
          <w:b/>
          <w:bCs/>
          <w:color w:val="auto"/>
          <w:sz w:val="24"/>
          <w:highlight w:val="none"/>
        </w:rPr>
      </w:pPr>
      <w:r>
        <w:rPr>
          <w:rFonts w:hint="eastAsia" w:ascii="Arial" w:hAnsi="Arial" w:cs="Arial"/>
          <w:b/>
          <w:bCs/>
          <w:color w:val="auto"/>
          <w:sz w:val="24"/>
          <w:highlight w:val="none"/>
        </w:rPr>
        <w:t>技术要求</w:t>
      </w:r>
    </w:p>
    <w:p w14:paraId="48C79DC6">
      <w:pPr>
        <w:spacing w:line="360" w:lineRule="auto"/>
        <w:rPr>
          <w:color w:val="auto"/>
          <w:szCs w:val="21"/>
          <w:highlight w:val="none"/>
        </w:rPr>
      </w:pPr>
      <w:r>
        <w:rPr>
          <w:rFonts w:hint="eastAsia"/>
          <w:color w:val="auto"/>
          <w:szCs w:val="21"/>
          <w:highlight w:val="none"/>
        </w:rPr>
        <w:t>1.需实现的功能、目标及应用场景</w:t>
      </w:r>
    </w:p>
    <w:p w14:paraId="35421B72">
      <w:pPr>
        <w:spacing w:line="360" w:lineRule="auto"/>
        <w:rPr>
          <w:color w:val="auto"/>
          <w:szCs w:val="21"/>
          <w:highlight w:val="none"/>
        </w:rPr>
      </w:pPr>
      <w:r>
        <w:rPr>
          <w:rFonts w:hint="eastAsia"/>
          <w:color w:val="auto"/>
          <w:szCs w:val="21"/>
          <w:highlight w:val="none"/>
        </w:rPr>
        <w:t>满足招标文件要求，验收达到合格标准。</w:t>
      </w:r>
    </w:p>
    <w:p w14:paraId="4A15FB96">
      <w:pPr>
        <w:spacing w:line="360" w:lineRule="auto"/>
        <w:rPr>
          <w:color w:val="auto"/>
          <w:szCs w:val="21"/>
          <w:highlight w:val="none"/>
        </w:rPr>
      </w:pPr>
      <w:r>
        <w:rPr>
          <w:color w:val="auto"/>
          <w:szCs w:val="21"/>
          <w:highlight w:val="none"/>
        </w:rPr>
        <w:t>2</w:t>
      </w:r>
      <w:r>
        <w:rPr>
          <w:rFonts w:hint="eastAsia"/>
          <w:color w:val="auto"/>
          <w:szCs w:val="21"/>
          <w:highlight w:val="none"/>
        </w:rPr>
        <w:t>.</w:t>
      </w:r>
      <w:r>
        <w:rPr>
          <w:color w:val="auto"/>
          <w:szCs w:val="21"/>
          <w:highlight w:val="none"/>
        </w:rPr>
        <w:t>需执行的国家相关标准、行业标准、地方标准或者其他标准、规范</w:t>
      </w:r>
    </w:p>
    <w:p w14:paraId="2F9A3D6B">
      <w:pPr>
        <w:spacing w:line="360" w:lineRule="auto"/>
        <w:rPr>
          <w:i/>
          <w:color w:val="auto"/>
          <w:szCs w:val="21"/>
          <w:highlight w:val="none"/>
          <w:u w:val="single"/>
        </w:rPr>
      </w:pPr>
      <w:r>
        <w:rPr>
          <w:rFonts w:hint="eastAsia"/>
          <w:color w:val="auto"/>
          <w:szCs w:val="21"/>
          <w:highlight w:val="none"/>
        </w:rPr>
        <w:t>本项目应执行的国家相关标准、行业标准、地方标准或者其他标准、规范为：</w:t>
      </w:r>
      <w:r>
        <w:rPr>
          <w:rFonts w:hint="eastAsia"/>
          <w:i/>
          <w:color w:val="auto"/>
          <w:szCs w:val="21"/>
          <w:highlight w:val="none"/>
          <w:u w:val="single"/>
        </w:rPr>
        <w:t>详见技术指标要求.</w:t>
      </w:r>
    </w:p>
    <w:p w14:paraId="1364AE2B">
      <w:pPr>
        <w:spacing w:line="360" w:lineRule="auto"/>
        <w:rPr>
          <w:color w:val="auto"/>
          <w:szCs w:val="21"/>
          <w:highlight w:val="none"/>
          <w:u w:val="single"/>
        </w:rPr>
      </w:pPr>
      <w:bookmarkStart w:id="16" w:name="_Hlk132878373"/>
      <w:r>
        <w:rPr>
          <w:rFonts w:hint="eastAsia"/>
          <w:color w:val="auto"/>
          <w:szCs w:val="21"/>
          <w:highlight w:val="none"/>
        </w:rPr>
        <w:t>【备注：查询网址：国标</w:t>
      </w:r>
      <w:r>
        <w:rPr>
          <w:color w:val="auto"/>
          <w:highlight w:val="none"/>
        </w:rPr>
        <w:fldChar w:fldCharType="begin"/>
      </w:r>
      <w:r>
        <w:rPr>
          <w:color w:val="auto"/>
          <w:highlight w:val="none"/>
        </w:rPr>
        <w:instrText xml:space="preserve"> HYPERLINK "https://openstd.samr.gov.cn/bzgk/gb/index" </w:instrText>
      </w:r>
      <w:r>
        <w:rPr>
          <w:color w:val="auto"/>
          <w:highlight w:val="none"/>
        </w:rPr>
        <w:fldChar w:fldCharType="separate"/>
      </w:r>
      <w:r>
        <w:rPr>
          <w:rStyle w:val="58"/>
          <w:color w:val="auto"/>
          <w:szCs w:val="21"/>
          <w:highlight w:val="none"/>
        </w:rPr>
        <w:t>https://openstd.samr.gov.cn/bzgk/gb/index</w:t>
      </w:r>
      <w:r>
        <w:rPr>
          <w:rStyle w:val="58"/>
          <w:color w:val="auto"/>
          <w:szCs w:val="21"/>
          <w:highlight w:val="none"/>
        </w:rPr>
        <w:fldChar w:fldCharType="end"/>
      </w:r>
      <w:r>
        <w:rPr>
          <w:rFonts w:hint="eastAsia"/>
          <w:color w:val="auto"/>
          <w:szCs w:val="21"/>
          <w:highlight w:val="none"/>
        </w:rPr>
        <w:t>，行标</w:t>
      </w:r>
      <w:r>
        <w:rPr>
          <w:color w:val="auto"/>
          <w:highlight w:val="none"/>
        </w:rPr>
        <w:fldChar w:fldCharType="begin"/>
      </w:r>
      <w:r>
        <w:rPr>
          <w:color w:val="auto"/>
          <w:highlight w:val="none"/>
        </w:rPr>
        <w:instrText xml:space="preserve"> HYPERLINK "https://hbba.sacinfo.org.cn/" </w:instrText>
      </w:r>
      <w:r>
        <w:rPr>
          <w:color w:val="auto"/>
          <w:highlight w:val="none"/>
        </w:rPr>
        <w:fldChar w:fldCharType="separate"/>
      </w:r>
      <w:r>
        <w:rPr>
          <w:rStyle w:val="58"/>
          <w:color w:val="auto"/>
          <w:szCs w:val="21"/>
          <w:highlight w:val="none"/>
        </w:rPr>
        <w:t>https://hbba.sacinfo.org.cn/</w:t>
      </w:r>
      <w:r>
        <w:rPr>
          <w:rStyle w:val="58"/>
          <w:color w:val="auto"/>
          <w:szCs w:val="21"/>
          <w:highlight w:val="none"/>
        </w:rPr>
        <w:fldChar w:fldCharType="end"/>
      </w:r>
      <w:r>
        <w:rPr>
          <w:rStyle w:val="58"/>
          <w:rFonts w:hint="eastAsia"/>
          <w:color w:val="auto"/>
          <w:szCs w:val="21"/>
          <w:highlight w:val="none"/>
        </w:rPr>
        <w:t>】</w:t>
      </w:r>
    </w:p>
    <w:bookmarkEnd w:id="16"/>
    <w:p w14:paraId="53B4828E">
      <w:pPr>
        <w:spacing w:line="360" w:lineRule="auto"/>
        <w:rPr>
          <w:color w:val="auto"/>
          <w:szCs w:val="21"/>
          <w:highlight w:val="none"/>
        </w:rPr>
      </w:pPr>
      <w:r>
        <w:rPr>
          <w:color w:val="auto"/>
          <w:szCs w:val="21"/>
          <w:highlight w:val="none"/>
        </w:rPr>
        <w:t>3</w:t>
      </w:r>
      <w:r>
        <w:rPr>
          <w:rFonts w:hint="eastAsia"/>
          <w:color w:val="auto"/>
          <w:szCs w:val="21"/>
          <w:highlight w:val="none"/>
        </w:rPr>
        <w:t>.标的所属行业：</w:t>
      </w:r>
      <w:r>
        <w:rPr>
          <w:rFonts w:hint="eastAsia"/>
          <w:color w:val="auto"/>
          <w:highlight w:val="none"/>
        </w:rPr>
        <w:t>其他未列明行业</w:t>
      </w:r>
    </w:p>
    <w:p w14:paraId="3FAC453C">
      <w:pPr>
        <w:spacing w:line="360" w:lineRule="auto"/>
        <w:rPr>
          <w:color w:val="auto"/>
          <w:szCs w:val="21"/>
          <w:highlight w:val="none"/>
        </w:rPr>
      </w:pPr>
      <w:bookmarkStart w:id="17" w:name="_Hlk132878382"/>
      <w:r>
        <w:rPr>
          <w:rFonts w:hint="eastAsia"/>
          <w:color w:val="auto"/>
          <w:szCs w:val="21"/>
          <w:highlight w:val="none"/>
        </w:rPr>
        <w:t>【备注：所属行业根据《关于印发中小企业划型标准规定的通知》（工信部联企业[2011]300号）</w:t>
      </w:r>
    </w:p>
    <w:p w14:paraId="73870470">
      <w:pPr>
        <w:spacing w:line="360" w:lineRule="auto"/>
        <w:rPr>
          <w:color w:val="auto"/>
          <w:szCs w:val="21"/>
          <w:highlight w:val="none"/>
        </w:rPr>
      </w:pPr>
      <w:r>
        <w:rPr>
          <w:rFonts w:hint="eastAsia"/>
          <w:color w:val="auto"/>
          <w:szCs w:val="21"/>
          <w:highlight w:val="none"/>
        </w:rPr>
        <w:t>以及《金融业企业划型标准规定》（银发〔2015〕309号）认定】</w:t>
      </w:r>
    </w:p>
    <w:bookmarkEnd w:id="17"/>
    <w:p w14:paraId="200BADA3">
      <w:pPr>
        <w:spacing w:line="360" w:lineRule="auto"/>
        <w:rPr>
          <w:color w:val="auto"/>
          <w:szCs w:val="21"/>
          <w:highlight w:val="none"/>
        </w:rPr>
      </w:pPr>
      <w:r>
        <w:rPr>
          <w:color w:val="auto"/>
          <w:szCs w:val="21"/>
          <w:highlight w:val="none"/>
        </w:rPr>
        <w:t>4</w:t>
      </w:r>
      <w:r>
        <w:rPr>
          <w:rFonts w:hint="eastAsia"/>
          <w:color w:val="auto"/>
          <w:szCs w:val="21"/>
          <w:highlight w:val="none"/>
        </w:rPr>
        <w:t>.核心产品</w:t>
      </w:r>
    </w:p>
    <w:p w14:paraId="25C9C7AC">
      <w:pPr>
        <w:spacing w:line="360" w:lineRule="auto"/>
        <w:rPr>
          <w:color w:val="auto"/>
          <w:szCs w:val="21"/>
          <w:highlight w:val="none"/>
        </w:rPr>
      </w:pPr>
      <w:r>
        <w:rPr>
          <w:rFonts w:hint="eastAsia"/>
          <w:color w:val="auto"/>
          <w:szCs w:val="21"/>
          <w:highlight w:val="none"/>
        </w:rPr>
        <w:t>本项目为服务项目，不适用核心产品规定。</w:t>
      </w:r>
    </w:p>
    <w:p w14:paraId="0A2498D9">
      <w:pPr>
        <w:spacing w:line="360" w:lineRule="auto"/>
        <w:rPr>
          <w:color w:val="auto"/>
          <w:szCs w:val="21"/>
          <w:highlight w:val="none"/>
        </w:rPr>
      </w:pPr>
      <w:r>
        <w:rPr>
          <w:rFonts w:hint="eastAsia"/>
          <w:color w:val="auto"/>
          <w:szCs w:val="21"/>
          <w:highlight w:val="none"/>
        </w:rPr>
        <w:t>5.服务内容和标准</w:t>
      </w:r>
    </w:p>
    <w:tbl>
      <w:tblPr>
        <w:tblStyle w:val="53"/>
        <w:tblW w:w="10668" w:type="dxa"/>
        <w:tblInd w:w="-6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855"/>
        <w:gridCol w:w="8453"/>
        <w:gridCol w:w="757"/>
      </w:tblGrid>
      <w:tr w14:paraId="0EAF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03" w:type="dxa"/>
          </w:tcPr>
          <w:p w14:paraId="201049CC">
            <w:pPr>
              <w:pStyle w:val="20"/>
              <w:jc w:val="center"/>
              <w:rPr>
                <w:rFonts w:ascii="Arial" w:hAnsi="Arial" w:cs="Arial"/>
                <w:b/>
                <w:color w:val="auto"/>
                <w:highlight w:val="none"/>
              </w:rPr>
            </w:pPr>
            <w:r>
              <w:rPr>
                <w:rFonts w:ascii="Arial" w:hAnsi="Arial" w:cs="Arial"/>
                <w:b/>
                <w:color w:val="auto"/>
                <w:highlight w:val="none"/>
              </w:rPr>
              <w:t>序号</w:t>
            </w:r>
          </w:p>
        </w:tc>
        <w:tc>
          <w:tcPr>
            <w:tcW w:w="855" w:type="dxa"/>
          </w:tcPr>
          <w:p w14:paraId="09D5E927">
            <w:pPr>
              <w:pStyle w:val="20"/>
              <w:rPr>
                <w:rFonts w:ascii="Arial" w:hAnsi="Arial" w:cs="Arial"/>
                <w:b/>
                <w:color w:val="auto"/>
                <w:highlight w:val="none"/>
              </w:rPr>
            </w:pPr>
            <w:r>
              <w:rPr>
                <w:rFonts w:hint="eastAsia" w:ascii="Arial" w:hAnsi="Arial" w:cs="Arial"/>
                <w:b/>
                <w:color w:val="auto"/>
                <w:highlight w:val="none"/>
              </w:rPr>
              <w:t>服务</w:t>
            </w:r>
            <w:r>
              <w:rPr>
                <w:rFonts w:ascii="Arial" w:hAnsi="Arial" w:cs="Arial"/>
                <w:b/>
                <w:color w:val="auto"/>
                <w:highlight w:val="none"/>
              </w:rPr>
              <w:t>名称</w:t>
            </w:r>
          </w:p>
        </w:tc>
        <w:tc>
          <w:tcPr>
            <w:tcW w:w="8453" w:type="dxa"/>
          </w:tcPr>
          <w:p w14:paraId="11CBC51D">
            <w:pPr>
              <w:pStyle w:val="20"/>
              <w:jc w:val="center"/>
              <w:rPr>
                <w:rFonts w:ascii="Arial" w:hAnsi="Arial" w:cs="Arial"/>
                <w:b/>
                <w:color w:val="auto"/>
                <w:highlight w:val="none"/>
              </w:rPr>
            </w:pPr>
            <w:r>
              <w:rPr>
                <w:rFonts w:ascii="Arial" w:hAnsi="Arial" w:cs="Arial"/>
                <w:b/>
                <w:color w:val="auto"/>
                <w:highlight w:val="none"/>
              </w:rPr>
              <w:t>技术标准</w:t>
            </w:r>
          </w:p>
        </w:tc>
        <w:tc>
          <w:tcPr>
            <w:tcW w:w="757" w:type="dxa"/>
            <w:vAlign w:val="center"/>
          </w:tcPr>
          <w:p w14:paraId="29AE41C6">
            <w:pPr>
              <w:pStyle w:val="20"/>
              <w:jc w:val="center"/>
              <w:rPr>
                <w:rFonts w:ascii="Arial" w:hAnsi="Arial" w:cs="Arial"/>
                <w:b/>
                <w:color w:val="auto"/>
                <w:highlight w:val="none"/>
              </w:rPr>
            </w:pPr>
            <w:r>
              <w:rPr>
                <w:rFonts w:ascii="Arial" w:hAnsi="Arial" w:cs="Arial"/>
                <w:b/>
                <w:color w:val="auto"/>
                <w:highlight w:val="none"/>
              </w:rPr>
              <w:t>数量</w:t>
            </w:r>
          </w:p>
          <w:p w14:paraId="4474DDF7">
            <w:pPr>
              <w:pStyle w:val="20"/>
              <w:jc w:val="center"/>
              <w:rPr>
                <w:rFonts w:ascii="Arial" w:hAnsi="Arial" w:cs="Arial"/>
                <w:b/>
                <w:color w:val="auto"/>
                <w:highlight w:val="none"/>
              </w:rPr>
            </w:pPr>
            <w:r>
              <w:rPr>
                <w:rFonts w:ascii="Arial" w:hAnsi="Arial" w:cs="Arial"/>
                <w:b/>
                <w:color w:val="auto"/>
                <w:highlight w:val="none"/>
              </w:rPr>
              <w:t>（套）</w:t>
            </w:r>
          </w:p>
        </w:tc>
      </w:tr>
      <w:tr w14:paraId="1D22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3" w:type="dxa"/>
            <w:vAlign w:val="center"/>
          </w:tcPr>
          <w:p w14:paraId="051039AC">
            <w:pPr>
              <w:pStyle w:val="20"/>
              <w:spacing w:line="240" w:lineRule="auto"/>
              <w:jc w:val="center"/>
              <w:rPr>
                <w:rFonts w:ascii="Arial" w:hAnsi="Arial" w:cs="Arial"/>
                <w:b/>
                <w:color w:val="auto"/>
                <w:highlight w:val="none"/>
              </w:rPr>
            </w:pPr>
            <w:r>
              <w:rPr>
                <w:rFonts w:ascii="Arial" w:hAnsi="Arial" w:cs="Arial"/>
                <w:b/>
                <w:color w:val="auto"/>
                <w:highlight w:val="none"/>
              </w:rPr>
              <w:t>1</w:t>
            </w:r>
          </w:p>
        </w:tc>
        <w:tc>
          <w:tcPr>
            <w:tcW w:w="855" w:type="dxa"/>
            <w:vAlign w:val="center"/>
          </w:tcPr>
          <w:p w14:paraId="47F2036D">
            <w:pPr>
              <w:rPr>
                <w:rFonts w:ascii="Arial" w:hAnsi="Arial" w:cs="Arial"/>
                <w:bCs/>
                <w:color w:val="auto"/>
                <w:sz w:val="24"/>
                <w:highlight w:val="none"/>
              </w:rPr>
            </w:pPr>
            <w:r>
              <w:rPr>
                <w:rFonts w:ascii="Arial" w:hAnsi="Arial" w:cs="Arial"/>
                <w:b/>
                <w:color w:val="auto"/>
                <w:sz w:val="24"/>
                <w:highlight w:val="none"/>
              </w:rPr>
              <w:t>放射科GE 256排CT维保一台（3年）</w:t>
            </w:r>
          </w:p>
        </w:tc>
        <w:tc>
          <w:tcPr>
            <w:tcW w:w="8453" w:type="dxa"/>
            <w:vAlign w:val="center"/>
          </w:tcPr>
          <w:p w14:paraId="5F20B8A4">
            <w:pPr>
              <w:rPr>
                <w:rFonts w:ascii="Arial" w:hAnsi="Arial" w:cs="Arial"/>
                <w:bCs/>
                <w:color w:val="auto"/>
                <w:sz w:val="24"/>
                <w:highlight w:val="none"/>
              </w:rPr>
            </w:pPr>
            <w:r>
              <w:rPr>
                <w:rFonts w:ascii="Arial" w:hAnsi="Arial" w:cs="Arial"/>
                <w:bCs/>
                <w:color w:val="auto"/>
                <w:sz w:val="24"/>
                <w:highlight w:val="none"/>
              </w:rPr>
              <w:t>技术参数：</w:t>
            </w:r>
          </w:p>
          <w:p w14:paraId="222162CD">
            <w:pPr>
              <w:rPr>
                <w:rFonts w:ascii="Arial" w:hAnsi="Arial" w:cs="Arial"/>
                <w:bCs/>
                <w:color w:val="auto"/>
                <w:sz w:val="24"/>
                <w:highlight w:val="none"/>
              </w:rPr>
            </w:pPr>
            <w:r>
              <w:rPr>
                <w:rFonts w:ascii="Arial" w:hAnsi="Arial" w:cs="Arial"/>
                <w:bCs/>
                <w:color w:val="auto"/>
                <w:sz w:val="24"/>
                <w:highlight w:val="none"/>
              </w:rPr>
              <w:t>1 设备情况及服务范围：</w:t>
            </w:r>
          </w:p>
          <w:p w14:paraId="51D494DE">
            <w:pPr>
              <w:rPr>
                <w:rFonts w:ascii="Arial" w:hAnsi="Arial" w:cs="Arial"/>
                <w:bCs/>
                <w:color w:val="auto"/>
                <w:sz w:val="24"/>
                <w:highlight w:val="none"/>
              </w:rPr>
            </w:pPr>
            <w:r>
              <w:rPr>
                <w:rFonts w:ascii="Arial" w:hAnsi="Arial" w:cs="Arial"/>
                <w:bCs/>
                <w:color w:val="auto"/>
                <w:sz w:val="24"/>
                <w:highlight w:val="none"/>
              </w:rPr>
              <w:t>1.1 设备型号：Revolution CT Power  设备数量：1台</w:t>
            </w:r>
          </w:p>
          <w:p w14:paraId="4D6C71FD">
            <w:pPr>
              <w:rPr>
                <w:rFonts w:ascii="Arial" w:hAnsi="Arial" w:cs="Arial"/>
                <w:bCs/>
                <w:color w:val="auto"/>
                <w:sz w:val="24"/>
                <w:highlight w:val="none"/>
              </w:rPr>
            </w:pPr>
            <w:r>
              <w:rPr>
                <w:rFonts w:ascii="Arial" w:hAnsi="Arial" w:cs="Arial"/>
                <w:bCs/>
                <w:color w:val="auto"/>
                <w:sz w:val="24"/>
                <w:highlight w:val="none"/>
              </w:rPr>
              <w:t>1.1.1 提供整机保修，不限次数人工，包括主机、球管、探测器、工作站保修。</w:t>
            </w:r>
          </w:p>
          <w:p w14:paraId="0B7D9228">
            <w:pPr>
              <w:rPr>
                <w:rFonts w:ascii="Arial" w:hAnsi="Arial" w:cs="Arial"/>
                <w:bCs/>
                <w:color w:val="auto"/>
                <w:sz w:val="24"/>
                <w:highlight w:val="none"/>
              </w:rPr>
            </w:pPr>
            <w:r>
              <w:rPr>
                <w:rFonts w:ascii="Arial" w:hAnsi="Arial" w:cs="Arial"/>
                <w:bCs/>
                <w:color w:val="auto"/>
                <w:sz w:val="24"/>
                <w:highlight w:val="none"/>
              </w:rPr>
              <w:t>1.1.2 有维修站并配备CT专职工程师≥5名，提供名单</w:t>
            </w:r>
          </w:p>
          <w:p w14:paraId="3FE7BF91">
            <w:pPr>
              <w:rPr>
                <w:rFonts w:ascii="Arial" w:hAnsi="Arial" w:cs="Arial"/>
                <w:bCs/>
                <w:color w:val="auto"/>
                <w:sz w:val="24"/>
                <w:highlight w:val="none"/>
              </w:rPr>
            </w:pPr>
            <w:r>
              <w:rPr>
                <w:rFonts w:ascii="Arial" w:hAnsi="Arial" w:cs="Arial"/>
                <w:bCs/>
                <w:color w:val="auto"/>
                <w:sz w:val="24"/>
                <w:highlight w:val="none"/>
              </w:rPr>
              <w:t>1.1.3</w:t>
            </w:r>
            <w:r>
              <w:rPr>
                <w:rFonts w:ascii="Arial" w:hAnsi="Arial" w:cs="Arial"/>
                <w:bCs/>
                <w:color w:val="auto"/>
                <w:sz w:val="24"/>
                <w:highlight w:val="none"/>
              </w:rPr>
              <w:tab/>
            </w:r>
            <w:r>
              <w:rPr>
                <w:rFonts w:ascii="Arial" w:hAnsi="Arial" w:cs="Arial"/>
                <w:bCs/>
                <w:color w:val="auto"/>
                <w:sz w:val="24"/>
                <w:highlight w:val="none"/>
              </w:rPr>
              <w:t>拟投入本项目的维保工程师接受过设备制造商专业培训并获得有效期内的相关证书认证，须提供相关证明材料。</w:t>
            </w:r>
          </w:p>
          <w:p w14:paraId="38CC1602">
            <w:pPr>
              <w:rPr>
                <w:rFonts w:ascii="Arial" w:hAnsi="Arial" w:cs="Arial"/>
                <w:bCs/>
                <w:color w:val="auto"/>
                <w:sz w:val="24"/>
                <w:highlight w:val="none"/>
              </w:rPr>
            </w:pPr>
            <w:r>
              <w:rPr>
                <w:rFonts w:ascii="Arial" w:hAnsi="Arial" w:cs="Arial"/>
                <w:bCs/>
                <w:color w:val="auto"/>
                <w:sz w:val="24"/>
                <w:highlight w:val="none"/>
              </w:rPr>
              <w:t>1.1.4 具备户服务专线电话，提供号码</w:t>
            </w:r>
          </w:p>
          <w:p w14:paraId="4A36D09E">
            <w:pPr>
              <w:rPr>
                <w:rFonts w:ascii="Arial" w:hAnsi="Arial" w:cs="Arial"/>
                <w:bCs/>
                <w:color w:val="auto"/>
                <w:sz w:val="24"/>
                <w:highlight w:val="none"/>
              </w:rPr>
            </w:pPr>
            <w:r>
              <w:rPr>
                <w:rFonts w:ascii="Arial" w:hAnsi="Arial" w:cs="Arial"/>
                <w:bCs/>
                <w:color w:val="auto"/>
                <w:sz w:val="24"/>
                <w:highlight w:val="none"/>
              </w:rPr>
              <w:t>1.1.5 零备件储备，符合设备注册要求，提供仓库信息</w:t>
            </w:r>
          </w:p>
          <w:p w14:paraId="1F92C5CD">
            <w:pPr>
              <w:rPr>
                <w:rFonts w:ascii="Arial" w:hAnsi="Arial" w:cs="Arial"/>
                <w:bCs/>
                <w:color w:val="auto"/>
                <w:sz w:val="24"/>
                <w:highlight w:val="none"/>
              </w:rPr>
            </w:pPr>
            <w:r>
              <w:rPr>
                <w:rFonts w:ascii="Arial" w:hAnsi="Arial" w:cs="Arial"/>
                <w:bCs/>
                <w:color w:val="auto"/>
                <w:sz w:val="24"/>
                <w:highlight w:val="none"/>
              </w:rPr>
              <w:t>1.1.6 核心部件球管保障供应，提供库存证明</w:t>
            </w:r>
          </w:p>
          <w:p w14:paraId="1BC2C893">
            <w:pPr>
              <w:rPr>
                <w:rFonts w:ascii="Arial" w:hAnsi="Arial" w:cs="Arial"/>
                <w:bCs/>
                <w:color w:val="auto"/>
                <w:sz w:val="24"/>
                <w:highlight w:val="none"/>
              </w:rPr>
            </w:pPr>
            <w:r>
              <w:rPr>
                <w:rFonts w:ascii="Arial" w:hAnsi="Arial" w:cs="Arial"/>
                <w:bCs/>
                <w:color w:val="auto"/>
                <w:sz w:val="24"/>
                <w:highlight w:val="none"/>
              </w:rPr>
              <w:t>1.1.7 核心部件球管到货时间≤48小时</w:t>
            </w:r>
          </w:p>
          <w:p w14:paraId="060616DE">
            <w:pPr>
              <w:rPr>
                <w:rFonts w:ascii="Arial" w:hAnsi="Arial" w:cs="Arial"/>
                <w:bCs/>
                <w:color w:val="auto"/>
                <w:sz w:val="24"/>
                <w:highlight w:val="none"/>
              </w:rPr>
            </w:pPr>
            <w:r>
              <w:rPr>
                <w:rFonts w:ascii="Arial" w:hAnsi="Arial" w:cs="Arial"/>
                <w:bCs/>
                <w:color w:val="auto"/>
                <w:sz w:val="24"/>
                <w:highlight w:val="none"/>
              </w:rPr>
              <w:t>1.2  基础服务承诺</w:t>
            </w:r>
          </w:p>
          <w:p w14:paraId="3A674AA1">
            <w:pPr>
              <w:rPr>
                <w:rFonts w:ascii="Arial" w:hAnsi="Arial" w:cs="Arial"/>
                <w:bCs/>
                <w:color w:val="auto"/>
                <w:sz w:val="24"/>
                <w:highlight w:val="none"/>
              </w:rPr>
            </w:pPr>
            <w:r>
              <w:rPr>
                <w:rFonts w:ascii="Arial" w:hAnsi="Arial" w:cs="Arial"/>
                <w:bCs/>
                <w:color w:val="auto"/>
                <w:sz w:val="24"/>
                <w:highlight w:val="none"/>
              </w:rPr>
              <w:t>1.2.1  服务响应时间，≤1小时</w:t>
            </w:r>
          </w:p>
          <w:p w14:paraId="3055A46C">
            <w:pPr>
              <w:rPr>
                <w:rFonts w:ascii="Arial" w:hAnsi="Arial" w:cs="Arial"/>
                <w:bCs/>
                <w:color w:val="auto"/>
                <w:sz w:val="24"/>
                <w:highlight w:val="none"/>
              </w:rPr>
            </w:pPr>
            <w:r>
              <w:rPr>
                <w:rFonts w:ascii="Arial" w:hAnsi="Arial" w:cs="Arial"/>
                <w:bCs/>
                <w:color w:val="auto"/>
                <w:sz w:val="24"/>
                <w:highlight w:val="none"/>
              </w:rPr>
              <w:t>1.2.2</w:t>
            </w:r>
            <w:r>
              <w:rPr>
                <w:rFonts w:ascii="Arial" w:hAnsi="Arial" w:cs="Arial"/>
                <w:bCs/>
                <w:color w:val="auto"/>
                <w:sz w:val="24"/>
                <w:highlight w:val="none"/>
              </w:rPr>
              <w:tab/>
            </w:r>
            <w:r>
              <w:rPr>
                <w:rFonts w:ascii="Arial" w:hAnsi="Arial" w:cs="Arial"/>
                <w:bCs/>
                <w:color w:val="auto"/>
                <w:sz w:val="24"/>
                <w:highlight w:val="none"/>
              </w:rPr>
              <w:t>服务到场时间，≤24小时</w:t>
            </w:r>
          </w:p>
          <w:p w14:paraId="1F4D8CE6">
            <w:pPr>
              <w:rPr>
                <w:rFonts w:ascii="Arial" w:hAnsi="Arial" w:cs="Arial"/>
                <w:bCs/>
                <w:color w:val="auto"/>
                <w:sz w:val="24"/>
                <w:highlight w:val="none"/>
              </w:rPr>
            </w:pPr>
            <w:r>
              <w:rPr>
                <w:rFonts w:ascii="Arial" w:hAnsi="Arial" w:cs="Arial"/>
                <w:bCs/>
                <w:color w:val="auto"/>
                <w:sz w:val="24"/>
                <w:highlight w:val="none"/>
              </w:rPr>
              <w:t>1.2.3</w:t>
            </w:r>
            <w:r>
              <w:rPr>
                <w:rFonts w:ascii="Arial" w:hAnsi="Arial" w:cs="Arial"/>
                <w:bCs/>
                <w:color w:val="auto"/>
                <w:sz w:val="24"/>
                <w:highlight w:val="none"/>
              </w:rPr>
              <w:tab/>
            </w:r>
            <w:r>
              <w:rPr>
                <w:rFonts w:ascii="Arial" w:hAnsi="Arial" w:cs="Arial"/>
                <w:bCs/>
                <w:color w:val="auto"/>
                <w:sz w:val="24"/>
                <w:highlight w:val="none"/>
              </w:rPr>
              <w:t>开机率保证，≥95%（以工作日计）</w:t>
            </w:r>
          </w:p>
          <w:p w14:paraId="00172172">
            <w:pPr>
              <w:rPr>
                <w:rFonts w:ascii="Arial" w:hAnsi="Arial" w:cs="Arial"/>
                <w:bCs/>
                <w:color w:val="auto"/>
                <w:sz w:val="24"/>
                <w:highlight w:val="none"/>
              </w:rPr>
            </w:pPr>
            <w:r>
              <w:rPr>
                <w:rFonts w:ascii="Arial" w:hAnsi="Arial" w:cs="Arial"/>
                <w:bCs/>
                <w:color w:val="auto"/>
                <w:sz w:val="24"/>
                <w:highlight w:val="none"/>
              </w:rPr>
              <w:t>1.2.4</w:t>
            </w:r>
            <w:r>
              <w:rPr>
                <w:rFonts w:ascii="Arial" w:hAnsi="Arial" w:cs="Arial"/>
                <w:bCs/>
                <w:color w:val="auto"/>
                <w:sz w:val="24"/>
                <w:highlight w:val="none"/>
              </w:rPr>
              <w:tab/>
            </w:r>
            <w:r>
              <w:rPr>
                <w:rFonts w:ascii="Arial" w:hAnsi="Arial" w:cs="Arial"/>
                <w:bCs/>
                <w:color w:val="auto"/>
                <w:sz w:val="24"/>
                <w:highlight w:val="none"/>
              </w:rPr>
              <w:t>服务期内不限次人工服务</w:t>
            </w:r>
          </w:p>
          <w:p w14:paraId="2C5E93BA">
            <w:pPr>
              <w:rPr>
                <w:rFonts w:ascii="Arial" w:hAnsi="Arial" w:cs="Arial"/>
                <w:bCs/>
                <w:color w:val="auto"/>
                <w:sz w:val="24"/>
                <w:highlight w:val="none"/>
              </w:rPr>
            </w:pPr>
            <w:r>
              <w:rPr>
                <w:rFonts w:ascii="Arial" w:hAnsi="Arial" w:cs="Arial"/>
                <w:bCs/>
                <w:color w:val="auto"/>
                <w:sz w:val="24"/>
                <w:highlight w:val="none"/>
              </w:rPr>
              <w:t>1.2.5</w:t>
            </w:r>
            <w:r>
              <w:rPr>
                <w:rFonts w:ascii="Arial" w:hAnsi="Arial" w:cs="Arial"/>
                <w:bCs/>
                <w:color w:val="auto"/>
                <w:sz w:val="24"/>
                <w:highlight w:val="none"/>
              </w:rPr>
              <w:tab/>
            </w:r>
            <w:r>
              <w:rPr>
                <w:rFonts w:ascii="Arial" w:hAnsi="Arial" w:cs="Arial"/>
                <w:bCs/>
                <w:color w:val="auto"/>
                <w:sz w:val="24"/>
                <w:highlight w:val="none"/>
              </w:rPr>
              <w:t>服务期内更换备件服务，不包含三方周边产品</w:t>
            </w:r>
          </w:p>
          <w:p w14:paraId="77064667">
            <w:pPr>
              <w:rPr>
                <w:rFonts w:ascii="Arial" w:hAnsi="Arial" w:cs="Arial"/>
                <w:b/>
                <w:color w:val="auto"/>
                <w:sz w:val="24"/>
                <w:highlight w:val="none"/>
              </w:rPr>
            </w:pPr>
            <w:r>
              <w:rPr>
                <w:rFonts w:ascii="Arial" w:hAnsi="Arial" w:cs="Arial"/>
                <w:b/>
                <w:color w:val="auto"/>
                <w:sz w:val="24"/>
                <w:highlight w:val="none"/>
              </w:rPr>
              <w:t>▲1.2.6</w:t>
            </w:r>
            <w:r>
              <w:rPr>
                <w:rFonts w:ascii="Arial" w:hAnsi="Arial" w:cs="Arial"/>
                <w:b/>
                <w:color w:val="auto"/>
                <w:sz w:val="24"/>
                <w:highlight w:val="none"/>
              </w:rPr>
              <w:tab/>
            </w:r>
            <w:r>
              <w:rPr>
                <w:rFonts w:ascii="Arial" w:hAnsi="Arial" w:cs="Arial"/>
                <w:b/>
                <w:color w:val="auto"/>
                <w:sz w:val="24"/>
                <w:highlight w:val="none"/>
              </w:rPr>
              <w:t>服务期内支持主机系统软件持续升级、补丁，保证所有系统软件为最新版本。</w:t>
            </w:r>
          </w:p>
          <w:p w14:paraId="00A899FA">
            <w:pPr>
              <w:rPr>
                <w:rFonts w:ascii="Arial" w:hAnsi="Arial" w:cs="Arial"/>
                <w:bCs/>
                <w:color w:val="auto"/>
                <w:sz w:val="24"/>
                <w:highlight w:val="none"/>
              </w:rPr>
            </w:pPr>
            <w:r>
              <w:rPr>
                <w:rFonts w:ascii="Arial" w:hAnsi="Arial" w:cs="Arial"/>
                <w:b/>
                <w:color w:val="auto"/>
                <w:sz w:val="24"/>
                <w:highlight w:val="none"/>
              </w:rPr>
              <w:t>▲1.2.7</w:t>
            </w:r>
            <w:r>
              <w:rPr>
                <w:rFonts w:ascii="Arial" w:hAnsi="Arial" w:cs="Arial"/>
                <w:b/>
                <w:color w:val="auto"/>
                <w:sz w:val="24"/>
                <w:highlight w:val="none"/>
              </w:rPr>
              <w:tab/>
            </w:r>
            <w:r>
              <w:rPr>
                <w:rFonts w:ascii="Arial" w:hAnsi="Arial" w:cs="Arial"/>
                <w:b/>
                <w:color w:val="auto"/>
                <w:sz w:val="24"/>
                <w:highlight w:val="none"/>
              </w:rPr>
              <w:t>投标人须合法获得使用在有效期内的原厂故障诊断软件及诊断service key，并保证不违法国家有关知识产权的法律规定，投标文件中须提供证明文件。</w:t>
            </w:r>
          </w:p>
          <w:p w14:paraId="3EE19CC6">
            <w:pPr>
              <w:rPr>
                <w:rFonts w:ascii="Arial" w:hAnsi="Arial" w:cs="Arial"/>
                <w:bCs/>
                <w:color w:val="auto"/>
                <w:sz w:val="24"/>
                <w:highlight w:val="none"/>
              </w:rPr>
            </w:pPr>
            <w:r>
              <w:rPr>
                <w:rFonts w:ascii="Arial" w:hAnsi="Arial" w:cs="Arial"/>
                <w:bCs/>
                <w:color w:val="auto"/>
                <w:sz w:val="24"/>
                <w:highlight w:val="none"/>
              </w:rPr>
              <w:t>2</w:t>
            </w:r>
            <w:r>
              <w:rPr>
                <w:rFonts w:ascii="Arial" w:hAnsi="Arial" w:cs="Arial"/>
                <w:bCs/>
                <w:color w:val="auto"/>
                <w:sz w:val="24"/>
                <w:highlight w:val="none"/>
              </w:rPr>
              <w:tab/>
            </w:r>
            <w:r>
              <w:rPr>
                <w:rFonts w:ascii="Arial" w:hAnsi="Arial" w:cs="Arial"/>
                <w:bCs/>
                <w:color w:val="auto"/>
                <w:sz w:val="24"/>
                <w:highlight w:val="none"/>
              </w:rPr>
              <w:t>服务技术要求</w:t>
            </w:r>
          </w:p>
          <w:p w14:paraId="1ADA042E">
            <w:pPr>
              <w:rPr>
                <w:rFonts w:ascii="Arial" w:hAnsi="Arial" w:cs="Arial"/>
                <w:bCs/>
                <w:color w:val="auto"/>
                <w:sz w:val="24"/>
                <w:highlight w:val="none"/>
              </w:rPr>
            </w:pPr>
            <w:r>
              <w:rPr>
                <w:rFonts w:ascii="Arial" w:hAnsi="Arial" w:cs="Arial"/>
                <w:bCs/>
                <w:color w:val="auto"/>
                <w:sz w:val="24"/>
                <w:highlight w:val="none"/>
              </w:rPr>
              <w:t>2.1</w:t>
            </w:r>
            <w:r>
              <w:rPr>
                <w:rFonts w:ascii="Arial" w:hAnsi="Arial" w:cs="Arial"/>
                <w:bCs/>
                <w:color w:val="auto"/>
                <w:sz w:val="24"/>
                <w:highlight w:val="none"/>
              </w:rPr>
              <w:tab/>
            </w:r>
            <w:r>
              <w:rPr>
                <w:rFonts w:ascii="Arial" w:hAnsi="Arial" w:cs="Arial"/>
                <w:bCs/>
                <w:color w:val="auto"/>
                <w:sz w:val="24"/>
                <w:highlight w:val="none"/>
              </w:rPr>
              <w:t>基本服务内容，远程和现场</w:t>
            </w:r>
          </w:p>
          <w:p w14:paraId="7F573A4B">
            <w:pPr>
              <w:rPr>
                <w:rFonts w:ascii="Arial" w:hAnsi="Arial" w:cs="Arial"/>
                <w:bCs/>
                <w:color w:val="auto"/>
                <w:sz w:val="24"/>
                <w:highlight w:val="none"/>
              </w:rPr>
            </w:pPr>
            <w:r>
              <w:rPr>
                <w:rFonts w:ascii="Arial" w:hAnsi="Arial" w:cs="Arial"/>
                <w:bCs/>
                <w:color w:val="auto"/>
                <w:sz w:val="24"/>
                <w:highlight w:val="none"/>
              </w:rPr>
              <w:t>2.1.1</w:t>
            </w:r>
            <w:r>
              <w:rPr>
                <w:rFonts w:ascii="Arial" w:hAnsi="Arial" w:cs="Arial"/>
                <w:bCs/>
                <w:color w:val="auto"/>
                <w:sz w:val="24"/>
                <w:highlight w:val="none"/>
              </w:rPr>
              <w:tab/>
            </w:r>
            <w:r>
              <w:rPr>
                <w:rFonts w:ascii="Arial" w:hAnsi="Arial" w:cs="Arial"/>
                <w:bCs/>
                <w:color w:val="auto"/>
                <w:sz w:val="24"/>
                <w:highlight w:val="none"/>
              </w:rPr>
              <w:t>远程服务，包括对设备运行参数进行监测和分析，以及相应故障的远程处理</w:t>
            </w:r>
          </w:p>
          <w:p w14:paraId="1D35A8AD">
            <w:pPr>
              <w:rPr>
                <w:rFonts w:ascii="Arial" w:hAnsi="Arial" w:cs="Arial"/>
                <w:bCs/>
                <w:color w:val="auto"/>
                <w:sz w:val="24"/>
                <w:highlight w:val="none"/>
              </w:rPr>
            </w:pPr>
            <w:r>
              <w:rPr>
                <w:rFonts w:ascii="Arial" w:hAnsi="Arial" w:cs="Arial"/>
                <w:bCs/>
                <w:color w:val="auto"/>
                <w:sz w:val="24"/>
                <w:highlight w:val="none"/>
              </w:rPr>
              <w:t>2.1.2</w:t>
            </w:r>
            <w:r>
              <w:rPr>
                <w:rFonts w:ascii="Arial" w:hAnsi="Arial" w:cs="Arial"/>
                <w:bCs/>
                <w:color w:val="auto"/>
                <w:sz w:val="24"/>
                <w:highlight w:val="none"/>
              </w:rPr>
              <w:tab/>
            </w:r>
            <w:r>
              <w:rPr>
                <w:rFonts w:ascii="Arial" w:hAnsi="Arial" w:cs="Arial"/>
                <w:bCs/>
                <w:color w:val="auto"/>
                <w:sz w:val="24"/>
                <w:highlight w:val="none"/>
              </w:rPr>
              <w:t>现场服务，包括现场的故障分析、判断和处理以及设备保养等</w:t>
            </w:r>
          </w:p>
          <w:p w14:paraId="5646FFE9">
            <w:pPr>
              <w:rPr>
                <w:rFonts w:ascii="Arial" w:hAnsi="Arial" w:cs="Arial"/>
                <w:bCs/>
                <w:color w:val="auto"/>
                <w:sz w:val="24"/>
                <w:highlight w:val="none"/>
              </w:rPr>
            </w:pPr>
            <w:r>
              <w:rPr>
                <w:rFonts w:ascii="Arial" w:hAnsi="Arial" w:cs="Arial"/>
                <w:bCs/>
                <w:color w:val="auto"/>
                <w:sz w:val="24"/>
                <w:highlight w:val="none"/>
              </w:rPr>
              <w:t>2.1.3</w:t>
            </w:r>
            <w:r>
              <w:rPr>
                <w:rFonts w:ascii="Arial" w:hAnsi="Arial" w:cs="Arial"/>
                <w:bCs/>
                <w:color w:val="auto"/>
                <w:sz w:val="24"/>
                <w:highlight w:val="none"/>
              </w:rPr>
              <w:tab/>
            </w:r>
            <w:r>
              <w:rPr>
                <w:rFonts w:ascii="Arial" w:hAnsi="Arial" w:cs="Arial"/>
                <w:bCs/>
                <w:color w:val="auto"/>
                <w:sz w:val="24"/>
                <w:highlight w:val="none"/>
              </w:rPr>
              <w:t>具备现场工程师、远程工程师、技术专家、临床专家、研发工程师的服务支持体系</w:t>
            </w:r>
          </w:p>
          <w:p w14:paraId="407B3058">
            <w:pPr>
              <w:rPr>
                <w:rFonts w:ascii="Arial" w:hAnsi="Arial" w:cs="Arial"/>
                <w:bCs/>
                <w:color w:val="auto"/>
                <w:sz w:val="24"/>
                <w:highlight w:val="none"/>
              </w:rPr>
            </w:pPr>
            <w:r>
              <w:rPr>
                <w:rFonts w:ascii="Arial" w:hAnsi="Arial" w:cs="Arial"/>
                <w:bCs/>
                <w:color w:val="auto"/>
                <w:sz w:val="24"/>
                <w:highlight w:val="none"/>
              </w:rPr>
              <w:t>2.1.4</w:t>
            </w:r>
            <w:r>
              <w:rPr>
                <w:rFonts w:ascii="Arial" w:hAnsi="Arial" w:cs="Arial"/>
                <w:bCs/>
                <w:color w:val="auto"/>
                <w:sz w:val="24"/>
                <w:highlight w:val="none"/>
              </w:rPr>
              <w:tab/>
            </w:r>
            <w:r>
              <w:rPr>
                <w:rFonts w:ascii="Arial" w:hAnsi="Arial" w:cs="Arial"/>
                <w:bCs/>
                <w:color w:val="auto"/>
                <w:sz w:val="24"/>
                <w:highlight w:val="none"/>
              </w:rPr>
              <w:t>具备专业诊断程序，可以及时准确诊断设备故障</w:t>
            </w:r>
          </w:p>
          <w:p w14:paraId="112F0D5E">
            <w:pPr>
              <w:rPr>
                <w:rFonts w:ascii="Arial" w:hAnsi="Arial" w:cs="Arial"/>
                <w:bCs/>
                <w:color w:val="auto"/>
                <w:sz w:val="24"/>
                <w:highlight w:val="none"/>
              </w:rPr>
            </w:pPr>
            <w:r>
              <w:rPr>
                <w:rFonts w:ascii="Arial" w:hAnsi="Arial" w:cs="Arial"/>
                <w:bCs/>
                <w:color w:val="auto"/>
                <w:sz w:val="24"/>
                <w:highlight w:val="none"/>
              </w:rPr>
              <w:t>2.1.5</w:t>
            </w:r>
            <w:r>
              <w:rPr>
                <w:rFonts w:ascii="Arial" w:hAnsi="Arial" w:cs="Arial"/>
                <w:bCs/>
                <w:color w:val="auto"/>
                <w:sz w:val="24"/>
                <w:highlight w:val="none"/>
              </w:rPr>
              <w:tab/>
            </w:r>
            <w:r>
              <w:rPr>
                <w:rFonts w:ascii="Arial" w:hAnsi="Arial" w:cs="Arial"/>
                <w:bCs/>
                <w:color w:val="auto"/>
                <w:sz w:val="24"/>
                <w:highlight w:val="none"/>
              </w:rPr>
              <w:t>具备专业诊断工具，可以及时准确诊断设备故障，主要包括CT剂量测试仪、CatPhan600模体、水模和QA模、5269092电压测试模体、5735916高压检测工具和5717725无负载高压检测工具、5720762排气加油工具，提供照片</w:t>
            </w:r>
          </w:p>
          <w:p w14:paraId="0E38A1C3">
            <w:pPr>
              <w:rPr>
                <w:rFonts w:ascii="Arial" w:hAnsi="Arial" w:cs="Arial"/>
                <w:bCs/>
                <w:color w:val="auto"/>
                <w:sz w:val="24"/>
                <w:highlight w:val="none"/>
              </w:rPr>
            </w:pPr>
            <w:r>
              <w:rPr>
                <w:rFonts w:ascii="Arial" w:hAnsi="Arial" w:cs="Arial"/>
                <w:bCs/>
                <w:color w:val="auto"/>
                <w:sz w:val="24"/>
                <w:highlight w:val="none"/>
              </w:rPr>
              <w:t>2.2</w:t>
            </w:r>
            <w:r>
              <w:rPr>
                <w:rFonts w:ascii="Arial" w:hAnsi="Arial" w:cs="Arial"/>
                <w:bCs/>
                <w:color w:val="auto"/>
                <w:sz w:val="24"/>
                <w:highlight w:val="none"/>
              </w:rPr>
              <w:tab/>
            </w:r>
            <w:r>
              <w:rPr>
                <w:rFonts w:ascii="Arial" w:hAnsi="Arial" w:cs="Arial"/>
                <w:bCs/>
                <w:color w:val="auto"/>
                <w:sz w:val="24"/>
                <w:highlight w:val="none"/>
              </w:rPr>
              <w:t>每年不少于四次的设备现场保养服务并提供报告，年度报告需包括如下服务</w:t>
            </w:r>
          </w:p>
          <w:p w14:paraId="05C36502">
            <w:pPr>
              <w:rPr>
                <w:rFonts w:ascii="Arial" w:hAnsi="Arial" w:cs="Arial"/>
                <w:bCs/>
                <w:color w:val="auto"/>
                <w:sz w:val="24"/>
                <w:highlight w:val="none"/>
              </w:rPr>
            </w:pPr>
            <w:r>
              <w:rPr>
                <w:rFonts w:ascii="Arial" w:hAnsi="Arial" w:cs="Arial"/>
                <w:bCs/>
                <w:color w:val="auto"/>
                <w:sz w:val="24"/>
                <w:highlight w:val="none"/>
              </w:rPr>
              <w:t>2.2.1</w:t>
            </w:r>
            <w:r>
              <w:rPr>
                <w:rFonts w:ascii="Arial" w:hAnsi="Arial" w:cs="Arial"/>
                <w:bCs/>
                <w:color w:val="auto"/>
                <w:sz w:val="24"/>
                <w:highlight w:val="none"/>
              </w:rPr>
              <w:tab/>
            </w:r>
            <w:r>
              <w:rPr>
                <w:rFonts w:ascii="Arial" w:hAnsi="Arial" w:cs="Arial"/>
                <w:bCs/>
                <w:color w:val="auto"/>
                <w:sz w:val="24"/>
                <w:highlight w:val="none"/>
              </w:rPr>
              <w:t>安全运行相关项目检测、校准和修复，保证设备和病患安全</w:t>
            </w:r>
          </w:p>
          <w:p w14:paraId="51442BC8">
            <w:pPr>
              <w:rPr>
                <w:rFonts w:ascii="Arial" w:hAnsi="Arial" w:cs="Arial"/>
                <w:bCs/>
                <w:color w:val="auto"/>
                <w:sz w:val="24"/>
                <w:highlight w:val="none"/>
              </w:rPr>
            </w:pPr>
            <w:r>
              <w:rPr>
                <w:rFonts w:ascii="Arial" w:hAnsi="Arial" w:cs="Arial"/>
                <w:bCs/>
                <w:color w:val="auto"/>
                <w:sz w:val="24"/>
                <w:highlight w:val="none"/>
              </w:rPr>
              <w:t>2.2.1.1</w:t>
            </w:r>
            <w:r>
              <w:rPr>
                <w:rFonts w:ascii="Arial" w:hAnsi="Arial" w:cs="Arial"/>
                <w:bCs/>
                <w:color w:val="auto"/>
                <w:sz w:val="24"/>
                <w:highlight w:val="none"/>
              </w:rPr>
              <w:tab/>
            </w:r>
            <w:r>
              <w:rPr>
                <w:rFonts w:ascii="Arial" w:hAnsi="Arial" w:cs="Arial"/>
                <w:bCs/>
                <w:color w:val="auto"/>
                <w:sz w:val="24"/>
                <w:highlight w:val="none"/>
              </w:rPr>
              <w:t xml:space="preserve">电气环境监测 </w:t>
            </w:r>
          </w:p>
          <w:p w14:paraId="29123A6B">
            <w:pPr>
              <w:rPr>
                <w:rFonts w:ascii="Arial" w:hAnsi="Arial" w:cs="Arial"/>
                <w:bCs/>
                <w:color w:val="auto"/>
                <w:sz w:val="24"/>
                <w:highlight w:val="none"/>
              </w:rPr>
            </w:pPr>
            <w:r>
              <w:rPr>
                <w:rFonts w:ascii="Arial" w:hAnsi="Arial" w:cs="Arial"/>
                <w:bCs/>
                <w:color w:val="auto"/>
                <w:sz w:val="24"/>
                <w:highlight w:val="none"/>
              </w:rPr>
              <w:t>2.2.1.2</w:t>
            </w:r>
            <w:r>
              <w:rPr>
                <w:rFonts w:ascii="Arial" w:hAnsi="Arial" w:cs="Arial"/>
                <w:bCs/>
                <w:color w:val="auto"/>
                <w:sz w:val="24"/>
                <w:highlight w:val="none"/>
              </w:rPr>
              <w:tab/>
            </w:r>
            <w:r>
              <w:rPr>
                <w:rFonts w:ascii="Arial" w:hAnsi="Arial" w:cs="Arial"/>
                <w:bCs/>
                <w:color w:val="auto"/>
                <w:sz w:val="24"/>
                <w:highlight w:val="none"/>
              </w:rPr>
              <w:t xml:space="preserve">测试扫描架指示灯和紧急制动按钮 </w:t>
            </w:r>
          </w:p>
          <w:p w14:paraId="1F0018AB">
            <w:pPr>
              <w:rPr>
                <w:rFonts w:ascii="Arial" w:hAnsi="Arial" w:cs="Arial"/>
                <w:bCs/>
                <w:color w:val="auto"/>
                <w:sz w:val="24"/>
                <w:highlight w:val="none"/>
              </w:rPr>
            </w:pPr>
            <w:r>
              <w:rPr>
                <w:rFonts w:ascii="Arial" w:hAnsi="Arial" w:cs="Arial"/>
                <w:bCs/>
                <w:color w:val="auto"/>
                <w:sz w:val="24"/>
                <w:highlight w:val="none"/>
              </w:rPr>
              <w:t>2.2.1.3</w:t>
            </w:r>
            <w:r>
              <w:rPr>
                <w:rFonts w:ascii="Arial" w:hAnsi="Arial" w:cs="Arial"/>
                <w:bCs/>
                <w:color w:val="auto"/>
                <w:sz w:val="24"/>
                <w:highlight w:val="none"/>
              </w:rPr>
              <w:tab/>
            </w:r>
            <w:r>
              <w:rPr>
                <w:rFonts w:ascii="Arial" w:hAnsi="Arial" w:cs="Arial"/>
                <w:bCs/>
                <w:color w:val="auto"/>
                <w:sz w:val="24"/>
                <w:highlight w:val="none"/>
              </w:rPr>
              <w:t>测试系统急停功能</w:t>
            </w:r>
          </w:p>
          <w:p w14:paraId="5CA2EEB3">
            <w:pPr>
              <w:rPr>
                <w:rFonts w:ascii="Arial" w:hAnsi="Arial" w:cs="Arial"/>
                <w:bCs/>
                <w:color w:val="auto"/>
                <w:sz w:val="24"/>
                <w:highlight w:val="none"/>
              </w:rPr>
            </w:pPr>
            <w:r>
              <w:rPr>
                <w:rFonts w:ascii="Arial" w:hAnsi="Arial" w:cs="Arial"/>
                <w:bCs/>
                <w:color w:val="auto"/>
                <w:sz w:val="24"/>
                <w:highlight w:val="none"/>
              </w:rPr>
              <w:t>2.2.1.4</w:t>
            </w:r>
            <w:r>
              <w:rPr>
                <w:rFonts w:ascii="Arial" w:hAnsi="Arial" w:cs="Arial"/>
                <w:bCs/>
                <w:color w:val="auto"/>
                <w:sz w:val="24"/>
                <w:highlight w:val="none"/>
              </w:rPr>
              <w:tab/>
            </w:r>
            <w:r>
              <w:rPr>
                <w:rFonts w:ascii="Arial" w:hAnsi="Arial" w:cs="Arial"/>
                <w:bCs/>
                <w:color w:val="auto"/>
                <w:sz w:val="24"/>
                <w:highlight w:val="none"/>
              </w:rPr>
              <w:t>旋转部分部件和电缆的紧固检查测试</w:t>
            </w:r>
          </w:p>
          <w:p w14:paraId="29076EAE">
            <w:pPr>
              <w:rPr>
                <w:rFonts w:ascii="Arial" w:hAnsi="Arial" w:cs="Arial"/>
                <w:bCs/>
                <w:color w:val="auto"/>
                <w:sz w:val="24"/>
                <w:highlight w:val="none"/>
              </w:rPr>
            </w:pPr>
            <w:r>
              <w:rPr>
                <w:rFonts w:ascii="Arial" w:hAnsi="Arial" w:cs="Arial"/>
                <w:bCs/>
                <w:color w:val="auto"/>
                <w:sz w:val="24"/>
                <w:highlight w:val="none"/>
              </w:rPr>
              <w:t>2.2.1.5</w:t>
            </w:r>
            <w:r>
              <w:rPr>
                <w:rFonts w:ascii="Arial" w:hAnsi="Arial" w:cs="Arial"/>
                <w:bCs/>
                <w:color w:val="auto"/>
                <w:sz w:val="24"/>
                <w:highlight w:val="none"/>
              </w:rPr>
              <w:tab/>
            </w:r>
            <w:r>
              <w:rPr>
                <w:rFonts w:ascii="Arial" w:hAnsi="Arial" w:cs="Arial"/>
                <w:bCs/>
                <w:color w:val="auto"/>
                <w:sz w:val="24"/>
                <w:highlight w:val="none"/>
              </w:rPr>
              <w:t>运行环境和辐射警示检查</w:t>
            </w:r>
          </w:p>
          <w:p w14:paraId="2837F370">
            <w:pPr>
              <w:rPr>
                <w:rFonts w:ascii="Arial" w:hAnsi="Arial" w:cs="Arial"/>
                <w:bCs/>
                <w:color w:val="auto"/>
                <w:sz w:val="24"/>
                <w:highlight w:val="none"/>
              </w:rPr>
            </w:pPr>
            <w:r>
              <w:rPr>
                <w:rFonts w:ascii="Arial" w:hAnsi="Arial" w:cs="Arial"/>
                <w:bCs/>
                <w:color w:val="auto"/>
                <w:sz w:val="24"/>
                <w:highlight w:val="none"/>
              </w:rPr>
              <w:t>2.2.1.6</w:t>
            </w:r>
            <w:r>
              <w:rPr>
                <w:rFonts w:ascii="Arial" w:hAnsi="Arial" w:cs="Arial"/>
                <w:bCs/>
                <w:color w:val="auto"/>
                <w:sz w:val="24"/>
                <w:highlight w:val="none"/>
              </w:rPr>
              <w:tab/>
            </w:r>
            <w:r>
              <w:rPr>
                <w:rFonts w:ascii="Arial" w:hAnsi="Arial" w:cs="Arial"/>
                <w:bCs/>
                <w:color w:val="auto"/>
                <w:sz w:val="24"/>
                <w:highlight w:val="none"/>
              </w:rPr>
              <w:t xml:space="preserve">备份系统数据 </w:t>
            </w:r>
          </w:p>
          <w:p w14:paraId="67BED691">
            <w:pPr>
              <w:rPr>
                <w:rFonts w:ascii="Arial" w:hAnsi="Arial" w:cs="Arial"/>
                <w:bCs/>
                <w:color w:val="auto"/>
                <w:sz w:val="24"/>
                <w:highlight w:val="none"/>
              </w:rPr>
            </w:pPr>
            <w:r>
              <w:rPr>
                <w:rFonts w:ascii="Arial" w:hAnsi="Arial" w:cs="Arial"/>
                <w:bCs/>
                <w:color w:val="auto"/>
                <w:sz w:val="24"/>
                <w:highlight w:val="none"/>
              </w:rPr>
              <w:t>2.2.2</w:t>
            </w:r>
            <w:r>
              <w:rPr>
                <w:rFonts w:ascii="Arial" w:hAnsi="Arial" w:cs="Arial"/>
                <w:bCs/>
                <w:color w:val="auto"/>
                <w:sz w:val="24"/>
                <w:highlight w:val="none"/>
              </w:rPr>
              <w:tab/>
            </w:r>
            <w:r>
              <w:rPr>
                <w:rFonts w:ascii="Arial" w:hAnsi="Arial" w:cs="Arial"/>
                <w:bCs/>
                <w:color w:val="auto"/>
                <w:sz w:val="24"/>
                <w:highlight w:val="none"/>
              </w:rPr>
              <w:t>定位精度相关项目检测和校准，保证扫描精度</w:t>
            </w:r>
          </w:p>
          <w:p w14:paraId="1649DF8A">
            <w:pPr>
              <w:rPr>
                <w:rFonts w:ascii="Arial" w:hAnsi="Arial" w:cs="Arial"/>
                <w:bCs/>
                <w:color w:val="auto"/>
                <w:sz w:val="24"/>
                <w:highlight w:val="none"/>
              </w:rPr>
            </w:pPr>
            <w:r>
              <w:rPr>
                <w:rFonts w:ascii="Arial" w:hAnsi="Arial" w:cs="Arial"/>
                <w:bCs/>
                <w:color w:val="auto"/>
                <w:sz w:val="24"/>
                <w:highlight w:val="none"/>
              </w:rPr>
              <w:t>2.2.2.1</w:t>
            </w:r>
            <w:r>
              <w:rPr>
                <w:rFonts w:ascii="Arial" w:hAnsi="Arial" w:cs="Arial"/>
                <w:bCs/>
                <w:color w:val="auto"/>
                <w:sz w:val="24"/>
                <w:highlight w:val="none"/>
              </w:rPr>
              <w:tab/>
            </w:r>
            <w:r>
              <w:rPr>
                <w:rFonts w:ascii="Arial" w:hAnsi="Arial" w:cs="Arial"/>
                <w:bCs/>
                <w:color w:val="auto"/>
                <w:sz w:val="24"/>
                <w:highlight w:val="none"/>
              </w:rPr>
              <w:t xml:space="preserve">定位灯位置检查 </w:t>
            </w:r>
          </w:p>
          <w:p w14:paraId="7C1722E4">
            <w:pPr>
              <w:rPr>
                <w:rFonts w:ascii="Arial" w:hAnsi="Arial" w:cs="Arial"/>
                <w:bCs/>
                <w:color w:val="auto"/>
                <w:sz w:val="24"/>
                <w:highlight w:val="none"/>
              </w:rPr>
            </w:pPr>
            <w:r>
              <w:rPr>
                <w:rFonts w:ascii="Arial" w:hAnsi="Arial" w:cs="Arial"/>
                <w:bCs/>
                <w:color w:val="auto"/>
                <w:sz w:val="24"/>
                <w:highlight w:val="none"/>
              </w:rPr>
              <w:t>2.2.2.2</w:t>
            </w:r>
            <w:r>
              <w:rPr>
                <w:rFonts w:ascii="Arial" w:hAnsi="Arial" w:cs="Arial"/>
                <w:bCs/>
                <w:color w:val="auto"/>
                <w:sz w:val="24"/>
                <w:highlight w:val="none"/>
              </w:rPr>
              <w:tab/>
            </w:r>
            <w:r>
              <w:rPr>
                <w:rFonts w:ascii="Arial" w:hAnsi="Arial" w:cs="Arial"/>
                <w:bCs/>
                <w:color w:val="auto"/>
                <w:sz w:val="24"/>
                <w:highlight w:val="none"/>
              </w:rPr>
              <w:t>机架旋转编码器状态检查</w:t>
            </w:r>
          </w:p>
          <w:p w14:paraId="28D1EE14">
            <w:pPr>
              <w:rPr>
                <w:rFonts w:ascii="Arial" w:hAnsi="Arial" w:cs="Arial"/>
                <w:bCs/>
                <w:color w:val="auto"/>
                <w:sz w:val="24"/>
                <w:highlight w:val="none"/>
              </w:rPr>
            </w:pPr>
            <w:r>
              <w:rPr>
                <w:rFonts w:ascii="Arial" w:hAnsi="Arial" w:cs="Arial"/>
                <w:bCs/>
                <w:color w:val="auto"/>
                <w:sz w:val="24"/>
                <w:highlight w:val="none"/>
              </w:rPr>
              <w:t>2.2.2.3</w:t>
            </w:r>
            <w:r>
              <w:rPr>
                <w:rFonts w:ascii="Arial" w:hAnsi="Arial" w:cs="Arial"/>
                <w:bCs/>
                <w:color w:val="auto"/>
                <w:sz w:val="24"/>
                <w:highlight w:val="none"/>
              </w:rPr>
              <w:tab/>
            </w:r>
            <w:r>
              <w:rPr>
                <w:rFonts w:ascii="Arial" w:hAnsi="Arial" w:cs="Arial"/>
                <w:bCs/>
                <w:color w:val="auto"/>
                <w:sz w:val="24"/>
                <w:highlight w:val="none"/>
              </w:rPr>
              <w:t>机架主轴承和床运动轨道的检查和润滑</w:t>
            </w:r>
          </w:p>
          <w:p w14:paraId="38B4526D">
            <w:pPr>
              <w:rPr>
                <w:rFonts w:ascii="Arial" w:hAnsi="Arial" w:cs="Arial"/>
                <w:bCs/>
                <w:color w:val="auto"/>
                <w:sz w:val="24"/>
                <w:highlight w:val="none"/>
              </w:rPr>
            </w:pPr>
            <w:r>
              <w:rPr>
                <w:rFonts w:ascii="Arial" w:hAnsi="Arial" w:cs="Arial"/>
                <w:bCs/>
                <w:color w:val="auto"/>
                <w:sz w:val="24"/>
                <w:highlight w:val="none"/>
              </w:rPr>
              <w:t>2.2.2.4</w:t>
            </w:r>
            <w:r>
              <w:rPr>
                <w:rFonts w:ascii="Arial" w:hAnsi="Arial" w:cs="Arial"/>
                <w:bCs/>
                <w:color w:val="auto"/>
                <w:sz w:val="24"/>
                <w:highlight w:val="none"/>
              </w:rPr>
              <w:tab/>
            </w:r>
            <w:r>
              <w:rPr>
                <w:rFonts w:ascii="Arial" w:hAnsi="Arial" w:cs="Arial"/>
                <w:bCs/>
                <w:color w:val="auto"/>
                <w:sz w:val="24"/>
                <w:highlight w:val="none"/>
              </w:rPr>
              <w:t>扫描床移动、升降和防挤压开关检查</w:t>
            </w:r>
          </w:p>
          <w:p w14:paraId="0A3385BB">
            <w:pPr>
              <w:rPr>
                <w:rFonts w:ascii="Arial" w:hAnsi="Arial" w:cs="Arial"/>
                <w:bCs/>
                <w:color w:val="auto"/>
                <w:sz w:val="24"/>
                <w:highlight w:val="none"/>
              </w:rPr>
            </w:pPr>
            <w:r>
              <w:rPr>
                <w:rFonts w:ascii="Arial" w:hAnsi="Arial" w:cs="Arial"/>
                <w:bCs/>
                <w:color w:val="auto"/>
                <w:sz w:val="24"/>
                <w:highlight w:val="none"/>
              </w:rPr>
              <w:t>2.2.2.5</w:t>
            </w:r>
            <w:r>
              <w:rPr>
                <w:rFonts w:ascii="Arial" w:hAnsi="Arial" w:cs="Arial"/>
                <w:bCs/>
                <w:color w:val="auto"/>
                <w:sz w:val="24"/>
                <w:highlight w:val="none"/>
              </w:rPr>
              <w:tab/>
            </w:r>
            <w:r>
              <w:rPr>
                <w:rFonts w:ascii="Arial" w:hAnsi="Arial" w:cs="Arial"/>
                <w:bCs/>
                <w:color w:val="auto"/>
                <w:sz w:val="24"/>
                <w:highlight w:val="none"/>
              </w:rPr>
              <w:t>检查准直器窗口</w:t>
            </w:r>
          </w:p>
          <w:p w14:paraId="126062B4">
            <w:pPr>
              <w:rPr>
                <w:rFonts w:ascii="Arial" w:hAnsi="Arial" w:cs="Arial"/>
                <w:bCs/>
                <w:color w:val="auto"/>
                <w:sz w:val="24"/>
                <w:highlight w:val="none"/>
              </w:rPr>
            </w:pPr>
            <w:r>
              <w:rPr>
                <w:rFonts w:ascii="Arial" w:hAnsi="Arial" w:cs="Arial"/>
                <w:bCs/>
                <w:color w:val="auto"/>
                <w:sz w:val="24"/>
                <w:highlight w:val="none"/>
              </w:rPr>
              <w:t>2.2.2.6</w:t>
            </w:r>
            <w:r>
              <w:rPr>
                <w:rFonts w:ascii="Arial" w:hAnsi="Arial" w:cs="Arial"/>
                <w:bCs/>
                <w:color w:val="auto"/>
                <w:sz w:val="24"/>
                <w:highlight w:val="none"/>
              </w:rPr>
              <w:tab/>
            </w:r>
            <w:r>
              <w:rPr>
                <w:rFonts w:ascii="Arial" w:hAnsi="Arial" w:cs="Arial"/>
                <w:bCs/>
                <w:color w:val="auto"/>
                <w:sz w:val="24"/>
                <w:highlight w:val="none"/>
              </w:rPr>
              <w:t>检查球管散热系统和探测器恒温系统是否漏油和漏液</w:t>
            </w:r>
          </w:p>
          <w:p w14:paraId="472DA199">
            <w:pPr>
              <w:rPr>
                <w:rFonts w:ascii="Arial" w:hAnsi="Arial" w:cs="Arial"/>
                <w:bCs/>
                <w:color w:val="auto"/>
                <w:sz w:val="24"/>
                <w:highlight w:val="none"/>
              </w:rPr>
            </w:pPr>
            <w:r>
              <w:rPr>
                <w:rFonts w:ascii="Arial" w:hAnsi="Arial" w:cs="Arial"/>
                <w:bCs/>
                <w:color w:val="auto"/>
                <w:sz w:val="24"/>
                <w:highlight w:val="none"/>
              </w:rPr>
              <w:t>2.2.3</w:t>
            </w:r>
            <w:r>
              <w:rPr>
                <w:rFonts w:ascii="Arial" w:hAnsi="Arial" w:cs="Arial"/>
                <w:bCs/>
                <w:color w:val="auto"/>
                <w:sz w:val="24"/>
                <w:highlight w:val="none"/>
              </w:rPr>
              <w:tab/>
            </w:r>
            <w:r>
              <w:rPr>
                <w:rFonts w:ascii="Arial" w:hAnsi="Arial" w:cs="Arial"/>
                <w:bCs/>
                <w:color w:val="auto"/>
                <w:sz w:val="24"/>
                <w:highlight w:val="none"/>
              </w:rPr>
              <w:t>辐射剂量相关项目检测和校准，避免额外辐射</w:t>
            </w:r>
          </w:p>
          <w:p w14:paraId="194F125C">
            <w:pPr>
              <w:rPr>
                <w:rFonts w:ascii="Arial" w:hAnsi="Arial" w:cs="Arial"/>
                <w:bCs/>
                <w:color w:val="auto"/>
                <w:sz w:val="24"/>
                <w:highlight w:val="none"/>
              </w:rPr>
            </w:pPr>
            <w:r>
              <w:rPr>
                <w:rFonts w:ascii="Arial" w:hAnsi="Arial" w:cs="Arial"/>
                <w:bCs/>
                <w:color w:val="auto"/>
                <w:sz w:val="24"/>
                <w:highlight w:val="none"/>
              </w:rPr>
              <w:t>2.2.3.1</w:t>
            </w:r>
            <w:r>
              <w:rPr>
                <w:rFonts w:ascii="Arial" w:hAnsi="Arial" w:cs="Arial"/>
                <w:bCs/>
                <w:color w:val="auto"/>
                <w:sz w:val="24"/>
                <w:highlight w:val="none"/>
              </w:rPr>
              <w:tab/>
            </w:r>
            <w:r>
              <w:rPr>
                <w:rFonts w:ascii="Arial" w:hAnsi="Arial" w:cs="Arial"/>
                <w:bCs/>
                <w:color w:val="auto"/>
                <w:sz w:val="24"/>
                <w:highlight w:val="none"/>
              </w:rPr>
              <w:t>准直器走位精度检测和校准</w:t>
            </w:r>
          </w:p>
          <w:p w14:paraId="3A7BE328">
            <w:pPr>
              <w:rPr>
                <w:rFonts w:ascii="Arial" w:hAnsi="Arial" w:cs="Arial"/>
                <w:bCs/>
                <w:color w:val="auto"/>
                <w:sz w:val="24"/>
                <w:highlight w:val="none"/>
              </w:rPr>
            </w:pPr>
            <w:r>
              <w:rPr>
                <w:rFonts w:ascii="Arial" w:hAnsi="Arial" w:cs="Arial"/>
                <w:bCs/>
                <w:color w:val="auto"/>
                <w:sz w:val="24"/>
                <w:highlight w:val="none"/>
              </w:rPr>
              <w:t>2.2.3.2</w:t>
            </w:r>
            <w:r>
              <w:rPr>
                <w:rFonts w:ascii="Arial" w:hAnsi="Arial" w:cs="Arial"/>
                <w:bCs/>
                <w:color w:val="auto"/>
                <w:sz w:val="24"/>
                <w:highlight w:val="none"/>
              </w:rPr>
              <w:tab/>
            </w:r>
            <w:r>
              <w:rPr>
                <w:rFonts w:ascii="Arial" w:hAnsi="Arial" w:cs="Arial"/>
                <w:bCs/>
                <w:color w:val="auto"/>
                <w:sz w:val="24"/>
                <w:highlight w:val="none"/>
              </w:rPr>
              <w:t>探测器温度、温控系统、数据通道检测</w:t>
            </w:r>
          </w:p>
          <w:p w14:paraId="7A2DBF61">
            <w:pPr>
              <w:rPr>
                <w:rFonts w:ascii="Arial" w:hAnsi="Arial" w:cs="Arial"/>
                <w:bCs/>
                <w:color w:val="auto"/>
                <w:sz w:val="24"/>
                <w:highlight w:val="none"/>
              </w:rPr>
            </w:pPr>
            <w:r>
              <w:rPr>
                <w:rFonts w:ascii="Arial" w:hAnsi="Arial" w:cs="Arial"/>
                <w:bCs/>
                <w:color w:val="auto"/>
                <w:sz w:val="24"/>
                <w:highlight w:val="none"/>
              </w:rPr>
              <w:t>2.2.3.3</w:t>
            </w:r>
            <w:r>
              <w:rPr>
                <w:rFonts w:ascii="Arial" w:hAnsi="Arial" w:cs="Arial"/>
                <w:bCs/>
                <w:color w:val="auto"/>
                <w:sz w:val="24"/>
                <w:highlight w:val="none"/>
              </w:rPr>
              <w:tab/>
            </w:r>
            <w:r>
              <w:rPr>
                <w:rFonts w:ascii="Arial" w:hAnsi="Arial" w:cs="Arial"/>
                <w:bCs/>
                <w:color w:val="auto"/>
                <w:sz w:val="24"/>
                <w:highlight w:val="none"/>
              </w:rPr>
              <w:t>球管灯丝检查</w:t>
            </w:r>
          </w:p>
          <w:p w14:paraId="33E39249">
            <w:pPr>
              <w:rPr>
                <w:rFonts w:ascii="Arial" w:hAnsi="Arial" w:cs="Arial"/>
                <w:bCs/>
                <w:color w:val="auto"/>
                <w:sz w:val="24"/>
                <w:highlight w:val="none"/>
              </w:rPr>
            </w:pPr>
            <w:r>
              <w:rPr>
                <w:rFonts w:ascii="Arial" w:hAnsi="Arial" w:cs="Arial"/>
                <w:bCs/>
                <w:color w:val="auto"/>
                <w:sz w:val="24"/>
                <w:highlight w:val="none"/>
              </w:rPr>
              <w:t>2.2.3.4</w:t>
            </w:r>
            <w:r>
              <w:rPr>
                <w:rFonts w:ascii="Arial" w:hAnsi="Arial" w:cs="Arial"/>
                <w:bCs/>
                <w:color w:val="auto"/>
                <w:sz w:val="24"/>
                <w:highlight w:val="none"/>
              </w:rPr>
              <w:tab/>
            </w:r>
            <w:r>
              <w:rPr>
                <w:rFonts w:ascii="Arial" w:hAnsi="Arial" w:cs="Arial"/>
                <w:bCs/>
                <w:color w:val="auto"/>
                <w:sz w:val="24"/>
                <w:highlight w:val="none"/>
              </w:rPr>
              <w:t>管电流的反馈检测和确认</w:t>
            </w:r>
          </w:p>
          <w:p w14:paraId="1DBD0AF2">
            <w:pPr>
              <w:rPr>
                <w:rFonts w:ascii="Arial" w:hAnsi="Arial" w:cs="Arial"/>
                <w:bCs/>
                <w:color w:val="auto"/>
                <w:sz w:val="24"/>
                <w:highlight w:val="none"/>
              </w:rPr>
            </w:pPr>
            <w:r>
              <w:rPr>
                <w:rFonts w:ascii="Arial" w:hAnsi="Arial" w:cs="Arial"/>
                <w:bCs/>
                <w:color w:val="auto"/>
                <w:sz w:val="24"/>
                <w:highlight w:val="none"/>
              </w:rPr>
              <w:t>2.2.3.5</w:t>
            </w:r>
            <w:r>
              <w:rPr>
                <w:rFonts w:ascii="Arial" w:hAnsi="Arial" w:cs="Arial"/>
                <w:bCs/>
                <w:color w:val="auto"/>
                <w:sz w:val="24"/>
                <w:highlight w:val="none"/>
              </w:rPr>
              <w:tab/>
            </w:r>
            <w:r>
              <w:rPr>
                <w:rFonts w:ascii="Arial" w:hAnsi="Arial" w:cs="Arial"/>
                <w:bCs/>
                <w:color w:val="auto"/>
                <w:sz w:val="24"/>
                <w:highlight w:val="none"/>
              </w:rPr>
              <w:t>管电压的准确性检测和确认</w:t>
            </w:r>
          </w:p>
          <w:p w14:paraId="035E18B2">
            <w:pPr>
              <w:rPr>
                <w:rFonts w:ascii="Arial" w:hAnsi="Arial" w:cs="Arial"/>
                <w:bCs/>
                <w:color w:val="auto"/>
                <w:sz w:val="24"/>
                <w:highlight w:val="none"/>
              </w:rPr>
            </w:pPr>
            <w:r>
              <w:rPr>
                <w:rFonts w:ascii="Arial" w:hAnsi="Arial" w:cs="Arial"/>
                <w:bCs/>
                <w:color w:val="auto"/>
                <w:sz w:val="24"/>
                <w:highlight w:val="none"/>
              </w:rPr>
              <w:t>2.2.3.6</w:t>
            </w:r>
            <w:r>
              <w:rPr>
                <w:rFonts w:ascii="Arial" w:hAnsi="Arial" w:cs="Arial"/>
                <w:bCs/>
                <w:color w:val="auto"/>
                <w:sz w:val="24"/>
                <w:highlight w:val="none"/>
              </w:rPr>
              <w:tab/>
            </w:r>
            <w:r>
              <w:rPr>
                <w:rFonts w:ascii="Arial" w:hAnsi="Arial" w:cs="Arial"/>
                <w:bCs/>
                <w:color w:val="auto"/>
                <w:sz w:val="24"/>
                <w:highlight w:val="none"/>
              </w:rPr>
              <w:t>曝光时间的精确度检测和确认</w:t>
            </w:r>
          </w:p>
          <w:p w14:paraId="784F7B58">
            <w:pPr>
              <w:rPr>
                <w:rFonts w:ascii="Arial" w:hAnsi="Arial" w:cs="Arial"/>
                <w:bCs/>
                <w:color w:val="auto"/>
                <w:sz w:val="24"/>
                <w:highlight w:val="none"/>
              </w:rPr>
            </w:pPr>
            <w:r>
              <w:rPr>
                <w:rFonts w:ascii="Arial" w:hAnsi="Arial" w:cs="Arial"/>
                <w:bCs/>
                <w:color w:val="auto"/>
                <w:sz w:val="24"/>
                <w:highlight w:val="none"/>
              </w:rPr>
              <w:t>2.2.3.7</w:t>
            </w:r>
            <w:r>
              <w:rPr>
                <w:rFonts w:ascii="Arial" w:hAnsi="Arial" w:cs="Arial"/>
                <w:bCs/>
                <w:color w:val="auto"/>
                <w:sz w:val="24"/>
                <w:highlight w:val="none"/>
              </w:rPr>
              <w:tab/>
            </w:r>
            <w:r>
              <w:rPr>
                <w:rFonts w:ascii="Arial" w:hAnsi="Arial" w:cs="Arial"/>
                <w:bCs/>
                <w:color w:val="auto"/>
                <w:sz w:val="24"/>
                <w:highlight w:val="none"/>
              </w:rPr>
              <w:t>焦点验证</w:t>
            </w:r>
          </w:p>
          <w:p w14:paraId="6C89B68B">
            <w:pPr>
              <w:rPr>
                <w:rFonts w:ascii="Arial" w:hAnsi="Arial" w:cs="Arial"/>
                <w:bCs/>
                <w:color w:val="auto"/>
                <w:sz w:val="24"/>
                <w:highlight w:val="none"/>
              </w:rPr>
            </w:pPr>
            <w:r>
              <w:rPr>
                <w:rFonts w:ascii="Arial" w:hAnsi="Arial" w:cs="Arial"/>
                <w:bCs/>
                <w:color w:val="auto"/>
                <w:sz w:val="24"/>
                <w:highlight w:val="none"/>
              </w:rPr>
              <w:t>2.2.3.8</w:t>
            </w:r>
            <w:r>
              <w:rPr>
                <w:rFonts w:ascii="Arial" w:hAnsi="Arial" w:cs="Arial"/>
                <w:bCs/>
                <w:color w:val="auto"/>
                <w:sz w:val="24"/>
                <w:highlight w:val="none"/>
              </w:rPr>
              <w:tab/>
            </w:r>
            <w:r>
              <w:rPr>
                <w:rFonts w:ascii="Arial" w:hAnsi="Arial" w:cs="Arial"/>
                <w:bCs/>
                <w:color w:val="auto"/>
                <w:sz w:val="24"/>
                <w:highlight w:val="none"/>
              </w:rPr>
              <w:t>HHS扫描</w:t>
            </w:r>
          </w:p>
          <w:p w14:paraId="14EEDB45">
            <w:pPr>
              <w:rPr>
                <w:rFonts w:ascii="Arial" w:hAnsi="Arial" w:cs="Arial"/>
                <w:bCs/>
                <w:color w:val="auto"/>
                <w:sz w:val="24"/>
                <w:highlight w:val="none"/>
              </w:rPr>
            </w:pPr>
            <w:r>
              <w:rPr>
                <w:rFonts w:ascii="Arial" w:hAnsi="Arial" w:cs="Arial"/>
                <w:bCs/>
                <w:color w:val="auto"/>
                <w:sz w:val="24"/>
                <w:highlight w:val="none"/>
              </w:rPr>
              <w:t>2.2.3.9</w:t>
            </w:r>
            <w:r>
              <w:rPr>
                <w:rFonts w:ascii="Arial" w:hAnsi="Arial" w:cs="Arial"/>
                <w:bCs/>
                <w:color w:val="auto"/>
                <w:sz w:val="24"/>
                <w:highlight w:val="none"/>
              </w:rPr>
              <w:tab/>
            </w:r>
            <w:r>
              <w:rPr>
                <w:rFonts w:ascii="Arial" w:hAnsi="Arial" w:cs="Arial"/>
                <w:bCs/>
                <w:color w:val="auto"/>
                <w:sz w:val="24"/>
                <w:highlight w:val="none"/>
              </w:rPr>
              <w:t>mA测试点精度</w:t>
            </w:r>
          </w:p>
          <w:p w14:paraId="23CAC37D">
            <w:pPr>
              <w:rPr>
                <w:rFonts w:ascii="Arial" w:hAnsi="Arial" w:cs="Arial"/>
                <w:bCs/>
                <w:color w:val="auto"/>
                <w:sz w:val="24"/>
                <w:highlight w:val="none"/>
              </w:rPr>
            </w:pPr>
            <w:r>
              <w:rPr>
                <w:rFonts w:ascii="Arial" w:hAnsi="Arial" w:cs="Arial"/>
                <w:bCs/>
                <w:color w:val="auto"/>
                <w:sz w:val="24"/>
                <w:highlight w:val="none"/>
              </w:rPr>
              <w:t>2.2.3.10</w:t>
            </w:r>
            <w:r>
              <w:rPr>
                <w:rFonts w:ascii="Arial" w:hAnsi="Arial" w:cs="Arial"/>
                <w:bCs/>
                <w:color w:val="auto"/>
                <w:sz w:val="24"/>
                <w:highlight w:val="none"/>
              </w:rPr>
              <w:tab/>
            </w:r>
            <w:r>
              <w:rPr>
                <w:rFonts w:ascii="Arial" w:hAnsi="Arial" w:cs="Arial"/>
                <w:bCs/>
                <w:color w:val="auto"/>
                <w:sz w:val="24"/>
                <w:highlight w:val="none"/>
              </w:rPr>
              <w:t>kV测试点精度</w:t>
            </w:r>
          </w:p>
          <w:p w14:paraId="09ED6918">
            <w:pPr>
              <w:rPr>
                <w:rFonts w:ascii="Arial" w:hAnsi="Arial" w:cs="Arial"/>
                <w:bCs/>
                <w:color w:val="auto"/>
                <w:sz w:val="24"/>
                <w:highlight w:val="none"/>
              </w:rPr>
            </w:pPr>
            <w:r>
              <w:rPr>
                <w:rFonts w:ascii="Arial" w:hAnsi="Arial" w:cs="Arial"/>
                <w:bCs/>
                <w:color w:val="auto"/>
                <w:sz w:val="24"/>
                <w:highlight w:val="none"/>
              </w:rPr>
              <w:t>2.2.3.11</w:t>
            </w:r>
            <w:r>
              <w:rPr>
                <w:rFonts w:ascii="Arial" w:hAnsi="Arial" w:cs="Arial"/>
                <w:bCs/>
                <w:color w:val="auto"/>
                <w:sz w:val="24"/>
                <w:highlight w:val="none"/>
              </w:rPr>
              <w:tab/>
            </w:r>
            <w:r>
              <w:rPr>
                <w:rFonts w:ascii="Arial" w:hAnsi="Arial" w:cs="Arial"/>
                <w:bCs/>
                <w:color w:val="auto"/>
                <w:sz w:val="24"/>
                <w:highlight w:val="none"/>
              </w:rPr>
              <w:t>HHS数据归档</w:t>
            </w:r>
          </w:p>
          <w:p w14:paraId="4D9BBA1D">
            <w:pPr>
              <w:rPr>
                <w:rFonts w:ascii="Arial" w:hAnsi="Arial" w:cs="Arial"/>
                <w:bCs/>
                <w:color w:val="auto"/>
                <w:sz w:val="24"/>
                <w:highlight w:val="none"/>
              </w:rPr>
            </w:pPr>
            <w:r>
              <w:rPr>
                <w:rFonts w:ascii="Arial" w:hAnsi="Arial" w:cs="Arial"/>
                <w:bCs/>
                <w:color w:val="auto"/>
                <w:sz w:val="24"/>
                <w:highlight w:val="none"/>
              </w:rPr>
              <w:t>2.2.4</w:t>
            </w:r>
            <w:r>
              <w:rPr>
                <w:rFonts w:ascii="Arial" w:hAnsi="Arial" w:cs="Arial"/>
                <w:bCs/>
                <w:color w:val="auto"/>
                <w:sz w:val="24"/>
                <w:highlight w:val="none"/>
              </w:rPr>
              <w:tab/>
            </w:r>
            <w:r>
              <w:rPr>
                <w:rFonts w:ascii="Arial" w:hAnsi="Arial" w:cs="Arial"/>
                <w:bCs/>
                <w:color w:val="auto"/>
                <w:sz w:val="24"/>
                <w:highlight w:val="none"/>
              </w:rPr>
              <w:t>图像质量相关项目检测和校准，保证图像质量</w:t>
            </w:r>
          </w:p>
          <w:p w14:paraId="341843DE">
            <w:pPr>
              <w:rPr>
                <w:rFonts w:ascii="Arial" w:hAnsi="Arial" w:cs="Arial"/>
                <w:bCs/>
                <w:color w:val="auto"/>
                <w:sz w:val="24"/>
                <w:highlight w:val="none"/>
              </w:rPr>
            </w:pPr>
            <w:r>
              <w:rPr>
                <w:rFonts w:ascii="Arial" w:hAnsi="Arial" w:cs="Arial"/>
                <w:bCs/>
                <w:color w:val="auto"/>
                <w:sz w:val="24"/>
                <w:highlight w:val="none"/>
              </w:rPr>
              <w:t>2.2.4.1</w:t>
            </w:r>
            <w:r>
              <w:rPr>
                <w:rFonts w:ascii="Arial" w:hAnsi="Arial" w:cs="Arial"/>
                <w:bCs/>
                <w:color w:val="auto"/>
                <w:sz w:val="24"/>
                <w:highlight w:val="none"/>
              </w:rPr>
              <w:tab/>
            </w:r>
            <w:r>
              <w:rPr>
                <w:rFonts w:ascii="Arial" w:hAnsi="Arial" w:cs="Arial"/>
                <w:bCs/>
                <w:color w:val="auto"/>
                <w:sz w:val="24"/>
                <w:highlight w:val="none"/>
              </w:rPr>
              <w:t>扫描窗口和准直器窗口的检查和校准</w:t>
            </w:r>
          </w:p>
          <w:p w14:paraId="3742FBCF">
            <w:pPr>
              <w:rPr>
                <w:rFonts w:ascii="Arial" w:hAnsi="Arial" w:cs="Arial"/>
                <w:bCs/>
                <w:color w:val="auto"/>
                <w:sz w:val="24"/>
                <w:highlight w:val="none"/>
              </w:rPr>
            </w:pPr>
            <w:r>
              <w:rPr>
                <w:rFonts w:ascii="Arial" w:hAnsi="Arial" w:cs="Arial"/>
                <w:bCs/>
                <w:color w:val="auto"/>
                <w:sz w:val="24"/>
                <w:highlight w:val="none"/>
              </w:rPr>
              <w:t>2.2.4.2</w:t>
            </w:r>
            <w:r>
              <w:rPr>
                <w:rFonts w:ascii="Arial" w:hAnsi="Arial" w:cs="Arial"/>
                <w:bCs/>
                <w:color w:val="auto"/>
                <w:sz w:val="24"/>
                <w:highlight w:val="none"/>
              </w:rPr>
              <w:tab/>
            </w:r>
            <w:r>
              <w:rPr>
                <w:rFonts w:ascii="Arial" w:hAnsi="Arial" w:cs="Arial"/>
                <w:bCs/>
                <w:color w:val="auto"/>
                <w:sz w:val="24"/>
                <w:highlight w:val="none"/>
              </w:rPr>
              <w:t>设备系统扫描测试，图像伪影检查和校准</w:t>
            </w:r>
          </w:p>
          <w:p w14:paraId="14393936">
            <w:pPr>
              <w:rPr>
                <w:rFonts w:ascii="Arial" w:hAnsi="Arial" w:cs="Arial"/>
                <w:bCs/>
                <w:color w:val="auto"/>
                <w:sz w:val="24"/>
                <w:highlight w:val="none"/>
              </w:rPr>
            </w:pPr>
            <w:r>
              <w:rPr>
                <w:rFonts w:ascii="Arial" w:hAnsi="Arial" w:cs="Arial"/>
                <w:bCs/>
                <w:color w:val="auto"/>
                <w:sz w:val="24"/>
                <w:highlight w:val="none"/>
              </w:rPr>
              <w:t>2.2.4.3</w:t>
            </w:r>
            <w:r>
              <w:rPr>
                <w:rFonts w:ascii="Arial" w:hAnsi="Arial" w:cs="Arial"/>
                <w:bCs/>
                <w:color w:val="auto"/>
                <w:sz w:val="24"/>
                <w:highlight w:val="none"/>
              </w:rPr>
              <w:tab/>
            </w:r>
            <w:r>
              <w:rPr>
                <w:rFonts w:ascii="Arial" w:hAnsi="Arial" w:cs="Arial"/>
                <w:bCs/>
                <w:color w:val="auto"/>
                <w:sz w:val="24"/>
                <w:highlight w:val="none"/>
              </w:rPr>
              <w:t>定位像/自动语音扫描测试和校准</w:t>
            </w:r>
          </w:p>
          <w:p w14:paraId="05727B30">
            <w:pPr>
              <w:rPr>
                <w:rFonts w:ascii="Arial" w:hAnsi="Arial" w:cs="Arial"/>
                <w:bCs/>
                <w:color w:val="auto"/>
                <w:sz w:val="24"/>
                <w:highlight w:val="none"/>
              </w:rPr>
            </w:pPr>
            <w:r>
              <w:rPr>
                <w:rFonts w:ascii="Arial" w:hAnsi="Arial" w:cs="Arial"/>
                <w:bCs/>
                <w:color w:val="auto"/>
                <w:sz w:val="24"/>
                <w:highlight w:val="none"/>
              </w:rPr>
              <w:t>2.2.4.4</w:t>
            </w:r>
            <w:r>
              <w:rPr>
                <w:rFonts w:ascii="Arial" w:hAnsi="Arial" w:cs="Arial"/>
                <w:bCs/>
                <w:color w:val="auto"/>
                <w:sz w:val="24"/>
                <w:highlight w:val="none"/>
              </w:rPr>
              <w:tab/>
            </w:r>
            <w:r>
              <w:rPr>
                <w:rFonts w:ascii="Arial" w:hAnsi="Arial" w:cs="Arial"/>
                <w:bCs/>
                <w:color w:val="auto"/>
                <w:sz w:val="24"/>
                <w:highlight w:val="none"/>
              </w:rPr>
              <w:t>图像质量QA各指标的检测，专业模体校正</w:t>
            </w:r>
          </w:p>
          <w:p w14:paraId="3367F9F5">
            <w:pPr>
              <w:rPr>
                <w:rFonts w:ascii="Arial" w:hAnsi="Arial" w:cs="Arial"/>
                <w:bCs/>
                <w:color w:val="auto"/>
                <w:sz w:val="24"/>
                <w:highlight w:val="none"/>
              </w:rPr>
            </w:pPr>
            <w:r>
              <w:rPr>
                <w:rFonts w:ascii="Arial" w:hAnsi="Arial" w:cs="Arial"/>
                <w:bCs/>
                <w:color w:val="auto"/>
                <w:sz w:val="24"/>
                <w:highlight w:val="none"/>
              </w:rPr>
              <w:t>2.2.4.5</w:t>
            </w:r>
            <w:r>
              <w:rPr>
                <w:rFonts w:ascii="Arial" w:hAnsi="Arial" w:cs="Arial"/>
                <w:bCs/>
                <w:color w:val="auto"/>
                <w:sz w:val="24"/>
                <w:highlight w:val="none"/>
              </w:rPr>
              <w:tab/>
            </w:r>
            <w:r>
              <w:rPr>
                <w:rFonts w:ascii="Arial" w:hAnsi="Arial" w:cs="Arial"/>
                <w:bCs/>
                <w:color w:val="auto"/>
                <w:sz w:val="24"/>
                <w:highlight w:val="none"/>
              </w:rPr>
              <w:t>CT值准确性测试</w:t>
            </w:r>
          </w:p>
          <w:p w14:paraId="5FF2EDD7">
            <w:pPr>
              <w:rPr>
                <w:rFonts w:ascii="Arial" w:hAnsi="Arial" w:cs="Arial"/>
                <w:bCs/>
                <w:color w:val="auto"/>
                <w:sz w:val="24"/>
                <w:highlight w:val="none"/>
              </w:rPr>
            </w:pPr>
            <w:r>
              <w:rPr>
                <w:rFonts w:ascii="Arial" w:hAnsi="Arial" w:cs="Arial"/>
                <w:bCs/>
                <w:color w:val="auto"/>
                <w:sz w:val="24"/>
                <w:highlight w:val="none"/>
              </w:rPr>
              <w:t>2.2.4.6</w:t>
            </w:r>
            <w:r>
              <w:rPr>
                <w:rFonts w:ascii="Arial" w:hAnsi="Arial" w:cs="Arial"/>
                <w:bCs/>
                <w:color w:val="auto"/>
                <w:sz w:val="24"/>
                <w:highlight w:val="none"/>
              </w:rPr>
              <w:tab/>
            </w:r>
            <w:r>
              <w:rPr>
                <w:rFonts w:ascii="Arial" w:hAnsi="Arial" w:cs="Arial"/>
                <w:bCs/>
                <w:color w:val="auto"/>
                <w:sz w:val="24"/>
                <w:highlight w:val="none"/>
              </w:rPr>
              <w:t>CT值均匀性测试</w:t>
            </w:r>
          </w:p>
          <w:p w14:paraId="5A1B4464">
            <w:pPr>
              <w:rPr>
                <w:rFonts w:ascii="Arial" w:hAnsi="Arial" w:cs="Arial"/>
                <w:bCs/>
                <w:color w:val="auto"/>
                <w:sz w:val="24"/>
                <w:highlight w:val="none"/>
              </w:rPr>
            </w:pPr>
            <w:r>
              <w:rPr>
                <w:rFonts w:ascii="Arial" w:hAnsi="Arial" w:cs="Arial"/>
                <w:bCs/>
                <w:color w:val="auto"/>
                <w:sz w:val="24"/>
                <w:highlight w:val="none"/>
              </w:rPr>
              <w:t>2.2.4.7</w:t>
            </w:r>
            <w:r>
              <w:rPr>
                <w:rFonts w:ascii="Arial" w:hAnsi="Arial" w:cs="Arial"/>
                <w:bCs/>
                <w:color w:val="auto"/>
                <w:sz w:val="24"/>
                <w:highlight w:val="none"/>
              </w:rPr>
              <w:tab/>
            </w:r>
            <w:r>
              <w:rPr>
                <w:rFonts w:ascii="Arial" w:hAnsi="Arial" w:cs="Arial"/>
                <w:bCs/>
                <w:color w:val="auto"/>
                <w:sz w:val="24"/>
                <w:highlight w:val="none"/>
              </w:rPr>
              <w:t>图像噪声测试</w:t>
            </w:r>
          </w:p>
          <w:p w14:paraId="3ACDE1E1">
            <w:pPr>
              <w:rPr>
                <w:rFonts w:ascii="Arial" w:hAnsi="Arial" w:cs="Arial"/>
                <w:bCs/>
                <w:color w:val="auto"/>
                <w:sz w:val="24"/>
                <w:highlight w:val="none"/>
              </w:rPr>
            </w:pPr>
            <w:r>
              <w:rPr>
                <w:rFonts w:ascii="Arial" w:hAnsi="Arial" w:cs="Arial"/>
                <w:bCs/>
                <w:color w:val="auto"/>
                <w:sz w:val="24"/>
                <w:highlight w:val="none"/>
              </w:rPr>
              <w:t>2.2.4.8</w:t>
            </w:r>
            <w:r>
              <w:rPr>
                <w:rFonts w:ascii="Arial" w:hAnsi="Arial" w:cs="Arial"/>
                <w:bCs/>
                <w:color w:val="auto"/>
                <w:sz w:val="24"/>
                <w:highlight w:val="none"/>
              </w:rPr>
              <w:tab/>
            </w:r>
            <w:r>
              <w:rPr>
                <w:rFonts w:ascii="Arial" w:hAnsi="Arial" w:cs="Arial"/>
                <w:bCs/>
                <w:color w:val="auto"/>
                <w:sz w:val="24"/>
                <w:highlight w:val="none"/>
              </w:rPr>
              <w:t>图像对比度测试</w:t>
            </w:r>
          </w:p>
          <w:p w14:paraId="74EE21A2">
            <w:pPr>
              <w:rPr>
                <w:rFonts w:ascii="Arial" w:hAnsi="Arial" w:cs="Arial"/>
                <w:bCs/>
                <w:color w:val="auto"/>
                <w:sz w:val="24"/>
                <w:highlight w:val="none"/>
              </w:rPr>
            </w:pPr>
            <w:r>
              <w:rPr>
                <w:rFonts w:ascii="Arial" w:hAnsi="Arial" w:cs="Arial"/>
                <w:bCs/>
                <w:color w:val="auto"/>
                <w:sz w:val="24"/>
                <w:highlight w:val="none"/>
              </w:rPr>
              <w:t>2.3</w:t>
            </w:r>
            <w:r>
              <w:rPr>
                <w:rFonts w:ascii="Arial" w:hAnsi="Arial" w:cs="Arial"/>
                <w:bCs/>
                <w:color w:val="auto"/>
                <w:sz w:val="24"/>
                <w:highlight w:val="none"/>
              </w:rPr>
              <w:tab/>
            </w:r>
            <w:r>
              <w:rPr>
                <w:rFonts w:ascii="Arial" w:hAnsi="Arial" w:cs="Arial"/>
                <w:bCs/>
                <w:color w:val="auto"/>
                <w:sz w:val="24"/>
                <w:highlight w:val="none"/>
              </w:rPr>
              <w:t>核心部件球管更换检测和校准</w:t>
            </w:r>
          </w:p>
          <w:p w14:paraId="3D2DEF62">
            <w:pPr>
              <w:rPr>
                <w:rFonts w:ascii="Arial" w:hAnsi="Arial" w:cs="Arial"/>
                <w:b/>
                <w:color w:val="auto"/>
                <w:sz w:val="24"/>
                <w:highlight w:val="none"/>
              </w:rPr>
            </w:pPr>
            <w:r>
              <w:rPr>
                <w:rFonts w:ascii="Arial" w:hAnsi="Arial" w:cs="Arial"/>
                <w:b/>
                <w:color w:val="auto"/>
                <w:sz w:val="24"/>
                <w:highlight w:val="none"/>
              </w:rPr>
              <w:t>▲2.3.1</w:t>
            </w:r>
            <w:r>
              <w:rPr>
                <w:rFonts w:ascii="Arial" w:hAnsi="Arial" w:cs="Arial"/>
                <w:b/>
                <w:color w:val="auto"/>
                <w:sz w:val="24"/>
                <w:highlight w:val="none"/>
              </w:rPr>
              <w:tab/>
            </w:r>
            <w:r>
              <w:rPr>
                <w:rFonts w:ascii="Arial" w:hAnsi="Arial" w:cs="Arial"/>
                <w:b/>
                <w:color w:val="auto"/>
                <w:sz w:val="24"/>
                <w:highlight w:val="none"/>
              </w:rPr>
              <w:t>保内如球管损坏，须更换主机注册证匹配球管（型号：D3811T）</w:t>
            </w:r>
          </w:p>
          <w:p w14:paraId="0C8B769A">
            <w:pPr>
              <w:rPr>
                <w:rFonts w:ascii="Arial" w:hAnsi="Arial" w:cs="Arial"/>
                <w:bCs/>
                <w:color w:val="auto"/>
                <w:sz w:val="24"/>
                <w:highlight w:val="none"/>
              </w:rPr>
            </w:pPr>
            <w:r>
              <w:rPr>
                <w:rFonts w:ascii="Arial" w:hAnsi="Arial" w:cs="Arial"/>
                <w:bCs/>
                <w:color w:val="auto"/>
                <w:sz w:val="24"/>
                <w:highlight w:val="none"/>
              </w:rPr>
              <w:t>2.3.1.1</w:t>
            </w:r>
            <w:r>
              <w:rPr>
                <w:rFonts w:ascii="Arial" w:hAnsi="Arial" w:cs="Arial"/>
                <w:bCs/>
                <w:color w:val="auto"/>
                <w:sz w:val="24"/>
                <w:highlight w:val="none"/>
              </w:rPr>
              <w:tab/>
            </w:r>
            <w:r>
              <w:rPr>
                <w:rFonts w:ascii="Arial" w:hAnsi="Arial" w:cs="Arial"/>
                <w:bCs/>
                <w:color w:val="auto"/>
                <w:sz w:val="24"/>
                <w:highlight w:val="none"/>
              </w:rPr>
              <w:t>焦点数量：≥3个</w:t>
            </w:r>
          </w:p>
          <w:p w14:paraId="5A4ABE72">
            <w:pPr>
              <w:rPr>
                <w:rFonts w:ascii="Arial" w:hAnsi="Arial" w:cs="Arial"/>
                <w:bCs/>
                <w:color w:val="auto"/>
                <w:sz w:val="24"/>
                <w:highlight w:val="none"/>
              </w:rPr>
            </w:pPr>
            <w:r>
              <w:rPr>
                <w:rFonts w:ascii="Arial" w:hAnsi="Arial" w:cs="Arial"/>
                <w:bCs/>
                <w:color w:val="auto"/>
                <w:sz w:val="24"/>
                <w:highlight w:val="none"/>
              </w:rPr>
              <w:t>2.3.1.2</w:t>
            </w:r>
            <w:r>
              <w:rPr>
                <w:rFonts w:ascii="Arial" w:hAnsi="Arial" w:cs="Arial"/>
                <w:bCs/>
                <w:color w:val="auto"/>
                <w:sz w:val="24"/>
                <w:highlight w:val="none"/>
              </w:rPr>
              <w:tab/>
            </w:r>
            <w:r>
              <w:rPr>
                <w:rFonts w:ascii="Arial" w:hAnsi="Arial" w:cs="Arial"/>
                <w:bCs/>
                <w:color w:val="auto"/>
                <w:sz w:val="24"/>
                <w:highlight w:val="none"/>
              </w:rPr>
              <w:t>小焦点（per IEC 60336/2005 ）≤1.0mm x 0.7 mm</w:t>
            </w:r>
          </w:p>
          <w:p w14:paraId="7451F337">
            <w:pPr>
              <w:rPr>
                <w:rFonts w:ascii="Arial" w:hAnsi="Arial" w:cs="Arial"/>
                <w:bCs/>
                <w:color w:val="auto"/>
                <w:sz w:val="24"/>
                <w:highlight w:val="none"/>
              </w:rPr>
            </w:pPr>
            <w:r>
              <w:rPr>
                <w:rFonts w:ascii="Arial" w:hAnsi="Arial" w:cs="Arial"/>
                <w:bCs/>
                <w:color w:val="auto"/>
                <w:sz w:val="24"/>
                <w:highlight w:val="none"/>
              </w:rPr>
              <w:t>2.3.1.3</w:t>
            </w:r>
            <w:r>
              <w:rPr>
                <w:rFonts w:ascii="Arial" w:hAnsi="Arial" w:cs="Arial"/>
                <w:bCs/>
                <w:color w:val="auto"/>
                <w:sz w:val="24"/>
                <w:highlight w:val="none"/>
              </w:rPr>
              <w:tab/>
            </w:r>
            <w:r>
              <w:rPr>
                <w:rFonts w:ascii="Arial" w:hAnsi="Arial" w:cs="Arial"/>
                <w:bCs/>
                <w:color w:val="auto"/>
                <w:sz w:val="24"/>
                <w:highlight w:val="none"/>
              </w:rPr>
              <w:t>大焦点（per IEC 60336/2005 ）≤1.6mm x 1.2mm</w:t>
            </w:r>
          </w:p>
          <w:p w14:paraId="3EEEE45C">
            <w:pPr>
              <w:rPr>
                <w:rFonts w:ascii="Arial" w:hAnsi="Arial" w:cs="Arial"/>
                <w:bCs/>
                <w:color w:val="auto"/>
                <w:sz w:val="24"/>
                <w:highlight w:val="none"/>
              </w:rPr>
            </w:pPr>
            <w:r>
              <w:rPr>
                <w:rFonts w:ascii="Arial" w:hAnsi="Arial" w:cs="Arial"/>
                <w:bCs/>
                <w:color w:val="auto"/>
                <w:sz w:val="24"/>
                <w:highlight w:val="none"/>
              </w:rPr>
              <w:t>2.3.1.4</w:t>
            </w:r>
            <w:r>
              <w:rPr>
                <w:rFonts w:ascii="Arial" w:hAnsi="Arial" w:cs="Arial"/>
                <w:bCs/>
                <w:color w:val="auto"/>
                <w:sz w:val="24"/>
                <w:highlight w:val="none"/>
              </w:rPr>
              <w:tab/>
            </w:r>
            <w:r>
              <w:rPr>
                <w:rFonts w:ascii="Arial" w:hAnsi="Arial" w:cs="Arial"/>
                <w:bCs/>
                <w:color w:val="auto"/>
                <w:sz w:val="24"/>
                <w:highlight w:val="none"/>
              </w:rPr>
              <w:t xml:space="preserve">超大焦点(per IEC 60336/2005) ≤1.8mm x 1.5mm </w:t>
            </w:r>
          </w:p>
          <w:p w14:paraId="7646A6DE">
            <w:pPr>
              <w:rPr>
                <w:rFonts w:ascii="Arial" w:hAnsi="Arial" w:cs="Arial"/>
                <w:bCs/>
                <w:color w:val="auto"/>
                <w:sz w:val="24"/>
                <w:highlight w:val="none"/>
              </w:rPr>
            </w:pPr>
            <w:r>
              <w:rPr>
                <w:rFonts w:ascii="Arial" w:hAnsi="Arial" w:cs="Arial"/>
                <w:bCs/>
                <w:color w:val="auto"/>
                <w:sz w:val="24"/>
                <w:highlight w:val="none"/>
              </w:rPr>
              <w:t>2.3.2</w:t>
            </w:r>
            <w:r>
              <w:rPr>
                <w:rFonts w:ascii="Arial" w:hAnsi="Arial" w:cs="Arial"/>
                <w:bCs/>
                <w:color w:val="auto"/>
                <w:sz w:val="24"/>
                <w:highlight w:val="none"/>
              </w:rPr>
              <w:tab/>
            </w:r>
            <w:r>
              <w:rPr>
                <w:rFonts w:ascii="Arial" w:hAnsi="Arial" w:cs="Arial"/>
                <w:bCs/>
                <w:color w:val="auto"/>
                <w:sz w:val="24"/>
                <w:highlight w:val="none"/>
              </w:rPr>
              <w:t>扫描架旋转平衡检测</w:t>
            </w:r>
          </w:p>
          <w:p w14:paraId="5D9C5FAF">
            <w:pPr>
              <w:rPr>
                <w:rFonts w:ascii="Arial" w:hAnsi="Arial" w:cs="Arial"/>
                <w:bCs/>
                <w:color w:val="auto"/>
                <w:sz w:val="24"/>
                <w:highlight w:val="none"/>
              </w:rPr>
            </w:pPr>
            <w:r>
              <w:rPr>
                <w:rFonts w:ascii="Arial" w:hAnsi="Arial" w:cs="Arial"/>
                <w:bCs/>
                <w:color w:val="auto"/>
                <w:sz w:val="24"/>
                <w:highlight w:val="none"/>
              </w:rPr>
              <w:t>2.3.3</w:t>
            </w:r>
            <w:r>
              <w:rPr>
                <w:rFonts w:ascii="Arial" w:hAnsi="Arial" w:cs="Arial"/>
                <w:bCs/>
                <w:color w:val="auto"/>
                <w:sz w:val="24"/>
                <w:highlight w:val="none"/>
              </w:rPr>
              <w:tab/>
            </w:r>
            <w:r>
              <w:rPr>
                <w:rFonts w:ascii="Arial" w:hAnsi="Arial" w:cs="Arial"/>
                <w:bCs/>
                <w:color w:val="auto"/>
                <w:sz w:val="24"/>
                <w:highlight w:val="none"/>
              </w:rPr>
              <w:t>球管位置X轴位置调整</w:t>
            </w:r>
          </w:p>
          <w:p w14:paraId="3299613E">
            <w:pPr>
              <w:rPr>
                <w:rFonts w:ascii="Arial" w:hAnsi="Arial" w:cs="Arial"/>
                <w:bCs/>
                <w:color w:val="auto"/>
                <w:sz w:val="24"/>
                <w:highlight w:val="none"/>
              </w:rPr>
            </w:pPr>
            <w:r>
              <w:rPr>
                <w:rFonts w:ascii="Arial" w:hAnsi="Arial" w:cs="Arial"/>
                <w:bCs/>
                <w:color w:val="auto"/>
                <w:sz w:val="24"/>
                <w:highlight w:val="none"/>
              </w:rPr>
              <w:t>2.3.4</w:t>
            </w:r>
            <w:r>
              <w:rPr>
                <w:rFonts w:ascii="Arial" w:hAnsi="Arial" w:cs="Arial"/>
                <w:bCs/>
                <w:color w:val="auto"/>
                <w:sz w:val="24"/>
                <w:highlight w:val="none"/>
              </w:rPr>
              <w:tab/>
            </w:r>
            <w:r>
              <w:rPr>
                <w:rFonts w:ascii="Arial" w:hAnsi="Arial" w:cs="Arial"/>
                <w:bCs/>
                <w:color w:val="auto"/>
                <w:sz w:val="24"/>
                <w:highlight w:val="none"/>
              </w:rPr>
              <w:t>球管位置Z轴位置调整</w:t>
            </w:r>
          </w:p>
          <w:p w14:paraId="7422EEAE">
            <w:pPr>
              <w:rPr>
                <w:rFonts w:ascii="Arial" w:hAnsi="Arial" w:cs="Arial"/>
                <w:bCs/>
                <w:color w:val="auto"/>
                <w:sz w:val="24"/>
                <w:highlight w:val="none"/>
              </w:rPr>
            </w:pPr>
            <w:r>
              <w:rPr>
                <w:rFonts w:ascii="Arial" w:hAnsi="Arial" w:cs="Arial"/>
                <w:bCs/>
                <w:color w:val="auto"/>
                <w:sz w:val="24"/>
                <w:highlight w:val="none"/>
              </w:rPr>
              <w:t>2.3.5</w:t>
            </w:r>
            <w:r>
              <w:rPr>
                <w:rFonts w:ascii="Arial" w:hAnsi="Arial" w:cs="Arial"/>
                <w:bCs/>
                <w:color w:val="auto"/>
                <w:sz w:val="24"/>
                <w:highlight w:val="none"/>
              </w:rPr>
              <w:tab/>
            </w:r>
            <w:r>
              <w:rPr>
                <w:rFonts w:ascii="Arial" w:hAnsi="Arial" w:cs="Arial"/>
                <w:bCs/>
                <w:color w:val="auto"/>
                <w:sz w:val="24"/>
                <w:highlight w:val="none"/>
              </w:rPr>
              <w:t>球管灯丝校准</w:t>
            </w:r>
          </w:p>
          <w:p w14:paraId="62764B65">
            <w:pPr>
              <w:rPr>
                <w:rFonts w:ascii="Arial" w:hAnsi="Arial" w:cs="Arial"/>
                <w:bCs/>
                <w:color w:val="auto"/>
                <w:sz w:val="24"/>
                <w:highlight w:val="none"/>
              </w:rPr>
            </w:pPr>
            <w:r>
              <w:rPr>
                <w:rFonts w:ascii="Arial" w:hAnsi="Arial" w:cs="Arial"/>
                <w:bCs/>
                <w:color w:val="auto"/>
                <w:sz w:val="24"/>
                <w:highlight w:val="none"/>
              </w:rPr>
              <w:t>2.3.6</w:t>
            </w:r>
            <w:r>
              <w:rPr>
                <w:rFonts w:ascii="Arial" w:hAnsi="Arial" w:cs="Arial"/>
                <w:bCs/>
                <w:color w:val="auto"/>
                <w:sz w:val="24"/>
                <w:highlight w:val="none"/>
              </w:rPr>
              <w:tab/>
            </w:r>
            <w:r>
              <w:rPr>
                <w:rFonts w:ascii="Arial" w:hAnsi="Arial" w:cs="Arial"/>
                <w:bCs/>
                <w:color w:val="auto"/>
                <w:sz w:val="24"/>
                <w:highlight w:val="none"/>
              </w:rPr>
              <w:t>准直器校准</w:t>
            </w:r>
          </w:p>
          <w:p w14:paraId="641B6932">
            <w:pPr>
              <w:rPr>
                <w:rFonts w:ascii="Arial" w:hAnsi="Arial" w:cs="Arial"/>
                <w:bCs/>
                <w:color w:val="auto"/>
                <w:sz w:val="24"/>
                <w:highlight w:val="none"/>
              </w:rPr>
            </w:pPr>
            <w:r>
              <w:rPr>
                <w:rFonts w:ascii="Arial" w:hAnsi="Arial" w:cs="Arial"/>
                <w:bCs/>
                <w:color w:val="auto"/>
                <w:sz w:val="24"/>
                <w:highlight w:val="none"/>
              </w:rPr>
              <w:t>2.3.7</w:t>
            </w:r>
            <w:r>
              <w:rPr>
                <w:rFonts w:ascii="Arial" w:hAnsi="Arial" w:cs="Arial"/>
                <w:bCs/>
                <w:color w:val="auto"/>
                <w:sz w:val="24"/>
                <w:highlight w:val="none"/>
              </w:rPr>
              <w:tab/>
            </w:r>
            <w:r>
              <w:rPr>
                <w:rFonts w:ascii="Arial" w:hAnsi="Arial" w:cs="Arial"/>
                <w:bCs/>
                <w:color w:val="auto"/>
                <w:sz w:val="24"/>
                <w:highlight w:val="none"/>
              </w:rPr>
              <w:t>CT值准确性测试</w:t>
            </w:r>
          </w:p>
          <w:p w14:paraId="33B57153">
            <w:pPr>
              <w:rPr>
                <w:rFonts w:ascii="Arial" w:hAnsi="Arial" w:cs="Arial"/>
                <w:bCs/>
                <w:color w:val="auto"/>
                <w:sz w:val="24"/>
                <w:highlight w:val="none"/>
              </w:rPr>
            </w:pPr>
            <w:r>
              <w:rPr>
                <w:rFonts w:ascii="Arial" w:hAnsi="Arial" w:cs="Arial"/>
                <w:bCs/>
                <w:color w:val="auto"/>
                <w:sz w:val="24"/>
                <w:highlight w:val="none"/>
              </w:rPr>
              <w:t>2.3.8</w:t>
            </w:r>
            <w:r>
              <w:rPr>
                <w:rFonts w:ascii="Arial" w:hAnsi="Arial" w:cs="Arial"/>
                <w:bCs/>
                <w:color w:val="auto"/>
                <w:sz w:val="24"/>
                <w:highlight w:val="none"/>
              </w:rPr>
              <w:tab/>
            </w:r>
            <w:r>
              <w:rPr>
                <w:rFonts w:ascii="Arial" w:hAnsi="Arial" w:cs="Arial"/>
                <w:bCs/>
                <w:color w:val="auto"/>
                <w:sz w:val="24"/>
                <w:highlight w:val="none"/>
              </w:rPr>
              <w:t>CT值均匀性测试</w:t>
            </w:r>
          </w:p>
          <w:p w14:paraId="5C121344">
            <w:pPr>
              <w:rPr>
                <w:rFonts w:ascii="Arial" w:hAnsi="Arial" w:cs="Arial"/>
                <w:bCs/>
                <w:color w:val="auto"/>
                <w:sz w:val="24"/>
                <w:highlight w:val="none"/>
              </w:rPr>
            </w:pPr>
            <w:r>
              <w:rPr>
                <w:rFonts w:ascii="Arial" w:hAnsi="Arial" w:cs="Arial"/>
                <w:bCs/>
                <w:color w:val="auto"/>
                <w:sz w:val="24"/>
                <w:highlight w:val="none"/>
              </w:rPr>
              <w:t>2.3.9</w:t>
            </w:r>
            <w:r>
              <w:rPr>
                <w:rFonts w:ascii="Arial" w:hAnsi="Arial" w:cs="Arial"/>
                <w:bCs/>
                <w:color w:val="auto"/>
                <w:sz w:val="24"/>
                <w:highlight w:val="none"/>
              </w:rPr>
              <w:tab/>
            </w:r>
            <w:r>
              <w:rPr>
                <w:rFonts w:ascii="Arial" w:hAnsi="Arial" w:cs="Arial"/>
                <w:bCs/>
                <w:color w:val="auto"/>
                <w:sz w:val="24"/>
                <w:highlight w:val="none"/>
              </w:rPr>
              <w:t>图像噪声测试</w:t>
            </w:r>
          </w:p>
          <w:p w14:paraId="30696DE3">
            <w:pPr>
              <w:rPr>
                <w:rFonts w:ascii="Arial" w:hAnsi="Arial" w:cs="Arial"/>
                <w:bCs/>
                <w:color w:val="auto"/>
                <w:sz w:val="24"/>
                <w:highlight w:val="none"/>
              </w:rPr>
            </w:pPr>
            <w:r>
              <w:rPr>
                <w:rFonts w:ascii="Arial" w:hAnsi="Arial" w:cs="Arial"/>
                <w:bCs/>
                <w:color w:val="auto"/>
                <w:sz w:val="24"/>
                <w:highlight w:val="none"/>
              </w:rPr>
              <w:t>2.3.10</w:t>
            </w:r>
            <w:r>
              <w:rPr>
                <w:rFonts w:ascii="Arial" w:hAnsi="Arial" w:cs="Arial"/>
                <w:bCs/>
                <w:color w:val="auto"/>
                <w:sz w:val="24"/>
                <w:highlight w:val="none"/>
              </w:rPr>
              <w:tab/>
            </w:r>
            <w:r>
              <w:rPr>
                <w:rFonts w:ascii="Arial" w:hAnsi="Arial" w:cs="Arial"/>
                <w:bCs/>
                <w:color w:val="auto"/>
                <w:sz w:val="24"/>
                <w:highlight w:val="none"/>
              </w:rPr>
              <w:t>图像对比度测试</w:t>
            </w:r>
          </w:p>
          <w:p w14:paraId="74F8CDB5">
            <w:pPr>
              <w:rPr>
                <w:rFonts w:ascii="Arial" w:hAnsi="Arial" w:cs="Arial"/>
                <w:bCs/>
                <w:color w:val="auto"/>
                <w:sz w:val="24"/>
                <w:highlight w:val="none"/>
              </w:rPr>
            </w:pPr>
            <w:r>
              <w:rPr>
                <w:rFonts w:ascii="Arial" w:hAnsi="Arial" w:cs="Arial"/>
                <w:bCs/>
                <w:color w:val="auto"/>
                <w:sz w:val="24"/>
                <w:highlight w:val="none"/>
              </w:rPr>
              <w:t>2.3.11</w:t>
            </w:r>
            <w:r>
              <w:rPr>
                <w:rFonts w:ascii="Arial" w:hAnsi="Arial" w:cs="Arial"/>
                <w:bCs/>
                <w:color w:val="auto"/>
                <w:sz w:val="24"/>
                <w:highlight w:val="none"/>
              </w:rPr>
              <w:tab/>
            </w:r>
            <w:r>
              <w:rPr>
                <w:rFonts w:ascii="Arial" w:hAnsi="Arial" w:cs="Arial"/>
                <w:bCs/>
                <w:color w:val="auto"/>
                <w:sz w:val="24"/>
                <w:highlight w:val="none"/>
              </w:rPr>
              <w:t>系统数据备份</w:t>
            </w:r>
          </w:p>
          <w:p w14:paraId="12B04138">
            <w:pPr>
              <w:rPr>
                <w:rFonts w:ascii="Arial" w:hAnsi="Arial" w:cs="Arial"/>
                <w:bCs/>
                <w:color w:val="auto"/>
                <w:sz w:val="24"/>
                <w:highlight w:val="none"/>
              </w:rPr>
            </w:pPr>
            <w:r>
              <w:rPr>
                <w:rFonts w:ascii="Arial" w:hAnsi="Arial" w:cs="Arial"/>
                <w:bCs/>
                <w:color w:val="auto"/>
                <w:sz w:val="24"/>
                <w:highlight w:val="none"/>
              </w:rPr>
              <w:t>3</w:t>
            </w:r>
            <w:r>
              <w:rPr>
                <w:rFonts w:ascii="Arial" w:hAnsi="Arial" w:cs="Arial"/>
                <w:bCs/>
                <w:color w:val="auto"/>
                <w:sz w:val="24"/>
                <w:highlight w:val="none"/>
              </w:rPr>
              <w:tab/>
            </w:r>
            <w:r>
              <w:rPr>
                <w:rFonts w:ascii="Arial" w:hAnsi="Arial" w:cs="Arial"/>
                <w:bCs/>
                <w:color w:val="auto"/>
                <w:sz w:val="24"/>
                <w:highlight w:val="none"/>
              </w:rPr>
              <w:t>服务质量控制要求</w:t>
            </w:r>
          </w:p>
          <w:p w14:paraId="310FE7B7">
            <w:pPr>
              <w:rPr>
                <w:rFonts w:ascii="Arial" w:hAnsi="Arial" w:cs="Arial"/>
                <w:bCs/>
                <w:color w:val="auto"/>
                <w:sz w:val="24"/>
                <w:highlight w:val="none"/>
              </w:rPr>
            </w:pPr>
            <w:r>
              <w:rPr>
                <w:rFonts w:ascii="Arial" w:hAnsi="Arial" w:cs="Arial"/>
                <w:bCs/>
                <w:color w:val="auto"/>
                <w:sz w:val="24"/>
                <w:highlight w:val="none"/>
              </w:rPr>
              <w:t>3.1</w:t>
            </w:r>
            <w:r>
              <w:rPr>
                <w:rFonts w:ascii="Arial" w:hAnsi="Arial" w:cs="Arial"/>
                <w:bCs/>
                <w:color w:val="auto"/>
                <w:sz w:val="24"/>
                <w:highlight w:val="none"/>
              </w:rPr>
              <w:tab/>
            </w:r>
            <w:r>
              <w:rPr>
                <w:rFonts w:ascii="Arial" w:hAnsi="Arial" w:cs="Arial"/>
                <w:bCs/>
                <w:color w:val="auto"/>
                <w:sz w:val="24"/>
                <w:highlight w:val="none"/>
              </w:rPr>
              <w:t>每年提供日常质控培训1次，包括用户现场理论讲解和上机演示，能够提供培训大纲和教材证明</w:t>
            </w:r>
          </w:p>
          <w:p w14:paraId="700298BE">
            <w:pPr>
              <w:rPr>
                <w:rFonts w:ascii="Arial" w:hAnsi="Arial" w:cs="Arial"/>
                <w:bCs/>
                <w:color w:val="auto"/>
                <w:sz w:val="24"/>
                <w:highlight w:val="none"/>
              </w:rPr>
            </w:pPr>
            <w:r>
              <w:rPr>
                <w:rFonts w:ascii="Arial" w:hAnsi="Arial" w:cs="Arial"/>
                <w:bCs/>
                <w:color w:val="auto"/>
                <w:sz w:val="24"/>
                <w:highlight w:val="none"/>
              </w:rPr>
              <w:t>3.1.1</w:t>
            </w:r>
            <w:r>
              <w:rPr>
                <w:rFonts w:ascii="Arial" w:hAnsi="Arial" w:cs="Arial"/>
                <w:bCs/>
                <w:color w:val="auto"/>
                <w:sz w:val="24"/>
                <w:highlight w:val="none"/>
              </w:rPr>
              <w:tab/>
            </w:r>
            <w:r>
              <w:rPr>
                <w:rFonts w:ascii="Arial" w:hAnsi="Arial" w:cs="Arial"/>
                <w:bCs/>
                <w:color w:val="auto"/>
                <w:sz w:val="24"/>
                <w:highlight w:val="none"/>
              </w:rPr>
              <w:t>讲解国家标准和原厂规范</w:t>
            </w:r>
          </w:p>
          <w:p w14:paraId="22272206">
            <w:pPr>
              <w:rPr>
                <w:rFonts w:ascii="Arial" w:hAnsi="Arial" w:cs="Arial"/>
                <w:bCs/>
                <w:color w:val="auto"/>
                <w:sz w:val="24"/>
                <w:highlight w:val="none"/>
              </w:rPr>
            </w:pPr>
            <w:r>
              <w:rPr>
                <w:rFonts w:ascii="Arial" w:hAnsi="Arial" w:cs="Arial"/>
                <w:bCs/>
                <w:color w:val="auto"/>
                <w:sz w:val="24"/>
                <w:highlight w:val="none"/>
              </w:rPr>
              <w:t>3.1.2</w:t>
            </w:r>
            <w:r>
              <w:rPr>
                <w:rFonts w:ascii="Arial" w:hAnsi="Arial" w:cs="Arial"/>
                <w:bCs/>
                <w:color w:val="auto"/>
                <w:sz w:val="24"/>
                <w:highlight w:val="none"/>
              </w:rPr>
              <w:tab/>
            </w:r>
            <w:r>
              <w:rPr>
                <w:rFonts w:ascii="Arial" w:hAnsi="Arial" w:cs="Arial"/>
                <w:bCs/>
                <w:color w:val="auto"/>
                <w:sz w:val="24"/>
                <w:highlight w:val="none"/>
              </w:rPr>
              <w:t>讲解系统功能和质控体系、参数</w:t>
            </w:r>
          </w:p>
          <w:p w14:paraId="4239CEC7">
            <w:pPr>
              <w:rPr>
                <w:rFonts w:ascii="Arial" w:hAnsi="Arial" w:cs="Arial"/>
                <w:bCs/>
                <w:color w:val="auto"/>
                <w:sz w:val="24"/>
                <w:highlight w:val="none"/>
              </w:rPr>
            </w:pPr>
            <w:r>
              <w:rPr>
                <w:rFonts w:ascii="Arial" w:hAnsi="Arial" w:cs="Arial"/>
                <w:bCs/>
                <w:color w:val="auto"/>
                <w:sz w:val="24"/>
                <w:highlight w:val="none"/>
              </w:rPr>
              <w:t>3.1.3</w:t>
            </w:r>
            <w:r>
              <w:rPr>
                <w:rFonts w:ascii="Arial" w:hAnsi="Arial" w:cs="Arial"/>
                <w:bCs/>
                <w:color w:val="auto"/>
                <w:sz w:val="24"/>
                <w:highlight w:val="none"/>
              </w:rPr>
              <w:tab/>
            </w:r>
            <w:r>
              <w:rPr>
                <w:rFonts w:ascii="Arial" w:hAnsi="Arial" w:cs="Arial"/>
                <w:bCs/>
                <w:color w:val="auto"/>
                <w:sz w:val="24"/>
                <w:highlight w:val="none"/>
              </w:rPr>
              <w:t>现场演示日常质控项目，包括射线剂量和图像质量</w:t>
            </w:r>
          </w:p>
          <w:p w14:paraId="002D3CFB">
            <w:pPr>
              <w:rPr>
                <w:rFonts w:ascii="Arial" w:hAnsi="Arial" w:cs="Arial"/>
                <w:bCs/>
                <w:color w:val="auto"/>
                <w:sz w:val="24"/>
                <w:highlight w:val="none"/>
              </w:rPr>
            </w:pPr>
            <w:r>
              <w:rPr>
                <w:rFonts w:ascii="Arial" w:hAnsi="Arial" w:cs="Arial"/>
                <w:bCs/>
                <w:color w:val="auto"/>
                <w:sz w:val="24"/>
                <w:highlight w:val="none"/>
              </w:rPr>
              <w:t>3.2</w:t>
            </w:r>
            <w:r>
              <w:rPr>
                <w:rFonts w:ascii="Arial" w:hAnsi="Arial" w:cs="Arial"/>
                <w:bCs/>
                <w:color w:val="auto"/>
                <w:sz w:val="24"/>
                <w:highlight w:val="none"/>
              </w:rPr>
              <w:tab/>
            </w:r>
            <w:r>
              <w:rPr>
                <w:rFonts w:ascii="Arial" w:hAnsi="Arial" w:cs="Arial"/>
                <w:bCs/>
                <w:color w:val="auto"/>
                <w:sz w:val="24"/>
                <w:highlight w:val="none"/>
              </w:rPr>
              <w:t>每年提供设备健康体检1次并提供体检报告。体检项目覆盖国家X线设备强制检查项目。</w:t>
            </w:r>
          </w:p>
          <w:p w14:paraId="23393B06">
            <w:pPr>
              <w:rPr>
                <w:rFonts w:ascii="Arial" w:hAnsi="Arial" w:cs="Arial"/>
                <w:bCs/>
                <w:color w:val="auto"/>
                <w:sz w:val="24"/>
                <w:highlight w:val="none"/>
              </w:rPr>
            </w:pPr>
            <w:r>
              <w:rPr>
                <w:rFonts w:ascii="Arial" w:hAnsi="Arial" w:cs="Arial"/>
                <w:bCs/>
                <w:color w:val="auto"/>
                <w:sz w:val="24"/>
                <w:highlight w:val="none"/>
              </w:rPr>
              <w:t>3.3</w:t>
            </w:r>
            <w:r>
              <w:rPr>
                <w:rFonts w:ascii="Arial" w:hAnsi="Arial" w:cs="Arial"/>
                <w:bCs/>
                <w:color w:val="auto"/>
                <w:sz w:val="24"/>
                <w:highlight w:val="none"/>
              </w:rPr>
              <w:tab/>
            </w:r>
            <w:r>
              <w:rPr>
                <w:rFonts w:ascii="Arial" w:hAnsi="Arial" w:cs="Arial"/>
                <w:bCs/>
                <w:color w:val="auto"/>
                <w:sz w:val="24"/>
                <w:highlight w:val="none"/>
              </w:rPr>
              <w:t>在进行核心部件如球管更换后，进行球管更换质量控制检测并提供报告</w:t>
            </w:r>
          </w:p>
          <w:p w14:paraId="14551364">
            <w:pPr>
              <w:rPr>
                <w:rFonts w:ascii="Arial" w:hAnsi="Arial" w:cs="Arial"/>
                <w:bCs/>
                <w:color w:val="auto"/>
                <w:sz w:val="24"/>
                <w:highlight w:val="none"/>
              </w:rPr>
            </w:pPr>
            <w:r>
              <w:rPr>
                <w:rFonts w:ascii="Arial" w:hAnsi="Arial" w:cs="Arial"/>
                <w:bCs/>
                <w:color w:val="auto"/>
                <w:sz w:val="24"/>
                <w:highlight w:val="none"/>
              </w:rPr>
              <w:t>3.4</w:t>
            </w:r>
            <w:r>
              <w:rPr>
                <w:rFonts w:ascii="Arial" w:hAnsi="Arial" w:cs="Arial"/>
                <w:bCs/>
                <w:color w:val="auto"/>
                <w:sz w:val="24"/>
                <w:highlight w:val="none"/>
              </w:rPr>
              <w:tab/>
            </w:r>
            <w:r>
              <w:rPr>
                <w:rFonts w:ascii="Arial" w:hAnsi="Arial" w:cs="Arial"/>
                <w:bCs/>
                <w:color w:val="auto"/>
                <w:sz w:val="24"/>
                <w:highlight w:val="none"/>
              </w:rPr>
              <w:t>医院所在地质控主管单位进行的设备年度检测活动时，提供支持服务</w:t>
            </w:r>
          </w:p>
          <w:p w14:paraId="1290D77B">
            <w:pPr>
              <w:rPr>
                <w:rFonts w:ascii="Arial" w:hAnsi="Arial" w:cs="Arial"/>
                <w:bCs/>
                <w:color w:val="auto"/>
                <w:sz w:val="24"/>
                <w:highlight w:val="none"/>
              </w:rPr>
            </w:pPr>
            <w:r>
              <w:rPr>
                <w:rFonts w:ascii="Arial" w:hAnsi="Arial" w:cs="Arial"/>
                <w:bCs/>
                <w:color w:val="auto"/>
                <w:sz w:val="24"/>
                <w:highlight w:val="none"/>
              </w:rPr>
              <w:t>3.5</w:t>
            </w:r>
            <w:r>
              <w:rPr>
                <w:rFonts w:ascii="Arial" w:hAnsi="Arial" w:cs="Arial"/>
                <w:bCs/>
                <w:color w:val="auto"/>
                <w:sz w:val="24"/>
                <w:highlight w:val="none"/>
              </w:rPr>
              <w:tab/>
            </w:r>
            <w:r>
              <w:rPr>
                <w:rFonts w:ascii="Arial" w:hAnsi="Arial" w:cs="Arial"/>
                <w:bCs/>
                <w:color w:val="auto"/>
                <w:sz w:val="24"/>
                <w:highlight w:val="none"/>
              </w:rPr>
              <w:t>具备常规质控工具，QA模体，CatPhan模体，射线剂量仪，射线辐射仪等</w:t>
            </w:r>
          </w:p>
          <w:p w14:paraId="7B339426">
            <w:pPr>
              <w:rPr>
                <w:rFonts w:ascii="Arial" w:hAnsi="Arial" w:cs="Arial"/>
                <w:bCs/>
                <w:color w:val="auto"/>
                <w:sz w:val="24"/>
                <w:highlight w:val="none"/>
              </w:rPr>
            </w:pPr>
            <w:r>
              <w:rPr>
                <w:rFonts w:ascii="Arial" w:hAnsi="Arial" w:cs="Arial"/>
                <w:bCs/>
                <w:color w:val="auto"/>
                <w:sz w:val="24"/>
                <w:highlight w:val="none"/>
              </w:rPr>
              <w:t>3.6</w:t>
            </w:r>
            <w:r>
              <w:rPr>
                <w:rFonts w:ascii="Arial" w:hAnsi="Arial" w:cs="Arial"/>
                <w:bCs/>
                <w:color w:val="auto"/>
                <w:sz w:val="24"/>
                <w:highlight w:val="none"/>
              </w:rPr>
              <w:tab/>
            </w:r>
            <w:r>
              <w:rPr>
                <w:rFonts w:ascii="Arial" w:hAnsi="Arial" w:cs="Arial"/>
                <w:bCs/>
                <w:color w:val="auto"/>
                <w:sz w:val="24"/>
                <w:highlight w:val="none"/>
              </w:rPr>
              <w:t>具备宽体探测器检测和校准能力</w:t>
            </w:r>
          </w:p>
          <w:p w14:paraId="0C6DD527">
            <w:pPr>
              <w:rPr>
                <w:rFonts w:ascii="Arial" w:hAnsi="Arial" w:cs="Arial"/>
                <w:bCs/>
                <w:color w:val="auto"/>
                <w:sz w:val="24"/>
                <w:highlight w:val="none"/>
              </w:rPr>
            </w:pPr>
            <w:r>
              <w:rPr>
                <w:rFonts w:ascii="Arial" w:hAnsi="Arial" w:cs="Arial"/>
                <w:bCs/>
                <w:color w:val="auto"/>
                <w:sz w:val="24"/>
                <w:highlight w:val="none"/>
              </w:rPr>
              <w:t>4</w:t>
            </w:r>
            <w:r>
              <w:rPr>
                <w:rFonts w:ascii="Arial" w:hAnsi="Arial" w:cs="Arial"/>
                <w:bCs/>
                <w:color w:val="auto"/>
                <w:sz w:val="24"/>
                <w:highlight w:val="none"/>
              </w:rPr>
              <w:tab/>
            </w:r>
            <w:r>
              <w:rPr>
                <w:rFonts w:ascii="Arial" w:hAnsi="Arial" w:cs="Arial"/>
                <w:bCs/>
                <w:color w:val="auto"/>
                <w:sz w:val="24"/>
                <w:highlight w:val="none"/>
              </w:rPr>
              <w:t>提供临床应用支持</w:t>
            </w:r>
          </w:p>
          <w:p w14:paraId="56AD0FF4">
            <w:pPr>
              <w:rPr>
                <w:rFonts w:ascii="Arial" w:hAnsi="Arial" w:cs="Arial"/>
                <w:bCs/>
                <w:color w:val="auto"/>
                <w:sz w:val="24"/>
                <w:highlight w:val="none"/>
              </w:rPr>
            </w:pPr>
            <w:r>
              <w:rPr>
                <w:rFonts w:ascii="Arial" w:hAnsi="Arial" w:cs="Arial"/>
                <w:bCs/>
                <w:color w:val="auto"/>
                <w:sz w:val="24"/>
                <w:highlight w:val="none"/>
              </w:rPr>
              <w:t>4.1</w:t>
            </w:r>
            <w:r>
              <w:rPr>
                <w:rFonts w:ascii="Arial" w:hAnsi="Arial" w:cs="Arial"/>
                <w:bCs/>
                <w:color w:val="auto"/>
                <w:sz w:val="24"/>
                <w:highlight w:val="none"/>
              </w:rPr>
              <w:tab/>
            </w:r>
            <w:r>
              <w:rPr>
                <w:rFonts w:ascii="Arial" w:hAnsi="Arial" w:cs="Arial"/>
                <w:bCs/>
                <w:color w:val="auto"/>
                <w:sz w:val="24"/>
                <w:highlight w:val="none"/>
              </w:rPr>
              <w:t>提供的临床培训服务工程师为全职临床应用培训讲师（提供资质证明）</w:t>
            </w:r>
          </w:p>
          <w:p w14:paraId="334E14E4">
            <w:pPr>
              <w:rPr>
                <w:rFonts w:ascii="Arial" w:hAnsi="Arial" w:cs="Arial"/>
                <w:bCs/>
                <w:color w:val="auto"/>
                <w:sz w:val="24"/>
                <w:highlight w:val="none"/>
              </w:rPr>
            </w:pPr>
            <w:r>
              <w:rPr>
                <w:rFonts w:ascii="Arial" w:hAnsi="Arial" w:cs="Arial"/>
                <w:bCs/>
                <w:color w:val="auto"/>
                <w:sz w:val="24"/>
                <w:highlight w:val="none"/>
              </w:rPr>
              <w:t>4.2</w:t>
            </w:r>
            <w:r>
              <w:rPr>
                <w:rFonts w:ascii="Arial" w:hAnsi="Arial" w:cs="Arial"/>
                <w:bCs/>
                <w:color w:val="auto"/>
                <w:sz w:val="24"/>
                <w:highlight w:val="none"/>
              </w:rPr>
              <w:tab/>
            </w:r>
            <w:r>
              <w:rPr>
                <w:rFonts w:ascii="Arial" w:hAnsi="Arial" w:cs="Arial"/>
                <w:bCs/>
                <w:color w:val="auto"/>
                <w:sz w:val="24"/>
                <w:highlight w:val="none"/>
              </w:rPr>
              <w:t>CT设备培训后能提供</w:t>
            </w:r>
            <w:r>
              <w:rPr>
                <w:rFonts w:hint="eastAsia" w:ascii="Arial" w:hAnsi="Arial" w:cs="Arial"/>
                <w:bCs/>
                <w:color w:val="auto"/>
                <w:sz w:val="24"/>
                <w:highlight w:val="none"/>
                <w:lang w:val="en-US" w:eastAsia="zh-CN"/>
              </w:rPr>
              <w:t>有</w:t>
            </w:r>
            <w:r>
              <w:rPr>
                <w:rFonts w:ascii="Arial" w:hAnsi="Arial" w:cs="Arial"/>
                <w:bCs/>
                <w:color w:val="auto"/>
                <w:sz w:val="24"/>
                <w:highlight w:val="none"/>
              </w:rPr>
              <w:t>关临床培训报告</w:t>
            </w:r>
          </w:p>
          <w:p w14:paraId="566425D0">
            <w:pPr>
              <w:rPr>
                <w:rFonts w:ascii="Arial" w:hAnsi="Arial" w:cs="Arial"/>
                <w:bCs/>
                <w:color w:val="auto"/>
                <w:sz w:val="24"/>
                <w:highlight w:val="none"/>
              </w:rPr>
            </w:pPr>
            <w:r>
              <w:rPr>
                <w:rFonts w:ascii="Arial" w:hAnsi="Arial" w:cs="Arial"/>
                <w:bCs/>
                <w:color w:val="auto"/>
                <w:sz w:val="24"/>
                <w:highlight w:val="none"/>
              </w:rPr>
              <w:t>4.3</w:t>
            </w:r>
            <w:r>
              <w:rPr>
                <w:rFonts w:ascii="Arial" w:hAnsi="Arial" w:cs="Arial"/>
                <w:bCs/>
                <w:color w:val="auto"/>
                <w:sz w:val="24"/>
                <w:highlight w:val="none"/>
              </w:rPr>
              <w:tab/>
            </w:r>
            <w:r>
              <w:rPr>
                <w:rFonts w:ascii="Arial" w:hAnsi="Arial" w:cs="Arial"/>
                <w:bCs/>
                <w:color w:val="auto"/>
                <w:sz w:val="24"/>
                <w:highlight w:val="none"/>
              </w:rPr>
              <w:t>提供临床扫描、图像处理和相应业务拓展的专业支持服务。</w:t>
            </w:r>
          </w:p>
          <w:p w14:paraId="2B5051C8">
            <w:pPr>
              <w:rPr>
                <w:rFonts w:ascii="Arial" w:hAnsi="Arial" w:cs="Arial"/>
                <w:bCs/>
                <w:color w:val="auto"/>
                <w:sz w:val="24"/>
                <w:highlight w:val="none"/>
              </w:rPr>
            </w:pPr>
            <w:r>
              <w:rPr>
                <w:rFonts w:ascii="Arial" w:hAnsi="Arial" w:cs="Arial"/>
                <w:bCs/>
                <w:color w:val="auto"/>
                <w:sz w:val="24"/>
                <w:highlight w:val="none"/>
              </w:rPr>
              <w:t>4.4</w:t>
            </w:r>
            <w:r>
              <w:rPr>
                <w:rFonts w:ascii="Arial" w:hAnsi="Arial" w:cs="Arial"/>
                <w:bCs/>
                <w:color w:val="auto"/>
                <w:sz w:val="24"/>
                <w:highlight w:val="none"/>
              </w:rPr>
              <w:tab/>
            </w:r>
            <w:r>
              <w:rPr>
                <w:rFonts w:ascii="Arial" w:hAnsi="Arial" w:cs="Arial"/>
                <w:bCs/>
                <w:color w:val="auto"/>
                <w:sz w:val="24"/>
                <w:highlight w:val="none"/>
              </w:rPr>
              <w:t>提供远程临床应用服务，实时解决客户临床问题</w:t>
            </w:r>
          </w:p>
          <w:p w14:paraId="2EF367B2">
            <w:pPr>
              <w:rPr>
                <w:rFonts w:ascii="Arial" w:hAnsi="Arial" w:cs="Arial"/>
                <w:bCs/>
                <w:color w:val="auto"/>
                <w:sz w:val="24"/>
                <w:highlight w:val="none"/>
              </w:rPr>
            </w:pPr>
            <w:r>
              <w:rPr>
                <w:rFonts w:ascii="Arial" w:hAnsi="Arial" w:cs="Arial"/>
                <w:bCs/>
                <w:color w:val="auto"/>
                <w:sz w:val="24"/>
                <w:highlight w:val="none"/>
              </w:rPr>
              <w:t>4.5</w:t>
            </w:r>
            <w:r>
              <w:rPr>
                <w:rFonts w:ascii="Arial" w:hAnsi="Arial" w:cs="Arial"/>
                <w:bCs/>
                <w:color w:val="auto"/>
                <w:sz w:val="24"/>
                <w:highlight w:val="none"/>
              </w:rPr>
              <w:tab/>
            </w:r>
            <w:r>
              <w:rPr>
                <w:rFonts w:ascii="Arial" w:hAnsi="Arial" w:cs="Arial"/>
                <w:bCs/>
                <w:color w:val="auto"/>
                <w:sz w:val="24"/>
                <w:highlight w:val="none"/>
              </w:rPr>
              <w:t>提供远程电话临床应用支持，针对客户在设备保修期内设备使用过程中出现的扫描参数、操作流程、图像后处理、临床应用等问题通过客服电话解决</w:t>
            </w:r>
          </w:p>
          <w:p w14:paraId="1D27EE74">
            <w:pPr>
              <w:rPr>
                <w:rFonts w:ascii="Arial" w:hAnsi="Arial" w:cs="Arial"/>
                <w:bCs/>
                <w:color w:val="auto"/>
                <w:sz w:val="24"/>
                <w:highlight w:val="none"/>
              </w:rPr>
            </w:pPr>
            <w:r>
              <w:rPr>
                <w:rFonts w:ascii="Arial" w:hAnsi="Arial" w:cs="Arial"/>
                <w:bCs/>
                <w:color w:val="auto"/>
                <w:sz w:val="24"/>
                <w:highlight w:val="none"/>
              </w:rPr>
              <w:t>4.6</w:t>
            </w:r>
            <w:r>
              <w:rPr>
                <w:rFonts w:ascii="Arial" w:hAnsi="Arial" w:cs="Arial"/>
                <w:bCs/>
                <w:color w:val="auto"/>
                <w:sz w:val="24"/>
                <w:highlight w:val="none"/>
              </w:rPr>
              <w:tab/>
            </w:r>
            <w:r>
              <w:rPr>
                <w:rFonts w:ascii="Arial" w:hAnsi="Arial" w:cs="Arial"/>
                <w:bCs/>
                <w:color w:val="auto"/>
                <w:sz w:val="24"/>
                <w:highlight w:val="none"/>
              </w:rPr>
              <w:t>提供保修服务现场应用支持，针对客户在设备保修期内设备使用过程中出现的扫描参数、操作流程、图像后处理、临床应用等问题客户可根据合同约定联系厂家派遣的临床应用专员到医院现场解决</w:t>
            </w:r>
          </w:p>
          <w:p w14:paraId="42317B23">
            <w:pPr>
              <w:rPr>
                <w:rFonts w:ascii="Arial" w:hAnsi="Arial" w:cs="Arial"/>
                <w:b/>
                <w:color w:val="auto"/>
                <w:sz w:val="24"/>
                <w:highlight w:val="none"/>
              </w:rPr>
            </w:pPr>
            <w:r>
              <w:rPr>
                <w:rFonts w:ascii="Arial" w:hAnsi="Arial" w:cs="Arial"/>
                <w:b/>
                <w:color w:val="auto"/>
                <w:sz w:val="24"/>
                <w:highlight w:val="none"/>
              </w:rPr>
              <w:t>▲4.7提供一套深度学习图像重建应用功能，功能模块包括获得FDA审批的深度学习重建算法；量子影像链（球管热容量大于等于30MHU，球管最大输出管电流大于等于1000mA)任务调度，图像预处理，并针对应用功能提供专业技术指导、操作服务，确保临床诊疗中规范、高效应用。</w:t>
            </w:r>
          </w:p>
          <w:p w14:paraId="173E8A41">
            <w:pPr>
              <w:rPr>
                <w:rFonts w:ascii="Arial" w:hAnsi="Arial" w:cs="Arial"/>
                <w:bCs/>
                <w:color w:val="auto"/>
                <w:sz w:val="24"/>
                <w:highlight w:val="none"/>
              </w:rPr>
            </w:pPr>
            <w:r>
              <w:rPr>
                <w:rFonts w:ascii="Arial" w:hAnsi="Arial" w:cs="Arial"/>
                <w:bCs/>
                <w:color w:val="auto"/>
                <w:sz w:val="24"/>
                <w:highlight w:val="none"/>
              </w:rPr>
              <w:t>4.8提供3人次/3年CT使用培训。</w:t>
            </w:r>
          </w:p>
          <w:p w14:paraId="5BA42C99">
            <w:pPr>
              <w:rPr>
                <w:rFonts w:ascii="Arial" w:hAnsi="Arial" w:cs="Arial"/>
                <w:bCs/>
                <w:color w:val="auto"/>
                <w:sz w:val="24"/>
                <w:highlight w:val="none"/>
              </w:rPr>
            </w:pPr>
            <w:r>
              <w:rPr>
                <w:rFonts w:ascii="Arial" w:hAnsi="Arial" w:cs="Arial"/>
                <w:bCs/>
                <w:color w:val="auto"/>
                <w:sz w:val="24"/>
                <w:highlight w:val="none"/>
              </w:rPr>
              <w:t>5</w:t>
            </w:r>
            <w:r>
              <w:rPr>
                <w:rFonts w:ascii="Arial" w:hAnsi="Arial" w:cs="Arial"/>
                <w:bCs/>
                <w:color w:val="auto"/>
                <w:sz w:val="24"/>
                <w:highlight w:val="none"/>
              </w:rPr>
              <w:tab/>
            </w:r>
            <w:r>
              <w:rPr>
                <w:rFonts w:ascii="Arial" w:hAnsi="Arial" w:cs="Arial"/>
                <w:bCs/>
                <w:color w:val="auto"/>
                <w:sz w:val="24"/>
                <w:highlight w:val="none"/>
              </w:rPr>
              <w:t>数字化服务能力要求</w:t>
            </w:r>
          </w:p>
          <w:p w14:paraId="1360A05E">
            <w:pPr>
              <w:rPr>
                <w:rFonts w:ascii="Arial" w:hAnsi="Arial" w:cs="Arial"/>
                <w:bCs/>
                <w:color w:val="auto"/>
                <w:sz w:val="24"/>
                <w:highlight w:val="none"/>
              </w:rPr>
            </w:pPr>
            <w:r>
              <w:rPr>
                <w:rFonts w:ascii="Arial" w:hAnsi="Arial" w:cs="Arial"/>
                <w:bCs/>
                <w:color w:val="auto"/>
                <w:sz w:val="24"/>
                <w:highlight w:val="none"/>
              </w:rPr>
              <w:t>5.1</w:t>
            </w:r>
            <w:r>
              <w:rPr>
                <w:rFonts w:ascii="Arial" w:hAnsi="Arial" w:cs="Arial"/>
                <w:bCs/>
                <w:color w:val="auto"/>
                <w:sz w:val="24"/>
                <w:highlight w:val="none"/>
              </w:rPr>
              <w:tab/>
            </w:r>
            <w:r>
              <w:rPr>
                <w:rFonts w:ascii="Arial" w:hAnsi="Arial" w:cs="Arial"/>
                <w:bCs/>
                <w:color w:val="auto"/>
                <w:sz w:val="24"/>
                <w:highlight w:val="none"/>
              </w:rPr>
              <w:t>提供数字化远程守护服务，并对球管、高压等核心备件相关参数、扫描量、磁盘空间、温湿度等提供实时监测及故障诊断</w:t>
            </w:r>
          </w:p>
          <w:p w14:paraId="2F243FA4">
            <w:pPr>
              <w:rPr>
                <w:rFonts w:ascii="Arial" w:hAnsi="Arial" w:cs="Arial"/>
                <w:bCs/>
                <w:color w:val="auto"/>
                <w:sz w:val="24"/>
                <w:highlight w:val="none"/>
              </w:rPr>
            </w:pPr>
            <w:r>
              <w:rPr>
                <w:rFonts w:ascii="Arial" w:hAnsi="Arial" w:cs="Arial"/>
                <w:bCs/>
                <w:color w:val="auto"/>
                <w:sz w:val="24"/>
                <w:highlight w:val="none"/>
              </w:rPr>
              <w:t>5.2</w:t>
            </w:r>
            <w:r>
              <w:rPr>
                <w:rFonts w:ascii="Arial" w:hAnsi="Arial" w:cs="Arial"/>
                <w:bCs/>
                <w:color w:val="auto"/>
                <w:sz w:val="24"/>
                <w:highlight w:val="none"/>
              </w:rPr>
              <w:tab/>
            </w:r>
            <w:r>
              <w:rPr>
                <w:rFonts w:ascii="Arial" w:hAnsi="Arial" w:cs="Arial"/>
                <w:bCs/>
                <w:color w:val="auto"/>
                <w:sz w:val="24"/>
                <w:highlight w:val="none"/>
              </w:rPr>
              <w:t>支持客户通过登录提供的链接查询相关设备状态信息</w:t>
            </w:r>
          </w:p>
          <w:p w14:paraId="7079334C">
            <w:pPr>
              <w:rPr>
                <w:rFonts w:ascii="Arial" w:hAnsi="Arial" w:cs="Arial"/>
                <w:bCs/>
                <w:color w:val="auto"/>
                <w:sz w:val="24"/>
                <w:highlight w:val="none"/>
              </w:rPr>
            </w:pPr>
            <w:r>
              <w:rPr>
                <w:rFonts w:ascii="Arial" w:hAnsi="Arial" w:cs="Arial"/>
                <w:bCs/>
                <w:color w:val="auto"/>
                <w:sz w:val="24"/>
                <w:highlight w:val="none"/>
              </w:rPr>
              <w:t>5.3</w:t>
            </w:r>
            <w:r>
              <w:rPr>
                <w:rFonts w:ascii="Arial" w:hAnsi="Arial" w:cs="Arial"/>
                <w:bCs/>
                <w:color w:val="auto"/>
                <w:sz w:val="24"/>
                <w:highlight w:val="none"/>
              </w:rPr>
              <w:tab/>
            </w:r>
            <w:r>
              <w:rPr>
                <w:rFonts w:ascii="Arial" w:hAnsi="Arial" w:cs="Arial"/>
                <w:bCs/>
                <w:color w:val="auto"/>
                <w:sz w:val="24"/>
                <w:highlight w:val="none"/>
              </w:rPr>
              <w:t>支持设备服务预约以及维修纪录查询</w:t>
            </w:r>
          </w:p>
          <w:p w14:paraId="65CC8002">
            <w:pPr>
              <w:rPr>
                <w:rFonts w:ascii="Arial" w:hAnsi="Arial" w:cs="Arial"/>
                <w:bCs/>
                <w:color w:val="auto"/>
                <w:sz w:val="24"/>
                <w:highlight w:val="none"/>
              </w:rPr>
            </w:pPr>
            <w:r>
              <w:rPr>
                <w:rFonts w:ascii="Arial" w:hAnsi="Arial" w:cs="Arial"/>
                <w:bCs/>
                <w:color w:val="auto"/>
                <w:sz w:val="24"/>
                <w:highlight w:val="none"/>
              </w:rPr>
              <w:t>5.4</w:t>
            </w:r>
            <w:r>
              <w:rPr>
                <w:rFonts w:ascii="Arial" w:hAnsi="Arial" w:cs="Arial"/>
                <w:bCs/>
                <w:color w:val="auto"/>
                <w:sz w:val="24"/>
                <w:highlight w:val="none"/>
              </w:rPr>
              <w:tab/>
            </w:r>
            <w:r>
              <w:rPr>
                <w:rFonts w:ascii="Arial" w:hAnsi="Arial" w:cs="Arial"/>
                <w:bCs/>
                <w:color w:val="auto"/>
                <w:sz w:val="24"/>
                <w:highlight w:val="none"/>
              </w:rPr>
              <w:t>支持合同状态、工程师派工、保养记录、维修记录等多种信息查询</w:t>
            </w:r>
          </w:p>
          <w:p w14:paraId="7214F867">
            <w:pPr>
              <w:rPr>
                <w:rFonts w:ascii="Arial" w:hAnsi="Arial" w:cs="Arial"/>
                <w:bCs/>
                <w:color w:val="auto"/>
                <w:sz w:val="24"/>
                <w:highlight w:val="none"/>
              </w:rPr>
            </w:pPr>
            <w:r>
              <w:rPr>
                <w:rFonts w:ascii="Arial" w:hAnsi="Arial" w:cs="Arial"/>
                <w:bCs/>
                <w:color w:val="auto"/>
                <w:sz w:val="24"/>
                <w:highlight w:val="none"/>
              </w:rPr>
              <w:t>5.5</w:t>
            </w:r>
            <w:r>
              <w:rPr>
                <w:rFonts w:ascii="Arial" w:hAnsi="Arial" w:cs="Arial"/>
                <w:bCs/>
                <w:color w:val="auto"/>
                <w:sz w:val="24"/>
                <w:highlight w:val="none"/>
              </w:rPr>
              <w:tab/>
            </w:r>
            <w:r>
              <w:rPr>
                <w:rFonts w:ascii="Arial" w:hAnsi="Arial" w:cs="Arial"/>
                <w:bCs/>
                <w:color w:val="auto"/>
                <w:sz w:val="24"/>
                <w:highlight w:val="none"/>
              </w:rPr>
              <w:t>支持二维码资产管理以及扫码报修</w:t>
            </w:r>
          </w:p>
          <w:p w14:paraId="25ECDDB8">
            <w:pPr>
              <w:rPr>
                <w:rFonts w:ascii="Arial" w:hAnsi="Arial" w:cs="Arial"/>
                <w:bCs/>
                <w:color w:val="auto"/>
                <w:sz w:val="24"/>
                <w:highlight w:val="none"/>
              </w:rPr>
            </w:pPr>
            <w:r>
              <w:rPr>
                <w:rFonts w:ascii="Arial" w:hAnsi="Arial" w:cs="Arial"/>
                <w:bCs/>
                <w:color w:val="auto"/>
                <w:sz w:val="24"/>
                <w:highlight w:val="none"/>
              </w:rPr>
              <w:t>5.6</w:t>
            </w:r>
            <w:r>
              <w:rPr>
                <w:rFonts w:ascii="Arial" w:hAnsi="Arial" w:cs="Arial"/>
                <w:bCs/>
                <w:color w:val="auto"/>
                <w:sz w:val="24"/>
                <w:highlight w:val="none"/>
              </w:rPr>
              <w:tab/>
            </w:r>
            <w:r>
              <w:rPr>
                <w:rFonts w:ascii="Arial" w:hAnsi="Arial" w:cs="Arial"/>
                <w:bCs/>
                <w:color w:val="auto"/>
                <w:sz w:val="24"/>
                <w:highlight w:val="none"/>
              </w:rPr>
              <w:t>支持应用服务适配PC机和手持移动终端设备</w:t>
            </w:r>
          </w:p>
          <w:p w14:paraId="47C3B457">
            <w:pPr>
              <w:rPr>
                <w:rFonts w:ascii="Arial" w:hAnsi="Arial" w:cs="Arial"/>
                <w:bCs/>
                <w:color w:val="auto"/>
                <w:sz w:val="24"/>
                <w:highlight w:val="none"/>
              </w:rPr>
            </w:pPr>
            <w:r>
              <w:rPr>
                <w:rFonts w:ascii="Arial" w:hAnsi="Arial" w:cs="Arial"/>
                <w:bCs/>
                <w:color w:val="auto"/>
                <w:sz w:val="24"/>
                <w:highlight w:val="none"/>
              </w:rPr>
              <w:t>5.7 提供绩效分析功能</w:t>
            </w:r>
          </w:p>
        </w:tc>
        <w:tc>
          <w:tcPr>
            <w:tcW w:w="757" w:type="dxa"/>
            <w:vAlign w:val="center"/>
          </w:tcPr>
          <w:p w14:paraId="0C48106E">
            <w:pPr>
              <w:jc w:val="center"/>
              <w:rPr>
                <w:rFonts w:ascii="Arial" w:hAnsi="Arial" w:cs="Arial"/>
                <w:b/>
                <w:color w:val="auto"/>
                <w:sz w:val="24"/>
                <w:highlight w:val="none"/>
              </w:rPr>
            </w:pPr>
            <w:r>
              <w:rPr>
                <w:rFonts w:ascii="Arial" w:hAnsi="Arial" w:cs="Arial"/>
                <w:b/>
                <w:color w:val="auto"/>
                <w:sz w:val="24"/>
                <w:highlight w:val="none"/>
              </w:rPr>
              <w:t>1</w:t>
            </w:r>
          </w:p>
        </w:tc>
      </w:tr>
      <w:tr w14:paraId="5C84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3" w:type="dxa"/>
            <w:vAlign w:val="center"/>
          </w:tcPr>
          <w:p w14:paraId="0C97275D">
            <w:pPr>
              <w:pStyle w:val="20"/>
              <w:spacing w:line="240" w:lineRule="auto"/>
              <w:jc w:val="center"/>
              <w:rPr>
                <w:rFonts w:ascii="Arial" w:hAnsi="Arial" w:cs="Arial"/>
                <w:b/>
                <w:color w:val="auto"/>
                <w:highlight w:val="none"/>
              </w:rPr>
            </w:pPr>
            <w:r>
              <w:rPr>
                <w:rFonts w:ascii="Arial" w:hAnsi="Arial" w:cs="Arial"/>
                <w:b/>
                <w:color w:val="auto"/>
                <w:highlight w:val="none"/>
              </w:rPr>
              <w:t>2</w:t>
            </w:r>
          </w:p>
        </w:tc>
        <w:tc>
          <w:tcPr>
            <w:tcW w:w="855" w:type="dxa"/>
            <w:vAlign w:val="center"/>
          </w:tcPr>
          <w:p w14:paraId="196CA6E9">
            <w:pPr>
              <w:rPr>
                <w:rFonts w:ascii="Arial" w:hAnsi="Arial" w:cs="Arial"/>
                <w:color w:val="auto"/>
                <w:sz w:val="24"/>
                <w:highlight w:val="none"/>
                <w:shd w:val="clear" w:color="auto" w:fill="FFFFFF"/>
              </w:rPr>
            </w:pPr>
            <w:r>
              <w:rPr>
                <w:rFonts w:ascii="Arial" w:hAnsi="Arial" w:cs="Arial"/>
                <w:b/>
                <w:color w:val="auto"/>
                <w:sz w:val="24"/>
                <w:highlight w:val="none"/>
              </w:rPr>
              <w:t>放射科GE 128排CT维保二台（3年）</w:t>
            </w:r>
          </w:p>
        </w:tc>
        <w:tc>
          <w:tcPr>
            <w:tcW w:w="8453" w:type="dxa"/>
            <w:vAlign w:val="center"/>
          </w:tcPr>
          <w:p w14:paraId="4B221AC8">
            <w:pPr>
              <w:rPr>
                <w:rFonts w:ascii="Arial" w:hAnsi="Arial" w:cs="Arial"/>
                <w:bCs/>
                <w:color w:val="auto"/>
                <w:sz w:val="24"/>
                <w:highlight w:val="none"/>
              </w:rPr>
            </w:pPr>
            <w:r>
              <w:rPr>
                <w:rFonts w:ascii="Arial" w:hAnsi="Arial" w:cs="Arial"/>
                <w:bCs/>
                <w:color w:val="auto"/>
                <w:sz w:val="24"/>
                <w:highlight w:val="none"/>
              </w:rPr>
              <w:t>技术参数：</w:t>
            </w:r>
          </w:p>
          <w:p w14:paraId="15CB8570">
            <w:pPr>
              <w:rPr>
                <w:rFonts w:ascii="Arial" w:hAnsi="Arial" w:cs="Arial"/>
                <w:bCs/>
                <w:color w:val="auto"/>
                <w:sz w:val="24"/>
                <w:highlight w:val="none"/>
              </w:rPr>
            </w:pPr>
            <w:r>
              <w:rPr>
                <w:rFonts w:ascii="Arial" w:hAnsi="Arial" w:cs="Arial"/>
                <w:bCs/>
                <w:color w:val="auto"/>
                <w:sz w:val="24"/>
                <w:highlight w:val="none"/>
              </w:rPr>
              <w:t>1 设备情况及服务范围：</w:t>
            </w:r>
          </w:p>
          <w:p w14:paraId="350525D5">
            <w:pPr>
              <w:rPr>
                <w:rFonts w:ascii="Arial" w:hAnsi="Arial" w:cs="Arial"/>
                <w:bCs/>
                <w:color w:val="auto"/>
                <w:sz w:val="24"/>
                <w:highlight w:val="none"/>
              </w:rPr>
            </w:pPr>
            <w:r>
              <w:rPr>
                <w:rFonts w:ascii="Arial" w:hAnsi="Arial" w:cs="Arial"/>
                <w:bCs/>
                <w:color w:val="auto"/>
                <w:sz w:val="24"/>
                <w:highlight w:val="none"/>
              </w:rPr>
              <w:t>1.1设备型号：Revolution ES</w:t>
            </w:r>
          </w:p>
          <w:p w14:paraId="3130F52B">
            <w:pPr>
              <w:rPr>
                <w:rFonts w:ascii="Arial" w:hAnsi="Arial" w:cs="Arial"/>
                <w:bCs/>
                <w:color w:val="auto"/>
                <w:sz w:val="24"/>
                <w:highlight w:val="none"/>
              </w:rPr>
            </w:pPr>
            <w:r>
              <w:rPr>
                <w:rFonts w:ascii="Arial" w:hAnsi="Arial" w:cs="Arial"/>
                <w:bCs/>
                <w:color w:val="auto"/>
                <w:sz w:val="24"/>
                <w:highlight w:val="none"/>
              </w:rPr>
              <w:t>设备数量：2台</w:t>
            </w:r>
          </w:p>
          <w:p w14:paraId="13FAB5EB">
            <w:pPr>
              <w:rPr>
                <w:rFonts w:ascii="Arial" w:hAnsi="Arial" w:cs="Arial"/>
                <w:bCs/>
                <w:color w:val="auto"/>
                <w:sz w:val="24"/>
                <w:highlight w:val="none"/>
              </w:rPr>
            </w:pPr>
            <w:r>
              <w:rPr>
                <w:rFonts w:ascii="Arial" w:hAnsi="Arial" w:cs="Arial"/>
                <w:bCs/>
                <w:color w:val="auto"/>
                <w:sz w:val="24"/>
                <w:highlight w:val="none"/>
              </w:rPr>
              <w:t>1.1.1</w:t>
            </w:r>
            <w:r>
              <w:rPr>
                <w:rFonts w:ascii="Arial" w:hAnsi="Arial" w:cs="Arial"/>
                <w:bCs/>
                <w:color w:val="auto"/>
                <w:sz w:val="24"/>
                <w:highlight w:val="none"/>
              </w:rPr>
              <w:tab/>
            </w:r>
            <w:r>
              <w:rPr>
                <w:rFonts w:ascii="Arial" w:hAnsi="Arial" w:cs="Arial"/>
                <w:bCs/>
                <w:color w:val="auto"/>
                <w:sz w:val="24"/>
                <w:highlight w:val="none"/>
              </w:rPr>
              <w:t>提供整机保修，不限次数人工，包括主机、球管、探测器、工作站保修。</w:t>
            </w:r>
          </w:p>
          <w:p w14:paraId="76AD86D5">
            <w:pPr>
              <w:rPr>
                <w:rFonts w:ascii="Arial" w:hAnsi="Arial" w:cs="Arial"/>
                <w:bCs/>
                <w:color w:val="auto"/>
                <w:sz w:val="24"/>
                <w:highlight w:val="none"/>
              </w:rPr>
            </w:pPr>
            <w:r>
              <w:rPr>
                <w:rFonts w:ascii="Arial" w:hAnsi="Arial" w:cs="Arial"/>
                <w:bCs/>
                <w:color w:val="auto"/>
                <w:sz w:val="24"/>
                <w:highlight w:val="none"/>
              </w:rPr>
              <w:t>1.1.2</w:t>
            </w:r>
            <w:r>
              <w:rPr>
                <w:rFonts w:ascii="Arial" w:hAnsi="Arial" w:cs="Arial"/>
                <w:bCs/>
                <w:color w:val="auto"/>
                <w:sz w:val="24"/>
                <w:highlight w:val="none"/>
              </w:rPr>
              <w:tab/>
            </w:r>
            <w:r>
              <w:rPr>
                <w:rFonts w:ascii="Arial" w:hAnsi="Arial" w:cs="Arial"/>
                <w:bCs/>
                <w:color w:val="auto"/>
                <w:sz w:val="24"/>
                <w:highlight w:val="none"/>
              </w:rPr>
              <w:t>有维修站并配备CT专职工程师≥5名，提供名单</w:t>
            </w:r>
          </w:p>
          <w:p w14:paraId="5B8A7305">
            <w:pPr>
              <w:rPr>
                <w:rFonts w:ascii="Arial" w:hAnsi="Arial" w:cs="Arial"/>
                <w:bCs/>
                <w:color w:val="auto"/>
                <w:sz w:val="24"/>
                <w:highlight w:val="none"/>
              </w:rPr>
            </w:pPr>
            <w:r>
              <w:rPr>
                <w:rFonts w:ascii="Arial" w:hAnsi="Arial" w:cs="Arial"/>
                <w:bCs/>
                <w:color w:val="auto"/>
                <w:sz w:val="24"/>
                <w:highlight w:val="none"/>
              </w:rPr>
              <w:t>1.1.3</w:t>
            </w:r>
            <w:r>
              <w:rPr>
                <w:rFonts w:ascii="Arial" w:hAnsi="Arial" w:cs="Arial"/>
                <w:bCs/>
                <w:color w:val="auto"/>
                <w:sz w:val="24"/>
                <w:highlight w:val="none"/>
              </w:rPr>
              <w:tab/>
            </w:r>
            <w:r>
              <w:rPr>
                <w:rFonts w:ascii="Arial" w:hAnsi="Arial" w:cs="Arial"/>
                <w:bCs/>
                <w:color w:val="auto"/>
                <w:sz w:val="24"/>
                <w:highlight w:val="none"/>
              </w:rPr>
              <w:t>拟投入本项目的维保工程师接受过设备制造商专业培训并获得有效期内的相关证书认证，须提供相关证明材料。</w:t>
            </w:r>
          </w:p>
          <w:p w14:paraId="0840E49B">
            <w:pPr>
              <w:rPr>
                <w:rFonts w:ascii="Arial" w:hAnsi="Arial" w:cs="Arial"/>
                <w:bCs/>
                <w:color w:val="auto"/>
                <w:sz w:val="24"/>
                <w:highlight w:val="none"/>
              </w:rPr>
            </w:pPr>
            <w:r>
              <w:rPr>
                <w:rFonts w:ascii="Arial" w:hAnsi="Arial" w:cs="Arial"/>
                <w:bCs/>
                <w:color w:val="auto"/>
                <w:sz w:val="24"/>
                <w:highlight w:val="none"/>
              </w:rPr>
              <w:t>1.1.4</w:t>
            </w:r>
            <w:r>
              <w:rPr>
                <w:rFonts w:ascii="Arial" w:hAnsi="Arial" w:cs="Arial"/>
                <w:bCs/>
                <w:color w:val="auto"/>
                <w:sz w:val="24"/>
                <w:highlight w:val="none"/>
              </w:rPr>
              <w:tab/>
            </w:r>
            <w:r>
              <w:rPr>
                <w:rFonts w:ascii="Arial" w:hAnsi="Arial" w:cs="Arial"/>
                <w:bCs/>
                <w:color w:val="auto"/>
                <w:sz w:val="24"/>
                <w:highlight w:val="none"/>
              </w:rPr>
              <w:t>具备户服务专线电话，提供号码</w:t>
            </w:r>
          </w:p>
          <w:p w14:paraId="264B94CC">
            <w:pPr>
              <w:rPr>
                <w:rFonts w:ascii="Arial" w:hAnsi="Arial" w:cs="Arial"/>
                <w:bCs/>
                <w:color w:val="auto"/>
                <w:sz w:val="24"/>
                <w:highlight w:val="none"/>
              </w:rPr>
            </w:pPr>
            <w:r>
              <w:rPr>
                <w:rFonts w:ascii="Arial" w:hAnsi="Arial" w:cs="Arial"/>
                <w:bCs/>
                <w:color w:val="auto"/>
                <w:sz w:val="24"/>
                <w:highlight w:val="none"/>
              </w:rPr>
              <w:t>1.1.5</w:t>
            </w:r>
            <w:r>
              <w:rPr>
                <w:rFonts w:ascii="Arial" w:hAnsi="Arial" w:cs="Arial"/>
                <w:bCs/>
                <w:color w:val="auto"/>
                <w:sz w:val="24"/>
                <w:highlight w:val="none"/>
              </w:rPr>
              <w:tab/>
            </w:r>
            <w:r>
              <w:rPr>
                <w:rFonts w:ascii="Arial" w:hAnsi="Arial" w:cs="Arial"/>
                <w:bCs/>
                <w:color w:val="auto"/>
                <w:sz w:val="24"/>
                <w:highlight w:val="none"/>
              </w:rPr>
              <w:t>零备件储备，符合设备注册要求，提供仓库信息</w:t>
            </w:r>
          </w:p>
          <w:p w14:paraId="235AC780">
            <w:pPr>
              <w:rPr>
                <w:rFonts w:ascii="Arial" w:hAnsi="Arial" w:cs="Arial"/>
                <w:bCs/>
                <w:color w:val="auto"/>
                <w:sz w:val="24"/>
                <w:highlight w:val="none"/>
              </w:rPr>
            </w:pPr>
            <w:r>
              <w:rPr>
                <w:rFonts w:ascii="Arial" w:hAnsi="Arial" w:cs="Arial"/>
                <w:bCs/>
                <w:color w:val="auto"/>
                <w:sz w:val="24"/>
                <w:highlight w:val="none"/>
              </w:rPr>
              <w:t>1.1.6</w:t>
            </w:r>
            <w:r>
              <w:rPr>
                <w:rFonts w:ascii="Arial" w:hAnsi="Arial" w:cs="Arial"/>
                <w:bCs/>
                <w:color w:val="auto"/>
                <w:sz w:val="24"/>
                <w:highlight w:val="none"/>
              </w:rPr>
              <w:tab/>
            </w:r>
            <w:r>
              <w:rPr>
                <w:rFonts w:ascii="Arial" w:hAnsi="Arial" w:cs="Arial"/>
                <w:bCs/>
                <w:color w:val="auto"/>
                <w:sz w:val="24"/>
                <w:highlight w:val="none"/>
              </w:rPr>
              <w:t>核心部件球管保障供应，提供库存证明</w:t>
            </w:r>
          </w:p>
          <w:p w14:paraId="5037B464">
            <w:pPr>
              <w:rPr>
                <w:rFonts w:ascii="Arial" w:hAnsi="Arial" w:cs="Arial"/>
                <w:bCs/>
                <w:color w:val="auto"/>
                <w:sz w:val="24"/>
                <w:highlight w:val="none"/>
              </w:rPr>
            </w:pPr>
            <w:r>
              <w:rPr>
                <w:rFonts w:ascii="Arial" w:hAnsi="Arial" w:cs="Arial"/>
                <w:bCs/>
                <w:color w:val="auto"/>
                <w:sz w:val="24"/>
                <w:highlight w:val="none"/>
              </w:rPr>
              <w:t>1.1.7</w:t>
            </w:r>
            <w:r>
              <w:rPr>
                <w:rFonts w:ascii="Arial" w:hAnsi="Arial" w:cs="Arial"/>
                <w:bCs/>
                <w:color w:val="auto"/>
                <w:sz w:val="24"/>
                <w:highlight w:val="none"/>
              </w:rPr>
              <w:tab/>
            </w:r>
            <w:r>
              <w:rPr>
                <w:rFonts w:ascii="Arial" w:hAnsi="Arial" w:cs="Arial"/>
                <w:bCs/>
                <w:color w:val="auto"/>
                <w:sz w:val="24"/>
                <w:highlight w:val="none"/>
              </w:rPr>
              <w:t>核心部件球管到货时间≤48小时</w:t>
            </w:r>
          </w:p>
          <w:p w14:paraId="0924D5BA">
            <w:pPr>
              <w:rPr>
                <w:rFonts w:ascii="Arial" w:hAnsi="Arial" w:cs="Arial"/>
                <w:bCs/>
                <w:color w:val="auto"/>
                <w:sz w:val="24"/>
                <w:highlight w:val="none"/>
              </w:rPr>
            </w:pPr>
            <w:r>
              <w:rPr>
                <w:rFonts w:ascii="Arial" w:hAnsi="Arial" w:cs="Arial"/>
                <w:bCs/>
                <w:color w:val="auto"/>
                <w:sz w:val="24"/>
                <w:highlight w:val="none"/>
              </w:rPr>
              <w:t>1.2</w:t>
            </w:r>
            <w:r>
              <w:rPr>
                <w:rFonts w:ascii="Arial" w:hAnsi="Arial" w:cs="Arial"/>
                <w:bCs/>
                <w:color w:val="auto"/>
                <w:sz w:val="24"/>
                <w:highlight w:val="none"/>
              </w:rPr>
              <w:tab/>
            </w:r>
            <w:r>
              <w:rPr>
                <w:rFonts w:ascii="Arial" w:hAnsi="Arial" w:cs="Arial"/>
                <w:bCs/>
                <w:color w:val="auto"/>
                <w:sz w:val="24"/>
                <w:highlight w:val="none"/>
              </w:rPr>
              <w:t>基础服务承诺</w:t>
            </w:r>
          </w:p>
          <w:p w14:paraId="72035333">
            <w:pPr>
              <w:rPr>
                <w:rFonts w:ascii="Arial" w:hAnsi="Arial" w:cs="Arial"/>
                <w:bCs/>
                <w:color w:val="auto"/>
                <w:sz w:val="24"/>
                <w:highlight w:val="none"/>
              </w:rPr>
            </w:pPr>
            <w:r>
              <w:rPr>
                <w:rFonts w:ascii="Arial" w:hAnsi="Arial" w:cs="Arial"/>
                <w:bCs/>
                <w:color w:val="auto"/>
                <w:sz w:val="24"/>
                <w:highlight w:val="none"/>
              </w:rPr>
              <w:t>1.2.1</w:t>
            </w:r>
            <w:r>
              <w:rPr>
                <w:rFonts w:ascii="Arial" w:hAnsi="Arial" w:cs="Arial"/>
                <w:bCs/>
                <w:color w:val="auto"/>
                <w:sz w:val="24"/>
                <w:highlight w:val="none"/>
              </w:rPr>
              <w:tab/>
            </w:r>
            <w:r>
              <w:rPr>
                <w:rFonts w:ascii="Arial" w:hAnsi="Arial" w:cs="Arial"/>
                <w:bCs/>
                <w:color w:val="auto"/>
                <w:sz w:val="24"/>
                <w:highlight w:val="none"/>
              </w:rPr>
              <w:t>服务响应时间，≤1小时</w:t>
            </w:r>
          </w:p>
          <w:p w14:paraId="7BD9D2C7">
            <w:pPr>
              <w:rPr>
                <w:rFonts w:ascii="Arial" w:hAnsi="Arial" w:cs="Arial"/>
                <w:bCs/>
                <w:color w:val="auto"/>
                <w:sz w:val="24"/>
                <w:highlight w:val="none"/>
              </w:rPr>
            </w:pPr>
            <w:r>
              <w:rPr>
                <w:rFonts w:ascii="Arial" w:hAnsi="Arial" w:cs="Arial"/>
                <w:bCs/>
                <w:color w:val="auto"/>
                <w:sz w:val="24"/>
                <w:highlight w:val="none"/>
              </w:rPr>
              <w:t>1.2.2</w:t>
            </w:r>
            <w:r>
              <w:rPr>
                <w:rFonts w:ascii="Arial" w:hAnsi="Arial" w:cs="Arial"/>
                <w:bCs/>
                <w:color w:val="auto"/>
                <w:sz w:val="24"/>
                <w:highlight w:val="none"/>
              </w:rPr>
              <w:tab/>
            </w:r>
            <w:r>
              <w:rPr>
                <w:rFonts w:ascii="Arial" w:hAnsi="Arial" w:cs="Arial"/>
                <w:bCs/>
                <w:color w:val="auto"/>
                <w:sz w:val="24"/>
                <w:highlight w:val="none"/>
              </w:rPr>
              <w:t>服务到场时间，≤24小时</w:t>
            </w:r>
          </w:p>
          <w:p w14:paraId="42C8A555">
            <w:pPr>
              <w:rPr>
                <w:rFonts w:ascii="Arial" w:hAnsi="Arial" w:cs="Arial"/>
                <w:bCs/>
                <w:color w:val="auto"/>
                <w:sz w:val="24"/>
                <w:highlight w:val="none"/>
              </w:rPr>
            </w:pPr>
            <w:r>
              <w:rPr>
                <w:rFonts w:ascii="Arial" w:hAnsi="Arial" w:cs="Arial"/>
                <w:bCs/>
                <w:color w:val="auto"/>
                <w:sz w:val="24"/>
                <w:highlight w:val="none"/>
              </w:rPr>
              <w:t>1.2.3</w:t>
            </w:r>
            <w:r>
              <w:rPr>
                <w:rFonts w:ascii="Arial" w:hAnsi="Arial" w:cs="Arial"/>
                <w:bCs/>
                <w:color w:val="auto"/>
                <w:sz w:val="24"/>
                <w:highlight w:val="none"/>
              </w:rPr>
              <w:tab/>
            </w:r>
            <w:r>
              <w:rPr>
                <w:rFonts w:ascii="Arial" w:hAnsi="Arial" w:cs="Arial"/>
                <w:bCs/>
                <w:color w:val="auto"/>
                <w:sz w:val="24"/>
                <w:highlight w:val="none"/>
              </w:rPr>
              <w:t>开机率保证，≥95%（以工作日计）</w:t>
            </w:r>
          </w:p>
          <w:p w14:paraId="02475B8B">
            <w:pPr>
              <w:rPr>
                <w:rFonts w:ascii="Arial" w:hAnsi="Arial" w:cs="Arial"/>
                <w:bCs/>
                <w:color w:val="auto"/>
                <w:sz w:val="24"/>
                <w:highlight w:val="none"/>
              </w:rPr>
            </w:pPr>
            <w:r>
              <w:rPr>
                <w:rFonts w:ascii="Arial" w:hAnsi="Arial" w:cs="Arial"/>
                <w:bCs/>
                <w:color w:val="auto"/>
                <w:sz w:val="24"/>
                <w:highlight w:val="none"/>
              </w:rPr>
              <w:t>1.2.4</w:t>
            </w:r>
            <w:r>
              <w:rPr>
                <w:rFonts w:ascii="Arial" w:hAnsi="Arial" w:cs="Arial"/>
                <w:bCs/>
                <w:color w:val="auto"/>
                <w:sz w:val="24"/>
                <w:highlight w:val="none"/>
              </w:rPr>
              <w:tab/>
            </w:r>
            <w:r>
              <w:rPr>
                <w:rFonts w:ascii="Arial" w:hAnsi="Arial" w:cs="Arial"/>
                <w:bCs/>
                <w:color w:val="auto"/>
                <w:sz w:val="24"/>
                <w:highlight w:val="none"/>
              </w:rPr>
              <w:t>服务期内不限次人工服务</w:t>
            </w:r>
          </w:p>
          <w:p w14:paraId="02FECB19">
            <w:pPr>
              <w:rPr>
                <w:rFonts w:ascii="Arial" w:hAnsi="Arial" w:cs="Arial"/>
                <w:bCs/>
                <w:color w:val="auto"/>
                <w:sz w:val="24"/>
                <w:highlight w:val="none"/>
              </w:rPr>
            </w:pPr>
            <w:r>
              <w:rPr>
                <w:rFonts w:ascii="Arial" w:hAnsi="Arial" w:cs="Arial"/>
                <w:bCs/>
                <w:color w:val="auto"/>
                <w:sz w:val="24"/>
                <w:highlight w:val="none"/>
              </w:rPr>
              <w:t>1.2.5</w:t>
            </w:r>
            <w:r>
              <w:rPr>
                <w:rFonts w:ascii="Arial" w:hAnsi="Arial" w:cs="Arial"/>
                <w:bCs/>
                <w:color w:val="auto"/>
                <w:sz w:val="24"/>
                <w:highlight w:val="none"/>
              </w:rPr>
              <w:tab/>
            </w:r>
            <w:r>
              <w:rPr>
                <w:rFonts w:ascii="Arial" w:hAnsi="Arial" w:cs="Arial"/>
                <w:bCs/>
                <w:color w:val="auto"/>
                <w:sz w:val="24"/>
                <w:highlight w:val="none"/>
              </w:rPr>
              <w:t>服务期内更换备件服务，不包含三方周边产品</w:t>
            </w:r>
          </w:p>
          <w:p w14:paraId="7140A66D">
            <w:pPr>
              <w:rPr>
                <w:rFonts w:ascii="Arial" w:hAnsi="Arial" w:cs="Arial"/>
                <w:b/>
                <w:color w:val="auto"/>
                <w:sz w:val="24"/>
                <w:highlight w:val="none"/>
              </w:rPr>
            </w:pPr>
            <w:r>
              <w:rPr>
                <w:rFonts w:ascii="Arial" w:hAnsi="Arial" w:cs="Arial"/>
                <w:b/>
                <w:color w:val="auto"/>
                <w:sz w:val="24"/>
                <w:highlight w:val="none"/>
              </w:rPr>
              <w:t>▲1.2.6</w:t>
            </w:r>
            <w:r>
              <w:rPr>
                <w:rFonts w:ascii="Arial" w:hAnsi="Arial" w:cs="Arial"/>
                <w:b/>
                <w:color w:val="auto"/>
                <w:sz w:val="24"/>
                <w:highlight w:val="none"/>
              </w:rPr>
              <w:tab/>
            </w:r>
            <w:r>
              <w:rPr>
                <w:rFonts w:ascii="Arial" w:hAnsi="Arial" w:cs="Arial"/>
                <w:b/>
                <w:color w:val="auto"/>
                <w:sz w:val="24"/>
                <w:highlight w:val="none"/>
              </w:rPr>
              <w:t>服务期内支持主机系统软件持续升级、补丁，保证所有系统软件为最新版本。</w:t>
            </w:r>
          </w:p>
          <w:p w14:paraId="1FB27158">
            <w:pPr>
              <w:rPr>
                <w:rFonts w:ascii="Arial" w:hAnsi="Arial" w:cs="Arial"/>
                <w:b/>
                <w:color w:val="auto"/>
                <w:sz w:val="24"/>
                <w:highlight w:val="none"/>
              </w:rPr>
            </w:pPr>
            <w:r>
              <w:rPr>
                <w:rFonts w:ascii="Arial" w:hAnsi="Arial" w:cs="Arial"/>
                <w:b/>
                <w:color w:val="auto"/>
                <w:sz w:val="24"/>
                <w:highlight w:val="none"/>
              </w:rPr>
              <w:t>▲1.2.7</w:t>
            </w:r>
            <w:r>
              <w:rPr>
                <w:rFonts w:ascii="Arial" w:hAnsi="Arial" w:cs="Arial"/>
                <w:b/>
                <w:color w:val="auto"/>
                <w:sz w:val="24"/>
                <w:highlight w:val="none"/>
              </w:rPr>
              <w:tab/>
            </w:r>
            <w:r>
              <w:rPr>
                <w:rFonts w:ascii="Arial" w:hAnsi="Arial" w:cs="Arial"/>
                <w:b/>
                <w:color w:val="auto"/>
                <w:sz w:val="24"/>
                <w:highlight w:val="none"/>
              </w:rPr>
              <w:t>投标人须合法获得使用在有效期内的原厂故障诊断软件及诊断service key，并保证不违法国家有关知识产权的法律规定，投标文件中须提供证明文件。</w:t>
            </w:r>
          </w:p>
          <w:p w14:paraId="0CCF9503">
            <w:pPr>
              <w:rPr>
                <w:rFonts w:ascii="Arial" w:hAnsi="Arial" w:cs="Arial"/>
                <w:bCs/>
                <w:color w:val="auto"/>
                <w:sz w:val="24"/>
                <w:highlight w:val="none"/>
              </w:rPr>
            </w:pPr>
            <w:r>
              <w:rPr>
                <w:rFonts w:ascii="Arial" w:hAnsi="Arial" w:cs="Arial"/>
                <w:bCs/>
                <w:color w:val="auto"/>
                <w:sz w:val="24"/>
                <w:highlight w:val="none"/>
              </w:rPr>
              <w:t>2</w:t>
            </w:r>
            <w:r>
              <w:rPr>
                <w:rFonts w:ascii="Arial" w:hAnsi="Arial" w:cs="Arial"/>
                <w:bCs/>
                <w:color w:val="auto"/>
                <w:sz w:val="24"/>
                <w:highlight w:val="none"/>
              </w:rPr>
              <w:tab/>
            </w:r>
            <w:r>
              <w:rPr>
                <w:rFonts w:ascii="Arial" w:hAnsi="Arial" w:cs="Arial"/>
                <w:bCs/>
                <w:color w:val="auto"/>
                <w:sz w:val="24"/>
                <w:highlight w:val="none"/>
              </w:rPr>
              <w:t>服务技术要求</w:t>
            </w:r>
          </w:p>
          <w:p w14:paraId="3E318157">
            <w:pPr>
              <w:rPr>
                <w:rFonts w:ascii="Arial" w:hAnsi="Arial" w:cs="Arial"/>
                <w:bCs/>
                <w:color w:val="auto"/>
                <w:sz w:val="24"/>
                <w:highlight w:val="none"/>
              </w:rPr>
            </w:pPr>
            <w:r>
              <w:rPr>
                <w:rFonts w:ascii="Arial" w:hAnsi="Arial" w:cs="Arial"/>
                <w:bCs/>
                <w:color w:val="auto"/>
                <w:sz w:val="24"/>
                <w:highlight w:val="none"/>
              </w:rPr>
              <w:t>2.1</w:t>
            </w:r>
            <w:r>
              <w:rPr>
                <w:rFonts w:ascii="Arial" w:hAnsi="Arial" w:cs="Arial"/>
                <w:bCs/>
                <w:color w:val="auto"/>
                <w:sz w:val="24"/>
                <w:highlight w:val="none"/>
              </w:rPr>
              <w:tab/>
            </w:r>
            <w:r>
              <w:rPr>
                <w:rFonts w:ascii="Arial" w:hAnsi="Arial" w:cs="Arial"/>
                <w:bCs/>
                <w:color w:val="auto"/>
                <w:sz w:val="24"/>
                <w:highlight w:val="none"/>
              </w:rPr>
              <w:t>基本服务内容，远程和现场</w:t>
            </w:r>
          </w:p>
          <w:p w14:paraId="1630533E">
            <w:pPr>
              <w:rPr>
                <w:rFonts w:ascii="Arial" w:hAnsi="Arial" w:cs="Arial"/>
                <w:bCs/>
                <w:color w:val="auto"/>
                <w:sz w:val="24"/>
                <w:highlight w:val="none"/>
              </w:rPr>
            </w:pPr>
            <w:r>
              <w:rPr>
                <w:rFonts w:ascii="Arial" w:hAnsi="Arial" w:cs="Arial"/>
                <w:bCs/>
                <w:color w:val="auto"/>
                <w:sz w:val="24"/>
                <w:highlight w:val="none"/>
              </w:rPr>
              <w:t>2.1.1</w:t>
            </w:r>
            <w:r>
              <w:rPr>
                <w:rFonts w:ascii="Arial" w:hAnsi="Arial" w:cs="Arial"/>
                <w:bCs/>
                <w:color w:val="auto"/>
                <w:sz w:val="24"/>
                <w:highlight w:val="none"/>
              </w:rPr>
              <w:tab/>
            </w:r>
            <w:r>
              <w:rPr>
                <w:rFonts w:ascii="Arial" w:hAnsi="Arial" w:cs="Arial"/>
                <w:bCs/>
                <w:color w:val="auto"/>
                <w:sz w:val="24"/>
                <w:highlight w:val="none"/>
              </w:rPr>
              <w:t>远程服务，包括对设备运行参数进行监测和分析，以及相应故障的远程处理</w:t>
            </w:r>
          </w:p>
          <w:p w14:paraId="4EA213F2">
            <w:pPr>
              <w:rPr>
                <w:rFonts w:ascii="Arial" w:hAnsi="Arial" w:cs="Arial"/>
                <w:bCs/>
                <w:color w:val="auto"/>
                <w:sz w:val="24"/>
                <w:highlight w:val="none"/>
              </w:rPr>
            </w:pPr>
            <w:r>
              <w:rPr>
                <w:rFonts w:ascii="Arial" w:hAnsi="Arial" w:cs="Arial"/>
                <w:bCs/>
                <w:color w:val="auto"/>
                <w:sz w:val="24"/>
                <w:highlight w:val="none"/>
              </w:rPr>
              <w:t>2.1.2</w:t>
            </w:r>
            <w:r>
              <w:rPr>
                <w:rFonts w:ascii="Arial" w:hAnsi="Arial" w:cs="Arial"/>
                <w:bCs/>
                <w:color w:val="auto"/>
                <w:sz w:val="24"/>
                <w:highlight w:val="none"/>
              </w:rPr>
              <w:tab/>
            </w:r>
            <w:r>
              <w:rPr>
                <w:rFonts w:ascii="Arial" w:hAnsi="Arial" w:cs="Arial"/>
                <w:bCs/>
                <w:color w:val="auto"/>
                <w:sz w:val="24"/>
                <w:highlight w:val="none"/>
              </w:rPr>
              <w:t>现场服务，包括现场的故障分析、判断和处理以及设备保养等</w:t>
            </w:r>
          </w:p>
          <w:p w14:paraId="1883474D">
            <w:pPr>
              <w:rPr>
                <w:rFonts w:ascii="Arial" w:hAnsi="Arial" w:cs="Arial"/>
                <w:bCs/>
                <w:color w:val="auto"/>
                <w:sz w:val="24"/>
                <w:highlight w:val="none"/>
              </w:rPr>
            </w:pPr>
            <w:r>
              <w:rPr>
                <w:rFonts w:ascii="Arial" w:hAnsi="Arial" w:cs="Arial"/>
                <w:bCs/>
                <w:color w:val="auto"/>
                <w:sz w:val="24"/>
                <w:highlight w:val="none"/>
              </w:rPr>
              <w:t>2.1.3</w:t>
            </w:r>
            <w:r>
              <w:rPr>
                <w:rFonts w:ascii="Arial" w:hAnsi="Arial" w:cs="Arial"/>
                <w:bCs/>
                <w:color w:val="auto"/>
                <w:sz w:val="24"/>
                <w:highlight w:val="none"/>
              </w:rPr>
              <w:tab/>
            </w:r>
            <w:r>
              <w:rPr>
                <w:rFonts w:ascii="Arial" w:hAnsi="Arial" w:cs="Arial"/>
                <w:bCs/>
                <w:color w:val="auto"/>
                <w:sz w:val="24"/>
                <w:highlight w:val="none"/>
              </w:rPr>
              <w:t>具备现场工程师、远程工程师、技术专家、临床专家、研发工程师的服务支持体系</w:t>
            </w:r>
          </w:p>
          <w:p w14:paraId="235DEF9A">
            <w:pPr>
              <w:rPr>
                <w:rFonts w:ascii="Arial" w:hAnsi="Arial" w:cs="Arial"/>
                <w:bCs/>
                <w:color w:val="auto"/>
                <w:sz w:val="24"/>
                <w:highlight w:val="none"/>
              </w:rPr>
            </w:pPr>
            <w:r>
              <w:rPr>
                <w:rFonts w:ascii="Arial" w:hAnsi="Arial" w:cs="Arial"/>
                <w:bCs/>
                <w:color w:val="auto"/>
                <w:sz w:val="24"/>
                <w:highlight w:val="none"/>
              </w:rPr>
              <w:t>2.1.4</w:t>
            </w:r>
            <w:r>
              <w:rPr>
                <w:rFonts w:ascii="Arial" w:hAnsi="Arial" w:cs="Arial"/>
                <w:bCs/>
                <w:color w:val="auto"/>
                <w:sz w:val="24"/>
                <w:highlight w:val="none"/>
              </w:rPr>
              <w:tab/>
            </w:r>
            <w:r>
              <w:rPr>
                <w:rFonts w:ascii="Arial" w:hAnsi="Arial" w:cs="Arial"/>
                <w:bCs/>
                <w:color w:val="auto"/>
                <w:sz w:val="24"/>
                <w:highlight w:val="none"/>
              </w:rPr>
              <w:t>具备专业诊断程序，可以及时准确诊断设备故障</w:t>
            </w:r>
          </w:p>
          <w:p w14:paraId="3255FE19">
            <w:pPr>
              <w:rPr>
                <w:rFonts w:ascii="Arial" w:hAnsi="Arial" w:cs="Arial"/>
                <w:bCs/>
                <w:color w:val="auto"/>
                <w:sz w:val="24"/>
                <w:highlight w:val="none"/>
              </w:rPr>
            </w:pPr>
            <w:r>
              <w:rPr>
                <w:rFonts w:ascii="Arial" w:hAnsi="Arial" w:cs="Arial"/>
                <w:bCs/>
                <w:color w:val="auto"/>
                <w:sz w:val="24"/>
                <w:highlight w:val="none"/>
              </w:rPr>
              <w:t>2.1.5</w:t>
            </w:r>
            <w:r>
              <w:rPr>
                <w:rFonts w:ascii="Arial" w:hAnsi="Arial" w:cs="Arial"/>
                <w:bCs/>
                <w:color w:val="auto"/>
                <w:sz w:val="24"/>
                <w:highlight w:val="none"/>
              </w:rPr>
              <w:tab/>
            </w:r>
            <w:r>
              <w:rPr>
                <w:rFonts w:ascii="Arial" w:hAnsi="Arial" w:cs="Arial"/>
                <w:bCs/>
                <w:color w:val="auto"/>
                <w:sz w:val="24"/>
                <w:highlight w:val="none"/>
              </w:rPr>
              <w:t>具备专业诊断工具，可以及时准确诊断设备故障，主要包括CT剂量测试仪、CatPhan600模体、水模和QA模、5269092电压测试模体、5735916高压检测工具和5717725无负载高压检测工具、5720762排气加油工具，提供照片</w:t>
            </w:r>
          </w:p>
          <w:p w14:paraId="2E7F4DC3">
            <w:pPr>
              <w:rPr>
                <w:rFonts w:ascii="Arial" w:hAnsi="Arial" w:cs="Arial"/>
                <w:bCs/>
                <w:color w:val="auto"/>
                <w:sz w:val="24"/>
                <w:highlight w:val="none"/>
              </w:rPr>
            </w:pPr>
            <w:r>
              <w:rPr>
                <w:rFonts w:ascii="Arial" w:hAnsi="Arial" w:cs="Arial"/>
                <w:bCs/>
                <w:color w:val="auto"/>
                <w:sz w:val="24"/>
                <w:highlight w:val="none"/>
              </w:rPr>
              <w:t>2.2</w:t>
            </w:r>
            <w:r>
              <w:rPr>
                <w:rFonts w:ascii="Arial" w:hAnsi="Arial" w:cs="Arial"/>
                <w:bCs/>
                <w:color w:val="auto"/>
                <w:sz w:val="24"/>
                <w:highlight w:val="none"/>
              </w:rPr>
              <w:tab/>
            </w:r>
            <w:r>
              <w:rPr>
                <w:rFonts w:ascii="Arial" w:hAnsi="Arial" w:cs="Arial"/>
                <w:bCs/>
                <w:color w:val="auto"/>
                <w:sz w:val="24"/>
                <w:highlight w:val="none"/>
              </w:rPr>
              <w:t>每年不少于四次的设备现场保养服务并提供报告，年度报告需包括如下服务</w:t>
            </w:r>
          </w:p>
          <w:p w14:paraId="620C7848">
            <w:pPr>
              <w:rPr>
                <w:rFonts w:ascii="Arial" w:hAnsi="Arial" w:cs="Arial"/>
                <w:bCs/>
                <w:color w:val="auto"/>
                <w:sz w:val="24"/>
                <w:highlight w:val="none"/>
              </w:rPr>
            </w:pPr>
            <w:r>
              <w:rPr>
                <w:rFonts w:ascii="Arial" w:hAnsi="Arial" w:cs="Arial"/>
                <w:bCs/>
                <w:color w:val="auto"/>
                <w:sz w:val="24"/>
                <w:highlight w:val="none"/>
              </w:rPr>
              <w:t>2.2.1</w:t>
            </w:r>
            <w:r>
              <w:rPr>
                <w:rFonts w:ascii="Arial" w:hAnsi="Arial" w:cs="Arial"/>
                <w:bCs/>
                <w:color w:val="auto"/>
                <w:sz w:val="24"/>
                <w:highlight w:val="none"/>
              </w:rPr>
              <w:tab/>
            </w:r>
            <w:r>
              <w:rPr>
                <w:rFonts w:ascii="Arial" w:hAnsi="Arial" w:cs="Arial"/>
                <w:bCs/>
                <w:color w:val="auto"/>
                <w:sz w:val="24"/>
                <w:highlight w:val="none"/>
              </w:rPr>
              <w:t>安全运行相关项目检测、校准和修复，保证设备和病患安全</w:t>
            </w:r>
          </w:p>
          <w:p w14:paraId="743ADF03">
            <w:pPr>
              <w:rPr>
                <w:rFonts w:ascii="Arial" w:hAnsi="Arial" w:cs="Arial"/>
                <w:bCs/>
                <w:color w:val="auto"/>
                <w:sz w:val="24"/>
                <w:highlight w:val="none"/>
              </w:rPr>
            </w:pPr>
            <w:r>
              <w:rPr>
                <w:rFonts w:ascii="Arial" w:hAnsi="Arial" w:cs="Arial"/>
                <w:bCs/>
                <w:color w:val="auto"/>
                <w:sz w:val="24"/>
                <w:highlight w:val="none"/>
              </w:rPr>
              <w:t>2.2.1.1</w:t>
            </w:r>
            <w:r>
              <w:rPr>
                <w:rFonts w:ascii="Arial" w:hAnsi="Arial" w:cs="Arial"/>
                <w:bCs/>
                <w:color w:val="auto"/>
                <w:sz w:val="24"/>
                <w:highlight w:val="none"/>
              </w:rPr>
              <w:tab/>
            </w:r>
            <w:r>
              <w:rPr>
                <w:rFonts w:ascii="Arial" w:hAnsi="Arial" w:cs="Arial"/>
                <w:bCs/>
                <w:color w:val="auto"/>
                <w:sz w:val="24"/>
                <w:highlight w:val="none"/>
              </w:rPr>
              <w:t xml:space="preserve">电气环境监测 </w:t>
            </w:r>
          </w:p>
          <w:p w14:paraId="59A3508E">
            <w:pPr>
              <w:rPr>
                <w:rFonts w:ascii="Arial" w:hAnsi="Arial" w:cs="Arial"/>
                <w:bCs/>
                <w:color w:val="auto"/>
                <w:sz w:val="24"/>
                <w:highlight w:val="none"/>
              </w:rPr>
            </w:pPr>
            <w:r>
              <w:rPr>
                <w:rFonts w:ascii="Arial" w:hAnsi="Arial" w:cs="Arial"/>
                <w:bCs/>
                <w:color w:val="auto"/>
                <w:sz w:val="24"/>
                <w:highlight w:val="none"/>
              </w:rPr>
              <w:t>2.2.1.2</w:t>
            </w:r>
            <w:r>
              <w:rPr>
                <w:rFonts w:ascii="Arial" w:hAnsi="Arial" w:cs="Arial"/>
                <w:bCs/>
                <w:color w:val="auto"/>
                <w:sz w:val="24"/>
                <w:highlight w:val="none"/>
              </w:rPr>
              <w:tab/>
            </w:r>
            <w:r>
              <w:rPr>
                <w:rFonts w:ascii="Arial" w:hAnsi="Arial" w:cs="Arial"/>
                <w:bCs/>
                <w:color w:val="auto"/>
                <w:sz w:val="24"/>
                <w:highlight w:val="none"/>
              </w:rPr>
              <w:t xml:space="preserve">测试扫描架指示灯和紧急制动按钮 </w:t>
            </w:r>
          </w:p>
          <w:p w14:paraId="35064EA8">
            <w:pPr>
              <w:rPr>
                <w:rFonts w:ascii="Arial" w:hAnsi="Arial" w:cs="Arial"/>
                <w:bCs/>
                <w:color w:val="auto"/>
                <w:sz w:val="24"/>
                <w:highlight w:val="none"/>
              </w:rPr>
            </w:pPr>
            <w:r>
              <w:rPr>
                <w:rFonts w:ascii="Arial" w:hAnsi="Arial" w:cs="Arial"/>
                <w:bCs/>
                <w:color w:val="auto"/>
                <w:sz w:val="24"/>
                <w:highlight w:val="none"/>
              </w:rPr>
              <w:t>2.2.1.3</w:t>
            </w:r>
            <w:r>
              <w:rPr>
                <w:rFonts w:ascii="Arial" w:hAnsi="Arial" w:cs="Arial"/>
                <w:bCs/>
                <w:color w:val="auto"/>
                <w:sz w:val="24"/>
                <w:highlight w:val="none"/>
              </w:rPr>
              <w:tab/>
            </w:r>
            <w:r>
              <w:rPr>
                <w:rFonts w:ascii="Arial" w:hAnsi="Arial" w:cs="Arial"/>
                <w:bCs/>
                <w:color w:val="auto"/>
                <w:sz w:val="24"/>
                <w:highlight w:val="none"/>
              </w:rPr>
              <w:t>测试系统急停功能</w:t>
            </w:r>
          </w:p>
          <w:p w14:paraId="583E885C">
            <w:pPr>
              <w:rPr>
                <w:rFonts w:ascii="Arial" w:hAnsi="Arial" w:cs="Arial"/>
                <w:bCs/>
                <w:color w:val="auto"/>
                <w:sz w:val="24"/>
                <w:highlight w:val="none"/>
              </w:rPr>
            </w:pPr>
            <w:r>
              <w:rPr>
                <w:rFonts w:ascii="Arial" w:hAnsi="Arial" w:cs="Arial"/>
                <w:bCs/>
                <w:color w:val="auto"/>
                <w:sz w:val="24"/>
                <w:highlight w:val="none"/>
              </w:rPr>
              <w:t>2.2.1.4</w:t>
            </w:r>
            <w:r>
              <w:rPr>
                <w:rFonts w:ascii="Arial" w:hAnsi="Arial" w:cs="Arial"/>
                <w:bCs/>
                <w:color w:val="auto"/>
                <w:sz w:val="24"/>
                <w:highlight w:val="none"/>
              </w:rPr>
              <w:tab/>
            </w:r>
            <w:r>
              <w:rPr>
                <w:rFonts w:ascii="Arial" w:hAnsi="Arial" w:cs="Arial"/>
                <w:bCs/>
                <w:color w:val="auto"/>
                <w:sz w:val="24"/>
                <w:highlight w:val="none"/>
              </w:rPr>
              <w:t>旋转部分部件和电缆的紧固检查测试</w:t>
            </w:r>
          </w:p>
          <w:p w14:paraId="2CBB24AC">
            <w:pPr>
              <w:rPr>
                <w:rFonts w:ascii="Arial" w:hAnsi="Arial" w:cs="Arial"/>
                <w:bCs/>
                <w:color w:val="auto"/>
                <w:sz w:val="24"/>
                <w:highlight w:val="none"/>
              </w:rPr>
            </w:pPr>
            <w:r>
              <w:rPr>
                <w:rFonts w:ascii="Arial" w:hAnsi="Arial" w:cs="Arial"/>
                <w:bCs/>
                <w:color w:val="auto"/>
                <w:sz w:val="24"/>
                <w:highlight w:val="none"/>
              </w:rPr>
              <w:t>2.2.1.5</w:t>
            </w:r>
            <w:r>
              <w:rPr>
                <w:rFonts w:ascii="Arial" w:hAnsi="Arial" w:cs="Arial"/>
                <w:bCs/>
                <w:color w:val="auto"/>
                <w:sz w:val="24"/>
                <w:highlight w:val="none"/>
              </w:rPr>
              <w:tab/>
            </w:r>
            <w:r>
              <w:rPr>
                <w:rFonts w:ascii="Arial" w:hAnsi="Arial" w:cs="Arial"/>
                <w:bCs/>
                <w:color w:val="auto"/>
                <w:sz w:val="24"/>
                <w:highlight w:val="none"/>
              </w:rPr>
              <w:t>运行环境和辐射警示检查</w:t>
            </w:r>
          </w:p>
          <w:p w14:paraId="096C79C0">
            <w:pPr>
              <w:rPr>
                <w:rFonts w:ascii="Arial" w:hAnsi="Arial" w:cs="Arial"/>
                <w:bCs/>
                <w:color w:val="auto"/>
                <w:sz w:val="24"/>
                <w:highlight w:val="none"/>
              </w:rPr>
            </w:pPr>
            <w:r>
              <w:rPr>
                <w:rFonts w:ascii="Arial" w:hAnsi="Arial" w:cs="Arial"/>
                <w:bCs/>
                <w:color w:val="auto"/>
                <w:sz w:val="24"/>
                <w:highlight w:val="none"/>
              </w:rPr>
              <w:t>2.2.1.6</w:t>
            </w:r>
            <w:r>
              <w:rPr>
                <w:rFonts w:ascii="Arial" w:hAnsi="Arial" w:cs="Arial"/>
                <w:bCs/>
                <w:color w:val="auto"/>
                <w:sz w:val="24"/>
                <w:highlight w:val="none"/>
              </w:rPr>
              <w:tab/>
            </w:r>
            <w:r>
              <w:rPr>
                <w:rFonts w:ascii="Arial" w:hAnsi="Arial" w:cs="Arial"/>
                <w:bCs/>
                <w:color w:val="auto"/>
                <w:sz w:val="24"/>
                <w:highlight w:val="none"/>
              </w:rPr>
              <w:t xml:space="preserve">备份系统数据 </w:t>
            </w:r>
          </w:p>
          <w:p w14:paraId="26EFC924">
            <w:pPr>
              <w:rPr>
                <w:rFonts w:ascii="Arial" w:hAnsi="Arial" w:cs="Arial"/>
                <w:bCs/>
                <w:color w:val="auto"/>
                <w:sz w:val="24"/>
                <w:highlight w:val="none"/>
              </w:rPr>
            </w:pPr>
            <w:r>
              <w:rPr>
                <w:rFonts w:ascii="Arial" w:hAnsi="Arial" w:cs="Arial"/>
                <w:bCs/>
                <w:color w:val="auto"/>
                <w:sz w:val="24"/>
                <w:highlight w:val="none"/>
              </w:rPr>
              <w:t>2.2.2</w:t>
            </w:r>
            <w:r>
              <w:rPr>
                <w:rFonts w:ascii="Arial" w:hAnsi="Arial" w:cs="Arial"/>
                <w:bCs/>
                <w:color w:val="auto"/>
                <w:sz w:val="24"/>
                <w:highlight w:val="none"/>
              </w:rPr>
              <w:tab/>
            </w:r>
            <w:r>
              <w:rPr>
                <w:rFonts w:ascii="Arial" w:hAnsi="Arial" w:cs="Arial"/>
                <w:bCs/>
                <w:color w:val="auto"/>
                <w:sz w:val="24"/>
                <w:highlight w:val="none"/>
              </w:rPr>
              <w:t>定位精度相关项目检测和校准，保证扫描精度</w:t>
            </w:r>
          </w:p>
          <w:p w14:paraId="12836E0E">
            <w:pPr>
              <w:rPr>
                <w:rFonts w:ascii="Arial" w:hAnsi="Arial" w:cs="Arial"/>
                <w:bCs/>
                <w:color w:val="auto"/>
                <w:sz w:val="24"/>
                <w:highlight w:val="none"/>
              </w:rPr>
            </w:pPr>
            <w:r>
              <w:rPr>
                <w:rFonts w:ascii="Arial" w:hAnsi="Arial" w:cs="Arial"/>
                <w:bCs/>
                <w:color w:val="auto"/>
                <w:sz w:val="24"/>
                <w:highlight w:val="none"/>
              </w:rPr>
              <w:t>2.2.2.1</w:t>
            </w:r>
            <w:r>
              <w:rPr>
                <w:rFonts w:ascii="Arial" w:hAnsi="Arial" w:cs="Arial"/>
                <w:bCs/>
                <w:color w:val="auto"/>
                <w:sz w:val="24"/>
                <w:highlight w:val="none"/>
              </w:rPr>
              <w:tab/>
            </w:r>
            <w:r>
              <w:rPr>
                <w:rFonts w:ascii="Arial" w:hAnsi="Arial" w:cs="Arial"/>
                <w:bCs/>
                <w:color w:val="auto"/>
                <w:sz w:val="24"/>
                <w:highlight w:val="none"/>
              </w:rPr>
              <w:t xml:space="preserve">定位灯位置检查 </w:t>
            </w:r>
          </w:p>
          <w:p w14:paraId="09E0AF8A">
            <w:pPr>
              <w:rPr>
                <w:rFonts w:ascii="Arial" w:hAnsi="Arial" w:cs="Arial"/>
                <w:bCs/>
                <w:color w:val="auto"/>
                <w:sz w:val="24"/>
                <w:highlight w:val="none"/>
              </w:rPr>
            </w:pPr>
            <w:r>
              <w:rPr>
                <w:rFonts w:ascii="Arial" w:hAnsi="Arial" w:cs="Arial"/>
                <w:bCs/>
                <w:color w:val="auto"/>
                <w:sz w:val="24"/>
                <w:highlight w:val="none"/>
              </w:rPr>
              <w:t>2.2.2.2</w:t>
            </w:r>
            <w:r>
              <w:rPr>
                <w:rFonts w:ascii="Arial" w:hAnsi="Arial" w:cs="Arial"/>
                <w:bCs/>
                <w:color w:val="auto"/>
                <w:sz w:val="24"/>
                <w:highlight w:val="none"/>
              </w:rPr>
              <w:tab/>
            </w:r>
            <w:r>
              <w:rPr>
                <w:rFonts w:ascii="Arial" w:hAnsi="Arial" w:cs="Arial"/>
                <w:bCs/>
                <w:color w:val="auto"/>
                <w:sz w:val="24"/>
                <w:highlight w:val="none"/>
              </w:rPr>
              <w:t>机架旋转编码器状态检查</w:t>
            </w:r>
          </w:p>
          <w:p w14:paraId="23A8ABF6">
            <w:pPr>
              <w:rPr>
                <w:rFonts w:ascii="Arial" w:hAnsi="Arial" w:cs="Arial"/>
                <w:bCs/>
                <w:color w:val="auto"/>
                <w:sz w:val="24"/>
                <w:highlight w:val="none"/>
              </w:rPr>
            </w:pPr>
            <w:r>
              <w:rPr>
                <w:rFonts w:ascii="Arial" w:hAnsi="Arial" w:cs="Arial"/>
                <w:bCs/>
                <w:color w:val="auto"/>
                <w:sz w:val="24"/>
                <w:highlight w:val="none"/>
              </w:rPr>
              <w:t>2.2.2.3</w:t>
            </w:r>
            <w:r>
              <w:rPr>
                <w:rFonts w:ascii="Arial" w:hAnsi="Arial" w:cs="Arial"/>
                <w:bCs/>
                <w:color w:val="auto"/>
                <w:sz w:val="24"/>
                <w:highlight w:val="none"/>
              </w:rPr>
              <w:tab/>
            </w:r>
            <w:r>
              <w:rPr>
                <w:rFonts w:ascii="Arial" w:hAnsi="Arial" w:cs="Arial"/>
                <w:bCs/>
                <w:color w:val="auto"/>
                <w:sz w:val="24"/>
                <w:highlight w:val="none"/>
              </w:rPr>
              <w:t>机架主轴承和床运动轨道的检查和润滑</w:t>
            </w:r>
          </w:p>
          <w:p w14:paraId="4C88306B">
            <w:pPr>
              <w:rPr>
                <w:rFonts w:ascii="Arial" w:hAnsi="Arial" w:cs="Arial"/>
                <w:bCs/>
                <w:color w:val="auto"/>
                <w:sz w:val="24"/>
                <w:highlight w:val="none"/>
              </w:rPr>
            </w:pPr>
            <w:r>
              <w:rPr>
                <w:rFonts w:ascii="Arial" w:hAnsi="Arial" w:cs="Arial"/>
                <w:bCs/>
                <w:color w:val="auto"/>
                <w:sz w:val="24"/>
                <w:highlight w:val="none"/>
              </w:rPr>
              <w:t>2.2.2.4</w:t>
            </w:r>
            <w:r>
              <w:rPr>
                <w:rFonts w:ascii="Arial" w:hAnsi="Arial" w:cs="Arial"/>
                <w:bCs/>
                <w:color w:val="auto"/>
                <w:sz w:val="24"/>
                <w:highlight w:val="none"/>
              </w:rPr>
              <w:tab/>
            </w:r>
            <w:r>
              <w:rPr>
                <w:rFonts w:ascii="Arial" w:hAnsi="Arial" w:cs="Arial"/>
                <w:bCs/>
                <w:color w:val="auto"/>
                <w:sz w:val="24"/>
                <w:highlight w:val="none"/>
              </w:rPr>
              <w:t>扫描床移动、升降和防挤压开关检查</w:t>
            </w:r>
          </w:p>
          <w:p w14:paraId="18A016E4">
            <w:pPr>
              <w:rPr>
                <w:rFonts w:ascii="Arial" w:hAnsi="Arial" w:cs="Arial"/>
                <w:bCs/>
                <w:color w:val="auto"/>
                <w:sz w:val="24"/>
                <w:highlight w:val="none"/>
              </w:rPr>
            </w:pPr>
            <w:r>
              <w:rPr>
                <w:rFonts w:ascii="Arial" w:hAnsi="Arial" w:cs="Arial"/>
                <w:bCs/>
                <w:color w:val="auto"/>
                <w:sz w:val="24"/>
                <w:highlight w:val="none"/>
              </w:rPr>
              <w:t>2.2.2.5</w:t>
            </w:r>
            <w:r>
              <w:rPr>
                <w:rFonts w:ascii="Arial" w:hAnsi="Arial" w:cs="Arial"/>
                <w:bCs/>
                <w:color w:val="auto"/>
                <w:sz w:val="24"/>
                <w:highlight w:val="none"/>
              </w:rPr>
              <w:tab/>
            </w:r>
            <w:r>
              <w:rPr>
                <w:rFonts w:ascii="Arial" w:hAnsi="Arial" w:cs="Arial"/>
                <w:bCs/>
                <w:color w:val="auto"/>
                <w:sz w:val="24"/>
                <w:highlight w:val="none"/>
              </w:rPr>
              <w:t>检查准直器窗口</w:t>
            </w:r>
          </w:p>
          <w:p w14:paraId="4780EE5F">
            <w:pPr>
              <w:rPr>
                <w:rFonts w:ascii="Arial" w:hAnsi="Arial" w:cs="Arial"/>
                <w:bCs/>
                <w:color w:val="auto"/>
                <w:sz w:val="24"/>
                <w:highlight w:val="none"/>
              </w:rPr>
            </w:pPr>
            <w:r>
              <w:rPr>
                <w:rFonts w:ascii="Arial" w:hAnsi="Arial" w:cs="Arial"/>
                <w:bCs/>
                <w:color w:val="auto"/>
                <w:sz w:val="24"/>
                <w:highlight w:val="none"/>
              </w:rPr>
              <w:t>2.2.2.6</w:t>
            </w:r>
            <w:r>
              <w:rPr>
                <w:rFonts w:ascii="Arial" w:hAnsi="Arial" w:cs="Arial"/>
                <w:bCs/>
                <w:color w:val="auto"/>
                <w:sz w:val="24"/>
                <w:highlight w:val="none"/>
              </w:rPr>
              <w:tab/>
            </w:r>
            <w:r>
              <w:rPr>
                <w:rFonts w:ascii="Arial" w:hAnsi="Arial" w:cs="Arial"/>
                <w:bCs/>
                <w:color w:val="auto"/>
                <w:sz w:val="24"/>
                <w:highlight w:val="none"/>
              </w:rPr>
              <w:t>检查球管散热系统和探测器恒温系统是否漏油和漏液</w:t>
            </w:r>
          </w:p>
          <w:p w14:paraId="4D07691A">
            <w:pPr>
              <w:rPr>
                <w:rFonts w:ascii="Arial" w:hAnsi="Arial" w:cs="Arial"/>
                <w:bCs/>
                <w:color w:val="auto"/>
                <w:sz w:val="24"/>
                <w:highlight w:val="none"/>
              </w:rPr>
            </w:pPr>
            <w:r>
              <w:rPr>
                <w:rFonts w:ascii="Arial" w:hAnsi="Arial" w:cs="Arial"/>
                <w:bCs/>
                <w:color w:val="auto"/>
                <w:sz w:val="24"/>
                <w:highlight w:val="none"/>
              </w:rPr>
              <w:t>2.2.3  辐射剂量相关项目检测和校准，避免额外辐射</w:t>
            </w:r>
          </w:p>
          <w:p w14:paraId="44C56F84">
            <w:pPr>
              <w:rPr>
                <w:rFonts w:ascii="Arial" w:hAnsi="Arial" w:cs="Arial"/>
                <w:bCs/>
                <w:color w:val="auto"/>
                <w:sz w:val="24"/>
                <w:highlight w:val="none"/>
              </w:rPr>
            </w:pPr>
            <w:r>
              <w:rPr>
                <w:rFonts w:ascii="Arial" w:hAnsi="Arial" w:cs="Arial"/>
                <w:bCs/>
                <w:color w:val="auto"/>
                <w:sz w:val="24"/>
                <w:highlight w:val="none"/>
              </w:rPr>
              <w:t>2.2.3.1</w:t>
            </w:r>
            <w:r>
              <w:rPr>
                <w:rFonts w:ascii="Arial" w:hAnsi="Arial" w:cs="Arial"/>
                <w:bCs/>
                <w:color w:val="auto"/>
                <w:sz w:val="24"/>
                <w:highlight w:val="none"/>
              </w:rPr>
              <w:tab/>
            </w:r>
            <w:r>
              <w:rPr>
                <w:rFonts w:ascii="Arial" w:hAnsi="Arial" w:cs="Arial"/>
                <w:bCs/>
                <w:color w:val="auto"/>
                <w:sz w:val="24"/>
                <w:highlight w:val="none"/>
              </w:rPr>
              <w:t>准直器走位精度检测和校准</w:t>
            </w:r>
          </w:p>
          <w:p w14:paraId="364CB388">
            <w:pPr>
              <w:rPr>
                <w:rFonts w:ascii="Arial" w:hAnsi="Arial" w:cs="Arial"/>
                <w:bCs/>
                <w:color w:val="auto"/>
                <w:sz w:val="24"/>
                <w:highlight w:val="none"/>
              </w:rPr>
            </w:pPr>
            <w:r>
              <w:rPr>
                <w:rFonts w:ascii="Arial" w:hAnsi="Arial" w:cs="Arial"/>
                <w:bCs/>
                <w:color w:val="auto"/>
                <w:sz w:val="24"/>
                <w:highlight w:val="none"/>
              </w:rPr>
              <w:t>2.2.3.2</w:t>
            </w:r>
            <w:r>
              <w:rPr>
                <w:rFonts w:ascii="Arial" w:hAnsi="Arial" w:cs="Arial"/>
                <w:bCs/>
                <w:color w:val="auto"/>
                <w:sz w:val="24"/>
                <w:highlight w:val="none"/>
              </w:rPr>
              <w:tab/>
            </w:r>
            <w:r>
              <w:rPr>
                <w:rFonts w:ascii="Arial" w:hAnsi="Arial" w:cs="Arial"/>
                <w:bCs/>
                <w:color w:val="auto"/>
                <w:sz w:val="24"/>
                <w:highlight w:val="none"/>
              </w:rPr>
              <w:t>探测器温度、温控系统、数据通道检测</w:t>
            </w:r>
          </w:p>
          <w:p w14:paraId="1C093A74">
            <w:pPr>
              <w:rPr>
                <w:rFonts w:ascii="Arial" w:hAnsi="Arial" w:cs="Arial"/>
                <w:bCs/>
                <w:color w:val="auto"/>
                <w:sz w:val="24"/>
                <w:highlight w:val="none"/>
              </w:rPr>
            </w:pPr>
            <w:r>
              <w:rPr>
                <w:rFonts w:ascii="Arial" w:hAnsi="Arial" w:cs="Arial"/>
                <w:bCs/>
                <w:color w:val="auto"/>
                <w:sz w:val="24"/>
                <w:highlight w:val="none"/>
              </w:rPr>
              <w:t>2.2.3.3</w:t>
            </w:r>
            <w:r>
              <w:rPr>
                <w:rFonts w:ascii="Arial" w:hAnsi="Arial" w:cs="Arial"/>
                <w:bCs/>
                <w:color w:val="auto"/>
                <w:sz w:val="24"/>
                <w:highlight w:val="none"/>
              </w:rPr>
              <w:tab/>
            </w:r>
            <w:r>
              <w:rPr>
                <w:rFonts w:ascii="Arial" w:hAnsi="Arial" w:cs="Arial"/>
                <w:bCs/>
                <w:color w:val="auto"/>
                <w:sz w:val="24"/>
                <w:highlight w:val="none"/>
              </w:rPr>
              <w:t>球管灯丝检查</w:t>
            </w:r>
          </w:p>
          <w:p w14:paraId="03DBE012">
            <w:pPr>
              <w:rPr>
                <w:rFonts w:ascii="Arial" w:hAnsi="Arial" w:cs="Arial"/>
                <w:bCs/>
                <w:color w:val="auto"/>
                <w:sz w:val="24"/>
                <w:highlight w:val="none"/>
              </w:rPr>
            </w:pPr>
            <w:r>
              <w:rPr>
                <w:rFonts w:ascii="Arial" w:hAnsi="Arial" w:cs="Arial"/>
                <w:bCs/>
                <w:color w:val="auto"/>
                <w:sz w:val="24"/>
                <w:highlight w:val="none"/>
              </w:rPr>
              <w:t>2.2.3.4</w:t>
            </w:r>
            <w:r>
              <w:rPr>
                <w:rFonts w:ascii="Arial" w:hAnsi="Arial" w:cs="Arial"/>
                <w:bCs/>
                <w:color w:val="auto"/>
                <w:sz w:val="24"/>
                <w:highlight w:val="none"/>
              </w:rPr>
              <w:tab/>
            </w:r>
            <w:r>
              <w:rPr>
                <w:rFonts w:ascii="Arial" w:hAnsi="Arial" w:cs="Arial"/>
                <w:bCs/>
                <w:color w:val="auto"/>
                <w:sz w:val="24"/>
                <w:highlight w:val="none"/>
              </w:rPr>
              <w:t>管电流的反馈检测和确认</w:t>
            </w:r>
          </w:p>
          <w:p w14:paraId="0BD2964A">
            <w:pPr>
              <w:rPr>
                <w:rFonts w:ascii="Arial" w:hAnsi="Arial" w:cs="Arial"/>
                <w:bCs/>
                <w:color w:val="auto"/>
                <w:sz w:val="24"/>
                <w:highlight w:val="none"/>
              </w:rPr>
            </w:pPr>
            <w:r>
              <w:rPr>
                <w:rFonts w:ascii="Arial" w:hAnsi="Arial" w:cs="Arial"/>
                <w:bCs/>
                <w:color w:val="auto"/>
                <w:sz w:val="24"/>
                <w:highlight w:val="none"/>
              </w:rPr>
              <w:t>2.2.3.5</w:t>
            </w:r>
            <w:r>
              <w:rPr>
                <w:rFonts w:ascii="Arial" w:hAnsi="Arial" w:cs="Arial"/>
                <w:bCs/>
                <w:color w:val="auto"/>
                <w:sz w:val="24"/>
                <w:highlight w:val="none"/>
              </w:rPr>
              <w:tab/>
            </w:r>
            <w:r>
              <w:rPr>
                <w:rFonts w:ascii="Arial" w:hAnsi="Arial" w:cs="Arial"/>
                <w:bCs/>
                <w:color w:val="auto"/>
                <w:sz w:val="24"/>
                <w:highlight w:val="none"/>
              </w:rPr>
              <w:t>管电压的准确性检测和确认</w:t>
            </w:r>
          </w:p>
          <w:p w14:paraId="7094CCE2">
            <w:pPr>
              <w:rPr>
                <w:rFonts w:ascii="Arial" w:hAnsi="Arial" w:cs="Arial"/>
                <w:bCs/>
                <w:color w:val="auto"/>
                <w:sz w:val="24"/>
                <w:highlight w:val="none"/>
              </w:rPr>
            </w:pPr>
            <w:r>
              <w:rPr>
                <w:rFonts w:ascii="Arial" w:hAnsi="Arial" w:cs="Arial"/>
                <w:bCs/>
                <w:color w:val="auto"/>
                <w:sz w:val="24"/>
                <w:highlight w:val="none"/>
              </w:rPr>
              <w:t>2.2.3.6</w:t>
            </w:r>
            <w:r>
              <w:rPr>
                <w:rFonts w:ascii="Arial" w:hAnsi="Arial" w:cs="Arial"/>
                <w:bCs/>
                <w:color w:val="auto"/>
                <w:sz w:val="24"/>
                <w:highlight w:val="none"/>
              </w:rPr>
              <w:tab/>
            </w:r>
            <w:r>
              <w:rPr>
                <w:rFonts w:ascii="Arial" w:hAnsi="Arial" w:cs="Arial"/>
                <w:bCs/>
                <w:color w:val="auto"/>
                <w:sz w:val="24"/>
                <w:highlight w:val="none"/>
              </w:rPr>
              <w:t>曝光时间的精确度检测和确认</w:t>
            </w:r>
          </w:p>
          <w:p w14:paraId="62BC2296">
            <w:pPr>
              <w:rPr>
                <w:rFonts w:ascii="Arial" w:hAnsi="Arial" w:cs="Arial"/>
                <w:bCs/>
                <w:color w:val="auto"/>
                <w:sz w:val="24"/>
                <w:highlight w:val="none"/>
              </w:rPr>
            </w:pPr>
            <w:r>
              <w:rPr>
                <w:rFonts w:ascii="Arial" w:hAnsi="Arial" w:cs="Arial"/>
                <w:bCs/>
                <w:color w:val="auto"/>
                <w:sz w:val="24"/>
                <w:highlight w:val="none"/>
              </w:rPr>
              <w:t>2.2.3.7</w:t>
            </w:r>
            <w:r>
              <w:rPr>
                <w:rFonts w:ascii="Arial" w:hAnsi="Arial" w:cs="Arial"/>
                <w:bCs/>
                <w:color w:val="auto"/>
                <w:sz w:val="24"/>
                <w:highlight w:val="none"/>
              </w:rPr>
              <w:tab/>
            </w:r>
            <w:r>
              <w:rPr>
                <w:rFonts w:ascii="Arial" w:hAnsi="Arial" w:cs="Arial"/>
                <w:bCs/>
                <w:color w:val="auto"/>
                <w:sz w:val="24"/>
                <w:highlight w:val="none"/>
              </w:rPr>
              <w:t>焦点验证</w:t>
            </w:r>
          </w:p>
          <w:p w14:paraId="3A86AD31">
            <w:pPr>
              <w:rPr>
                <w:rFonts w:ascii="Arial" w:hAnsi="Arial" w:cs="Arial"/>
                <w:bCs/>
                <w:color w:val="auto"/>
                <w:sz w:val="24"/>
                <w:highlight w:val="none"/>
              </w:rPr>
            </w:pPr>
            <w:r>
              <w:rPr>
                <w:rFonts w:ascii="Arial" w:hAnsi="Arial" w:cs="Arial"/>
                <w:bCs/>
                <w:color w:val="auto"/>
                <w:sz w:val="24"/>
                <w:highlight w:val="none"/>
              </w:rPr>
              <w:t>2.2.3.8</w:t>
            </w:r>
            <w:r>
              <w:rPr>
                <w:rFonts w:ascii="Arial" w:hAnsi="Arial" w:cs="Arial"/>
                <w:bCs/>
                <w:color w:val="auto"/>
                <w:sz w:val="24"/>
                <w:highlight w:val="none"/>
              </w:rPr>
              <w:tab/>
            </w:r>
            <w:r>
              <w:rPr>
                <w:rFonts w:ascii="Arial" w:hAnsi="Arial" w:cs="Arial"/>
                <w:bCs/>
                <w:color w:val="auto"/>
                <w:sz w:val="24"/>
                <w:highlight w:val="none"/>
              </w:rPr>
              <w:t>HHS扫描</w:t>
            </w:r>
          </w:p>
          <w:p w14:paraId="3E4503C9">
            <w:pPr>
              <w:rPr>
                <w:rFonts w:ascii="Arial" w:hAnsi="Arial" w:cs="Arial"/>
                <w:bCs/>
                <w:color w:val="auto"/>
                <w:sz w:val="24"/>
                <w:highlight w:val="none"/>
              </w:rPr>
            </w:pPr>
            <w:r>
              <w:rPr>
                <w:rFonts w:ascii="Arial" w:hAnsi="Arial" w:cs="Arial"/>
                <w:bCs/>
                <w:color w:val="auto"/>
                <w:sz w:val="24"/>
                <w:highlight w:val="none"/>
              </w:rPr>
              <w:t>2.2.3.9</w:t>
            </w:r>
            <w:r>
              <w:rPr>
                <w:rFonts w:ascii="Arial" w:hAnsi="Arial" w:cs="Arial"/>
                <w:bCs/>
                <w:color w:val="auto"/>
                <w:sz w:val="24"/>
                <w:highlight w:val="none"/>
              </w:rPr>
              <w:tab/>
            </w:r>
            <w:r>
              <w:rPr>
                <w:rFonts w:ascii="Arial" w:hAnsi="Arial" w:cs="Arial"/>
                <w:bCs/>
                <w:color w:val="auto"/>
                <w:sz w:val="24"/>
                <w:highlight w:val="none"/>
              </w:rPr>
              <w:t>mA测试点精度</w:t>
            </w:r>
          </w:p>
          <w:p w14:paraId="6C18C64B">
            <w:pPr>
              <w:rPr>
                <w:rFonts w:ascii="Arial" w:hAnsi="Arial" w:cs="Arial"/>
                <w:bCs/>
                <w:color w:val="auto"/>
                <w:sz w:val="24"/>
                <w:highlight w:val="none"/>
              </w:rPr>
            </w:pPr>
            <w:r>
              <w:rPr>
                <w:rFonts w:ascii="Arial" w:hAnsi="Arial" w:cs="Arial"/>
                <w:bCs/>
                <w:color w:val="auto"/>
                <w:sz w:val="24"/>
                <w:highlight w:val="none"/>
              </w:rPr>
              <w:t>2.2.3.10  kV测试点精度</w:t>
            </w:r>
          </w:p>
          <w:p w14:paraId="7FB956A1">
            <w:pPr>
              <w:rPr>
                <w:rFonts w:ascii="Arial" w:hAnsi="Arial" w:cs="Arial"/>
                <w:bCs/>
                <w:color w:val="auto"/>
                <w:sz w:val="24"/>
                <w:highlight w:val="none"/>
              </w:rPr>
            </w:pPr>
            <w:r>
              <w:rPr>
                <w:rFonts w:ascii="Arial" w:hAnsi="Arial" w:cs="Arial"/>
                <w:bCs/>
                <w:color w:val="auto"/>
                <w:sz w:val="24"/>
                <w:highlight w:val="none"/>
              </w:rPr>
              <w:t>2.2.3.11 HHS数据归档</w:t>
            </w:r>
          </w:p>
          <w:p w14:paraId="40D965AC">
            <w:pPr>
              <w:rPr>
                <w:rFonts w:ascii="Arial" w:hAnsi="Arial" w:cs="Arial"/>
                <w:bCs/>
                <w:color w:val="auto"/>
                <w:sz w:val="24"/>
                <w:highlight w:val="none"/>
              </w:rPr>
            </w:pPr>
            <w:r>
              <w:rPr>
                <w:rFonts w:ascii="Arial" w:hAnsi="Arial" w:cs="Arial"/>
                <w:bCs/>
                <w:color w:val="auto"/>
                <w:sz w:val="24"/>
                <w:highlight w:val="none"/>
              </w:rPr>
              <w:t>2.2.4</w:t>
            </w:r>
            <w:r>
              <w:rPr>
                <w:rFonts w:ascii="Arial" w:hAnsi="Arial" w:cs="Arial"/>
                <w:bCs/>
                <w:color w:val="auto"/>
                <w:sz w:val="24"/>
                <w:highlight w:val="none"/>
              </w:rPr>
              <w:tab/>
            </w:r>
            <w:r>
              <w:rPr>
                <w:rFonts w:ascii="Arial" w:hAnsi="Arial" w:cs="Arial"/>
                <w:bCs/>
                <w:color w:val="auto"/>
                <w:sz w:val="24"/>
                <w:highlight w:val="none"/>
              </w:rPr>
              <w:t>图像质量相关项目检测和校准，保证图像质量</w:t>
            </w:r>
          </w:p>
          <w:p w14:paraId="0193E66E">
            <w:pPr>
              <w:rPr>
                <w:rFonts w:ascii="Arial" w:hAnsi="Arial" w:cs="Arial"/>
                <w:bCs/>
                <w:color w:val="auto"/>
                <w:sz w:val="24"/>
                <w:highlight w:val="none"/>
              </w:rPr>
            </w:pPr>
            <w:r>
              <w:rPr>
                <w:rFonts w:ascii="Arial" w:hAnsi="Arial" w:cs="Arial"/>
                <w:bCs/>
                <w:color w:val="auto"/>
                <w:sz w:val="24"/>
                <w:highlight w:val="none"/>
              </w:rPr>
              <w:t>2.2.4.1</w:t>
            </w:r>
            <w:r>
              <w:rPr>
                <w:rFonts w:ascii="Arial" w:hAnsi="Arial" w:cs="Arial"/>
                <w:bCs/>
                <w:color w:val="auto"/>
                <w:sz w:val="24"/>
                <w:highlight w:val="none"/>
              </w:rPr>
              <w:tab/>
            </w:r>
            <w:r>
              <w:rPr>
                <w:rFonts w:ascii="Arial" w:hAnsi="Arial" w:cs="Arial"/>
                <w:bCs/>
                <w:color w:val="auto"/>
                <w:sz w:val="24"/>
                <w:highlight w:val="none"/>
              </w:rPr>
              <w:t>扫描窗口和准直器窗口的检查和校准</w:t>
            </w:r>
          </w:p>
          <w:p w14:paraId="60FA9472">
            <w:pPr>
              <w:rPr>
                <w:rFonts w:ascii="Arial" w:hAnsi="Arial" w:cs="Arial"/>
                <w:bCs/>
                <w:color w:val="auto"/>
                <w:sz w:val="24"/>
                <w:highlight w:val="none"/>
              </w:rPr>
            </w:pPr>
            <w:r>
              <w:rPr>
                <w:rFonts w:ascii="Arial" w:hAnsi="Arial" w:cs="Arial"/>
                <w:bCs/>
                <w:color w:val="auto"/>
                <w:sz w:val="24"/>
                <w:highlight w:val="none"/>
              </w:rPr>
              <w:t>2.2.4.2</w:t>
            </w:r>
            <w:r>
              <w:rPr>
                <w:rFonts w:ascii="Arial" w:hAnsi="Arial" w:cs="Arial"/>
                <w:bCs/>
                <w:color w:val="auto"/>
                <w:sz w:val="24"/>
                <w:highlight w:val="none"/>
              </w:rPr>
              <w:tab/>
            </w:r>
            <w:r>
              <w:rPr>
                <w:rFonts w:ascii="Arial" w:hAnsi="Arial" w:cs="Arial"/>
                <w:bCs/>
                <w:color w:val="auto"/>
                <w:sz w:val="24"/>
                <w:highlight w:val="none"/>
              </w:rPr>
              <w:t>设备系统扫描测试，图像伪影检查和校准</w:t>
            </w:r>
          </w:p>
          <w:p w14:paraId="10571549">
            <w:pPr>
              <w:rPr>
                <w:rFonts w:ascii="Arial" w:hAnsi="Arial" w:cs="Arial"/>
                <w:bCs/>
                <w:color w:val="auto"/>
                <w:sz w:val="24"/>
                <w:highlight w:val="none"/>
              </w:rPr>
            </w:pPr>
            <w:r>
              <w:rPr>
                <w:rFonts w:ascii="Arial" w:hAnsi="Arial" w:cs="Arial"/>
                <w:bCs/>
                <w:color w:val="auto"/>
                <w:sz w:val="24"/>
                <w:highlight w:val="none"/>
              </w:rPr>
              <w:t>2.2.4.3</w:t>
            </w:r>
            <w:r>
              <w:rPr>
                <w:rFonts w:ascii="Arial" w:hAnsi="Arial" w:cs="Arial"/>
                <w:bCs/>
                <w:color w:val="auto"/>
                <w:sz w:val="24"/>
                <w:highlight w:val="none"/>
              </w:rPr>
              <w:tab/>
            </w:r>
            <w:r>
              <w:rPr>
                <w:rFonts w:ascii="Arial" w:hAnsi="Arial" w:cs="Arial"/>
                <w:bCs/>
                <w:color w:val="auto"/>
                <w:sz w:val="24"/>
                <w:highlight w:val="none"/>
              </w:rPr>
              <w:t>定位像/自动语音扫描测试和校准</w:t>
            </w:r>
          </w:p>
          <w:p w14:paraId="6474BD56">
            <w:pPr>
              <w:rPr>
                <w:rFonts w:ascii="Arial" w:hAnsi="Arial" w:cs="Arial"/>
                <w:bCs/>
                <w:color w:val="auto"/>
                <w:sz w:val="24"/>
                <w:highlight w:val="none"/>
              </w:rPr>
            </w:pPr>
            <w:r>
              <w:rPr>
                <w:rFonts w:ascii="Arial" w:hAnsi="Arial" w:cs="Arial"/>
                <w:bCs/>
                <w:color w:val="auto"/>
                <w:sz w:val="24"/>
                <w:highlight w:val="none"/>
              </w:rPr>
              <w:t>2.2.4.4</w:t>
            </w:r>
            <w:r>
              <w:rPr>
                <w:rFonts w:ascii="Arial" w:hAnsi="Arial" w:cs="Arial"/>
                <w:bCs/>
                <w:color w:val="auto"/>
                <w:sz w:val="24"/>
                <w:highlight w:val="none"/>
              </w:rPr>
              <w:tab/>
            </w:r>
            <w:r>
              <w:rPr>
                <w:rFonts w:ascii="Arial" w:hAnsi="Arial" w:cs="Arial"/>
                <w:bCs/>
                <w:color w:val="auto"/>
                <w:sz w:val="24"/>
                <w:highlight w:val="none"/>
              </w:rPr>
              <w:t>图像质量QA各指标的检测，专业模体校正</w:t>
            </w:r>
          </w:p>
          <w:p w14:paraId="368EF51C">
            <w:pPr>
              <w:rPr>
                <w:rFonts w:ascii="Arial" w:hAnsi="Arial" w:cs="Arial"/>
                <w:bCs/>
                <w:color w:val="auto"/>
                <w:sz w:val="24"/>
                <w:highlight w:val="none"/>
              </w:rPr>
            </w:pPr>
            <w:r>
              <w:rPr>
                <w:rFonts w:ascii="Arial" w:hAnsi="Arial" w:cs="Arial"/>
                <w:bCs/>
                <w:color w:val="auto"/>
                <w:sz w:val="24"/>
                <w:highlight w:val="none"/>
              </w:rPr>
              <w:t>2.2.4.5</w:t>
            </w:r>
            <w:r>
              <w:rPr>
                <w:rFonts w:ascii="Arial" w:hAnsi="Arial" w:cs="Arial"/>
                <w:bCs/>
                <w:color w:val="auto"/>
                <w:sz w:val="24"/>
                <w:highlight w:val="none"/>
              </w:rPr>
              <w:tab/>
            </w:r>
            <w:r>
              <w:rPr>
                <w:rFonts w:ascii="Arial" w:hAnsi="Arial" w:cs="Arial"/>
                <w:bCs/>
                <w:color w:val="auto"/>
                <w:sz w:val="24"/>
                <w:highlight w:val="none"/>
              </w:rPr>
              <w:t>CT值准确性测试</w:t>
            </w:r>
          </w:p>
          <w:p w14:paraId="77861421">
            <w:pPr>
              <w:rPr>
                <w:rFonts w:ascii="Arial" w:hAnsi="Arial" w:cs="Arial"/>
                <w:bCs/>
                <w:color w:val="auto"/>
                <w:sz w:val="24"/>
                <w:highlight w:val="none"/>
              </w:rPr>
            </w:pPr>
            <w:r>
              <w:rPr>
                <w:rFonts w:ascii="Arial" w:hAnsi="Arial" w:cs="Arial"/>
                <w:bCs/>
                <w:color w:val="auto"/>
                <w:sz w:val="24"/>
                <w:highlight w:val="none"/>
              </w:rPr>
              <w:t>2.2.4.6</w:t>
            </w:r>
            <w:r>
              <w:rPr>
                <w:rFonts w:ascii="Arial" w:hAnsi="Arial" w:cs="Arial"/>
                <w:bCs/>
                <w:color w:val="auto"/>
                <w:sz w:val="24"/>
                <w:highlight w:val="none"/>
              </w:rPr>
              <w:tab/>
            </w:r>
            <w:r>
              <w:rPr>
                <w:rFonts w:ascii="Arial" w:hAnsi="Arial" w:cs="Arial"/>
                <w:bCs/>
                <w:color w:val="auto"/>
                <w:sz w:val="24"/>
                <w:highlight w:val="none"/>
              </w:rPr>
              <w:t>CT值均匀性测试</w:t>
            </w:r>
          </w:p>
          <w:p w14:paraId="2291844E">
            <w:pPr>
              <w:rPr>
                <w:rFonts w:ascii="Arial" w:hAnsi="Arial" w:cs="Arial"/>
                <w:bCs/>
                <w:color w:val="auto"/>
                <w:sz w:val="24"/>
                <w:highlight w:val="none"/>
              </w:rPr>
            </w:pPr>
            <w:r>
              <w:rPr>
                <w:rFonts w:ascii="Arial" w:hAnsi="Arial" w:cs="Arial"/>
                <w:bCs/>
                <w:color w:val="auto"/>
                <w:sz w:val="24"/>
                <w:highlight w:val="none"/>
              </w:rPr>
              <w:t>2.2.4.7</w:t>
            </w:r>
            <w:r>
              <w:rPr>
                <w:rFonts w:ascii="Arial" w:hAnsi="Arial" w:cs="Arial"/>
                <w:bCs/>
                <w:color w:val="auto"/>
                <w:sz w:val="24"/>
                <w:highlight w:val="none"/>
              </w:rPr>
              <w:tab/>
            </w:r>
            <w:r>
              <w:rPr>
                <w:rFonts w:ascii="Arial" w:hAnsi="Arial" w:cs="Arial"/>
                <w:bCs/>
                <w:color w:val="auto"/>
                <w:sz w:val="24"/>
                <w:highlight w:val="none"/>
              </w:rPr>
              <w:t>图像噪声测试</w:t>
            </w:r>
          </w:p>
          <w:p w14:paraId="3A4ED3AD">
            <w:pPr>
              <w:rPr>
                <w:rFonts w:ascii="Arial" w:hAnsi="Arial" w:cs="Arial"/>
                <w:bCs/>
                <w:color w:val="auto"/>
                <w:sz w:val="24"/>
                <w:highlight w:val="none"/>
              </w:rPr>
            </w:pPr>
            <w:r>
              <w:rPr>
                <w:rFonts w:ascii="Arial" w:hAnsi="Arial" w:cs="Arial"/>
                <w:bCs/>
                <w:color w:val="auto"/>
                <w:sz w:val="24"/>
                <w:highlight w:val="none"/>
              </w:rPr>
              <w:t>2.2.4.8</w:t>
            </w:r>
            <w:r>
              <w:rPr>
                <w:rFonts w:ascii="Arial" w:hAnsi="Arial" w:cs="Arial"/>
                <w:bCs/>
                <w:color w:val="auto"/>
                <w:sz w:val="24"/>
                <w:highlight w:val="none"/>
              </w:rPr>
              <w:tab/>
            </w:r>
            <w:r>
              <w:rPr>
                <w:rFonts w:ascii="Arial" w:hAnsi="Arial" w:cs="Arial"/>
                <w:bCs/>
                <w:color w:val="auto"/>
                <w:sz w:val="24"/>
                <w:highlight w:val="none"/>
              </w:rPr>
              <w:t>图像对比度测试</w:t>
            </w:r>
          </w:p>
          <w:p w14:paraId="5EA19EEE">
            <w:pPr>
              <w:rPr>
                <w:rFonts w:ascii="Arial" w:hAnsi="Arial" w:cs="Arial"/>
                <w:bCs/>
                <w:color w:val="auto"/>
                <w:sz w:val="24"/>
                <w:highlight w:val="none"/>
              </w:rPr>
            </w:pPr>
            <w:r>
              <w:rPr>
                <w:rFonts w:ascii="Arial" w:hAnsi="Arial" w:cs="Arial"/>
                <w:bCs/>
                <w:color w:val="auto"/>
                <w:sz w:val="24"/>
                <w:highlight w:val="none"/>
              </w:rPr>
              <w:t>2.3</w:t>
            </w:r>
            <w:r>
              <w:rPr>
                <w:rFonts w:ascii="Arial" w:hAnsi="Arial" w:cs="Arial"/>
                <w:bCs/>
                <w:color w:val="auto"/>
                <w:sz w:val="24"/>
                <w:highlight w:val="none"/>
              </w:rPr>
              <w:tab/>
            </w:r>
            <w:r>
              <w:rPr>
                <w:rFonts w:ascii="Arial" w:hAnsi="Arial" w:cs="Arial"/>
                <w:bCs/>
                <w:color w:val="auto"/>
                <w:sz w:val="24"/>
                <w:highlight w:val="none"/>
              </w:rPr>
              <w:t>核心部件球管更换检测和校准</w:t>
            </w:r>
          </w:p>
          <w:p w14:paraId="51855B92">
            <w:pPr>
              <w:rPr>
                <w:rFonts w:ascii="Arial" w:hAnsi="Arial" w:cs="Arial"/>
                <w:b/>
                <w:color w:val="auto"/>
                <w:sz w:val="24"/>
                <w:highlight w:val="none"/>
              </w:rPr>
            </w:pPr>
            <w:r>
              <w:rPr>
                <w:rFonts w:ascii="Arial" w:hAnsi="Arial" w:cs="Arial"/>
                <w:b/>
                <w:color w:val="auto"/>
                <w:sz w:val="24"/>
                <w:highlight w:val="none"/>
              </w:rPr>
              <w:t>▲2.3.1</w:t>
            </w:r>
            <w:r>
              <w:rPr>
                <w:rFonts w:ascii="Arial" w:hAnsi="Arial" w:cs="Arial"/>
                <w:b/>
                <w:color w:val="auto"/>
                <w:sz w:val="24"/>
                <w:highlight w:val="none"/>
              </w:rPr>
              <w:tab/>
            </w:r>
            <w:r>
              <w:rPr>
                <w:rFonts w:ascii="Arial" w:hAnsi="Arial" w:cs="Arial"/>
                <w:b/>
                <w:color w:val="auto"/>
                <w:sz w:val="24"/>
                <w:highlight w:val="none"/>
              </w:rPr>
              <w:t>保内如球管损坏，更换主机匹配注册球管（型号：D3711T）</w:t>
            </w:r>
          </w:p>
          <w:p w14:paraId="66746245">
            <w:pPr>
              <w:rPr>
                <w:rFonts w:ascii="Arial" w:hAnsi="Arial" w:cs="Arial"/>
                <w:bCs/>
                <w:color w:val="auto"/>
                <w:sz w:val="24"/>
                <w:highlight w:val="none"/>
              </w:rPr>
            </w:pPr>
            <w:r>
              <w:rPr>
                <w:rFonts w:ascii="Arial" w:hAnsi="Arial" w:cs="Arial"/>
                <w:bCs/>
                <w:color w:val="auto"/>
                <w:sz w:val="24"/>
                <w:highlight w:val="none"/>
              </w:rPr>
              <w:t>2.3.1.1</w:t>
            </w:r>
            <w:r>
              <w:rPr>
                <w:rFonts w:ascii="Arial" w:hAnsi="Arial" w:cs="Arial"/>
                <w:bCs/>
                <w:color w:val="auto"/>
                <w:sz w:val="24"/>
                <w:highlight w:val="none"/>
              </w:rPr>
              <w:tab/>
            </w:r>
            <w:r>
              <w:rPr>
                <w:rFonts w:ascii="Arial" w:hAnsi="Arial" w:cs="Arial"/>
                <w:bCs/>
                <w:color w:val="auto"/>
                <w:sz w:val="24"/>
                <w:highlight w:val="none"/>
              </w:rPr>
              <w:t>焦点数量：≥3个</w:t>
            </w:r>
          </w:p>
          <w:p w14:paraId="06D9FFB6">
            <w:pPr>
              <w:rPr>
                <w:rFonts w:ascii="Arial" w:hAnsi="Arial" w:cs="Arial"/>
                <w:bCs/>
                <w:color w:val="auto"/>
                <w:sz w:val="24"/>
                <w:highlight w:val="none"/>
              </w:rPr>
            </w:pPr>
            <w:r>
              <w:rPr>
                <w:rFonts w:ascii="Arial" w:hAnsi="Arial" w:cs="Arial"/>
                <w:bCs/>
                <w:color w:val="auto"/>
                <w:sz w:val="24"/>
                <w:highlight w:val="none"/>
              </w:rPr>
              <w:t>2.3.1.2</w:t>
            </w:r>
            <w:r>
              <w:rPr>
                <w:rFonts w:ascii="Arial" w:hAnsi="Arial" w:cs="Arial"/>
                <w:bCs/>
                <w:color w:val="auto"/>
                <w:sz w:val="24"/>
                <w:highlight w:val="none"/>
              </w:rPr>
              <w:tab/>
            </w:r>
            <w:r>
              <w:rPr>
                <w:rFonts w:ascii="Arial" w:hAnsi="Arial" w:cs="Arial"/>
                <w:bCs/>
                <w:color w:val="auto"/>
                <w:sz w:val="24"/>
                <w:highlight w:val="none"/>
              </w:rPr>
              <w:t>小焦点（per IEC 60336/2005 ）≤1.0mm x 0.7 mm</w:t>
            </w:r>
          </w:p>
          <w:p w14:paraId="4F9BDABC">
            <w:pPr>
              <w:rPr>
                <w:rFonts w:ascii="Arial" w:hAnsi="Arial" w:cs="Arial"/>
                <w:bCs/>
                <w:color w:val="auto"/>
                <w:sz w:val="24"/>
                <w:highlight w:val="none"/>
              </w:rPr>
            </w:pPr>
            <w:r>
              <w:rPr>
                <w:rFonts w:ascii="Arial" w:hAnsi="Arial" w:cs="Arial"/>
                <w:bCs/>
                <w:color w:val="auto"/>
                <w:sz w:val="24"/>
                <w:highlight w:val="none"/>
              </w:rPr>
              <w:t>2.3.1.3</w:t>
            </w:r>
            <w:r>
              <w:rPr>
                <w:rFonts w:ascii="Arial" w:hAnsi="Arial" w:cs="Arial"/>
                <w:bCs/>
                <w:color w:val="auto"/>
                <w:sz w:val="24"/>
                <w:highlight w:val="none"/>
              </w:rPr>
              <w:tab/>
            </w:r>
            <w:r>
              <w:rPr>
                <w:rFonts w:ascii="Arial" w:hAnsi="Arial" w:cs="Arial"/>
                <w:bCs/>
                <w:color w:val="auto"/>
                <w:sz w:val="24"/>
                <w:highlight w:val="none"/>
              </w:rPr>
              <w:t>大焦点（per IEC 60336/2005 ）≤1.6mm x 1.2mm</w:t>
            </w:r>
          </w:p>
          <w:p w14:paraId="0CBA0983">
            <w:pPr>
              <w:rPr>
                <w:rFonts w:ascii="Arial" w:hAnsi="Arial" w:cs="Arial"/>
                <w:bCs/>
                <w:color w:val="auto"/>
                <w:sz w:val="24"/>
                <w:highlight w:val="none"/>
              </w:rPr>
            </w:pPr>
            <w:r>
              <w:rPr>
                <w:rFonts w:ascii="Arial" w:hAnsi="Arial" w:cs="Arial"/>
                <w:bCs/>
                <w:color w:val="auto"/>
                <w:sz w:val="24"/>
                <w:highlight w:val="none"/>
              </w:rPr>
              <w:t>2.3.1.4</w:t>
            </w:r>
            <w:r>
              <w:rPr>
                <w:rFonts w:ascii="Arial" w:hAnsi="Arial" w:cs="Arial"/>
                <w:bCs/>
                <w:color w:val="auto"/>
                <w:sz w:val="24"/>
                <w:highlight w:val="none"/>
              </w:rPr>
              <w:tab/>
            </w:r>
            <w:r>
              <w:rPr>
                <w:rFonts w:ascii="Arial" w:hAnsi="Arial" w:cs="Arial"/>
                <w:bCs/>
                <w:color w:val="auto"/>
                <w:sz w:val="24"/>
                <w:highlight w:val="none"/>
              </w:rPr>
              <w:t xml:space="preserve">超大焦点(per IEC 60336/2005) ≤2.0mm x 1.2mm </w:t>
            </w:r>
          </w:p>
          <w:p w14:paraId="7209E814">
            <w:pPr>
              <w:rPr>
                <w:rFonts w:ascii="Arial" w:hAnsi="Arial" w:cs="Arial"/>
                <w:bCs/>
                <w:color w:val="auto"/>
                <w:sz w:val="24"/>
                <w:highlight w:val="none"/>
              </w:rPr>
            </w:pPr>
            <w:r>
              <w:rPr>
                <w:rFonts w:ascii="Arial" w:hAnsi="Arial" w:cs="Arial"/>
                <w:bCs/>
                <w:color w:val="auto"/>
                <w:sz w:val="24"/>
                <w:highlight w:val="none"/>
              </w:rPr>
              <w:t>2.3.2</w:t>
            </w:r>
            <w:r>
              <w:rPr>
                <w:rFonts w:ascii="Arial" w:hAnsi="Arial" w:cs="Arial"/>
                <w:bCs/>
                <w:color w:val="auto"/>
                <w:sz w:val="24"/>
                <w:highlight w:val="none"/>
              </w:rPr>
              <w:tab/>
            </w:r>
            <w:r>
              <w:rPr>
                <w:rFonts w:ascii="Arial" w:hAnsi="Arial" w:cs="Arial"/>
                <w:bCs/>
                <w:color w:val="auto"/>
                <w:sz w:val="24"/>
                <w:highlight w:val="none"/>
              </w:rPr>
              <w:t>扫描架旋转平衡检测</w:t>
            </w:r>
          </w:p>
          <w:p w14:paraId="28621ACC">
            <w:pPr>
              <w:rPr>
                <w:rFonts w:ascii="Arial" w:hAnsi="Arial" w:cs="Arial"/>
                <w:bCs/>
                <w:color w:val="auto"/>
                <w:sz w:val="24"/>
                <w:highlight w:val="none"/>
              </w:rPr>
            </w:pPr>
            <w:r>
              <w:rPr>
                <w:rFonts w:ascii="Arial" w:hAnsi="Arial" w:cs="Arial"/>
                <w:bCs/>
                <w:color w:val="auto"/>
                <w:sz w:val="24"/>
                <w:highlight w:val="none"/>
              </w:rPr>
              <w:t>2.3.3</w:t>
            </w:r>
            <w:r>
              <w:rPr>
                <w:rFonts w:ascii="Arial" w:hAnsi="Arial" w:cs="Arial"/>
                <w:bCs/>
                <w:color w:val="auto"/>
                <w:sz w:val="24"/>
                <w:highlight w:val="none"/>
              </w:rPr>
              <w:tab/>
            </w:r>
            <w:r>
              <w:rPr>
                <w:rFonts w:ascii="Arial" w:hAnsi="Arial" w:cs="Arial"/>
                <w:bCs/>
                <w:color w:val="auto"/>
                <w:sz w:val="24"/>
                <w:highlight w:val="none"/>
              </w:rPr>
              <w:t>球管位置X轴位置调整</w:t>
            </w:r>
          </w:p>
          <w:p w14:paraId="75FDB4E9">
            <w:pPr>
              <w:rPr>
                <w:rFonts w:ascii="Arial" w:hAnsi="Arial" w:cs="Arial"/>
                <w:bCs/>
                <w:color w:val="auto"/>
                <w:sz w:val="24"/>
                <w:highlight w:val="none"/>
              </w:rPr>
            </w:pPr>
            <w:r>
              <w:rPr>
                <w:rFonts w:ascii="Arial" w:hAnsi="Arial" w:cs="Arial"/>
                <w:bCs/>
                <w:color w:val="auto"/>
                <w:sz w:val="24"/>
                <w:highlight w:val="none"/>
              </w:rPr>
              <w:t>2.3.4</w:t>
            </w:r>
            <w:r>
              <w:rPr>
                <w:rFonts w:ascii="Arial" w:hAnsi="Arial" w:cs="Arial"/>
                <w:bCs/>
                <w:color w:val="auto"/>
                <w:sz w:val="24"/>
                <w:highlight w:val="none"/>
              </w:rPr>
              <w:tab/>
            </w:r>
            <w:r>
              <w:rPr>
                <w:rFonts w:ascii="Arial" w:hAnsi="Arial" w:cs="Arial"/>
                <w:bCs/>
                <w:color w:val="auto"/>
                <w:sz w:val="24"/>
                <w:highlight w:val="none"/>
              </w:rPr>
              <w:t>球管位置Z轴位置调整</w:t>
            </w:r>
          </w:p>
          <w:p w14:paraId="10DF37B0">
            <w:pPr>
              <w:rPr>
                <w:rFonts w:ascii="Arial" w:hAnsi="Arial" w:cs="Arial"/>
                <w:bCs/>
                <w:color w:val="auto"/>
                <w:sz w:val="24"/>
                <w:highlight w:val="none"/>
              </w:rPr>
            </w:pPr>
            <w:r>
              <w:rPr>
                <w:rFonts w:ascii="Arial" w:hAnsi="Arial" w:cs="Arial"/>
                <w:bCs/>
                <w:color w:val="auto"/>
                <w:sz w:val="24"/>
                <w:highlight w:val="none"/>
              </w:rPr>
              <w:t>2.3.5</w:t>
            </w:r>
            <w:r>
              <w:rPr>
                <w:rFonts w:ascii="Arial" w:hAnsi="Arial" w:cs="Arial"/>
                <w:bCs/>
                <w:color w:val="auto"/>
                <w:sz w:val="24"/>
                <w:highlight w:val="none"/>
              </w:rPr>
              <w:tab/>
            </w:r>
            <w:r>
              <w:rPr>
                <w:rFonts w:ascii="Arial" w:hAnsi="Arial" w:cs="Arial"/>
                <w:bCs/>
                <w:color w:val="auto"/>
                <w:sz w:val="24"/>
                <w:highlight w:val="none"/>
              </w:rPr>
              <w:t>球管灯丝校准</w:t>
            </w:r>
          </w:p>
          <w:p w14:paraId="24A6C999">
            <w:pPr>
              <w:rPr>
                <w:rFonts w:ascii="Arial" w:hAnsi="Arial" w:cs="Arial"/>
                <w:bCs/>
                <w:color w:val="auto"/>
                <w:sz w:val="24"/>
                <w:highlight w:val="none"/>
              </w:rPr>
            </w:pPr>
            <w:r>
              <w:rPr>
                <w:rFonts w:ascii="Arial" w:hAnsi="Arial" w:cs="Arial"/>
                <w:bCs/>
                <w:color w:val="auto"/>
                <w:sz w:val="24"/>
                <w:highlight w:val="none"/>
              </w:rPr>
              <w:t>2.3.6</w:t>
            </w:r>
            <w:r>
              <w:rPr>
                <w:rFonts w:ascii="Arial" w:hAnsi="Arial" w:cs="Arial"/>
                <w:bCs/>
                <w:color w:val="auto"/>
                <w:sz w:val="24"/>
                <w:highlight w:val="none"/>
              </w:rPr>
              <w:tab/>
            </w:r>
            <w:r>
              <w:rPr>
                <w:rFonts w:ascii="Arial" w:hAnsi="Arial" w:cs="Arial"/>
                <w:bCs/>
                <w:color w:val="auto"/>
                <w:sz w:val="24"/>
                <w:highlight w:val="none"/>
              </w:rPr>
              <w:t>准直器校准</w:t>
            </w:r>
          </w:p>
          <w:p w14:paraId="370E21B9">
            <w:pPr>
              <w:rPr>
                <w:rFonts w:ascii="Arial" w:hAnsi="Arial" w:cs="Arial"/>
                <w:bCs/>
                <w:color w:val="auto"/>
                <w:sz w:val="24"/>
                <w:highlight w:val="none"/>
              </w:rPr>
            </w:pPr>
            <w:r>
              <w:rPr>
                <w:rFonts w:ascii="Arial" w:hAnsi="Arial" w:cs="Arial"/>
                <w:bCs/>
                <w:color w:val="auto"/>
                <w:sz w:val="24"/>
                <w:highlight w:val="none"/>
              </w:rPr>
              <w:t>2.3.7</w:t>
            </w:r>
            <w:r>
              <w:rPr>
                <w:rFonts w:ascii="Arial" w:hAnsi="Arial" w:cs="Arial"/>
                <w:bCs/>
                <w:color w:val="auto"/>
                <w:sz w:val="24"/>
                <w:highlight w:val="none"/>
              </w:rPr>
              <w:tab/>
            </w:r>
            <w:r>
              <w:rPr>
                <w:rFonts w:ascii="Arial" w:hAnsi="Arial" w:cs="Arial"/>
                <w:bCs/>
                <w:color w:val="auto"/>
                <w:sz w:val="24"/>
                <w:highlight w:val="none"/>
              </w:rPr>
              <w:t>CT值准确性测试</w:t>
            </w:r>
          </w:p>
          <w:p w14:paraId="186D38A3">
            <w:pPr>
              <w:rPr>
                <w:rFonts w:ascii="Arial" w:hAnsi="Arial" w:cs="Arial"/>
                <w:bCs/>
                <w:color w:val="auto"/>
                <w:sz w:val="24"/>
                <w:highlight w:val="none"/>
              </w:rPr>
            </w:pPr>
            <w:r>
              <w:rPr>
                <w:rFonts w:ascii="Arial" w:hAnsi="Arial" w:cs="Arial"/>
                <w:bCs/>
                <w:color w:val="auto"/>
                <w:sz w:val="24"/>
                <w:highlight w:val="none"/>
              </w:rPr>
              <w:t>2.3.8</w:t>
            </w:r>
            <w:r>
              <w:rPr>
                <w:rFonts w:ascii="Arial" w:hAnsi="Arial" w:cs="Arial"/>
                <w:bCs/>
                <w:color w:val="auto"/>
                <w:sz w:val="24"/>
                <w:highlight w:val="none"/>
              </w:rPr>
              <w:tab/>
            </w:r>
            <w:r>
              <w:rPr>
                <w:rFonts w:ascii="Arial" w:hAnsi="Arial" w:cs="Arial"/>
                <w:bCs/>
                <w:color w:val="auto"/>
                <w:sz w:val="24"/>
                <w:highlight w:val="none"/>
              </w:rPr>
              <w:t>CT值均匀性测试</w:t>
            </w:r>
          </w:p>
          <w:p w14:paraId="085CE13E">
            <w:pPr>
              <w:rPr>
                <w:rFonts w:ascii="Arial" w:hAnsi="Arial" w:cs="Arial"/>
                <w:bCs/>
                <w:color w:val="auto"/>
                <w:sz w:val="24"/>
                <w:highlight w:val="none"/>
              </w:rPr>
            </w:pPr>
            <w:r>
              <w:rPr>
                <w:rFonts w:ascii="Arial" w:hAnsi="Arial" w:cs="Arial"/>
                <w:bCs/>
                <w:color w:val="auto"/>
                <w:sz w:val="24"/>
                <w:highlight w:val="none"/>
              </w:rPr>
              <w:t>2.3.9</w:t>
            </w:r>
            <w:r>
              <w:rPr>
                <w:rFonts w:ascii="Arial" w:hAnsi="Arial" w:cs="Arial"/>
                <w:bCs/>
                <w:color w:val="auto"/>
                <w:sz w:val="24"/>
                <w:highlight w:val="none"/>
              </w:rPr>
              <w:tab/>
            </w:r>
            <w:r>
              <w:rPr>
                <w:rFonts w:ascii="Arial" w:hAnsi="Arial" w:cs="Arial"/>
                <w:bCs/>
                <w:color w:val="auto"/>
                <w:sz w:val="24"/>
                <w:highlight w:val="none"/>
              </w:rPr>
              <w:t>图像噪声测试</w:t>
            </w:r>
          </w:p>
          <w:p w14:paraId="6626851E">
            <w:pPr>
              <w:rPr>
                <w:rFonts w:ascii="Arial" w:hAnsi="Arial" w:cs="Arial"/>
                <w:bCs/>
                <w:color w:val="auto"/>
                <w:sz w:val="24"/>
                <w:highlight w:val="none"/>
              </w:rPr>
            </w:pPr>
            <w:r>
              <w:rPr>
                <w:rFonts w:ascii="Arial" w:hAnsi="Arial" w:cs="Arial"/>
                <w:bCs/>
                <w:color w:val="auto"/>
                <w:sz w:val="24"/>
                <w:highlight w:val="none"/>
              </w:rPr>
              <w:t>2.3.10</w:t>
            </w:r>
            <w:r>
              <w:rPr>
                <w:rFonts w:ascii="Arial" w:hAnsi="Arial" w:cs="Arial"/>
                <w:bCs/>
                <w:color w:val="auto"/>
                <w:sz w:val="24"/>
                <w:highlight w:val="none"/>
              </w:rPr>
              <w:tab/>
            </w:r>
            <w:r>
              <w:rPr>
                <w:rFonts w:ascii="Arial" w:hAnsi="Arial" w:cs="Arial"/>
                <w:bCs/>
                <w:color w:val="auto"/>
                <w:sz w:val="24"/>
                <w:highlight w:val="none"/>
              </w:rPr>
              <w:t>图像对比度测试</w:t>
            </w:r>
          </w:p>
          <w:p w14:paraId="5C9D8F97">
            <w:pPr>
              <w:rPr>
                <w:rFonts w:ascii="Arial" w:hAnsi="Arial" w:cs="Arial"/>
                <w:bCs/>
                <w:color w:val="auto"/>
                <w:sz w:val="24"/>
                <w:highlight w:val="none"/>
              </w:rPr>
            </w:pPr>
            <w:r>
              <w:rPr>
                <w:rFonts w:ascii="Arial" w:hAnsi="Arial" w:cs="Arial"/>
                <w:bCs/>
                <w:color w:val="auto"/>
                <w:sz w:val="24"/>
                <w:highlight w:val="none"/>
              </w:rPr>
              <w:t>2.3.11</w:t>
            </w:r>
            <w:r>
              <w:rPr>
                <w:rFonts w:ascii="Arial" w:hAnsi="Arial" w:cs="Arial"/>
                <w:bCs/>
                <w:color w:val="auto"/>
                <w:sz w:val="24"/>
                <w:highlight w:val="none"/>
              </w:rPr>
              <w:tab/>
            </w:r>
            <w:r>
              <w:rPr>
                <w:rFonts w:ascii="Arial" w:hAnsi="Arial" w:cs="Arial"/>
                <w:bCs/>
                <w:color w:val="auto"/>
                <w:sz w:val="24"/>
                <w:highlight w:val="none"/>
              </w:rPr>
              <w:t>系统数据备份</w:t>
            </w:r>
          </w:p>
          <w:p w14:paraId="731A0E25">
            <w:pPr>
              <w:rPr>
                <w:rFonts w:ascii="Arial" w:hAnsi="Arial" w:cs="Arial"/>
                <w:bCs/>
                <w:color w:val="auto"/>
                <w:sz w:val="24"/>
                <w:highlight w:val="none"/>
              </w:rPr>
            </w:pPr>
            <w:r>
              <w:rPr>
                <w:rFonts w:ascii="Arial" w:hAnsi="Arial" w:cs="Arial"/>
                <w:bCs/>
                <w:color w:val="auto"/>
                <w:sz w:val="24"/>
                <w:highlight w:val="none"/>
              </w:rPr>
              <w:t>3</w:t>
            </w:r>
            <w:r>
              <w:rPr>
                <w:rFonts w:ascii="Arial" w:hAnsi="Arial" w:cs="Arial"/>
                <w:bCs/>
                <w:color w:val="auto"/>
                <w:sz w:val="24"/>
                <w:highlight w:val="none"/>
              </w:rPr>
              <w:tab/>
            </w:r>
            <w:r>
              <w:rPr>
                <w:rFonts w:ascii="Arial" w:hAnsi="Arial" w:cs="Arial"/>
                <w:bCs/>
                <w:color w:val="auto"/>
                <w:sz w:val="24"/>
                <w:highlight w:val="none"/>
              </w:rPr>
              <w:t>服务质量控制要求</w:t>
            </w:r>
          </w:p>
          <w:p w14:paraId="5D8B6F0E">
            <w:pPr>
              <w:rPr>
                <w:rFonts w:ascii="Arial" w:hAnsi="Arial" w:cs="Arial"/>
                <w:bCs/>
                <w:color w:val="auto"/>
                <w:sz w:val="24"/>
                <w:highlight w:val="none"/>
              </w:rPr>
            </w:pPr>
            <w:r>
              <w:rPr>
                <w:rFonts w:ascii="Arial" w:hAnsi="Arial" w:cs="Arial"/>
                <w:bCs/>
                <w:color w:val="auto"/>
                <w:sz w:val="24"/>
                <w:highlight w:val="none"/>
              </w:rPr>
              <w:t>3.1</w:t>
            </w:r>
            <w:r>
              <w:rPr>
                <w:rFonts w:ascii="Arial" w:hAnsi="Arial" w:cs="Arial"/>
                <w:bCs/>
                <w:color w:val="auto"/>
                <w:sz w:val="24"/>
                <w:highlight w:val="none"/>
              </w:rPr>
              <w:tab/>
            </w:r>
            <w:r>
              <w:rPr>
                <w:rFonts w:ascii="Arial" w:hAnsi="Arial" w:cs="Arial"/>
                <w:bCs/>
                <w:color w:val="auto"/>
                <w:sz w:val="24"/>
                <w:highlight w:val="none"/>
              </w:rPr>
              <w:t>每年提供日常质控培训1次，包括用户现场理论讲解和上机演示，能够提供培训大纲和教材证明</w:t>
            </w:r>
          </w:p>
          <w:p w14:paraId="05E6916A">
            <w:pPr>
              <w:rPr>
                <w:rFonts w:ascii="Arial" w:hAnsi="Arial" w:cs="Arial"/>
                <w:bCs/>
                <w:color w:val="auto"/>
                <w:sz w:val="24"/>
                <w:highlight w:val="none"/>
              </w:rPr>
            </w:pPr>
            <w:r>
              <w:rPr>
                <w:rFonts w:ascii="Arial" w:hAnsi="Arial" w:cs="Arial"/>
                <w:bCs/>
                <w:color w:val="auto"/>
                <w:sz w:val="24"/>
                <w:highlight w:val="none"/>
              </w:rPr>
              <w:t>3.1.1</w:t>
            </w:r>
            <w:r>
              <w:rPr>
                <w:rFonts w:ascii="Arial" w:hAnsi="Arial" w:cs="Arial"/>
                <w:bCs/>
                <w:color w:val="auto"/>
                <w:sz w:val="24"/>
                <w:highlight w:val="none"/>
              </w:rPr>
              <w:tab/>
            </w:r>
            <w:r>
              <w:rPr>
                <w:rFonts w:ascii="Arial" w:hAnsi="Arial" w:cs="Arial"/>
                <w:bCs/>
                <w:color w:val="auto"/>
                <w:sz w:val="24"/>
                <w:highlight w:val="none"/>
              </w:rPr>
              <w:t>讲解国家标准和原厂规范</w:t>
            </w:r>
          </w:p>
          <w:p w14:paraId="7B88EE7A">
            <w:pPr>
              <w:rPr>
                <w:rFonts w:ascii="Arial" w:hAnsi="Arial" w:cs="Arial"/>
                <w:bCs/>
                <w:color w:val="auto"/>
                <w:sz w:val="24"/>
                <w:highlight w:val="none"/>
              </w:rPr>
            </w:pPr>
            <w:r>
              <w:rPr>
                <w:rFonts w:ascii="Arial" w:hAnsi="Arial" w:cs="Arial"/>
                <w:bCs/>
                <w:color w:val="auto"/>
                <w:sz w:val="24"/>
                <w:highlight w:val="none"/>
              </w:rPr>
              <w:t>3.1.2</w:t>
            </w:r>
            <w:r>
              <w:rPr>
                <w:rFonts w:ascii="Arial" w:hAnsi="Arial" w:cs="Arial"/>
                <w:bCs/>
                <w:color w:val="auto"/>
                <w:sz w:val="24"/>
                <w:highlight w:val="none"/>
              </w:rPr>
              <w:tab/>
            </w:r>
            <w:r>
              <w:rPr>
                <w:rFonts w:ascii="Arial" w:hAnsi="Arial" w:cs="Arial"/>
                <w:bCs/>
                <w:color w:val="auto"/>
                <w:sz w:val="24"/>
                <w:highlight w:val="none"/>
              </w:rPr>
              <w:t>讲解系统功能和质控体系、参数</w:t>
            </w:r>
          </w:p>
          <w:p w14:paraId="03041749">
            <w:pPr>
              <w:rPr>
                <w:rFonts w:ascii="Arial" w:hAnsi="Arial" w:cs="Arial"/>
                <w:bCs/>
                <w:color w:val="auto"/>
                <w:sz w:val="24"/>
                <w:highlight w:val="none"/>
              </w:rPr>
            </w:pPr>
            <w:r>
              <w:rPr>
                <w:rFonts w:ascii="Arial" w:hAnsi="Arial" w:cs="Arial"/>
                <w:bCs/>
                <w:color w:val="auto"/>
                <w:sz w:val="24"/>
                <w:highlight w:val="none"/>
              </w:rPr>
              <w:t>3.1.3</w:t>
            </w:r>
            <w:r>
              <w:rPr>
                <w:rFonts w:ascii="Arial" w:hAnsi="Arial" w:cs="Arial"/>
                <w:bCs/>
                <w:color w:val="auto"/>
                <w:sz w:val="24"/>
                <w:highlight w:val="none"/>
              </w:rPr>
              <w:tab/>
            </w:r>
            <w:r>
              <w:rPr>
                <w:rFonts w:ascii="Arial" w:hAnsi="Arial" w:cs="Arial"/>
                <w:bCs/>
                <w:color w:val="auto"/>
                <w:sz w:val="24"/>
                <w:highlight w:val="none"/>
              </w:rPr>
              <w:t>现场演示日常质控项目，包括射线剂量和图像质量</w:t>
            </w:r>
          </w:p>
          <w:p w14:paraId="37A0FD49">
            <w:pPr>
              <w:rPr>
                <w:rFonts w:ascii="Arial" w:hAnsi="Arial" w:cs="Arial"/>
                <w:bCs/>
                <w:color w:val="auto"/>
                <w:sz w:val="24"/>
                <w:highlight w:val="none"/>
              </w:rPr>
            </w:pPr>
            <w:r>
              <w:rPr>
                <w:rFonts w:ascii="Arial" w:hAnsi="Arial" w:cs="Arial"/>
                <w:bCs/>
                <w:color w:val="auto"/>
                <w:sz w:val="24"/>
                <w:highlight w:val="none"/>
              </w:rPr>
              <w:t>3.2</w:t>
            </w:r>
            <w:r>
              <w:rPr>
                <w:rFonts w:ascii="Arial" w:hAnsi="Arial" w:cs="Arial"/>
                <w:bCs/>
                <w:color w:val="auto"/>
                <w:sz w:val="24"/>
                <w:highlight w:val="none"/>
              </w:rPr>
              <w:tab/>
            </w:r>
            <w:r>
              <w:rPr>
                <w:rFonts w:ascii="Arial" w:hAnsi="Arial" w:cs="Arial"/>
                <w:bCs/>
                <w:color w:val="auto"/>
                <w:sz w:val="24"/>
                <w:highlight w:val="none"/>
              </w:rPr>
              <w:t>每年提供设备健康体检1次并提供体检报告。体检项目覆盖国家X线设备强制检查项目</w:t>
            </w:r>
          </w:p>
          <w:p w14:paraId="037B4792">
            <w:pPr>
              <w:rPr>
                <w:rFonts w:ascii="Arial" w:hAnsi="Arial" w:cs="Arial"/>
                <w:bCs/>
                <w:color w:val="auto"/>
                <w:sz w:val="24"/>
                <w:highlight w:val="none"/>
              </w:rPr>
            </w:pPr>
            <w:r>
              <w:rPr>
                <w:rFonts w:ascii="Arial" w:hAnsi="Arial" w:cs="Arial"/>
                <w:bCs/>
                <w:color w:val="auto"/>
                <w:sz w:val="24"/>
                <w:highlight w:val="none"/>
              </w:rPr>
              <w:t>3.3</w:t>
            </w:r>
            <w:r>
              <w:rPr>
                <w:rFonts w:ascii="Arial" w:hAnsi="Arial" w:cs="Arial"/>
                <w:bCs/>
                <w:color w:val="auto"/>
                <w:sz w:val="24"/>
                <w:highlight w:val="none"/>
              </w:rPr>
              <w:tab/>
            </w:r>
            <w:r>
              <w:rPr>
                <w:rFonts w:ascii="Arial" w:hAnsi="Arial" w:cs="Arial"/>
                <w:bCs/>
                <w:color w:val="auto"/>
                <w:sz w:val="24"/>
                <w:highlight w:val="none"/>
              </w:rPr>
              <w:t>在进行核心部件如球管更换后，进行球管更换质量控制检测并提供报告</w:t>
            </w:r>
          </w:p>
          <w:p w14:paraId="1B5A26DF">
            <w:pPr>
              <w:rPr>
                <w:rFonts w:ascii="Arial" w:hAnsi="Arial" w:cs="Arial"/>
                <w:bCs/>
                <w:color w:val="auto"/>
                <w:sz w:val="24"/>
                <w:highlight w:val="none"/>
              </w:rPr>
            </w:pPr>
            <w:r>
              <w:rPr>
                <w:rFonts w:ascii="Arial" w:hAnsi="Arial" w:cs="Arial"/>
                <w:bCs/>
                <w:color w:val="auto"/>
                <w:sz w:val="24"/>
                <w:highlight w:val="none"/>
              </w:rPr>
              <w:t>3.4</w:t>
            </w:r>
            <w:r>
              <w:rPr>
                <w:rFonts w:ascii="Arial" w:hAnsi="Arial" w:cs="Arial"/>
                <w:bCs/>
                <w:color w:val="auto"/>
                <w:sz w:val="24"/>
                <w:highlight w:val="none"/>
              </w:rPr>
              <w:tab/>
            </w:r>
            <w:r>
              <w:rPr>
                <w:rFonts w:ascii="Arial" w:hAnsi="Arial" w:cs="Arial"/>
                <w:bCs/>
                <w:color w:val="auto"/>
                <w:sz w:val="24"/>
                <w:highlight w:val="none"/>
              </w:rPr>
              <w:t>医院所在地质控主管单位进行的设备年度检测活动时，提供支持服务</w:t>
            </w:r>
          </w:p>
          <w:p w14:paraId="03B09C8B">
            <w:pPr>
              <w:rPr>
                <w:rFonts w:ascii="Arial" w:hAnsi="Arial" w:cs="Arial"/>
                <w:bCs/>
                <w:color w:val="auto"/>
                <w:sz w:val="24"/>
                <w:highlight w:val="none"/>
              </w:rPr>
            </w:pPr>
            <w:r>
              <w:rPr>
                <w:rFonts w:ascii="Arial" w:hAnsi="Arial" w:cs="Arial"/>
                <w:bCs/>
                <w:color w:val="auto"/>
                <w:sz w:val="24"/>
                <w:highlight w:val="none"/>
              </w:rPr>
              <w:t>3.5</w:t>
            </w:r>
            <w:r>
              <w:rPr>
                <w:rFonts w:ascii="Arial" w:hAnsi="Arial" w:cs="Arial"/>
                <w:bCs/>
                <w:color w:val="auto"/>
                <w:sz w:val="24"/>
                <w:highlight w:val="none"/>
              </w:rPr>
              <w:tab/>
            </w:r>
            <w:r>
              <w:rPr>
                <w:rFonts w:ascii="Arial" w:hAnsi="Arial" w:cs="Arial"/>
                <w:bCs/>
                <w:color w:val="auto"/>
                <w:sz w:val="24"/>
                <w:highlight w:val="none"/>
              </w:rPr>
              <w:t>具备常规质控工具，QA模体，CatPhan模体，射线剂量仪，射线辐射仪等</w:t>
            </w:r>
          </w:p>
          <w:p w14:paraId="5EA83F66">
            <w:pPr>
              <w:rPr>
                <w:rFonts w:ascii="Arial" w:hAnsi="Arial" w:cs="Arial"/>
                <w:bCs/>
                <w:color w:val="auto"/>
                <w:sz w:val="24"/>
                <w:highlight w:val="none"/>
              </w:rPr>
            </w:pPr>
            <w:r>
              <w:rPr>
                <w:rFonts w:ascii="Arial" w:hAnsi="Arial" w:cs="Arial"/>
                <w:bCs/>
                <w:color w:val="auto"/>
                <w:sz w:val="24"/>
                <w:highlight w:val="none"/>
              </w:rPr>
              <w:t>3.6</w:t>
            </w:r>
            <w:r>
              <w:rPr>
                <w:rFonts w:ascii="Arial" w:hAnsi="Arial" w:cs="Arial"/>
                <w:bCs/>
                <w:color w:val="auto"/>
                <w:sz w:val="24"/>
                <w:highlight w:val="none"/>
              </w:rPr>
              <w:tab/>
            </w:r>
            <w:r>
              <w:rPr>
                <w:rFonts w:ascii="Arial" w:hAnsi="Arial" w:cs="Arial"/>
                <w:bCs/>
                <w:color w:val="auto"/>
                <w:sz w:val="24"/>
                <w:highlight w:val="none"/>
              </w:rPr>
              <w:t>具备宽体探测器检测和校准能力</w:t>
            </w:r>
          </w:p>
          <w:p w14:paraId="33D347A2">
            <w:pPr>
              <w:rPr>
                <w:rFonts w:ascii="Arial" w:hAnsi="Arial" w:cs="Arial"/>
                <w:bCs/>
                <w:color w:val="auto"/>
                <w:sz w:val="24"/>
                <w:highlight w:val="none"/>
              </w:rPr>
            </w:pPr>
            <w:r>
              <w:rPr>
                <w:rFonts w:ascii="Arial" w:hAnsi="Arial" w:cs="Arial"/>
                <w:bCs/>
                <w:color w:val="auto"/>
                <w:sz w:val="24"/>
                <w:highlight w:val="none"/>
              </w:rPr>
              <w:t>4</w:t>
            </w:r>
            <w:r>
              <w:rPr>
                <w:rFonts w:ascii="Arial" w:hAnsi="Arial" w:cs="Arial"/>
                <w:bCs/>
                <w:color w:val="auto"/>
                <w:sz w:val="24"/>
                <w:highlight w:val="none"/>
              </w:rPr>
              <w:tab/>
            </w:r>
            <w:r>
              <w:rPr>
                <w:rFonts w:ascii="Arial" w:hAnsi="Arial" w:cs="Arial"/>
                <w:bCs/>
                <w:color w:val="auto"/>
                <w:sz w:val="24"/>
                <w:highlight w:val="none"/>
              </w:rPr>
              <w:t>提供临床应用支持</w:t>
            </w:r>
          </w:p>
          <w:p w14:paraId="0CCC5412">
            <w:pPr>
              <w:rPr>
                <w:rFonts w:ascii="Arial" w:hAnsi="Arial" w:cs="Arial"/>
                <w:bCs/>
                <w:color w:val="auto"/>
                <w:sz w:val="24"/>
                <w:highlight w:val="none"/>
              </w:rPr>
            </w:pPr>
            <w:r>
              <w:rPr>
                <w:rFonts w:ascii="Arial" w:hAnsi="Arial" w:cs="Arial"/>
                <w:bCs/>
                <w:color w:val="auto"/>
                <w:sz w:val="24"/>
                <w:highlight w:val="none"/>
              </w:rPr>
              <w:t>4.1</w:t>
            </w:r>
            <w:r>
              <w:rPr>
                <w:rFonts w:ascii="Arial" w:hAnsi="Arial" w:cs="Arial"/>
                <w:bCs/>
                <w:color w:val="auto"/>
                <w:sz w:val="24"/>
                <w:highlight w:val="none"/>
              </w:rPr>
              <w:tab/>
            </w:r>
            <w:r>
              <w:rPr>
                <w:rFonts w:ascii="Arial" w:hAnsi="Arial" w:cs="Arial"/>
                <w:bCs/>
                <w:color w:val="auto"/>
                <w:sz w:val="24"/>
                <w:highlight w:val="none"/>
              </w:rPr>
              <w:t>提供的临床培训服务工程师为全职临床应用培训讲师（提供资质证明）</w:t>
            </w:r>
          </w:p>
          <w:p w14:paraId="45E7A368">
            <w:pPr>
              <w:rPr>
                <w:rFonts w:ascii="Arial" w:hAnsi="Arial" w:cs="Arial"/>
                <w:bCs/>
                <w:color w:val="auto"/>
                <w:sz w:val="24"/>
                <w:highlight w:val="none"/>
              </w:rPr>
            </w:pPr>
            <w:r>
              <w:rPr>
                <w:rFonts w:ascii="Arial" w:hAnsi="Arial" w:cs="Arial"/>
                <w:bCs/>
                <w:color w:val="auto"/>
                <w:sz w:val="24"/>
                <w:highlight w:val="none"/>
              </w:rPr>
              <w:t>4.2</w:t>
            </w:r>
            <w:r>
              <w:rPr>
                <w:rFonts w:ascii="Arial" w:hAnsi="Arial" w:cs="Arial"/>
                <w:bCs/>
                <w:color w:val="auto"/>
                <w:sz w:val="24"/>
                <w:highlight w:val="none"/>
              </w:rPr>
              <w:tab/>
            </w:r>
            <w:r>
              <w:rPr>
                <w:rFonts w:ascii="Arial" w:hAnsi="Arial" w:cs="Arial"/>
                <w:bCs/>
                <w:color w:val="auto"/>
                <w:sz w:val="24"/>
                <w:highlight w:val="none"/>
              </w:rPr>
              <w:t>CT设备培训后能提供</w:t>
            </w:r>
            <w:r>
              <w:rPr>
                <w:rFonts w:hint="eastAsia" w:ascii="Arial" w:hAnsi="Arial" w:cs="Arial"/>
                <w:bCs/>
                <w:color w:val="auto"/>
                <w:sz w:val="24"/>
                <w:highlight w:val="none"/>
                <w:lang w:val="en-US" w:eastAsia="zh-CN"/>
              </w:rPr>
              <w:t>有</w:t>
            </w:r>
            <w:r>
              <w:rPr>
                <w:rFonts w:ascii="Arial" w:hAnsi="Arial" w:cs="Arial"/>
                <w:bCs/>
                <w:color w:val="auto"/>
                <w:sz w:val="24"/>
                <w:highlight w:val="none"/>
              </w:rPr>
              <w:t>关临床培训报告</w:t>
            </w:r>
          </w:p>
          <w:p w14:paraId="7133FEA0">
            <w:pPr>
              <w:rPr>
                <w:rFonts w:ascii="Arial" w:hAnsi="Arial" w:cs="Arial"/>
                <w:bCs/>
                <w:color w:val="auto"/>
                <w:sz w:val="24"/>
                <w:highlight w:val="none"/>
              </w:rPr>
            </w:pPr>
            <w:r>
              <w:rPr>
                <w:rFonts w:ascii="Arial" w:hAnsi="Arial" w:cs="Arial"/>
                <w:bCs/>
                <w:color w:val="auto"/>
                <w:sz w:val="24"/>
                <w:highlight w:val="none"/>
              </w:rPr>
              <w:t>4.3</w:t>
            </w:r>
            <w:r>
              <w:rPr>
                <w:rFonts w:ascii="Arial" w:hAnsi="Arial" w:cs="Arial"/>
                <w:bCs/>
                <w:color w:val="auto"/>
                <w:sz w:val="24"/>
                <w:highlight w:val="none"/>
              </w:rPr>
              <w:tab/>
            </w:r>
            <w:r>
              <w:rPr>
                <w:rFonts w:ascii="Arial" w:hAnsi="Arial" w:cs="Arial"/>
                <w:bCs/>
                <w:color w:val="auto"/>
                <w:sz w:val="24"/>
                <w:highlight w:val="none"/>
              </w:rPr>
              <w:t>提供临床扫描、图像处理和相应业务拓展的专业支持服务。</w:t>
            </w:r>
          </w:p>
          <w:p w14:paraId="79D2AF39">
            <w:pPr>
              <w:rPr>
                <w:rFonts w:ascii="Arial" w:hAnsi="Arial" w:cs="Arial"/>
                <w:bCs/>
                <w:color w:val="auto"/>
                <w:sz w:val="24"/>
                <w:highlight w:val="none"/>
              </w:rPr>
            </w:pPr>
            <w:r>
              <w:rPr>
                <w:rFonts w:ascii="Arial" w:hAnsi="Arial" w:cs="Arial"/>
                <w:bCs/>
                <w:color w:val="auto"/>
                <w:sz w:val="24"/>
                <w:highlight w:val="none"/>
              </w:rPr>
              <w:t>4.4</w:t>
            </w:r>
            <w:r>
              <w:rPr>
                <w:rFonts w:ascii="Arial" w:hAnsi="Arial" w:cs="Arial"/>
                <w:bCs/>
                <w:color w:val="auto"/>
                <w:sz w:val="24"/>
                <w:highlight w:val="none"/>
              </w:rPr>
              <w:tab/>
            </w:r>
            <w:r>
              <w:rPr>
                <w:rFonts w:ascii="Arial" w:hAnsi="Arial" w:cs="Arial"/>
                <w:bCs/>
                <w:color w:val="auto"/>
                <w:sz w:val="24"/>
                <w:highlight w:val="none"/>
              </w:rPr>
              <w:t>提供远程临床应用服务，实时解决客户临床问题</w:t>
            </w:r>
          </w:p>
          <w:p w14:paraId="5FD9E157">
            <w:pPr>
              <w:rPr>
                <w:rFonts w:ascii="Arial" w:hAnsi="Arial" w:cs="Arial"/>
                <w:bCs/>
                <w:color w:val="auto"/>
                <w:sz w:val="24"/>
                <w:highlight w:val="none"/>
              </w:rPr>
            </w:pPr>
            <w:r>
              <w:rPr>
                <w:rFonts w:ascii="Arial" w:hAnsi="Arial" w:cs="Arial"/>
                <w:bCs/>
                <w:color w:val="auto"/>
                <w:sz w:val="24"/>
                <w:highlight w:val="none"/>
              </w:rPr>
              <w:t>4.5</w:t>
            </w:r>
            <w:r>
              <w:rPr>
                <w:rFonts w:ascii="Arial" w:hAnsi="Arial" w:cs="Arial"/>
                <w:bCs/>
                <w:color w:val="auto"/>
                <w:sz w:val="24"/>
                <w:highlight w:val="none"/>
              </w:rPr>
              <w:tab/>
            </w:r>
            <w:r>
              <w:rPr>
                <w:rFonts w:ascii="Arial" w:hAnsi="Arial" w:cs="Arial"/>
                <w:bCs/>
                <w:color w:val="auto"/>
                <w:sz w:val="24"/>
                <w:highlight w:val="none"/>
              </w:rPr>
              <w:t>提供远程电话临床应用支持，针对客户在设备保修期内设备使用过程中出现的扫描参数、操作流程、图像后处理、临床应用等问题通过客服电话解决</w:t>
            </w:r>
          </w:p>
          <w:p w14:paraId="4D110331">
            <w:pPr>
              <w:rPr>
                <w:rFonts w:ascii="Arial" w:hAnsi="Arial" w:cs="Arial"/>
                <w:bCs/>
                <w:color w:val="auto"/>
                <w:sz w:val="24"/>
                <w:highlight w:val="none"/>
              </w:rPr>
            </w:pPr>
            <w:r>
              <w:rPr>
                <w:rFonts w:ascii="Arial" w:hAnsi="Arial" w:cs="Arial"/>
                <w:bCs/>
                <w:color w:val="auto"/>
                <w:sz w:val="24"/>
                <w:highlight w:val="none"/>
              </w:rPr>
              <w:t>4.6</w:t>
            </w:r>
            <w:r>
              <w:rPr>
                <w:rFonts w:ascii="Arial" w:hAnsi="Arial" w:cs="Arial"/>
                <w:bCs/>
                <w:color w:val="auto"/>
                <w:sz w:val="24"/>
                <w:highlight w:val="none"/>
              </w:rPr>
              <w:tab/>
            </w:r>
            <w:r>
              <w:rPr>
                <w:rFonts w:ascii="Arial" w:hAnsi="Arial" w:cs="Arial"/>
                <w:bCs/>
                <w:color w:val="auto"/>
                <w:sz w:val="24"/>
                <w:highlight w:val="none"/>
              </w:rPr>
              <w:t>提供保修服务现场应用支持，针对客户在设备保修期内设备使用过程中出现的扫描参数、操作流程、图像后处理、临床应用等问题客户可根据合同约定联系厂家派遣的临床应用专员到医院现场解决</w:t>
            </w:r>
          </w:p>
          <w:p w14:paraId="3EB05319">
            <w:pPr>
              <w:rPr>
                <w:rFonts w:ascii="Arial" w:hAnsi="Arial" w:cs="Arial"/>
                <w:bCs/>
                <w:color w:val="auto"/>
                <w:sz w:val="24"/>
                <w:highlight w:val="none"/>
              </w:rPr>
            </w:pPr>
            <w:r>
              <w:rPr>
                <w:rFonts w:ascii="Arial" w:hAnsi="Arial" w:cs="Arial"/>
                <w:bCs/>
                <w:color w:val="auto"/>
                <w:sz w:val="24"/>
                <w:highlight w:val="none"/>
              </w:rPr>
              <w:t>4.7每台设备提供3人次/3年CT使用培训，两台设备共计6人次</w:t>
            </w:r>
          </w:p>
          <w:p w14:paraId="374F2822">
            <w:pPr>
              <w:rPr>
                <w:rFonts w:ascii="Arial" w:hAnsi="Arial" w:cs="Arial"/>
                <w:bCs/>
                <w:color w:val="auto"/>
                <w:sz w:val="24"/>
                <w:highlight w:val="none"/>
              </w:rPr>
            </w:pPr>
            <w:r>
              <w:rPr>
                <w:rFonts w:ascii="Arial" w:hAnsi="Arial" w:cs="Arial"/>
                <w:bCs/>
                <w:color w:val="auto"/>
                <w:sz w:val="24"/>
                <w:highlight w:val="none"/>
              </w:rPr>
              <w:t>5</w:t>
            </w:r>
            <w:r>
              <w:rPr>
                <w:rFonts w:ascii="Arial" w:hAnsi="Arial" w:cs="Arial"/>
                <w:bCs/>
                <w:color w:val="auto"/>
                <w:sz w:val="24"/>
                <w:highlight w:val="none"/>
              </w:rPr>
              <w:tab/>
            </w:r>
            <w:r>
              <w:rPr>
                <w:rFonts w:ascii="Arial" w:hAnsi="Arial" w:cs="Arial"/>
                <w:bCs/>
                <w:color w:val="auto"/>
                <w:sz w:val="24"/>
                <w:highlight w:val="none"/>
              </w:rPr>
              <w:t>数字化服务能力要求</w:t>
            </w:r>
          </w:p>
          <w:p w14:paraId="58FFF789">
            <w:pPr>
              <w:rPr>
                <w:rFonts w:ascii="Arial" w:hAnsi="Arial" w:cs="Arial"/>
                <w:bCs/>
                <w:color w:val="auto"/>
                <w:sz w:val="24"/>
                <w:highlight w:val="none"/>
              </w:rPr>
            </w:pPr>
            <w:r>
              <w:rPr>
                <w:rFonts w:ascii="Arial" w:hAnsi="Arial" w:cs="Arial"/>
                <w:bCs/>
                <w:color w:val="auto"/>
                <w:sz w:val="24"/>
                <w:highlight w:val="none"/>
              </w:rPr>
              <w:t>5.1</w:t>
            </w:r>
            <w:r>
              <w:rPr>
                <w:rFonts w:ascii="Arial" w:hAnsi="Arial" w:cs="Arial"/>
                <w:bCs/>
                <w:color w:val="auto"/>
                <w:sz w:val="24"/>
                <w:highlight w:val="none"/>
              </w:rPr>
              <w:tab/>
            </w:r>
            <w:r>
              <w:rPr>
                <w:rFonts w:ascii="Arial" w:hAnsi="Arial" w:cs="Arial"/>
                <w:bCs/>
                <w:color w:val="auto"/>
                <w:sz w:val="24"/>
                <w:highlight w:val="none"/>
              </w:rPr>
              <w:t>提供数字化远程守护服务，并对球管、高压等核心备件相关参数、扫描量、磁盘空间、温湿度等提供实时监测及故障诊断</w:t>
            </w:r>
          </w:p>
          <w:p w14:paraId="77BB9A2C">
            <w:pPr>
              <w:rPr>
                <w:rFonts w:ascii="Arial" w:hAnsi="Arial" w:cs="Arial"/>
                <w:bCs/>
                <w:color w:val="auto"/>
                <w:sz w:val="24"/>
                <w:highlight w:val="none"/>
              </w:rPr>
            </w:pPr>
            <w:r>
              <w:rPr>
                <w:rFonts w:ascii="Arial" w:hAnsi="Arial" w:cs="Arial"/>
                <w:bCs/>
                <w:color w:val="auto"/>
                <w:sz w:val="24"/>
                <w:highlight w:val="none"/>
              </w:rPr>
              <w:t>5.2</w:t>
            </w:r>
            <w:r>
              <w:rPr>
                <w:rFonts w:ascii="Arial" w:hAnsi="Arial" w:cs="Arial"/>
                <w:bCs/>
                <w:color w:val="auto"/>
                <w:sz w:val="24"/>
                <w:highlight w:val="none"/>
              </w:rPr>
              <w:tab/>
            </w:r>
            <w:r>
              <w:rPr>
                <w:rFonts w:ascii="Arial" w:hAnsi="Arial" w:cs="Arial"/>
                <w:bCs/>
                <w:color w:val="auto"/>
                <w:sz w:val="24"/>
                <w:highlight w:val="none"/>
              </w:rPr>
              <w:t>支持客户通过登录提供的链接查询相关设备状态信息</w:t>
            </w:r>
          </w:p>
          <w:p w14:paraId="568DB368">
            <w:pPr>
              <w:rPr>
                <w:rFonts w:ascii="Arial" w:hAnsi="Arial" w:cs="Arial"/>
                <w:bCs/>
                <w:color w:val="auto"/>
                <w:sz w:val="24"/>
                <w:highlight w:val="none"/>
              </w:rPr>
            </w:pPr>
            <w:r>
              <w:rPr>
                <w:rFonts w:ascii="Arial" w:hAnsi="Arial" w:cs="Arial"/>
                <w:bCs/>
                <w:color w:val="auto"/>
                <w:sz w:val="24"/>
                <w:highlight w:val="none"/>
              </w:rPr>
              <w:t>5.3</w:t>
            </w:r>
            <w:r>
              <w:rPr>
                <w:rFonts w:ascii="Arial" w:hAnsi="Arial" w:cs="Arial"/>
                <w:bCs/>
                <w:color w:val="auto"/>
                <w:sz w:val="24"/>
                <w:highlight w:val="none"/>
              </w:rPr>
              <w:tab/>
            </w:r>
            <w:r>
              <w:rPr>
                <w:rFonts w:ascii="Arial" w:hAnsi="Arial" w:cs="Arial"/>
                <w:bCs/>
                <w:color w:val="auto"/>
                <w:sz w:val="24"/>
                <w:highlight w:val="none"/>
              </w:rPr>
              <w:t>支持设备服务预约以及维修纪录查询</w:t>
            </w:r>
          </w:p>
          <w:p w14:paraId="7A64EA09">
            <w:pPr>
              <w:rPr>
                <w:rFonts w:ascii="Arial" w:hAnsi="Arial" w:cs="Arial"/>
                <w:bCs/>
                <w:color w:val="auto"/>
                <w:sz w:val="24"/>
                <w:highlight w:val="none"/>
              </w:rPr>
            </w:pPr>
            <w:r>
              <w:rPr>
                <w:rFonts w:ascii="Arial" w:hAnsi="Arial" w:cs="Arial"/>
                <w:bCs/>
                <w:color w:val="auto"/>
                <w:sz w:val="24"/>
                <w:highlight w:val="none"/>
              </w:rPr>
              <w:t>5.4</w:t>
            </w:r>
            <w:r>
              <w:rPr>
                <w:rFonts w:ascii="Arial" w:hAnsi="Arial" w:cs="Arial"/>
                <w:bCs/>
                <w:color w:val="auto"/>
                <w:sz w:val="24"/>
                <w:highlight w:val="none"/>
              </w:rPr>
              <w:tab/>
            </w:r>
            <w:r>
              <w:rPr>
                <w:rFonts w:ascii="Arial" w:hAnsi="Arial" w:cs="Arial"/>
                <w:bCs/>
                <w:color w:val="auto"/>
                <w:sz w:val="24"/>
                <w:highlight w:val="none"/>
              </w:rPr>
              <w:t>支持合同状态、工程师派工、保养记录、维修记录等多种信息查询</w:t>
            </w:r>
          </w:p>
          <w:p w14:paraId="531B0B6D">
            <w:pPr>
              <w:rPr>
                <w:rFonts w:ascii="Arial" w:hAnsi="Arial" w:cs="Arial"/>
                <w:bCs/>
                <w:color w:val="auto"/>
                <w:sz w:val="24"/>
                <w:highlight w:val="none"/>
              </w:rPr>
            </w:pPr>
            <w:r>
              <w:rPr>
                <w:rFonts w:ascii="Arial" w:hAnsi="Arial" w:cs="Arial"/>
                <w:bCs/>
                <w:color w:val="auto"/>
                <w:sz w:val="24"/>
                <w:highlight w:val="none"/>
              </w:rPr>
              <w:t>5.5</w:t>
            </w:r>
            <w:r>
              <w:rPr>
                <w:rFonts w:ascii="Arial" w:hAnsi="Arial" w:cs="Arial"/>
                <w:bCs/>
                <w:color w:val="auto"/>
                <w:sz w:val="24"/>
                <w:highlight w:val="none"/>
              </w:rPr>
              <w:tab/>
            </w:r>
            <w:r>
              <w:rPr>
                <w:rFonts w:ascii="Arial" w:hAnsi="Arial" w:cs="Arial"/>
                <w:bCs/>
                <w:color w:val="auto"/>
                <w:sz w:val="24"/>
                <w:highlight w:val="none"/>
              </w:rPr>
              <w:t>支持二维码资产管理以及扫码报修</w:t>
            </w:r>
          </w:p>
          <w:p w14:paraId="0AA85ECB">
            <w:pPr>
              <w:rPr>
                <w:rFonts w:ascii="Arial" w:hAnsi="Arial" w:cs="Arial"/>
                <w:bCs/>
                <w:color w:val="auto"/>
                <w:sz w:val="24"/>
                <w:highlight w:val="none"/>
              </w:rPr>
            </w:pPr>
            <w:r>
              <w:rPr>
                <w:rFonts w:ascii="Arial" w:hAnsi="Arial" w:cs="Arial"/>
                <w:bCs/>
                <w:color w:val="auto"/>
                <w:sz w:val="24"/>
                <w:highlight w:val="none"/>
              </w:rPr>
              <w:t>5.6</w:t>
            </w:r>
            <w:r>
              <w:rPr>
                <w:rFonts w:ascii="Arial" w:hAnsi="Arial" w:cs="Arial"/>
                <w:bCs/>
                <w:color w:val="auto"/>
                <w:sz w:val="24"/>
                <w:highlight w:val="none"/>
              </w:rPr>
              <w:tab/>
            </w:r>
            <w:r>
              <w:rPr>
                <w:rFonts w:ascii="Arial" w:hAnsi="Arial" w:cs="Arial"/>
                <w:bCs/>
                <w:color w:val="auto"/>
                <w:sz w:val="24"/>
                <w:highlight w:val="none"/>
              </w:rPr>
              <w:t>支持应用服务适配PC机和手持移动终端设备</w:t>
            </w:r>
          </w:p>
          <w:p w14:paraId="6086CADE">
            <w:pPr>
              <w:rPr>
                <w:rFonts w:ascii="Arial" w:hAnsi="Arial" w:cs="Arial"/>
                <w:bCs/>
                <w:color w:val="auto"/>
                <w:sz w:val="24"/>
                <w:highlight w:val="none"/>
              </w:rPr>
            </w:pPr>
            <w:r>
              <w:rPr>
                <w:rFonts w:ascii="Arial" w:hAnsi="Arial" w:cs="Arial"/>
                <w:bCs/>
                <w:color w:val="auto"/>
                <w:sz w:val="24"/>
                <w:highlight w:val="none"/>
              </w:rPr>
              <w:t>5.7 提供绩效分析功能</w:t>
            </w:r>
          </w:p>
        </w:tc>
        <w:tc>
          <w:tcPr>
            <w:tcW w:w="757" w:type="dxa"/>
            <w:vAlign w:val="center"/>
          </w:tcPr>
          <w:p w14:paraId="212C388B">
            <w:pPr>
              <w:jc w:val="center"/>
              <w:rPr>
                <w:rFonts w:ascii="Arial" w:hAnsi="Arial" w:cs="Arial"/>
                <w:b/>
                <w:color w:val="auto"/>
                <w:sz w:val="24"/>
                <w:highlight w:val="none"/>
              </w:rPr>
            </w:pPr>
            <w:r>
              <w:rPr>
                <w:rFonts w:ascii="Arial" w:hAnsi="Arial" w:cs="Arial"/>
                <w:b/>
                <w:color w:val="auto"/>
                <w:sz w:val="24"/>
                <w:highlight w:val="none"/>
              </w:rPr>
              <w:t>2</w:t>
            </w:r>
          </w:p>
        </w:tc>
      </w:tr>
      <w:tr w14:paraId="4766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3" w:type="dxa"/>
            <w:vAlign w:val="center"/>
          </w:tcPr>
          <w:p w14:paraId="49820117">
            <w:pPr>
              <w:pStyle w:val="20"/>
              <w:spacing w:line="240" w:lineRule="auto"/>
              <w:jc w:val="center"/>
              <w:rPr>
                <w:rFonts w:ascii="Arial" w:hAnsi="Arial" w:cs="Arial"/>
                <w:b/>
                <w:color w:val="auto"/>
                <w:highlight w:val="none"/>
              </w:rPr>
            </w:pPr>
            <w:r>
              <w:rPr>
                <w:rFonts w:ascii="Arial" w:hAnsi="Arial" w:cs="Arial"/>
                <w:b/>
                <w:color w:val="auto"/>
                <w:highlight w:val="none"/>
              </w:rPr>
              <w:t>3</w:t>
            </w:r>
          </w:p>
        </w:tc>
        <w:tc>
          <w:tcPr>
            <w:tcW w:w="855" w:type="dxa"/>
            <w:vAlign w:val="center"/>
          </w:tcPr>
          <w:p w14:paraId="475723CB">
            <w:pPr>
              <w:rPr>
                <w:rFonts w:ascii="Arial" w:hAnsi="Arial" w:cs="Arial"/>
                <w:color w:val="auto"/>
                <w:sz w:val="24"/>
                <w:highlight w:val="none"/>
                <w:shd w:val="clear" w:color="auto" w:fill="FFFFFF"/>
              </w:rPr>
            </w:pPr>
            <w:r>
              <w:rPr>
                <w:rFonts w:ascii="Arial" w:hAnsi="Arial" w:cs="Arial"/>
                <w:b/>
                <w:color w:val="auto"/>
                <w:sz w:val="24"/>
                <w:highlight w:val="none"/>
              </w:rPr>
              <w:t>健康体检中心GE 62排CT维保一台（3年）</w:t>
            </w:r>
          </w:p>
        </w:tc>
        <w:tc>
          <w:tcPr>
            <w:tcW w:w="8453" w:type="dxa"/>
          </w:tcPr>
          <w:p w14:paraId="114FA2BE">
            <w:pPr>
              <w:rPr>
                <w:rFonts w:ascii="Arial" w:hAnsi="Arial" w:cs="Arial"/>
                <w:bCs/>
                <w:color w:val="auto"/>
                <w:sz w:val="24"/>
                <w:highlight w:val="none"/>
              </w:rPr>
            </w:pPr>
            <w:r>
              <w:rPr>
                <w:rFonts w:ascii="Arial" w:hAnsi="Arial" w:cs="Arial"/>
                <w:bCs/>
                <w:color w:val="auto"/>
                <w:sz w:val="24"/>
                <w:highlight w:val="none"/>
              </w:rPr>
              <w:t>技术参数：</w:t>
            </w:r>
          </w:p>
          <w:p w14:paraId="1581F7B3">
            <w:pPr>
              <w:rPr>
                <w:rFonts w:ascii="Arial" w:hAnsi="Arial" w:cs="Arial"/>
                <w:bCs/>
                <w:color w:val="auto"/>
                <w:sz w:val="24"/>
                <w:highlight w:val="none"/>
              </w:rPr>
            </w:pPr>
            <w:r>
              <w:rPr>
                <w:rFonts w:ascii="Arial" w:hAnsi="Arial" w:cs="Arial"/>
                <w:bCs/>
                <w:color w:val="auto"/>
                <w:sz w:val="24"/>
                <w:highlight w:val="none"/>
              </w:rPr>
              <w:t>1、设备情况及服务范围：</w:t>
            </w:r>
          </w:p>
          <w:p w14:paraId="5418C133">
            <w:pPr>
              <w:rPr>
                <w:rFonts w:ascii="Arial" w:hAnsi="Arial" w:cs="Arial"/>
                <w:bCs/>
                <w:color w:val="auto"/>
                <w:sz w:val="24"/>
                <w:highlight w:val="none"/>
              </w:rPr>
            </w:pPr>
            <w:r>
              <w:rPr>
                <w:rFonts w:ascii="Arial" w:hAnsi="Arial" w:cs="Arial"/>
                <w:bCs/>
                <w:color w:val="auto"/>
                <w:sz w:val="24"/>
                <w:highlight w:val="none"/>
              </w:rPr>
              <w:t>1.1设备型号：Optima CT620</w:t>
            </w:r>
          </w:p>
          <w:p w14:paraId="2C40E16F">
            <w:pPr>
              <w:rPr>
                <w:rFonts w:ascii="Arial" w:hAnsi="Arial" w:cs="Arial"/>
                <w:bCs/>
                <w:color w:val="auto"/>
                <w:sz w:val="24"/>
                <w:highlight w:val="none"/>
              </w:rPr>
            </w:pPr>
            <w:r>
              <w:rPr>
                <w:rFonts w:ascii="Arial" w:hAnsi="Arial" w:cs="Arial"/>
                <w:bCs/>
                <w:color w:val="auto"/>
                <w:sz w:val="24"/>
                <w:highlight w:val="none"/>
              </w:rPr>
              <w:t>设备数量：1台</w:t>
            </w:r>
          </w:p>
          <w:p w14:paraId="0113F5FF">
            <w:pPr>
              <w:rPr>
                <w:rFonts w:ascii="Arial" w:hAnsi="Arial" w:cs="Arial"/>
                <w:bCs/>
                <w:color w:val="auto"/>
                <w:sz w:val="24"/>
                <w:highlight w:val="none"/>
              </w:rPr>
            </w:pPr>
            <w:r>
              <w:rPr>
                <w:rFonts w:ascii="Arial" w:hAnsi="Arial" w:cs="Arial"/>
                <w:bCs/>
                <w:color w:val="auto"/>
                <w:sz w:val="24"/>
                <w:highlight w:val="none"/>
              </w:rPr>
              <w:t>1.1.1提供整机保修，不限次数人工，包括主机、球管、探测器、工作站保修。</w:t>
            </w:r>
          </w:p>
          <w:p w14:paraId="1B20C009">
            <w:pPr>
              <w:rPr>
                <w:rFonts w:ascii="Arial" w:hAnsi="Arial" w:cs="Arial"/>
                <w:bCs/>
                <w:color w:val="auto"/>
                <w:sz w:val="24"/>
                <w:highlight w:val="none"/>
              </w:rPr>
            </w:pPr>
            <w:r>
              <w:rPr>
                <w:rFonts w:ascii="Arial" w:hAnsi="Arial" w:cs="Arial"/>
                <w:bCs/>
                <w:color w:val="auto"/>
                <w:sz w:val="24"/>
                <w:highlight w:val="none"/>
              </w:rPr>
              <w:t>1.1.2</w:t>
            </w:r>
            <w:r>
              <w:rPr>
                <w:rFonts w:ascii="Arial" w:hAnsi="Arial" w:cs="Arial"/>
                <w:bCs/>
                <w:color w:val="auto"/>
                <w:sz w:val="24"/>
                <w:highlight w:val="none"/>
              </w:rPr>
              <w:tab/>
            </w:r>
            <w:r>
              <w:rPr>
                <w:rFonts w:ascii="Arial" w:hAnsi="Arial" w:cs="Arial"/>
                <w:bCs/>
                <w:color w:val="auto"/>
                <w:sz w:val="24"/>
                <w:highlight w:val="none"/>
              </w:rPr>
              <w:t>有维修站并配备CT专职工程师≥5名，提供名单</w:t>
            </w:r>
          </w:p>
          <w:p w14:paraId="147DE015">
            <w:pPr>
              <w:rPr>
                <w:rFonts w:ascii="Arial" w:hAnsi="Arial" w:cs="Arial"/>
                <w:bCs/>
                <w:color w:val="auto"/>
                <w:sz w:val="24"/>
                <w:highlight w:val="none"/>
              </w:rPr>
            </w:pPr>
            <w:r>
              <w:rPr>
                <w:rFonts w:ascii="Arial" w:hAnsi="Arial" w:cs="Arial"/>
                <w:bCs/>
                <w:color w:val="auto"/>
                <w:sz w:val="24"/>
                <w:highlight w:val="none"/>
              </w:rPr>
              <w:t>1.1.3</w:t>
            </w:r>
            <w:r>
              <w:rPr>
                <w:rFonts w:ascii="Arial" w:hAnsi="Arial" w:cs="Arial"/>
                <w:bCs/>
                <w:color w:val="auto"/>
                <w:sz w:val="24"/>
                <w:highlight w:val="none"/>
              </w:rPr>
              <w:tab/>
            </w:r>
            <w:r>
              <w:rPr>
                <w:rFonts w:ascii="Arial" w:hAnsi="Arial" w:cs="Arial"/>
                <w:bCs/>
                <w:color w:val="auto"/>
                <w:sz w:val="24"/>
                <w:highlight w:val="none"/>
              </w:rPr>
              <w:t>拟投入本项目的维保工程师接受过设备制造商专业培训并获得有效期内的相关证书认证，须提供相关证明材料。</w:t>
            </w:r>
          </w:p>
          <w:p w14:paraId="37C37E4F">
            <w:pPr>
              <w:rPr>
                <w:rFonts w:ascii="Arial" w:hAnsi="Arial" w:cs="Arial"/>
                <w:bCs/>
                <w:color w:val="auto"/>
                <w:sz w:val="24"/>
                <w:highlight w:val="none"/>
              </w:rPr>
            </w:pPr>
            <w:r>
              <w:rPr>
                <w:rFonts w:ascii="Arial" w:hAnsi="Arial" w:cs="Arial"/>
                <w:bCs/>
                <w:color w:val="auto"/>
                <w:sz w:val="24"/>
                <w:highlight w:val="none"/>
              </w:rPr>
              <w:t>1.1.4</w:t>
            </w:r>
            <w:r>
              <w:rPr>
                <w:rFonts w:ascii="Arial" w:hAnsi="Arial" w:cs="Arial"/>
                <w:bCs/>
                <w:color w:val="auto"/>
                <w:sz w:val="24"/>
                <w:highlight w:val="none"/>
              </w:rPr>
              <w:tab/>
            </w:r>
            <w:r>
              <w:rPr>
                <w:rFonts w:ascii="Arial" w:hAnsi="Arial" w:cs="Arial"/>
                <w:bCs/>
                <w:color w:val="auto"/>
                <w:sz w:val="24"/>
                <w:highlight w:val="none"/>
              </w:rPr>
              <w:t>具备户服务专线电话，提供号码</w:t>
            </w:r>
          </w:p>
          <w:p w14:paraId="15F1BD98">
            <w:pPr>
              <w:rPr>
                <w:rFonts w:ascii="Arial" w:hAnsi="Arial" w:cs="Arial"/>
                <w:bCs/>
                <w:color w:val="auto"/>
                <w:sz w:val="24"/>
                <w:highlight w:val="none"/>
              </w:rPr>
            </w:pPr>
            <w:r>
              <w:rPr>
                <w:rFonts w:ascii="Arial" w:hAnsi="Arial" w:cs="Arial"/>
                <w:bCs/>
                <w:color w:val="auto"/>
                <w:sz w:val="24"/>
                <w:highlight w:val="none"/>
              </w:rPr>
              <w:t>1.1.5</w:t>
            </w:r>
            <w:r>
              <w:rPr>
                <w:rFonts w:ascii="Arial" w:hAnsi="Arial" w:cs="Arial"/>
                <w:bCs/>
                <w:color w:val="auto"/>
                <w:sz w:val="24"/>
                <w:highlight w:val="none"/>
              </w:rPr>
              <w:tab/>
            </w:r>
            <w:r>
              <w:rPr>
                <w:rFonts w:ascii="Arial" w:hAnsi="Arial" w:cs="Arial"/>
                <w:bCs/>
                <w:color w:val="auto"/>
                <w:sz w:val="24"/>
                <w:highlight w:val="none"/>
              </w:rPr>
              <w:t>有零备件储备，符合设备注册要求，提供仓库信息</w:t>
            </w:r>
          </w:p>
          <w:p w14:paraId="01066365">
            <w:pPr>
              <w:rPr>
                <w:rFonts w:ascii="Arial" w:hAnsi="Arial" w:cs="Arial"/>
                <w:bCs/>
                <w:color w:val="auto"/>
                <w:sz w:val="24"/>
                <w:highlight w:val="none"/>
              </w:rPr>
            </w:pPr>
            <w:r>
              <w:rPr>
                <w:rFonts w:ascii="Arial" w:hAnsi="Arial" w:cs="Arial"/>
                <w:bCs/>
                <w:color w:val="auto"/>
                <w:sz w:val="24"/>
                <w:highlight w:val="none"/>
              </w:rPr>
              <w:t>1.1.6</w:t>
            </w:r>
            <w:r>
              <w:rPr>
                <w:rFonts w:ascii="Arial" w:hAnsi="Arial" w:cs="Arial"/>
                <w:bCs/>
                <w:color w:val="auto"/>
                <w:sz w:val="24"/>
                <w:highlight w:val="none"/>
              </w:rPr>
              <w:tab/>
            </w:r>
            <w:r>
              <w:rPr>
                <w:rFonts w:ascii="Arial" w:hAnsi="Arial" w:cs="Arial"/>
                <w:bCs/>
                <w:color w:val="auto"/>
                <w:sz w:val="24"/>
                <w:highlight w:val="none"/>
              </w:rPr>
              <w:t>核心部件球管保障供应，提供库存证明</w:t>
            </w:r>
          </w:p>
          <w:p w14:paraId="4AB439B6">
            <w:pPr>
              <w:rPr>
                <w:rFonts w:ascii="Arial" w:hAnsi="Arial" w:cs="Arial"/>
                <w:bCs/>
                <w:color w:val="auto"/>
                <w:sz w:val="24"/>
                <w:highlight w:val="none"/>
              </w:rPr>
            </w:pPr>
            <w:r>
              <w:rPr>
                <w:rFonts w:ascii="Arial" w:hAnsi="Arial" w:cs="Arial"/>
                <w:bCs/>
                <w:color w:val="auto"/>
                <w:sz w:val="24"/>
                <w:highlight w:val="none"/>
              </w:rPr>
              <w:t>1.1.7</w:t>
            </w:r>
            <w:r>
              <w:rPr>
                <w:rFonts w:ascii="Arial" w:hAnsi="Arial" w:cs="Arial"/>
                <w:bCs/>
                <w:color w:val="auto"/>
                <w:sz w:val="24"/>
                <w:highlight w:val="none"/>
              </w:rPr>
              <w:tab/>
            </w:r>
            <w:r>
              <w:rPr>
                <w:rFonts w:ascii="Arial" w:hAnsi="Arial" w:cs="Arial"/>
                <w:bCs/>
                <w:color w:val="auto"/>
                <w:sz w:val="24"/>
                <w:highlight w:val="none"/>
              </w:rPr>
              <w:t>核心部件球管到货时间≤48小时</w:t>
            </w:r>
          </w:p>
          <w:p w14:paraId="0EE8EAA1">
            <w:pPr>
              <w:rPr>
                <w:rFonts w:ascii="Arial" w:hAnsi="Arial" w:cs="Arial"/>
                <w:bCs/>
                <w:color w:val="auto"/>
                <w:sz w:val="24"/>
                <w:highlight w:val="none"/>
              </w:rPr>
            </w:pPr>
            <w:r>
              <w:rPr>
                <w:rFonts w:ascii="Arial" w:hAnsi="Arial" w:cs="Arial"/>
                <w:bCs/>
                <w:color w:val="auto"/>
                <w:sz w:val="24"/>
                <w:highlight w:val="none"/>
              </w:rPr>
              <w:t>1.2</w:t>
            </w:r>
            <w:r>
              <w:rPr>
                <w:rFonts w:ascii="Arial" w:hAnsi="Arial" w:cs="Arial"/>
                <w:bCs/>
                <w:color w:val="auto"/>
                <w:sz w:val="24"/>
                <w:highlight w:val="none"/>
              </w:rPr>
              <w:tab/>
            </w:r>
            <w:r>
              <w:rPr>
                <w:rFonts w:ascii="Arial" w:hAnsi="Arial" w:cs="Arial"/>
                <w:bCs/>
                <w:color w:val="auto"/>
                <w:sz w:val="24"/>
                <w:highlight w:val="none"/>
              </w:rPr>
              <w:t>基础服务承诺</w:t>
            </w:r>
          </w:p>
          <w:p w14:paraId="2AF64CE1">
            <w:pPr>
              <w:rPr>
                <w:rFonts w:ascii="Arial" w:hAnsi="Arial" w:cs="Arial"/>
                <w:bCs/>
                <w:color w:val="auto"/>
                <w:sz w:val="24"/>
                <w:highlight w:val="none"/>
              </w:rPr>
            </w:pPr>
            <w:r>
              <w:rPr>
                <w:rFonts w:ascii="Arial" w:hAnsi="Arial" w:cs="Arial"/>
                <w:bCs/>
                <w:color w:val="auto"/>
                <w:sz w:val="24"/>
                <w:highlight w:val="none"/>
              </w:rPr>
              <w:t>1.2.1</w:t>
            </w:r>
            <w:r>
              <w:rPr>
                <w:rFonts w:ascii="Arial" w:hAnsi="Arial" w:cs="Arial"/>
                <w:bCs/>
                <w:color w:val="auto"/>
                <w:sz w:val="24"/>
                <w:highlight w:val="none"/>
              </w:rPr>
              <w:tab/>
            </w:r>
            <w:r>
              <w:rPr>
                <w:rFonts w:ascii="Arial" w:hAnsi="Arial" w:cs="Arial"/>
                <w:bCs/>
                <w:color w:val="auto"/>
                <w:sz w:val="24"/>
                <w:highlight w:val="none"/>
              </w:rPr>
              <w:t>服务响应时间，≤1小时</w:t>
            </w:r>
          </w:p>
          <w:p w14:paraId="0893A90A">
            <w:pPr>
              <w:rPr>
                <w:rFonts w:ascii="Arial" w:hAnsi="Arial" w:cs="Arial"/>
                <w:bCs/>
                <w:color w:val="auto"/>
                <w:sz w:val="24"/>
                <w:highlight w:val="none"/>
              </w:rPr>
            </w:pPr>
            <w:r>
              <w:rPr>
                <w:rFonts w:ascii="Arial" w:hAnsi="Arial" w:cs="Arial"/>
                <w:bCs/>
                <w:color w:val="auto"/>
                <w:sz w:val="24"/>
                <w:highlight w:val="none"/>
              </w:rPr>
              <w:t>1.2.2</w:t>
            </w:r>
            <w:r>
              <w:rPr>
                <w:rFonts w:ascii="Arial" w:hAnsi="Arial" w:cs="Arial"/>
                <w:bCs/>
                <w:color w:val="auto"/>
                <w:sz w:val="24"/>
                <w:highlight w:val="none"/>
              </w:rPr>
              <w:tab/>
            </w:r>
            <w:r>
              <w:rPr>
                <w:rFonts w:ascii="Arial" w:hAnsi="Arial" w:cs="Arial"/>
                <w:bCs/>
                <w:color w:val="auto"/>
                <w:sz w:val="24"/>
                <w:highlight w:val="none"/>
              </w:rPr>
              <w:t>服务到场时间，≤24小时</w:t>
            </w:r>
          </w:p>
          <w:p w14:paraId="79BF63C5">
            <w:pPr>
              <w:rPr>
                <w:rFonts w:ascii="Arial" w:hAnsi="Arial" w:cs="Arial"/>
                <w:bCs/>
                <w:color w:val="auto"/>
                <w:sz w:val="24"/>
                <w:highlight w:val="none"/>
              </w:rPr>
            </w:pPr>
            <w:r>
              <w:rPr>
                <w:rFonts w:ascii="Arial" w:hAnsi="Arial" w:cs="Arial"/>
                <w:bCs/>
                <w:color w:val="auto"/>
                <w:sz w:val="24"/>
                <w:highlight w:val="none"/>
              </w:rPr>
              <w:t>1.2.3</w:t>
            </w:r>
            <w:r>
              <w:rPr>
                <w:rFonts w:ascii="Arial" w:hAnsi="Arial" w:cs="Arial"/>
                <w:bCs/>
                <w:color w:val="auto"/>
                <w:sz w:val="24"/>
                <w:highlight w:val="none"/>
              </w:rPr>
              <w:tab/>
            </w:r>
            <w:r>
              <w:rPr>
                <w:rFonts w:ascii="Arial" w:hAnsi="Arial" w:cs="Arial"/>
                <w:bCs/>
                <w:color w:val="auto"/>
                <w:sz w:val="24"/>
                <w:highlight w:val="none"/>
              </w:rPr>
              <w:t>开机率保证，≥95%（以工作日计）</w:t>
            </w:r>
          </w:p>
          <w:p w14:paraId="55202C01">
            <w:pPr>
              <w:rPr>
                <w:rFonts w:ascii="Arial" w:hAnsi="Arial" w:cs="Arial"/>
                <w:bCs/>
                <w:color w:val="auto"/>
                <w:sz w:val="24"/>
                <w:highlight w:val="none"/>
              </w:rPr>
            </w:pPr>
            <w:r>
              <w:rPr>
                <w:rFonts w:ascii="Arial" w:hAnsi="Arial" w:cs="Arial"/>
                <w:bCs/>
                <w:color w:val="auto"/>
                <w:sz w:val="24"/>
                <w:highlight w:val="none"/>
              </w:rPr>
              <w:t>1.2.4</w:t>
            </w:r>
            <w:r>
              <w:rPr>
                <w:rFonts w:ascii="Arial" w:hAnsi="Arial" w:cs="Arial"/>
                <w:bCs/>
                <w:color w:val="auto"/>
                <w:sz w:val="24"/>
                <w:highlight w:val="none"/>
              </w:rPr>
              <w:tab/>
            </w:r>
            <w:r>
              <w:rPr>
                <w:rFonts w:ascii="Arial" w:hAnsi="Arial" w:cs="Arial"/>
                <w:bCs/>
                <w:color w:val="auto"/>
                <w:sz w:val="24"/>
                <w:highlight w:val="none"/>
              </w:rPr>
              <w:t>服务期内不限次人工服务</w:t>
            </w:r>
          </w:p>
          <w:p w14:paraId="0673828F">
            <w:pPr>
              <w:rPr>
                <w:rFonts w:ascii="Arial" w:hAnsi="Arial" w:cs="Arial"/>
                <w:bCs/>
                <w:color w:val="auto"/>
                <w:sz w:val="24"/>
                <w:highlight w:val="none"/>
              </w:rPr>
            </w:pPr>
            <w:r>
              <w:rPr>
                <w:rFonts w:ascii="Arial" w:hAnsi="Arial" w:cs="Arial"/>
                <w:bCs/>
                <w:color w:val="auto"/>
                <w:sz w:val="24"/>
                <w:highlight w:val="none"/>
              </w:rPr>
              <w:t>1.2.5</w:t>
            </w:r>
            <w:r>
              <w:rPr>
                <w:rFonts w:ascii="Arial" w:hAnsi="Arial" w:cs="Arial"/>
                <w:bCs/>
                <w:color w:val="auto"/>
                <w:sz w:val="24"/>
                <w:highlight w:val="none"/>
              </w:rPr>
              <w:tab/>
            </w:r>
            <w:r>
              <w:rPr>
                <w:rFonts w:ascii="Arial" w:hAnsi="Arial" w:cs="Arial"/>
                <w:bCs/>
                <w:color w:val="auto"/>
                <w:sz w:val="24"/>
                <w:highlight w:val="none"/>
              </w:rPr>
              <w:t>服务期内更换备件服务，不包含三方周边产品</w:t>
            </w:r>
          </w:p>
          <w:p w14:paraId="2C027B84">
            <w:pPr>
              <w:rPr>
                <w:rFonts w:ascii="Arial" w:hAnsi="Arial" w:cs="Arial"/>
                <w:b/>
                <w:color w:val="auto"/>
                <w:sz w:val="24"/>
                <w:highlight w:val="none"/>
              </w:rPr>
            </w:pPr>
            <w:r>
              <w:rPr>
                <w:rFonts w:ascii="Arial" w:hAnsi="Arial" w:cs="Arial"/>
                <w:b/>
                <w:color w:val="auto"/>
                <w:sz w:val="24"/>
                <w:highlight w:val="none"/>
              </w:rPr>
              <w:t>▲1.2.6</w:t>
            </w:r>
            <w:r>
              <w:rPr>
                <w:rFonts w:ascii="Arial" w:hAnsi="Arial" w:cs="Arial"/>
                <w:b/>
                <w:color w:val="auto"/>
                <w:sz w:val="24"/>
                <w:highlight w:val="none"/>
              </w:rPr>
              <w:tab/>
            </w:r>
            <w:r>
              <w:rPr>
                <w:rFonts w:ascii="Arial" w:hAnsi="Arial" w:cs="Arial"/>
                <w:b/>
                <w:color w:val="auto"/>
                <w:sz w:val="24"/>
                <w:highlight w:val="none"/>
              </w:rPr>
              <w:t>服务期内支持主机系统软件持续升级、补丁，保证所有系统软件为最新版本。</w:t>
            </w:r>
          </w:p>
          <w:p w14:paraId="1DF609DD">
            <w:pPr>
              <w:rPr>
                <w:rFonts w:ascii="Arial" w:hAnsi="Arial" w:cs="Arial"/>
                <w:b/>
                <w:color w:val="auto"/>
                <w:sz w:val="24"/>
                <w:highlight w:val="none"/>
              </w:rPr>
            </w:pPr>
            <w:r>
              <w:rPr>
                <w:rFonts w:ascii="Arial" w:hAnsi="Arial" w:cs="Arial"/>
                <w:b/>
                <w:color w:val="auto"/>
                <w:sz w:val="24"/>
                <w:highlight w:val="none"/>
              </w:rPr>
              <w:t>▲1.2.7</w:t>
            </w:r>
            <w:r>
              <w:rPr>
                <w:rFonts w:ascii="Arial" w:hAnsi="Arial" w:cs="Arial"/>
                <w:b/>
                <w:color w:val="auto"/>
                <w:sz w:val="24"/>
                <w:highlight w:val="none"/>
              </w:rPr>
              <w:tab/>
            </w:r>
            <w:r>
              <w:rPr>
                <w:rFonts w:ascii="Arial" w:hAnsi="Arial" w:cs="Arial"/>
                <w:b/>
                <w:color w:val="auto"/>
                <w:sz w:val="24"/>
                <w:highlight w:val="none"/>
              </w:rPr>
              <w:t>投标人须合法获得使用在有效期内的原厂故障诊断软件及诊断service key，并保证不违法国家有关知识产权的法律规定，投标文件中须提供证明文件。</w:t>
            </w:r>
          </w:p>
          <w:p w14:paraId="12C25B31">
            <w:pPr>
              <w:rPr>
                <w:rFonts w:ascii="Arial" w:hAnsi="Arial" w:cs="Arial"/>
                <w:bCs/>
                <w:color w:val="auto"/>
                <w:sz w:val="24"/>
                <w:highlight w:val="none"/>
              </w:rPr>
            </w:pPr>
            <w:r>
              <w:rPr>
                <w:rFonts w:ascii="Arial" w:hAnsi="Arial" w:cs="Arial"/>
                <w:bCs/>
                <w:color w:val="auto"/>
                <w:sz w:val="24"/>
                <w:highlight w:val="none"/>
              </w:rPr>
              <w:t>2</w:t>
            </w:r>
            <w:r>
              <w:rPr>
                <w:rFonts w:ascii="Arial" w:hAnsi="Arial" w:cs="Arial"/>
                <w:bCs/>
                <w:color w:val="auto"/>
                <w:sz w:val="24"/>
                <w:highlight w:val="none"/>
              </w:rPr>
              <w:tab/>
            </w:r>
            <w:r>
              <w:rPr>
                <w:rFonts w:ascii="Arial" w:hAnsi="Arial" w:cs="Arial"/>
                <w:bCs/>
                <w:color w:val="auto"/>
                <w:sz w:val="24"/>
                <w:highlight w:val="none"/>
              </w:rPr>
              <w:t>服务技术要求</w:t>
            </w:r>
          </w:p>
          <w:p w14:paraId="3948D31C">
            <w:pPr>
              <w:rPr>
                <w:rFonts w:ascii="Arial" w:hAnsi="Arial" w:cs="Arial"/>
                <w:bCs/>
                <w:color w:val="auto"/>
                <w:sz w:val="24"/>
                <w:highlight w:val="none"/>
              </w:rPr>
            </w:pPr>
            <w:r>
              <w:rPr>
                <w:rFonts w:ascii="Arial" w:hAnsi="Arial" w:cs="Arial"/>
                <w:bCs/>
                <w:color w:val="auto"/>
                <w:sz w:val="24"/>
                <w:highlight w:val="none"/>
              </w:rPr>
              <w:t>2.1</w:t>
            </w:r>
            <w:r>
              <w:rPr>
                <w:rFonts w:ascii="Arial" w:hAnsi="Arial" w:cs="Arial"/>
                <w:bCs/>
                <w:color w:val="auto"/>
                <w:sz w:val="24"/>
                <w:highlight w:val="none"/>
              </w:rPr>
              <w:tab/>
            </w:r>
            <w:r>
              <w:rPr>
                <w:rFonts w:ascii="Arial" w:hAnsi="Arial" w:cs="Arial"/>
                <w:bCs/>
                <w:color w:val="auto"/>
                <w:sz w:val="24"/>
                <w:highlight w:val="none"/>
              </w:rPr>
              <w:t>基本服务内容，远程和现场</w:t>
            </w:r>
          </w:p>
          <w:p w14:paraId="37AA6334">
            <w:pPr>
              <w:rPr>
                <w:rFonts w:ascii="Arial" w:hAnsi="Arial" w:cs="Arial"/>
                <w:bCs/>
                <w:color w:val="auto"/>
                <w:sz w:val="24"/>
                <w:highlight w:val="none"/>
              </w:rPr>
            </w:pPr>
            <w:r>
              <w:rPr>
                <w:rFonts w:ascii="Arial" w:hAnsi="Arial" w:cs="Arial"/>
                <w:bCs/>
                <w:color w:val="auto"/>
                <w:sz w:val="24"/>
                <w:highlight w:val="none"/>
              </w:rPr>
              <w:t>2.1.1</w:t>
            </w:r>
            <w:r>
              <w:rPr>
                <w:rFonts w:ascii="Arial" w:hAnsi="Arial" w:cs="Arial"/>
                <w:bCs/>
                <w:color w:val="auto"/>
                <w:sz w:val="24"/>
                <w:highlight w:val="none"/>
              </w:rPr>
              <w:tab/>
            </w:r>
            <w:r>
              <w:rPr>
                <w:rFonts w:ascii="Arial" w:hAnsi="Arial" w:cs="Arial"/>
                <w:bCs/>
                <w:color w:val="auto"/>
                <w:sz w:val="24"/>
                <w:highlight w:val="none"/>
              </w:rPr>
              <w:t>远程服务，包括对设备运行参数进行监测和分析，以及相应故障的远程处理</w:t>
            </w:r>
          </w:p>
          <w:p w14:paraId="25450C08">
            <w:pPr>
              <w:rPr>
                <w:rFonts w:ascii="Arial" w:hAnsi="Arial" w:cs="Arial"/>
                <w:bCs/>
                <w:color w:val="auto"/>
                <w:sz w:val="24"/>
                <w:highlight w:val="none"/>
              </w:rPr>
            </w:pPr>
            <w:r>
              <w:rPr>
                <w:rFonts w:ascii="Arial" w:hAnsi="Arial" w:cs="Arial"/>
                <w:bCs/>
                <w:color w:val="auto"/>
                <w:sz w:val="24"/>
                <w:highlight w:val="none"/>
              </w:rPr>
              <w:t>2.1.2</w:t>
            </w:r>
            <w:r>
              <w:rPr>
                <w:rFonts w:ascii="Arial" w:hAnsi="Arial" w:cs="Arial"/>
                <w:bCs/>
                <w:color w:val="auto"/>
                <w:sz w:val="24"/>
                <w:highlight w:val="none"/>
              </w:rPr>
              <w:tab/>
            </w:r>
            <w:r>
              <w:rPr>
                <w:rFonts w:ascii="Arial" w:hAnsi="Arial" w:cs="Arial"/>
                <w:bCs/>
                <w:color w:val="auto"/>
                <w:sz w:val="24"/>
                <w:highlight w:val="none"/>
              </w:rPr>
              <w:t>现场服务，包括现场的故障分析、判断和处理以及设备保养等</w:t>
            </w:r>
          </w:p>
          <w:p w14:paraId="33D4E7C1">
            <w:pPr>
              <w:rPr>
                <w:rFonts w:ascii="Arial" w:hAnsi="Arial" w:cs="Arial"/>
                <w:bCs/>
                <w:color w:val="auto"/>
                <w:sz w:val="24"/>
                <w:highlight w:val="none"/>
              </w:rPr>
            </w:pPr>
            <w:r>
              <w:rPr>
                <w:rFonts w:ascii="Arial" w:hAnsi="Arial" w:cs="Arial"/>
                <w:bCs/>
                <w:color w:val="auto"/>
                <w:sz w:val="24"/>
                <w:highlight w:val="none"/>
              </w:rPr>
              <w:t>2.1.3</w:t>
            </w:r>
            <w:r>
              <w:rPr>
                <w:rFonts w:ascii="Arial" w:hAnsi="Arial" w:cs="Arial"/>
                <w:bCs/>
                <w:color w:val="auto"/>
                <w:sz w:val="24"/>
                <w:highlight w:val="none"/>
              </w:rPr>
              <w:tab/>
            </w:r>
            <w:r>
              <w:rPr>
                <w:rFonts w:ascii="Arial" w:hAnsi="Arial" w:cs="Arial"/>
                <w:bCs/>
                <w:color w:val="auto"/>
                <w:sz w:val="24"/>
                <w:highlight w:val="none"/>
              </w:rPr>
              <w:t>具备现场工程师、远程工程师、技术专家、临床专家、研发工程师的服务支持体系</w:t>
            </w:r>
          </w:p>
          <w:p w14:paraId="76F4A2AC">
            <w:pPr>
              <w:rPr>
                <w:rFonts w:ascii="Arial" w:hAnsi="Arial" w:cs="Arial"/>
                <w:bCs/>
                <w:color w:val="auto"/>
                <w:sz w:val="24"/>
                <w:highlight w:val="none"/>
              </w:rPr>
            </w:pPr>
            <w:r>
              <w:rPr>
                <w:rFonts w:ascii="Arial" w:hAnsi="Arial" w:cs="Arial"/>
                <w:bCs/>
                <w:color w:val="auto"/>
                <w:sz w:val="24"/>
                <w:highlight w:val="none"/>
              </w:rPr>
              <w:t>2.1.4</w:t>
            </w:r>
            <w:r>
              <w:rPr>
                <w:rFonts w:ascii="Arial" w:hAnsi="Arial" w:cs="Arial"/>
                <w:bCs/>
                <w:color w:val="auto"/>
                <w:sz w:val="24"/>
                <w:highlight w:val="none"/>
              </w:rPr>
              <w:tab/>
            </w:r>
            <w:r>
              <w:rPr>
                <w:rFonts w:ascii="Arial" w:hAnsi="Arial" w:cs="Arial"/>
                <w:bCs/>
                <w:color w:val="auto"/>
                <w:sz w:val="24"/>
                <w:highlight w:val="none"/>
              </w:rPr>
              <w:t>具备专业诊断程序，可以及时准确诊断设备故障</w:t>
            </w:r>
          </w:p>
          <w:p w14:paraId="5B1D723F">
            <w:pPr>
              <w:rPr>
                <w:rFonts w:ascii="Arial" w:hAnsi="Arial" w:cs="Arial"/>
                <w:bCs/>
                <w:color w:val="auto"/>
                <w:sz w:val="24"/>
                <w:highlight w:val="none"/>
              </w:rPr>
            </w:pPr>
            <w:r>
              <w:rPr>
                <w:rFonts w:ascii="Arial" w:hAnsi="Arial" w:cs="Arial"/>
                <w:bCs/>
                <w:color w:val="auto"/>
                <w:sz w:val="24"/>
                <w:highlight w:val="none"/>
              </w:rPr>
              <w:t>2.1.5</w:t>
            </w:r>
            <w:r>
              <w:rPr>
                <w:rFonts w:ascii="Arial" w:hAnsi="Arial" w:cs="Arial"/>
                <w:bCs/>
                <w:color w:val="auto"/>
                <w:sz w:val="24"/>
                <w:highlight w:val="none"/>
              </w:rPr>
              <w:tab/>
            </w:r>
            <w:r>
              <w:rPr>
                <w:rFonts w:ascii="Arial" w:hAnsi="Arial" w:cs="Arial"/>
                <w:bCs/>
                <w:color w:val="auto"/>
                <w:sz w:val="24"/>
                <w:highlight w:val="none"/>
              </w:rPr>
              <w:t>具备专业诊断工具，可以及时准确诊断设备故障，主要包括CT剂量测试仪、CatPhan600模体、水模和QA模、5269092电压测试模体、5322426高压检测工具和5720762排气加油工具，提供照片</w:t>
            </w:r>
          </w:p>
          <w:p w14:paraId="68D4B357">
            <w:pPr>
              <w:rPr>
                <w:rFonts w:ascii="Arial" w:hAnsi="Arial" w:cs="Arial"/>
                <w:bCs/>
                <w:color w:val="auto"/>
                <w:sz w:val="24"/>
                <w:highlight w:val="none"/>
              </w:rPr>
            </w:pPr>
            <w:r>
              <w:rPr>
                <w:rFonts w:ascii="Arial" w:hAnsi="Arial" w:cs="Arial"/>
                <w:bCs/>
                <w:color w:val="auto"/>
                <w:sz w:val="24"/>
                <w:highlight w:val="none"/>
              </w:rPr>
              <w:t>2.2</w:t>
            </w:r>
            <w:r>
              <w:rPr>
                <w:rFonts w:ascii="Arial" w:hAnsi="Arial" w:cs="Arial"/>
                <w:bCs/>
                <w:color w:val="auto"/>
                <w:sz w:val="24"/>
                <w:highlight w:val="none"/>
              </w:rPr>
              <w:tab/>
            </w:r>
            <w:r>
              <w:rPr>
                <w:rFonts w:ascii="Arial" w:hAnsi="Arial" w:cs="Arial"/>
                <w:bCs/>
                <w:color w:val="auto"/>
                <w:sz w:val="24"/>
                <w:highlight w:val="none"/>
              </w:rPr>
              <w:t>每年不少于四次的设备现场保养服务并提供报告，年度报告需包括如下服务</w:t>
            </w:r>
          </w:p>
          <w:p w14:paraId="575645D6">
            <w:pPr>
              <w:rPr>
                <w:rFonts w:ascii="Arial" w:hAnsi="Arial" w:cs="Arial"/>
                <w:bCs/>
                <w:color w:val="auto"/>
                <w:sz w:val="24"/>
                <w:highlight w:val="none"/>
              </w:rPr>
            </w:pPr>
            <w:r>
              <w:rPr>
                <w:rFonts w:ascii="Arial" w:hAnsi="Arial" w:cs="Arial"/>
                <w:bCs/>
                <w:color w:val="auto"/>
                <w:sz w:val="24"/>
                <w:highlight w:val="none"/>
              </w:rPr>
              <w:t>2.2.1</w:t>
            </w:r>
            <w:r>
              <w:rPr>
                <w:rFonts w:ascii="Arial" w:hAnsi="Arial" w:cs="Arial"/>
                <w:bCs/>
                <w:color w:val="auto"/>
                <w:sz w:val="24"/>
                <w:highlight w:val="none"/>
              </w:rPr>
              <w:tab/>
            </w:r>
            <w:r>
              <w:rPr>
                <w:rFonts w:ascii="Arial" w:hAnsi="Arial" w:cs="Arial"/>
                <w:bCs/>
                <w:color w:val="auto"/>
                <w:sz w:val="24"/>
                <w:highlight w:val="none"/>
              </w:rPr>
              <w:t>安全运行相关项目检测、校准和修复，保证设备和病患安全</w:t>
            </w:r>
          </w:p>
          <w:p w14:paraId="0887E5DB">
            <w:pPr>
              <w:rPr>
                <w:rFonts w:ascii="Arial" w:hAnsi="Arial" w:cs="Arial"/>
                <w:bCs/>
                <w:color w:val="auto"/>
                <w:sz w:val="24"/>
                <w:highlight w:val="none"/>
              </w:rPr>
            </w:pPr>
            <w:r>
              <w:rPr>
                <w:rFonts w:ascii="Arial" w:hAnsi="Arial" w:cs="Arial"/>
                <w:bCs/>
                <w:color w:val="auto"/>
                <w:sz w:val="24"/>
                <w:highlight w:val="none"/>
              </w:rPr>
              <w:t>2.2.1.1</w:t>
            </w:r>
            <w:r>
              <w:rPr>
                <w:rFonts w:ascii="Arial" w:hAnsi="Arial" w:cs="Arial"/>
                <w:bCs/>
                <w:color w:val="auto"/>
                <w:sz w:val="24"/>
                <w:highlight w:val="none"/>
              </w:rPr>
              <w:tab/>
            </w:r>
            <w:r>
              <w:rPr>
                <w:rFonts w:ascii="Arial" w:hAnsi="Arial" w:cs="Arial"/>
                <w:bCs/>
                <w:color w:val="auto"/>
                <w:sz w:val="24"/>
                <w:highlight w:val="none"/>
              </w:rPr>
              <w:t xml:space="preserve">电气环境监测 </w:t>
            </w:r>
          </w:p>
          <w:p w14:paraId="69937FE0">
            <w:pPr>
              <w:rPr>
                <w:rFonts w:ascii="Arial" w:hAnsi="Arial" w:cs="Arial"/>
                <w:bCs/>
                <w:color w:val="auto"/>
                <w:sz w:val="24"/>
                <w:highlight w:val="none"/>
              </w:rPr>
            </w:pPr>
            <w:r>
              <w:rPr>
                <w:rFonts w:ascii="Arial" w:hAnsi="Arial" w:cs="Arial"/>
                <w:bCs/>
                <w:color w:val="auto"/>
                <w:sz w:val="24"/>
                <w:highlight w:val="none"/>
              </w:rPr>
              <w:t>2.2.1.2</w:t>
            </w:r>
            <w:r>
              <w:rPr>
                <w:rFonts w:ascii="Arial" w:hAnsi="Arial" w:cs="Arial"/>
                <w:bCs/>
                <w:color w:val="auto"/>
                <w:sz w:val="24"/>
                <w:highlight w:val="none"/>
              </w:rPr>
              <w:tab/>
            </w:r>
            <w:r>
              <w:rPr>
                <w:rFonts w:ascii="Arial" w:hAnsi="Arial" w:cs="Arial"/>
                <w:bCs/>
                <w:color w:val="auto"/>
                <w:sz w:val="24"/>
                <w:highlight w:val="none"/>
              </w:rPr>
              <w:t xml:space="preserve">测试扫描架指示灯和紧急制动按钮 </w:t>
            </w:r>
          </w:p>
          <w:p w14:paraId="4BC4BCB9">
            <w:pPr>
              <w:rPr>
                <w:rFonts w:ascii="Arial" w:hAnsi="Arial" w:cs="Arial"/>
                <w:bCs/>
                <w:color w:val="auto"/>
                <w:sz w:val="24"/>
                <w:highlight w:val="none"/>
              </w:rPr>
            </w:pPr>
            <w:r>
              <w:rPr>
                <w:rFonts w:ascii="Arial" w:hAnsi="Arial" w:cs="Arial"/>
                <w:bCs/>
                <w:color w:val="auto"/>
                <w:sz w:val="24"/>
                <w:highlight w:val="none"/>
              </w:rPr>
              <w:t>2.2.1.3</w:t>
            </w:r>
            <w:r>
              <w:rPr>
                <w:rFonts w:ascii="Arial" w:hAnsi="Arial" w:cs="Arial"/>
                <w:bCs/>
                <w:color w:val="auto"/>
                <w:sz w:val="24"/>
                <w:highlight w:val="none"/>
              </w:rPr>
              <w:tab/>
            </w:r>
            <w:r>
              <w:rPr>
                <w:rFonts w:ascii="Arial" w:hAnsi="Arial" w:cs="Arial"/>
                <w:bCs/>
                <w:color w:val="auto"/>
                <w:sz w:val="24"/>
                <w:highlight w:val="none"/>
              </w:rPr>
              <w:t>测试系统急停功能</w:t>
            </w:r>
          </w:p>
          <w:p w14:paraId="0264E018">
            <w:pPr>
              <w:rPr>
                <w:rFonts w:ascii="Arial" w:hAnsi="Arial" w:cs="Arial"/>
                <w:bCs/>
                <w:color w:val="auto"/>
                <w:sz w:val="24"/>
                <w:highlight w:val="none"/>
              </w:rPr>
            </w:pPr>
            <w:r>
              <w:rPr>
                <w:rFonts w:ascii="Arial" w:hAnsi="Arial" w:cs="Arial"/>
                <w:bCs/>
                <w:color w:val="auto"/>
                <w:sz w:val="24"/>
                <w:highlight w:val="none"/>
              </w:rPr>
              <w:t>2.2.1.4</w:t>
            </w:r>
            <w:r>
              <w:rPr>
                <w:rFonts w:ascii="Arial" w:hAnsi="Arial" w:cs="Arial"/>
                <w:bCs/>
                <w:color w:val="auto"/>
                <w:sz w:val="24"/>
                <w:highlight w:val="none"/>
              </w:rPr>
              <w:tab/>
            </w:r>
            <w:r>
              <w:rPr>
                <w:rFonts w:ascii="Arial" w:hAnsi="Arial" w:cs="Arial"/>
                <w:bCs/>
                <w:color w:val="auto"/>
                <w:sz w:val="24"/>
                <w:highlight w:val="none"/>
              </w:rPr>
              <w:t>旋转部分部件和电缆的紧固检查测试</w:t>
            </w:r>
          </w:p>
          <w:p w14:paraId="79FD3AF8">
            <w:pPr>
              <w:rPr>
                <w:rFonts w:ascii="Arial" w:hAnsi="Arial" w:cs="Arial"/>
                <w:bCs/>
                <w:color w:val="auto"/>
                <w:sz w:val="24"/>
                <w:highlight w:val="none"/>
              </w:rPr>
            </w:pPr>
            <w:r>
              <w:rPr>
                <w:rFonts w:ascii="Arial" w:hAnsi="Arial" w:cs="Arial"/>
                <w:bCs/>
                <w:color w:val="auto"/>
                <w:sz w:val="24"/>
                <w:highlight w:val="none"/>
              </w:rPr>
              <w:t>2.2.1.5</w:t>
            </w:r>
            <w:r>
              <w:rPr>
                <w:rFonts w:ascii="Arial" w:hAnsi="Arial" w:cs="Arial"/>
                <w:bCs/>
                <w:color w:val="auto"/>
                <w:sz w:val="24"/>
                <w:highlight w:val="none"/>
              </w:rPr>
              <w:tab/>
            </w:r>
            <w:r>
              <w:rPr>
                <w:rFonts w:ascii="Arial" w:hAnsi="Arial" w:cs="Arial"/>
                <w:bCs/>
                <w:color w:val="auto"/>
                <w:sz w:val="24"/>
                <w:highlight w:val="none"/>
              </w:rPr>
              <w:t>运行环境和辐射警示检查</w:t>
            </w:r>
          </w:p>
          <w:p w14:paraId="5ADE86ED">
            <w:pPr>
              <w:rPr>
                <w:rFonts w:ascii="Arial" w:hAnsi="Arial" w:cs="Arial"/>
                <w:bCs/>
                <w:color w:val="auto"/>
                <w:sz w:val="24"/>
                <w:highlight w:val="none"/>
              </w:rPr>
            </w:pPr>
            <w:r>
              <w:rPr>
                <w:rFonts w:ascii="Arial" w:hAnsi="Arial" w:cs="Arial"/>
                <w:bCs/>
                <w:color w:val="auto"/>
                <w:sz w:val="24"/>
                <w:highlight w:val="none"/>
              </w:rPr>
              <w:t>2.2.1.6</w:t>
            </w:r>
            <w:r>
              <w:rPr>
                <w:rFonts w:ascii="Arial" w:hAnsi="Arial" w:cs="Arial"/>
                <w:bCs/>
                <w:color w:val="auto"/>
                <w:sz w:val="24"/>
                <w:highlight w:val="none"/>
              </w:rPr>
              <w:tab/>
            </w:r>
            <w:r>
              <w:rPr>
                <w:rFonts w:ascii="Arial" w:hAnsi="Arial" w:cs="Arial"/>
                <w:bCs/>
                <w:color w:val="auto"/>
                <w:sz w:val="24"/>
                <w:highlight w:val="none"/>
              </w:rPr>
              <w:t xml:space="preserve">备份系统数据 </w:t>
            </w:r>
          </w:p>
          <w:p w14:paraId="58F8E8AE">
            <w:pPr>
              <w:rPr>
                <w:rFonts w:ascii="Arial" w:hAnsi="Arial" w:cs="Arial"/>
                <w:bCs/>
                <w:color w:val="auto"/>
                <w:sz w:val="24"/>
                <w:highlight w:val="none"/>
              </w:rPr>
            </w:pPr>
            <w:r>
              <w:rPr>
                <w:rFonts w:ascii="Arial" w:hAnsi="Arial" w:cs="Arial"/>
                <w:bCs/>
                <w:color w:val="auto"/>
                <w:sz w:val="24"/>
                <w:highlight w:val="none"/>
              </w:rPr>
              <w:t>2.2.2</w:t>
            </w:r>
            <w:r>
              <w:rPr>
                <w:rFonts w:ascii="Arial" w:hAnsi="Arial" w:cs="Arial"/>
                <w:bCs/>
                <w:color w:val="auto"/>
                <w:sz w:val="24"/>
                <w:highlight w:val="none"/>
              </w:rPr>
              <w:tab/>
            </w:r>
            <w:r>
              <w:rPr>
                <w:rFonts w:ascii="Arial" w:hAnsi="Arial" w:cs="Arial"/>
                <w:bCs/>
                <w:color w:val="auto"/>
                <w:sz w:val="24"/>
                <w:highlight w:val="none"/>
              </w:rPr>
              <w:t>定位精度相关项目检测和校准，保证扫描精度</w:t>
            </w:r>
          </w:p>
          <w:p w14:paraId="0BEEEAF4">
            <w:pPr>
              <w:rPr>
                <w:rFonts w:ascii="Arial" w:hAnsi="Arial" w:cs="Arial"/>
                <w:bCs/>
                <w:color w:val="auto"/>
                <w:sz w:val="24"/>
                <w:highlight w:val="none"/>
              </w:rPr>
            </w:pPr>
            <w:r>
              <w:rPr>
                <w:rFonts w:ascii="Arial" w:hAnsi="Arial" w:cs="Arial"/>
                <w:bCs/>
                <w:color w:val="auto"/>
                <w:sz w:val="24"/>
                <w:highlight w:val="none"/>
              </w:rPr>
              <w:t>2.2.2.1</w:t>
            </w:r>
            <w:r>
              <w:rPr>
                <w:rFonts w:ascii="Arial" w:hAnsi="Arial" w:cs="Arial"/>
                <w:bCs/>
                <w:color w:val="auto"/>
                <w:sz w:val="24"/>
                <w:highlight w:val="none"/>
              </w:rPr>
              <w:tab/>
            </w:r>
            <w:r>
              <w:rPr>
                <w:rFonts w:ascii="Arial" w:hAnsi="Arial" w:cs="Arial"/>
                <w:bCs/>
                <w:color w:val="auto"/>
                <w:sz w:val="24"/>
                <w:highlight w:val="none"/>
              </w:rPr>
              <w:t xml:space="preserve">定位灯位置检查 </w:t>
            </w:r>
          </w:p>
          <w:p w14:paraId="27729D2F">
            <w:pPr>
              <w:rPr>
                <w:rFonts w:ascii="Arial" w:hAnsi="Arial" w:cs="Arial"/>
                <w:bCs/>
                <w:color w:val="auto"/>
                <w:sz w:val="24"/>
                <w:highlight w:val="none"/>
              </w:rPr>
            </w:pPr>
            <w:r>
              <w:rPr>
                <w:rFonts w:ascii="Arial" w:hAnsi="Arial" w:cs="Arial"/>
                <w:bCs/>
                <w:color w:val="auto"/>
                <w:sz w:val="24"/>
                <w:highlight w:val="none"/>
              </w:rPr>
              <w:t>2.2.2.2</w:t>
            </w:r>
            <w:r>
              <w:rPr>
                <w:rFonts w:ascii="Arial" w:hAnsi="Arial" w:cs="Arial"/>
                <w:bCs/>
                <w:color w:val="auto"/>
                <w:sz w:val="24"/>
                <w:highlight w:val="none"/>
              </w:rPr>
              <w:tab/>
            </w:r>
            <w:r>
              <w:rPr>
                <w:rFonts w:ascii="Arial" w:hAnsi="Arial" w:cs="Arial"/>
                <w:bCs/>
                <w:color w:val="auto"/>
                <w:sz w:val="24"/>
                <w:highlight w:val="none"/>
              </w:rPr>
              <w:t>机架旋转编码器状态检查</w:t>
            </w:r>
          </w:p>
          <w:p w14:paraId="2FD3B253">
            <w:pPr>
              <w:rPr>
                <w:rFonts w:ascii="Arial" w:hAnsi="Arial" w:cs="Arial"/>
                <w:bCs/>
                <w:color w:val="auto"/>
                <w:sz w:val="24"/>
                <w:highlight w:val="none"/>
              </w:rPr>
            </w:pPr>
            <w:r>
              <w:rPr>
                <w:rFonts w:ascii="Arial" w:hAnsi="Arial" w:cs="Arial"/>
                <w:bCs/>
                <w:color w:val="auto"/>
                <w:sz w:val="24"/>
                <w:highlight w:val="none"/>
              </w:rPr>
              <w:t>2.2.2.3</w:t>
            </w:r>
            <w:r>
              <w:rPr>
                <w:rFonts w:ascii="Arial" w:hAnsi="Arial" w:cs="Arial"/>
                <w:bCs/>
                <w:color w:val="auto"/>
                <w:sz w:val="24"/>
                <w:highlight w:val="none"/>
              </w:rPr>
              <w:tab/>
            </w:r>
            <w:r>
              <w:rPr>
                <w:rFonts w:ascii="Arial" w:hAnsi="Arial" w:cs="Arial"/>
                <w:bCs/>
                <w:color w:val="auto"/>
                <w:sz w:val="24"/>
                <w:highlight w:val="none"/>
              </w:rPr>
              <w:t>机架主轴承和床运动轨道的检查和润滑</w:t>
            </w:r>
          </w:p>
          <w:p w14:paraId="4E00F68E">
            <w:pPr>
              <w:rPr>
                <w:rFonts w:ascii="Arial" w:hAnsi="Arial" w:cs="Arial"/>
                <w:bCs/>
                <w:color w:val="auto"/>
                <w:sz w:val="24"/>
                <w:highlight w:val="none"/>
              </w:rPr>
            </w:pPr>
            <w:r>
              <w:rPr>
                <w:rFonts w:ascii="Arial" w:hAnsi="Arial" w:cs="Arial"/>
                <w:bCs/>
                <w:color w:val="auto"/>
                <w:sz w:val="24"/>
                <w:highlight w:val="none"/>
              </w:rPr>
              <w:t>2.2.2.4</w:t>
            </w:r>
            <w:r>
              <w:rPr>
                <w:rFonts w:ascii="Arial" w:hAnsi="Arial" w:cs="Arial"/>
                <w:bCs/>
                <w:color w:val="auto"/>
                <w:sz w:val="24"/>
                <w:highlight w:val="none"/>
              </w:rPr>
              <w:tab/>
            </w:r>
            <w:r>
              <w:rPr>
                <w:rFonts w:ascii="Arial" w:hAnsi="Arial" w:cs="Arial"/>
                <w:bCs/>
                <w:color w:val="auto"/>
                <w:sz w:val="24"/>
                <w:highlight w:val="none"/>
              </w:rPr>
              <w:t>扫描床移动、升降和防挤压开关检查</w:t>
            </w:r>
          </w:p>
          <w:p w14:paraId="22BBAFCA">
            <w:pPr>
              <w:rPr>
                <w:rFonts w:ascii="Arial" w:hAnsi="Arial" w:cs="Arial"/>
                <w:bCs/>
                <w:color w:val="auto"/>
                <w:sz w:val="24"/>
                <w:highlight w:val="none"/>
              </w:rPr>
            </w:pPr>
            <w:r>
              <w:rPr>
                <w:rFonts w:ascii="Arial" w:hAnsi="Arial" w:cs="Arial"/>
                <w:bCs/>
                <w:color w:val="auto"/>
                <w:sz w:val="24"/>
                <w:highlight w:val="none"/>
              </w:rPr>
              <w:t>2.2.2.5</w:t>
            </w:r>
            <w:r>
              <w:rPr>
                <w:rFonts w:ascii="Arial" w:hAnsi="Arial" w:cs="Arial"/>
                <w:bCs/>
                <w:color w:val="auto"/>
                <w:sz w:val="24"/>
                <w:highlight w:val="none"/>
              </w:rPr>
              <w:tab/>
            </w:r>
            <w:r>
              <w:rPr>
                <w:rFonts w:ascii="Arial" w:hAnsi="Arial" w:cs="Arial"/>
                <w:bCs/>
                <w:color w:val="auto"/>
                <w:sz w:val="24"/>
                <w:highlight w:val="none"/>
              </w:rPr>
              <w:t>检查准直器窗口</w:t>
            </w:r>
          </w:p>
          <w:p w14:paraId="2942FAEF">
            <w:pPr>
              <w:rPr>
                <w:rFonts w:ascii="Arial" w:hAnsi="Arial" w:cs="Arial"/>
                <w:bCs/>
                <w:color w:val="auto"/>
                <w:sz w:val="24"/>
                <w:highlight w:val="none"/>
              </w:rPr>
            </w:pPr>
            <w:r>
              <w:rPr>
                <w:rFonts w:ascii="Arial" w:hAnsi="Arial" w:cs="Arial"/>
                <w:bCs/>
                <w:color w:val="auto"/>
                <w:sz w:val="24"/>
                <w:highlight w:val="none"/>
              </w:rPr>
              <w:t>2.2.2.6</w:t>
            </w:r>
            <w:r>
              <w:rPr>
                <w:rFonts w:ascii="Arial" w:hAnsi="Arial" w:cs="Arial"/>
                <w:bCs/>
                <w:color w:val="auto"/>
                <w:sz w:val="24"/>
                <w:highlight w:val="none"/>
              </w:rPr>
              <w:tab/>
            </w:r>
            <w:r>
              <w:rPr>
                <w:rFonts w:ascii="Arial" w:hAnsi="Arial" w:cs="Arial"/>
                <w:bCs/>
                <w:color w:val="auto"/>
                <w:sz w:val="24"/>
                <w:highlight w:val="none"/>
              </w:rPr>
              <w:t>检查球管散热系统和探测器恒温系统是否漏油和漏液</w:t>
            </w:r>
          </w:p>
          <w:p w14:paraId="2FE14235">
            <w:pPr>
              <w:rPr>
                <w:rFonts w:ascii="Arial" w:hAnsi="Arial" w:cs="Arial"/>
                <w:bCs/>
                <w:color w:val="auto"/>
                <w:sz w:val="24"/>
                <w:highlight w:val="none"/>
              </w:rPr>
            </w:pPr>
            <w:r>
              <w:rPr>
                <w:rFonts w:ascii="Arial" w:hAnsi="Arial" w:cs="Arial"/>
                <w:bCs/>
                <w:color w:val="auto"/>
                <w:sz w:val="24"/>
                <w:highlight w:val="none"/>
              </w:rPr>
              <w:t>2.2.3</w:t>
            </w:r>
            <w:r>
              <w:rPr>
                <w:rFonts w:ascii="Arial" w:hAnsi="Arial" w:cs="Arial"/>
                <w:bCs/>
                <w:color w:val="auto"/>
                <w:sz w:val="24"/>
                <w:highlight w:val="none"/>
              </w:rPr>
              <w:tab/>
            </w:r>
            <w:r>
              <w:rPr>
                <w:rFonts w:ascii="Arial" w:hAnsi="Arial" w:cs="Arial"/>
                <w:bCs/>
                <w:color w:val="auto"/>
                <w:sz w:val="24"/>
                <w:highlight w:val="none"/>
              </w:rPr>
              <w:t>辐射剂量相关项目检测和校准，避免额外辐射</w:t>
            </w:r>
          </w:p>
          <w:p w14:paraId="69F427A4">
            <w:pPr>
              <w:rPr>
                <w:rFonts w:ascii="Arial" w:hAnsi="Arial" w:cs="Arial"/>
                <w:bCs/>
                <w:color w:val="auto"/>
                <w:sz w:val="24"/>
                <w:highlight w:val="none"/>
              </w:rPr>
            </w:pPr>
            <w:r>
              <w:rPr>
                <w:rFonts w:ascii="Arial" w:hAnsi="Arial" w:cs="Arial"/>
                <w:bCs/>
                <w:color w:val="auto"/>
                <w:sz w:val="24"/>
                <w:highlight w:val="none"/>
              </w:rPr>
              <w:t>2.2.3.1</w:t>
            </w:r>
            <w:r>
              <w:rPr>
                <w:rFonts w:ascii="Arial" w:hAnsi="Arial" w:cs="Arial"/>
                <w:bCs/>
                <w:color w:val="auto"/>
                <w:sz w:val="24"/>
                <w:highlight w:val="none"/>
              </w:rPr>
              <w:tab/>
            </w:r>
            <w:r>
              <w:rPr>
                <w:rFonts w:ascii="Arial" w:hAnsi="Arial" w:cs="Arial"/>
                <w:bCs/>
                <w:color w:val="auto"/>
                <w:sz w:val="24"/>
                <w:highlight w:val="none"/>
              </w:rPr>
              <w:t>准直器走位精度检测和校准</w:t>
            </w:r>
          </w:p>
          <w:p w14:paraId="323043A1">
            <w:pPr>
              <w:rPr>
                <w:rFonts w:ascii="Arial" w:hAnsi="Arial" w:cs="Arial"/>
                <w:bCs/>
                <w:color w:val="auto"/>
                <w:sz w:val="24"/>
                <w:highlight w:val="none"/>
              </w:rPr>
            </w:pPr>
            <w:r>
              <w:rPr>
                <w:rFonts w:ascii="Arial" w:hAnsi="Arial" w:cs="Arial"/>
                <w:bCs/>
                <w:color w:val="auto"/>
                <w:sz w:val="24"/>
                <w:highlight w:val="none"/>
              </w:rPr>
              <w:t>2.2.3.2</w:t>
            </w:r>
            <w:r>
              <w:rPr>
                <w:rFonts w:ascii="Arial" w:hAnsi="Arial" w:cs="Arial"/>
                <w:bCs/>
                <w:color w:val="auto"/>
                <w:sz w:val="24"/>
                <w:highlight w:val="none"/>
              </w:rPr>
              <w:tab/>
            </w:r>
            <w:r>
              <w:rPr>
                <w:rFonts w:ascii="Arial" w:hAnsi="Arial" w:cs="Arial"/>
                <w:bCs/>
                <w:color w:val="auto"/>
                <w:sz w:val="24"/>
                <w:highlight w:val="none"/>
              </w:rPr>
              <w:t>探测器温度、温控系统、数据通道检测</w:t>
            </w:r>
          </w:p>
          <w:p w14:paraId="0A7A0E0E">
            <w:pPr>
              <w:rPr>
                <w:rFonts w:ascii="Arial" w:hAnsi="Arial" w:cs="Arial"/>
                <w:bCs/>
                <w:color w:val="auto"/>
                <w:sz w:val="24"/>
                <w:highlight w:val="none"/>
              </w:rPr>
            </w:pPr>
            <w:r>
              <w:rPr>
                <w:rFonts w:ascii="Arial" w:hAnsi="Arial" w:cs="Arial"/>
                <w:bCs/>
                <w:color w:val="auto"/>
                <w:sz w:val="24"/>
                <w:highlight w:val="none"/>
              </w:rPr>
              <w:t>2.2.3.3</w:t>
            </w:r>
            <w:r>
              <w:rPr>
                <w:rFonts w:ascii="Arial" w:hAnsi="Arial" w:cs="Arial"/>
                <w:bCs/>
                <w:color w:val="auto"/>
                <w:sz w:val="24"/>
                <w:highlight w:val="none"/>
              </w:rPr>
              <w:tab/>
            </w:r>
            <w:r>
              <w:rPr>
                <w:rFonts w:ascii="Arial" w:hAnsi="Arial" w:cs="Arial"/>
                <w:bCs/>
                <w:color w:val="auto"/>
                <w:sz w:val="24"/>
                <w:highlight w:val="none"/>
              </w:rPr>
              <w:t>球管灯丝检查</w:t>
            </w:r>
          </w:p>
          <w:p w14:paraId="458A85A1">
            <w:pPr>
              <w:rPr>
                <w:rFonts w:ascii="Arial" w:hAnsi="Arial" w:cs="Arial"/>
                <w:bCs/>
                <w:color w:val="auto"/>
                <w:sz w:val="24"/>
                <w:highlight w:val="none"/>
              </w:rPr>
            </w:pPr>
            <w:r>
              <w:rPr>
                <w:rFonts w:ascii="Arial" w:hAnsi="Arial" w:cs="Arial"/>
                <w:bCs/>
                <w:color w:val="auto"/>
                <w:sz w:val="24"/>
                <w:highlight w:val="none"/>
              </w:rPr>
              <w:t>2.2.3.4</w:t>
            </w:r>
            <w:r>
              <w:rPr>
                <w:rFonts w:ascii="Arial" w:hAnsi="Arial" w:cs="Arial"/>
                <w:bCs/>
                <w:color w:val="auto"/>
                <w:sz w:val="24"/>
                <w:highlight w:val="none"/>
              </w:rPr>
              <w:tab/>
            </w:r>
            <w:r>
              <w:rPr>
                <w:rFonts w:ascii="Arial" w:hAnsi="Arial" w:cs="Arial"/>
                <w:bCs/>
                <w:color w:val="auto"/>
                <w:sz w:val="24"/>
                <w:highlight w:val="none"/>
              </w:rPr>
              <w:t>管电流的反馈检测和确认</w:t>
            </w:r>
          </w:p>
          <w:p w14:paraId="2A78A1D0">
            <w:pPr>
              <w:rPr>
                <w:rFonts w:ascii="Arial" w:hAnsi="Arial" w:cs="Arial"/>
                <w:bCs/>
                <w:color w:val="auto"/>
                <w:sz w:val="24"/>
                <w:highlight w:val="none"/>
              </w:rPr>
            </w:pPr>
            <w:r>
              <w:rPr>
                <w:rFonts w:ascii="Arial" w:hAnsi="Arial" w:cs="Arial"/>
                <w:bCs/>
                <w:color w:val="auto"/>
                <w:sz w:val="24"/>
                <w:highlight w:val="none"/>
              </w:rPr>
              <w:t>2.2.3.5</w:t>
            </w:r>
            <w:r>
              <w:rPr>
                <w:rFonts w:ascii="Arial" w:hAnsi="Arial" w:cs="Arial"/>
                <w:bCs/>
                <w:color w:val="auto"/>
                <w:sz w:val="24"/>
                <w:highlight w:val="none"/>
              </w:rPr>
              <w:tab/>
            </w:r>
            <w:r>
              <w:rPr>
                <w:rFonts w:ascii="Arial" w:hAnsi="Arial" w:cs="Arial"/>
                <w:bCs/>
                <w:color w:val="auto"/>
                <w:sz w:val="24"/>
                <w:highlight w:val="none"/>
              </w:rPr>
              <w:t>管电压的准确性检测和确认</w:t>
            </w:r>
          </w:p>
          <w:p w14:paraId="21D0BD05">
            <w:pPr>
              <w:rPr>
                <w:rFonts w:ascii="Arial" w:hAnsi="Arial" w:cs="Arial"/>
                <w:bCs/>
                <w:color w:val="auto"/>
                <w:sz w:val="24"/>
                <w:highlight w:val="none"/>
              </w:rPr>
            </w:pPr>
            <w:r>
              <w:rPr>
                <w:rFonts w:ascii="Arial" w:hAnsi="Arial" w:cs="Arial"/>
                <w:bCs/>
                <w:color w:val="auto"/>
                <w:sz w:val="24"/>
                <w:highlight w:val="none"/>
              </w:rPr>
              <w:t>2.2.3.6</w:t>
            </w:r>
            <w:r>
              <w:rPr>
                <w:rFonts w:ascii="Arial" w:hAnsi="Arial" w:cs="Arial"/>
                <w:bCs/>
                <w:color w:val="auto"/>
                <w:sz w:val="24"/>
                <w:highlight w:val="none"/>
              </w:rPr>
              <w:tab/>
            </w:r>
            <w:r>
              <w:rPr>
                <w:rFonts w:ascii="Arial" w:hAnsi="Arial" w:cs="Arial"/>
                <w:bCs/>
                <w:color w:val="auto"/>
                <w:sz w:val="24"/>
                <w:highlight w:val="none"/>
              </w:rPr>
              <w:t>曝光时间的精确度检测和确认</w:t>
            </w:r>
          </w:p>
          <w:p w14:paraId="6DED279C">
            <w:pPr>
              <w:rPr>
                <w:rFonts w:ascii="Arial" w:hAnsi="Arial" w:cs="Arial"/>
                <w:bCs/>
                <w:color w:val="auto"/>
                <w:sz w:val="24"/>
                <w:highlight w:val="none"/>
              </w:rPr>
            </w:pPr>
            <w:r>
              <w:rPr>
                <w:rFonts w:ascii="Arial" w:hAnsi="Arial" w:cs="Arial"/>
                <w:bCs/>
                <w:color w:val="auto"/>
                <w:sz w:val="24"/>
                <w:highlight w:val="none"/>
              </w:rPr>
              <w:t>2.2.3.7</w:t>
            </w:r>
            <w:r>
              <w:rPr>
                <w:rFonts w:ascii="Arial" w:hAnsi="Arial" w:cs="Arial"/>
                <w:bCs/>
                <w:color w:val="auto"/>
                <w:sz w:val="24"/>
                <w:highlight w:val="none"/>
              </w:rPr>
              <w:tab/>
            </w:r>
            <w:r>
              <w:rPr>
                <w:rFonts w:ascii="Arial" w:hAnsi="Arial" w:cs="Arial"/>
                <w:bCs/>
                <w:color w:val="auto"/>
                <w:sz w:val="24"/>
                <w:highlight w:val="none"/>
              </w:rPr>
              <w:t>焦点验证</w:t>
            </w:r>
          </w:p>
          <w:p w14:paraId="49A1D187">
            <w:pPr>
              <w:rPr>
                <w:rFonts w:ascii="Arial" w:hAnsi="Arial" w:cs="Arial"/>
                <w:bCs/>
                <w:color w:val="auto"/>
                <w:sz w:val="24"/>
                <w:highlight w:val="none"/>
              </w:rPr>
            </w:pPr>
            <w:r>
              <w:rPr>
                <w:rFonts w:ascii="Arial" w:hAnsi="Arial" w:cs="Arial"/>
                <w:bCs/>
                <w:color w:val="auto"/>
                <w:sz w:val="24"/>
                <w:highlight w:val="none"/>
              </w:rPr>
              <w:t>2.2.3.8</w:t>
            </w:r>
            <w:r>
              <w:rPr>
                <w:rFonts w:ascii="Arial" w:hAnsi="Arial" w:cs="Arial"/>
                <w:bCs/>
                <w:color w:val="auto"/>
                <w:sz w:val="24"/>
                <w:highlight w:val="none"/>
              </w:rPr>
              <w:tab/>
            </w:r>
            <w:r>
              <w:rPr>
                <w:rFonts w:ascii="Arial" w:hAnsi="Arial" w:cs="Arial"/>
                <w:bCs/>
                <w:color w:val="auto"/>
                <w:sz w:val="24"/>
                <w:highlight w:val="none"/>
              </w:rPr>
              <w:t>HHS扫描</w:t>
            </w:r>
          </w:p>
          <w:p w14:paraId="7EC5931D">
            <w:pPr>
              <w:rPr>
                <w:rFonts w:ascii="Arial" w:hAnsi="Arial" w:cs="Arial"/>
                <w:bCs/>
                <w:color w:val="auto"/>
                <w:sz w:val="24"/>
                <w:highlight w:val="none"/>
              </w:rPr>
            </w:pPr>
            <w:r>
              <w:rPr>
                <w:rFonts w:ascii="Arial" w:hAnsi="Arial" w:cs="Arial"/>
                <w:bCs/>
                <w:color w:val="auto"/>
                <w:sz w:val="24"/>
                <w:highlight w:val="none"/>
              </w:rPr>
              <w:t>2.2.3.9</w:t>
            </w:r>
            <w:r>
              <w:rPr>
                <w:rFonts w:ascii="Arial" w:hAnsi="Arial" w:cs="Arial"/>
                <w:bCs/>
                <w:color w:val="auto"/>
                <w:sz w:val="24"/>
                <w:highlight w:val="none"/>
              </w:rPr>
              <w:tab/>
            </w:r>
            <w:r>
              <w:rPr>
                <w:rFonts w:ascii="Arial" w:hAnsi="Arial" w:cs="Arial"/>
                <w:bCs/>
                <w:color w:val="auto"/>
                <w:sz w:val="24"/>
                <w:highlight w:val="none"/>
              </w:rPr>
              <w:t>mA测试点精度</w:t>
            </w:r>
          </w:p>
          <w:p w14:paraId="59DF35DB">
            <w:pPr>
              <w:rPr>
                <w:rFonts w:ascii="Arial" w:hAnsi="Arial" w:cs="Arial"/>
                <w:bCs/>
                <w:color w:val="auto"/>
                <w:sz w:val="24"/>
                <w:highlight w:val="none"/>
              </w:rPr>
            </w:pPr>
            <w:r>
              <w:rPr>
                <w:rFonts w:ascii="Arial" w:hAnsi="Arial" w:cs="Arial"/>
                <w:bCs/>
                <w:color w:val="auto"/>
                <w:sz w:val="24"/>
                <w:highlight w:val="none"/>
              </w:rPr>
              <w:t>2.2.3.10</w:t>
            </w:r>
            <w:r>
              <w:rPr>
                <w:rFonts w:ascii="Arial" w:hAnsi="Arial" w:cs="Arial"/>
                <w:bCs/>
                <w:color w:val="auto"/>
                <w:sz w:val="24"/>
                <w:highlight w:val="none"/>
              </w:rPr>
              <w:tab/>
            </w:r>
            <w:r>
              <w:rPr>
                <w:rFonts w:ascii="Arial" w:hAnsi="Arial" w:cs="Arial"/>
                <w:bCs/>
                <w:color w:val="auto"/>
                <w:sz w:val="24"/>
                <w:highlight w:val="none"/>
              </w:rPr>
              <w:t>kV测试点精度</w:t>
            </w:r>
          </w:p>
          <w:p w14:paraId="3F41F35C">
            <w:pPr>
              <w:rPr>
                <w:rFonts w:ascii="Arial" w:hAnsi="Arial" w:cs="Arial"/>
                <w:bCs/>
                <w:color w:val="auto"/>
                <w:sz w:val="24"/>
                <w:highlight w:val="none"/>
              </w:rPr>
            </w:pPr>
            <w:r>
              <w:rPr>
                <w:rFonts w:ascii="Arial" w:hAnsi="Arial" w:cs="Arial"/>
                <w:bCs/>
                <w:color w:val="auto"/>
                <w:sz w:val="24"/>
                <w:highlight w:val="none"/>
              </w:rPr>
              <w:t>2.2.3.11</w:t>
            </w:r>
            <w:r>
              <w:rPr>
                <w:rFonts w:ascii="Arial" w:hAnsi="Arial" w:cs="Arial"/>
                <w:bCs/>
                <w:color w:val="auto"/>
                <w:sz w:val="24"/>
                <w:highlight w:val="none"/>
              </w:rPr>
              <w:tab/>
            </w:r>
            <w:r>
              <w:rPr>
                <w:rFonts w:ascii="Arial" w:hAnsi="Arial" w:cs="Arial"/>
                <w:bCs/>
                <w:color w:val="auto"/>
                <w:sz w:val="24"/>
                <w:highlight w:val="none"/>
              </w:rPr>
              <w:t>HHS数据归档</w:t>
            </w:r>
          </w:p>
          <w:p w14:paraId="1B6F9C04">
            <w:pPr>
              <w:rPr>
                <w:rFonts w:ascii="Arial" w:hAnsi="Arial" w:cs="Arial"/>
                <w:bCs/>
                <w:color w:val="auto"/>
                <w:sz w:val="24"/>
                <w:highlight w:val="none"/>
              </w:rPr>
            </w:pPr>
            <w:r>
              <w:rPr>
                <w:rFonts w:ascii="Arial" w:hAnsi="Arial" w:cs="Arial"/>
                <w:bCs/>
                <w:color w:val="auto"/>
                <w:sz w:val="24"/>
                <w:highlight w:val="none"/>
              </w:rPr>
              <w:t>2.2.4</w:t>
            </w:r>
            <w:r>
              <w:rPr>
                <w:rFonts w:ascii="Arial" w:hAnsi="Arial" w:cs="Arial"/>
                <w:bCs/>
                <w:color w:val="auto"/>
                <w:sz w:val="24"/>
                <w:highlight w:val="none"/>
              </w:rPr>
              <w:tab/>
            </w:r>
            <w:r>
              <w:rPr>
                <w:rFonts w:ascii="Arial" w:hAnsi="Arial" w:cs="Arial"/>
                <w:bCs/>
                <w:color w:val="auto"/>
                <w:sz w:val="24"/>
                <w:highlight w:val="none"/>
              </w:rPr>
              <w:t>图像质量相关项目检测和校准，保证图像质量</w:t>
            </w:r>
          </w:p>
          <w:p w14:paraId="49584AB9">
            <w:pPr>
              <w:rPr>
                <w:rFonts w:ascii="Arial" w:hAnsi="Arial" w:cs="Arial"/>
                <w:bCs/>
                <w:color w:val="auto"/>
                <w:sz w:val="24"/>
                <w:highlight w:val="none"/>
              </w:rPr>
            </w:pPr>
            <w:r>
              <w:rPr>
                <w:rFonts w:ascii="Arial" w:hAnsi="Arial" w:cs="Arial"/>
                <w:bCs/>
                <w:color w:val="auto"/>
                <w:sz w:val="24"/>
                <w:highlight w:val="none"/>
              </w:rPr>
              <w:t>2.2.4.1</w:t>
            </w:r>
            <w:r>
              <w:rPr>
                <w:rFonts w:ascii="Arial" w:hAnsi="Arial" w:cs="Arial"/>
                <w:bCs/>
                <w:color w:val="auto"/>
                <w:sz w:val="24"/>
                <w:highlight w:val="none"/>
              </w:rPr>
              <w:tab/>
            </w:r>
            <w:r>
              <w:rPr>
                <w:rFonts w:ascii="Arial" w:hAnsi="Arial" w:cs="Arial"/>
                <w:bCs/>
                <w:color w:val="auto"/>
                <w:sz w:val="24"/>
                <w:highlight w:val="none"/>
              </w:rPr>
              <w:t>扫描窗口和准直器窗口的检查和校准</w:t>
            </w:r>
          </w:p>
          <w:p w14:paraId="7AA815BD">
            <w:pPr>
              <w:rPr>
                <w:rFonts w:ascii="Arial" w:hAnsi="Arial" w:cs="Arial"/>
                <w:bCs/>
                <w:color w:val="auto"/>
                <w:sz w:val="24"/>
                <w:highlight w:val="none"/>
              </w:rPr>
            </w:pPr>
            <w:r>
              <w:rPr>
                <w:rFonts w:ascii="Arial" w:hAnsi="Arial" w:cs="Arial"/>
                <w:bCs/>
                <w:color w:val="auto"/>
                <w:sz w:val="24"/>
                <w:highlight w:val="none"/>
              </w:rPr>
              <w:t>2.2.4.2</w:t>
            </w:r>
            <w:r>
              <w:rPr>
                <w:rFonts w:ascii="Arial" w:hAnsi="Arial" w:cs="Arial"/>
                <w:bCs/>
                <w:color w:val="auto"/>
                <w:sz w:val="24"/>
                <w:highlight w:val="none"/>
              </w:rPr>
              <w:tab/>
            </w:r>
            <w:r>
              <w:rPr>
                <w:rFonts w:ascii="Arial" w:hAnsi="Arial" w:cs="Arial"/>
                <w:bCs/>
                <w:color w:val="auto"/>
                <w:sz w:val="24"/>
                <w:highlight w:val="none"/>
              </w:rPr>
              <w:t>设备系统扫描测试，图像伪影检查和校准</w:t>
            </w:r>
          </w:p>
          <w:p w14:paraId="68F11E81">
            <w:pPr>
              <w:rPr>
                <w:rFonts w:ascii="Arial" w:hAnsi="Arial" w:cs="Arial"/>
                <w:bCs/>
                <w:color w:val="auto"/>
                <w:sz w:val="24"/>
                <w:highlight w:val="none"/>
              </w:rPr>
            </w:pPr>
            <w:r>
              <w:rPr>
                <w:rFonts w:ascii="Arial" w:hAnsi="Arial" w:cs="Arial"/>
                <w:bCs/>
                <w:color w:val="auto"/>
                <w:sz w:val="24"/>
                <w:highlight w:val="none"/>
              </w:rPr>
              <w:t>2.2.4.3</w:t>
            </w:r>
            <w:r>
              <w:rPr>
                <w:rFonts w:ascii="Arial" w:hAnsi="Arial" w:cs="Arial"/>
                <w:bCs/>
                <w:color w:val="auto"/>
                <w:sz w:val="24"/>
                <w:highlight w:val="none"/>
              </w:rPr>
              <w:tab/>
            </w:r>
            <w:r>
              <w:rPr>
                <w:rFonts w:ascii="Arial" w:hAnsi="Arial" w:cs="Arial"/>
                <w:bCs/>
                <w:color w:val="auto"/>
                <w:sz w:val="24"/>
                <w:highlight w:val="none"/>
              </w:rPr>
              <w:t>定位像/自动语音扫描测试和校准</w:t>
            </w:r>
          </w:p>
          <w:p w14:paraId="50AAF8D0">
            <w:pPr>
              <w:rPr>
                <w:rFonts w:ascii="Arial" w:hAnsi="Arial" w:cs="Arial"/>
                <w:bCs/>
                <w:color w:val="auto"/>
                <w:sz w:val="24"/>
                <w:highlight w:val="none"/>
              </w:rPr>
            </w:pPr>
            <w:r>
              <w:rPr>
                <w:rFonts w:ascii="Arial" w:hAnsi="Arial" w:cs="Arial"/>
                <w:bCs/>
                <w:color w:val="auto"/>
                <w:sz w:val="24"/>
                <w:highlight w:val="none"/>
              </w:rPr>
              <w:t>2.2.4.4</w:t>
            </w:r>
            <w:r>
              <w:rPr>
                <w:rFonts w:ascii="Arial" w:hAnsi="Arial" w:cs="Arial"/>
                <w:bCs/>
                <w:color w:val="auto"/>
                <w:sz w:val="24"/>
                <w:highlight w:val="none"/>
              </w:rPr>
              <w:tab/>
            </w:r>
            <w:r>
              <w:rPr>
                <w:rFonts w:ascii="Arial" w:hAnsi="Arial" w:cs="Arial"/>
                <w:bCs/>
                <w:color w:val="auto"/>
                <w:sz w:val="24"/>
                <w:highlight w:val="none"/>
              </w:rPr>
              <w:t>图像质量QA各指标的检测，专业模体校正</w:t>
            </w:r>
          </w:p>
          <w:p w14:paraId="71CE3B14">
            <w:pPr>
              <w:rPr>
                <w:rFonts w:ascii="Arial" w:hAnsi="Arial" w:cs="Arial"/>
                <w:bCs/>
                <w:color w:val="auto"/>
                <w:sz w:val="24"/>
                <w:highlight w:val="none"/>
              </w:rPr>
            </w:pPr>
            <w:r>
              <w:rPr>
                <w:rFonts w:ascii="Arial" w:hAnsi="Arial" w:cs="Arial"/>
                <w:bCs/>
                <w:color w:val="auto"/>
                <w:sz w:val="24"/>
                <w:highlight w:val="none"/>
              </w:rPr>
              <w:t>2.2.4.5</w:t>
            </w:r>
            <w:r>
              <w:rPr>
                <w:rFonts w:ascii="Arial" w:hAnsi="Arial" w:cs="Arial"/>
                <w:bCs/>
                <w:color w:val="auto"/>
                <w:sz w:val="24"/>
                <w:highlight w:val="none"/>
              </w:rPr>
              <w:tab/>
            </w:r>
            <w:r>
              <w:rPr>
                <w:rFonts w:ascii="Arial" w:hAnsi="Arial" w:cs="Arial"/>
                <w:bCs/>
                <w:color w:val="auto"/>
                <w:sz w:val="24"/>
                <w:highlight w:val="none"/>
              </w:rPr>
              <w:t>CT值准确性测试</w:t>
            </w:r>
          </w:p>
          <w:p w14:paraId="240A54BB">
            <w:pPr>
              <w:rPr>
                <w:rFonts w:ascii="Arial" w:hAnsi="Arial" w:cs="Arial"/>
                <w:bCs/>
                <w:color w:val="auto"/>
                <w:sz w:val="24"/>
                <w:highlight w:val="none"/>
              </w:rPr>
            </w:pPr>
            <w:r>
              <w:rPr>
                <w:rFonts w:ascii="Arial" w:hAnsi="Arial" w:cs="Arial"/>
                <w:bCs/>
                <w:color w:val="auto"/>
                <w:sz w:val="24"/>
                <w:highlight w:val="none"/>
              </w:rPr>
              <w:t>2.2.4.6</w:t>
            </w:r>
            <w:r>
              <w:rPr>
                <w:rFonts w:ascii="Arial" w:hAnsi="Arial" w:cs="Arial"/>
                <w:bCs/>
                <w:color w:val="auto"/>
                <w:sz w:val="24"/>
                <w:highlight w:val="none"/>
              </w:rPr>
              <w:tab/>
            </w:r>
            <w:r>
              <w:rPr>
                <w:rFonts w:ascii="Arial" w:hAnsi="Arial" w:cs="Arial"/>
                <w:bCs/>
                <w:color w:val="auto"/>
                <w:sz w:val="24"/>
                <w:highlight w:val="none"/>
              </w:rPr>
              <w:t>CT值均匀性测试</w:t>
            </w:r>
          </w:p>
          <w:p w14:paraId="27674939">
            <w:pPr>
              <w:rPr>
                <w:rFonts w:ascii="Arial" w:hAnsi="Arial" w:cs="Arial"/>
                <w:bCs/>
                <w:color w:val="auto"/>
                <w:sz w:val="24"/>
                <w:highlight w:val="none"/>
              </w:rPr>
            </w:pPr>
            <w:r>
              <w:rPr>
                <w:rFonts w:ascii="Arial" w:hAnsi="Arial" w:cs="Arial"/>
                <w:bCs/>
                <w:color w:val="auto"/>
                <w:sz w:val="24"/>
                <w:highlight w:val="none"/>
              </w:rPr>
              <w:t>2.2.4.7</w:t>
            </w:r>
            <w:r>
              <w:rPr>
                <w:rFonts w:ascii="Arial" w:hAnsi="Arial" w:cs="Arial"/>
                <w:bCs/>
                <w:color w:val="auto"/>
                <w:sz w:val="24"/>
                <w:highlight w:val="none"/>
              </w:rPr>
              <w:tab/>
            </w:r>
            <w:r>
              <w:rPr>
                <w:rFonts w:ascii="Arial" w:hAnsi="Arial" w:cs="Arial"/>
                <w:bCs/>
                <w:color w:val="auto"/>
                <w:sz w:val="24"/>
                <w:highlight w:val="none"/>
              </w:rPr>
              <w:t>图像噪声测试</w:t>
            </w:r>
          </w:p>
          <w:p w14:paraId="27E5B7E0">
            <w:pPr>
              <w:rPr>
                <w:rFonts w:ascii="Arial" w:hAnsi="Arial" w:cs="Arial"/>
                <w:bCs/>
                <w:color w:val="auto"/>
                <w:sz w:val="24"/>
                <w:highlight w:val="none"/>
              </w:rPr>
            </w:pPr>
            <w:r>
              <w:rPr>
                <w:rFonts w:ascii="Arial" w:hAnsi="Arial" w:cs="Arial"/>
                <w:bCs/>
                <w:color w:val="auto"/>
                <w:sz w:val="24"/>
                <w:highlight w:val="none"/>
              </w:rPr>
              <w:t>2.2.4.8</w:t>
            </w:r>
            <w:r>
              <w:rPr>
                <w:rFonts w:ascii="Arial" w:hAnsi="Arial" w:cs="Arial"/>
                <w:bCs/>
                <w:color w:val="auto"/>
                <w:sz w:val="24"/>
                <w:highlight w:val="none"/>
              </w:rPr>
              <w:tab/>
            </w:r>
            <w:r>
              <w:rPr>
                <w:rFonts w:ascii="Arial" w:hAnsi="Arial" w:cs="Arial"/>
                <w:bCs/>
                <w:color w:val="auto"/>
                <w:sz w:val="24"/>
                <w:highlight w:val="none"/>
              </w:rPr>
              <w:t>图像对比度测试</w:t>
            </w:r>
          </w:p>
          <w:p w14:paraId="0E93BF47">
            <w:pPr>
              <w:rPr>
                <w:rFonts w:ascii="Arial" w:hAnsi="Arial" w:cs="Arial"/>
                <w:bCs/>
                <w:color w:val="auto"/>
                <w:sz w:val="24"/>
                <w:highlight w:val="none"/>
              </w:rPr>
            </w:pPr>
            <w:r>
              <w:rPr>
                <w:rFonts w:ascii="Arial" w:hAnsi="Arial" w:cs="Arial"/>
                <w:bCs/>
                <w:color w:val="auto"/>
                <w:sz w:val="24"/>
                <w:highlight w:val="none"/>
              </w:rPr>
              <w:t>2.3</w:t>
            </w:r>
            <w:r>
              <w:rPr>
                <w:rFonts w:ascii="Arial" w:hAnsi="Arial" w:cs="Arial"/>
                <w:bCs/>
                <w:color w:val="auto"/>
                <w:sz w:val="24"/>
                <w:highlight w:val="none"/>
              </w:rPr>
              <w:tab/>
            </w:r>
            <w:r>
              <w:rPr>
                <w:rFonts w:ascii="Arial" w:hAnsi="Arial" w:cs="Arial"/>
                <w:bCs/>
                <w:color w:val="auto"/>
                <w:sz w:val="24"/>
                <w:highlight w:val="none"/>
              </w:rPr>
              <w:t>核心部件球管更换检测和校准</w:t>
            </w:r>
          </w:p>
          <w:p w14:paraId="60030453">
            <w:pPr>
              <w:rPr>
                <w:rFonts w:ascii="Arial" w:hAnsi="Arial" w:cs="Arial"/>
                <w:b/>
                <w:color w:val="auto"/>
                <w:sz w:val="24"/>
                <w:highlight w:val="none"/>
              </w:rPr>
            </w:pPr>
            <w:r>
              <w:rPr>
                <w:rFonts w:ascii="Arial" w:hAnsi="Arial" w:cs="Arial"/>
                <w:b/>
                <w:color w:val="auto"/>
                <w:sz w:val="24"/>
                <w:highlight w:val="none"/>
              </w:rPr>
              <w:t>▲2.3.1</w:t>
            </w:r>
            <w:r>
              <w:rPr>
                <w:rFonts w:ascii="Arial" w:hAnsi="Arial" w:cs="Arial"/>
                <w:b/>
                <w:color w:val="auto"/>
                <w:sz w:val="24"/>
                <w:highlight w:val="none"/>
              </w:rPr>
              <w:tab/>
            </w:r>
            <w:r>
              <w:rPr>
                <w:rFonts w:ascii="Arial" w:hAnsi="Arial" w:cs="Arial"/>
                <w:b/>
                <w:color w:val="auto"/>
                <w:sz w:val="24"/>
                <w:highlight w:val="none"/>
              </w:rPr>
              <w:t>保内如球管损坏，更换主机注册证匹配球管（型号：D3884T）</w:t>
            </w:r>
          </w:p>
          <w:p w14:paraId="27C3AD23">
            <w:pPr>
              <w:rPr>
                <w:rFonts w:ascii="Arial" w:hAnsi="Arial" w:cs="Arial"/>
                <w:bCs/>
                <w:color w:val="auto"/>
                <w:sz w:val="24"/>
                <w:highlight w:val="none"/>
              </w:rPr>
            </w:pPr>
            <w:r>
              <w:rPr>
                <w:rFonts w:ascii="Arial" w:hAnsi="Arial" w:cs="Arial"/>
                <w:bCs/>
                <w:color w:val="auto"/>
                <w:sz w:val="24"/>
                <w:highlight w:val="none"/>
              </w:rPr>
              <w:t>2.3.1.1</w:t>
            </w:r>
            <w:r>
              <w:rPr>
                <w:rFonts w:ascii="Arial" w:hAnsi="Arial" w:cs="Arial"/>
                <w:bCs/>
                <w:color w:val="auto"/>
                <w:sz w:val="24"/>
                <w:highlight w:val="none"/>
              </w:rPr>
              <w:tab/>
            </w:r>
            <w:r>
              <w:rPr>
                <w:rFonts w:ascii="Arial" w:hAnsi="Arial" w:cs="Arial"/>
                <w:bCs/>
                <w:color w:val="auto"/>
                <w:sz w:val="24"/>
                <w:highlight w:val="none"/>
              </w:rPr>
              <w:t>焦点数量：≥2个</w:t>
            </w:r>
          </w:p>
          <w:p w14:paraId="1009AF30">
            <w:pPr>
              <w:rPr>
                <w:rFonts w:ascii="Arial" w:hAnsi="Arial" w:cs="Arial"/>
                <w:bCs/>
                <w:color w:val="auto"/>
                <w:sz w:val="24"/>
                <w:highlight w:val="none"/>
              </w:rPr>
            </w:pPr>
            <w:r>
              <w:rPr>
                <w:rFonts w:ascii="Arial" w:hAnsi="Arial" w:cs="Arial"/>
                <w:bCs/>
                <w:color w:val="auto"/>
                <w:sz w:val="24"/>
                <w:highlight w:val="none"/>
              </w:rPr>
              <w:t>2.3.1.2</w:t>
            </w:r>
            <w:r>
              <w:rPr>
                <w:rFonts w:ascii="Arial" w:hAnsi="Arial" w:cs="Arial"/>
                <w:bCs/>
                <w:color w:val="auto"/>
                <w:sz w:val="24"/>
                <w:highlight w:val="none"/>
              </w:rPr>
              <w:tab/>
            </w:r>
            <w:r>
              <w:rPr>
                <w:rFonts w:ascii="Arial" w:hAnsi="Arial" w:cs="Arial"/>
                <w:bCs/>
                <w:color w:val="auto"/>
                <w:sz w:val="24"/>
                <w:highlight w:val="none"/>
              </w:rPr>
              <w:t>小焦点（IEC 336/2005 ）≤0.9mm x 0.7 mm</w:t>
            </w:r>
          </w:p>
          <w:p w14:paraId="5732F31F">
            <w:pPr>
              <w:rPr>
                <w:rFonts w:ascii="Arial" w:hAnsi="Arial" w:cs="Arial"/>
                <w:bCs/>
                <w:color w:val="auto"/>
                <w:sz w:val="24"/>
                <w:highlight w:val="none"/>
              </w:rPr>
            </w:pPr>
            <w:r>
              <w:rPr>
                <w:rFonts w:ascii="Arial" w:hAnsi="Arial" w:cs="Arial"/>
                <w:bCs/>
                <w:color w:val="auto"/>
                <w:sz w:val="24"/>
                <w:highlight w:val="none"/>
              </w:rPr>
              <w:t>2.3.1.3</w:t>
            </w:r>
            <w:r>
              <w:rPr>
                <w:rFonts w:ascii="Arial" w:hAnsi="Arial" w:cs="Arial"/>
                <w:bCs/>
                <w:color w:val="auto"/>
                <w:sz w:val="24"/>
                <w:highlight w:val="none"/>
              </w:rPr>
              <w:tab/>
            </w:r>
            <w:r>
              <w:rPr>
                <w:rFonts w:ascii="Arial" w:hAnsi="Arial" w:cs="Arial"/>
                <w:bCs/>
                <w:color w:val="auto"/>
                <w:sz w:val="24"/>
                <w:highlight w:val="none"/>
              </w:rPr>
              <w:t>大焦点（IEC 336/2005 ）≥1.2mm x 1.1mm</w:t>
            </w:r>
          </w:p>
          <w:p w14:paraId="591C65E4">
            <w:pPr>
              <w:rPr>
                <w:rFonts w:ascii="Arial" w:hAnsi="Arial" w:cs="Arial"/>
                <w:bCs/>
                <w:color w:val="auto"/>
                <w:sz w:val="24"/>
                <w:highlight w:val="none"/>
              </w:rPr>
            </w:pPr>
            <w:r>
              <w:rPr>
                <w:rFonts w:ascii="Arial" w:hAnsi="Arial" w:cs="Arial"/>
                <w:bCs/>
                <w:color w:val="auto"/>
                <w:sz w:val="24"/>
                <w:highlight w:val="none"/>
              </w:rPr>
              <w:t>2.3.2</w:t>
            </w:r>
            <w:r>
              <w:rPr>
                <w:rFonts w:ascii="Arial" w:hAnsi="Arial" w:cs="Arial"/>
                <w:bCs/>
                <w:color w:val="auto"/>
                <w:sz w:val="24"/>
                <w:highlight w:val="none"/>
              </w:rPr>
              <w:tab/>
            </w:r>
            <w:r>
              <w:rPr>
                <w:rFonts w:ascii="Arial" w:hAnsi="Arial" w:cs="Arial"/>
                <w:bCs/>
                <w:color w:val="auto"/>
                <w:sz w:val="24"/>
                <w:highlight w:val="none"/>
              </w:rPr>
              <w:t>扫描架旋转平衡检测</w:t>
            </w:r>
          </w:p>
          <w:p w14:paraId="77C364AB">
            <w:pPr>
              <w:rPr>
                <w:rFonts w:ascii="Arial" w:hAnsi="Arial" w:cs="Arial"/>
                <w:bCs/>
                <w:color w:val="auto"/>
                <w:sz w:val="24"/>
                <w:highlight w:val="none"/>
              </w:rPr>
            </w:pPr>
            <w:r>
              <w:rPr>
                <w:rFonts w:ascii="Arial" w:hAnsi="Arial" w:cs="Arial"/>
                <w:bCs/>
                <w:color w:val="auto"/>
                <w:sz w:val="24"/>
                <w:highlight w:val="none"/>
              </w:rPr>
              <w:t>2.3.3</w:t>
            </w:r>
            <w:r>
              <w:rPr>
                <w:rFonts w:ascii="Arial" w:hAnsi="Arial" w:cs="Arial"/>
                <w:bCs/>
                <w:color w:val="auto"/>
                <w:sz w:val="24"/>
                <w:highlight w:val="none"/>
              </w:rPr>
              <w:tab/>
            </w:r>
            <w:r>
              <w:rPr>
                <w:rFonts w:ascii="Arial" w:hAnsi="Arial" w:cs="Arial"/>
                <w:bCs/>
                <w:color w:val="auto"/>
                <w:sz w:val="24"/>
                <w:highlight w:val="none"/>
              </w:rPr>
              <w:t>球管位置X轴位置调整</w:t>
            </w:r>
          </w:p>
          <w:p w14:paraId="34685FBD">
            <w:pPr>
              <w:rPr>
                <w:rFonts w:ascii="Arial" w:hAnsi="Arial" w:cs="Arial"/>
                <w:bCs/>
                <w:color w:val="auto"/>
                <w:sz w:val="24"/>
                <w:highlight w:val="none"/>
              </w:rPr>
            </w:pPr>
            <w:r>
              <w:rPr>
                <w:rFonts w:ascii="Arial" w:hAnsi="Arial" w:cs="Arial"/>
                <w:bCs/>
                <w:color w:val="auto"/>
                <w:sz w:val="24"/>
                <w:highlight w:val="none"/>
              </w:rPr>
              <w:t>2.3.4</w:t>
            </w:r>
            <w:r>
              <w:rPr>
                <w:rFonts w:ascii="Arial" w:hAnsi="Arial" w:cs="Arial"/>
                <w:bCs/>
                <w:color w:val="auto"/>
                <w:sz w:val="24"/>
                <w:highlight w:val="none"/>
              </w:rPr>
              <w:tab/>
            </w:r>
            <w:r>
              <w:rPr>
                <w:rFonts w:ascii="Arial" w:hAnsi="Arial" w:cs="Arial"/>
                <w:bCs/>
                <w:color w:val="auto"/>
                <w:sz w:val="24"/>
                <w:highlight w:val="none"/>
              </w:rPr>
              <w:t>球管位置Z轴位置调整</w:t>
            </w:r>
          </w:p>
          <w:p w14:paraId="0554B884">
            <w:pPr>
              <w:rPr>
                <w:rFonts w:ascii="Arial" w:hAnsi="Arial" w:cs="Arial"/>
                <w:bCs/>
                <w:color w:val="auto"/>
                <w:sz w:val="24"/>
                <w:highlight w:val="none"/>
              </w:rPr>
            </w:pPr>
            <w:r>
              <w:rPr>
                <w:rFonts w:ascii="Arial" w:hAnsi="Arial" w:cs="Arial"/>
                <w:bCs/>
                <w:color w:val="auto"/>
                <w:sz w:val="24"/>
                <w:highlight w:val="none"/>
              </w:rPr>
              <w:t>2.3.5</w:t>
            </w:r>
            <w:r>
              <w:rPr>
                <w:rFonts w:ascii="Arial" w:hAnsi="Arial" w:cs="Arial"/>
                <w:bCs/>
                <w:color w:val="auto"/>
                <w:sz w:val="24"/>
                <w:highlight w:val="none"/>
              </w:rPr>
              <w:tab/>
            </w:r>
            <w:r>
              <w:rPr>
                <w:rFonts w:ascii="Arial" w:hAnsi="Arial" w:cs="Arial"/>
                <w:bCs/>
                <w:color w:val="auto"/>
                <w:sz w:val="24"/>
                <w:highlight w:val="none"/>
              </w:rPr>
              <w:t>球管灯丝校准</w:t>
            </w:r>
          </w:p>
          <w:p w14:paraId="5AD89892">
            <w:pPr>
              <w:rPr>
                <w:rFonts w:ascii="Arial" w:hAnsi="Arial" w:cs="Arial"/>
                <w:bCs/>
                <w:color w:val="auto"/>
                <w:sz w:val="24"/>
                <w:highlight w:val="none"/>
              </w:rPr>
            </w:pPr>
            <w:r>
              <w:rPr>
                <w:rFonts w:ascii="Arial" w:hAnsi="Arial" w:cs="Arial"/>
                <w:bCs/>
                <w:color w:val="auto"/>
                <w:sz w:val="24"/>
                <w:highlight w:val="none"/>
              </w:rPr>
              <w:t>2.3.6</w:t>
            </w:r>
            <w:r>
              <w:rPr>
                <w:rFonts w:ascii="Arial" w:hAnsi="Arial" w:cs="Arial"/>
                <w:bCs/>
                <w:color w:val="auto"/>
                <w:sz w:val="24"/>
                <w:highlight w:val="none"/>
              </w:rPr>
              <w:tab/>
            </w:r>
            <w:r>
              <w:rPr>
                <w:rFonts w:ascii="Arial" w:hAnsi="Arial" w:cs="Arial"/>
                <w:bCs/>
                <w:color w:val="auto"/>
                <w:sz w:val="24"/>
                <w:highlight w:val="none"/>
              </w:rPr>
              <w:t>准直器校准</w:t>
            </w:r>
          </w:p>
          <w:p w14:paraId="70BED866">
            <w:pPr>
              <w:rPr>
                <w:rFonts w:ascii="Arial" w:hAnsi="Arial" w:cs="Arial"/>
                <w:bCs/>
                <w:color w:val="auto"/>
                <w:sz w:val="24"/>
                <w:highlight w:val="none"/>
              </w:rPr>
            </w:pPr>
            <w:r>
              <w:rPr>
                <w:rFonts w:ascii="Arial" w:hAnsi="Arial" w:cs="Arial"/>
                <w:bCs/>
                <w:color w:val="auto"/>
                <w:sz w:val="24"/>
                <w:highlight w:val="none"/>
              </w:rPr>
              <w:t>2.3.7</w:t>
            </w:r>
            <w:r>
              <w:rPr>
                <w:rFonts w:ascii="Arial" w:hAnsi="Arial" w:cs="Arial"/>
                <w:bCs/>
                <w:color w:val="auto"/>
                <w:sz w:val="24"/>
                <w:highlight w:val="none"/>
              </w:rPr>
              <w:tab/>
            </w:r>
            <w:r>
              <w:rPr>
                <w:rFonts w:ascii="Arial" w:hAnsi="Arial" w:cs="Arial"/>
                <w:bCs/>
                <w:color w:val="auto"/>
                <w:sz w:val="24"/>
                <w:highlight w:val="none"/>
              </w:rPr>
              <w:t>CT值准确性测试</w:t>
            </w:r>
          </w:p>
          <w:p w14:paraId="200827B1">
            <w:pPr>
              <w:rPr>
                <w:rFonts w:ascii="Arial" w:hAnsi="Arial" w:cs="Arial"/>
                <w:bCs/>
                <w:color w:val="auto"/>
                <w:sz w:val="24"/>
                <w:highlight w:val="none"/>
              </w:rPr>
            </w:pPr>
            <w:r>
              <w:rPr>
                <w:rFonts w:ascii="Arial" w:hAnsi="Arial" w:cs="Arial"/>
                <w:bCs/>
                <w:color w:val="auto"/>
                <w:sz w:val="24"/>
                <w:highlight w:val="none"/>
              </w:rPr>
              <w:t>2.3.8</w:t>
            </w:r>
            <w:r>
              <w:rPr>
                <w:rFonts w:ascii="Arial" w:hAnsi="Arial" w:cs="Arial"/>
                <w:bCs/>
                <w:color w:val="auto"/>
                <w:sz w:val="24"/>
                <w:highlight w:val="none"/>
              </w:rPr>
              <w:tab/>
            </w:r>
            <w:r>
              <w:rPr>
                <w:rFonts w:ascii="Arial" w:hAnsi="Arial" w:cs="Arial"/>
                <w:bCs/>
                <w:color w:val="auto"/>
                <w:sz w:val="24"/>
                <w:highlight w:val="none"/>
              </w:rPr>
              <w:t>CT值均匀性测试</w:t>
            </w:r>
          </w:p>
          <w:p w14:paraId="4EEC995C">
            <w:pPr>
              <w:rPr>
                <w:rFonts w:ascii="Arial" w:hAnsi="Arial" w:cs="Arial"/>
                <w:bCs/>
                <w:color w:val="auto"/>
                <w:sz w:val="24"/>
                <w:highlight w:val="none"/>
              </w:rPr>
            </w:pPr>
            <w:r>
              <w:rPr>
                <w:rFonts w:ascii="Arial" w:hAnsi="Arial" w:cs="Arial"/>
                <w:bCs/>
                <w:color w:val="auto"/>
                <w:sz w:val="24"/>
                <w:highlight w:val="none"/>
              </w:rPr>
              <w:t>2.3.9</w:t>
            </w:r>
            <w:r>
              <w:rPr>
                <w:rFonts w:ascii="Arial" w:hAnsi="Arial" w:cs="Arial"/>
                <w:bCs/>
                <w:color w:val="auto"/>
                <w:sz w:val="24"/>
                <w:highlight w:val="none"/>
              </w:rPr>
              <w:tab/>
            </w:r>
            <w:r>
              <w:rPr>
                <w:rFonts w:ascii="Arial" w:hAnsi="Arial" w:cs="Arial"/>
                <w:bCs/>
                <w:color w:val="auto"/>
                <w:sz w:val="24"/>
                <w:highlight w:val="none"/>
              </w:rPr>
              <w:t>图像噪声测试</w:t>
            </w:r>
          </w:p>
          <w:p w14:paraId="730BAB4B">
            <w:pPr>
              <w:rPr>
                <w:rFonts w:ascii="Arial" w:hAnsi="Arial" w:cs="Arial"/>
                <w:bCs/>
                <w:color w:val="auto"/>
                <w:sz w:val="24"/>
                <w:highlight w:val="none"/>
              </w:rPr>
            </w:pPr>
            <w:r>
              <w:rPr>
                <w:rFonts w:ascii="Arial" w:hAnsi="Arial" w:cs="Arial"/>
                <w:bCs/>
                <w:color w:val="auto"/>
                <w:sz w:val="24"/>
                <w:highlight w:val="none"/>
              </w:rPr>
              <w:t>2.3.10</w:t>
            </w:r>
            <w:r>
              <w:rPr>
                <w:rFonts w:ascii="Arial" w:hAnsi="Arial" w:cs="Arial"/>
                <w:bCs/>
                <w:color w:val="auto"/>
                <w:sz w:val="24"/>
                <w:highlight w:val="none"/>
              </w:rPr>
              <w:tab/>
            </w:r>
            <w:r>
              <w:rPr>
                <w:rFonts w:ascii="Arial" w:hAnsi="Arial" w:cs="Arial"/>
                <w:bCs/>
                <w:color w:val="auto"/>
                <w:sz w:val="24"/>
                <w:highlight w:val="none"/>
              </w:rPr>
              <w:t>图像对比度测试</w:t>
            </w:r>
          </w:p>
          <w:p w14:paraId="6B90E7CF">
            <w:pPr>
              <w:rPr>
                <w:rFonts w:ascii="Arial" w:hAnsi="Arial" w:cs="Arial"/>
                <w:bCs/>
                <w:color w:val="auto"/>
                <w:sz w:val="24"/>
                <w:highlight w:val="none"/>
              </w:rPr>
            </w:pPr>
            <w:r>
              <w:rPr>
                <w:rFonts w:ascii="Arial" w:hAnsi="Arial" w:cs="Arial"/>
                <w:bCs/>
                <w:color w:val="auto"/>
                <w:sz w:val="24"/>
                <w:highlight w:val="none"/>
              </w:rPr>
              <w:t>2.3.11</w:t>
            </w:r>
            <w:r>
              <w:rPr>
                <w:rFonts w:ascii="Arial" w:hAnsi="Arial" w:cs="Arial"/>
                <w:bCs/>
                <w:color w:val="auto"/>
                <w:sz w:val="24"/>
                <w:highlight w:val="none"/>
              </w:rPr>
              <w:tab/>
            </w:r>
            <w:r>
              <w:rPr>
                <w:rFonts w:ascii="Arial" w:hAnsi="Arial" w:cs="Arial"/>
                <w:bCs/>
                <w:color w:val="auto"/>
                <w:sz w:val="24"/>
                <w:highlight w:val="none"/>
              </w:rPr>
              <w:t>系统数据备份</w:t>
            </w:r>
          </w:p>
          <w:p w14:paraId="4037B627">
            <w:pPr>
              <w:rPr>
                <w:rFonts w:ascii="Arial" w:hAnsi="Arial" w:cs="Arial"/>
                <w:bCs/>
                <w:color w:val="auto"/>
                <w:sz w:val="24"/>
                <w:highlight w:val="none"/>
              </w:rPr>
            </w:pPr>
            <w:r>
              <w:rPr>
                <w:rFonts w:ascii="Arial" w:hAnsi="Arial" w:cs="Arial"/>
                <w:bCs/>
                <w:color w:val="auto"/>
                <w:sz w:val="24"/>
                <w:highlight w:val="none"/>
              </w:rPr>
              <w:t>3</w:t>
            </w:r>
            <w:r>
              <w:rPr>
                <w:rFonts w:ascii="Arial" w:hAnsi="Arial" w:cs="Arial"/>
                <w:bCs/>
                <w:color w:val="auto"/>
                <w:sz w:val="24"/>
                <w:highlight w:val="none"/>
              </w:rPr>
              <w:tab/>
            </w:r>
            <w:r>
              <w:rPr>
                <w:rFonts w:ascii="Arial" w:hAnsi="Arial" w:cs="Arial"/>
                <w:bCs/>
                <w:color w:val="auto"/>
                <w:sz w:val="24"/>
                <w:highlight w:val="none"/>
              </w:rPr>
              <w:t>服务质量控制要求</w:t>
            </w:r>
          </w:p>
          <w:p w14:paraId="3EC5EF70">
            <w:pPr>
              <w:rPr>
                <w:rFonts w:ascii="Arial" w:hAnsi="Arial" w:cs="Arial"/>
                <w:bCs/>
                <w:color w:val="auto"/>
                <w:sz w:val="24"/>
                <w:highlight w:val="none"/>
              </w:rPr>
            </w:pPr>
            <w:r>
              <w:rPr>
                <w:rFonts w:ascii="Arial" w:hAnsi="Arial" w:cs="Arial"/>
                <w:bCs/>
                <w:color w:val="auto"/>
                <w:sz w:val="24"/>
                <w:highlight w:val="none"/>
              </w:rPr>
              <w:t>3.1</w:t>
            </w:r>
            <w:r>
              <w:rPr>
                <w:rFonts w:ascii="Arial" w:hAnsi="Arial" w:cs="Arial"/>
                <w:bCs/>
                <w:color w:val="auto"/>
                <w:sz w:val="24"/>
                <w:highlight w:val="none"/>
              </w:rPr>
              <w:tab/>
            </w:r>
            <w:r>
              <w:rPr>
                <w:rFonts w:ascii="Arial" w:hAnsi="Arial" w:cs="Arial"/>
                <w:bCs/>
                <w:color w:val="auto"/>
                <w:sz w:val="24"/>
                <w:highlight w:val="none"/>
              </w:rPr>
              <w:t>每年提供日常质控培训1次，包括用户现场理论讲解和上机演示，能够提供培训大纲和教材证明</w:t>
            </w:r>
          </w:p>
          <w:p w14:paraId="51C345AB">
            <w:pPr>
              <w:rPr>
                <w:rFonts w:ascii="Arial" w:hAnsi="Arial" w:cs="Arial"/>
                <w:bCs/>
                <w:color w:val="auto"/>
                <w:sz w:val="24"/>
                <w:highlight w:val="none"/>
              </w:rPr>
            </w:pPr>
            <w:r>
              <w:rPr>
                <w:rFonts w:ascii="Arial" w:hAnsi="Arial" w:cs="Arial"/>
                <w:bCs/>
                <w:color w:val="auto"/>
                <w:sz w:val="24"/>
                <w:highlight w:val="none"/>
              </w:rPr>
              <w:t>3.1.1</w:t>
            </w:r>
            <w:r>
              <w:rPr>
                <w:rFonts w:ascii="Arial" w:hAnsi="Arial" w:cs="Arial"/>
                <w:bCs/>
                <w:color w:val="auto"/>
                <w:sz w:val="24"/>
                <w:highlight w:val="none"/>
              </w:rPr>
              <w:tab/>
            </w:r>
            <w:r>
              <w:rPr>
                <w:rFonts w:ascii="Arial" w:hAnsi="Arial" w:cs="Arial"/>
                <w:bCs/>
                <w:color w:val="auto"/>
                <w:sz w:val="24"/>
                <w:highlight w:val="none"/>
              </w:rPr>
              <w:t>讲解国家标准和原厂规范</w:t>
            </w:r>
          </w:p>
          <w:p w14:paraId="017AE76C">
            <w:pPr>
              <w:rPr>
                <w:rFonts w:ascii="Arial" w:hAnsi="Arial" w:cs="Arial"/>
                <w:bCs/>
                <w:color w:val="auto"/>
                <w:sz w:val="24"/>
                <w:highlight w:val="none"/>
              </w:rPr>
            </w:pPr>
            <w:r>
              <w:rPr>
                <w:rFonts w:ascii="Arial" w:hAnsi="Arial" w:cs="Arial"/>
                <w:bCs/>
                <w:color w:val="auto"/>
                <w:sz w:val="24"/>
                <w:highlight w:val="none"/>
              </w:rPr>
              <w:t>3.1.2</w:t>
            </w:r>
            <w:r>
              <w:rPr>
                <w:rFonts w:ascii="Arial" w:hAnsi="Arial" w:cs="Arial"/>
                <w:bCs/>
                <w:color w:val="auto"/>
                <w:sz w:val="24"/>
                <w:highlight w:val="none"/>
              </w:rPr>
              <w:tab/>
            </w:r>
            <w:r>
              <w:rPr>
                <w:rFonts w:ascii="Arial" w:hAnsi="Arial" w:cs="Arial"/>
                <w:bCs/>
                <w:color w:val="auto"/>
                <w:sz w:val="24"/>
                <w:highlight w:val="none"/>
              </w:rPr>
              <w:t>讲解系统功能和质控体系、参数</w:t>
            </w:r>
          </w:p>
          <w:p w14:paraId="70EDB006">
            <w:pPr>
              <w:rPr>
                <w:rFonts w:ascii="Arial" w:hAnsi="Arial" w:cs="Arial"/>
                <w:bCs/>
                <w:color w:val="auto"/>
                <w:sz w:val="24"/>
                <w:highlight w:val="none"/>
              </w:rPr>
            </w:pPr>
            <w:r>
              <w:rPr>
                <w:rFonts w:ascii="Arial" w:hAnsi="Arial" w:cs="Arial"/>
                <w:bCs/>
                <w:color w:val="auto"/>
                <w:sz w:val="24"/>
                <w:highlight w:val="none"/>
              </w:rPr>
              <w:t>3.1.3</w:t>
            </w:r>
            <w:r>
              <w:rPr>
                <w:rFonts w:ascii="Arial" w:hAnsi="Arial" w:cs="Arial"/>
                <w:bCs/>
                <w:color w:val="auto"/>
                <w:sz w:val="24"/>
                <w:highlight w:val="none"/>
              </w:rPr>
              <w:tab/>
            </w:r>
            <w:r>
              <w:rPr>
                <w:rFonts w:ascii="Arial" w:hAnsi="Arial" w:cs="Arial"/>
                <w:bCs/>
                <w:color w:val="auto"/>
                <w:sz w:val="24"/>
                <w:highlight w:val="none"/>
              </w:rPr>
              <w:t>现场演示日常质控项目，包括射线剂量和图像质量</w:t>
            </w:r>
          </w:p>
          <w:p w14:paraId="41ACB06B">
            <w:pPr>
              <w:rPr>
                <w:rFonts w:ascii="Arial" w:hAnsi="Arial" w:cs="Arial"/>
                <w:bCs/>
                <w:color w:val="auto"/>
                <w:sz w:val="24"/>
                <w:highlight w:val="none"/>
              </w:rPr>
            </w:pPr>
            <w:r>
              <w:rPr>
                <w:rFonts w:ascii="Arial" w:hAnsi="Arial" w:cs="Arial"/>
                <w:bCs/>
                <w:color w:val="auto"/>
                <w:sz w:val="24"/>
                <w:highlight w:val="none"/>
              </w:rPr>
              <w:t>3.2</w:t>
            </w:r>
            <w:r>
              <w:rPr>
                <w:rFonts w:ascii="Arial" w:hAnsi="Arial" w:cs="Arial"/>
                <w:bCs/>
                <w:color w:val="auto"/>
                <w:sz w:val="24"/>
                <w:highlight w:val="none"/>
              </w:rPr>
              <w:tab/>
            </w:r>
            <w:r>
              <w:rPr>
                <w:rFonts w:ascii="Arial" w:hAnsi="Arial" w:cs="Arial"/>
                <w:bCs/>
                <w:color w:val="auto"/>
                <w:sz w:val="24"/>
                <w:highlight w:val="none"/>
              </w:rPr>
              <w:t>每年提供设备健康体检1次并提供体检报告。体检项目覆盖国家X线设备强制检查项目。</w:t>
            </w:r>
          </w:p>
          <w:p w14:paraId="2B919942">
            <w:pPr>
              <w:rPr>
                <w:rFonts w:ascii="Arial" w:hAnsi="Arial" w:cs="Arial"/>
                <w:bCs/>
                <w:color w:val="auto"/>
                <w:sz w:val="24"/>
                <w:highlight w:val="none"/>
              </w:rPr>
            </w:pPr>
            <w:r>
              <w:rPr>
                <w:rFonts w:ascii="Arial" w:hAnsi="Arial" w:cs="Arial"/>
                <w:bCs/>
                <w:color w:val="auto"/>
                <w:sz w:val="24"/>
                <w:highlight w:val="none"/>
              </w:rPr>
              <w:t>3.3</w:t>
            </w:r>
            <w:r>
              <w:rPr>
                <w:rFonts w:ascii="Arial" w:hAnsi="Arial" w:cs="Arial"/>
                <w:bCs/>
                <w:color w:val="auto"/>
                <w:sz w:val="24"/>
                <w:highlight w:val="none"/>
              </w:rPr>
              <w:tab/>
            </w:r>
            <w:r>
              <w:rPr>
                <w:rFonts w:ascii="Arial" w:hAnsi="Arial" w:cs="Arial"/>
                <w:bCs/>
                <w:color w:val="auto"/>
                <w:sz w:val="24"/>
                <w:highlight w:val="none"/>
              </w:rPr>
              <w:t>在进行核心部件如球管更换后，进行球管更换质量控制检测并提供报告</w:t>
            </w:r>
          </w:p>
          <w:p w14:paraId="110BE6D6">
            <w:pPr>
              <w:rPr>
                <w:rFonts w:ascii="Arial" w:hAnsi="Arial" w:cs="Arial"/>
                <w:bCs/>
                <w:color w:val="auto"/>
                <w:sz w:val="24"/>
                <w:highlight w:val="none"/>
              </w:rPr>
            </w:pPr>
            <w:r>
              <w:rPr>
                <w:rFonts w:ascii="Arial" w:hAnsi="Arial" w:cs="Arial"/>
                <w:bCs/>
                <w:color w:val="auto"/>
                <w:sz w:val="24"/>
                <w:highlight w:val="none"/>
              </w:rPr>
              <w:t>3.4</w:t>
            </w:r>
            <w:r>
              <w:rPr>
                <w:rFonts w:ascii="Arial" w:hAnsi="Arial" w:cs="Arial"/>
                <w:bCs/>
                <w:color w:val="auto"/>
                <w:sz w:val="24"/>
                <w:highlight w:val="none"/>
              </w:rPr>
              <w:tab/>
            </w:r>
            <w:r>
              <w:rPr>
                <w:rFonts w:ascii="Arial" w:hAnsi="Arial" w:cs="Arial"/>
                <w:bCs/>
                <w:color w:val="auto"/>
                <w:sz w:val="24"/>
                <w:highlight w:val="none"/>
              </w:rPr>
              <w:t>医院所在地质控主管单位进行的设备年度检测活动时，提供支持服务</w:t>
            </w:r>
          </w:p>
          <w:p w14:paraId="4E8210F5">
            <w:pPr>
              <w:rPr>
                <w:rFonts w:ascii="Arial" w:hAnsi="Arial" w:cs="Arial"/>
                <w:bCs/>
                <w:color w:val="auto"/>
                <w:sz w:val="24"/>
                <w:highlight w:val="none"/>
              </w:rPr>
            </w:pPr>
            <w:r>
              <w:rPr>
                <w:rFonts w:ascii="Arial" w:hAnsi="Arial" w:cs="Arial"/>
                <w:bCs/>
                <w:color w:val="auto"/>
                <w:sz w:val="24"/>
                <w:highlight w:val="none"/>
              </w:rPr>
              <w:t>3.5</w:t>
            </w:r>
            <w:r>
              <w:rPr>
                <w:rFonts w:ascii="Arial" w:hAnsi="Arial" w:cs="Arial"/>
                <w:bCs/>
                <w:color w:val="auto"/>
                <w:sz w:val="24"/>
                <w:highlight w:val="none"/>
              </w:rPr>
              <w:tab/>
            </w:r>
            <w:r>
              <w:rPr>
                <w:rFonts w:ascii="Arial" w:hAnsi="Arial" w:cs="Arial"/>
                <w:bCs/>
                <w:color w:val="auto"/>
                <w:sz w:val="24"/>
                <w:highlight w:val="none"/>
              </w:rPr>
              <w:t>具备常规质控工具，QA模体，CatPhan模体，射线剂量仪，射线辐射仪等</w:t>
            </w:r>
          </w:p>
          <w:p w14:paraId="104EFBFE">
            <w:pPr>
              <w:rPr>
                <w:rFonts w:ascii="Arial" w:hAnsi="Arial" w:cs="Arial"/>
                <w:bCs/>
                <w:color w:val="auto"/>
                <w:sz w:val="24"/>
                <w:highlight w:val="none"/>
              </w:rPr>
            </w:pPr>
            <w:r>
              <w:rPr>
                <w:rFonts w:ascii="Arial" w:hAnsi="Arial" w:cs="Arial"/>
                <w:bCs/>
                <w:color w:val="auto"/>
                <w:sz w:val="24"/>
                <w:highlight w:val="none"/>
              </w:rPr>
              <w:t>4</w:t>
            </w:r>
            <w:r>
              <w:rPr>
                <w:rFonts w:ascii="Arial" w:hAnsi="Arial" w:cs="Arial"/>
                <w:bCs/>
                <w:color w:val="auto"/>
                <w:sz w:val="24"/>
                <w:highlight w:val="none"/>
              </w:rPr>
              <w:tab/>
            </w:r>
            <w:r>
              <w:rPr>
                <w:rFonts w:ascii="Arial" w:hAnsi="Arial" w:cs="Arial"/>
                <w:bCs/>
                <w:color w:val="auto"/>
                <w:sz w:val="24"/>
                <w:highlight w:val="none"/>
              </w:rPr>
              <w:t>提供临床应用支持</w:t>
            </w:r>
          </w:p>
          <w:p w14:paraId="1E96DF95">
            <w:pPr>
              <w:rPr>
                <w:rFonts w:ascii="Arial" w:hAnsi="Arial" w:cs="Arial"/>
                <w:bCs/>
                <w:color w:val="auto"/>
                <w:sz w:val="24"/>
                <w:highlight w:val="none"/>
              </w:rPr>
            </w:pPr>
            <w:r>
              <w:rPr>
                <w:rFonts w:ascii="Arial" w:hAnsi="Arial" w:cs="Arial"/>
                <w:bCs/>
                <w:color w:val="auto"/>
                <w:sz w:val="24"/>
                <w:highlight w:val="none"/>
              </w:rPr>
              <w:t>4.1</w:t>
            </w:r>
            <w:r>
              <w:rPr>
                <w:rFonts w:ascii="Arial" w:hAnsi="Arial" w:cs="Arial"/>
                <w:bCs/>
                <w:color w:val="auto"/>
                <w:sz w:val="24"/>
                <w:highlight w:val="none"/>
              </w:rPr>
              <w:tab/>
            </w:r>
            <w:r>
              <w:rPr>
                <w:rFonts w:ascii="Arial" w:hAnsi="Arial" w:cs="Arial"/>
                <w:bCs/>
                <w:color w:val="auto"/>
                <w:sz w:val="24"/>
                <w:highlight w:val="none"/>
              </w:rPr>
              <w:t>提供的临床培训服务工程师为全职临床应用培训讲师（提供资质证明）</w:t>
            </w:r>
          </w:p>
          <w:p w14:paraId="75812BA4">
            <w:pPr>
              <w:rPr>
                <w:rFonts w:ascii="Arial" w:hAnsi="Arial" w:cs="Arial"/>
                <w:bCs/>
                <w:color w:val="auto"/>
                <w:sz w:val="24"/>
                <w:highlight w:val="none"/>
              </w:rPr>
            </w:pPr>
            <w:r>
              <w:rPr>
                <w:rFonts w:ascii="Arial" w:hAnsi="Arial" w:cs="Arial"/>
                <w:bCs/>
                <w:color w:val="auto"/>
                <w:sz w:val="24"/>
                <w:highlight w:val="none"/>
              </w:rPr>
              <w:t>4.2</w:t>
            </w:r>
            <w:r>
              <w:rPr>
                <w:rFonts w:ascii="Arial" w:hAnsi="Arial" w:cs="Arial"/>
                <w:bCs/>
                <w:color w:val="auto"/>
                <w:sz w:val="24"/>
                <w:highlight w:val="none"/>
              </w:rPr>
              <w:tab/>
            </w:r>
            <w:r>
              <w:rPr>
                <w:rFonts w:ascii="Arial" w:hAnsi="Arial" w:cs="Arial"/>
                <w:bCs/>
                <w:color w:val="auto"/>
                <w:sz w:val="24"/>
                <w:highlight w:val="none"/>
              </w:rPr>
              <w:t>CT设备培训后能提供有关临床培训报告</w:t>
            </w:r>
          </w:p>
          <w:p w14:paraId="2B15C04E">
            <w:pPr>
              <w:rPr>
                <w:rFonts w:ascii="Arial" w:hAnsi="Arial" w:cs="Arial"/>
                <w:bCs/>
                <w:color w:val="auto"/>
                <w:sz w:val="24"/>
                <w:highlight w:val="none"/>
              </w:rPr>
            </w:pPr>
            <w:r>
              <w:rPr>
                <w:rFonts w:ascii="Arial" w:hAnsi="Arial" w:cs="Arial"/>
                <w:bCs/>
                <w:color w:val="auto"/>
                <w:sz w:val="24"/>
                <w:highlight w:val="none"/>
              </w:rPr>
              <w:t>4.3</w:t>
            </w:r>
            <w:r>
              <w:rPr>
                <w:rFonts w:ascii="Arial" w:hAnsi="Arial" w:cs="Arial"/>
                <w:bCs/>
                <w:color w:val="auto"/>
                <w:sz w:val="24"/>
                <w:highlight w:val="none"/>
              </w:rPr>
              <w:tab/>
            </w:r>
            <w:r>
              <w:rPr>
                <w:rFonts w:ascii="Arial" w:hAnsi="Arial" w:cs="Arial"/>
                <w:bCs/>
                <w:color w:val="auto"/>
                <w:sz w:val="24"/>
                <w:highlight w:val="none"/>
              </w:rPr>
              <w:t>提供临床扫描、图像处理和相应业务拓展的专业支持服务</w:t>
            </w:r>
          </w:p>
          <w:p w14:paraId="72190CC9">
            <w:pPr>
              <w:rPr>
                <w:rFonts w:ascii="Arial" w:hAnsi="Arial" w:cs="Arial"/>
                <w:bCs/>
                <w:color w:val="auto"/>
                <w:sz w:val="24"/>
                <w:highlight w:val="none"/>
              </w:rPr>
            </w:pPr>
            <w:r>
              <w:rPr>
                <w:rFonts w:ascii="Arial" w:hAnsi="Arial" w:cs="Arial"/>
                <w:bCs/>
                <w:color w:val="auto"/>
                <w:sz w:val="24"/>
                <w:highlight w:val="none"/>
              </w:rPr>
              <w:t>4.4</w:t>
            </w:r>
            <w:r>
              <w:rPr>
                <w:rFonts w:ascii="Arial" w:hAnsi="Arial" w:cs="Arial"/>
                <w:bCs/>
                <w:color w:val="auto"/>
                <w:sz w:val="24"/>
                <w:highlight w:val="none"/>
              </w:rPr>
              <w:tab/>
            </w:r>
            <w:r>
              <w:rPr>
                <w:rFonts w:ascii="Arial" w:hAnsi="Arial" w:cs="Arial"/>
                <w:bCs/>
                <w:color w:val="auto"/>
                <w:sz w:val="24"/>
                <w:highlight w:val="none"/>
              </w:rPr>
              <w:t>提供远程临床应用服务，实时解决客户临床问题</w:t>
            </w:r>
          </w:p>
          <w:p w14:paraId="1D2CADFD">
            <w:pPr>
              <w:rPr>
                <w:rFonts w:ascii="Arial" w:hAnsi="Arial" w:cs="Arial"/>
                <w:bCs/>
                <w:color w:val="auto"/>
                <w:sz w:val="24"/>
                <w:highlight w:val="none"/>
              </w:rPr>
            </w:pPr>
            <w:r>
              <w:rPr>
                <w:rFonts w:ascii="Arial" w:hAnsi="Arial" w:cs="Arial"/>
                <w:bCs/>
                <w:color w:val="auto"/>
                <w:sz w:val="24"/>
                <w:highlight w:val="none"/>
              </w:rPr>
              <w:t>4.5</w:t>
            </w:r>
            <w:r>
              <w:rPr>
                <w:rFonts w:ascii="Arial" w:hAnsi="Arial" w:cs="Arial"/>
                <w:bCs/>
                <w:color w:val="auto"/>
                <w:sz w:val="24"/>
                <w:highlight w:val="none"/>
              </w:rPr>
              <w:tab/>
            </w:r>
            <w:r>
              <w:rPr>
                <w:rFonts w:ascii="Arial" w:hAnsi="Arial" w:cs="Arial"/>
                <w:bCs/>
                <w:color w:val="auto"/>
                <w:sz w:val="24"/>
                <w:highlight w:val="none"/>
              </w:rPr>
              <w:t>提供远程电话临床应用支持，针对客户在设备保修期内设备使用过程中出现的扫描参数、操作流程、图像后处理、临床应用等问题通过客服电话解决</w:t>
            </w:r>
          </w:p>
          <w:p w14:paraId="46D50F8E">
            <w:pPr>
              <w:rPr>
                <w:rFonts w:ascii="Arial" w:hAnsi="Arial" w:cs="Arial"/>
                <w:bCs/>
                <w:color w:val="auto"/>
                <w:sz w:val="24"/>
                <w:highlight w:val="none"/>
              </w:rPr>
            </w:pPr>
            <w:r>
              <w:rPr>
                <w:rFonts w:ascii="Arial" w:hAnsi="Arial" w:cs="Arial"/>
                <w:bCs/>
                <w:color w:val="auto"/>
                <w:sz w:val="24"/>
                <w:highlight w:val="none"/>
              </w:rPr>
              <w:t>4.6</w:t>
            </w:r>
            <w:r>
              <w:rPr>
                <w:rFonts w:ascii="Arial" w:hAnsi="Arial" w:cs="Arial"/>
                <w:bCs/>
                <w:color w:val="auto"/>
                <w:sz w:val="24"/>
                <w:highlight w:val="none"/>
              </w:rPr>
              <w:tab/>
            </w:r>
            <w:r>
              <w:rPr>
                <w:rFonts w:ascii="Arial" w:hAnsi="Arial" w:cs="Arial"/>
                <w:bCs/>
                <w:color w:val="auto"/>
                <w:sz w:val="24"/>
                <w:highlight w:val="none"/>
              </w:rPr>
              <w:t>提供保修服务现场应用支持，针对客户在设备保修期内设备使用过程中出现的扫描参数、操作流程、图像后处理、临床应用等问题客户可根据合同约定联系厂家派遣的临床应用专员到医院现场解决</w:t>
            </w:r>
          </w:p>
          <w:p w14:paraId="44623F27">
            <w:pPr>
              <w:rPr>
                <w:rFonts w:ascii="Arial" w:hAnsi="Arial" w:cs="Arial"/>
                <w:bCs/>
                <w:color w:val="auto"/>
                <w:sz w:val="24"/>
                <w:highlight w:val="none"/>
              </w:rPr>
            </w:pPr>
            <w:r>
              <w:rPr>
                <w:rFonts w:ascii="Arial" w:hAnsi="Arial" w:cs="Arial"/>
                <w:bCs/>
                <w:color w:val="auto"/>
                <w:sz w:val="24"/>
                <w:highlight w:val="none"/>
              </w:rPr>
              <w:t>4.7 提供工作站肺组织分析功能。</w:t>
            </w:r>
          </w:p>
          <w:p w14:paraId="7F692926">
            <w:pPr>
              <w:rPr>
                <w:rFonts w:ascii="Arial" w:hAnsi="Arial" w:cs="Arial"/>
                <w:bCs/>
                <w:color w:val="auto"/>
                <w:sz w:val="24"/>
                <w:highlight w:val="none"/>
              </w:rPr>
            </w:pPr>
            <w:r>
              <w:rPr>
                <w:rFonts w:ascii="Arial" w:hAnsi="Arial" w:cs="Arial"/>
                <w:bCs/>
                <w:color w:val="auto"/>
                <w:sz w:val="24"/>
                <w:highlight w:val="none"/>
              </w:rPr>
              <w:t>4.8 提供3人次/3年CT使用培训。</w:t>
            </w:r>
          </w:p>
          <w:p w14:paraId="53877760">
            <w:pPr>
              <w:rPr>
                <w:rFonts w:ascii="Arial" w:hAnsi="Arial" w:cs="Arial"/>
                <w:bCs/>
                <w:color w:val="auto"/>
                <w:sz w:val="24"/>
                <w:highlight w:val="none"/>
              </w:rPr>
            </w:pPr>
            <w:r>
              <w:rPr>
                <w:rFonts w:ascii="Arial" w:hAnsi="Arial" w:cs="Arial"/>
                <w:bCs/>
                <w:color w:val="auto"/>
                <w:sz w:val="24"/>
                <w:highlight w:val="none"/>
              </w:rPr>
              <w:t>5、数字化服务能力要求</w:t>
            </w:r>
          </w:p>
          <w:p w14:paraId="241BB87C">
            <w:pPr>
              <w:rPr>
                <w:rFonts w:ascii="Arial" w:hAnsi="Arial" w:cs="Arial"/>
                <w:bCs/>
                <w:color w:val="auto"/>
                <w:sz w:val="24"/>
                <w:highlight w:val="none"/>
              </w:rPr>
            </w:pPr>
            <w:r>
              <w:rPr>
                <w:rFonts w:ascii="Arial" w:hAnsi="Arial" w:cs="Arial"/>
                <w:bCs/>
                <w:color w:val="auto"/>
                <w:sz w:val="24"/>
                <w:highlight w:val="none"/>
              </w:rPr>
              <w:t>5.1</w:t>
            </w:r>
            <w:r>
              <w:rPr>
                <w:rFonts w:ascii="Arial" w:hAnsi="Arial" w:cs="Arial"/>
                <w:bCs/>
                <w:color w:val="auto"/>
                <w:sz w:val="24"/>
                <w:highlight w:val="none"/>
              </w:rPr>
              <w:tab/>
            </w:r>
            <w:r>
              <w:rPr>
                <w:rFonts w:ascii="Arial" w:hAnsi="Arial" w:cs="Arial"/>
                <w:bCs/>
                <w:color w:val="auto"/>
                <w:sz w:val="24"/>
                <w:highlight w:val="none"/>
              </w:rPr>
              <w:t>提供数字化远程守护服务，并对球管、高压等核心备件相关参数、扫描量、磁盘空间、温湿度等提供实时监测及故障诊断</w:t>
            </w:r>
          </w:p>
          <w:p w14:paraId="648D38DE">
            <w:pPr>
              <w:rPr>
                <w:rFonts w:ascii="Arial" w:hAnsi="Arial" w:cs="Arial"/>
                <w:bCs/>
                <w:color w:val="auto"/>
                <w:sz w:val="24"/>
                <w:highlight w:val="none"/>
              </w:rPr>
            </w:pPr>
            <w:r>
              <w:rPr>
                <w:rFonts w:ascii="Arial" w:hAnsi="Arial" w:cs="Arial"/>
                <w:bCs/>
                <w:color w:val="auto"/>
                <w:sz w:val="24"/>
                <w:highlight w:val="none"/>
              </w:rPr>
              <w:t>5.2</w:t>
            </w:r>
            <w:r>
              <w:rPr>
                <w:rFonts w:ascii="Arial" w:hAnsi="Arial" w:cs="Arial"/>
                <w:bCs/>
                <w:color w:val="auto"/>
                <w:sz w:val="24"/>
                <w:highlight w:val="none"/>
              </w:rPr>
              <w:tab/>
            </w:r>
            <w:r>
              <w:rPr>
                <w:rFonts w:ascii="Arial" w:hAnsi="Arial" w:cs="Arial"/>
                <w:bCs/>
                <w:color w:val="auto"/>
                <w:sz w:val="24"/>
                <w:highlight w:val="none"/>
              </w:rPr>
              <w:t>支持客户通过登录提供的链接查询相关设备状态信息</w:t>
            </w:r>
          </w:p>
          <w:p w14:paraId="6E29B222">
            <w:pPr>
              <w:rPr>
                <w:rFonts w:ascii="Arial" w:hAnsi="Arial" w:cs="Arial"/>
                <w:bCs/>
                <w:color w:val="auto"/>
                <w:sz w:val="24"/>
                <w:highlight w:val="none"/>
              </w:rPr>
            </w:pPr>
            <w:r>
              <w:rPr>
                <w:rFonts w:ascii="Arial" w:hAnsi="Arial" w:cs="Arial"/>
                <w:bCs/>
                <w:color w:val="auto"/>
                <w:sz w:val="24"/>
                <w:highlight w:val="none"/>
              </w:rPr>
              <w:t>5.3</w:t>
            </w:r>
            <w:r>
              <w:rPr>
                <w:rFonts w:ascii="Arial" w:hAnsi="Arial" w:cs="Arial"/>
                <w:bCs/>
                <w:color w:val="auto"/>
                <w:sz w:val="24"/>
                <w:highlight w:val="none"/>
              </w:rPr>
              <w:tab/>
            </w:r>
            <w:r>
              <w:rPr>
                <w:rFonts w:ascii="Arial" w:hAnsi="Arial" w:cs="Arial"/>
                <w:bCs/>
                <w:color w:val="auto"/>
                <w:sz w:val="24"/>
                <w:highlight w:val="none"/>
              </w:rPr>
              <w:t>支持设备服务预约以及维修纪录查询</w:t>
            </w:r>
          </w:p>
          <w:p w14:paraId="56F7CB51">
            <w:pPr>
              <w:rPr>
                <w:rFonts w:ascii="Arial" w:hAnsi="Arial" w:cs="Arial"/>
                <w:bCs/>
                <w:color w:val="auto"/>
                <w:sz w:val="24"/>
                <w:highlight w:val="none"/>
              </w:rPr>
            </w:pPr>
            <w:r>
              <w:rPr>
                <w:rFonts w:ascii="Arial" w:hAnsi="Arial" w:cs="Arial"/>
                <w:bCs/>
                <w:color w:val="auto"/>
                <w:sz w:val="24"/>
                <w:highlight w:val="none"/>
              </w:rPr>
              <w:t>5.4</w:t>
            </w:r>
            <w:r>
              <w:rPr>
                <w:rFonts w:ascii="Arial" w:hAnsi="Arial" w:cs="Arial"/>
                <w:bCs/>
                <w:color w:val="auto"/>
                <w:sz w:val="24"/>
                <w:highlight w:val="none"/>
              </w:rPr>
              <w:tab/>
            </w:r>
            <w:r>
              <w:rPr>
                <w:rFonts w:ascii="Arial" w:hAnsi="Arial" w:cs="Arial"/>
                <w:bCs/>
                <w:color w:val="auto"/>
                <w:sz w:val="24"/>
                <w:highlight w:val="none"/>
              </w:rPr>
              <w:t>支持合同状态、工程师派工、保养记录、维修记录等多种信息查询</w:t>
            </w:r>
          </w:p>
          <w:p w14:paraId="411367FE">
            <w:pPr>
              <w:rPr>
                <w:rFonts w:ascii="Arial" w:hAnsi="Arial" w:cs="Arial"/>
                <w:bCs/>
                <w:color w:val="auto"/>
                <w:sz w:val="24"/>
                <w:highlight w:val="none"/>
              </w:rPr>
            </w:pPr>
            <w:r>
              <w:rPr>
                <w:rFonts w:ascii="Arial" w:hAnsi="Arial" w:cs="Arial"/>
                <w:bCs/>
                <w:color w:val="auto"/>
                <w:sz w:val="24"/>
                <w:highlight w:val="none"/>
              </w:rPr>
              <w:t>5.5</w:t>
            </w:r>
            <w:r>
              <w:rPr>
                <w:rFonts w:ascii="Arial" w:hAnsi="Arial" w:cs="Arial"/>
                <w:bCs/>
                <w:color w:val="auto"/>
                <w:sz w:val="24"/>
                <w:highlight w:val="none"/>
              </w:rPr>
              <w:tab/>
            </w:r>
            <w:r>
              <w:rPr>
                <w:rFonts w:ascii="Arial" w:hAnsi="Arial" w:cs="Arial"/>
                <w:bCs/>
                <w:color w:val="auto"/>
                <w:sz w:val="24"/>
                <w:highlight w:val="none"/>
              </w:rPr>
              <w:t>支持二维码资产管理以及扫码报修</w:t>
            </w:r>
          </w:p>
          <w:p w14:paraId="21F60498">
            <w:pPr>
              <w:rPr>
                <w:rFonts w:ascii="Arial" w:hAnsi="Arial" w:cs="Arial"/>
                <w:bCs/>
                <w:color w:val="auto"/>
                <w:sz w:val="24"/>
                <w:highlight w:val="none"/>
              </w:rPr>
            </w:pPr>
            <w:r>
              <w:rPr>
                <w:rFonts w:ascii="Arial" w:hAnsi="Arial" w:cs="Arial"/>
                <w:bCs/>
                <w:color w:val="auto"/>
                <w:sz w:val="24"/>
                <w:highlight w:val="none"/>
              </w:rPr>
              <w:t>5.6</w:t>
            </w:r>
            <w:r>
              <w:rPr>
                <w:rFonts w:ascii="Arial" w:hAnsi="Arial" w:cs="Arial"/>
                <w:bCs/>
                <w:color w:val="auto"/>
                <w:sz w:val="24"/>
                <w:highlight w:val="none"/>
              </w:rPr>
              <w:tab/>
            </w:r>
            <w:r>
              <w:rPr>
                <w:rFonts w:ascii="Arial" w:hAnsi="Arial" w:cs="Arial"/>
                <w:bCs/>
                <w:color w:val="auto"/>
                <w:sz w:val="24"/>
                <w:highlight w:val="none"/>
              </w:rPr>
              <w:t>支持应用服务适配PC机和手持移动终端设备</w:t>
            </w:r>
          </w:p>
          <w:p w14:paraId="2AB2635A">
            <w:pPr>
              <w:rPr>
                <w:rFonts w:ascii="Arial" w:hAnsi="Arial" w:cs="Arial"/>
                <w:bCs/>
                <w:color w:val="auto"/>
                <w:sz w:val="24"/>
                <w:highlight w:val="none"/>
              </w:rPr>
            </w:pPr>
            <w:r>
              <w:rPr>
                <w:rFonts w:ascii="Arial" w:hAnsi="Arial" w:cs="Arial"/>
                <w:bCs/>
                <w:color w:val="auto"/>
                <w:sz w:val="24"/>
                <w:highlight w:val="none"/>
              </w:rPr>
              <w:t>5.7提供绩效分析服务</w:t>
            </w:r>
          </w:p>
        </w:tc>
        <w:tc>
          <w:tcPr>
            <w:tcW w:w="757" w:type="dxa"/>
            <w:vAlign w:val="center"/>
          </w:tcPr>
          <w:p w14:paraId="1FD9FF66">
            <w:pPr>
              <w:jc w:val="center"/>
              <w:rPr>
                <w:rFonts w:ascii="Arial" w:hAnsi="Arial" w:cs="Arial"/>
                <w:b/>
                <w:color w:val="auto"/>
                <w:sz w:val="24"/>
                <w:highlight w:val="none"/>
              </w:rPr>
            </w:pPr>
            <w:r>
              <w:rPr>
                <w:rFonts w:ascii="Arial" w:hAnsi="Arial" w:cs="Arial"/>
                <w:b/>
                <w:color w:val="auto"/>
                <w:sz w:val="24"/>
                <w:highlight w:val="none"/>
              </w:rPr>
              <w:t>1</w:t>
            </w:r>
          </w:p>
        </w:tc>
      </w:tr>
    </w:tbl>
    <w:p w14:paraId="79B9985A">
      <w:pPr>
        <w:spacing w:line="312" w:lineRule="auto"/>
        <w:rPr>
          <w:rFonts w:ascii="Arial" w:hAnsi="Arial" w:cs="Arial"/>
          <w:b/>
          <w:bCs/>
          <w:color w:val="auto"/>
          <w:sz w:val="24"/>
          <w:highlight w:val="none"/>
        </w:rPr>
      </w:pPr>
      <w:r>
        <w:rPr>
          <w:rFonts w:hint="eastAsia" w:ascii="Arial" w:hAnsi="Arial" w:cs="Arial"/>
          <w:b/>
          <w:bCs/>
          <w:color w:val="auto"/>
          <w:sz w:val="24"/>
          <w:highlight w:val="none"/>
        </w:rPr>
        <w:t>二、商务要求</w:t>
      </w:r>
    </w:p>
    <w:p w14:paraId="18BB7E84">
      <w:pPr>
        <w:spacing w:line="312" w:lineRule="auto"/>
        <w:rPr>
          <w:color w:val="auto"/>
          <w:sz w:val="24"/>
          <w:highlight w:val="none"/>
        </w:rPr>
      </w:pPr>
      <w:r>
        <w:rPr>
          <w:rFonts w:hint="eastAsia"/>
          <w:color w:val="auto"/>
          <w:sz w:val="24"/>
          <w:highlight w:val="none"/>
        </w:rPr>
        <w:t>1．报价要求</w:t>
      </w:r>
    </w:p>
    <w:p w14:paraId="1F0913F4">
      <w:pPr>
        <w:spacing w:line="312" w:lineRule="auto"/>
        <w:rPr>
          <w:color w:val="auto"/>
          <w:sz w:val="24"/>
          <w:highlight w:val="none"/>
        </w:rPr>
      </w:pPr>
      <w:r>
        <w:rPr>
          <w:rFonts w:hint="eastAsia"/>
          <w:color w:val="auto"/>
          <w:sz w:val="24"/>
          <w:highlight w:val="none"/>
        </w:rPr>
        <w:t>本次报价须为人民币报价，包含人工费（含交通差旅、加班费）、耗材费、运输费（含装卸费、搬运费）、技术支持费、保险费、安装调试费、税费、培训费、检测费、维护费</w:t>
      </w:r>
      <w:r>
        <w:rPr>
          <w:rFonts w:hint="eastAsia"/>
          <w:color w:val="auto"/>
          <w:sz w:val="24"/>
          <w:highlight w:val="none"/>
          <w:lang w:eastAsia="zh-CN"/>
        </w:rPr>
        <w:t>、</w:t>
      </w:r>
      <w:r>
        <w:rPr>
          <w:rFonts w:hint="eastAsia"/>
          <w:color w:val="auto"/>
          <w:sz w:val="24"/>
          <w:highlight w:val="none"/>
          <w:lang w:val="en-US" w:eastAsia="zh-CN"/>
        </w:rPr>
        <w:t>招标代理服务费</w:t>
      </w:r>
      <w:r>
        <w:rPr>
          <w:rFonts w:hint="eastAsia"/>
          <w:color w:val="auto"/>
          <w:sz w:val="24"/>
          <w:highlight w:val="none"/>
        </w:rPr>
        <w:t>等费用。对于本文件中明确列明必须报价的服务，供应商应分别报价。对于本文件中未列明，而供应商认为必需的费用也需列入总报价。在合同实施时，采购人将不予支付中标供应商没有列入的项目费用，并认为此项目的费用已包括在投标总报价中。</w:t>
      </w:r>
    </w:p>
    <w:p w14:paraId="7A48AB89">
      <w:pPr>
        <w:spacing w:line="312" w:lineRule="auto"/>
        <w:rPr>
          <w:color w:val="auto"/>
          <w:sz w:val="24"/>
          <w:highlight w:val="none"/>
        </w:rPr>
      </w:pPr>
      <w:r>
        <w:rPr>
          <w:rFonts w:hint="eastAsia"/>
          <w:color w:val="auto"/>
          <w:sz w:val="24"/>
          <w:highlight w:val="none"/>
        </w:rPr>
        <w:t>2.合同签订日期</w:t>
      </w:r>
    </w:p>
    <w:p w14:paraId="6DF2DED3">
      <w:pPr>
        <w:spacing w:line="312" w:lineRule="auto"/>
        <w:rPr>
          <w:rFonts w:ascii="宋体" w:hAnsi="宋体"/>
          <w:i/>
          <w:color w:val="auto"/>
          <w:sz w:val="24"/>
          <w:highlight w:val="none"/>
        </w:rPr>
      </w:pPr>
      <w:r>
        <w:rPr>
          <w:rFonts w:hint="eastAsia"/>
          <w:color w:val="auto"/>
          <w:sz w:val="24"/>
          <w:highlight w:val="none"/>
        </w:rPr>
        <w:t>中标通知书发出后</w:t>
      </w:r>
      <w:r>
        <w:rPr>
          <w:color w:val="auto"/>
          <w:sz w:val="24"/>
          <w:highlight w:val="none"/>
        </w:rPr>
        <w:t>25</w:t>
      </w:r>
      <w:r>
        <w:rPr>
          <w:rFonts w:hint="eastAsia"/>
          <w:color w:val="auto"/>
          <w:sz w:val="24"/>
          <w:highlight w:val="none"/>
        </w:rPr>
        <w:t>日内。</w:t>
      </w:r>
    </w:p>
    <w:p w14:paraId="785ABFE0">
      <w:pPr>
        <w:spacing w:line="312" w:lineRule="auto"/>
        <w:rPr>
          <w:color w:val="auto"/>
          <w:sz w:val="24"/>
          <w:highlight w:val="none"/>
        </w:rPr>
      </w:pPr>
      <w:r>
        <w:rPr>
          <w:rFonts w:hint="eastAsia"/>
          <w:color w:val="auto"/>
          <w:sz w:val="24"/>
          <w:highlight w:val="none"/>
        </w:rPr>
        <w:t>3.</w:t>
      </w:r>
      <w:bookmarkStart w:id="18" w:name="_Hlk132878479"/>
      <w:r>
        <w:rPr>
          <w:rFonts w:hint="eastAsia"/>
          <w:color w:val="auto"/>
          <w:sz w:val="24"/>
          <w:highlight w:val="none"/>
        </w:rPr>
        <w:t>服务期限：自签订合同之日起3年</w:t>
      </w:r>
    </w:p>
    <w:bookmarkEnd w:id="18"/>
    <w:p w14:paraId="6DD2FD68">
      <w:pPr>
        <w:spacing w:line="312" w:lineRule="auto"/>
        <w:rPr>
          <w:color w:val="auto"/>
          <w:sz w:val="24"/>
          <w:highlight w:val="none"/>
        </w:rPr>
      </w:pPr>
      <w:r>
        <w:rPr>
          <w:rFonts w:hint="eastAsia"/>
          <w:color w:val="auto"/>
          <w:sz w:val="24"/>
          <w:highlight w:val="none"/>
        </w:rPr>
        <w:t>4.付款方式：</w:t>
      </w:r>
    </w:p>
    <w:p w14:paraId="041B691E">
      <w:pPr>
        <w:spacing w:line="312" w:lineRule="auto"/>
        <w:rPr>
          <w:color w:val="auto"/>
          <w:sz w:val="24"/>
          <w:highlight w:val="none"/>
        </w:rPr>
      </w:pPr>
      <w:r>
        <w:rPr>
          <w:rFonts w:hint="eastAsia"/>
          <w:color w:val="auto"/>
          <w:sz w:val="24"/>
          <w:highlight w:val="none"/>
        </w:rPr>
        <w:t>采购人与中标供应商双方在签订合同后，中标供应商在一个月内开具税务发票，采购人收到税务发票后转账支付合同款的10%，第一保修年结束后一个月内开具税务发票，采购人收到税务发票后转账支付合同款的30%，第二保修年结束后一个月内开具税务发票，采购人收到税务发票后转账支付合同款的30%，第三保修年结束并服务合格后一个月内开具税务发票，采购人收到税务发票后转账支付合同款的30%给中标供应商（无息）。</w:t>
      </w:r>
    </w:p>
    <w:p w14:paraId="40ACADF8">
      <w:pPr>
        <w:spacing w:line="312" w:lineRule="auto"/>
        <w:rPr>
          <w:color w:val="auto"/>
          <w:sz w:val="24"/>
          <w:highlight w:val="none"/>
        </w:rPr>
      </w:pPr>
      <w:r>
        <w:rPr>
          <w:rFonts w:hint="eastAsia"/>
          <w:color w:val="auto"/>
          <w:sz w:val="24"/>
          <w:highlight w:val="none"/>
        </w:rPr>
        <w:t>5.履约保证金</w:t>
      </w:r>
    </w:p>
    <w:p w14:paraId="72972BE3">
      <w:pPr>
        <w:spacing w:line="312" w:lineRule="auto"/>
        <w:rPr>
          <w:rFonts w:eastAsia="黑体"/>
          <w:color w:val="auto"/>
          <w:sz w:val="24"/>
          <w:highlight w:val="none"/>
        </w:rPr>
      </w:pPr>
      <w:r>
        <w:rPr>
          <w:rFonts w:hint="eastAsia" w:eastAsia="黑体"/>
          <w:color w:val="auto"/>
          <w:sz w:val="24"/>
          <w:highlight w:val="none"/>
        </w:rPr>
        <w:t>无</w:t>
      </w:r>
    </w:p>
    <w:p w14:paraId="4A88BEB0">
      <w:pPr>
        <w:rPr>
          <w:rFonts w:ascii="Arial" w:hAnsi="Arial" w:cs="Arial"/>
          <w:color w:val="auto"/>
          <w:szCs w:val="21"/>
          <w:highlight w:val="none"/>
        </w:rPr>
      </w:pPr>
      <w:r>
        <w:rPr>
          <w:rFonts w:ascii="Arial" w:hAnsi="Arial" w:cs="Arial"/>
          <w:color w:val="auto"/>
          <w:szCs w:val="21"/>
          <w:highlight w:val="none"/>
        </w:rPr>
        <w:br w:type="page"/>
      </w:r>
    </w:p>
    <w:p w14:paraId="43DE436C">
      <w:pPr>
        <w:spacing w:line="528" w:lineRule="exact"/>
        <w:ind w:firstLine="210" w:firstLineChars="100"/>
        <w:rPr>
          <w:rFonts w:ascii="Arial" w:hAnsi="Arial" w:cs="Arial"/>
          <w:color w:val="auto"/>
          <w:szCs w:val="21"/>
          <w:highlight w:val="none"/>
        </w:rPr>
        <w:sectPr>
          <w:headerReference r:id="rId15" w:type="first"/>
          <w:headerReference r:id="rId14" w:type="default"/>
          <w:footerReference r:id="rId16" w:type="default"/>
          <w:type w:val="continuous"/>
          <w:pgSz w:w="11906" w:h="16838"/>
          <w:pgMar w:top="993" w:right="1133" w:bottom="1246" w:left="1418" w:header="851" w:footer="992" w:gutter="0"/>
          <w:cols w:space="720" w:num="1"/>
          <w:titlePg/>
          <w:docGrid w:linePitch="312" w:charSpace="0"/>
        </w:sectPr>
      </w:pPr>
    </w:p>
    <w:p w14:paraId="56BEE248">
      <w:pPr>
        <w:spacing w:line="360" w:lineRule="auto"/>
        <w:rPr>
          <w:rFonts w:ascii="Arial" w:hAnsi="Arial" w:cs="Arial"/>
          <w:color w:val="auto"/>
          <w:szCs w:val="21"/>
          <w:highlight w:val="none"/>
        </w:rPr>
      </w:pPr>
      <w:bookmarkStart w:id="19" w:name="_Hlk132878609"/>
    </w:p>
    <w:bookmarkEnd w:id="19"/>
    <w:p w14:paraId="670CE6F0">
      <w:pPr>
        <w:pStyle w:val="2"/>
        <w:snapToGrid w:val="0"/>
        <w:spacing w:before="0" w:after="0" w:line="240" w:lineRule="auto"/>
        <w:jc w:val="center"/>
        <w:rPr>
          <w:rFonts w:ascii="Arial" w:hAnsi="Arial" w:cs="Arial"/>
          <w:color w:val="auto"/>
          <w:highlight w:val="none"/>
        </w:rPr>
      </w:pPr>
      <w:bookmarkStart w:id="20" w:name="_Toc15150"/>
      <w:r>
        <w:rPr>
          <w:rFonts w:ascii="Arial" w:hAnsi="Arial" w:cs="Arial"/>
          <w:color w:val="auto"/>
          <w:highlight w:val="none"/>
        </w:rPr>
        <w:t>第三章  供应商须知</w:t>
      </w:r>
      <w:bookmarkEnd w:id="20"/>
      <w:bookmarkStart w:id="21" w:name="_Toc254970667"/>
      <w:bookmarkStart w:id="22" w:name="_Toc254970526"/>
    </w:p>
    <w:p w14:paraId="64D6D232">
      <w:pPr>
        <w:pStyle w:val="3"/>
        <w:spacing w:before="40" w:after="40"/>
        <w:jc w:val="center"/>
        <w:rPr>
          <w:rFonts w:eastAsia="宋体" w:cs="Arial"/>
          <w:color w:val="auto"/>
          <w:sz w:val="24"/>
          <w:szCs w:val="24"/>
          <w:highlight w:val="none"/>
        </w:rPr>
      </w:pPr>
      <w:bookmarkStart w:id="23" w:name="_投标人须知前附表"/>
      <w:bookmarkEnd w:id="23"/>
      <w:bookmarkStart w:id="24" w:name="_Hlk89163557"/>
      <w:r>
        <w:rPr>
          <w:rFonts w:eastAsia="宋体" w:cs="Arial"/>
          <w:color w:val="auto"/>
          <w:sz w:val="24"/>
          <w:szCs w:val="24"/>
          <w:highlight w:val="none"/>
        </w:rPr>
        <w:t>供应商须知前附表</w:t>
      </w:r>
      <w:bookmarkEnd w:id="21"/>
      <w:bookmarkEnd w:id="22"/>
    </w:p>
    <w:bookmarkEnd w:id="24"/>
    <w:tbl>
      <w:tblPr>
        <w:tblStyle w:val="52"/>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7EDA00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vAlign w:val="center"/>
          </w:tcPr>
          <w:p w14:paraId="34878EC8">
            <w:pPr>
              <w:jc w:val="center"/>
              <w:rPr>
                <w:rFonts w:ascii="Arial" w:hAnsi="Arial" w:cs="Arial"/>
                <w:b/>
                <w:color w:val="auto"/>
                <w:szCs w:val="21"/>
                <w:highlight w:val="none"/>
              </w:rPr>
            </w:pPr>
            <w:r>
              <w:rPr>
                <w:rFonts w:ascii="Arial" w:hAnsi="Arial" w:cs="Arial"/>
                <w:b/>
                <w:color w:val="auto"/>
                <w:szCs w:val="21"/>
                <w:highlight w:val="none"/>
              </w:rPr>
              <w:t>条款号</w:t>
            </w:r>
          </w:p>
        </w:tc>
        <w:tc>
          <w:tcPr>
            <w:tcW w:w="1248" w:type="dxa"/>
            <w:tcBorders>
              <w:top w:val="single" w:color="auto" w:sz="4" w:space="0"/>
              <w:left w:val="single" w:color="auto" w:sz="4" w:space="0"/>
              <w:bottom w:val="single" w:color="auto" w:sz="4" w:space="0"/>
              <w:right w:val="single" w:color="auto" w:sz="4" w:space="0"/>
            </w:tcBorders>
            <w:vAlign w:val="center"/>
          </w:tcPr>
          <w:p w14:paraId="0B05126F">
            <w:pPr>
              <w:jc w:val="center"/>
              <w:rPr>
                <w:rFonts w:ascii="Arial" w:hAnsi="Arial" w:cs="Arial"/>
                <w:b/>
                <w:color w:val="auto"/>
                <w:szCs w:val="21"/>
                <w:highlight w:val="none"/>
              </w:rPr>
            </w:pPr>
            <w:r>
              <w:rPr>
                <w:rFonts w:ascii="Arial" w:hAnsi="Arial" w:cs="Arial"/>
                <w:b/>
                <w:color w:val="auto"/>
                <w:szCs w:val="21"/>
                <w:highlight w:val="none"/>
              </w:rPr>
              <w:t>要点</w:t>
            </w:r>
          </w:p>
        </w:tc>
        <w:tc>
          <w:tcPr>
            <w:tcW w:w="7229" w:type="dxa"/>
            <w:tcBorders>
              <w:top w:val="single" w:color="auto" w:sz="4" w:space="0"/>
              <w:left w:val="single" w:color="auto" w:sz="4" w:space="0"/>
              <w:bottom w:val="single" w:color="auto" w:sz="4" w:space="0"/>
              <w:right w:val="single" w:color="auto" w:sz="4" w:space="0"/>
            </w:tcBorders>
            <w:vAlign w:val="center"/>
          </w:tcPr>
          <w:p w14:paraId="3A2243CC">
            <w:pPr>
              <w:jc w:val="center"/>
              <w:rPr>
                <w:rFonts w:ascii="Arial" w:hAnsi="Arial" w:cs="Arial"/>
                <w:b/>
                <w:color w:val="auto"/>
                <w:szCs w:val="21"/>
                <w:highlight w:val="none"/>
              </w:rPr>
            </w:pPr>
            <w:r>
              <w:rPr>
                <w:rFonts w:ascii="Arial" w:hAnsi="Arial" w:cs="Arial"/>
                <w:b/>
                <w:color w:val="auto"/>
                <w:szCs w:val="21"/>
                <w:highlight w:val="none"/>
              </w:rPr>
              <w:t>内容、要求</w:t>
            </w:r>
          </w:p>
        </w:tc>
      </w:tr>
      <w:tr w14:paraId="5B612C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vAlign w:val="center"/>
          </w:tcPr>
          <w:p w14:paraId="491B1443">
            <w:pPr>
              <w:spacing w:line="300" w:lineRule="exact"/>
              <w:jc w:val="center"/>
              <w:rPr>
                <w:rFonts w:ascii="Arial" w:hAnsi="Arial" w:cs="Arial"/>
                <w:b/>
                <w:color w:val="auto"/>
                <w:szCs w:val="21"/>
                <w:highlight w:val="none"/>
              </w:rPr>
            </w:pPr>
            <w:r>
              <w:rPr>
                <w:rFonts w:ascii="Arial" w:hAnsi="Arial" w:cs="Arial"/>
                <w:b/>
                <w:color w:val="auto"/>
                <w:szCs w:val="21"/>
                <w:highlight w:val="none"/>
              </w:rPr>
              <w:t>1.3.1</w:t>
            </w:r>
          </w:p>
        </w:tc>
        <w:tc>
          <w:tcPr>
            <w:tcW w:w="1248" w:type="dxa"/>
            <w:tcBorders>
              <w:top w:val="single" w:color="auto" w:sz="4" w:space="0"/>
              <w:left w:val="single" w:color="auto" w:sz="4" w:space="0"/>
              <w:bottom w:val="single" w:color="auto" w:sz="4" w:space="0"/>
              <w:right w:val="single" w:color="auto" w:sz="4" w:space="0"/>
            </w:tcBorders>
            <w:vAlign w:val="center"/>
          </w:tcPr>
          <w:p w14:paraId="0729B4F1">
            <w:pPr>
              <w:spacing w:line="300" w:lineRule="exact"/>
              <w:jc w:val="center"/>
              <w:rPr>
                <w:rFonts w:ascii="Arial" w:hAnsi="Arial" w:cs="Arial"/>
                <w:color w:val="auto"/>
                <w:szCs w:val="21"/>
                <w:highlight w:val="none"/>
              </w:rPr>
            </w:pPr>
            <w:r>
              <w:rPr>
                <w:rFonts w:ascii="Arial" w:hAnsi="Arial" w:cs="Arial"/>
                <w:color w:val="auto"/>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vAlign w:val="center"/>
          </w:tcPr>
          <w:p w14:paraId="28208ED1">
            <w:pPr>
              <w:spacing w:line="300" w:lineRule="exact"/>
              <w:jc w:val="left"/>
              <w:rPr>
                <w:rFonts w:hint="eastAsia" w:ascii="Arial" w:hAnsi="Arial" w:eastAsia="宋体" w:cs="Arial"/>
                <w:color w:val="auto"/>
                <w:szCs w:val="21"/>
                <w:highlight w:val="none"/>
                <w:lang w:eastAsia="zh-CN"/>
              </w:rPr>
            </w:pPr>
            <w:r>
              <w:rPr>
                <w:rFonts w:ascii="Arial" w:hAnsi="Arial" w:cs="Arial"/>
                <w:color w:val="auto"/>
                <w:szCs w:val="21"/>
                <w:highlight w:val="none"/>
              </w:rPr>
              <w:t>项目名称：</w:t>
            </w:r>
            <w:r>
              <w:rPr>
                <w:rFonts w:hint="eastAsia" w:ascii="Arial" w:hAnsi="Arial" w:cs="Arial"/>
                <w:color w:val="auto"/>
                <w:kern w:val="0"/>
                <w:szCs w:val="21"/>
                <w:highlight w:val="none"/>
                <w:lang w:eastAsia="zh-CN"/>
              </w:rPr>
              <w:t>256排CT等GE设备一批维保服务</w:t>
            </w:r>
          </w:p>
          <w:p w14:paraId="27E75356">
            <w:pPr>
              <w:spacing w:line="300" w:lineRule="exact"/>
              <w:jc w:val="left"/>
              <w:rPr>
                <w:rFonts w:hint="eastAsia" w:ascii="Arial" w:hAnsi="Arial" w:eastAsia="宋体" w:cs="Arial"/>
                <w:color w:val="auto"/>
                <w:szCs w:val="21"/>
                <w:highlight w:val="none"/>
                <w:lang w:eastAsia="zh-CN"/>
              </w:rPr>
            </w:pPr>
            <w:r>
              <w:rPr>
                <w:rFonts w:ascii="Arial" w:hAnsi="Arial" w:cs="Arial"/>
                <w:color w:val="auto"/>
                <w:szCs w:val="21"/>
                <w:highlight w:val="none"/>
              </w:rPr>
              <w:t>项目编号：</w:t>
            </w:r>
            <w:r>
              <w:rPr>
                <w:rFonts w:hint="eastAsia" w:ascii="Arial" w:hAnsi="Arial" w:cs="Arial"/>
                <w:color w:val="auto"/>
                <w:szCs w:val="21"/>
                <w:highlight w:val="none"/>
                <w:lang w:eastAsia="zh-CN"/>
              </w:rPr>
              <w:t>GXZC2026-G3-002039-JDZB</w:t>
            </w:r>
          </w:p>
          <w:p w14:paraId="2E0EBF82">
            <w:pPr>
              <w:spacing w:line="300" w:lineRule="exact"/>
              <w:jc w:val="left"/>
              <w:rPr>
                <w:rFonts w:ascii="Arial" w:hAnsi="Arial" w:cs="Arial"/>
                <w:color w:val="auto"/>
                <w:szCs w:val="21"/>
                <w:highlight w:val="none"/>
              </w:rPr>
            </w:pPr>
            <w:r>
              <w:rPr>
                <w:rFonts w:ascii="Arial" w:hAnsi="Arial" w:cs="Arial"/>
                <w:color w:val="auto"/>
                <w:szCs w:val="21"/>
                <w:highlight w:val="none"/>
              </w:rPr>
              <w:t>采购计划号</w:t>
            </w:r>
            <w:r>
              <w:rPr>
                <w:rFonts w:ascii="Arial" w:hAnsi="Arial" w:cs="Arial"/>
                <w:color w:val="auto"/>
                <w:szCs w:val="21"/>
                <w:highlight w:val="none"/>
              </w:rPr>
              <w:t>：</w:t>
            </w:r>
            <w:r>
              <w:rPr>
                <w:rFonts w:hint="eastAsia" w:ascii="Arial" w:hAnsi="Arial" w:cs="Arial"/>
                <w:color w:val="auto"/>
                <w:szCs w:val="21"/>
                <w:highlight w:val="none"/>
              </w:rPr>
              <w:t>广西政采[2026]12318号</w:t>
            </w:r>
          </w:p>
        </w:tc>
      </w:tr>
      <w:tr w14:paraId="32101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vAlign w:val="center"/>
          </w:tcPr>
          <w:p w14:paraId="1033D173">
            <w:pPr>
              <w:spacing w:line="300" w:lineRule="exact"/>
              <w:jc w:val="center"/>
              <w:rPr>
                <w:rFonts w:ascii="Arial" w:hAnsi="Arial" w:cs="Arial"/>
                <w:b/>
                <w:color w:val="auto"/>
                <w:szCs w:val="21"/>
                <w:highlight w:val="none"/>
              </w:rPr>
            </w:pPr>
            <w:r>
              <w:rPr>
                <w:rFonts w:ascii="Arial" w:hAnsi="Arial" w:cs="Arial"/>
                <w:b/>
                <w:color w:val="auto"/>
                <w:szCs w:val="21"/>
                <w:highlight w:val="none"/>
              </w:rPr>
              <w:t>1.3.2</w:t>
            </w:r>
          </w:p>
        </w:tc>
        <w:tc>
          <w:tcPr>
            <w:tcW w:w="1248" w:type="dxa"/>
            <w:tcBorders>
              <w:top w:val="single" w:color="auto" w:sz="4" w:space="0"/>
              <w:left w:val="single" w:color="auto" w:sz="4" w:space="0"/>
              <w:bottom w:val="single" w:color="auto" w:sz="4" w:space="0"/>
              <w:right w:val="single" w:color="auto" w:sz="4" w:space="0"/>
            </w:tcBorders>
            <w:vAlign w:val="center"/>
          </w:tcPr>
          <w:p w14:paraId="731E1FBF">
            <w:pPr>
              <w:spacing w:line="300" w:lineRule="exact"/>
              <w:jc w:val="center"/>
              <w:rPr>
                <w:rFonts w:ascii="Arial" w:hAnsi="Arial" w:cs="Arial"/>
                <w:color w:val="auto"/>
                <w:szCs w:val="21"/>
                <w:highlight w:val="none"/>
                <w:lang w:val="zh-CN"/>
              </w:rPr>
            </w:pPr>
            <w:r>
              <w:rPr>
                <w:rFonts w:hint="eastAsia" w:ascii="Arial" w:hAnsi="Arial" w:cs="Arial"/>
                <w:color w:val="auto"/>
                <w:szCs w:val="21"/>
                <w:highlight w:val="none"/>
                <w:lang w:val="zh-CN"/>
              </w:rPr>
              <w:t>采购</w:t>
            </w:r>
            <w:r>
              <w:rPr>
                <w:rFonts w:hint="eastAsia" w:ascii="Arial" w:hAnsi="Arial" w:cs="Arial"/>
                <w:color w:val="auto"/>
                <w:szCs w:val="21"/>
                <w:highlight w:val="none"/>
              </w:rPr>
              <w:t>方</w:t>
            </w:r>
            <w:r>
              <w:rPr>
                <w:rFonts w:ascii="Arial" w:hAnsi="Arial" w:cs="Arial"/>
                <w:color w:val="auto"/>
                <w:szCs w:val="21"/>
                <w:highlight w:val="none"/>
                <w:lang w:val="zh-CN"/>
              </w:rPr>
              <w:t>式</w:t>
            </w:r>
          </w:p>
        </w:tc>
        <w:tc>
          <w:tcPr>
            <w:tcW w:w="7229" w:type="dxa"/>
            <w:tcBorders>
              <w:top w:val="single" w:color="auto" w:sz="4" w:space="0"/>
              <w:left w:val="single" w:color="auto" w:sz="4" w:space="0"/>
              <w:bottom w:val="single" w:color="auto" w:sz="4" w:space="0"/>
              <w:right w:val="single" w:color="auto" w:sz="4" w:space="0"/>
            </w:tcBorders>
            <w:vAlign w:val="center"/>
          </w:tcPr>
          <w:p w14:paraId="6E8CBBAE">
            <w:pPr>
              <w:spacing w:line="300" w:lineRule="exact"/>
              <w:jc w:val="left"/>
              <w:rPr>
                <w:rFonts w:ascii="Arial" w:hAnsi="Arial" w:cs="Arial"/>
                <w:color w:val="auto"/>
                <w:szCs w:val="21"/>
                <w:highlight w:val="none"/>
              </w:rPr>
            </w:pPr>
            <w:r>
              <w:rPr>
                <w:rFonts w:ascii="Arial" w:hAnsi="Arial" w:cs="Arial"/>
                <w:color w:val="auto"/>
                <w:szCs w:val="21"/>
                <w:highlight w:val="none"/>
              </w:rPr>
              <w:t>公开招标。</w:t>
            </w:r>
          </w:p>
        </w:tc>
      </w:tr>
      <w:tr w14:paraId="5CB70B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vAlign w:val="center"/>
          </w:tcPr>
          <w:p w14:paraId="6481202B">
            <w:pPr>
              <w:spacing w:line="300" w:lineRule="exact"/>
              <w:jc w:val="center"/>
              <w:rPr>
                <w:rFonts w:ascii="Arial" w:hAnsi="Arial" w:cs="Arial"/>
                <w:b/>
                <w:color w:val="auto"/>
                <w:szCs w:val="21"/>
                <w:highlight w:val="none"/>
              </w:rPr>
            </w:pPr>
            <w:r>
              <w:rPr>
                <w:rFonts w:ascii="Arial" w:hAnsi="Arial" w:cs="Arial"/>
                <w:b/>
                <w:color w:val="auto"/>
                <w:szCs w:val="21"/>
                <w:highlight w:val="none"/>
              </w:rPr>
              <w:t>1.4</w:t>
            </w:r>
          </w:p>
        </w:tc>
        <w:tc>
          <w:tcPr>
            <w:tcW w:w="1248" w:type="dxa"/>
            <w:tcBorders>
              <w:top w:val="single" w:color="auto" w:sz="4" w:space="0"/>
              <w:left w:val="single" w:color="auto" w:sz="4" w:space="0"/>
              <w:bottom w:val="single" w:color="auto" w:sz="4" w:space="0"/>
              <w:right w:val="single" w:color="auto" w:sz="4" w:space="0"/>
            </w:tcBorders>
            <w:vAlign w:val="center"/>
          </w:tcPr>
          <w:p w14:paraId="0B9FA275">
            <w:pPr>
              <w:spacing w:line="300" w:lineRule="exact"/>
              <w:jc w:val="center"/>
              <w:rPr>
                <w:rFonts w:ascii="Arial" w:hAnsi="Arial" w:cs="Arial"/>
                <w:color w:val="auto"/>
                <w:szCs w:val="21"/>
                <w:highlight w:val="none"/>
                <w:lang w:val="zh-CN"/>
              </w:rPr>
            </w:pPr>
            <w:r>
              <w:rPr>
                <w:rFonts w:ascii="Arial" w:hAnsi="Arial" w:cs="Arial"/>
                <w:color w:val="auto"/>
                <w:szCs w:val="21"/>
                <w:highlight w:val="none"/>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vAlign w:val="center"/>
          </w:tcPr>
          <w:p w14:paraId="6B929076">
            <w:pPr>
              <w:spacing w:line="300" w:lineRule="exact"/>
              <w:jc w:val="left"/>
              <w:rPr>
                <w:rFonts w:ascii="Arial" w:hAnsi="Arial" w:cs="Arial"/>
                <w:color w:val="auto"/>
                <w:szCs w:val="21"/>
                <w:highlight w:val="none"/>
              </w:rPr>
            </w:pPr>
            <w:r>
              <w:rPr>
                <w:rFonts w:ascii="Arial" w:hAnsi="Arial" w:cs="Arial"/>
                <w:color w:val="auto"/>
                <w:kern w:val="0"/>
                <w:szCs w:val="21"/>
                <w:highlight w:val="none"/>
              </w:rPr>
              <w:t>本项目非专门面向中小微企业采购。</w:t>
            </w:r>
          </w:p>
        </w:tc>
      </w:tr>
      <w:tr w14:paraId="3C7CD0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7AC3ACDB">
            <w:pPr>
              <w:spacing w:line="300" w:lineRule="exact"/>
              <w:jc w:val="center"/>
              <w:rPr>
                <w:rFonts w:ascii="Arial" w:hAnsi="Arial" w:cs="Arial"/>
                <w:b/>
                <w:color w:val="auto"/>
                <w:szCs w:val="21"/>
                <w:highlight w:val="none"/>
              </w:rPr>
            </w:pPr>
            <w:r>
              <w:rPr>
                <w:rFonts w:ascii="Arial" w:hAnsi="Arial" w:cs="Arial"/>
                <w:b/>
                <w:color w:val="auto"/>
                <w:szCs w:val="21"/>
                <w:highlight w:val="none"/>
              </w:rPr>
              <w:t>1.5.1</w:t>
            </w:r>
          </w:p>
        </w:tc>
        <w:tc>
          <w:tcPr>
            <w:tcW w:w="1248" w:type="dxa"/>
            <w:tcBorders>
              <w:top w:val="single" w:color="auto" w:sz="4" w:space="0"/>
              <w:left w:val="single" w:color="auto" w:sz="4" w:space="0"/>
              <w:bottom w:val="single" w:color="auto" w:sz="4" w:space="0"/>
              <w:right w:val="single" w:color="auto" w:sz="4" w:space="0"/>
            </w:tcBorders>
            <w:vAlign w:val="center"/>
          </w:tcPr>
          <w:p w14:paraId="51F45E8F">
            <w:pPr>
              <w:spacing w:line="300" w:lineRule="exact"/>
              <w:jc w:val="center"/>
              <w:rPr>
                <w:rFonts w:ascii="Arial" w:hAnsi="Arial" w:cs="Arial"/>
                <w:color w:val="auto"/>
                <w:szCs w:val="21"/>
                <w:highlight w:val="none"/>
              </w:rPr>
            </w:pPr>
            <w:r>
              <w:rPr>
                <w:rFonts w:ascii="Arial" w:hAnsi="Arial" w:cs="Arial"/>
                <w:color w:val="auto"/>
                <w:szCs w:val="21"/>
                <w:highlight w:val="none"/>
                <w:lang w:val="zh-CN"/>
              </w:rPr>
              <w:t>供应商资格条件</w:t>
            </w:r>
          </w:p>
        </w:tc>
        <w:tc>
          <w:tcPr>
            <w:tcW w:w="7229" w:type="dxa"/>
            <w:tcBorders>
              <w:top w:val="single" w:color="auto" w:sz="4" w:space="0"/>
              <w:left w:val="single" w:color="auto" w:sz="4" w:space="0"/>
              <w:bottom w:val="single" w:color="auto" w:sz="4" w:space="0"/>
              <w:right w:val="single" w:color="auto" w:sz="4" w:space="0"/>
            </w:tcBorders>
            <w:vAlign w:val="center"/>
          </w:tcPr>
          <w:p w14:paraId="315F88C7">
            <w:pPr>
              <w:spacing w:line="300" w:lineRule="exact"/>
              <w:jc w:val="left"/>
              <w:rPr>
                <w:rFonts w:ascii="Arial" w:hAnsi="Arial" w:cs="Arial"/>
                <w:color w:val="auto"/>
                <w:szCs w:val="21"/>
                <w:highlight w:val="none"/>
              </w:rPr>
            </w:pPr>
            <w:r>
              <w:rPr>
                <w:rFonts w:ascii="Arial" w:hAnsi="Arial" w:cs="Arial"/>
                <w:color w:val="auto"/>
                <w:szCs w:val="21"/>
                <w:highlight w:val="none"/>
              </w:rPr>
              <w:t>详见招标公告。</w:t>
            </w:r>
          </w:p>
        </w:tc>
      </w:tr>
      <w:tr w14:paraId="2F28D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vAlign w:val="center"/>
          </w:tcPr>
          <w:p w14:paraId="2F9678FA">
            <w:pPr>
              <w:spacing w:line="300" w:lineRule="exact"/>
              <w:jc w:val="center"/>
              <w:rPr>
                <w:rFonts w:ascii="Arial" w:hAnsi="Arial" w:cs="Arial"/>
                <w:b/>
                <w:color w:val="auto"/>
                <w:szCs w:val="21"/>
                <w:highlight w:val="none"/>
              </w:rPr>
            </w:pPr>
            <w:bookmarkStart w:id="25" w:name="_Hlk85555568"/>
            <w:r>
              <w:rPr>
                <w:rFonts w:ascii="Arial" w:hAnsi="Arial" w:cs="Arial"/>
                <w:b/>
                <w:color w:val="auto"/>
                <w:szCs w:val="21"/>
                <w:highlight w:val="none"/>
              </w:rPr>
              <w:t>1.5.3</w:t>
            </w:r>
          </w:p>
        </w:tc>
        <w:tc>
          <w:tcPr>
            <w:tcW w:w="1248" w:type="dxa"/>
            <w:tcBorders>
              <w:top w:val="single" w:color="auto" w:sz="4" w:space="0"/>
              <w:left w:val="single" w:color="auto" w:sz="4" w:space="0"/>
              <w:right w:val="single" w:color="auto" w:sz="4" w:space="0"/>
            </w:tcBorders>
            <w:vAlign w:val="center"/>
          </w:tcPr>
          <w:p w14:paraId="19A6326A">
            <w:pPr>
              <w:spacing w:line="300" w:lineRule="exact"/>
              <w:jc w:val="center"/>
              <w:rPr>
                <w:rFonts w:ascii="Arial" w:hAnsi="Arial" w:cs="Arial"/>
                <w:color w:val="auto"/>
                <w:szCs w:val="21"/>
                <w:highlight w:val="none"/>
              </w:rPr>
            </w:pPr>
            <w:r>
              <w:rPr>
                <w:rFonts w:ascii="Arial" w:hAnsi="Arial" w:cs="Arial"/>
                <w:color w:val="auto"/>
                <w:szCs w:val="21"/>
                <w:highlight w:val="none"/>
              </w:rPr>
              <w:t>联合体</w:t>
            </w:r>
          </w:p>
        </w:tc>
        <w:tc>
          <w:tcPr>
            <w:tcW w:w="7229" w:type="dxa"/>
            <w:tcBorders>
              <w:top w:val="single" w:color="auto" w:sz="4" w:space="0"/>
              <w:left w:val="single" w:color="auto" w:sz="4" w:space="0"/>
              <w:right w:val="single" w:color="auto" w:sz="4" w:space="0"/>
            </w:tcBorders>
            <w:vAlign w:val="center"/>
          </w:tcPr>
          <w:p w14:paraId="08C2C1EB">
            <w:pPr>
              <w:spacing w:line="300" w:lineRule="exact"/>
              <w:jc w:val="left"/>
              <w:rPr>
                <w:rFonts w:ascii="Arial" w:hAnsi="Arial" w:cs="Arial"/>
                <w:color w:val="auto"/>
                <w:szCs w:val="21"/>
                <w:highlight w:val="none"/>
              </w:rPr>
            </w:pPr>
            <w:r>
              <w:rPr>
                <w:rFonts w:ascii="Arial" w:hAnsi="Arial" w:cs="Arial"/>
                <w:color w:val="auto"/>
                <w:szCs w:val="21"/>
                <w:highlight w:val="none"/>
              </w:rPr>
              <w:t>是否接受联合体详见招标公告</w:t>
            </w:r>
          </w:p>
        </w:tc>
      </w:tr>
      <w:bookmarkEnd w:id="25"/>
      <w:tr w14:paraId="7D735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39D6AF61">
            <w:pPr>
              <w:spacing w:line="300" w:lineRule="exact"/>
              <w:jc w:val="center"/>
              <w:rPr>
                <w:rFonts w:ascii="Arial" w:hAnsi="Arial" w:cs="Arial"/>
                <w:b/>
                <w:color w:val="auto"/>
                <w:szCs w:val="21"/>
                <w:highlight w:val="none"/>
              </w:rPr>
            </w:pPr>
            <w:r>
              <w:rPr>
                <w:rFonts w:ascii="Arial" w:hAnsi="Arial" w:cs="Arial"/>
                <w:b/>
                <w:color w:val="auto"/>
                <w:szCs w:val="21"/>
                <w:highlight w:val="none"/>
              </w:rPr>
              <w:t>1.6</w:t>
            </w:r>
          </w:p>
        </w:tc>
        <w:tc>
          <w:tcPr>
            <w:tcW w:w="1248" w:type="dxa"/>
            <w:tcBorders>
              <w:top w:val="single" w:color="auto" w:sz="4" w:space="0"/>
              <w:left w:val="single" w:color="auto" w:sz="4" w:space="0"/>
              <w:bottom w:val="single" w:color="auto" w:sz="4" w:space="0"/>
              <w:right w:val="single" w:color="auto" w:sz="4" w:space="0"/>
            </w:tcBorders>
            <w:vAlign w:val="center"/>
          </w:tcPr>
          <w:p w14:paraId="4364180D">
            <w:pPr>
              <w:spacing w:line="300" w:lineRule="exact"/>
              <w:jc w:val="center"/>
              <w:rPr>
                <w:rFonts w:ascii="Arial" w:hAnsi="Arial" w:cs="Arial"/>
                <w:color w:val="auto"/>
                <w:szCs w:val="21"/>
                <w:highlight w:val="none"/>
              </w:rPr>
            </w:pPr>
            <w:r>
              <w:rPr>
                <w:rFonts w:ascii="Arial" w:hAnsi="Arial" w:cs="Arial"/>
                <w:color w:val="auto"/>
                <w:szCs w:val="21"/>
                <w:highlight w:val="none"/>
              </w:rPr>
              <w:t>踏勘</w:t>
            </w:r>
          </w:p>
        </w:tc>
        <w:tc>
          <w:tcPr>
            <w:tcW w:w="7229" w:type="dxa"/>
            <w:tcBorders>
              <w:top w:val="single" w:color="auto" w:sz="4" w:space="0"/>
              <w:left w:val="single" w:color="auto" w:sz="4" w:space="0"/>
              <w:bottom w:val="single" w:color="auto" w:sz="4" w:space="0"/>
              <w:right w:val="single" w:color="auto" w:sz="4" w:space="0"/>
            </w:tcBorders>
            <w:vAlign w:val="center"/>
          </w:tcPr>
          <w:p w14:paraId="38C900C9">
            <w:pPr>
              <w:spacing w:line="300" w:lineRule="exact"/>
              <w:jc w:val="left"/>
              <w:rPr>
                <w:rFonts w:ascii="Arial" w:hAnsi="Arial" w:cs="Arial"/>
                <w:color w:val="auto"/>
                <w:szCs w:val="21"/>
                <w:highlight w:val="none"/>
              </w:rPr>
            </w:pPr>
            <w:r>
              <w:rPr>
                <w:rFonts w:ascii="Arial" w:hAnsi="Arial" w:cs="Arial"/>
                <w:color w:val="auto"/>
                <w:highlight w:val="none"/>
              </w:rPr>
              <w:t>不组织。</w:t>
            </w:r>
          </w:p>
        </w:tc>
      </w:tr>
      <w:tr w14:paraId="1D80E1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7E021B67">
            <w:pPr>
              <w:spacing w:line="300" w:lineRule="exact"/>
              <w:jc w:val="center"/>
              <w:rPr>
                <w:rFonts w:ascii="Arial" w:hAnsi="Arial" w:cs="Arial"/>
                <w:b/>
                <w:color w:val="auto"/>
                <w:szCs w:val="21"/>
                <w:highlight w:val="none"/>
              </w:rPr>
            </w:pPr>
            <w:r>
              <w:rPr>
                <w:rFonts w:hint="eastAsia" w:ascii="Arial" w:hAnsi="Arial" w:cs="Arial"/>
                <w:b/>
                <w:color w:val="auto"/>
                <w:szCs w:val="21"/>
                <w:highlight w:val="none"/>
              </w:rPr>
              <w:t>1.9</w:t>
            </w:r>
          </w:p>
        </w:tc>
        <w:tc>
          <w:tcPr>
            <w:tcW w:w="1248" w:type="dxa"/>
            <w:tcBorders>
              <w:top w:val="single" w:color="auto" w:sz="4" w:space="0"/>
              <w:left w:val="single" w:color="auto" w:sz="4" w:space="0"/>
              <w:bottom w:val="single" w:color="auto" w:sz="4" w:space="0"/>
              <w:right w:val="single" w:color="auto" w:sz="4" w:space="0"/>
            </w:tcBorders>
            <w:vAlign w:val="center"/>
          </w:tcPr>
          <w:p w14:paraId="6ACA09B8">
            <w:pPr>
              <w:spacing w:line="300" w:lineRule="exact"/>
              <w:jc w:val="center"/>
              <w:rPr>
                <w:rFonts w:ascii="Arial" w:hAnsi="Arial" w:cs="Arial"/>
                <w:color w:val="auto"/>
                <w:szCs w:val="21"/>
                <w:highlight w:val="none"/>
              </w:rPr>
            </w:pPr>
            <w:r>
              <w:rPr>
                <w:rFonts w:hint="eastAsia"/>
                <w:color w:val="auto"/>
                <w:szCs w:val="21"/>
                <w:highlight w:val="none"/>
              </w:rPr>
              <w:t>对本国产品的支持政策</w:t>
            </w:r>
          </w:p>
        </w:tc>
        <w:tc>
          <w:tcPr>
            <w:tcW w:w="7229" w:type="dxa"/>
            <w:tcBorders>
              <w:top w:val="single" w:color="auto" w:sz="4" w:space="0"/>
              <w:left w:val="single" w:color="auto" w:sz="4" w:space="0"/>
              <w:bottom w:val="single" w:color="auto" w:sz="4" w:space="0"/>
              <w:right w:val="single" w:color="auto" w:sz="4" w:space="0"/>
            </w:tcBorders>
            <w:vAlign w:val="center"/>
          </w:tcPr>
          <w:p w14:paraId="4535D3CB">
            <w:pPr>
              <w:spacing w:line="300" w:lineRule="exact"/>
              <w:jc w:val="left"/>
              <w:rPr>
                <w:rFonts w:ascii="Arial" w:hAnsi="Arial" w:cs="Arial"/>
                <w:color w:val="auto"/>
                <w:highlight w:val="none"/>
              </w:rPr>
            </w:pPr>
            <w:r>
              <w:rPr>
                <w:rFonts w:hint="eastAsia"/>
                <w:color w:val="auto"/>
                <w:szCs w:val="21"/>
                <w:highlight w:val="none"/>
              </w:rPr>
              <w:t>不适用</w:t>
            </w:r>
          </w:p>
        </w:tc>
      </w:tr>
      <w:tr w14:paraId="06CD3C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679E0FF5">
            <w:pPr>
              <w:spacing w:line="300" w:lineRule="exact"/>
              <w:jc w:val="center"/>
              <w:rPr>
                <w:rFonts w:ascii="Arial" w:hAnsi="Arial" w:cs="Arial"/>
                <w:b/>
                <w:color w:val="auto"/>
                <w:szCs w:val="21"/>
                <w:highlight w:val="none"/>
              </w:rPr>
            </w:pPr>
            <w:r>
              <w:rPr>
                <w:rFonts w:ascii="Arial" w:hAnsi="Arial" w:cs="Arial"/>
                <w:b/>
                <w:color w:val="auto"/>
                <w:szCs w:val="21"/>
                <w:highlight w:val="none"/>
              </w:rPr>
              <w:t>1.7.2</w:t>
            </w:r>
          </w:p>
        </w:tc>
        <w:tc>
          <w:tcPr>
            <w:tcW w:w="1248" w:type="dxa"/>
            <w:tcBorders>
              <w:top w:val="single" w:color="auto" w:sz="4" w:space="0"/>
              <w:left w:val="single" w:color="auto" w:sz="4" w:space="0"/>
              <w:bottom w:val="single" w:color="auto" w:sz="4" w:space="0"/>
              <w:right w:val="single" w:color="auto" w:sz="4" w:space="0"/>
            </w:tcBorders>
            <w:vAlign w:val="center"/>
          </w:tcPr>
          <w:p w14:paraId="411ABBF2">
            <w:pPr>
              <w:spacing w:line="300" w:lineRule="exact"/>
              <w:jc w:val="center"/>
              <w:rPr>
                <w:rFonts w:ascii="Arial" w:hAnsi="Arial" w:cs="Arial"/>
                <w:color w:val="auto"/>
                <w:szCs w:val="21"/>
                <w:highlight w:val="none"/>
              </w:rPr>
            </w:pPr>
            <w:r>
              <w:rPr>
                <w:rFonts w:ascii="Arial" w:hAnsi="Arial" w:cs="Arial"/>
                <w:color w:val="auto"/>
                <w:szCs w:val="21"/>
                <w:highlight w:val="none"/>
              </w:rPr>
              <w:t>分包</w:t>
            </w:r>
          </w:p>
        </w:tc>
        <w:tc>
          <w:tcPr>
            <w:tcW w:w="7229" w:type="dxa"/>
            <w:tcBorders>
              <w:top w:val="single" w:color="auto" w:sz="4" w:space="0"/>
              <w:left w:val="single" w:color="auto" w:sz="4" w:space="0"/>
              <w:bottom w:val="single" w:color="auto" w:sz="4" w:space="0"/>
              <w:right w:val="single" w:color="auto" w:sz="4" w:space="0"/>
            </w:tcBorders>
            <w:vAlign w:val="center"/>
          </w:tcPr>
          <w:p w14:paraId="1F623DF2">
            <w:pPr>
              <w:spacing w:line="300" w:lineRule="exact"/>
              <w:jc w:val="left"/>
              <w:rPr>
                <w:rFonts w:ascii="Arial" w:hAnsi="Arial" w:cs="Arial"/>
                <w:color w:val="auto"/>
                <w:szCs w:val="21"/>
                <w:highlight w:val="none"/>
              </w:rPr>
            </w:pPr>
            <w:r>
              <w:rPr>
                <w:rFonts w:ascii="Arial" w:hAnsi="Arial" w:cs="Arial"/>
                <w:color w:val="auto"/>
                <w:szCs w:val="21"/>
                <w:highlight w:val="none"/>
              </w:rPr>
              <w:t>是否接受分包详见招标公告</w:t>
            </w:r>
          </w:p>
        </w:tc>
      </w:tr>
      <w:tr w14:paraId="34DEA3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0C5E7E26">
            <w:pPr>
              <w:spacing w:line="300" w:lineRule="exact"/>
              <w:jc w:val="center"/>
              <w:rPr>
                <w:rFonts w:ascii="Arial" w:hAnsi="Arial" w:cs="Arial"/>
                <w:b/>
                <w:color w:val="auto"/>
                <w:szCs w:val="21"/>
                <w:highlight w:val="none"/>
              </w:rPr>
            </w:pPr>
            <w:r>
              <w:rPr>
                <w:rFonts w:ascii="Arial" w:hAnsi="Arial" w:cs="Arial"/>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vAlign w:val="center"/>
          </w:tcPr>
          <w:p w14:paraId="77853A03">
            <w:pPr>
              <w:spacing w:line="300" w:lineRule="exact"/>
              <w:jc w:val="center"/>
              <w:rPr>
                <w:rFonts w:ascii="Arial" w:hAnsi="Arial" w:cs="Arial"/>
                <w:color w:val="auto"/>
                <w:szCs w:val="21"/>
                <w:highlight w:val="none"/>
              </w:rPr>
            </w:pPr>
            <w:r>
              <w:rPr>
                <w:rFonts w:ascii="Arial" w:hAnsi="Arial" w:cs="Arial"/>
                <w:color w:val="auto"/>
                <w:szCs w:val="21"/>
                <w:highlight w:val="none"/>
              </w:rPr>
              <w:t>招标文件澄清、修改</w:t>
            </w:r>
          </w:p>
        </w:tc>
        <w:tc>
          <w:tcPr>
            <w:tcW w:w="7229" w:type="dxa"/>
            <w:tcBorders>
              <w:top w:val="single" w:color="auto" w:sz="4" w:space="0"/>
              <w:left w:val="single" w:color="auto" w:sz="4" w:space="0"/>
              <w:bottom w:val="single" w:color="auto" w:sz="4" w:space="0"/>
              <w:right w:val="single" w:color="auto" w:sz="4" w:space="0"/>
            </w:tcBorders>
            <w:vAlign w:val="center"/>
          </w:tcPr>
          <w:p w14:paraId="39E5BB7F">
            <w:pPr>
              <w:spacing w:line="300" w:lineRule="exact"/>
              <w:jc w:val="left"/>
              <w:rPr>
                <w:rFonts w:ascii="Arial" w:hAnsi="Arial" w:cs="Arial"/>
                <w:color w:val="auto"/>
                <w:szCs w:val="21"/>
                <w:highlight w:val="none"/>
              </w:rPr>
            </w:pPr>
            <w:r>
              <w:rPr>
                <w:rFonts w:ascii="Arial" w:hAnsi="Arial" w:cs="Arial"/>
                <w:color w:val="auto"/>
                <w:szCs w:val="21"/>
                <w:highlight w:val="none"/>
              </w:rPr>
              <w:t>在招标公告发布媒介发布。</w:t>
            </w:r>
          </w:p>
        </w:tc>
      </w:tr>
      <w:tr w14:paraId="5F0720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vAlign w:val="center"/>
          </w:tcPr>
          <w:p w14:paraId="2CD4BA88">
            <w:pPr>
              <w:spacing w:line="300" w:lineRule="exact"/>
              <w:jc w:val="center"/>
              <w:rPr>
                <w:rFonts w:ascii="Arial" w:hAnsi="Arial" w:cs="Arial"/>
                <w:b/>
                <w:color w:val="auto"/>
                <w:szCs w:val="21"/>
                <w:highlight w:val="none"/>
              </w:rPr>
            </w:pPr>
            <w:r>
              <w:rPr>
                <w:rFonts w:ascii="Arial" w:hAnsi="Arial" w:cs="Arial"/>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vAlign w:val="center"/>
          </w:tcPr>
          <w:p w14:paraId="6AB0D02A">
            <w:pPr>
              <w:spacing w:line="300" w:lineRule="exact"/>
              <w:jc w:val="center"/>
              <w:rPr>
                <w:rFonts w:ascii="Arial" w:hAnsi="Arial" w:cs="Arial"/>
                <w:color w:val="auto"/>
                <w:szCs w:val="21"/>
                <w:highlight w:val="none"/>
              </w:rPr>
            </w:pPr>
            <w:r>
              <w:rPr>
                <w:rFonts w:ascii="Arial" w:hAnsi="Arial" w:cs="Arial"/>
                <w:color w:val="auto"/>
                <w:szCs w:val="21"/>
                <w:highlight w:val="none"/>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vAlign w:val="center"/>
          </w:tcPr>
          <w:p w14:paraId="69832F4A">
            <w:pPr>
              <w:spacing w:line="300" w:lineRule="exact"/>
              <w:jc w:val="left"/>
              <w:rPr>
                <w:rFonts w:ascii="Arial" w:hAnsi="Arial" w:cs="Arial"/>
                <w:color w:val="auto"/>
                <w:szCs w:val="21"/>
                <w:highlight w:val="none"/>
              </w:rPr>
            </w:pPr>
            <w:r>
              <w:rPr>
                <w:rFonts w:ascii="Arial" w:hAnsi="Arial" w:cs="Arial"/>
                <w:color w:val="auto"/>
                <w:szCs w:val="21"/>
                <w:highlight w:val="none"/>
              </w:rPr>
              <w:t>澄清、修改文件自招标公告发布媒体发布之日起，视为供应商已收到该澄清、修改。供应商未及时关注招标公告发布媒体造成的损失，由供应商自行负责。</w:t>
            </w:r>
          </w:p>
        </w:tc>
      </w:tr>
      <w:tr w14:paraId="18E9DE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vAlign w:val="center"/>
          </w:tcPr>
          <w:p w14:paraId="50B21358">
            <w:pPr>
              <w:spacing w:line="300" w:lineRule="exact"/>
              <w:jc w:val="center"/>
              <w:rPr>
                <w:rFonts w:ascii="Arial" w:hAnsi="Arial" w:cs="Arial"/>
                <w:b/>
                <w:color w:val="auto"/>
                <w:szCs w:val="21"/>
                <w:highlight w:val="none"/>
              </w:rPr>
            </w:pPr>
            <w:r>
              <w:rPr>
                <w:rFonts w:ascii="Arial" w:hAnsi="Arial" w:cs="Arial"/>
                <w:b/>
                <w:color w:val="auto"/>
                <w:szCs w:val="21"/>
                <w:highlight w:val="none"/>
              </w:rPr>
              <w:t>3.4.1</w:t>
            </w:r>
          </w:p>
        </w:tc>
        <w:tc>
          <w:tcPr>
            <w:tcW w:w="1248" w:type="dxa"/>
            <w:tcBorders>
              <w:top w:val="single" w:color="auto" w:sz="4" w:space="0"/>
              <w:left w:val="single" w:color="auto" w:sz="4" w:space="0"/>
              <w:bottom w:val="single" w:color="auto" w:sz="4" w:space="0"/>
              <w:right w:val="single" w:color="auto" w:sz="4" w:space="0"/>
            </w:tcBorders>
            <w:vAlign w:val="center"/>
          </w:tcPr>
          <w:p w14:paraId="5138FB7D">
            <w:pPr>
              <w:spacing w:line="300" w:lineRule="exact"/>
              <w:jc w:val="center"/>
              <w:rPr>
                <w:rFonts w:ascii="Arial" w:hAnsi="Arial" w:cs="Arial"/>
                <w:color w:val="auto"/>
                <w:szCs w:val="21"/>
                <w:highlight w:val="none"/>
              </w:rPr>
            </w:pPr>
            <w:r>
              <w:rPr>
                <w:rFonts w:ascii="Arial" w:hAnsi="Arial" w:cs="Arial"/>
                <w:color w:val="auto"/>
                <w:szCs w:val="21"/>
                <w:highlight w:val="none"/>
              </w:rPr>
              <w:t>投标有效期</w:t>
            </w:r>
          </w:p>
        </w:tc>
        <w:tc>
          <w:tcPr>
            <w:tcW w:w="7229" w:type="dxa"/>
            <w:tcBorders>
              <w:top w:val="single" w:color="auto" w:sz="4" w:space="0"/>
              <w:left w:val="single" w:color="auto" w:sz="4" w:space="0"/>
              <w:bottom w:val="single" w:color="auto" w:sz="4" w:space="0"/>
              <w:right w:val="single" w:color="auto" w:sz="4" w:space="0"/>
            </w:tcBorders>
            <w:vAlign w:val="center"/>
          </w:tcPr>
          <w:p w14:paraId="6451BA06">
            <w:pPr>
              <w:spacing w:line="300" w:lineRule="exact"/>
              <w:jc w:val="left"/>
              <w:rPr>
                <w:rFonts w:ascii="Arial" w:hAnsi="Arial" w:cs="Arial"/>
                <w:color w:val="auto"/>
                <w:szCs w:val="21"/>
                <w:highlight w:val="none"/>
              </w:rPr>
            </w:pPr>
            <w:r>
              <w:rPr>
                <w:rFonts w:ascii="Arial" w:hAnsi="Arial" w:cs="Arial"/>
                <w:color w:val="auto"/>
                <w:szCs w:val="21"/>
                <w:highlight w:val="none"/>
              </w:rPr>
              <w:t>投标截止之日起90天。</w:t>
            </w:r>
          </w:p>
        </w:tc>
      </w:tr>
      <w:tr w14:paraId="340B7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1A9741BA">
            <w:pPr>
              <w:spacing w:line="300" w:lineRule="exact"/>
              <w:jc w:val="center"/>
              <w:rPr>
                <w:rFonts w:ascii="Arial" w:hAnsi="Arial" w:cs="Arial"/>
                <w:b/>
                <w:color w:val="auto"/>
                <w:szCs w:val="21"/>
                <w:highlight w:val="none"/>
              </w:rPr>
            </w:pPr>
            <w:r>
              <w:rPr>
                <w:rFonts w:ascii="Arial" w:hAnsi="Arial" w:cs="Arial"/>
                <w:b/>
                <w:color w:val="auto"/>
                <w:szCs w:val="21"/>
                <w:highlight w:val="none"/>
              </w:rPr>
              <w:t>3.5</w:t>
            </w:r>
          </w:p>
        </w:tc>
        <w:tc>
          <w:tcPr>
            <w:tcW w:w="1248" w:type="dxa"/>
            <w:tcBorders>
              <w:top w:val="single" w:color="auto" w:sz="4" w:space="0"/>
              <w:left w:val="single" w:color="auto" w:sz="4" w:space="0"/>
              <w:bottom w:val="single" w:color="auto" w:sz="4" w:space="0"/>
              <w:right w:val="single" w:color="auto" w:sz="4" w:space="0"/>
            </w:tcBorders>
            <w:vAlign w:val="center"/>
          </w:tcPr>
          <w:p w14:paraId="17187C7E">
            <w:pPr>
              <w:spacing w:line="300" w:lineRule="exact"/>
              <w:jc w:val="center"/>
              <w:rPr>
                <w:rFonts w:ascii="Arial" w:hAnsi="Arial" w:cs="Arial"/>
                <w:color w:val="auto"/>
                <w:szCs w:val="21"/>
                <w:highlight w:val="none"/>
              </w:rPr>
            </w:pPr>
            <w:r>
              <w:rPr>
                <w:rFonts w:ascii="Arial" w:hAnsi="Arial" w:cs="Arial"/>
                <w:color w:val="auto"/>
                <w:szCs w:val="21"/>
                <w:highlight w:val="none"/>
              </w:rPr>
              <w:t>投标保证金</w:t>
            </w:r>
          </w:p>
        </w:tc>
        <w:tc>
          <w:tcPr>
            <w:tcW w:w="7229" w:type="dxa"/>
            <w:tcBorders>
              <w:top w:val="single" w:color="auto" w:sz="4" w:space="0"/>
              <w:left w:val="single" w:color="auto" w:sz="4" w:space="0"/>
              <w:bottom w:val="single" w:color="auto" w:sz="4" w:space="0"/>
              <w:right w:val="single" w:color="auto" w:sz="4" w:space="0"/>
            </w:tcBorders>
            <w:vAlign w:val="center"/>
          </w:tcPr>
          <w:p w14:paraId="15C4E117">
            <w:pPr>
              <w:spacing w:line="300" w:lineRule="exact"/>
              <w:rPr>
                <w:rFonts w:ascii="Arial" w:hAnsi="Arial" w:cs="Arial"/>
                <w:b/>
                <w:bCs/>
                <w:color w:val="auto"/>
                <w:szCs w:val="21"/>
                <w:highlight w:val="none"/>
              </w:rPr>
            </w:pPr>
            <w:r>
              <w:rPr>
                <w:rFonts w:ascii="Arial" w:hAnsi="Arial" w:cs="Arial"/>
                <w:color w:val="auto"/>
                <w:highlight w:val="none"/>
              </w:rPr>
              <w:t>本项目无需缴纳投标保证金。</w:t>
            </w:r>
          </w:p>
        </w:tc>
      </w:tr>
      <w:tr w14:paraId="3C2312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vAlign w:val="center"/>
          </w:tcPr>
          <w:p w14:paraId="79EBB1B9">
            <w:pPr>
              <w:spacing w:line="300" w:lineRule="exact"/>
              <w:jc w:val="center"/>
              <w:rPr>
                <w:rFonts w:ascii="Arial" w:hAnsi="Arial" w:cs="Arial"/>
                <w:b/>
                <w:color w:val="auto"/>
                <w:szCs w:val="21"/>
                <w:highlight w:val="none"/>
              </w:rPr>
            </w:pPr>
            <w:r>
              <w:rPr>
                <w:rFonts w:ascii="Arial" w:hAnsi="Arial" w:cs="Arial"/>
                <w:b/>
                <w:color w:val="auto"/>
                <w:szCs w:val="21"/>
                <w:highlight w:val="none"/>
              </w:rPr>
              <w:t>3.6</w:t>
            </w:r>
          </w:p>
        </w:tc>
        <w:tc>
          <w:tcPr>
            <w:tcW w:w="1248" w:type="dxa"/>
            <w:tcBorders>
              <w:top w:val="single" w:color="auto" w:sz="4" w:space="0"/>
              <w:left w:val="single" w:color="auto" w:sz="4" w:space="0"/>
              <w:right w:val="single" w:color="auto" w:sz="4" w:space="0"/>
            </w:tcBorders>
            <w:vAlign w:val="center"/>
          </w:tcPr>
          <w:p w14:paraId="207BED8E">
            <w:pPr>
              <w:spacing w:line="300" w:lineRule="exact"/>
              <w:jc w:val="center"/>
              <w:rPr>
                <w:rFonts w:ascii="Arial" w:hAnsi="Arial" w:cs="Arial"/>
                <w:color w:val="auto"/>
                <w:szCs w:val="21"/>
                <w:highlight w:val="none"/>
              </w:rPr>
            </w:pPr>
            <w:r>
              <w:rPr>
                <w:rFonts w:ascii="Arial" w:hAnsi="Arial" w:cs="Arial"/>
                <w:color w:val="auto"/>
                <w:szCs w:val="21"/>
                <w:highlight w:val="none"/>
              </w:rPr>
              <w:t>投标文件的编制</w:t>
            </w:r>
          </w:p>
        </w:tc>
        <w:tc>
          <w:tcPr>
            <w:tcW w:w="7229" w:type="dxa"/>
            <w:tcBorders>
              <w:top w:val="single" w:color="auto" w:sz="4" w:space="0"/>
              <w:left w:val="single" w:color="auto" w:sz="4" w:space="0"/>
              <w:right w:val="single" w:color="auto" w:sz="4" w:space="0"/>
            </w:tcBorders>
            <w:vAlign w:val="center"/>
          </w:tcPr>
          <w:p w14:paraId="405DACE8">
            <w:pPr>
              <w:spacing w:line="300" w:lineRule="exact"/>
              <w:jc w:val="left"/>
              <w:rPr>
                <w:rFonts w:ascii="Arial" w:hAnsi="Arial" w:cs="Arial"/>
                <w:color w:val="auto"/>
                <w:szCs w:val="21"/>
                <w:highlight w:val="none"/>
              </w:rPr>
            </w:pPr>
            <w:r>
              <w:rPr>
                <w:rFonts w:ascii="Arial" w:hAnsi="Arial" w:cs="Arial"/>
                <w:color w:val="auto"/>
                <w:szCs w:val="21"/>
                <w:highlight w:val="none"/>
              </w:rPr>
              <w:t>投标文件应按第六章投标文件格式分别编制并使用下载的广西政府采购云平台新版客户端制作并上传。</w:t>
            </w:r>
          </w:p>
        </w:tc>
      </w:tr>
      <w:tr w14:paraId="159FD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vAlign w:val="center"/>
          </w:tcPr>
          <w:p w14:paraId="78E40340">
            <w:pPr>
              <w:spacing w:line="300" w:lineRule="exact"/>
              <w:jc w:val="center"/>
              <w:rPr>
                <w:rFonts w:ascii="Arial" w:hAnsi="Arial" w:cs="Arial"/>
                <w:b/>
                <w:color w:val="auto"/>
                <w:szCs w:val="21"/>
                <w:highlight w:val="none"/>
              </w:rPr>
            </w:pPr>
            <w:r>
              <w:rPr>
                <w:rFonts w:ascii="Arial" w:hAnsi="Arial" w:cs="Arial"/>
                <w:b/>
                <w:color w:val="auto"/>
                <w:szCs w:val="21"/>
                <w:highlight w:val="none"/>
              </w:rPr>
              <w:t>3.7</w:t>
            </w:r>
          </w:p>
        </w:tc>
        <w:tc>
          <w:tcPr>
            <w:tcW w:w="1248" w:type="dxa"/>
            <w:tcBorders>
              <w:top w:val="single" w:color="auto" w:sz="4" w:space="0"/>
              <w:left w:val="single" w:color="auto" w:sz="4" w:space="0"/>
              <w:bottom w:val="single" w:color="auto" w:sz="4" w:space="0"/>
              <w:right w:val="single" w:color="auto" w:sz="4" w:space="0"/>
            </w:tcBorders>
            <w:vAlign w:val="center"/>
          </w:tcPr>
          <w:p w14:paraId="54F5F4E1">
            <w:pPr>
              <w:spacing w:line="300" w:lineRule="exact"/>
              <w:jc w:val="center"/>
              <w:rPr>
                <w:rFonts w:ascii="Arial" w:hAnsi="Arial" w:cs="Arial"/>
                <w:color w:val="auto"/>
                <w:szCs w:val="21"/>
                <w:highlight w:val="none"/>
              </w:rPr>
            </w:pPr>
            <w:r>
              <w:rPr>
                <w:rFonts w:ascii="Arial" w:hAnsi="Arial" w:cs="Arial"/>
                <w:color w:val="auto"/>
                <w:szCs w:val="21"/>
                <w:highlight w:val="none"/>
              </w:rPr>
              <w:t>投标文件递交截止时间及开标时间</w:t>
            </w:r>
          </w:p>
        </w:tc>
        <w:tc>
          <w:tcPr>
            <w:tcW w:w="7229" w:type="dxa"/>
            <w:tcBorders>
              <w:top w:val="single" w:color="auto" w:sz="4" w:space="0"/>
              <w:left w:val="single" w:color="auto" w:sz="4" w:space="0"/>
              <w:bottom w:val="single" w:color="auto" w:sz="4" w:space="0"/>
              <w:right w:val="single" w:color="auto" w:sz="4" w:space="0"/>
            </w:tcBorders>
            <w:vAlign w:val="center"/>
          </w:tcPr>
          <w:p w14:paraId="55489161">
            <w:pPr>
              <w:spacing w:line="300" w:lineRule="exact"/>
              <w:jc w:val="left"/>
              <w:rPr>
                <w:rFonts w:ascii="Arial" w:hAnsi="Arial" w:cs="Arial"/>
                <w:color w:val="auto"/>
                <w:szCs w:val="21"/>
                <w:highlight w:val="none"/>
              </w:rPr>
            </w:pPr>
            <w:r>
              <w:rPr>
                <w:rFonts w:ascii="Arial" w:hAnsi="Arial" w:cs="Arial"/>
                <w:color w:val="auto"/>
                <w:kern w:val="0"/>
                <w:szCs w:val="21"/>
                <w:highlight w:val="none"/>
              </w:rPr>
              <w:t>见招标公告要求</w:t>
            </w:r>
            <w:r>
              <w:rPr>
                <w:rFonts w:ascii="Arial" w:hAnsi="Arial" w:cs="Arial"/>
                <w:color w:val="auto"/>
                <w:szCs w:val="21"/>
                <w:highlight w:val="none"/>
              </w:rPr>
              <w:t>。</w:t>
            </w:r>
          </w:p>
        </w:tc>
      </w:tr>
      <w:tr w14:paraId="683793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A817B34">
            <w:pPr>
              <w:spacing w:line="300" w:lineRule="exact"/>
              <w:jc w:val="center"/>
              <w:rPr>
                <w:rFonts w:ascii="Arial" w:hAnsi="Arial" w:cs="Arial"/>
                <w:b/>
                <w:color w:val="auto"/>
                <w:szCs w:val="21"/>
                <w:highlight w:val="none"/>
              </w:rPr>
            </w:pPr>
            <w:r>
              <w:rPr>
                <w:rFonts w:ascii="Arial" w:hAnsi="Arial" w:cs="Arial"/>
                <w:b/>
                <w:color w:val="auto"/>
                <w:szCs w:val="21"/>
                <w:highlight w:val="none"/>
              </w:rPr>
              <w:t>4.2</w:t>
            </w:r>
          </w:p>
        </w:tc>
        <w:tc>
          <w:tcPr>
            <w:tcW w:w="1248" w:type="dxa"/>
            <w:tcBorders>
              <w:top w:val="single" w:color="auto" w:sz="4" w:space="0"/>
              <w:left w:val="single" w:color="auto" w:sz="4" w:space="0"/>
              <w:bottom w:val="single" w:color="auto" w:sz="4" w:space="0"/>
              <w:right w:val="single" w:color="auto" w:sz="4" w:space="0"/>
            </w:tcBorders>
            <w:vAlign w:val="center"/>
          </w:tcPr>
          <w:p w14:paraId="35C16DE3">
            <w:pPr>
              <w:spacing w:line="300" w:lineRule="exact"/>
              <w:jc w:val="center"/>
              <w:rPr>
                <w:rFonts w:ascii="Arial" w:hAnsi="Arial" w:cs="Arial"/>
                <w:color w:val="auto"/>
                <w:szCs w:val="20"/>
                <w:highlight w:val="none"/>
              </w:rPr>
            </w:pPr>
            <w:r>
              <w:rPr>
                <w:rFonts w:ascii="Arial" w:hAnsi="Arial" w:cs="Arial"/>
                <w:color w:val="auto"/>
                <w:szCs w:val="21"/>
                <w:highlight w:val="none"/>
              </w:rPr>
              <w:t>备份投标文件</w:t>
            </w:r>
          </w:p>
        </w:tc>
        <w:tc>
          <w:tcPr>
            <w:tcW w:w="7229" w:type="dxa"/>
            <w:tcBorders>
              <w:top w:val="single" w:color="auto" w:sz="4" w:space="0"/>
              <w:left w:val="single" w:color="auto" w:sz="4" w:space="0"/>
              <w:bottom w:val="single" w:color="auto" w:sz="4" w:space="0"/>
              <w:right w:val="single" w:color="auto" w:sz="4" w:space="0"/>
            </w:tcBorders>
            <w:vAlign w:val="center"/>
          </w:tcPr>
          <w:p w14:paraId="0EA3CEE7">
            <w:pPr>
              <w:spacing w:line="276" w:lineRule="auto"/>
              <w:rPr>
                <w:rFonts w:ascii="Arial" w:hAnsi="Arial" w:cs="Arial"/>
                <w:color w:val="auto"/>
                <w:szCs w:val="21"/>
                <w:highlight w:val="none"/>
              </w:rPr>
            </w:pPr>
            <w:r>
              <w:rPr>
                <w:rFonts w:ascii="Arial" w:hAnsi="Arial" w:cs="Arial"/>
                <w:color w:val="auto"/>
                <w:szCs w:val="21"/>
                <w:highlight w:val="none"/>
              </w:rPr>
              <w:t>本项目</w:t>
            </w:r>
            <w:r>
              <w:rPr>
                <w:rFonts w:ascii="Arial" w:hAnsi="Arial" w:cs="Arial"/>
                <w:color w:val="auto"/>
                <w:sz w:val="22"/>
                <w:szCs w:val="22"/>
                <w:highlight w:val="none"/>
              </w:rPr>
              <w:sym w:font="Wingdings 2" w:char="F052"/>
            </w:r>
            <w:r>
              <w:rPr>
                <w:rFonts w:ascii="Arial" w:hAnsi="Arial" w:cs="Arial"/>
                <w:color w:val="auto"/>
                <w:szCs w:val="21"/>
                <w:highlight w:val="none"/>
              </w:rPr>
              <w:t>接受   □不接受备份投标文件</w:t>
            </w:r>
          </w:p>
          <w:p w14:paraId="7C736ADF">
            <w:pPr>
              <w:spacing w:line="276" w:lineRule="auto"/>
              <w:rPr>
                <w:rFonts w:ascii="Arial" w:hAnsi="Arial" w:cs="Arial"/>
                <w:color w:val="auto"/>
                <w:sz w:val="22"/>
                <w:szCs w:val="22"/>
                <w:highlight w:val="none"/>
              </w:rPr>
            </w:pPr>
            <w:r>
              <w:rPr>
                <w:rFonts w:ascii="Arial" w:hAnsi="Arial" w:cs="Arial"/>
                <w:color w:val="auto"/>
                <w:szCs w:val="21"/>
                <w:highlight w:val="none"/>
              </w:rPr>
              <w:t>以广西政府采购云平台自动生成的备份文件为依据，当项目允许接受备份</w:t>
            </w:r>
            <w:r>
              <w:rPr>
                <w:rFonts w:hint="eastAsia" w:ascii="Arial" w:hAnsi="Arial" w:cs="Arial"/>
                <w:color w:val="auto"/>
                <w:szCs w:val="21"/>
                <w:highlight w:val="none"/>
              </w:rPr>
              <w:t>投标文件</w:t>
            </w:r>
            <w:r>
              <w:rPr>
                <w:rFonts w:ascii="Arial" w:hAnsi="Arial" w:cs="Arial"/>
                <w:color w:val="auto"/>
                <w:szCs w:val="21"/>
                <w:highlight w:val="none"/>
              </w:rPr>
              <w:t>时，供应商才可以按规定上传备份</w:t>
            </w:r>
            <w:r>
              <w:rPr>
                <w:rFonts w:hint="eastAsia" w:ascii="Arial" w:hAnsi="Arial" w:cs="Arial"/>
                <w:color w:val="auto"/>
                <w:szCs w:val="21"/>
                <w:highlight w:val="none"/>
              </w:rPr>
              <w:t>投标文件</w:t>
            </w:r>
            <w:r>
              <w:rPr>
                <w:rFonts w:ascii="Arial" w:hAnsi="Arial" w:cs="Arial"/>
                <w:color w:val="auto"/>
                <w:szCs w:val="21"/>
                <w:highlight w:val="none"/>
              </w:rPr>
              <w:t>。</w:t>
            </w:r>
          </w:p>
        </w:tc>
      </w:tr>
      <w:tr w14:paraId="6978C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6F941FBC">
            <w:pPr>
              <w:spacing w:line="300" w:lineRule="exact"/>
              <w:jc w:val="center"/>
              <w:rPr>
                <w:rFonts w:ascii="Arial" w:hAnsi="Arial" w:cs="Arial"/>
                <w:b/>
                <w:color w:val="auto"/>
                <w:szCs w:val="21"/>
                <w:highlight w:val="none"/>
              </w:rPr>
            </w:pPr>
            <w:r>
              <w:rPr>
                <w:rFonts w:ascii="Arial" w:hAnsi="Arial" w:cs="Arial"/>
                <w:b/>
                <w:color w:val="auto"/>
                <w:szCs w:val="21"/>
                <w:highlight w:val="none"/>
              </w:rPr>
              <w:t>4.3</w:t>
            </w:r>
          </w:p>
        </w:tc>
        <w:tc>
          <w:tcPr>
            <w:tcW w:w="1248" w:type="dxa"/>
            <w:tcBorders>
              <w:top w:val="single" w:color="auto" w:sz="4" w:space="0"/>
              <w:left w:val="single" w:color="auto" w:sz="4" w:space="0"/>
              <w:bottom w:val="single" w:color="auto" w:sz="4" w:space="0"/>
              <w:right w:val="single" w:color="auto" w:sz="4" w:space="0"/>
            </w:tcBorders>
            <w:vAlign w:val="center"/>
          </w:tcPr>
          <w:p w14:paraId="6357849C">
            <w:pPr>
              <w:spacing w:line="300" w:lineRule="exact"/>
              <w:jc w:val="center"/>
              <w:rPr>
                <w:rFonts w:ascii="Arial" w:hAnsi="Arial" w:cs="Arial"/>
                <w:color w:val="auto"/>
                <w:szCs w:val="21"/>
                <w:highlight w:val="none"/>
              </w:rPr>
            </w:pPr>
            <w:r>
              <w:rPr>
                <w:rFonts w:ascii="Arial" w:hAnsi="Arial" w:cs="Arial"/>
                <w:color w:val="auto"/>
                <w:szCs w:val="20"/>
                <w:highlight w:val="none"/>
              </w:rPr>
              <w:t>演示</w:t>
            </w:r>
          </w:p>
        </w:tc>
        <w:tc>
          <w:tcPr>
            <w:tcW w:w="7229" w:type="dxa"/>
            <w:tcBorders>
              <w:top w:val="single" w:color="auto" w:sz="4" w:space="0"/>
              <w:left w:val="single" w:color="auto" w:sz="4" w:space="0"/>
              <w:bottom w:val="single" w:color="auto" w:sz="4" w:space="0"/>
              <w:right w:val="single" w:color="auto" w:sz="4" w:space="0"/>
            </w:tcBorders>
            <w:vAlign w:val="center"/>
          </w:tcPr>
          <w:p w14:paraId="65A134ED">
            <w:pPr>
              <w:spacing w:line="276" w:lineRule="auto"/>
              <w:rPr>
                <w:rFonts w:ascii="Arial" w:hAnsi="Arial" w:cs="Arial"/>
                <w:color w:val="auto"/>
                <w:szCs w:val="21"/>
                <w:highlight w:val="none"/>
              </w:rPr>
            </w:pPr>
            <w:r>
              <w:rPr>
                <w:rFonts w:ascii="Arial" w:hAnsi="Arial" w:cs="Arial"/>
                <w:color w:val="auto"/>
                <w:szCs w:val="21"/>
                <w:highlight w:val="none"/>
              </w:rPr>
              <w:t>本项目无演示</w:t>
            </w:r>
          </w:p>
        </w:tc>
      </w:tr>
      <w:tr w14:paraId="70128C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FBC29ED">
            <w:pPr>
              <w:spacing w:line="300" w:lineRule="exact"/>
              <w:jc w:val="center"/>
              <w:rPr>
                <w:rFonts w:ascii="Arial" w:hAnsi="Arial" w:cs="Arial"/>
                <w:b/>
                <w:color w:val="auto"/>
                <w:szCs w:val="21"/>
                <w:highlight w:val="none"/>
              </w:rPr>
            </w:pPr>
            <w:r>
              <w:rPr>
                <w:rFonts w:ascii="Arial" w:hAnsi="Arial" w:cs="Arial"/>
                <w:b/>
                <w:color w:val="auto"/>
                <w:szCs w:val="21"/>
                <w:highlight w:val="none"/>
              </w:rPr>
              <w:t>4.4</w:t>
            </w:r>
          </w:p>
        </w:tc>
        <w:tc>
          <w:tcPr>
            <w:tcW w:w="1248" w:type="dxa"/>
            <w:tcBorders>
              <w:top w:val="single" w:color="auto" w:sz="4" w:space="0"/>
              <w:left w:val="single" w:color="auto" w:sz="4" w:space="0"/>
              <w:bottom w:val="single" w:color="auto" w:sz="4" w:space="0"/>
              <w:right w:val="single" w:color="auto" w:sz="4" w:space="0"/>
            </w:tcBorders>
            <w:vAlign w:val="center"/>
          </w:tcPr>
          <w:p w14:paraId="4B854F4B">
            <w:pPr>
              <w:spacing w:line="300" w:lineRule="exact"/>
              <w:jc w:val="center"/>
              <w:rPr>
                <w:rFonts w:ascii="Arial" w:hAnsi="Arial" w:cs="Arial"/>
                <w:color w:val="auto"/>
                <w:szCs w:val="21"/>
                <w:highlight w:val="none"/>
              </w:rPr>
            </w:pPr>
            <w:r>
              <w:rPr>
                <w:rFonts w:ascii="Arial" w:hAnsi="Arial" w:cs="Arial"/>
                <w:color w:val="auto"/>
                <w:szCs w:val="20"/>
                <w:highlight w:val="none"/>
              </w:rPr>
              <w:t>样品</w:t>
            </w:r>
          </w:p>
        </w:tc>
        <w:tc>
          <w:tcPr>
            <w:tcW w:w="7229" w:type="dxa"/>
            <w:tcBorders>
              <w:top w:val="single" w:color="auto" w:sz="4" w:space="0"/>
              <w:left w:val="single" w:color="auto" w:sz="4" w:space="0"/>
              <w:bottom w:val="single" w:color="auto" w:sz="4" w:space="0"/>
              <w:right w:val="single" w:color="auto" w:sz="4" w:space="0"/>
            </w:tcBorders>
            <w:vAlign w:val="center"/>
          </w:tcPr>
          <w:p w14:paraId="58EDCA55">
            <w:pPr>
              <w:spacing w:line="276" w:lineRule="auto"/>
              <w:rPr>
                <w:rFonts w:ascii="Arial" w:hAnsi="Arial" w:cs="Arial"/>
                <w:color w:val="auto"/>
                <w:szCs w:val="21"/>
                <w:highlight w:val="none"/>
              </w:rPr>
            </w:pPr>
            <w:r>
              <w:rPr>
                <w:rFonts w:ascii="Arial" w:hAnsi="Arial" w:cs="Arial"/>
                <w:color w:val="auto"/>
                <w:szCs w:val="21"/>
                <w:highlight w:val="none"/>
              </w:rPr>
              <w:t>本项目无需提供样品</w:t>
            </w:r>
          </w:p>
        </w:tc>
      </w:tr>
      <w:tr w14:paraId="665BA3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5630E0ED">
            <w:pPr>
              <w:spacing w:line="300" w:lineRule="exact"/>
              <w:jc w:val="center"/>
              <w:rPr>
                <w:rFonts w:ascii="Arial" w:hAnsi="Arial" w:cs="Arial"/>
                <w:b/>
                <w:color w:val="auto"/>
                <w:szCs w:val="21"/>
                <w:highlight w:val="none"/>
              </w:rPr>
            </w:pPr>
            <w:r>
              <w:rPr>
                <w:rFonts w:hint="eastAsia"/>
                <w:b/>
                <w:color w:val="auto"/>
                <w:szCs w:val="21"/>
                <w:highlight w:val="none"/>
              </w:rPr>
              <w:t>5.3.1</w:t>
            </w:r>
          </w:p>
        </w:tc>
        <w:tc>
          <w:tcPr>
            <w:tcW w:w="1248" w:type="dxa"/>
            <w:tcBorders>
              <w:top w:val="single" w:color="auto" w:sz="4" w:space="0"/>
              <w:left w:val="single" w:color="auto" w:sz="4" w:space="0"/>
              <w:bottom w:val="single" w:color="auto" w:sz="4" w:space="0"/>
              <w:right w:val="single" w:color="auto" w:sz="4" w:space="0"/>
            </w:tcBorders>
            <w:vAlign w:val="center"/>
          </w:tcPr>
          <w:p w14:paraId="0032082C">
            <w:pPr>
              <w:spacing w:line="300" w:lineRule="exact"/>
              <w:jc w:val="center"/>
              <w:rPr>
                <w:rFonts w:ascii="Arial" w:hAnsi="Arial" w:cs="Arial"/>
                <w:color w:val="auto"/>
                <w:szCs w:val="20"/>
                <w:highlight w:val="none"/>
              </w:rPr>
            </w:pPr>
            <w:r>
              <w:rPr>
                <w:rFonts w:hint="eastAsia"/>
                <w:color w:val="auto"/>
                <w:szCs w:val="21"/>
                <w:highlight w:val="none"/>
              </w:rPr>
              <w:t>信用查询规则</w:t>
            </w:r>
          </w:p>
        </w:tc>
        <w:tc>
          <w:tcPr>
            <w:tcW w:w="7229" w:type="dxa"/>
            <w:tcBorders>
              <w:top w:val="single" w:color="auto" w:sz="4" w:space="0"/>
              <w:left w:val="single" w:color="auto" w:sz="4" w:space="0"/>
              <w:bottom w:val="single" w:color="auto" w:sz="4" w:space="0"/>
              <w:right w:val="single" w:color="auto" w:sz="4" w:space="0"/>
            </w:tcBorders>
            <w:vAlign w:val="center"/>
          </w:tcPr>
          <w:p w14:paraId="1A90BF2A">
            <w:pPr>
              <w:snapToGrid w:val="0"/>
              <w:spacing w:line="380" w:lineRule="exact"/>
              <w:rPr>
                <w:rFonts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3B98D4F5">
            <w:pPr>
              <w:snapToGrid w:val="0"/>
              <w:spacing w:line="380" w:lineRule="exact"/>
              <w:rPr>
                <w:rFonts w:ascii="宋体" w:hAnsi="宋体"/>
                <w:color w:val="auto"/>
                <w:szCs w:val="21"/>
                <w:highlight w:val="none"/>
              </w:rPr>
            </w:pPr>
            <w:r>
              <w:rPr>
                <w:rFonts w:hint="eastAsia" w:ascii="宋体" w:hAnsi="宋体"/>
                <w:color w:val="auto"/>
                <w:szCs w:val="21"/>
                <w:highlight w:val="none"/>
              </w:rPr>
              <w:t>（1）查询渠道：广西政府采购云平台“信用中国”网站(www.creditchina.gov.cn) 、中国政府采购网(www.ccgp.gov.cn)链接入口。</w:t>
            </w:r>
          </w:p>
          <w:p w14:paraId="61F15C1A">
            <w:pPr>
              <w:snapToGrid w:val="0"/>
              <w:spacing w:line="380" w:lineRule="exact"/>
              <w:rPr>
                <w:rFonts w:ascii="宋体" w:hAnsi="宋体"/>
                <w:color w:val="auto"/>
                <w:szCs w:val="21"/>
                <w:highlight w:val="none"/>
              </w:rPr>
            </w:pPr>
            <w:r>
              <w:rPr>
                <w:rFonts w:hint="eastAsia" w:ascii="宋体" w:hAnsi="宋体"/>
                <w:color w:val="auto"/>
                <w:szCs w:val="21"/>
                <w:highlight w:val="none"/>
              </w:rPr>
              <w:t>（2）信用查询截止时点：资格审查结束前</w:t>
            </w:r>
          </w:p>
          <w:p w14:paraId="3219344A">
            <w:pPr>
              <w:snapToGrid w:val="0"/>
              <w:spacing w:line="380" w:lineRule="exact"/>
              <w:rPr>
                <w:rFonts w:ascii="宋体" w:hAnsi="宋体"/>
                <w:color w:val="auto"/>
                <w:szCs w:val="21"/>
                <w:highlight w:val="none"/>
              </w:rPr>
            </w:pPr>
            <w:r>
              <w:rPr>
                <w:rFonts w:hint="eastAsia" w:ascii="宋体" w:hAnsi="宋体"/>
                <w:color w:val="auto"/>
                <w:szCs w:val="21"/>
                <w:highlight w:val="none"/>
              </w:rPr>
              <w:t>（3）查询记录和证据留存方式：在查询网站中直接截图查询记录，截图作为在“广西政府采购云”平台作为附件上传保存。</w:t>
            </w:r>
          </w:p>
          <w:p w14:paraId="177D40A7">
            <w:pPr>
              <w:snapToGrid w:val="0"/>
              <w:spacing w:line="380" w:lineRule="exact"/>
              <w:rPr>
                <w:rFonts w:ascii="Arial" w:hAnsi="Arial" w:cs="Arial"/>
                <w:color w:val="auto"/>
                <w:szCs w:val="21"/>
                <w:highlight w:val="none"/>
              </w:rPr>
            </w:pPr>
            <w:r>
              <w:rPr>
                <w:rFonts w:hint="eastAsia" w:ascii="宋体" w:hAnsi="宋体"/>
                <w:color w:val="auto"/>
                <w:szCs w:val="21"/>
                <w:highlight w:val="none"/>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olor w:val="auto"/>
                <w:sz w:val="22"/>
                <w:highlight w:val="none"/>
              </w:rPr>
              <w:t>应当拒绝其参与政府采购活动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648B4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718E46FF">
            <w:pPr>
              <w:spacing w:line="300" w:lineRule="exact"/>
              <w:jc w:val="center"/>
              <w:rPr>
                <w:b/>
                <w:color w:val="auto"/>
                <w:szCs w:val="21"/>
                <w:highlight w:val="none"/>
              </w:rPr>
            </w:pPr>
            <w:r>
              <w:rPr>
                <w:rFonts w:hint="eastAsia"/>
                <w:b/>
                <w:color w:val="auto"/>
                <w:szCs w:val="21"/>
                <w:highlight w:val="none"/>
              </w:rPr>
              <w:t>6.</w:t>
            </w:r>
            <w:r>
              <w:rPr>
                <w:b/>
                <w:color w:val="auto"/>
                <w:szCs w:val="21"/>
                <w:highlight w:val="none"/>
              </w:rPr>
              <w:t>3</w:t>
            </w:r>
            <w:r>
              <w:rPr>
                <w:rFonts w:hint="eastAsia"/>
                <w:b/>
                <w:color w:val="auto"/>
                <w:szCs w:val="21"/>
                <w:highlight w:val="none"/>
              </w:rPr>
              <w:t>.</w:t>
            </w:r>
            <w:r>
              <w:rPr>
                <w:b/>
                <w:color w:val="auto"/>
                <w:szCs w:val="21"/>
                <w:highlight w:val="none"/>
              </w:rPr>
              <w:t>5</w:t>
            </w:r>
          </w:p>
        </w:tc>
        <w:tc>
          <w:tcPr>
            <w:tcW w:w="1248" w:type="dxa"/>
            <w:tcBorders>
              <w:top w:val="single" w:color="auto" w:sz="4" w:space="0"/>
              <w:left w:val="single" w:color="auto" w:sz="4" w:space="0"/>
              <w:bottom w:val="single" w:color="auto" w:sz="4" w:space="0"/>
              <w:right w:val="single" w:color="auto" w:sz="4" w:space="0"/>
            </w:tcBorders>
            <w:vAlign w:val="center"/>
          </w:tcPr>
          <w:p w14:paraId="53D1A7BB">
            <w:pPr>
              <w:spacing w:line="300" w:lineRule="exact"/>
              <w:jc w:val="center"/>
              <w:rPr>
                <w:color w:val="auto"/>
                <w:szCs w:val="21"/>
                <w:highlight w:val="none"/>
              </w:rPr>
            </w:pPr>
            <w:r>
              <w:rPr>
                <w:rFonts w:hint="eastAsia"/>
                <w:color w:val="auto"/>
                <w:szCs w:val="21"/>
                <w:highlight w:val="none"/>
              </w:rPr>
              <w:t>异常低价审查</w:t>
            </w:r>
          </w:p>
          <w:p w14:paraId="395221DA">
            <w:pPr>
              <w:spacing w:line="300" w:lineRule="exact"/>
              <w:jc w:val="center"/>
              <w:rPr>
                <w:color w:val="auto"/>
                <w:szCs w:val="21"/>
                <w:highlight w:val="none"/>
              </w:rPr>
            </w:pPr>
          </w:p>
        </w:tc>
        <w:tc>
          <w:tcPr>
            <w:tcW w:w="7229" w:type="dxa"/>
            <w:tcBorders>
              <w:top w:val="single" w:color="auto" w:sz="4" w:space="0"/>
              <w:left w:val="single" w:color="auto" w:sz="4" w:space="0"/>
              <w:bottom w:val="single" w:color="auto" w:sz="4" w:space="0"/>
              <w:right w:val="single" w:color="auto" w:sz="4" w:space="0"/>
            </w:tcBorders>
            <w:vAlign w:val="center"/>
          </w:tcPr>
          <w:p w14:paraId="71FF758F">
            <w:pPr>
              <w:spacing w:line="300" w:lineRule="exact"/>
              <w:jc w:val="left"/>
              <w:rPr>
                <w:color w:val="auto"/>
                <w:szCs w:val="21"/>
                <w:highlight w:val="none"/>
              </w:rPr>
            </w:pPr>
            <w:r>
              <w:rPr>
                <w:rFonts w:hint="eastAsia"/>
                <w:color w:val="auto"/>
                <w:szCs w:val="21"/>
                <w:highlight w:val="none"/>
              </w:rPr>
              <w:t>☑评审中出现下列情形之一的，评审委员会应当启动异常低价响应审查程序：</w:t>
            </w:r>
          </w:p>
          <w:p w14:paraId="48C8C76A">
            <w:pPr>
              <w:spacing w:line="276" w:lineRule="auto"/>
              <w:rPr>
                <w:color w:val="auto"/>
                <w:szCs w:val="21"/>
                <w:highlight w:val="none"/>
              </w:rPr>
            </w:pPr>
            <w:r>
              <w:rPr>
                <w:rFonts w:hint="eastAsia"/>
                <w:color w:val="auto"/>
                <w:szCs w:val="21"/>
                <w:highlight w:val="none"/>
              </w:rPr>
              <w:t>（1）投标（响应）报价低于全部通过符合性审查供应商投标（响应）报价平均值50%的，即投标（响应）报价&lt;全部通过符合性审查供应商投标（响应）报价平均值×50%；</w:t>
            </w:r>
          </w:p>
          <w:p w14:paraId="7B09BC46">
            <w:pPr>
              <w:spacing w:line="276" w:lineRule="auto"/>
              <w:rPr>
                <w:color w:val="auto"/>
                <w:szCs w:val="21"/>
                <w:highlight w:val="none"/>
              </w:rPr>
            </w:pPr>
            <w:r>
              <w:rPr>
                <w:rFonts w:hint="eastAsia"/>
                <w:color w:val="auto"/>
                <w:szCs w:val="21"/>
                <w:highlight w:val="none"/>
              </w:rPr>
              <w:t>（2）投标（响应）报价低于通过符合性审查的次低报价供应商投标（响应）报价50%的，即投标（响应）报价&lt;通过符合性审查的次低报价供应商投标（响应）报价×50%；</w:t>
            </w:r>
          </w:p>
          <w:p w14:paraId="3845385B">
            <w:pPr>
              <w:spacing w:line="276" w:lineRule="auto"/>
              <w:rPr>
                <w:color w:val="auto"/>
                <w:szCs w:val="21"/>
                <w:highlight w:val="none"/>
              </w:rPr>
            </w:pPr>
            <w:r>
              <w:rPr>
                <w:rFonts w:hint="eastAsia"/>
                <w:color w:val="auto"/>
                <w:szCs w:val="21"/>
                <w:highlight w:val="none"/>
              </w:rPr>
              <w:t>（3）投标（响应）报价低于采购项目最高限价45%的，即投标（响应）报价&lt;采购项目最高限价×45%；</w:t>
            </w:r>
          </w:p>
          <w:p w14:paraId="5AA0AE8B">
            <w:pPr>
              <w:spacing w:line="276" w:lineRule="auto"/>
              <w:rPr>
                <w:color w:val="auto"/>
                <w:szCs w:val="21"/>
                <w:highlight w:val="none"/>
              </w:rPr>
            </w:pPr>
            <w:r>
              <w:rPr>
                <w:rFonts w:hint="eastAsia"/>
                <w:color w:val="auto"/>
                <w:szCs w:val="21"/>
                <w:highlight w:val="none"/>
              </w:rPr>
              <w:t>（4）评审委员会基于专业判断，认为供应商报价过低，有可能影响产品质量或者不能诚信履约的其他情形。</w:t>
            </w:r>
          </w:p>
          <w:p w14:paraId="7D28B609">
            <w:pPr>
              <w:pStyle w:val="20"/>
              <w:rPr>
                <w:color w:val="auto"/>
                <w:sz w:val="21"/>
                <w:szCs w:val="21"/>
                <w:highlight w:val="none"/>
              </w:rPr>
            </w:pPr>
            <w:r>
              <w:rPr>
                <w:color w:val="auto"/>
                <w:sz w:val="21"/>
                <w:szCs w:val="21"/>
                <w:highlight w:val="none"/>
              </w:rPr>
              <w:sym w:font="Wingdings 2" w:char="00A3"/>
            </w:r>
            <w:r>
              <w:rPr>
                <w:rFonts w:hint="eastAsia"/>
                <w:color w:val="auto"/>
                <w:sz w:val="21"/>
                <w:szCs w:val="21"/>
                <w:highlight w:val="none"/>
              </w:rPr>
              <w:t>评审中出现下列情形之一的，评审委员会应当启动异常低价响应审查程序：</w:t>
            </w:r>
          </w:p>
          <w:p w14:paraId="7ADCF6BC">
            <w:pPr>
              <w:pStyle w:val="20"/>
              <w:rPr>
                <w:color w:val="auto"/>
                <w:sz w:val="21"/>
                <w:szCs w:val="21"/>
                <w:highlight w:val="none"/>
              </w:rPr>
            </w:pPr>
            <w:r>
              <w:rPr>
                <w:rFonts w:hint="eastAsia"/>
                <w:color w:val="auto"/>
                <w:sz w:val="21"/>
                <w:szCs w:val="21"/>
                <w:highlight w:val="none"/>
              </w:rPr>
              <w:t>（1）投标（响应）报价低于全部通过符合性审查供应商投标（响应）报价平均值%的，即投标（响应）报价&lt;全部通过符合性审查供应商投标（响应）报价平均值×%；</w:t>
            </w:r>
          </w:p>
          <w:p w14:paraId="3B87E559">
            <w:pPr>
              <w:pStyle w:val="20"/>
              <w:rPr>
                <w:color w:val="auto"/>
                <w:sz w:val="21"/>
                <w:szCs w:val="21"/>
                <w:highlight w:val="none"/>
              </w:rPr>
            </w:pPr>
            <w:r>
              <w:rPr>
                <w:rFonts w:hint="eastAsia"/>
                <w:color w:val="auto"/>
                <w:sz w:val="21"/>
                <w:szCs w:val="21"/>
                <w:highlight w:val="none"/>
              </w:rPr>
              <w:t>（2）投标（响应）报价低于通过符合性审查的次低报价供应商投标（响应）报价  %的，即投标（响应）报价&lt;通过符合性审查的次低报价供应商投标（响应）报价×%；</w:t>
            </w:r>
          </w:p>
          <w:p w14:paraId="56764E61">
            <w:pPr>
              <w:pStyle w:val="20"/>
              <w:rPr>
                <w:color w:val="auto"/>
                <w:sz w:val="21"/>
                <w:szCs w:val="21"/>
                <w:highlight w:val="none"/>
              </w:rPr>
            </w:pPr>
            <w:r>
              <w:rPr>
                <w:rFonts w:hint="eastAsia"/>
                <w:color w:val="auto"/>
                <w:sz w:val="21"/>
                <w:szCs w:val="21"/>
                <w:highlight w:val="none"/>
              </w:rPr>
              <w:t>（3）投标（响应）报价低于采购项目最高限价%的，即投标（响应）报价&lt;采购项目最高限价×%；</w:t>
            </w:r>
          </w:p>
          <w:p w14:paraId="5FB1D126">
            <w:pPr>
              <w:pStyle w:val="20"/>
              <w:rPr>
                <w:rFonts w:ascii="宋体" w:hAnsi="宋体"/>
                <w:color w:val="auto"/>
                <w:szCs w:val="21"/>
                <w:highlight w:val="none"/>
              </w:rPr>
            </w:pPr>
            <w:r>
              <w:rPr>
                <w:rFonts w:hint="eastAsia"/>
                <w:color w:val="auto"/>
                <w:sz w:val="21"/>
                <w:szCs w:val="21"/>
                <w:highlight w:val="none"/>
              </w:rPr>
              <w:t>（4）评审委员会基于专业判断，认为供应商报价过低，有可能影响产品质量或者不能诚信履约的其他情形。</w:t>
            </w:r>
          </w:p>
        </w:tc>
      </w:tr>
      <w:tr w14:paraId="0CB0FF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49D1AC99">
            <w:pPr>
              <w:spacing w:line="300" w:lineRule="exact"/>
              <w:jc w:val="center"/>
              <w:rPr>
                <w:rFonts w:ascii="Arial" w:hAnsi="Arial" w:cs="Arial"/>
                <w:b/>
                <w:color w:val="auto"/>
                <w:szCs w:val="21"/>
                <w:highlight w:val="none"/>
              </w:rPr>
            </w:pPr>
            <w:r>
              <w:rPr>
                <w:rFonts w:ascii="Arial" w:hAnsi="Arial" w:cs="Arial"/>
                <w:b/>
                <w:color w:val="auto"/>
                <w:szCs w:val="21"/>
                <w:highlight w:val="none"/>
              </w:rPr>
              <w:t>6.5.1</w:t>
            </w:r>
          </w:p>
        </w:tc>
        <w:tc>
          <w:tcPr>
            <w:tcW w:w="1248" w:type="dxa"/>
            <w:tcBorders>
              <w:top w:val="single" w:color="auto" w:sz="4" w:space="0"/>
              <w:left w:val="single" w:color="auto" w:sz="4" w:space="0"/>
              <w:bottom w:val="single" w:color="auto" w:sz="4" w:space="0"/>
              <w:right w:val="single" w:color="auto" w:sz="4" w:space="0"/>
            </w:tcBorders>
            <w:vAlign w:val="center"/>
          </w:tcPr>
          <w:p w14:paraId="0AFBB5F6">
            <w:pPr>
              <w:spacing w:line="300" w:lineRule="exact"/>
              <w:jc w:val="center"/>
              <w:rPr>
                <w:rFonts w:ascii="Arial" w:hAnsi="Arial" w:cs="Arial"/>
                <w:color w:val="auto"/>
                <w:szCs w:val="21"/>
                <w:highlight w:val="none"/>
              </w:rPr>
            </w:pPr>
            <w:r>
              <w:rPr>
                <w:rFonts w:ascii="Arial" w:hAnsi="Arial" w:cs="Arial"/>
                <w:color w:val="auto"/>
                <w:szCs w:val="21"/>
                <w:highlight w:val="none"/>
              </w:rPr>
              <w:t>结果公告</w:t>
            </w:r>
          </w:p>
        </w:tc>
        <w:tc>
          <w:tcPr>
            <w:tcW w:w="7229" w:type="dxa"/>
            <w:tcBorders>
              <w:top w:val="single" w:color="auto" w:sz="4" w:space="0"/>
              <w:left w:val="single" w:color="auto" w:sz="4" w:space="0"/>
              <w:bottom w:val="single" w:color="auto" w:sz="4" w:space="0"/>
              <w:right w:val="single" w:color="auto" w:sz="4" w:space="0"/>
            </w:tcBorders>
            <w:vAlign w:val="center"/>
          </w:tcPr>
          <w:p w14:paraId="690DF826">
            <w:pPr>
              <w:spacing w:line="300" w:lineRule="exact"/>
              <w:jc w:val="left"/>
              <w:rPr>
                <w:rFonts w:ascii="Arial" w:hAnsi="Arial" w:cs="Arial"/>
                <w:color w:val="auto"/>
                <w:szCs w:val="21"/>
                <w:highlight w:val="none"/>
              </w:rPr>
            </w:pPr>
            <w:r>
              <w:rPr>
                <w:rFonts w:ascii="Arial" w:hAnsi="Arial" w:cs="Arial"/>
                <w:color w:val="auto"/>
                <w:szCs w:val="21"/>
                <w:highlight w:val="none"/>
              </w:rPr>
              <w:t>采购代理机构在采购人依法确认中标供应商后2个工作日内在招标公告发布的媒体上发布结果公告。</w:t>
            </w:r>
          </w:p>
        </w:tc>
      </w:tr>
      <w:tr w14:paraId="65F547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0D9621E0">
            <w:pPr>
              <w:spacing w:line="300" w:lineRule="exact"/>
              <w:jc w:val="center"/>
              <w:rPr>
                <w:rFonts w:ascii="Arial" w:hAnsi="Arial" w:cs="Arial"/>
                <w:b/>
                <w:color w:val="auto"/>
                <w:szCs w:val="21"/>
                <w:highlight w:val="none"/>
              </w:rPr>
            </w:pPr>
            <w:r>
              <w:rPr>
                <w:rFonts w:ascii="Arial" w:hAnsi="Arial" w:cs="Arial"/>
                <w:b/>
                <w:color w:val="auto"/>
                <w:szCs w:val="21"/>
                <w:highlight w:val="none"/>
              </w:rPr>
              <w:t>6.5.2</w:t>
            </w:r>
          </w:p>
        </w:tc>
        <w:tc>
          <w:tcPr>
            <w:tcW w:w="1248" w:type="dxa"/>
            <w:tcBorders>
              <w:top w:val="single" w:color="auto" w:sz="4" w:space="0"/>
              <w:left w:val="single" w:color="auto" w:sz="4" w:space="0"/>
              <w:bottom w:val="single" w:color="auto" w:sz="4" w:space="0"/>
              <w:right w:val="single" w:color="auto" w:sz="4" w:space="0"/>
            </w:tcBorders>
            <w:vAlign w:val="center"/>
          </w:tcPr>
          <w:p w14:paraId="7EDC9F50">
            <w:pPr>
              <w:spacing w:line="300" w:lineRule="exact"/>
              <w:jc w:val="center"/>
              <w:rPr>
                <w:rFonts w:ascii="Arial" w:hAnsi="Arial" w:cs="Arial"/>
                <w:color w:val="auto"/>
                <w:szCs w:val="21"/>
                <w:highlight w:val="none"/>
              </w:rPr>
            </w:pPr>
            <w:r>
              <w:rPr>
                <w:rFonts w:ascii="Arial" w:hAnsi="Arial" w:cs="Arial"/>
                <w:color w:val="auto"/>
                <w:szCs w:val="21"/>
                <w:highlight w:val="none"/>
              </w:rPr>
              <w:t>中标通知书</w:t>
            </w:r>
          </w:p>
        </w:tc>
        <w:tc>
          <w:tcPr>
            <w:tcW w:w="7229" w:type="dxa"/>
            <w:tcBorders>
              <w:top w:val="single" w:color="auto" w:sz="4" w:space="0"/>
              <w:left w:val="single" w:color="auto" w:sz="4" w:space="0"/>
              <w:bottom w:val="single" w:color="auto" w:sz="4" w:space="0"/>
              <w:right w:val="single" w:color="auto" w:sz="4" w:space="0"/>
            </w:tcBorders>
            <w:vAlign w:val="center"/>
          </w:tcPr>
          <w:p w14:paraId="3F0DD80A">
            <w:pPr>
              <w:spacing w:line="300" w:lineRule="exact"/>
              <w:jc w:val="left"/>
              <w:rPr>
                <w:rFonts w:ascii="Arial" w:hAnsi="Arial" w:cs="Arial"/>
                <w:color w:val="auto"/>
                <w:szCs w:val="21"/>
                <w:highlight w:val="none"/>
              </w:rPr>
            </w:pPr>
            <w:r>
              <w:rPr>
                <w:rFonts w:ascii="Arial" w:hAnsi="Arial" w:cs="Arial"/>
                <w:color w:val="auto"/>
                <w:szCs w:val="21"/>
                <w:highlight w:val="none"/>
              </w:rPr>
              <w:t>中标供应商到代理机构领取中标通知书</w:t>
            </w:r>
          </w:p>
        </w:tc>
      </w:tr>
      <w:tr w14:paraId="03B332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68369174">
            <w:pPr>
              <w:spacing w:line="300" w:lineRule="exact"/>
              <w:jc w:val="center"/>
              <w:rPr>
                <w:rFonts w:ascii="Arial" w:hAnsi="Arial" w:cs="Arial"/>
                <w:b/>
                <w:color w:val="auto"/>
                <w:szCs w:val="21"/>
                <w:highlight w:val="none"/>
              </w:rPr>
            </w:pPr>
            <w:r>
              <w:rPr>
                <w:rFonts w:ascii="Arial" w:hAnsi="Arial" w:cs="Arial"/>
                <w:b/>
                <w:color w:val="auto"/>
                <w:szCs w:val="21"/>
                <w:highlight w:val="none"/>
              </w:rPr>
              <w:t>6.5.3</w:t>
            </w:r>
          </w:p>
        </w:tc>
        <w:tc>
          <w:tcPr>
            <w:tcW w:w="1248" w:type="dxa"/>
            <w:tcBorders>
              <w:top w:val="single" w:color="auto" w:sz="4" w:space="0"/>
              <w:left w:val="single" w:color="auto" w:sz="4" w:space="0"/>
              <w:bottom w:val="single" w:color="auto" w:sz="4" w:space="0"/>
              <w:right w:val="single" w:color="auto" w:sz="4" w:space="0"/>
            </w:tcBorders>
            <w:vAlign w:val="center"/>
          </w:tcPr>
          <w:p w14:paraId="23AE544B">
            <w:pPr>
              <w:spacing w:line="300" w:lineRule="exact"/>
              <w:jc w:val="center"/>
              <w:rPr>
                <w:rFonts w:ascii="Arial" w:hAnsi="Arial" w:cs="Arial"/>
                <w:color w:val="auto"/>
                <w:szCs w:val="21"/>
                <w:highlight w:val="none"/>
              </w:rPr>
            </w:pPr>
            <w:r>
              <w:rPr>
                <w:rFonts w:ascii="Arial" w:hAnsi="Arial" w:cs="Arial"/>
                <w:color w:val="auto"/>
                <w:szCs w:val="21"/>
                <w:highlight w:val="none"/>
              </w:rPr>
              <w:t>招标结果通知书</w:t>
            </w:r>
          </w:p>
        </w:tc>
        <w:tc>
          <w:tcPr>
            <w:tcW w:w="7229" w:type="dxa"/>
            <w:tcBorders>
              <w:top w:val="single" w:color="auto" w:sz="4" w:space="0"/>
              <w:left w:val="single" w:color="auto" w:sz="4" w:space="0"/>
              <w:bottom w:val="single" w:color="auto" w:sz="4" w:space="0"/>
              <w:right w:val="single" w:color="auto" w:sz="4" w:space="0"/>
            </w:tcBorders>
            <w:vAlign w:val="center"/>
          </w:tcPr>
          <w:p w14:paraId="25AC0075">
            <w:pPr>
              <w:spacing w:line="300" w:lineRule="exact"/>
              <w:jc w:val="left"/>
              <w:rPr>
                <w:rFonts w:ascii="Arial" w:hAnsi="Arial" w:cs="Arial"/>
                <w:color w:val="auto"/>
                <w:szCs w:val="21"/>
                <w:highlight w:val="none"/>
              </w:rPr>
            </w:pPr>
            <w:r>
              <w:rPr>
                <w:rFonts w:ascii="Arial" w:hAnsi="Arial" w:cs="Arial"/>
                <w:color w:val="auto"/>
                <w:szCs w:val="21"/>
                <w:highlight w:val="none"/>
              </w:rPr>
              <w:t>采购代理机构通过广西政府采购云平台发出招标结果通知书</w:t>
            </w:r>
          </w:p>
          <w:p w14:paraId="305D3D71">
            <w:pPr>
              <w:spacing w:line="300" w:lineRule="exact"/>
              <w:jc w:val="left"/>
              <w:rPr>
                <w:rFonts w:ascii="Arial" w:hAnsi="Arial" w:cs="Arial"/>
                <w:color w:val="auto"/>
                <w:szCs w:val="21"/>
                <w:highlight w:val="none"/>
              </w:rPr>
            </w:pPr>
            <w:r>
              <w:rPr>
                <w:rFonts w:ascii="Arial" w:hAnsi="Arial" w:cs="Arial"/>
                <w:color w:val="auto"/>
                <w:szCs w:val="21"/>
                <w:highlight w:val="none"/>
              </w:rPr>
              <w:t xml:space="preserve">招标结果通知书在广西政府采购云平台推送之日起，视为中标供应商已收到，中标供应商自行承担未及时查收的后果。 </w:t>
            </w:r>
          </w:p>
        </w:tc>
      </w:tr>
      <w:tr w14:paraId="598AD4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1C8C390">
            <w:pPr>
              <w:spacing w:line="300" w:lineRule="exact"/>
              <w:jc w:val="center"/>
              <w:rPr>
                <w:rFonts w:ascii="Arial" w:hAnsi="Arial" w:cs="Arial"/>
                <w:b/>
                <w:color w:val="auto"/>
                <w:szCs w:val="21"/>
                <w:highlight w:val="none"/>
              </w:rPr>
            </w:pPr>
            <w:r>
              <w:rPr>
                <w:rFonts w:ascii="Arial" w:hAnsi="Arial" w:cs="Arial"/>
                <w:b/>
                <w:color w:val="auto"/>
                <w:szCs w:val="21"/>
                <w:highlight w:val="none"/>
              </w:rPr>
              <w:t>8.1</w:t>
            </w:r>
          </w:p>
        </w:tc>
        <w:tc>
          <w:tcPr>
            <w:tcW w:w="1248" w:type="dxa"/>
            <w:tcBorders>
              <w:top w:val="single" w:color="auto" w:sz="4" w:space="0"/>
              <w:left w:val="single" w:color="auto" w:sz="4" w:space="0"/>
              <w:bottom w:val="single" w:color="auto" w:sz="4" w:space="0"/>
              <w:right w:val="single" w:color="auto" w:sz="4" w:space="0"/>
            </w:tcBorders>
            <w:vAlign w:val="center"/>
          </w:tcPr>
          <w:p w14:paraId="5BC67028">
            <w:pPr>
              <w:spacing w:line="300" w:lineRule="exact"/>
              <w:jc w:val="center"/>
              <w:rPr>
                <w:rFonts w:ascii="Arial" w:hAnsi="Arial" w:cs="Arial"/>
                <w:color w:val="auto"/>
                <w:szCs w:val="21"/>
                <w:highlight w:val="none"/>
              </w:rPr>
            </w:pPr>
            <w:r>
              <w:rPr>
                <w:rFonts w:ascii="Arial" w:hAnsi="Arial" w:cs="Arial"/>
                <w:color w:val="auto"/>
                <w:szCs w:val="21"/>
                <w:highlight w:val="none"/>
              </w:rPr>
              <w:t>质疑</w:t>
            </w:r>
          </w:p>
        </w:tc>
        <w:tc>
          <w:tcPr>
            <w:tcW w:w="7229" w:type="dxa"/>
            <w:tcBorders>
              <w:top w:val="single" w:color="auto" w:sz="4" w:space="0"/>
              <w:left w:val="single" w:color="auto" w:sz="4" w:space="0"/>
              <w:bottom w:val="single" w:color="auto" w:sz="4" w:space="0"/>
              <w:right w:val="single" w:color="auto" w:sz="4" w:space="0"/>
            </w:tcBorders>
            <w:vAlign w:val="center"/>
          </w:tcPr>
          <w:p w14:paraId="6EC48357">
            <w:pPr>
              <w:spacing w:line="300" w:lineRule="exact"/>
              <w:jc w:val="left"/>
              <w:rPr>
                <w:rFonts w:ascii="Arial" w:hAnsi="Arial" w:cs="Arial"/>
                <w:color w:val="auto"/>
                <w:szCs w:val="21"/>
                <w:highlight w:val="none"/>
              </w:rPr>
            </w:pPr>
            <w:r>
              <w:rPr>
                <w:rFonts w:ascii="Arial" w:hAnsi="Arial" w:cs="Arial"/>
                <w:color w:val="auto"/>
                <w:szCs w:val="21"/>
                <w:highlight w:val="none"/>
              </w:rPr>
              <w:t>（1）供应商认为招标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0D41E492">
            <w:pPr>
              <w:spacing w:line="300" w:lineRule="exact"/>
              <w:jc w:val="left"/>
              <w:rPr>
                <w:rFonts w:ascii="Arial" w:hAnsi="Arial" w:cs="Arial"/>
                <w:color w:val="auto"/>
                <w:szCs w:val="21"/>
                <w:highlight w:val="none"/>
              </w:rPr>
            </w:pPr>
            <w:r>
              <w:rPr>
                <w:rFonts w:ascii="Arial" w:hAnsi="Arial" w:cs="Arial"/>
                <w:color w:val="auto"/>
                <w:szCs w:val="21"/>
                <w:highlight w:val="none"/>
              </w:rPr>
              <w:t>（2）本项目不接受传真、移动通信、广西政府采购云平台等方式送达的质疑材料，供应商通过现场递交书面质疑材料。供应商应于质疑有效期内将质疑函原件递交至招标公告中采购代理机构信息中的联系人。</w:t>
            </w:r>
          </w:p>
        </w:tc>
      </w:tr>
      <w:tr w14:paraId="2EB137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737" w:type="dxa"/>
            <w:tcBorders>
              <w:top w:val="single" w:color="auto" w:sz="4" w:space="0"/>
              <w:left w:val="single" w:color="auto" w:sz="4" w:space="0"/>
              <w:bottom w:val="single" w:color="auto" w:sz="4" w:space="0"/>
              <w:right w:val="single" w:color="auto" w:sz="4" w:space="0"/>
            </w:tcBorders>
            <w:vAlign w:val="center"/>
          </w:tcPr>
          <w:p w14:paraId="5BD06D4F">
            <w:pPr>
              <w:spacing w:line="300" w:lineRule="exact"/>
              <w:jc w:val="center"/>
              <w:rPr>
                <w:rFonts w:ascii="Arial" w:hAnsi="Arial" w:cs="Arial"/>
                <w:b/>
                <w:color w:val="auto"/>
                <w:szCs w:val="21"/>
                <w:highlight w:val="none"/>
              </w:rPr>
            </w:pPr>
            <w:r>
              <w:rPr>
                <w:rFonts w:ascii="Arial" w:hAnsi="Arial" w:cs="Arial"/>
                <w:b/>
                <w:color w:val="auto"/>
                <w:szCs w:val="21"/>
                <w:highlight w:val="none"/>
              </w:rPr>
              <w:t>9.1</w:t>
            </w:r>
          </w:p>
        </w:tc>
        <w:tc>
          <w:tcPr>
            <w:tcW w:w="1248" w:type="dxa"/>
            <w:tcBorders>
              <w:top w:val="single" w:color="auto" w:sz="4" w:space="0"/>
              <w:left w:val="single" w:color="auto" w:sz="4" w:space="0"/>
              <w:bottom w:val="single" w:color="auto" w:sz="4" w:space="0"/>
              <w:right w:val="single" w:color="auto" w:sz="4" w:space="0"/>
            </w:tcBorders>
            <w:vAlign w:val="center"/>
          </w:tcPr>
          <w:p w14:paraId="01FC1AB4">
            <w:pPr>
              <w:spacing w:line="300" w:lineRule="exact"/>
              <w:jc w:val="center"/>
              <w:rPr>
                <w:rFonts w:ascii="Arial" w:hAnsi="Arial" w:cs="Arial"/>
                <w:color w:val="auto"/>
                <w:szCs w:val="21"/>
                <w:highlight w:val="none"/>
              </w:rPr>
            </w:pPr>
            <w:r>
              <w:rPr>
                <w:rFonts w:ascii="Arial" w:hAnsi="Arial" w:cs="Arial"/>
                <w:color w:val="auto"/>
                <w:szCs w:val="20"/>
                <w:highlight w:val="none"/>
              </w:rPr>
              <w:t>代理服务费</w:t>
            </w:r>
          </w:p>
        </w:tc>
        <w:tc>
          <w:tcPr>
            <w:tcW w:w="7229" w:type="dxa"/>
            <w:tcBorders>
              <w:top w:val="single" w:color="auto" w:sz="4" w:space="0"/>
              <w:left w:val="single" w:color="auto" w:sz="4" w:space="0"/>
              <w:bottom w:val="single" w:color="auto" w:sz="4" w:space="0"/>
              <w:right w:val="single" w:color="auto" w:sz="4" w:space="0"/>
            </w:tcBorders>
            <w:vAlign w:val="center"/>
          </w:tcPr>
          <w:p w14:paraId="5DE5BC73">
            <w:pPr>
              <w:rPr>
                <w:rFonts w:ascii="Arial" w:hAnsi="Arial" w:cs="Arial"/>
                <w:color w:val="auto"/>
                <w:highlight w:val="none"/>
              </w:rPr>
            </w:pPr>
            <w:r>
              <w:rPr>
                <w:rFonts w:ascii="Arial" w:hAnsi="Arial" w:cs="Arial"/>
                <w:color w:val="auto"/>
                <w:highlight w:val="none"/>
              </w:rPr>
              <w:t>（1）代理服务费</w:t>
            </w:r>
          </w:p>
          <w:p w14:paraId="6FB39448">
            <w:pPr>
              <w:spacing w:line="300" w:lineRule="exact"/>
              <w:jc w:val="left"/>
              <w:rPr>
                <w:rFonts w:ascii="Arial" w:hAnsi="Arial" w:cs="Arial"/>
                <w:color w:val="auto"/>
                <w:highlight w:val="none"/>
              </w:rPr>
            </w:pPr>
            <w:r>
              <w:rPr>
                <w:rFonts w:ascii="Arial" w:hAnsi="Arial" w:cs="Arial"/>
                <w:color w:val="auto"/>
                <w:highlight w:val="none"/>
              </w:rPr>
              <w:sym w:font="Wingdings 2" w:char="0052"/>
            </w:r>
            <w:r>
              <w:rPr>
                <w:rFonts w:ascii="Arial" w:hAnsi="Arial" w:cs="Arial"/>
                <w:color w:val="auto"/>
                <w:highlight w:val="none"/>
              </w:rPr>
              <w:t>采购代理机构向中标供应商收取代理服务费。本项目代理服务费按照《招标代理服务费管理暂行办法》 (计价格﹝2002﹞1980号)、《国家发展改革委关于降低部分建设项目收费标准规范收费行为等有关问题的通知》(发改价格﹝2011﹞534号)规定的</w:t>
            </w:r>
            <w:r>
              <w:rPr>
                <w:rFonts w:hint="eastAsia" w:ascii="Arial" w:hAnsi="Arial" w:cs="Arial"/>
                <w:color w:val="auto"/>
                <w:highlight w:val="none"/>
              </w:rPr>
              <w:t>8</w:t>
            </w:r>
            <w:r>
              <w:rPr>
                <w:rFonts w:ascii="Arial" w:hAnsi="Arial" w:cs="Arial"/>
                <w:color w:val="auto"/>
                <w:highlight w:val="none"/>
              </w:rPr>
              <w:t>0%采用差额定率累进法计算。具体费率如下：</w:t>
            </w:r>
          </w:p>
          <w:p w14:paraId="0F65B2B6">
            <w:pPr>
              <w:spacing w:line="288" w:lineRule="auto"/>
              <w:jc w:val="left"/>
              <w:rPr>
                <w:rFonts w:ascii="Arial" w:hAnsi="Arial" w:cs="Arial"/>
                <w:color w:val="auto"/>
                <w:highlight w:val="none"/>
              </w:rPr>
            </w:pPr>
            <w:r>
              <w:rPr>
                <w:rFonts w:ascii="Arial" w:hAnsi="Arial" w:cs="Arial"/>
                <w:color w:val="auto"/>
                <w:highlight w:val="none"/>
              </w:rPr>
              <w:t>①中标金额在100万元以下的：</w:t>
            </w:r>
          </w:p>
          <w:p w14:paraId="1ED573D5">
            <w:pPr>
              <w:spacing w:line="288" w:lineRule="auto"/>
              <w:jc w:val="left"/>
              <w:rPr>
                <w:rFonts w:ascii="Arial" w:hAnsi="Arial" w:cs="Arial"/>
                <w:color w:val="auto"/>
                <w:highlight w:val="none"/>
              </w:rPr>
            </w:pPr>
            <w:r>
              <w:rPr>
                <w:rFonts w:ascii="Arial" w:hAnsi="Arial" w:cs="Arial"/>
                <w:color w:val="auto"/>
                <w:highlight w:val="none"/>
              </w:rPr>
              <w:t>货物1.5％；服务招标1.5％；工程招标1.0％；</w:t>
            </w:r>
          </w:p>
          <w:p w14:paraId="57F0ACB3">
            <w:pPr>
              <w:spacing w:line="288" w:lineRule="auto"/>
              <w:jc w:val="left"/>
              <w:rPr>
                <w:rFonts w:ascii="Arial" w:hAnsi="Arial" w:cs="Arial"/>
                <w:color w:val="auto"/>
                <w:highlight w:val="none"/>
              </w:rPr>
            </w:pPr>
            <w:r>
              <w:rPr>
                <w:rFonts w:ascii="Arial" w:hAnsi="Arial" w:cs="Arial"/>
                <w:color w:val="auto"/>
                <w:highlight w:val="none"/>
              </w:rPr>
              <w:t>②中标金额在100-500万元之间：</w:t>
            </w:r>
          </w:p>
          <w:p w14:paraId="299A1F3F">
            <w:pPr>
              <w:spacing w:line="288" w:lineRule="auto"/>
              <w:jc w:val="left"/>
              <w:rPr>
                <w:rFonts w:ascii="Arial" w:hAnsi="Arial" w:cs="Arial"/>
                <w:color w:val="auto"/>
                <w:highlight w:val="none"/>
              </w:rPr>
            </w:pPr>
            <w:r>
              <w:rPr>
                <w:rFonts w:ascii="Arial" w:hAnsi="Arial" w:cs="Arial"/>
                <w:color w:val="auto"/>
                <w:highlight w:val="none"/>
              </w:rPr>
              <w:t>货物1.1％；服务招标0.8％；工程招标0.7％；</w:t>
            </w:r>
          </w:p>
          <w:p w14:paraId="3CBDC369">
            <w:pPr>
              <w:spacing w:line="288" w:lineRule="auto"/>
              <w:jc w:val="left"/>
              <w:rPr>
                <w:rFonts w:ascii="Arial" w:hAnsi="Arial" w:cs="Arial"/>
                <w:color w:val="auto"/>
                <w:highlight w:val="none"/>
              </w:rPr>
            </w:pPr>
            <w:r>
              <w:rPr>
                <w:rFonts w:ascii="Arial" w:hAnsi="Arial" w:cs="Arial"/>
                <w:color w:val="auto"/>
                <w:highlight w:val="none"/>
              </w:rPr>
              <w:t>③中标金额在500-1000万元之间：</w:t>
            </w:r>
          </w:p>
          <w:p w14:paraId="02C53050">
            <w:pPr>
              <w:spacing w:line="288" w:lineRule="auto"/>
              <w:jc w:val="left"/>
              <w:rPr>
                <w:rFonts w:ascii="Arial" w:hAnsi="Arial" w:cs="Arial"/>
                <w:color w:val="auto"/>
                <w:highlight w:val="none"/>
              </w:rPr>
            </w:pPr>
            <w:r>
              <w:rPr>
                <w:rFonts w:ascii="Arial" w:hAnsi="Arial" w:cs="Arial"/>
                <w:color w:val="auto"/>
                <w:highlight w:val="none"/>
              </w:rPr>
              <w:t>货物0.8％；服务招标0.45％；工程招标0.55％；</w:t>
            </w:r>
          </w:p>
          <w:p w14:paraId="78B00D09">
            <w:pPr>
              <w:spacing w:line="288" w:lineRule="auto"/>
              <w:jc w:val="left"/>
              <w:rPr>
                <w:rFonts w:ascii="Arial" w:hAnsi="Arial" w:cs="Arial"/>
                <w:color w:val="auto"/>
                <w:highlight w:val="none"/>
              </w:rPr>
            </w:pPr>
            <w:r>
              <w:rPr>
                <w:rFonts w:ascii="Arial" w:hAnsi="Arial" w:cs="Arial"/>
                <w:color w:val="auto"/>
                <w:highlight w:val="none"/>
              </w:rPr>
              <w:t>④中标金额在1000-5000万元之间：</w:t>
            </w:r>
          </w:p>
          <w:p w14:paraId="36651573">
            <w:pPr>
              <w:spacing w:line="288" w:lineRule="auto"/>
              <w:jc w:val="left"/>
              <w:rPr>
                <w:rFonts w:ascii="Arial" w:hAnsi="Arial" w:cs="Arial"/>
                <w:color w:val="auto"/>
                <w:highlight w:val="none"/>
              </w:rPr>
            </w:pPr>
            <w:r>
              <w:rPr>
                <w:rFonts w:ascii="Arial" w:hAnsi="Arial" w:cs="Arial"/>
                <w:color w:val="auto"/>
                <w:highlight w:val="none"/>
              </w:rPr>
              <w:t>货物0.5％；服务招标0.25％；工程招标0.35％；</w:t>
            </w:r>
          </w:p>
          <w:p w14:paraId="72A7A360">
            <w:pPr>
              <w:spacing w:line="288" w:lineRule="auto"/>
              <w:jc w:val="left"/>
              <w:rPr>
                <w:rFonts w:ascii="Arial" w:hAnsi="Arial" w:cs="Arial"/>
                <w:color w:val="auto"/>
                <w:highlight w:val="none"/>
              </w:rPr>
            </w:pPr>
            <w:r>
              <w:rPr>
                <w:rFonts w:ascii="Arial" w:hAnsi="Arial" w:cs="Arial"/>
                <w:color w:val="auto"/>
                <w:highlight w:val="none"/>
              </w:rPr>
              <w:t>……</w:t>
            </w:r>
          </w:p>
          <w:p w14:paraId="100AC90B">
            <w:pPr>
              <w:spacing w:line="288" w:lineRule="auto"/>
              <w:jc w:val="left"/>
              <w:rPr>
                <w:rFonts w:ascii="Arial" w:hAnsi="Arial" w:cs="Arial"/>
                <w:color w:val="auto"/>
                <w:highlight w:val="none"/>
              </w:rPr>
            </w:pPr>
            <w:r>
              <w:rPr>
                <w:rFonts w:ascii="Arial" w:hAnsi="Arial" w:cs="Arial"/>
                <w:color w:val="auto"/>
                <w:highlight w:val="none"/>
              </w:rPr>
              <w:t>差额定率累进法计算过程示例：</w:t>
            </w:r>
          </w:p>
          <w:p w14:paraId="7EE1C553">
            <w:pPr>
              <w:spacing w:line="288" w:lineRule="auto"/>
              <w:jc w:val="left"/>
              <w:rPr>
                <w:rFonts w:ascii="Arial" w:hAnsi="Arial" w:cs="Arial"/>
                <w:color w:val="auto"/>
                <w:highlight w:val="none"/>
              </w:rPr>
            </w:pPr>
            <w:r>
              <w:rPr>
                <w:rFonts w:ascii="Arial" w:hAnsi="Arial" w:cs="Arial"/>
                <w:color w:val="auto"/>
                <w:highlight w:val="none"/>
              </w:rPr>
              <w:t>例如：某货物招标代理业务中标金额为300万元，招标代理服务费金额按如下计算：</w:t>
            </w:r>
          </w:p>
          <w:p w14:paraId="7E22F96A">
            <w:pPr>
              <w:spacing w:line="288" w:lineRule="auto"/>
              <w:jc w:val="left"/>
              <w:rPr>
                <w:rFonts w:ascii="Arial" w:hAnsi="Arial" w:cs="Arial"/>
                <w:color w:val="auto"/>
                <w:highlight w:val="none"/>
              </w:rPr>
            </w:pPr>
            <w:r>
              <w:rPr>
                <w:rFonts w:ascii="Arial" w:hAnsi="Arial" w:cs="Arial"/>
                <w:color w:val="auto"/>
                <w:highlight w:val="none"/>
              </w:rPr>
              <w:t>100万元×1.5%＝1.5万元</w:t>
            </w:r>
          </w:p>
          <w:p w14:paraId="0500676A">
            <w:pPr>
              <w:spacing w:line="288" w:lineRule="auto"/>
              <w:jc w:val="left"/>
              <w:rPr>
                <w:rFonts w:ascii="Arial" w:hAnsi="Arial" w:cs="Arial"/>
                <w:color w:val="auto"/>
                <w:highlight w:val="none"/>
              </w:rPr>
            </w:pPr>
            <w:r>
              <w:rPr>
                <w:rFonts w:ascii="Arial" w:hAnsi="Arial" w:cs="Arial"/>
                <w:color w:val="auto"/>
                <w:highlight w:val="none"/>
              </w:rPr>
              <w:t>（300－100）万元×1.1%＝2.2万元</w:t>
            </w:r>
          </w:p>
          <w:p w14:paraId="1C5DEEA7">
            <w:pPr>
              <w:spacing w:line="288" w:lineRule="auto"/>
              <w:jc w:val="left"/>
              <w:rPr>
                <w:rFonts w:ascii="Arial" w:hAnsi="Arial" w:cs="Arial"/>
                <w:color w:val="auto"/>
                <w:highlight w:val="none"/>
              </w:rPr>
            </w:pPr>
            <w:r>
              <w:rPr>
                <w:rFonts w:ascii="Arial" w:hAnsi="Arial" w:cs="Arial"/>
                <w:color w:val="auto"/>
                <w:highlight w:val="none"/>
              </w:rPr>
              <w:t>合计收费＝（1.5＋2.2）*</w:t>
            </w:r>
            <w:r>
              <w:rPr>
                <w:rFonts w:hint="eastAsia" w:ascii="Arial" w:hAnsi="Arial" w:cs="Arial"/>
                <w:color w:val="auto"/>
                <w:highlight w:val="none"/>
              </w:rPr>
              <w:t>8</w:t>
            </w:r>
            <w:r>
              <w:rPr>
                <w:rFonts w:ascii="Arial" w:hAnsi="Arial" w:cs="Arial"/>
                <w:color w:val="auto"/>
                <w:highlight w:val="none"/>
              </w:rPr>
              <w:t>0%=2.</w:t>
            </w:r>
            <w:r>
              <w:rPr>
                <w:rFonts w:hint="eastAsia" w:ascii="Arial" w:hAnsi="Arial" w:cs="Arial"/>
                <w:color w:val="auto"/>
                <w:highlight w:val="none"/>
              </w:rPr>
              <w:t>96</w:t>
            </w:r>
            <w:r>
              <w:rPr>
                <w:rFonts w:ascii="Arial" w:hAnsi="Arial" w:cs="Arial"/>
                <w:color w:val="auto"/>
                <w:highlight w:val="none"/>
              </w:rPr>
              <w:t>万元</w:t>
            </w:r>
          </w:p>
          <w:p w14:paraId="4A935624">
            <w:pPr>
              <w:spacing w:line="288" w:lineRule="auto"/>
              <w:jc w:val="left"/>
              <w:rPr>
                <w:rFonts w:ascii="Arial" w:hAnsi="Arial" w:cs="Arial"/>
                <w:color w:val="auto"/>
                <w:highlight w:val="none"/>
              </w:rPr>
            </w:pPr>
            <w:r>
              <w:rPr>
                <w:rFonts w:ascii="Arial" w:hAnsi="Arial" w:cs="Arial"/>
                <w:color w:val="auto"/>
                <w:highlight w:val="none"/>
              </w:rPr>
              <w:sym w:font="Wingdings 2" w:char="F0A3"/>
            </w:r>
            <w:r>
              <w:rPr>
                <w:rFonts w:ascii="Arial" w:hAnsi="Arial" w:cs="Arial"/>
                <w:color w:val="auto"/>
                <w:highlight w:val="none"/>
              </w:rPr>
              <w:t>采购代理机构向中标供应商收取代理服务费，具体金额为             。</w:t>
            </w:r>
          </w:p>
          <w:p w14:paraId="73CBB79E">
            <w:pPr>
              <w:spacing w:line="288" w:lineRule="auto"/>
              <w:jc w:val="left"/>
              <w:rPr>
                <w:rFonts w:ascii="Arial" w:hAnsi="Arial" w:cs="Arial"/>
                <w:color w:val="auto"/>
                <w:highlight w:val="none"/>
              </w:rPr>
            </w:pPr>
            <w:r>
              <w:rPr>
                <w:rFonts w:ascii="Arial" w:hAnsi="Arial" w:cs="Arial"/>
                <w:color w:val="auto"/>
                <w:highlight w:val="none"/>
              </w:rPr>
              <w:t>（2）中标供应商在中标通知书发出前以银行转账或现金形式支付代理服务费。</w:t>
            </w:r>
          </w:p>
          <w:p w14:paraId="4EA61D13">
            <w:pPr>
              <w:spacing w:line="300" w:lineRule="exact"/>
              <w:jc w:val="left"/>
              <w:rPr>
                <w:rFonts w:ascii="Arial" w:hAnsi="Arial" w:cs="Arial"/>
                <w:b/>
                <w:color w:val="auto"/>
                <w:highlight w:val="none"/>
              </w:rPr>
            </w:pPr>
            <w:r>
              <w:rPr>
                <w:rFonts w:hint="eastAsia" w:ascii="Arial" w:hAnsi="Arial" w:cs="Arial"/>
                <w:b/>
                <w:color w:val="auto"/>
                <w:highlight w:val="none"/>
              </w:rPr>
              <w:t>缴纳招标代理服务费的银行账户：</w:t>
            </w:r>
          </w:p>
          <w:p w14:paraId="040D4B0A">
            <w:pPr>
              <w:spacing w:line="300" w:lineRule="exact"/>
              <w:jc w:val="left"/>
              <w:rPr>
                <w:rFonts w:ascii="Arial" w:hAnsi="Arial" w:cs="Arial"/>
                <w:b/>
                <w:color w:val="auto"/>
                <w:highlight w:val="none"/>
              </w:rPr>
            </w:pPr>
            <w:r>
              <w:rPr>
                <w:rFonts w:hint="eastAsia" w:ascii="Arial" w:hAnsi="Arial" w:cs="Arial"/>
                <w:b/>
                <w:color w:val="auto"/>
                <w:highlight w:val="none"/>
              </w:rPr>
              <w:t>公司名称：广西机电设备招标有限公司桂林七星分公司</w:t>
            </w:r>
          </w:p>
          <w:p w14:paraId="672D693E">
            <w:pPr>
              <w:spacing w:line="300" w:lineRule="exact"/>
              <w:jc w:val="left"/>
              <w:rPr>
                <w:rFonts w:ascii="Arial" w:hAnsi="Arial" w:cs="Arial"/>
                <w:b/>
                <w:color w:val="auto"/>
                <w:highlight w:val="none"/>
              </w:rPr>
            </w:pPr>
            <w:r>
              <w:rPr>
                <w:rFonts w:hint="eastAsia" w:ascii="Arial" w:hAnsi="Arial" w:cs="Arial"/>
                <w:b/>
                <w:color w:val="auto"/>
                <w:highlight w:val="none"/>
              </w:rPr>
              <w:t>开户银行：交通银行桂林高新支行</w:t>
            </w:r>
          </w:p>
          <w:p w14:paraId="3D779061">
            <w:pPr>
              <w:spacing w:line="300" w:lineRule="exact"/>
              <w:jc w:val="left"/>
              <w:rPr>
                <w:rFonts w:ascii="Arial" w:hAnsi="Arial" w:cs="Arial"/>
                <w:color w:val="auto"/>
                <w:kern w:val="0"/>
                <w:szCs w:val="21"/>
                <w:highlight w:val="none"/>
              </w:rPr>
            </w:pPr>
            <w:r>
              <w:rPr>
                <w:rFonts w:hint="eastAsia" w:ascii="Arial" w:hAnsi="Arial" w:cs="Arial"/>
                <w:b/>
                <w:color w:val="auto"/>
                <w:highlight w:val="none"/>
              </w:rPr>
              <w:t>银行账号：453060811013000380456</w:t>
            </w:r>
          </w:p>
        </w:tc>
      </w:tr>
      <w:tr w14:paraId="266C0B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737" w:type="dxa"/>
            <w:tcBorders>
              <w:top w:val="single" w:color="auto" w:sz="4" w:space="0"/>
              <w:left w:val="single" w:color="auto" w:sz="4" w:space="0"/>
              <w:bottom w:val="single" w:color="auto" w:sz="4" w:space="0"/>
              <w:right w:val="single" w:color="auto" w:sz="4" w:space="0"/>
            </w:tcBorders>
            <w:vAlign w:val="center"/>
          </w:tcPr>
          <w:p w14:paraId="179DA739">
            <w:pPr>
              <w:spacing w:line="300" w:lineRule="exact"/>
              <w:jc w:val="center"/>
              <w:rPr>
                <w:rFonts w:ascii="Arial" w:hAnsi="Arial" w:cs="Arial"/>
                <w:b/>
                <w:color w:val="auto"/>
                <w:szCs w:val="21"/>
                <w:highlight w:val="none"/>
              </w:rPr>
            </w:pPr>
            <w:r>
              <w:rPr>
                <w:rFonts w:ascii="Arial" w:hAnsi="Arial" w:cs="Arial"/>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vAlign w:val="center"/>
          </w:tcPr>
          <w:p w14:paraId="21B9F639">
            <w:pPr>
              <w:spacing w:line="300" w:lineRule="exact"/>
              <w:jc w:val="center"/>
              <w:rPr>
                <w:rFonts w:ascii="Arial" w:hAnsi="Arial" w:cs="Arial"/>
                <w:color w:val="auto"/>
                <w:szCs w:val="20"/>
                <w:highlight w:val="none"/>
              </w:rPr>
            </w:pPr>
            <w:r>
              <w:rPr>
                <w:rFonts w:ascii="Arial" w:hAnsi="Arial" w:cs="Arial"/>
                <w:color w:val="auto"/>
                <w:szCs w:val="20"/>
                <w:highlight w:val="none"/>
              </w:rPr>
              <w:t>附件</w:t>
            </w:r>
          </w:p>
        </w:tc>
        <w:tc>
          <w:tcPr>
            <w:tcW w:w="7229" w:type="dxa"/>
            <w:tcBorders>
              <w:top w:val="single" w:color="auto" w:sz="4" w:space="0"/>
              <w:left w:val="single" w:color="auto" w:sz="4" w:space="0"/>
              <w:bottom w:val="single" w:color="auto" w:sz="4" w:space="0"/>
              <w:right w:val="single" w:color="auto" w:sz="4" w:space="0"/>
            </w:tcBorders>
            <w:vAlign w:val="center"/>
          </w:tcPr>
          <w:p w14:paraId="6149DFCF">
            <w:pPr>
              <w:spacing w:line="276" w:lineRule="auto"/>
              <w:rPr>
                <w:rFonts w:ascii="Arial" w:hAnsi="Arial" w:cs="Arial"/>
                <w:color w:val="auto"/>
                <w:szCs w:val="21"/>
                <w:highlight w:val="none"/>
                <w:u w:val="single"/>
              </w:rPr>
            </w:pPr>
            <w:r>
              <w:rPr>
                <w:rFonts w:ascii="Arial" w:hAnsi="Arial" w:cs="Arial"/>
                <w:color w:val="auto"/>
                <w:szCs w:val="21"/>
                <w:highlight w:val="none"/>
              </w:rPr>
              <w:t>无</w:t>
            </w:r>
          </w:p>
        </w:tc>
      </w:tr>
      <w:tr w14:paraId="0BFF98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737" w:type="dxa"/>
            <w:tcBorders>
              <w:top w:val="single" w:color="auto" w:sz="4" w:space="0"/>
              <w:left w:val="single" w:color="auto" w:sz="4" w:space="0"/>
              <w:bottom w:val="single" w:color="auto" w:sz="4" w:space="0"/>
              <w:right w:val="single" w:color="auto" w:sz="4" w:space="0"/>
            </w:tcBorders>
            <w:vAlign w:val="center"/>
          </w:tcPr>
          <w:p w14:paraId="6870876B">
            <w:pPr>
              <w:spacing w:line="300" w:lineRule="exact"/>
              <w:jc w:val="center"/>
              <w:rPr>
                <w:rFonts w:ascii="Arial" w:hAnsi="Arial" w:cs="Arial"/>
                <w:b/>
                <w:color w:val="auto"/>
                <w:szCs w:val="21"/>
                <w:highlight w:val="none"/>
              </w:rPr>
            </w:pPr>
            <w:r>
              <w:rPr>
                <w:rFonts w:ascii="Arial" w:hAnsi="Arial" w:cs="Arial"/>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vAlign w:val="center"/>
          </w:tcPr>
          <w:p w14:paraId="159FE435">
            <w:pPr>
              <w:spacing w:line="300" w:lineRule="exact"/>
              <w:jc w:val="center"/>
              <w:rPr>
                <w:rFonts w:ascii="Arial" w:hAnsi="Arial" w:cs="Arial"/>
                <w:color w:val="auto"/>
                <w:szCs w:val="20"/>
                <w:highlight w:val="none"/>
              </w:rPr>
            </w:pPr>
            <w:r>
              <w:rPr>
                <w:rFonts w:ascii="Arial" w:hAnsi="Arial" w:cs="Arial"/>
                <w:color w:val="auto"/>
                <w:szCs w:val="20"/>
                <w:highlight w:val="none"/>
              </w:rPr>
              <w:t>图纸</w:t>
            </w:r>
          </w:p>
        </w:tc>
        <w:tc>
          <w:tcPr>
            <w:tcW w:w="7229" w:type="dxa"/>
            <w:tcBorders>
              <w:top w:val="single" w:color="auto" w:sz="4" w:space="0"/>
              <w:left w:val="single" w:color="auto" w:sz="4" w:space="0"/>
              <w:bottom w:val="single" w:color="auto" w:sz="4" w:space="0"/>
              <w:right w:val="single" w:color="auto" w:sz="4" w:space="0"/>
            </w:tcBorders>
            <w:vAlign w:val="center"/>
          </w:tcPr>
          <w:p w14:paraId="5F9FBEE0">
            <w:pPr>
              <w:spacing w:line="276" w:lineRule="auto"/>
              <w:rPr>
                <w:rFonts w:ascii="Arial" w:hAnsi="Arial" w:cs="Arial"/>
                <w:color w:val="auto"/>
                <w:szCs w:val="21"/>
                <w:highlight w:val="none"/>
                <w:u w:val="single"/>
              </w:rPr>
            </w:pPr>
            <w:r>
              <w:rPr>
                <w:rFonts w:ascii="Arial" w:hAnsi="Arial" w:cs="Arial"/>
                <w:color w:val="auto"/>
                <w:szCs w:val="21"/>
                <w:highlight w:val="none"/>
              </w:rPr>
              <w:t>无</w:t>
            </w:r>
          </w:p>
        </w:tc>
      </w:tr>
      <w:tr w14:paraId="016E26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vAlign w:val="center"/>
          </w:tcPr>
          <w:p w14:paraId="07008D19">
            <w:pPr>
              <w:spacing w:line="300" w:lineRule="exact"/>
              <w:jc w:val="center"/>
              <w:rPr>
                <w:rFonts w:ascii="Arial" w:hAnsi="Arial" w:cs="Arial"/>
                <w:b/>
                <w:color w:val="auto"/>
                <w:szCs w:val="21"/>
                <w:highlight w:val="none"/>
              </w:rPr>
            </w:pPr>
            <w:r>
              <w:rPr>
                <w:rFonts w:ascii="Arial" w:hAnsi="Arial" w:cs="Arial"/>
                <w:b/>
                <w:color w:val="auto"/>
                <w:szCs w:val="21"/>
                <w:highlight w:val="none"/>
              </w:rPr>
              <w:t>9.4</w:t>
            </w:r>
          </w:p>
        </w:tc>
        <w:tc>
          <w:tcPr>
            <w:tcW w:w="1248" w:type="dxa"/>
            <w:tcBorders>
              <w:top w:val="single" w:color="auto" w:sz="4" w:space="0"/>
              <w:left w:val="single" w:color="auto" w:sz="4" w:space="0"/>
              <w:bottom w:val="single" w:color="auto" w:sz="4" w:space="0"/>
              <w:right w:val="single" w:color="auto" w:sz="4" w:space="0"/>
            </w:tcBorders>
            <w:vAlign w:val="center"/>
          </w:tcPr>
          <w:p w14:paraId="731A2222">
            <w:pPr>
              <w:spacing w:line="300" w:lineRule="exact"/>
              <w:jc w:val="center"/>
              <w:rPr>
                <w:rFonts w:ascii="Arial" w:hAnsi="Arial" w:cs="Arial"/>
                <w:color w:val="auto"/>
                <w:szCs w:val="20"/>
                <w:highlight w:val="none"/>
              </w:rPr>
            </w:pPr>
            <w:r>
              <w:rPr>
                <w:rFonts w:ascii="Arial" w:hAnsi="Arial" w:cs="Arial"/>
                <w:color w:val="auto"/>
                <w:szCs w:val="20"/>
                <w:highlight w:val="none"/>
              </w:rPr>
              <w:t>其他事项</w:t>
            </w:r>
          </w:p>
        </w:tc>
        <w:tc>
          <w:tcPr>
            <w:tcW w:w="7229" w:type="dxa"/>
            <w:tcBorders>
              <w:top w:val="single" w:color="auto" w:sz="4" w:space="0"/>
              <w:left w:val="single" w:color="auto" w:sz="4" w:space="0"/>
              <w:bottom w:val="single" w:color="auto" w:sz="4" w:space="0"/>
              <w:right w:val="single" w:color="auto" w:sz="4" w:space="0"/>
            </w:tcBorders>
            <w:vAlign w:val="center"/>
          </w:tcPr>
          <w:p w14:paraId="5E6E8A51">
            <w:pPr>
              <w:spacing w:line="276" w:lineRule="auto"/>
              <w:rPr>
                <w:color w:val="auto"/>
                <w:szCs w:val="21"/>
                <w:highlight w:val="none"/>
              </w:rPr>
            </w:pPr>
            <w:r>
              <w:rPr>
                <w:rFonts w:hint="eastAsia"/>
                <w:color w:val="auto"/>
                <w:szCs w:val="21"/>
                <w:highlight w:val="none"/>
              </w:rPr>
              <w:t>构成本招标文件的各个组成文件应互为解释，互为说明：</w:t>
            </w:r>
          </w:p>
          <w:p w14:paraId="43129B2D">
            <w:pPr>
              <w:spacing w:line="300" w:lineRule="exact"/>
              <w:rPr>
                <w:rFonts w:ascii="Arial" w:hAnsi="Arial" w:cs="Arial"/>
                <w:color w:val="auto"/>
                <w:sz w:val="24"/>
                <w:highlight w:val="none"/>
              </w:rPr>
            </w:pPr>
            <w:r>
              <w:rPr>
                <w:rFonts w:hint="eastAsia"/>
                <w:color w:val="auto"/>
                <w:szCs w:val="21"/>
                <w:highlight w:val="none"/>
              </w:rPr>
              <w:t>除招标文件中有特别规定外，仅适用于招标投标阶段的规定，按更正公告（澄清公告）、招标公告、采购需求、投标人须知、评审方法及标准、合同条款格式、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bl>
    <w:p w14:paraId="5593B36E">
      <w:pPr>
        <w:spacing w:before="120" w:line="320" w:lineRule="atLeast"/>
        <w:outlineLvl w:val="1"/>
        <w:rPr>
          <w:rFonts w:ascii="Arial" w:hAnsi="Arial" w:cs="Arial"/>
          <w:bCs/>
          <w:color w:val="auto"/>
          <w:kern w:val="0"/>
          <w:sz w:val="28"/>
          <w:szCs w:val="28"/>
          <w:highlight w:val="none"/>
        </w:rPr>
        <w:sectPr>
          <w:pgSz w:w="11906" w:h="16838"/>
          <w:pgMar w:top="993" w:right="1133" w:bottom="1246" w:left="1418" w:header="851" w:footer="992" w:gutter="0"/>
          <w:cols w:space="720" w:num="1"/>
          <w:titlePg/>
          <w:docGrid w:linePitch="312" w:charSpace="0"/>
        </w:sectPr>
      </w:pPr>
    </w:p>
    <w:p w14:paraId="3576AB13">
      <w:pPr>
        <w:spacing w:before="120" w:line="320" w:lineRule="atLeast"/>
        <w:outlineLvl w:val="1"/>
        <w:rPr>
          <w:rFonts w:ascii="Arial" w:hAnsi="Arial" w:cs="Arial"/>
          <w:b/>
          <w:bCs/>
          <w:color w:val="auto"/>
          <w:kern w:val="0"/>
          <w:szCs w:val="21"/>
          <w:highlight w:val="none"/>
        </w:rPr>
      </w:pPr>
      <w:bookmarkStart w:id="26" w:name="_Toc254970549"/>
      <w:bookmarkStart w:id="27" w:name="_Toc254970690"/>
      <w:r>
        <w:rPr>
          <w:rFonts w:ascii="Arial" w:hAnsi="Arial" w:cs="Arial"/>
          <w:color w:val="auto"/>
          <w:sz w:val="32"/>
          <w:szCs w:val="32"/>
          <w:highlight w:val="none"/>
        </w:rPr>
        <w:tab/>
      </w:r>
      <w:bookmarkStart w:id="28" w:name="_Hlk88949215"/>
      <w:r>
        <w:rPr>
          <w:rFonts w:ascii="Arial" w:hAnsi="Arial" w:cs="Arial"/>
          <w:b/>
          <w:bCs/>
          <w:color w:val="auto"/>
          <w:kern w:val="0"/>
          <w:szCs w:val="21"/>
          <w:highlight w:val="none"/>
        </w:rPr>
        <w:t>1．总则</w:t>
      </w:r>
    </w:p>
    <w:p w14:paraId="6ED38254">
      <w:pPr>
        <w:spacing w:before="120" w:line="320" w:lineRule="atLeast"/>
        <w:ind w:firstLine="422" w:firstLineChars="200"/>
        <w:outlineLvl w:val="2"/>
        <w:rPr>
          <w:rFonts w:ascii="Arial" w:hAnsi="Arial" w:cs="Arial"/>
          <w:b/>
          <w:bCs/>
          <w:color w:val="auto"/>
          <w:kern w:val="0"/>
          <w:szCs w:val="21"/>
          <w:highlight w:val="none"/>
        </w:rPr>
      </w:pPr>
      <w:bookmarkStart w:id="29" w:name="_Toc254970668"/>
      <w:bookmarkStart w:id="30" w:name="_Toc254970527"/>
      <w:r>
        <w:rPr>
          <w:rFonts w:ascii="Arial" w:hAnsi="Arial" w:cs="Arial"/>
          <w:b/>
          <w:bCs/>
          <w:color w:val="auto"/>
          <w:kern w:val="0"/>
          <w:szCs w:val="21"/>
          <w:highlight w:val="none"/>
        </w:rPr>
        <w:t>1.1适用范围</w:t>
      </w:r>
      <w:bookmarkEnd w:id="29"/>
      <w:bookmarkEnd w:id="30"/>
    </w:p>
    <w:p w14:paraId="19D671CB">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本招标文件适用于供应商须知前附表所述项目的政府采购活动。</w:t>
      </w:r>
    </w:p>
    <w:p w14:paraId="01D14C6A">
      <w:pPr>
        <w:spacing w:before="120" w:line="320" w:lineRule="atLeast"/>
        <w:ind w:firstLine="422" w:firstLineChars="200"/>
        <w:outlineLvl w:val="2"/>
        <w:rPr>
          <w:rFonts w:ascii="Arial" w:hAnsi="Arial" w:cs="Arial"/>
          <w:b/>
          <w:bCs/>
          <w:color w:val="auto"/>
          <w:kern w:val="0"/>
          <w:szCs w:val="21"/>
          <w:highlight w:val="none"/>
        </w:rPr>
      </w:pPr>
      <w:bookmarkStart w:id="31" w:name="_Toc254970669"/>
      <w:bookmarkStart w:id="32" w:name="_Toc254970528"/>
      <w:r>
        <w:rPr>
          <w:rFonts w:ascii="Arial" w:hAnsi="Arial" w:cs="Arial"/>
          <w:b/>
          <w:bCs/>
          <w:color w:val="auto"/>
          <w:kern w:val="0"/>
          <w:szCs w:val="21"/>
          <w:highlight w:val="none"/>
        </w:rPr>
        <w:t>1.2定义</w:t>
      </w:r>
      <w:bookmarkEnd w:id="31"/>
      <w:bookmarkEnd w:id="32"/>
    </w:p>
    <w:p w14:paraId="7DA0C120">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1.2.1“采购人”系指依法进行政府采购的国家机关、事业单位、团体组织。</w:t>
      </w:r>
    </w:p>
    <w:p w14:paraId="61DC769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1.2.2“供应商”系</w:t>
      </w:r>
      <w:r>
        <w:rPr>
          <w:rFonts w:ascii="Arial" w:hAnsi="Arial" w:cs="Arial"/>
          <w:color w:val="auto"/>
          <w:highlight w:val="none"/>
        </w:rPr>
        <w:t>指响应招标、参加投标竞争的法人、其他组织或者自然人</w:t>
      </w:r>
      <w:r>
        <w:rPr>
          <w:rFonts w:ascii="Arial" w:hAnsi="Arial" w:cs="Arial"/>
          <w:color w:val="auto"/>
          <w:szCs w:val="21"/>
          <w:highlight w:val="none"/>
        </w:rPr>
        <w:t>。</w:t>
      </w:r>
    </w:p>
    <w:p w14:paraId="42D3CE23">
      <w:pPr>
        <w:spacing w:before="120" w:line="360" w:lineRule="auto"/>
        <w:ind w:firstLine="420" w:firstLineChars="200"/>
        <w:rPr>
          <w:rFonts w:ascii="Arial" w:hAnsi="Arial" w:cs="Arial"/>
          <w:color w:val="auto"/>
          <w:highlight w:val="none"/>
        </w:rPr>
      </w:pPr>
      <w:r>
        <w:rPr>
          <w:rFonts w:ascii="Arial" w:hAnsi="Arial" w:cs="Arial"/>
          <w:color w:val="auto"/>
          <w:highlight w:val="none"/>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26EF1EDE">
      <w:pPr>
        <w:spacing w:before="120" w:line="360" w:lineRule="auto"/>
        <w:ind w:firstLine="420" w:firstLineChars="200"/>
        <w:rPr>
          <w:rFonts w:ascii="Arial" w:hAnsi="Arial" w:cs="Arial"/>
          <w:color w:val="auto"/>
          <w:highlight w:val="none"/>
        </w:rPr>
      </w:pPr>
      <w:r>
        <w:rPr>
          <w:rFonts w:ascii="Arial" w:hAnsi="Arial" w:cs="Arial"/>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3948DA2D">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 </w:t>
      </w:r>
    </w:p>
    <w:p w14:paraId="41A4E9C5">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1.2.6本项目的技术商务要求重要性分为“▲”（如有）、“#”（如有）和一般无标识指标。▲代表实质性要求指标，</w:t>
      </w:r>
      <w:r>
        <w:rPr>
          <w:rFonts w:ascii="Arial" w:hAnsi="Arial" w:cs="Arial"/>
          <w:b/>
          <w:bCs/>
          <w:color w:val="auto"/>
          <w:szCs w:val="21"/>
          <w:highlight w:val="none"/>
        </w:rPr>
        <w:t>不满足该指标项将导致投标被否决</w:t>
      </w:r>
      <w:r>
        <w:rPr>
          <w:rFonts w:ascii="Arial" w:hAnsi="Arial" w:cs="Arial"/>
          <w:color w:val="auto"/>
          <w:szCs w:val="21"/>
          <w:highlight w:val="none"/>
        </w:rPr>
        <w:t>，#代表重要指标，无标识则表示一般指标项。</w:t>
      </w:r>
    </w:p>
    <w:p w14:paraId="07A88C0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1.2.7 本招标文件出现多种选项的条款，以“</w:t>
      </w:r>
      <w:r>
        <w:rPr>
          <w:rFonts w:ascii="Arial" w:hAnsi="Arial" w:cs="Arial"/>
          <w:color w:val="auto"/>
          <w:highlight w:val="none"/>
        </w:rPr>
        <w:sym w:font="Wingdings 2" w:char="F052"/>
      </w:r>
      <w:r>
        <w:rPr>
          <w:rFonts w:ascii="Arial" w:hAnsi="Arial" w:cs="Arial"/>
          <w:color w:val="auto"/>
          <w:szCs w:val="21"/>
          <w:highlight w:val="none"/>
        </w:rPr>
        <w:t>”表示本条款所选择的方式。</w:t>
      </w:r>
    </w:p>
    <w:p w14:paraId="5397375E">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1.2.8 “电子交易平台”是指以数据电文形式在线完成采购活动的信息平台，本招标文件中也称“广西政府采购云平台”。</w:t>
      </w:r>
    </w:p>
    <w:p w14:paraId="3320D954">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1.3项目信息</w:t>
      </w:r>
    </w:p>
    <w:p w14:paraId="60B1C11F">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1.3.1项目名称及编号：详见供应商须知前附表</w:t>
      </w:r>
    </w:p>
    <w:p w14:paraId="4C081DA3">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1.3.2</w:t>
      </w:r>
      <w:r>
        <w:rPr>
          <w:rFonts w:hint="eastAsia" w:ascii="Arial" w:hAnsi="Arial" w:cs="Arial"/>
          <w:color w:val="auto"/>
          <w:szCs w:val="21"/>
          <w:highlight w:val="none"/>
        </w:rPr>
        <w:t>采购方</w:t>
      </w:r>
      <w:r>
        <w:rPr>
          <w:rFonts w:ascii="Arial" w:hAnsi="Arial" w:cs="Arial"/>
          <w:color w:val="auto"/>
          <w:szCs w:val="21"/>
          <w:highlight w:val="none"/>
        </w:rPr>
        <w:t>式：详见供应商须知前附表</w:t>
      </w:r>
    </w:p>
    <w:p w14:paraId="3449FDF9">
      <w:pPr>
        <w:spacing w:before="120" w:line="320" w:lineRule="atLeast"/>
        <w:ind w:firstLine="422" w:firstLineChars="200"/>
        <w:outlineLvl w:val="2"/>
        <w:rPr>
          <w:rFonts w:ascii="Arial" w:hAnsi="Arial" w:cs="Arial"/>
          <w:b/>
          <w:bCs/>
          <w:color w:val="auto"/>
          <w:kern w:val="0"/>
          <w:szCs w:val="21"/>
          <w:highlight w:val="none"/>
        </w:rPr>
      </w:pPr>
      <w:bookmarkStart w:id="33" w:name="_Hlk132881026"/>
      <w:r>
        <w:rPr>
          <w:rFonts w:ascii="Arial" w:hAnsi="Arial" w:cs="Arial"/>
          <w:b/>
          <w:bCs/>
          <w:color w:val="auto"/>
          <w:kern w:val="0"/>
          <w:szCs w:val="21"/>
          <w:highlight w:val="none"/>
        </w:rPr>
        <w:t>1.4促进中小企业发展政策</w:t>
      </w:r>
    </w:p>
    <w:p w14:paraId="2B908201">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1.4.1本项目落实促进中小企业发展政策措施在前附表规定。依据促进中小企业发展政策获得政府采购合同的，小微企业不得将合同分包给大中型企业，中型企业不得将合同分包给大型企业。</w:t>
      </w:r>
    </w:p>
    <w:p w14:paraId="7E9466D5">
      <w:pPr>
        <w:spacing w:before="120" w:line="320" w:lineRule="atLeast"/>
        <w:ind w:left="2" w:leftChars="1" w:firstLine="420" w:firstLineChars="200"/>
        <w:rPr>
          <w:rFonts w:ascii="Arial" w:hAnsi="Arial" w:cs="Arial"/>
          <w:color w:val="auto"/>
          <w:szCs w:val="21"/>
          <w:highlight w:val="none"/>
        </w:rPr>
      </w:pPr>
      <w:bookmarkStart w:id="34" w:name="_Hlk92205820"/>
      <w:r>
        <w:rPr>
          <w:rFonts w:ascii="Arial" w:hAnsi="Arial" w:cs="Arial"/>
          <w:color w:val="auto"/>
          <w:szCs w:val="21"/>
          <w:highlight w:val="none"/>
        </w:rPr>
        <w:t>根据《政府采购促进中小企业发展管理办法》（财库[2020]46号）第九条以及《广西壮族自治区财政厅 广西壮族自治区工业和信息化厅转发财政部 工业和信息化部政府采购促进中小企业发展管理办法的通知》（桂财采[2021]70号）规定，价格扣除比例在第四章评审方法及标准中规定，对小型企业和微型企业同等对待，不作区分。</w:t>
      </w:r>
    </w:p>
    <w:p w14:paraId="7A265040">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1.4.2中小企业定义</w:t>
      </w:r>
    </w:p>
    <w:p w14:paraId="3FF23D53">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7C154203">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1.4.2.2供应商提供的货物、工程或者服务符合下列情形的，享受本款规定的促进中小企业发展政策：</w:t>
      </w:r>
    </w:p>
    <w:p w14:paraId="5CE2BB1D">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在货物采购项目中，货物由中小企业制造，即货物由中小企业生产且使用该中小企业商号或者注册商标；</w:t>
      </w:r>
    </w:p>
    <w:p w14:paraId="04962666">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在工程采购项目中，工程由中小企业承建，即工程施工单位为中小企业；</w:t>
      </w:r>
    </w:p>
    <w:p w14:paraId="4D00EAF1">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在服务采购项目中，服务由中小企业承接，即提供服务的人员为中小企业依照《中华人民共和国劳动合同法》订立劳动合同的从业人员。</w:t>
      </w:r>
    </w:p>
    <w:p w14:paraId="3FF9C02A">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在货物采购项目中，供应商提供的货物既有中小企业制造货物，也有大型企业制造货物的，不享受本款规定的促进中小企业发展政策。</w:t>
      </w:r>
    </w:p>
    <w:p w14:paraId="64FA769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1.4.2.3本项目标的所属行业在第二章采购需求中规定。供应商根据中小企业划分标准（《关于印发中小企业划型标准规定的通知》（工信部联企业〔2011〕300号）判断是否为中小企业。（见附件）</w:t>
      </w:r>
    </w:p>
    <w:p w14:paraId="73E4981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符合条件的货物制造商、工程施工单位、服务承接单位为中小企业的，应按招标文件规定在投标文件中提供声明函。</w:t>
      </w:r>
    </w:p>
    <w:p w14:paraId="59FB08D6">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1.4.2.4视同中小企业情形</w:t>
      </w:r>
    </w:p>
    <w:p w14:paraId="50B83795">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（1）符合中小企业划分标准的个体工商户，视同中小企业。</w:t>
      </w:r>
    </w:p>
    <w:p w14:paraId="4C8F532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（2）以联合体形式参加政府采购活动，联合体各方均为中小企业的，联合体视同中小企业。其中，联合体各方均为小微企业的，联合体视同小微企业。</w:t>
      </w:r>
    </w:p>
    <w:p w14:paraId="4C63132E">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10FFD95A">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符合条件的货物制造商、工程施工单位、服务承接单位为监狱企业或残疾人福利性单位的，应按招标文件规定在投标文件中提供相关证明文件。</w:t>
      </w:r>
      <w:bookmarkEnd w:id="34"/>
    </w:p>
    <w:bookmarkEnd w:id="33"/>
    <w:p w14:paraId="5A94F5B4">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1.5供应商资格要求</w:t>
      </w:r>
    </w:p>
    <w:p w14:paraId="740094C1">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1.5.1供应商资格要求：详见供应商须知前附表</w:t>
      </w:r>
    </w:p>
    <w:p w14:paraId="0DD31F7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1.5.2按照招标公告的规定获得招标文件。</w:t>
      </w:r>
    </w:p>
    <w:p w14:paraId="3A0D9CCD">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1.5.3本项目是否接受联合体投标，见“供应商须知前附表”规定。</w:t>
      </w:r>
    </w:p>
    <w:p w14:paraId="77A96DCD">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 xml:space="preserve">如接受联合体投标，联合体投标要求如下： </w:t>
      </w:r>
    </w:p>
    <w:p w14:paraId="4C991C31">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（1）供应商可以组成一个投标联合体</w:t>
      </w:r>
      <w:r>
        <w:rPr>
          <w:rFonts w:hint="eastAsia" w:ascii="Arial" w:hAnsi="Arial" w:cs="Arial"/>
          <w:b/>
          <w:bCs/>
          <w:color w:val="auto"/>
          <w:kern w:val="0"/>
          <w:szCs w:val="21"/>
          <w:highlight w:val="none"/>
        </w:rPr>
        <w:t>，总数不超过两家</w:t>
      </w:r>
      <w:r>
        <w:rPr>
          <w:rFonts w:ascii="Arial" w:hAnsi="Arial" w:cs="Arial"/>
          <w:b/>
          <w:bCs/>
          <w:color w:val="auto"/>
          <w:szCs w:val="21"/>
          <w:highlight w:val="none"/>
        </w:rPr>
        <w:t>，以一个供应商的身份共同参加投标。联合体投标的，须提供《联合体协议书》（格式后附）</w:t>
      </w:r>
    </w:p>
    <w:p w14:paraId="4B2A75F8">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2）以联合体形式参加投标的，联合体各方均必须具备《中华人民共和国政府采购法》第二十二条第一款规定的基本条件。本项目有特殊要求规定供应商特定条件的，联合体各方中至少有一方必须符合招标文件规定的特定条件。</w:t>
      </w:r>
    </w:p>
    <w:p w14:paraId="43A4516D">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3）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26A91489">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（4）以联合体形式参加政府采购活动的，联合体各方不得再单独参加或者与其他供应商另外组成联合体参加同一合同项下的政府采购活动。</w:t>
      </w:r>
    </w:p>
    <w:p w14:paraId="7AA5B690">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（5）联合体中有同类资质的供应商按照联合体分工承担相同工作的，应当按照资质等级较低的供应商确定资质等级。</w:t>
      </w:r>
    </w:p>
    <w:p w14:paraId="42E71696">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（6）联合体投标业绩、履约能力按照联合体各方其中较高的一方认定并计算（招标文件其他章节另有规定的除外）。</w:t>
      </w:r>
    </w:p>
    <w:p w14:paraId="37537218">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（7）供应商为联合体的，可以由联合体中的一方或者多方共同交纳投标保证金，其交纳的保证金对联合体各方均具有约束力。</w:t>
      </w:r>
    </w:p>
    <w:p w14:paraId="20BA5E9E">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（8）联合体各方均应按照招标文件的规定提交资格证明文件。</w:t>
      </w:r>
    </w:p>
    <w:p w14:paraId="6D12AA12">
      <w:pPr>
        <w:spacing w:before="120" w:line="320" w:lineRule="atLeast"/>
        <w:ind w:firstLine="422" w:firstLineChars="200"/>
        <w:outlineLvl w:val="2"/>
        <w:rPr>
          <w:rFonts w:ascii="Arial" w:hAnsi="Arial" w:cs="Arial"/>
          <w:b/>
          <w:bCs/>
          <w:color w:val="auto"/>
          <w:kern w:val="0"/>
          <w:szCs w:val="21"/>
          <w:highlight w:val="none"/>
        </w:rPr>
      </w:pPr>
      <w:bookmarkStart w:id="35" w:name="_Toc254970672"/>
      <w:bookmarkStart w:id="36" w:name="_Toc254970531"/>
      <w:r>
        <w:rPr>
          <w:rFonts w:ascii="Arial" w:hAnsi="Arial" w:cs="Arial"/>
          <w:b/>
          <w:bCs/>
          <w:color w:val="auto"/>
          <w:kern w:val="0"/>
          <w:szCs w:val="21"/>
          <w:highlight w:val="none"/>
        </w:rPr>
        <w:t>1.6现场踏勘及投标费用</w:t>
      </w:r>
      <w:bookmarkEnd w:id="35"/>
      <w:bookmarkEnd w:id="36"/>
    </w:p>
    <w:p w14:paraId="68DE8C1F">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1.6.1前附表如规定现场踏勘的，供应商应按规定时间地点参加踏勘。</w:t>
      </w:r>
    </w:p>
    <w:p w14:paraId="14B295E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1.6.2供应商均应自行承担所有与投标有关的全部费用（招标文件有相关的规定除外）。</w:t>
      </w:r>
    </w:p>
    <w:p w14:paraId="480F5D75">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1.7转包与分包</w:t>
      </w:r>
    </w:p>
    <w:p w14:paraId="20CB87C6">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1.7.1如招标文件其他地方无特别规定，本项目不允许转包。</w:t>
      </w:r>
    </w:p>
    <w:p w14:paraId="2B5261E8">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1.7.2本项目是否允许分包详见“供应商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584E8E94">
      <w:pPr>
        <w:spacing w:before="120" w:line="276" w:lineRule="auto"/>
        <w:ind w:firstLine="422" w:firstLineChars="200"/>
        <w:outlineLvl w:val="2"/>
        <w:rPr>
          <w:rFonts w:ascii="Arial" w:hAnsi="Arial" w:cs="Arial"/>
          <w:b/>
          <w:bCs/>
          <w:color w:val="auto"/>
          <w:kern w:val="0"/>
          <w:szCs w:val="21"/>
          <w:highlight w:val="none"/>
        </w:rPr>
      </w:pPr>
      <w:bookmarkStart w:id="37" w:name="_Toc254970673"/>
      <w:bookmarkStart w:id="38" w:name="_Toc254970532"/>
      <w:r>
        <w:rPr>
          <w:rFonts w:ascii="Arial" w:hAnsi="Arial" w:cs="Arial"/>
          <w:b/>
          <w:bCs/>
          <w:color w:val="auto"/>
          <w:kern w:val="0"/>
          <w:szCs w:val="21"/>
          <w:highlight w:val="none"/>
        </w:rPr>
        <w:t>1.8特别说明</w:t>
      </w:r>
      <w:bookmarkEnd w:id="37"/>
      <w:bookmarkEnd w:id="38"/>
    </w:p>
    <w:p w14:paraId="06F08FDB">
      <w:pPr>
        <w:spacing w:line="276" w:lineRule="auto"/>
        <w:ind w:firstLine="420" w:firstLineChars="200"/>
        <w:rPr>
          <w:rFonts w:ascii="Arial" w:hAnsi="Arial" w:cs="Arial"/>
          <w:color w:val="auto"/>
          <w:szCs w:val="21"/>
          <w:highlight w:val="none"/>
        </w:rPr>
      </w:pPr>
      <w:r>
        <w:rPr>
          <w:rFonts w:ascii="Arial" w:hAnsi="Arial" w:cs="Arial"/>
          <w:color w:val="auto"/>
          <w:szCs w:val="21"/>
          <w:highlight w:val="none"/>
        </w:rPr>
        <w:t>1.8.1 供应商应保证其提供的联系方式（电话、传真、电子邮件）有效，以保证往来函件（澄清、修改等）能及时通知供应商，并能及时反馈，否则采购人及代理机构不承担由此引起的一切后果。</w:t>
      </w:r>
    </w:p>
    <w:p w14:paraId="7E65C4D3">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1.8.2供应商应仔细阅读招标文件的所有内容，按照招标文件的要求提交投标文件，并对所提供的全部资料的真实性承担法律责任。</w:t>
      </w:r>
    </w:p>
    <w:p w14:paraId="46B9A042">
      <w:pPr>
        <w:spacing w:before="120" w:line="360" w:lineRule="auto"/>
        <w:ind w:firstLine="420" w:firstLineChars="200"/>
        <w:rPr>
          <w:rFonts w:ascii="Arial" w:hAnsi="Arial" w:cs="Arial"/>
          <w:color w:val="auto"/>
          <w:szCs w:val="21"/>
          <w:highlight w:val="none"/>
        </w:rPr>
      </w:pPr>
      <w:r>
        <w:rPr>
          <w:rFonts w:ascii="Arial" w:hAnsi="Arial" w:cs="Arial"/>
          <w:color w:val="auto"/>
          <w:szCs w:val="21"/>
          <w:highlight w:val="none"/>
        </w:rPr>
        <w:t>1.8.3供应商在投标活动中提供任何虚假材料，将报监管部门查处</w:t>
      </w:r>
      <w:r>
        <w:rPr>
          <w:rFonts w:hint="eastAsia" w:ascii="Arial" w:hAnsi="Arial" w:cs="Arial"/>
          <w:color w:val="auto"/>
          <w:szCs w:val="21"/>
          <w:highlight w:val="none"/>
        </w:rPr>
        <w:t>。</w:t>
      </w:r>
    </w:p>
    <w:p w14:paraId="0476D628">
      <w:pPr>
        <w:spacing w:before="120" w:line="276" w:lineRule="auto"/>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w:t>
      </w:r>
      <w:r>
        <w:rPr>
          <w:rFonts w:hint="eastAsia"/>
          <w:b/>
          <w:bCs/>
          <w:color w:val="auto"/>
          <w:kern w:val="0"/>
          <w:szCs w:val="21"/>
          <w:highlight w:val="none"/>
        </w:rPr>
        <w:t>9 对本国产品的支持政策</w:t>
      </w:r>
    </w:p>
    <w:p w14:paraId="4490A709">
      <w:pPr>
        <w:spacing w:before="120" w:line="360" w:lineRule="auto"/>
        <w:ind w:left="819" w:leftChars="190" w:hanging="420" w:hangingChars="200"/>
        <w:rPr>
          <w:color w:val="auto"/>
          <w:szCs w:val="21"/>
          <w:highlight w:val="none"/>
        </w:rPr>
      </w:pPr>
      <w:r>
        <w:rPr>
          <w:rFonts w:hint="eastAsia"/>
          <w:color w:val="auto"/>
          <w:szCs w:val="21"/>
          <w:highlight w:val="none"/>
        </w:rPr>
        <w:t>1.9.1</w:t>
      </w:r>
      <w:r>
        <w:rPr>
          <w:color w:val="auto"/>
          <w:szCs w:val="21"/>
          <w:highlight w:val="none"/>
        </w:rPr>
        <w:t>本国产品标准</w:t>
      </w:r>
    </w:p>
    <w:p w14:paraId="762CA44D">
      <w:pPr>
        <w:spacing w:line="276" w:lineRule="auto"/>
        <w:ind w:firstLine="420" w:firstLineChars="200"/>
        <w:rPr>
          <w:color w:val="auto"/>
          <w:szCs w:val="21"/>
          <w:highlight w:val="none"/>
        </w:rPr>
      </w:pPr>
      <w:r>
        <w:rPr>
          <w:rFonts w:hint="eastAsia"/>
          <w:color w:val="auto"/>
          <w:szCs w:val="21"/>
          <w:highlight w:val="none"/>
        </w:rPr>
        <w:t>“本国产品标准的产品”是指：符合《国务院办公厅关于在政府采购中实施本国产品标准及相关政策的通知》（国办发〔2025〕34号）规定的本国产品标准的产品。</w:t>
      </w:r>
    </w:p>
    <w:p w14:paraId="57B60695">
      <w:pPr>
        <w:spacing w:line="276" w:lineRule="auto"/>
        <w:ind w:firstLine="420" w:firstLineChars="200"/>
        <w:rPr>
          <w:color w:val="auto"/>
          <w:szCs w:val="21"/>
          <w:highlight w:val="none"/>
        </w:rPr>
      </w:pPr>
      <w:r>
        <w:rPr>
          <w:rFonts w:hint="eastAsia"/>
          <w:color w:val="auto"/>
          <w:szCs w:val="21"/>
          <w:highlight w:val="none"/>
        </w:rPr>
        <w:t>本国产品标准的产品应当符合以下条件：</w:t>
      </w:r>
    </w:p>
    <w:p w14:paraId="7A83AF2F">
      <w:pPr>
        <w:spacing w:line="276" w:lineRule="auto"/>
        <w:ind w:firstLine="420" w:firstLineChars="200"/>
        <w:rPr>
          <w:color w:val="auto"/>
          <w:szCs w:val="21"/>
          <w:highlight w:val="none"/>
        </w:rPr>
      </w:pPr>
      <w:r>
        <w:rPr>
          <w:rFonts w:hint="eastAsia"/>
          <w:color w:val="auto"/>
          <w:szCs w:val="21"/>
          <w:highlight w:val="none"/>
        </w:rPr>
        <w:t>（1）</w:t>
      </w:r>
      <w:r>
        <w:rPr>
          <w:color w:val="auto"/>
          <w:szCs w:val="21"/>
          <w:highlight w:val="none"/>
        </w:rPr>
        <w:t>在中国境内生产</w:t>
      </w:r>
      <w:r>
        <w:rPr>
          <w:rFonts w:hint="eastAsia"/>
          <w:color w:val="auto"/>
          <w:szCs w:val="21"/>
          <w:highlight w:val="none"/>
        </w:rPr>
        <w:t>。</w:t>
      </w:r>
      <w:r>
        <w:rPr>
          <w:color w:val="auto"/>
          <w:szCs w:val="21"/>
          <w:highlight w:val="none"/>
        </w:rPr>
        <w:t>产品应当在中国境内生产，即在中华人民共和国关境内</w:t>
      </w:r>
      <w:r>
        <w:rPr>
          <w:rFonts w:hint="eastAsia"/>
          <w:color w:val="auto"/>
          <w:szCs w:val="21"/>
          <w:highlight w:val="none"/>
        </w:rPr>
        <w:t>（含保税区、综合保税区等海关特殊监管区域）</w:t>
      </w:r>
      <w:r>
        <w:rPr>
          <w:color w:val="auto"/>
          <w:szCs w:val="21"/>
          <w:highlight w:val="none"/>
        </w:rPr>
        <w:t>实现从原材料、组件到产品的属性改变；属性改变是指经过制造、加工或者组装等工序，产生完全不同于原材料、组件的新产品，并具有新的名称和特征（用途），属性改变不包括以下细微操作：</w:t>
      </w:r>
    </w:p>
    <w:p w14:paraId="5D20066D">
      <w:pPr>
        <w:spacing w:line="276" w:lineRule="auto"/>
        <w:ind w:firstLine="420" w:firstLineChars="200"/>
        <w:rPr>
          <w:color w:val="auto"/>
          <w:szCs w:val="21"/>
          <w:highlight w:val="none"/>
        </w:rPr>
      </w:pPr>
      <w:r>
        <w:rPr>
          <w:color w:val="auto"/>
          <w:szCs w:val="21"/>
          <w:highlight w:val="none"/>
        </w:rPr>
        <w:t>①为确保产品在运输或者储存期间保持某种状态而进行的操作；</w:t>
      </w:r>
    </w:p>
    <w:p w14:paraId="79B30864">
      <w:pPr>
        <w:spacing w:line="276" w:lineRule="auto"/>
        <w:ind w:firstLine="420" w:firstLineChars="200"/>
        <w:rPr>
          <w:color w:val="auto"/>
          <w:szCs w:val="21"/>
          <w:highlight w:val="none"/>
        </w:rPr>
      </w:pPr>
      <w:r>
        <w:rPr>
          <w:color w:val="auto"/>
          <w:szCs w:val="21"/>
          <w:highlight w:val="none"/>
        </w:rPr>
        <w:t>②为产品运输或者销售进行的包装或者展示；</w:t>
      </w:r>
    </w:p>
    <w:p w14:paraId="06F97ABA">
      <w:pPr>
        <w:spacing w:line="276" w:lineRule="auto"/>
        <w:ind w:firstLine="420" w:firstLineChars="200"/>
        <w:rPr>
          <w:color w:val="auto"/>
          <w:szCs w:val="21"/>
          <w:highlight w:val="none"/>
        </w:rPr>
      </w:pPr>
      <w:r>
        <w:rPr>
          <w:color w:val="auto"/>
          <w:szCs w:val="21"/>
          <w:highlight w:val="none"/>
        </w:rPr>
        <w:t>③在产品或者其包装上粘贴或者印刷品牌、标志、标识以及其他用于区别的标记；</w:t>
      </w:r>
    </w:p>
    <w:p w14:paraId="21CBB916">
      <w:pPr>
        <w:spacing w:line="276" w:lineRule="auto"/>
        <w:ind w:firstLine="420" w:firstLineChars="200"/>
        <w:rPr>
          <w:color w:val="auto"/>
          <w:szCs w:val="21"/>
          <w:highlight w:val="none"/>
        </w:rPr>
      </w:pPr>
      <w:r>
        <w:rPr>
          <w:color w:val="auto"/>
          <w:szCs w:val="21"/>
          <w:highlight w:val="none"/>
        </w:rPr>
        <w:t>④简单的上漆、磨光和分装；</w:t>
      </w:r>
    </w:p>
    <w:p w14:paraId="0B72F993">
      <w:pPr>
        <w:spacing w:line="276" w:lineRule="auto"/>
        <w:ind w:firstLine="420" w:firstLineChars="200"/>
        <w:rPr>
          <w:color w:val="auto"/>
          <w:szCs w:val="21"/>
          <w:highlight w:val="none"/>
        </w:rPr>
      </w:pPr>
      <w:r>
        <w:rPr>
          <w:color w:val="auto"/>
          <w:szCs w:val="21"/>
          <w:highlight w:val="none"/>
        </w:rPr>
        <w:t>⑤其他不属于属性改变的情形；</w:t>
      </w:r>
    </w:p>
    <w:p w14:paraId="7615E53E">
      <w:pPr>
        <w:spacing w:line="276" w:lineRule="auto"/>
        <w:ind w:firstLine="420" w:firstLineChars="200"/>
        <w:rPr>
          <w:color w:val="auto"/>
          <w:szCs w:val="21"/>
          <w:highlight w:val="none"/>
        </w:rPr>
      </w:pPr>
      <w:r>
        <w:rPr>
          <w:rFonts w:hint="eastAsia"/>
          <w:color w:val="auto"/>
          <w:szCs w:val="21"/>
          <w:highlight w:val="none"/>
        </w:rPr>
        <w:t>（2）</w:t>
      </w:r>
      <w:r>
        <w:rPr>
          <w:color w:val="auto"/>
          <w:szCs w:val="21"/>
          <w:highlight w:val="none"/>
        </w:rPr>
        <w:t>中国境内生产的组件成本占比达到规定比例</w:t>
      </w:r>
      <w:r>
        <w:rPr>
          <w:rFonts w:hint="eastAsia"/>
          <w:color w:val="auto"/>
          <w:szCs w:val="21"/>
          <w:highlight w:val="none"/>
        </w:rPr>
        <w:t>。</w:t>
      </w:r>
    </w:p>
    <w:p w14:paraId="1168FE42">
      <w:pPr>
        <w:spacing w:line="276" w:lineRule="auto"/>
        <w:ind w:firstLine="420" w:firstLineChars="200"/>
        <w:rPr>
          <w:color w:val="auto"/>
          <w:szCs w:val="21"/>
          <w:highlight w:val="none"/>
        </w:rPr>
      </w:pPr>
      <w:r>
        <w:rPr>
          <w:rFonts w:hint="eastAsia"/>
          <w:color w:val="auto"/>
          <w:szCs w:val="21"/>
          <w:highlight w:val="none"/>
        </w:rPr>
        <w:t>①产品在中国境内生产的组件成本占比应当达到规定比例，计算公式为：产品在中国境内生产的组件成本/产品总成本≥规定比例；</w:t>
      </w:r>
    </w:p>
    <w:p w14:paraId="685E3612">
      <w:pPr>
        <w:spacing w:line="276" w:lineRule="auto"/>
        <w:ind w:firstLine="420" w:firstLineChars="200"/>
        <w:rPr>
          <w:color w:val="auto"/>
          <w:szCs w:val="21"/>
          <w:highlight w:val="none"/>
        </w:rPr>
      </w:pPr>
      <w:r>
        <w:rPr>
          <w:rFonts w:hint="eastAsia"/>
          <w:color w:val="auto"/>
          <w:szCs w:val="21"/>
          <w:highlight w:val="none"/>
        </w:rPr>
        <w:t>②产品在中国境内生产的组件成本，按照《中国境内生产的组件成本核算基本规则》计算；</w:t>
      </w:r>
    </w:p>
    <w:p w14:paraId="6A0380A1">
      <w:pPr>
        <w:spacing w:line="276" w:lineRule="auto"/>
        <w:ind w:firstLine="420" w:firstLineChars="200"/>
        <w:rPr>
          <w:color w:val="auto"/>
          <w:szCs w:val="21"/>
          <w:highlight w:val="none"/>
        </w:rPr>
      </w:pPr>
      <w:r>
        <w:rPr>
          <w:rFonts w:hint="eastAsia"/>
          <w:color w:val="auto"/>
          <w:szCs w:val="21"/>
          <w:highlight w:val="none"/>
        </w:rPr>
        <w:t>③中国境内生产的组件成本占比相关要求实施前，符合第（1）项条件的产品在政府采购活动中视同本国产品。</w:t>
      </w:r>
    </w:p>
    <w:p w14:paraId="4597E927">
      <w:pPr>
        <w:spacing w:line="276" w:lineRule="auto"/>
        <w:ind w:firstLine="420" w:firstLineChars="200"/>
        <w:rPr>
          <w:color w:val="auto"/>
          <w:szCs w:val="21"/>
          <w:highlight w:val="none"/>
        </w:rPr>
      </w:pPr>
      <w:r>
        <w:rPr>
          <w:rFonts w:hint="eastAsia"/>
          <w:color w:val="auto"/>
          <w:szCs w:val="21"/>
          <w:highlight w:val="none"/>
        </w:rPr>
        <w:t>（3）</w:t>
      </w:r>
      <w:r>
        <w:rPr>
          <w:color w:val="auto"/>
          <w:szCs w:val="21"/>
          <w:highlight w:val="none"/>
        </w:rPr>
        <w:t>特定产品的关键组件和工序在中国境内完成。</w:t>
      </w:r>
    </w:p>
    <w:p w14:paraId="4EE987A6">
      <w:pPr>
        <w:spacing w:line="276" w:lineRule="auto"/>
        <w:ind w:firstLine="420" w:firstLineChars="200"/>
        <w:rPr>
          <w:color w:val="auto"/>
          <w:szCs w:val="21"/>
          <w:highlight w:val="none"/>
        </w:rPr>
      </w:pPr>
      <w:r>
        <w:rPr>
          <w:rFonts w:hint="eastAsia"/>
          <w:color w:val="auto"/>
          <w:szCs w:val="21"/>
          <w:highlight w:val="none"/>
        </w:rPr>
        <w:t>①对特定产品，在符合第（1）项和第（2）项条件的基础上，应当符合财政部会同有关行业主管部门确定的其关键组件、关键工序在中国境内生产、完成等要求；</w:t>
      </w:r>
    </w:p>
    <w:p w14:paraId="109F410C">
      <w:pPr>
        <w:spacing w:line="276" w:lineRule="auto"/>
        <w:ind w:firstLine="420" w:firstLineChars="200"/>
        <w:rPr>
          <w:color w:val="auto"/>
          <w:szCs w:val="21"/>
          <w:highlight w:val="none"/>
        </w:rPr>
      </w:pPr>
      <w:r>
        <w:rPr>
          <w:rFonts w:hint="eastAsia"/>
          <w:color w:val="auto"/>
          <w:szCs w:val="21"/>
          <w:highlight w:val="none"/>
        </w:rPr>
        <w:t>②特定产品的关键组件、关键工序符合相关要求实施前，符合第（1）项和第（2）项条件的产品在政府采购活动中视同本国产品。</w:t>
      </w:r>
    </w:p>
    <w:p w14:paraId="7F42ECD7">
      <w:pPr>
        <w:spacing w:before="120" w:line="360" w:lineRule="auto"/>
        <w:ind w:left="819" w:leftChars="190" w:hanging="420" w:hangingChars="200"/>
        <w:rPr>
          <w:color w:val="auto"/>
          <w:szCs w:val="21"/>
          <w:highlight w:val="none"/>
        </w:rPr>
      </w:pPr>
      <w:r>
        <w:rPr>
          <w:rFonts w:hint="eastAsia"/>
          <w:color w:val="auto"/>
          <w:szCs w:val="21"/>
          <w:highlight w:val="none"/>
        </w:rPr>
        <w:t>1.9.2 本国产品标准的适用范围</w:t>
      </w:r>
    </w:p>
    <w:p w14:paraId="71A8FEAA">
      <w:pPr>
        <w:spacing w:line="276" w:lineRule="auto"/>
        <w:ind w:firstLine="420" w:firstLineChars="200"/>
        <w:rPr>
          <w:color w:val="auto"/>
          <w:szCs w:val="21"/>
          <w:highlight w:val="none"/>
        </w:rPr>
      </w:pPr>
      <w:r>
        <w:rPr>
          <w:color w:val="auto"/>
          <w:szCs w:val="21"/>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auto"/>
          <w:szCs w:val="21"/>
          <w:highlight w:val="none"/>
        </w:rPr>
        <w:t>本项目是否适用对本国产品的支持政策详见投标人须知前附表。</w:t>
      </w:r>
    </w:p>
    <w:p w14:paraId="7462C087">
      <w:pPr>
        <w:spacing w:line="276" w:lineRule="auto"/>
        <w:ind w:firstLine="420" w:firstLineChars="200"/>
        <w:rPr>
          <w:color w:val="auto"/>
          <w:szCs w:val="21"/>
          <w:highlight w:val="none"/>
        </w:rPr>
      </w:pPr>
      <w:r>
        <w:rPr>
          <w:color w:val="auto"/>
          <w:szCs w:val="21"/>
          <w:highlight w:val="none"/>
        </w:rPr>
        <w:t>中华人民共和国缔结或者共同参加的国际条约、协定对政府采购中本国产品政策另有规定的，按照有关条约、协定执行。</w:t>
      </w:r>
    </w:p>
    <w:p w14:paraId="105BDB09">
      <w:pPr>
        <w:spacing w:before="120" w:line="320" w:lineRule="atLeast"/>
        <w:ind w:firstLine="420" w:firstLineChars="200"/>
        <w:rPr>
          <w:color w:val="auto"/>
          <w:szCs w:val="21"/>
          <w:highlight w:val="none"/>
        </w:rPr>
      </w:pPr>
      <w:r>
        <w:rPr>
          <w:rFonts w:hint="eastAsia"/>
          <w:color w:val="auto"/>
          <w:szCs w:val="21"/>
          <w:highlight w:val="none"/>
        </w:rPr>
        <w:t>1.9.3 价格评审优惠</w:t>
      </w:r>
    </w:p>
    <w:p w14:paraId="380DAA98">
      <w:pPr>
        <w:spacing w:before="120" w:line="320" w:lineRule="atLeast"/>
        <w:ind w:firstLine="420" w:firstLineChars="200"/>
        <w:rPr>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20B13B4D">
      <w:pPr>
        <w:spacing w:before="120" w:line="320" w:lineRule="atLeast"/>
        <w:ind w:firstLine="420" w:firstLineChars="200"/>
        <w:rPr>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D76EEBF">
      <w:pPr>
        <w:spacing w:before="120" w:line="320" w:lineRule="atLeast"/>
        <w:ind w:firstLine="420" w:firstLineChars="200"/>
        <w:rPr>
          <w:color w:val="auto"/>
          <w:szCs w:val="21"/>
          <w:highlight w:val="none"/>
        </w:rPr>
      </w:pPr>
      <w:r>
        <w:rPr>
          <w:rFonts w:hint="eastAsia"/>
          <w:color w:val="auto"/>
          <w:szCs w:val="21"/>
          <w:highlight w:val="none"/>
        </w:rPr>
        <w:t>价格扣除比例在第四章评审方法及标准中规定。</w:t>
      </w:r>
    </w:p>
    <w:p w14:paraId="1D181547">
      <w:pPr>
        <w:spacing w:before="120" w:line="320" w:lineRule="atLeast"/>
        <w:ind w:firstLine="420" w:firstLineChars="200"/>
        <w:rPr>
          <w:color w:val="auto"/>
          <w:szCs w:val="21"/>
          <w:highlight w:val="none"/>
        </w:rPr>
      </w:pPr>
      <w:r>
        <w:rPr>
          <w:rFonts w:hint="eastAsia"/>
          <w:color w:val="auto"/>
          <w:szCs w:val="21"/>
          <w:highlight w:val="none"/>
        </w:rPr>
        <w:t>1.9.4政策执行要求</w:t>
      </w:r>
    </w:p>
    <w:p w14:paraId="66CDF006">
      <w:pPr>
        <w:spacing w:before="120" w:line="320" w:lineRule="atLeast"/>
        <w:ind w:firstLine="420" w:firstLineChars="200"/>
        <w:rPr>
          <w:color w:val="auto"/>
          <w:szCs w:val="21"/>
          <w:highlight w:val="none"/>
        </w:rPr>
      </w:pPr>
      <w:r>
        <w:rPr>
          <w:rFonts w:hint="eastAsia"/>
          <w:color w:val="auto"/>
          <w:szCs w:val="21"/>
          <w:highlight w:val="none"/>
        </w:rPr>
        <w:t>19.4.1产品在中国境内生产的组件成本核算规则：产品在中国境内生产的组件成本，按照《中国境内生产的组件成本核算基本规则》计算。</w:t>
      </w:r>
    </w:p>
    <w:p w14:paraId="2D689097">
      <w:pPr>
        <w:spacing w:before="120" w:line="360" w:lineRule="auto"/>
        <w:ind w:firstLine="2520" w:firstLineChars="1200"/>
        <w:rPr>
          <w:color w:val="auto"/>
          <w:szCs w:val="21"/>
          <w:highlight w:val="none"/>
        </w:rPr>
      </w:pPr>
      <w:r>
        <w:rPr>
          <w:rFonts w:hint="eastAsia"/>
          <w:color w:val="auto"/>
          <w:szCs w:val="21"/>
          <w:highlight w:val="none"/>
        </w:rPr>
        <w:t>《中国境内生产的组件成本核算基本规则》</w:t>
      </w:r>
    </w:p>
    <w:p w14:paraId="3C83EA22">
      <w:pPr>
        <w:spacing w:before="120"/>
        <w:ind w:firstLine="420" w:firstLineChars="200"/>
        <w:rPr>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8A85953">
      <w:pPr>
        <w:spacing w:before="120"/>
        <w:ind w:firstLine="420" w:firstLineChars="200"/>
        <w:rPr>
          <w:color w:val="auto"/>
          <w:szCs w:val="21"/>
          <w:highlight w:val="none"/>
        </w:rPr>
      </w:pPr>
      <w:r>
        <w:rPr>
          <w:rFonts w:hint="eastAsia"/>
          <w:color w:val="auto"/>
          <w:szCs w:val="21"/>
          <w:highlight w:val="none"/>
        </w:rPr>
        <w:t>1.产品的一级组件是指直接组成产品的组件。产品的二级组件是指直接组成产品一级组件的组件。一级组件不可分解的，视同二级组件。</w:t>
      </w:r>
    </w:p>
    <w:p w14:paraId="510AC4C0">
      <w:pPr>
        <w:spacing w:before="120"/>
        <w:ind w:firstLine="420" w:firstLineChars="200"/>
        <w:rPr>
          <w:color w:val="auto"/>
          <w:szCs w:val="21"/>
          <w:highlight w:val="none"/>
        </w:rPr>
      </w:pPr>
      <w:r>
        <w:rPr>
          <w:rFonts w:hint="eastAsia"/>
          <w:color w:val="auto"/>
          <w:szCs w:val="21"/>
          <w:highlight w:val="none"/>
        </w:rPr>
        <w:t>2.二级组件在中国境内生产的，其全部成本计入中国境内生产的组件成本；二级组件不在中国境内生产的，其成本不计入中国境内生产的组件成本。</w:t>
      </w:r>
    </w:p>
    <w:p w14:paraId="1835E173">
      <w:pPr>
        <w:spacing w:before="120"/>
        <w:ind w:firstLine="420" w:firstLineChars="200"/>
        <w:rPr>
          <w:color w:val="auto"/>
          <w:szCs w:val="21"/>
          <w:highlight w:val="none"/>
        </w:rPr>
      </w:pPr>
      <w:r>
        <w:rPr>
          <w:rFonts w:hint="eastAsia"/>
          <w:color w:val="auto"/>
          <w:szCs w:val="21"/>
          <w:highlight w:val="none"/>
        </w:rPr>
        <w:t>3.产品总成本和组件成本以相关会计核算数据、采购合同、进货记录等为基础进行计算。</w:t>
      </w:r>
    </w:p>
    <w:p w14:paraId="298A7146">
      <w:pPr>
        <w:spacing w:before="120"/>
        <w:ind w:firstLine="420" w:firstLineChars="200"/>
        <w:rPr>
          <w:color w:val="auto"/>
          <w:szCs w:val="21"/>
          <w:highlight w:val="none"/>
        </w:rPr>
      </w:pPr>
      <w:r>
        <w:rPr>
          <w:rFonts w:hint="eastAsia"/>
          <w:color w:val="auto"/>
          <w:szCs w:val="21"/>
          <w:highlight w:val="none"/>
        </w:rPr>
        <w:t>4.需要对成本核算规则予以进一步明确的其他有关事项，由财政部会同有关部门另行规定。</w:t>
      </w:r>
    </w:p>
    <w:p w14:paraId="607B2E3B">
      <w:pPr>
        <w:spacing w:before="120" w:line="320" w:lineRule="atLeast"/>
        <w:ind w:firstLine="420" w:firstLineChars="200"/>
        <w:rPr>
          <w:color w:val="auto"/>
          <w:szCs w:val="21"/>
          <w:highlight w:val="none"/>
        </w:rPr>
      </w:pPr>
      <w:r>
        <w:rPr>
          <w:rFonts w:hint="eastAsia"/>
          <w:color w:val="auto"/>
          <w:szCs w:val="21"/>
          <w:highlight w:val="none"/>
        </w:rPr>
        <w:t>1.9.4.2证明材料提交与审查：供应商需在投标（响应）文件中对其提供的产品出具《关于符合本国产品标准的声明函》（样式见投标文件格式）或财政部会同有关部门规定的有关证明文件。</w:t>
      </w:r>
      <w:r>
        <w:rPr>
          <w:rFonts w:hint="eastAsia"/>
          <w:b/>
          <w:bCs/>
          <w:color w:val="auto"/>
          <w:szCs w:val="21"/>
          <w:highlight w:val="none"/>
        </w:rPr>
        <w:t>医疗器械产品凭药品监督管理部门授予的准字号注册证直接认定属于在中国境内生产的产品。</w:t>
      </w:r>
      <w:r>
        <w:rPr>
          <w:rFonts w:hint="eastAsia"/>
          <w:color w:val="auto"/>
          <w:szCs w:val="21"/>
          <w:highlight w:val="none"/>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4DFBD4F7">
      <w:pPr>
        <w:pStyle w:val="20"/>
        <w:ind w:firstLine="420" w:firstLineChars="200"/>
        <w:rPr>
          <w:color w:val="auto"/>
          <w:sz w:val="21"/>
          <w:szCs w:val="21"/>
          <w:highlight w:val="none"/>
        </w:rPr>
      </w:pPr>
      <w:r>
        <w:rPr>
          <w:rFonts w:hint="eastAsia"/>
          <w:color w:val="auto"/>
          <w:sz w:val="21"/>
          <w:szCs w:val="21"/>
          <w:highlight w:val="none"/>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344C6778">
      <w:pPr>
        <w:pStyle w:val="20"/>
        <w:ind w:firstLine="420" w:firstLineChars="200"/>
        <w:rPr>
          <w:color w:val="auto"/>
          <w:sz w:val="21"/>
          <w:szCs w:val="21"/>
          <w:highlight w:val="none"/>
        </w:rPr>
      </w:pPr>
      <w:r>
        <w:rPr>
          <w:rFonts w:hint="eastAsia"/>
          <w:color w:val="auto"/>
          <w:sz w:val="21"/>
          <w:szCs w:val="21"/>
          <w:highlight w:val="none"/>
        </w:rPr>
        <w:t>澄清补正应当按照“6.3.3澄清、说明或补正”的规定提交。</w:t>
      </w:r>
    </w:p>
    <w:p w14:paraId="35F8A150">
      <w:pPr>
        <w:pStyle w:val="20"/>
        <w:ind w:firstLine="420" w:firstLineChars="200"/>
        <w:rPr>
          <w:color w:val="auto"/>
          <w:sz w:val="21"/>
          <w:szCs w:val="21"/>
          <w:highlight w:val="none"/>
        </w:rPr>
      </w:pPr>
      <w:r>
        <w:rPr>
          <w:rFonts w:hint="eastAsia"/>
          <w:color w:val="auto"/>
          <w:sz w:val="21"/>
          <w:szCs w:val="21"/>
          <w:highlight w:val="none"/>
        </w:rPr>
        <w:t>1.9.4.3成本核算与承诺</w:t>
      </w:r>
    </w:p>
    <w:p w14:paraId="1C233F1B">
      <w:pPr>
        <w:pStyle w:val="20"/>
        <w:ind w:firstLine="420" w:firstLineChars="200"/>
        <w:rPr>
          <w:color w:val="auto"/>
          <w:szCs w:val="21"/>
          <w:highlight w:val="none"/>
        </w:rPr>
      </w:pPr>
      <w:r>
        <w:rPr>
          <w:color w:val="auto"/>
          <w:sz w:val="21"/>
          <w:szCs w:val="21"/>
          <w:highlight w:val="none"/>
        </w:rPr>
        <w:t>供应商应依据《中国境内生产的组件成本核算基本规则》核算产品成本占比，并对核算结果负责，按要求提交《</w:t>
      </w:r>
      <w:r>
        <w:rPr>
          <w:rFonts w:hint="eastAsia"/>
          <w:color w:val="auto"/>
          <w:sz w:val="21"/>
          <w:szCs w:val="21"/>
          <w:highlight w:val="none"/>
        </w:rPr>
        <w:t>关于符合</w:t>
      </w:r>
      <w:r>
        <w:rPr>
          <w:color w:val="auto"/>
          <w:sz w:val="21"/>
          <w:szCs w:val="21"/>
          <w:highlight w:val="none"/>
        </w:rPr>
        <w:t>本国产品</w:t>
      </w:r>
      <w:r>
        <w:rPr>
          <w:rFonts w:hint="eastAsia"/>
          <w:color w:val="auto"/>
          <w:sz w:val="21"/>
          <w:szCs w:val="21"/>
          <w:highlight w:val="none"/>
        </w:rPr>
        <w:t>标准的</w:t>
      </w:r>
      <w:r>
        <w:rPr>
          <w:color w:val="auto"/>
          <w:sz w:val="21"/>
          <w:szCs w:val="21"/>
          <w:highlight w:val="none"/>
        </w:rPr>
        <w:t>成本占比承诺函》</w:t>
      </w:r>
      <w:r>
        <w:rPr>
          <w:rFonts w:hint="eastAsia"/>
          <w:color w:val="auto"/>
          <w:sz w:val="21"/>
          <w:szCs w:val="21"/>
          <w:highlight w:val="none"/>
        </w:rPr>
        <w:t>（如适用）</w:t>
      </w:r>
      <w:r>
        <w:rPr>
          <w:color w:val="auto"/>
          <w:sz w:val="21"/>
          <w:szCs w:val="21"/>
          <w:highlight w:val="none"/>
        </w:rPr>
        <w:t>（参考模板</w:t>
      </w:r>
      <w:r>
        <w:rPr>
          <w:rFonts w:hint="eastAsia"/>
          <w:color w:val="auto"/>
          <w:sz w:val="21"/>
          <w:szCs w:val="21"/>
          <w:highlight w:val="none"/>
        </w:rPr>
        <w:t>详见投标文件格式</w:t>
      </w:r>
      <w:r>
        <w:rPr>
          <w:color w:val="auto"/>
          <w:sz w:val="21"/>
          <w:szCs w:val="21"/>
          <w:highlight w:val="none"/>
        </w:rPr>
        <w:t>）。相关成本核算的原始凭证应妥善留存，以备核查。采购人可在履约验收环节对相关材料进行抽查。</w:t>
      </w:r>
    </w:p>
    <w:p w14:paraId="1B2C14FC">
      <w:pPr>
        <w:spacing w:before="120" w:line="320" w:lineRule="atLeast"/>
        <w:ind w:firstLine="420" w:firstLineChars="200"/>
        <w:rPr>
          <w:color w:val="auto"/>
          <w:szCs w:val="21"/>
          <w:highlight w:val="none"/>
        </w:rPr>
      </w:pPr>
      <w:r>
        <w:rPr>
          <w:rFonts w:hint="eastAsia"/>
          <w:color w:val="auto"/>
          <w:szCs w:val="21"/>
          <w:highlight w:val="none"/>
        </w:rPr>
        <w:t>1.9.5 争议处理</w:t>
      </w:r>
    </w:p>
    <w:p w14:paraId="571A2F7A">
      <w:pPr>
        <w:spacing w:before="120" w:line="320" w:lineRule="atLeast"/>
        <w:ind w:firstLine="420" w:firstLineChars="200"/>
        <w:rPr>
          <w:rFonts w:ascii="Arial" w:hAnsi="Arial" w:cs="Arial"/>
          <w:color w:val="auto"/>
          <w:szCs w:val="21"/>
          <w:highlight w:val="none"/>
        </w:rPr>
      </w:pPr>
      <w:r>
        <w:rPr>
          <w:rFonts w:hint="eastAsia"/>
          <w:color w:val="auto"/>
          <w:szCs w:val="21"/>
          <w:highlight w:val="none"/>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5E5156C8">
      <w:pPr>
        <w:spacing w:before="120" w:line="320" w:lineRule="atLeast"/>
        <w:ind w:left="2" w:leftChars="1" w:firstLine="422" w:firstLineChars="200"/>
        <w:outlineLvl w:val="1"/>
        <w:rPr>
          <w:rFonts w:ascii="Arial" w:hAnsi="Arial" w:cs="Arial"/>
          <w:b/>
          <w:bCs/>
          <w:color w:val="auto"/>
          <w:kern w:val="0"/>
          <w:szCs w:val="21"/>
          <w:highlight w:val="none"/>
        </w:rPr>
      </w:pPr>
      <w:bookmarkStart w:id="39" w:name="_Toc254970534"/>
      <w:bookmarkStart w:id="40" w:name="_Toc254970675"/>
      <w:r>
        <w:rPr>
          <w:rFonts w:ascii="Arial" w:hAnsi="Arial" w:cs="Arial"/>
          <w:b/>
          <w:bCs/>
          <w:color w:val="auto"/>
          <w:kern w:val="0"/>
          <w:szCs w:val="21"/>
          <w:highlight w:val="none"/>
        </w:rPr>
        <w:t>2．招标文件</w:t>
      </w:r>
      <w:bookmarkEnd w:id="39"/>
      <w:bookmarkEnd w:id="40"/>
    </w:p>
    <w:p w14:paraId="30FF1B37">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2.1招标文件的构成</w:t>
      </w:r>
    </w:p>
    <w:p w14:paraId="2BA9BAEB">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第一章 招标公告</w:t>
      </w:r>
    </w:p>
    <w:p w14:paraId="3ECD251F">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第二章 采购需求</w:t>
      </w:r>
    </w:p>
    <w:p w14:paraId="75B4F81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第三章 供应商须知</w:t>
      </w:r>
    </w:p>
    <w:p w14:paraId="25DF649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第四章 评审方法及标准</w:t>
      </w:r>
    </w:p>
    <w:p w14:paraId="3547A207">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第五章 合同主要条款格式</w:t>
      </w:r>
    </w:p>
    <w:p w14:paraId="224EB4B0">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第六章 投标文件格式</w:t>
      </w:r>
    </w:p>
    <w:p w14:paraId="4B277807">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2.2供应商的风险</w:t>
      </w:r>
    </w:p>
    <w:p w14:paraId="027DBE3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供应商没有按照招标文件要求提供全部资料，或者供应商没有对招标文件在各方面作出实质性响应是供应商的风险，并可能导致其投标被否决。</w:t>
      </w:r>
    </w:p>
    <w:p w14:paraId="2ABF8519">
      <w:pPr>
        <w:spacing w:before="120" w:line="320" w:lineRule="atLeast"/>
        <w:ind w:firstLine="422" w:firstLineChars="200"/>
        <w:outlineLvl w:val="2"/>
        <w:rPr>
          <w:rFonts w:ascii="Arial" w:hAnsi="Arial" w:cs="Arial"/>
          <w:b/>
          <w:color w:val="auto"/>
          <w:szCs w:val="21"/>
          <w:highlight w:val="none"/>
        </w:rPr>
      </w:pPr>
      <w:r>
        <w:rPr>
          <w:rFonts w:ascii="Arial" w:hAnsi="Arial" w:cs="Arial"/>
          <w:b/>
          <w:bCs/>
          <w:color w:val="auto"/>
          <w:kern w:val="0"/>
          <w:szCs w:val="21"/>
          <w:highlight w:val="none"/>
        </w:rPr>
        <w:t>2.3招标文件的澄清与修改</w:t>
      </w:r>
    </w:p>
    <w:p w14:paraId="03403287">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2.3.1任何已获得招标文件的潜在供应商，均可以书面形式要求采购代理机构作出书面解释、澄清。</w:t>
      </w:r>
    </w:p>
    <w:p w14:paraId="3FB3C7DD">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2.3.2采购人、采购代理机构对已发出的招标文件进行必要澄清或者修改的，采购人或者采购代理机构可以对已发出的招标文件进行必要的澄清或者修改。澄清或者修改的内容可能影响投标文件编制的，采购人或者采购代理机构应当在投标截止时间至少15日前，在投标人须知前附表规定的方式通知所有获取招标文件的潜在投标人；不足15日的，采购人或者采购代理机构应当顺延提交投标文件的截止时间。</w:t>
      </w:r>
    </w:p>
    <w:p w14:paraId="44F1B573">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2.3.3招标文件澄清、答复、修改、补充的内容为招标文件的组成部分。当招标文件与招标文件的答复、澄清、修改、补充通知就同一内容的表述不一致时，以最后发出的公告或书面文件为准。</w:t>
      </w:r>
    </w:p>
    <w:p w14:paraId="40FB723F">
      <w:pPr>
        <w:spacing w:before="120" w:line="320" w:lineRule="atLeast"/>
        <w:ind w:left="2" w:leftChars="1" w:firstLine="422" w:firstLineChars="200"/>
        <w:outlineLvl w:val="1"/>
        <w:rPr>
          <w:rFonts w:ascii="Arial" w:hAnsi="Arial" w:cs="Arial"/>
          <w:b/>
          <w:bCs/>
          <w:color w:val="auto"/>
          <w:kern w:val="0"/>
          <w:szCs w:val="21"/>
          <w:highlight w:val="none"/>
        </w:rPr>
      </w:pPr>
      <w:bookmarkStart w:id="41" w:name="_Toc254970676"/>
      <w:bookmarkStart w:id="42" w:name="_Toc254970535"/>
      <w:r>
        <w:rPr>
          <w:rFonts w:ascii="Arial" w:hAnsi="Arial" w:cs="Arial"/>
          <w:b/>
          <w:bCs/>
          <w:color w:val="auto"/>
          <w:kern w:val="0"/>
          <w:szCs w:val="21"/>
          <w:highlight w:val="none"/>
        </w:rPr>
        <w:t>3．投标文件</w:t>
      </w:r>
      <w:bookmarkEnd w:id="41"/>
      <w:bookmarkEnd w:id="42"/>
    </w:p>
    <w:p w14:paraId="2C5BB755">
      <w:pPr>
        <w:spacing w:before="120" w:line="320" w:lineRule="atLeast"/>
        <w:ind w:firstLine="422" w:firstLineChars="200"/>
        <w:outlineLvl w:val="2"/>
        <w:rPr>
          <w:rFonts w:ascii="Arial" w:hAnsi="Arial" w:cs="Arial"/>
          <w:b/>
          <w:bCs/>
          <w:color w:val="auto"/>
          <w:kern w:val="0"/>
          <w:szCs w:val="21"/>
          <w:highlight w:val="none"/>
        </w:rPr>
      </w:pPr>
      <w:bookmarkStart w:id="43" w:name="_Toc254970677"/>
      <w:bookmarkStart w:id="44" w:name="_Toc254970536"/>
      <w:r>
        <w:rPr>
          <w:rFonts w:ascii="Arial" w:hAnsi="Arial" w:cs="Arial"/>
          <w:b/>
          <w:bCs/>
          <w:color w:val="auto"/>
          <w:kern w:val="0"/>
          <w:szCs w:val="21"/>
          <w:highlight w:val="none"/>
        </w:rPr>
        <w:t>3.1投标文件的组成</w:t>
      </w:r>
      <w:bookmarkEnd w:id="43"/>
      <w:bookmarkEnd w:id="44"/>
    </w:p>
    <w:p w14:paraId="5CEAC38D">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投标文件由第六章“投标文件格式”规定的内容和供应商所作的一切有效补充、修改和承诺等文件组成。</w:t>
      </w:r>
    </w:p>
    <w:p w14:paraId="5F3F985F">
      <w:pPr>
        <w:spacing w:before="120" w:line="320" w:lineRule="atLeast"/>
        <w:ind w:firstLine="422" w:firstLineChars="200"/>
        <w:outlineLvl w:val="2"/>
        <w:rPr>
          <w:rFonts w:ascii="Arial" w:hAnsi="Arial" w:cs="Arial"/>
          <w:b/>
          <w:bCs/>
          <w:color w:val="auto"/>
          <w:kern w:val="0"/>
          <w:szCs w:val="21"/>
          <w:highlight w:val="none"/>
        </w:rPr>
      </w:pPr>
      <w:bookmarkStart w:id="45" w:name="_Toc254970678"/>
      <w:bookmarkStart w:id="46" w:name="_Toc254970537"/>
      <w:r>
        <w:rPr>
          <w:rFonts w:ascii="Arial" w:hAnsi="Arial" w:cs="Arial"/>
          <w:b/>
          <w:color w:val="auto"/>
          <w:szCs w:val="21"/>
          <w:highlight w:val="none"/>
        </w:rPr>
        <w:t>3.2</w:t>
      </w:r>
      <w:r>
        <w:rPr>
          <w:rFonts w:ascii="Arial" w:hAnsi="Arial" w:cs="Arial"/>
          <w:b/>
          <w:bCs/>
          <w:color w:val="auto"/>
          <w:kern w:val="0"/>
          <w:szCs w:val="21"/>
          <w:highlight w:val="none"/>
        </w:rPr>
        <w:t>投标文件的语言及计量</w:t>
      </w:r>
      <w:bookmarkEnd w:id="45"/>
      <w:bookmarkEnd w:id="46"/>
    </w:p>
    <w:p w14:paraId="0DC1D52F">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3.2.1投标文件以及供应商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53753AB1">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3.2.2计量单位招标文件已有明确规定的，投标使用招标文件规定的计量单位；招标文件没有规定的，应采用中华人民共和国法定计量单位。</w:t>
      </w:r>
    </w:p>
    <w:p w14:paraId="5602520B">
      <w:pPr>
        <w:spacing w:before="120" w:line="320" w:lineRule="atLeast"/>
        <w:ind w:firstLine="422" w:firstLineChars="200"/>
        <w:outlineLvl w:val="2"/>
        <w:rPr>
          <w:rFonts w:ascii="Arial" w:hAnsi="Arial" w:cs="Arial"/>
          <w:b/>
          <w:bCs/>
          <w:color w:val="auto"/>
          <w:kern w:val="0"/>
          <w:szCs w:val="21"/>
          <w:highlight w:val="none"/>
        </w:rPr>
      </w:pPr>
      <w:bookmarkStart w:id="47" w:name="_Toc254970538"/>
      <w:bookmarkStart w:id="48" w:name="_Toc254970679"/>
      <w:r>
        <w:rPr>
          <w:rFonts w:ascii="Arial" w:hAnsi="Arial" w:cs="Arial"/>
          <w:b/>
          <w:bCs/>
          <w:color w:val="auto"/>
          <w:kern w:val="0"/>
          <w:szCs w:val="21"/>
          <w:highlight w:val="none"/>
        </w:rPr>
        <w:t>3.3投标报价</w:t>
      </w:r>
      <w:bookmarkEnd w:id="47"/>
      <w:bookmarkEnd w:id="48"/>
    </w:p>
    <w:p w14:paraId="78D0C31B">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3.3.1投标报价应按招标文件中相关附表格式填写。</w:t>
      </w:r>
    </w:p>
    <w:p w14:paraId="35F5C41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3.3.2投标文件只允许有一个报价，有选择的或有条件的报价将不予接受。</w:t>
      </w:r>
    </w:p>
    <w:p w14:paraId="18CBB1A5">
      <w:pPr>
        <w:suppressAutoHyphens/>
        <w:spacing w:before="120" w:line="320" w:lineRule="atLeast"/>
        <w:ind w:firstLine="420" w:firstLineChars="200"/>
        <w:rPr>
          <w:rFonts w:ascii="Arial" w:hAnsi="Arial" w:cs="Arial"/>
          <w:color w:val="auto"/>
          <w:kern w:val="1"/>
          <w:szCs w:val="21"/>
          <w:highlight w:val="none"/>
        </w:rPr>
      </w:pPr>
      <w:r>
        <w:rPr>
          <w:rFonts w:ascii="Arial" w:hAnsi="Arial" w:cs="Arial"/>
          <w:color w:val="auto"/>
          <w:kern w:val="1"/>
          <w:szCs w:val="21"/>
          <w:highlight w:val="none"/>
        </w:rPr>
        <w:t>3.3.3对于本文件中未列明，而供应商认为必需的费用也需列入投标报价。在合同实施时，采购人将不予支付中标供应商没有列入的项目费用，并认为此项目的费用已包括在投标报价中。</w:t>
      </w:r>
    </w:p>
    <w:p w14:paraId="238E568C">
      <w:pPr>
        <w:suppressAutoHyphens/>
        <w:spacing w:before="120" w:line="320" w:lineRule="atLeast"/>
        <w:ind w:firstLine="420" w:firstLineChars="200"/>
        <w:rPr>
          <w:rFonts w:ascii="Arial" w:hAnsi="Arial" w:cs="Arial"/>
          <w:b/>
          <w:bCs/>
          <w:color w:val="auto"/>
          <w:kern w:val="1"/>
          <w:szCs w:val="21"/>
          <w:highlight w:val="none"/>
        </w:rPr>
      </w:pPr>
      <w:r>
        <w:rPr>
          <w:rFonts w:ascii="Arial" w:hAnsi="Arial" w:cs="Arial"/>
          <w:color w:val="auto"/>
          <w:kern w:val="1"/>
          <w:szCs w:val="21"/>
          <w:highlight w:val="none"/>
        </w:rPr>
        <w:t>3.3.4采购人不接受供应商给予的赠品、回扣或者与采购无关的其他商品、服务。</w:t>
      </w:r>
    </w:p>
    <w:p w14:paraId="6D92253E">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3.4投标有效期</w:t>
      </w:r>
    </w:p>
    <w:p w14:paraId="369ABF78">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3.4.1如招标文件其他地方无特别规定，投标有效期则为投标截止之日起90天。在投标有效期内投标文件应保持有效。</w:t>
      </w:r>
      <w:r>
        <w:rPr>
          <w:rFonts w:ascii="Arial" w:hAnsi="Arial" w:cs="Arial"/>
          <w:b/>
          <w:bCs/>
          <w:color w:val="auto"/>
          <w:szCs w:val="21"/>
          <w:highlight w:val="none"/>
        </w:rPr>
        <w:t>有效期不足的投标文件将被否决</w:t>
      </w:r>
      <w:r>
        <w:rPr>
          <w:rFonts w:ascii="Arial" w:hAnsi="Arial" w:cs="Arial"/>
          <w:color w:val="auto"/>
          <w:szCs w:val="21"/>
          <w:highlight w:val="none"/>
        </w:rPr>
        <w:t>。</w:t>
      </w:r>
    </w:p>
    <w:p w14:paraId="220EC90F">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3.4.2在特殊情况下，采购人可与供应商协商延长投标文件的有效期，这种要求和答复均以书面形式进行。</w:t>
      </w:r>
    </w:p>
    <w:p w14:paraId="15421079">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3.4.3供应商同意延长的投标有效期的，如本项目要求提交保证金则应相应延长其投标保证金的有效期，但不得要求或被允许修改或撤销其投标文件；供应商拒绝延长的，其投标无效，但供应商有权收回其投标保证金。</w:t>
      </w:r>
    </w:p>
    <w:p w14:paraId="4833AB8A">
      <w:pPr>
        <w:spacing w:before="120" w:line="320" w:lineRule="atLeast"/>
        <w:ind w:firstLine="422" w:firstLineChars="200"/>
        <w:outlineLvl w:val="2"/>
        <w:rPr>
          <w:rFonts w:ascii="Arial" w:hAnsi="Arial" w:cs="Arial"/>
          <w:b/>
          <w:bCs/>
          <w:color w:val="auto"/>
          <w:kern w:val="0"/>
          <w:szCs w:val="21"/>
          <w:highlight w:val="none"/>
        </w:rPr>
      </w:pPr>
      <w:bookmarkStart w:id="49" w:name="_Toc254970682"/>
      <w:bookmarkStart w:id="50" w:name="_Toc254970541"/>
      <w:r>
        <w:rPr>
          <w:rFonts w:ascii="Arial" w:hAnsi="Arial" w:cs="Arial"/>
          <w:b/>
          <w:bCs/>
          <w:color w:val="auto"/>
          <w:kern w:val="0"/>
          <w:szCs w:val="21"/>
          <w:highlight w:val="none"/>
        </w:rPr>
        <w:t>3.5投标保证金</w:t>
      </w:r>
      <w:bookmarkEnd w:id="49"/>
      <w:bookmarkEnd w:id="50"/>
    </w:p>
    <w:p w14:paraId="534E9734">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3.5.1供应商须按须知前附表规定提交投标保证金，</w:t>
      </w:r>
      <w:r>
        <w:rPr>
          <w:rFonts w:ascii="Arial" w:hAnsi="Arial" w:cs="Arial"/>
          <w:b/>
          <w:bCs/>
          <w:color w:val="auto"/>
          <w:szCs w:val="21"/>
          <w:highlight w:val="none"/>
        </w:rPr>
        <w:t>否则其投标将被否决</w:t>
      </w:r>
      <w:r>
        <w:rPr>
          <w:rFonts w:ascii="Arial" w:hAnsi="Arial" w:cs="Arial"/>
          <w:color w:val="auto"/>
          <w:szCs w:val="21"/>
          <w:highlight w:val="none"/>
        </w:rPr>
        <w:t>。除招标文件规定不予退还保证金的情形外，代理机构在规定时间内退回供应商的投标保证金（供应商自行承担因未按供应商须知前附表要求交纳导致投标保证金无法及时退还的责任）。</w:t>
      </w:r>
    </w:p>
    <w:p w14:paraId="1E8AAE0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3.5.2投标保证金币种应与投标报价币种相同。</w:t>
      </w:r>
    </w:p>
    <w:p w14:paraId="254BF748">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3.5.3未中标供应商的投标保证金在中标通知书发出后5个工作日内退还。中标供应商的投标保证金在合同签订后5个工作日内退还（办理退还手续时需要向采购代理机构提供两份合同复印件）。</w:t>
      </w:r>
    </w:p>
    <w:p w14:paraId="18DCA3B1">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3.5.4供应商有下列情形之一的，投标保证金将不予退还：</w:t>
      </w:r>
    </w:p>
    <w:p w14:paraId="086B4D5C">
      <w:pPr>
        <w:numPr>
          <w:ilvl w:val="0"/>
          <w:numId w:val="2"/>
        </w:numPr>
        <w:spacing w:before="120" w:line="320" w:lineRule="atLeast"/>
        <w:rPr>
          <w:rFonts w:ascii="Arial" w:hAnsi="Arial" w:cs="Arial"/>
          <w:color w:val="auto"/>
          <w:szCs w:val="21"/>
          <w:highlight w:val="none"/>
        </w:rPr>
      </w:pPr>
      <w:r>
        <w:rPr>
          <w:rFonts w:ascii="Arial" w:hAnsi="Arial" w:cs="Arial"/>
          <w:color w:val="auto"/>
          <w:szCs w:val="21"/>
          <w:highlight w:val="none"/>
        </w:rPr>
        <w:t>供应商在投标有效期内撤销投标文件的；</w:t>
      </w:r>
    </w:p>
    <w:p w14:paraId="09D3052C">
      <w:pPr>
        <w:numPr>
          <w:ilvl w:val="0"/>
          <w:numId w:val="2"/>
        </w:numPr>
        <w:spacing w:before="120" w:line="320" w:lineRule="atLeast"/>
        <w:rPr>
          <w:rFonts w:ascii="Arial" w:hAnsi="Arial" w:cs="Arial"/>
          <w:color w:val="auto"/>
          <w:szCs w:val="21"/>
          <w:highlight w:val="none"/>
        </w:rPr>
      </w:pPr>
      <w:r>
        <w:rPr>
          <w:rFonts w:ascii="Arial" w:hAnsi="Arial" w:cs="Arial"/>
          <w:color w:val="auto"/>
          <w:szCs w:val="21"/>
          <w:highlight w:val="none"/>
        </w:rPr>
        <w:t>供应商在投标过程中弄虚作假，提供虚假材料的；</w:t>
      </w:r>
    </w:p>
    <w:p w14:paraId="06991BBA">
      <w:pPr>
        <w:numPr>
          <w:ilvl w:val="0"/>
          <w:numId w:val="2"/>
        </w:numPr>
        <w:spacing w:before="120" w:line="320" w:lineRule="atLeast"/>
        <w:rPr>
          <w:rFonts w:ascii="Arial" w:hAnsi="Arial" w:cs="Arial"/>
          <w:color w:val="auto"/>
          <w:szCs w:val="21"/>
          <w:highlight w:val="none"/>
        </w:rPr>
      </w:pPr>
      <w:r>
        <w:rPr>
          <w:rFonts w:ascii="Arial" w:hAnsi="Arial" w:cs="Arial"/>
          <w:color w:val="auto"/>
          <w:szCs w:val="21"/>
          <w:highlight w:val="none"/>
        </w:rPr>
        <w:t>中标供应商无正当理由不与采购人签订合同的；</w:t>
      </w:r>
    </w:p>
    <w:p w14:paraId="3AC44580">
      <w:pPr>
        <w:numPr>
          <w:ilvl w:val="0"/>
          <w:numId w:val="2"/>
        </w:numPr>
        <w:spacing w:before="120" w:line="320" w:lineRule="atLeast"/>
        <w:rPr>
          <w:rFonts w:ascii="Arial" w:hAnsi="Arial" w:cs="Arial"/>
          <w:color w:val="auto"/>
          <w:szCs w:val="21"/>
          <w:highlight w:val="none"/>
        </w:rPr>
      </w:pPr>
      <w:r>
        <w:rPr>
          <w:rFonts w:ascii="Arial" w:hAnsi="Arial" w:cs="Arial"/>
          <w:color w:val="auto"/>
          <w:szCs w:val="21"/>
          <w:highlight w:val="none"/>
        </w:rPr>
        <w:t>将中标项目转让给他人或者在投标文件中未说明且未经采购人同意，将中标项目分包给他人的；</w:t>
      </w:r>
    </w:p>
    <w:p w14:paraId="21494310">
      <w:pPr>
        <w:numPr>
          <w:ilvl w:val="0"/>
          <w:numId w:val="2"/>
        </w:numPr>
        <w:spacing w:before="120" w:line="320" w:lineRule="atLeast"/>
        <w:rPr>
          <w:rFonts w:ascii="Arial" w:hAnsi="Arial" w:cs="Arial"/>
          <w:color w:val="auto"/>
          <w:szCs w:val="21"/>
          <w:highlight w:val="none"/>
        </w:rPr>
      </w:pPr>
      <w:r>
        <w:rPr>
          <w:rFonts w:ascii="Arial" w:hAnsi="Arial" w:cs="Arial"/>
          <w:color w:val="auto"/>
          <w:szCs w:val="21"/>
          <w:highlight w:val="none"/>
        </w:rPr>
        <w:t>拒绝履行合同义务的；</w:t>
      </w:r>
    </w:p>
    <w:p w14:paraId="6091DD5E">
      <w:pPr>
        <w:numPr>
          <w:ilvl w:val="0"/>
          <w:numId w:val="2"/>
        </w:numPr>
        <w:spacing w:before="120" w:line="320" w:lineRule="atLeast"/>
        <w:rPr>
          <w:rFonts w:ascii="Arial" w:hAnsi="Arial" w:cs="Arial"/>
          <w:color w:val="auto"/>
          <w:szCs w:val="21"/>
          <w:highlight w:val="none"/>
        </w:rPr>
      </w:pPr>
      <w:r>
        <w:rPr>
          <w:rFonts w:ascii="Arial" w:hAnsi="Arial" w:cs="Arial"/>
          <w:color w:val="auto"/>
          <w:szCs w:val="21"/>
          <w:highlight w:val="none"/>
        </w:rPr>
        <w:t>其他严重扰乱招投标程序的。</w:t>
      </w:r>
    </w:p>
    <w:p w14:paraId="313CE211">
      <w:pPr>
        <w:spacing w:before="120" w:line="320" w:lineRule="atLeast"/>
        <w:ind w:firstLine="422" w:firstLineChars="200"/>
        <w:outlineLvl w:val="2"/>
        <w:rPr>
          <w:rFonts w:ascii="Arial" w:hAnsi="Arial" w:cs="Arial"/>
          <w:b/>
          <w:bCs/>
          <w:color w:val="auto"/>
          <w:kern w:val="0"/>
          <w:szCs w:val="21"/>
          <w:highlight w:val="none"/>
        </w:rPr>
      </w:pPr>
      <w:bookmarkStart w:id="51" w:name="_Toc254970683"/>
      <w:bookmarkStart w:id="52" w:name="_Toc254970542"/>
      <w:r>
        <w:rPr>
          <w:rFonts w:ascii="Arial" w:hAnsi="Arial" w:cs="Arial"/>
          <w:b/>
          <w:bCs/>
          <w:color w:val="auto"/>
          <w:kern w:val="0"/>
          <w:szCs w:val="21"/>
          <w:highlight w:val="none"/>
        </w:rPr>
        <w:t>3.6投标文件的</w:t>
      </w:r>
      <w:bookmarkEnd w:id="51"/>
      <w:bookmarkEnd w:id="52"/>
      <w:r>
        <w:rPr>
          <w:rFonts w:ascii="Arial" w:hAnsi="Arial" w:cs="Arial"/>
          <w:b/>
          <w:bCs/>
          <w:color w:val="auto"/>
          <w:kern w:val="0"/>
          <w:szCs w:val="21"/>
          <w:highlight w:val="none"/>
        </w:rPr>
        <w:t>编制要求</w:t>
      </w:r>
    </w:p>
    <w:p w14:paraId="01BC36A7">
      <w:pPr>
        <w:spacing w:before="120" w:line="320" w:lineRule="atLeast"/>
        <w:ind w:firstLine="420" w:firstLineChars="200"/>
        <w:rPr>
          <w:rFonts w:ascii="Arial" w:hAnsi="Arial" w:cs="Arial"/>
          <w:color w:val="auto"/>
          <w:szCs w:val="21"/>
          <w:highlight w:val="none"/>
        </w:rPr>
      </w:pPr>
      <w:r>
        <w:rPr>
          <w:rFonts w:ascii="Arial" w:hAnsi="Arial" w:cs="Arial"/>
          <w:color w:val="auto"/>
          <w:kern w:val="0"/>
          <w:szCs w:val="21"/>
          <w:highlight w:val="none"/>
        </w:rPr>
        <w:t>3.6.1</w:t>
      </w:r>
      <w:r>
        <w:rPr>
          <w:rFonts w:ascii="Arial" w:hAnsi="Arial" w:cs="Arial"/>
          <w:color w:val="auto"/>
          <w:szCs w:val="21"/>
          <w:highlight w:val="none"/>
        </w:rPr>
        <w:t>供应商应先安装广西政府采购云平台新版客户端，通过账号密码或CA登录客户端制作投标文件。</w:t>
      </w:r>
    </w:p>
    <w:p w14:paraId="287D45E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3.6.2供应商应按本招标文件规定的格式和顺序编制投标文件并进行关联定位，以便评审委员会在评审时，点击评分项可直接定位到该评分项内容。如对招标文件的某项要求，供应商的投标文件未能关联定位提供相应的内容与其对应，则评审委员会在评审时如做出对供应商不利的评审由供应商自行承担。投标文件如内容不完整、编排混乱导致投标文件被误读、漏读，或者在按招标文件规定的部位查找不到相关内容的，由供应商自行承担。</w:t>
      </w:r>
    </w:p>
    <w:p w14:paraId="2BD72DF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3.6.3 投标人的投标文件未按照招标文件要求签署、盖章的，</w:t>
      </w:r>
      <w:r>
        <w:rPr>
          <w:rFonts w:ascii="Arial" w:hAnsi="Arial" w:cs="Arial"/>
          <w:b/>
          <w:bCs/>
          <w:color w:val="auto"/>
          <w:szCs w:val="21"/>
          <w:highlight w:val="none"/>
        </w:rPr>
        <w:t>其投标无效</w:t>
      </w:r>
      <w:r>
        <w:rPr>
          <w:rFonts w:ascii="Arial" w:hAnsi="Arial" w:cs="Arial"/>
          <w:color w:val="auto"/>
          <w:szCs w:val="21"/>
          <w:highlight w:val="none"/>
        </w:rPr>
        <w:t>。</w:t>
      </w:r>
    </w:p>
    <w:p w14:paraId="6E7DA635">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3.6.4为确保网上操作合法、有效和安全，供应商应当在投标截止时间前完成在广西政府采购云平台的身份认证，确保在电子投标过程中能够对相关数据电文进行加密和使用电子签名。</w:t>
      </w:r>
    </w:p>
    <w:p w14:paraId="0DC36E61">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3.6.5投标文件中标注的供应商名称应与主体资格证明（如营业执照、事业单位法人证书、执业许可证、个体工商户营业执照、自然人身份证等）和公章/电子签章一致，</w:t>
      </w:r>
      <w:r>
        <w:rPr>
          <w:rFonts w:ascii="Arial" w:hAnsi="Arial" w:cs="Arial"/>
          <w:b/>
          <w:bCs/>
          <w:color w:val="auto"/>
          <w:szCs w:val="21"/>
          <w:highlight w:val="none"/>
        </w:rPr>
        <w:t>否则作无效投标处理。</w:t>
      </w:r>
    </w:p>
    <w:p w14:paraId="6D0067CA">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3.7投标文件的递交、修改和撤回</w:t>
      </w:r>
    </w:p>
    <w:p w14:paraId="4490B1D3">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 xml:space="preserve">3.7.1供应商必须在“供应商须知前附表”规定的投标文件开标时间和投标地点提交电子版投标文件。电子投标文件应在制作完成后，在投标截止时间前通过有效数字证书（CA认证锁）进行电子签章、加密，然后通过网络将加密的电子投标文件递交至广西政府采购云平台。 </w:t>
      </w:r>
    </w:p>
    <w:p w14:paraId="2279212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 xml:space="preserve">3.7.2未在规定时间内提交或者未按照招标文件要求签章、加密的电子投标文件，广西政府采购云平台将拒收。 </w:t>
      </w:r>
    </w:p>
    <w:p w14:paraId="0A271BD6">
      <w:pPr>
        <w:spacing w:before="120" w:line="320" w:lineRule="atLeast"/>
        <w:ind w:left="2" w:leftChars="1" w:firstLine="420" w:firstLineChars="200"/>
        <w:rPr>
          <w:rFonts w:ascii="Arial" w:hAnsi="Arial" w:cs="Arial"/>
          <w:color w:val="auto"/>
          <w:szCs w:val="21"/>
          <w:highlight w:val="none"/>
        </w:rPr>
      </w:pPr>
      <w:bookmarkStart w:id="53" w:name="_Toc254970685"/>
      <w:bookmarkStart w:id="54" w:name="_Toc254970544"/>
      <w:r>
        <w:rPr>
          <w:rFonts w:ascii="Arial" w:hAnsi="Arial" w:cs="Arial"/>
          <w:color w:val="auto"/>
          <w:szCs w:val="21"/>
          <w:highlight w:val="none"/>
        </w:rPr>
        <w:t>3.7.3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5154695A">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3.7.4在投标截止时间前，除供应商补充、修改或者撤回投标文件外，任何单位和个人不得解密或提取投标文件。</w:t>
      </w:r>
    </w:p>
    <w:p w14:paraId="62CE9DAF">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3.7.5在投标截止时间止提交电子版投标文件的供应商不足3家时，电子版投标文件由代理机构在广西政府采购云平台操作退回，除此之外采购人和采购代理机构对已提交的投标文件概不退回。</w:t>
      </w:r>
    </w:p>
    <w:p w14:paraId="3143BE9E">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3.7.6招标文件</w:t>
      </w:r>
      <w:bookmarkStart w:id="55" w:name="_Hlk106637937"/>
      <w:bookmarkStart w:id="56" w:name="_Hlk106638610"/>
      <w:r>
        <w:rPr>
          <w:rFonts w:ascii="Arial" w:hAnsi="Arial" w:cs="Arial"/>
          <w:color w:val="auto"/>
          <w:szCs w:val="21"/>
          <w:highlight w:val="none"/>
        </w:rPr>
        <w:t>未允许同一供应商提交两个或以上不同的</w:t>
      </w:r>
      <w:r>
        <w:rPr>
          <w:rFonts w:hint="eastAsia" w:ascii="Arial" w:hAnsi="Arial" w:cs="Arial"/>
          <w:color w:val="auto"/>
          <w:szCs w:val="21"/>
          <w:highlight w:val="none"/>
        </w:rPr>
        <w:t>投标文件</w:t>
      </w:r>
      <w:r>
        <w:rPr>
          <w:rFonts w:ascii="Arial" w:hAnsi="Arial" w:cs="Arial"/>
          <w:color w:val="auto"/>
          <w:szCs w:val="21"/>
          <w:highlight w:val="none"/>
        </w:rPr>
        <w:t>，但存在</w:t>
      </w:r>
      <w:r>
        <w:rPr>
          <w:rFonts w:ascii="Arial" w:hAnsi="Arial" w:cs="Arial"/>
          <w:color w:val="auto"/>
          <w:highlight w:val="none"/>
        </w:rPr>
        <w:t>同</w:t>
      </w:r>
      <w:r>
        <w:rPr>
          <w:rFonts w:ascii="Arial" w:hAnsi="Arial" w:cs="Arial"/>
          <w:color w:val="auto"/>
          <w:szCs w:val="21"/>
          <w:highlight w:val="none"/>
        </w:rPr>
        <w:t>一供应商提交两个或以上不同的</w:t>
      </w:r>
      <w:r>
        <w:rPr>
          <w:rFonts w:hint="eastAsia" w:ascii="Arial" w:hAnsi="Arial" w:cs="Arial"/>
          <w:color w:val="auto"/>
          <w:szCs w:val="21"/>
          <w:highlight w:val="none"/>
        </w:rPr>
        <w:t>投标文件</w:t>
      </w:r>
      <w:r>
        <w:rPr>
          <w:rFonts w:ascii="Arial" w:hAnsi="Arial" w:cs="Arial"/>
          <w:color w:val="auto"/>
          <w:szCs w:val="21"/>
          <w:highlight w:val="none"/>
        </w:rPr>
        <w:t>的</w:t>
      </w:r>
      <w:bookmarkEnd w:id="55"/>
      <w:bookmarkEnd w:id="56"/>
      <w:r>
        <w:rPr>
          <w:rFonts w:ascii="Arial" w:hAnsi="Arial" w:cs="Arial"/>
          <w:color w:val="auto"/>
          <w:szCs w:val="21"/>
          <w:highlight w:val="none"/>
        </w:rPr>
        <w:t>，</w:t>
      </w:r>
      <w:r>
        <w:rPr>
          <w:rFonts w:ascii="Arial" w:hAnsi="Arial" w:cs="Arial"/>
          <w:b/>
          <w:bCs/>
          <w:color w:val="auto"/>
          <w:szCs w:val="21"/>
          <w:highlight w:val="none"/>
        </w:rPr>
        <w:t>其投标无效。</w:t>
      </w:r>
      <w:r>
        <w:rPr>
          <w:rFonts w:hint="eastAsia"/>
          <w:color w:val="auto"/>
          <w:szCs w:val="21"/>
          <w:highlight w:val="none"/>
        </w:rPr>
        <w:t>投标人在同一投标文件中对某项技术、商务要求提供有选择性的响应参数或方案等同于提交两个或以上不同的投标文件。</w:t>
      </w:r>
    </w:p>
    <w:p w14:paraId="059AF972">
      <w:pPr>
        <w:spacing w:before="120" w:line="320" w:lineRule="atLeast"/>
        <w:ind w:left="2" w:leftChars="1" w:firstLine="422" w:firstLineChars="200"/>
        <w:outlineLvl w:val="1"/>
        <w:rPr>
          <w:rFonts w:ascii="Arial" w:hAnsi="Arial" w:cs="Arial"/>
          <w:b/>
          <w:bCs/>
          <w:color w:val="auto"/>
          <w:kern w:val="0"/>
          <w:szCs w:val="21"/>
          <w:highlight w:val="none"/>
        </w:rPr>
      </w:pPr>
      <w:r>
        <w:rPr>
          <w:rFonts w:ascii="Arial" w:hAnsi="Arial" w:cs="Arial"/>
          <w:b/>
          <w:bCs/>
          <w:color w:val="auto"/>
          <w:kern w:val="0"/>
          <w:szCs w:val="21"/>
          <w:highlight w:val="none"/>
        </w:rPr>
        <w:t>4．开标</w:t>
      </w:r>
      <w:bookmarkEnd w:id="53"/>
      <w:bookmarkEnd w:id="54"/>
    </w:p>
    <w:p w14:paraId="7531EE63">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4.1开标准备</w:t>
      </w:r>
    </w:p>
    <w:p w14:paraId="44567FB2">
      <w:pPr>
        <w:spacing w:before="120" w:line="276" w:lineRule="auto"/>
        <w:ind w:firstLine="420" w:firstLineChars="200"/>
        <w:rPr>
          <w:rFonts w:ascii="Arial" w:hAnsi="Arial" w:cs="Arial"/>
          <w:color w:val="auto"/>
          <w:szCs w:val="21"/>
          <w:highlight w:val="none"/>
        </w:rPr>
      </w:pPr>
      <w:r>
        <w:rPr>
          <w:rFonts w:ascii="Arial" w:hAnsi="Arial" w:cs="Arial"/>
          <w:color w:val="auto"/>
          <w:szCs w:val="21"/>
          <w:highlight w:val="none"/>
        </w:rPr>
        <w:t>本项目投标截止时间及地点见“供应商须知前附表”规定。</w:t>
      </w:r>
    </w:p>
    <w:p w14:paraId="28CC5BF8">
      <w:pPr>
        <w:autoSpaceDE w:val="0"/>
        <w:autoSpaceDN w:val="0"/>
        <w:adjustRightInd w:val="0"/>
        <w:spacing w:line="276" w:lineRule="auto"/>
        <w:ind w:firstLine="420" w:firstLineChars="200"/>
        <w:rPr>
          <w:rFonts w:ascii="Arial" w:hAnsi="Arial" w:cs="Arial"/>
          <w:color w:val="auto"/>
          <w:szCs w:val="21"/>
          <w:highlight w:val="none"/>
        </w:rPr>
      </w:pPr>
      <w:r>
        <w:rPr>
          <w:rFonts w:ascii="Arial" w:hAnsi="Arial" w:cs="Arial"/>
          <w:color w:val="auto"/>
          <w:szCs w:val="21"/>
          <w:highlight w:val="none"/>
        </w:rPr>
        <w:t>全流程电子化项目没有现场递交投标文件及现场开标环节。采购代理机构将按照招标文件规定的时间通过广西政府采购云平台组织线上开标活动、开启投标文件，所有供应商均应当准时在线参加。供应商如不参加开标大会的，视同认可开标结果，事后不得对采购相关人员、开标过程和开标结果提出异议，同时供应商因未在线参加开标而导致投标文件无法按时解密等一切后果由供应商自己承担。</w:t>
      </w:r>
    </w:p>
    <w:p w14:paraId="55486864">
      <w:pPr>
        <w:spacing w:before="120" w:line="276" w:lineRule="auto"/>
        <w:ind w:firstLine="420" w:firstLineChars="200"/>
        <w:rPr>
          <w:rFonts w:ascii="Arial" w:hAnsi="Arial" w:cs="Arial"/>
          <w:color w:val="auto"/>
          <w:szCs w:val="21"/>
          <w:highlight w:val="none"/>
        </w:rPr>
      </w:pPr>
      <w:r>
        <w:rPr>
          <w:rFonts w:ascii="Arial" w:hAnsi="Arial" w:cs="Arial"/>
          <w:color w:val="auto"/>
          <w:szCs w:val="21"/>
          <w:highlight w:val="none"/>
        </w:rPr>
        <w:t xml:space="preserve">如供应商成功解密投标文件，但未在广西政府采购云平台电子开标大厅参加开标的，视同认可开标过程和结果，由此产生的后果由供应商自行负责。 </w:t>
      </w:r>
    </w:p>
    <w:p w14:paraId="7472FE71">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4.2开标程序</w:t>
      </w:r>
    </w:p>
    <w:p w14:paraId="79C573AD">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4.2.1供应商登录广西政府采购云平台进入开标大厅签到。</w:t>
      </w:r>
    </w:p>
    <w:p w14:paraId="76651F8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4.2.2解密电子投标文件。广西政府采购云平台按开标时间自动提取所有投标文件。采购代理机构在广西政府采购云平台向各供应商发出电子加密投标文件开始解密通知，由供应商平台设置时间内自行进行投标文件解密。供应商须使用加密时所用的CA锁准时登录到广西政府采购云平台电子开标大厅签到并对电子投标文件解密。开标后供应商未及时进行解密的，代理机构可通知供应商。</w:t>
      </w:r>
      <w:r>
        <w:rPr>
          <w:rFonts w:ascii="Arial" w:hAnsi="Arial" w:cs="Arial"/>
          <w:color w:val="auto"/>
          <w:highlight w:val="none"/>
        </w:rPr>
        <w:t>通知后供应商仍未在上述规定时间内解密</w:t>
      </w:r>
      <w:r>
        <w:rPr>
          <w:rFonts w:hint="eastAsia" w:ascii="Arial" w:hAnsi="Arial" w:cs="Arial"/>
          <w:color w:val="auto"/>
          <w:highlight w:val="none"/>
        </w:rPr>
        <w:t>投标文件</w:t>
      </w:r>
      <w:r>
        <w:rPr>
          <w:rFonts w:ascii="Arial" w:hAnsi="Arial" w:cs="Arial"/>
          <w:color w:val="auto"/>
          <w:szCs w:val="21"/>
          <w:highlight w:val="none"/>
        </w:rPr>
        <w:t>，或者供应商没预留联系方式或预留联系方式无效导致代理机构无法联系到供应商进行解密的，均视为无效投标。</w:t>
      </w:r>
    </w:p>
    <w:p w14:paraId="563B2DE0">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4.2.3</w:t>
      </w:r>
      <w:bookmarkStart w:id="57" w:name="_Hlk106637968"/>
      <w:r>
        <w:rPr>
          <w:rFonts w:ascii="Arial" w:hAnsi="Arial" w:cs="Arial"/>
          <w:color w:val="auto"/>
          <w:szCs w:val="21"/>
          <w:highlight w:val="none"/>
        </w:rPr>
        <w:t>广西政府采购云平台设置有备份</w:t>
      </w:r>
      <w:r>
        <w:rPr>
          <w:rFonts w:hint="eastAsia" w:ascii="Arial" w:hAnsi="Arial" w:cs="Arial"/>
          <w:color w:val="auto"/>
          <w:szCs w:val="21"/>
          <w:highlight w:val="none"/>
        </w:rPr>
        <w:t>投标文件</w:t>
      </w:r>
      <w:r>
        <w:rPr>
          <w:rFonts w:ascii="Arial" w:hAnsi="Arial" w:cs="Arial"/>
          <w:color w:val="auto"/>
          <w:szCs w:val="21"/>
          <w:highlight w:val="none"/>
        </w:rPr>
        <w:t>功能。备份</w:t>
      </w:r>
      <w:r>
        <w:rPr>
          <w:rFonts w:hint="eastAsia" w:ascii="Arial" w:hAnsi="Arial" w:cs="Arial"/>
          <w:color w:val="auto"/>
          <w:szCs w:val="21"/>
          <w:highlight w:val="none"/>
        </w:rPr>
        <w:t>投标文件</w:t>
      </w:r>
      <w:r>
        <w:rPr>
          <w:rFonts w:ascii="Arial" w:hAnsi="Arial" w:cs="Arial"/>
          <w:color w:val="auto"/>
          <w:szCs w:val="21"/>
          <w:highlight w:val="none"/>
        </w:rPr>
        <w:t>是指平台设置为接受备份</w:t>
      </w:r>
      <w:r>
        <w:rPr>
          <w:rFonts w:hint="eastAsia" w:ascii="Arial" w:hAnsi="Arial" w:cs="Arial"/>
          <w:color w:val="auto"/>
          <w:szCs w:val="21"/>
          <w:highlight w:val="none"/>
        </w:rPr>
        <w:t>投标文件</w:t>
      </w:r>
      <w:r>
        <w:rPr>
          <w:rFonts w:ascii="Arial" w:hAnsi="Arial" w:cs="Arial"/>
          <w:color w:val="auto"/>
          <w:szCs w:val="21"/>
          <w:highlight w:val="none"/>
        </w:rPr>
        <w:t>时，如出现供应商上传的</w:t>
      </w:r>
      <w:r>
        <w:rPr>
          <w:rFonts w:hint="eastAsia" w:ascii="Arial" w:hAnsi="Arial" w:cs="Arial"/>
          <w:color w:val="auto"/>
          <w:szCs w:val="21"/>
          <w:highlight w:val="none"/>
        </w:rPr>
        <w:t>投标文件</w:t>
      </w:r>
      <w:r>
        <w:rPr>
          <w:rFonts w:ascii="Arial" w:hAnsi="Arial" w:cs="Arial"/>
          <w:color w:val="auto"/>
          <w:szCs w:val="21"/>
          <w:highlight w:val="none"/>
        </w:rPr>
        <w:t>存在问题或其他供应商原因引起解密异常时，供应商可以在规定时间内将备份</w:t>
      </w:r>
      <w:r>
        <w:rPr>
          <w:rFonts w:hint="eastAsia" w:ascii="Arial" w:hAnsi="Arial" w:cs="Arial"/>
          <w:color w:val="auto"/>
          <w:szCs w:val="21"/>
          <w:highlight w:val="none"/>
        </w:rPr>
        <w:t>投标文件</w:t>
      </w:r>
      <w:r>
        <w:rPr>
          <w:rFonts w:ascii="Arial" w:hAnsi="Arial" w:cs="Arial"/>
          <w:color w:val="auto"/>
          <w:szCs w:val="21"/>
          <w:highlight w:val="none"/>
        </w:rPr>
        <w:t>通过邮箱发送至采购代理机构，由代理机构上传备份</w:t>
      </w:r>
      <w:r>
        <w:rPr>
          <w:rFonts w:hint="eastAsia" w:ascii="Arial" w:hAnsi="Arial" w:cs="Arial"/>
          <w:color w:val="auto"/>
          <w:szCs w:val="21"/>
          <w:highlight w:val="none"/>
        </w:rPr>
        <w:t>投标文件</w:t>
      </w:r>
      <w:r>
        <w:rPr>
          <w:rFonts w:ascii="Arial" w:hAnsi="Arial" w:cs="Arial"/>
          <w:color w:val="auto"/>
          <w:szCs w:val="21"/>
          <w:highlight w:val="none"/>
        </w:rPr>
        <w:t>后自动解密从而避免被视为无效响应。是否接受备份</w:t>
      </w:r>
      <w:r>
        <w:rPr>
          <w:rFonts w:hint="eastAsia" w:ascii="Arial" w:hAnsi="Arial" w:cs="Arial"/>
          <w:color w:val="auto"/>
          <w:szCs w:val="21"/>
          <w:highlight w:val="none"/>
        </w:rPr>
        <w:t>投标文件</w:t>
      </w:r>
      <w:r>
        <w:rPr>
          <w:rFonts w:ascii="Arial" w:hAnsi="Arial" w:cs="Arial"/>
          <w:color w:val="auto"/>
          <w:szCs w:val="21"/>
          <w:highlight w:val="none"/>
        </w:rPr>
        <w:t>详见供应商须知前附表，如接受备份文件，供应商未在规定时间内发送备份</w:t>
      </w:r>
      <w:r>
        <w:rPr>
          <w:rFonts w:hint="eastAsia" w:ascii="Arial" w:hAnsi="Arial" w:cs="Arial"/>
          <w:color w:val="auto"/>
          <w:szCs w:val="21"/>
          <w:highlight w:val="none"/>
        </w:rPr>
        <w:t>投标文件</w:t>
      </w:r>
      <w:r>
        <w:rPr>
          <w:rFonts w:ascii="Arial" w:hAnsi="Arial" w:cs="Arial"/>
          <w:color w:val="auto"/>
          <w:szCs w:val="21"/>
          <w:highlight w:val="none"/>
        </w:rPr>
        <w:t>的将视为无效响应。</w:t>
      </w:r>
    </w:p>
    <w:bookmarkEnd w:id="57"/>
    <w:p w14:paraId="75BF30A0">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4.2.4解密异常情况处理：详见本章9.2电子交易活动的中止。</w:t>
      </w:r>
    </w:p>
    <w:p w14:paraId="49122D84">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4.2.5供应商对报价进行确认。</w:t>
      </w:r>
    </w:p>
    <w:p w14:paraId="37262C51">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4.2.6开标结束。</w:t>
      </w:r>
    </w:p>
    <w:p w14:paraId="5CCCA9E0">
      <w:pPr>
        <w:pStyle w:val="27"/>
        <w:snapToGrid w:val="0"/>
        <w:spacing w:line="440" w:lineRule="exact"/>
        <w:ind w:firstLine="422" w:firstLineChars="200"/>
        <w:rPr>
          <w:rFonts w:ascii="Arial" w:hAnsi="Arial" w:cs="Arial"/>
          <w:color w:val="auto"/>
          <w:highlight w:val="none"/>
        </w:rPr>
      </w:pPr>
      <w:r>
        <w:rPr>
          <w:rFonts w:ascii="Arial" w:hAnsi="Arial" w:cs="Arial"/>
          <w:b/>
          <w:bCs/>
          <w:color w:val="auto"/>
          <w:highlight w:val="none"/>
        </w:rPr>
        <w:t>特别说明：</w:t>
      </w:r>
      <w:r>
        <w:rPr>
          <w:rFonts w:ascii="Arial" w:hAnsi="Arial" w:cs="Arial"/>
          <w:color w:val="auto"/>
          <w:highlight w:val="none"/>
        </w:rPr>
        <w:t>如遇广西政府采购云平台电子化开标或评审程序调整的，按调整后的程序执行。</w:t>
      </w:r>
    </w:p>
    <w:p w14:paraId="59BF70A7">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4.3演示</w:t>
      </w:r>
    </w:p>
    <w:p w14:paraId="34F91559">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4.3.1“供应商须知前附表”规定在开标会议结束后进行演示的，供应商应按规定进行演示。</w:t>
      </w:r>
    </w:p>
    <w:p w14:paraId="379B7AF9">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4.3.2未按规定时间进行演示可能引起的演示分数被计为0分或投标无效等后果由供应商自行承担。</w:t>
      </w:r>
    </w:p>
    <w:p w14:paraId="14E207C2">
      <w:pPr>
        <w:spacing w:before="120" w:line="320" w:lineRule="atLeast"/>
        <w:ind w:firstLine="422" w:firstLineChars="200"/>
        <w:outlineLvl w:val="2"/>
        <w:rPr>
          <w:rFonts w:ascii="Arial" w:hAnsi="Arial" w:cs="Arial"/>
          <w:color w:val="auto"/>
          <w:szCs w:val="21"/>
          <w:highlight w:val="none"/>
        </w:rPr>
      </w:pPr>
      <w:r>
        <w:rPr>
          <w:rFonts w:ascii="Arial" w:hAnsi="Arial" w:cs="Arial"/>
          <w:b/>
          <w:bCs/>
          <w:color w:val="auto"/>
          <w:kern w:val="0"/>
          <w:szCs w:val="21"/>
          <w:highlight w:val="none"/>
        </w:rPr>
        <w:t>4.4样品</w:t>
      </w:r>
    </w:p>
    <w:p w14:paraId="5D8467DE">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4.4.1“供应商须知前附表”规定递交样品的，供应商应按前附表规定递交样品，递交样品时应附样品递交表（格式见第六章）。</w:t>
      </w:r>
    </w:p>
    <w:p w14:paraId="3DDA54FE">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4.4.2未按规定时间递交样品可能引起的样品分数被计为0分或投标无效等后果由供应商自行承担。</w:t>
      </w:r>
    </w:p>
    <w:p w14:paraId="355FEE60">
      <w:pPr>
        <w:spacing w:before="120" w:line="320" w:lineRule="atLeast"/>
        <w:ind w:firstLine="420" w:firstLineChars="200"/>
        <w:rPr>
          <w:rFonts w:ascii="Arial" w:hAnsi="Arial" w:cs="Arial"/>
          <w:color w:val="auto"/>
          <w:szCs w:val="21"/>
          <w:highlight w:val="none"/>
        </w:rPr>
      </w:pPr>
      <w:bookmarkStart w:id="58" w:name="_Toc254970686"/>
      <w:bookmarkStart w:id="59" w:name="_Toc254970545"/>
      <w:r>
        <w:rPr>
          <w:rFonts w:ascii="Arial" w:hAnsi="Arial" w:cs="Arial"/>
          <w:color w:val="auto"/>
          <w:szCs w:val="21"/>
          <w:highlight w:val="none"/>
        </w:rPr>
        <w:t>4.4.3样品封存或退还的说明请见第六章投标文件格式所附样品递交表。</w:t>
      </w:r>
    </w:p>
    <w:p w14:paraId="3B723B56">
      <w:pPr>
        <w:spacing w:before="120" w:line="320" w:lineRule="atLeast"/>
        <w:ind w:left="2" w:leftChars="1" w:firstLine="422" w:firstLineChars="200"/>
        <w:outlineLvl w:val="1"/>
        <w:rPr>
          <w:rFonts w:ascii="Arial" w:hAnsi="Arial" w:cs="Arial"/>
          <w:b/>
          <w:bCs/>
          <w:color w:val="auto"/>
          <w:kern w:val="0"/>
          <w:szCs w:val="21"/>
          <w:highlight w:val="none"/>
        </w:rPr>
      </w:pPr>
      <w:r>
        <w:rPr>
          <w:rFonts w:ascii="Arial" w:hAnsi="Arial" w:cs="Arial"/>
          <w:b/>
          <w:bCs/>
          <w:color w:val="auto"/>
          <w:kern w:val="0"/>
          <w:szCs w:val="21"/>
          <w:highlight w:val="none"/>
        </w:rPr>
        <w:t>5．资格审查</w:t>
      </w:r>
    </w:p>
    <w:p w14:paraId="652D9CC0">
      <w:pPr>
        <w:spacing w:before="120" w:line="320" w:lineRule="atLeast"/>
        <w:ind w:left="2" w:leftChars="1" w:firstLine="420" w:firstLineChars="200"/>
        <w:outlineLvl w:val="1"/>
        <w:rPr>
          <w:rFonts w:ascii="Arial" w:hAnsi="Arial" w:cs="Arial"/>
          <w:bCs/>
          <w:color w:val="auto"/>
          <w:kern w:val="0"/>
          <w:szCs w:val="21"/>
          <w:highlight w:val="none"/>
        </w:rPr>
      </w:pPr>
      <w:r>
        <w:rPr>
          <w:rFonts w:ascii="Arial" w:hAnsi="Arial" w:cs="Arial"/>
          <w:bCs/>
          <w:color w:val="auto"/>
          <w:kern w:val="0"/>
          <w:szCs w:val="21"/>
          <w:highlight w:val="none"/>
        </w:rPr>
        <w:t>5.1</w:t>
      </w:r>
      <w:r>
        <w:rPr>
          <w:rFonts w:ascii="Arial" w:hAnsi="Arial" w:cs="Arial"/>
          <w:bCs/>
          <w:color w:val="auto"/>
          <w:szCs w:val="21"/>
          <w:highlight w:val="none"/>
        </w:rPr>
        <w:t>开标结束后，采购人或者采购代理机构通过电子交易平台对供应商的资格进行审查。资格审查</w:t>
      </w:r>
      <w:r>
        <w:rPr>
          <w:rFonts w:ascii="Arial" w:hAnsi="Arial" w:cs="Arial"/>
          <w:bCs/>
          <w:color w:val="auto"/>
          <w:kern w:val="0"/>
          <w:szCs w:val="21"/>
          <w:highlight w:val="none"/>
        </w:rPr>
        <w:t>是根据法律法规和招标文件的规定，对供应商的基本资格条件、特定资格条件进行审查。</w:t>
      </w:r>
    </w:p>
    <w:p w14:paraId="5612A36C">
      <w:pPr>
        <w:spacing w:before="120" w:line="320" w:lineRule="atLeast"/>
        <w:ind w:left="2" w:leftChars="1" w:firstLine="420" w:firstLineChars="200"/>
        <w:outlineLvl w:val="1"/>
        <w:rPr>
          <w:rFonts w:ascii="Arial" w:hAnsi="Arial" w:cs="Arial"/>
          <w:bCs/>
          <w:color w:val="auto"/>
          <w:kern w:val="0"/>
          <w:szCs w:val="21"/>
          <w:highlight w:val="none"/>
        </w:rPr>
      </w:pPr>
      <w:r>
        <w:rPr>
          <w:rFonts w:ascii="Arial" w:hAnsi="Arial" w:cs="Arial"/>
          <w:bCs/>
          <w:color w:val="auto"/>
          <w:kern w:val="0"/>
          <w:szCs w:val="21"/>
          <w:highlight w:val="none"/>
        </w:rPr>
        <w:t>5.2资格审查标准在第四章评审方法及标准中规定，符合资格审查标准要求的供应商即为资格审查合格。</w:t>
      </w:r>
    </w:p>
    <w:p w14:paraId="5E21F1B6">
      <w:pPr>
        <w:spacing w:before="120" w:line="276" w:lineRule="auto"/>
        <w:ind w:left="2" w:leftChars="1" w:firstLine="420" w:firstLineChars="200"/>
        <w:outlineLvl w:val="1"/>
        <w:rPr>
          <w:rFonts w:ascii="Arial" w:hAnsi="Arial" w:cs="Arial"/>
          <w:bCs/>
          <w:color w:val="auto"/>
          <w:kern w:val="0"/>
          <w:szCs w:val="21"/>
          <w:highlight w:val="none"/>
        </w:rPr>
      </w:pPr>
      <w:r>
        <w:rPr>
          <w:rFonts w:ascii="Arial" w:hAnsi="Arial" w:cs="Arial"/>
          <w:bCs/>
          <w:color w:val="auto"/>
          <w:kern w:val="0"/>
          <w:szCs w:val="21"/>
          <w:highlight w:val="none"/>
        </w:rPr>
        <w:t>5.3供应商有下列情形之一的，资格审查不合格，作无效投标处理：</w:t>
      </w:r>
    </w:p>
    <w:p w14:paraId="66517AEE">
      <w:pPr>
        <w:spacing w:line="276" w:lineRule="auto"/>
        <w:ind w:firstLine="420" w:firstLineChars="200"/>
        <w:rPr>
          <w:rFonts w:ascii="Arial" w:hAnsi="Arial" w:cs="Arial"/>
          <w:color w:val="auto"/>
          <w:highlight w:val="none"/>
        </w:rPr>
      </w:pPr>
      <w:r>
        <w:rPr>
          <w:rFonts w:hint="eastAsia"/>
          <w:color w:val="auto"/>
          <w:szCs w:val="21"/>
          <w:highlight w:val="none"/>
        </w:rPr>
        <w:t>5</w:t>
      </w:r>
      <w:r>
        <w:rPr>
          <w:color w:val="auto"/>
          <w:szCs w:val="21"/>
          <w:highlight w:val="none"/>
        </w:rPr>
        <w:t>.3.1</w:t>
      </w:r>
      <w:r>
        <w:rPr>
          <w:rFonts w:hint="eastAsia"/>
          <w:color w:val="auto"/>
          <w:szCs w:val="21"/>
          <w:highlight w:val="none"/>
        </w:rPr>
        <w:t>不具备招标文件中规定的资格要求或资格条件的； （注：其中信用查询规则见“投标人须知前附表”，广西政府采购云平台已与“信用中国”平台做接口，可直接在线查询）</w:t>
      </w:r>
    </w:p>
    <w:p w14:paraId="1AC9822D">
      <w:pPr>
        <w:spacing w:before="120" w:line="276" w:lineRule="auto"/>
        <w:ind w:firstLine="420" w:firstLineChars="200"/>
        <w:rPr>
          <w:rFonts w:ascii="Arial" w:hAnsi="Arial" w:cs="Arial"/>
          <w:color w:val="auto"/>
          <w:szCs w:val="21"/>
          <w:highlight w:val="none"/>
        </w:rPr>
      </w:pPr>
      <w:r>
        <w:rPr>
          <w:rFonts w:ascii="Arial" w:hAnsi="Arial" w:cs="Arial"/>
          <w:color w:val="auto"/>
          <w:szCs w:val="21"/>
          <w:highlight w:val="none"/>
        </w:rPr>
        <w:t>5.3.2投标文件缺少任何一项资格证明文件或不符合第四章评审方法及标准中资格审查标准规定的评审内容的；</w:t>
      </w:r>
    </w:p>
    <w:p w14:paraId="6C621B1C">
      <w:pPr>
        <w:spacing w:before="120" w:line="276" w:lineRule="auto"/>
        <w:ind w:left="2" w:leftChars="1" w:firstLine="420" w:firstLineChars="200"/>
        <w:outlineLvl w:val="1"/>
        <w:rPr>
          <w:rFonts w:ascii="Arial" w:hAnsi="Arial" w:cs="Arial"/>
          <w:bCs/>
          <w:color w:val="auto"/>
          <w:kern w:val="0"/>
          <w:szCs w:val="21"/>
          <w:highlight w:val="none"/>
        </w:rPr>
      </w:pPr>
      <w:r>
        <w:rPr>
          <w:rFonts w:ascii="Arial" w:hAnsi="Arial" w:cs="Arial"/>
          <w:bCs/>
          <w:color w:val="auto"/>
          <w:kern w:val="0"/>
          <w:szCs w:val="21"/>
          <w:highlight w:val="none"/>
        </w:rPr>
        <w:t>5.4资格审查合格的供应商不足3家的，不得评审。</w:t>
      </w:r>
    </w:p>
    <w:p w14:paraId="3509174D">
      <w:pPr>
        <w:spacing w:before="120" w:line="320" w:lineRule="atLeast"/>
        <w:ind w:left="2" w:leftChars="1" w:firstLine="422" w:firstLineChars="200"/>
        <w:outlineLvl w:val="1"/>
        <w:rPr>
          <w:rFonts w:ascii="Arial" w:hAnsi="Arial" w:cs="Arial"/>
          <w:b/>
          <w:bCs/>
          <w:color w:val="auto"/>
          <w:kern w:val="0"/>
          <w:szCs w:val="21"/>
          <w:highlight w:val="none"/>
        </w:rPr>
      </w:pPr>
      <w:r>
        <w:rPr>
          <w:rFonts w:ascii="Arial" w:hAnsi="Arial" w:cs="Arial"/>
          <w:b/>
          <w:bCs/>
          <w:color w:val="auto"/>
          <w:kern w:val="0"/>
          <w:szCs w:val="21"/>
          <w:highlight w:val="none"/>
        </w:rPr>
        <w:t>6．评审</w:t>
      </w:r>
      <w:bookmarkEnd w:id="58"/>
      <w:bookmarkEnd w:id="59"/>
    </w:p>
    <w:p w14:paraId="58431F21">
      <w:pPr>
        <w:spacing w:before="120" w:line="320" w:lineRule="atLeast"/>
        <w:ind w:firstLine="422" w:firstLineChars="200"/>
        <w:outlineLvl w:val="2"/>
        <w:rPr>
          <w:rFonts w:ascii="Arial" w:hAnsi="Arial" w:cs="Arial"/>
          <w:b/>
          <w:bCs/>
          <w:color w:val="auto"/>
          <w:kern w:val="0"/>
          <w:szCs w:val="21"/>
          <w:highlight w:val="none"/>
        </w:rPr>
      </w:pPr>
      <w:bookmarkStart w:id="60" w:name="_Toc254970546"/>
      <w:bookmarkStart w:id="61" w:name="_Toc254970687"/>
      <w:r>
        <w:rPr>
          <w:rFonts w:ascii="Arial" w:hAnsi="Arial" w:cs="Arial"/>
          <w:b/>
          <w:bCs/>
          <w:color w:val="auto"/>
          <w:kern w:val="0"/>
          <w:szCs w:val="21"/>
          <w:highlight w:val="none"/>
        </w:rPr>
        <w:t>6.1评审委员会及评审原则</w:t>
      </w:r>
    </w:p>
    <w:p w14:paraId="663DD69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6.1.1本项目评审工作由评审委员会负责，评审委员会由评审专家和采购人代表（如有）组成。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评审专家发现本人与参加采购活动的供应商有利害关系的，应当主动提出回避。</w:t>
      </w:r>
    </w:p>
    <w:p w14:paraId="48A1A781">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6.1.2评审委员会成员应当通过电子交易平台进行独立评审，评审委员会成员对需要共同认定的事项存在争议的，应当按照少数服从多数的原则作出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作出结论并由采购代理机构记录在评审报告中。</w:t>
      </w:r>
    </w:p>
    <w:p w14:paraId="5BCC4DB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47F3408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6.1.4本项目评审过程实行全程网上留痕及录音、录像监控，供应商在评审过程中所进行的试图影响评审结果的不公正活动，可能导致其投标按无效处理。</w:t>
      </w:r>
    </w:p>
    <w:p w14:paraId="4241702B">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6.2评审方法及依据</w:t>
      </w:r>
    </w:p>
    <w:p w14:paraId="04CEC871">
      <w:pPr>
        <w:spacing w:before="120" w:line="320" w:lineRule="atLeast"/>
        <w:ind w:firstLine="420" w:firstLineChars="200"/>
        <w:rPr>
          <w:rFonts w:ascii="Arial" w:hAnsi="Arial" w:cs="Arial"/>
          <w:bCs/>
          <w:color w:val="auto"/>
          <w:kern w:val="0"/>
          <w:szCs w:val="21"/>
          <w:highlight w:val="none"/>
        </w:rPr>
      </w:pPr>
      <w:r>
        <w:rPr>
          <w:rFonts w:ascii="Arial" w:hAnsi="Arial" w:cs="Arial"/>
          <w:bCs/>
          <w:color w:val="auto"/>
          <w:kern w:val="0"/>
          <w:szCs w:val="21"/>
          <w:highlight w:val="none"/>
        </w:rPr>
        <w:t>6.2.1本项目采用第四章评审方法及标准规定的方法进行评审。</w:t>
      </w:r>
    </w:p>
    <w:p w14:paraId="6DD35891">
      <w:pPr>
        <w:suppressAutoHyphens/>
        <w:spacing w:before="120" w:line="320" w:lineRule="atLeast"/>
        <w:ind w:firstLine="420" w:firstLineChars="200"/>
        <w:rPr>
          <w:rFonts w:ascii="Arial" w:hAnsi="Arial" w:cs="Arial"/>
          <w:bCs/>
          <w:color w:val="auto"/>
          <w:kern w:val="0"/>
          <w:szCs w:val="21"/>
          <w:highlight w:val="none"/>
        </w:rPr>
      </w:pPr>
      <w:r>
        <w:rPr>
          <w:rFonts w:ascii="Arial" w:hAnsi="Arial" w:cs="Arial"/>
          <w:bCs/>
          <w:color w:val="auto"/>
          <w:kern w:val="0"/>
          <w:szCs w:val="21"/>
          <w:highlight w:val="none"/>
        </w:rPr>
        <w:t>6.2.2</w:t>
      </w:r>
      <w:r>
        <w:rPr>
          <w:rFonts w:ascii="Arial" w:hAnsi="Arial" w:cs="Arial"/>
          <w:color w:val="auto"/>
          <w:highlight w:val="none"/>
        </w:rPr>
        <w:t>评标委员会以招标文件、补充文件、投标文件、澄清及答复为评审依据，</w:t>
      </w:r>
      <w:r>
        <w:rPr>
          <w:rFonts w:ascii="Arial" w:hAnsi="Arial" w:cs="Arial"/>
          <w:bCs/>
          <w:color w:val="auto"/>
          <w:kern w:val="0"/>
          <w:szCs w:val="21"/>
          <w:highlight w:val="none"/>
        </w:rPr>
        <w:t>第四章评审方法及标准没有规定的评审方法、标准及因素，不得作为评审依据。</w:t>
      </w:r>
    </w:p>
    <w:p w14:paraId="324AFCAC">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6.3评审程序</w:t>
      </w:r>
    </w:p>
    <w:p w14:paraId="0DB4B73D">
      <w:pPr>
        <w:spacing w:before="120" w:line="320" w:lineRule="atLeast"/>
        <w:ind w:firstLine="420" w:firstLineChars="200"/>
        <w:rPr>
          <w:rFonts w:ascii="Arial" w:hAnsi="Arial" w:cs="Arial"/>
          <w:color w:val="auto"/>
          <w:highlight w:val="none"/>
        </w:rPr>
      </w:pPr>
      <w:r>
        <w:rPr>
          <w:rFonts w:ascii="Arial" w:hAnsi="Arial" w:cs="Arial"/>
          <w:color w:val="auto"/>
          <w:highlight w:val="none"/>
        </w:rPr>
        <w:t>6.3.1符合性审查</w:t>
      </w:r>
    </w:p>
    <w:p w14:paraId="1216DA7B">
      <w:pPr>
        <w:spacing w:before="120" w:line="320" w:lineRule="atLeast"/>
        <w:ind w:firstLine="420" w:firstLineChars="200"/>
        <w:rPr>
          <w:rFonts w:ascii="Arial" w:hAnsi="Arial" w:cs="Arial"/>
          <w:color w:val="auto"/>
          <w:szCs w:val="21"/>
          <w:highlight w:val="none"/>
        </w:rPr>
      </w:pPr>
      <w:r>
        <w:rPr>
          <w:rFonts w:ascii="Arial" w:hAnsi="Arial" w:cs="Arial"/>
          <w:bCs/>
          <w:color w:val="auto"/>
          <w:kern w:val="1"/>
          <w:szCs w:val="21"/>
          <w:highlight w:val="none"/>
        </w:rPr>
        <w:t>资格审查结束后，</w:t>
      </w:r>
      <w:r>
        <w:rPr>
          <w:rFonts w:ascii="Arial" w:hAnsi="Arial" w:cs="Arial"/>
          <w:color w:val="auto"/>
          <w:highlight w:val="none"/>
        </w:rPr>
        <w:t>评审委员会对通过资格审查的供应商的投标文件进行报价、商务资信、技术等方面实质性内容进行符合性审查，</w:t>
      </w:r>
      <w:r>
        <w:rPr>
          <w:rFonts w:ascii="Arial" w:hAnsi="Arial" w:cs="Arial"/>
          <w:color w:val="auto"/>
          <w:szCs w:val="21"/>
          <w:highlight w:val="none"/>
        </w:rPr>
        <w:t>符合性审查标准详见第四章评审方法及标准。</w:t>
      </w:r>
    </w:p>
    <w:p w14:paraId="13A53DE5">
      <w:pPr>
        <w:spacing w:before="120" w:line="320" w:lineRule="atLeast"/>
        <w:ind w:firstLine="420" w:firstLineChars="200"/>
        <w:rPr>
          <w:color w:val="auto"/>
          <w:szCs w:val="21"/>
          <w:highlight w:val="none"/>
        </w:rPr>
      </w:pPr>
      <w:bookmarkStart w:id="62" w:name="_Hlk19176155"/>
      <w:r>
        <w:rPr>
          <w:rFonts w:hint="eastAsia"/>
          <w:color w:val="auto"/>
          <w:szCs w:val="21"/>
          <w:highlight w:val="none"/>
        </w:rPr>
        <w:t>6</w:t>
      </w:r>
      <w:r>
        <w:rPr>
          <w:color w:val="auto"/>
          <w:szCs w:val="21"/>
          <w:highlight w:val="none"/>
        </w:rPr>
        <w:t>.3.2</w:t>
      </w:r>
      <w:r>
        <w:rPr>
          <w:rFonts w:hint="eastAsia" w:hAnsi="宋体"/>
          <w:color w:val="auto"/>
          <w:highlight w:val="none"/>
        </w:rPr>
        <w:t>强制性</w:t>
      </w:r>
      <w:r>
        <w:rPr>
          <w:rFonts w:hint="eastAsia"/>
          <w:color w:val="auto"/>
          <w:szCs w:val="21"/>
          <w:highlight w:val="none"/>
        </w:rPr>
        <w:t>采购要求（仅适用于货物采购项目）</w:t>
      </w:r>
    </w:p>
    <w:p w14:paraId="4A6231E5">
      <w:pPr>
        <w:suppressAutoHyphens/>
        <w:spacing w:before="120" w:line="320" w:lineRule="atLeast"/>
        <w:ind w:firstLine="422" w:firstLineChars="201"/>
        <w:rPr>
          <w:color w:val="auto"/>
          <w:szCs w:val="21"/>
          <w:highlight w:val="none"/>
        </w:rPr>
      </w:pPr>
      <w:bookmarkStart w:id="63" w:name="_Hlk47714684"/>
      <w:r>
        <w:rPr>
          <w:rFonts w:hint="eastAsia"/>
          <w:color w:val="auto"/>
          <w:szCs w:val="21"/>
          <w:highlight w:val="none"/>
        </w:rPr>
        <w:t>（1）</w:t>
      </w:r>
      <w:bookmarkEnd w:id="63"/>
      <w:r>
        <w:rPr>
          <w:rFonts w:hint="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投标人的投标货物必须使用政府强制采购的节能产品，否则投标文件作无效处理；属于品目清单内非标注“★”的产品时，应优先采购。</w:t>
      </w:r>
    </w:p>
    <w:p w14:paraId="16064349">
      <w:pPr>
        <w:spacing w:before="120" w:line="276" w:lineRule="auto"/>
        <w:ind w:firstLine="420" w:firstLineChars="200"/>
        <w:rPr>
          <w:color w:val="auto"/>
          <w:szCs w:val="21"/>
          <w:highlight w:val="none"/>
        </w:rPr>
      </w:pPr>
      <w:bookmarkStart w:id="64" w:name="_Hlk138843020"/>
      <w:r>
        <w:rPr>
          <w:rFonts w:hint="eastAsia"/>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5A6F4F15">
      <w:pPr>
        <w:spacing w:before="120" w:line="276" w:lineRule="auto"/>
        <w:ind w:firstLine="420" w:firstLineChars="200"/>
        <w:rPr>
          <w:rFonts w:ascii="Arial" w:hAnsi="Arial" w:cs="Arial"/>
          <w:color w:val="auto"/>
          <w:highlight w:val="none"/>
        </w:rPr>
      </w:pPr>
      <w:r>
        <w:rPr>
          <w:rFonts w:hint="eastAsia"/>
          <w:color w:val="auto"/>
          <w:szCs w:val="21"/>
          <w:highlight w:val="none"/>
        </w:rPr>
        <w:t>注：网络安全专用产品在中共中央网络安全和信息化委员会办公室网站上发布的《网络关键设备和网络安全专用产品目录》中查询。“网络安全专用产品”内“产品类别”共34类：数据备份与恢复产品、防火墙、入侵检测系统（I</w:t>
      </w:r>
      <w:r>
        <w:rPr>
          <w:color w:val="auto"/>
          <w:szCs w:val="21"/>
          <w:highlight w:val="none"/>
        </w:rPr>
        <w:t>DS</w:t>
      </w:r>
      <w:r>
        <w:rPr>
          <w:rFonts w:hint="eastAsia"/>
          <w:color w:val="auto"/>
          <w:szCs w:val="21"/>
          <w:highlight w:val="none"/>
        </w:rPr>
        <w:t>）、入侵防御系统（</w:t>
      </w:r>
      <w:r>
        <w:rPr>
          <w:color w:val="auto"/>
          <w:szCs w:val="21"/>
          <w:highlight w:val="none"/>
        </w:rPr>
        <w:t>IPS</w:t>
      </w:r>
      <w:r>
        <w:rPr>
          <w:rFonts w:hint="eastAsia"/>
          <w:color w:val="auto"/>
          <w:szCs w:val="21"/>
          <w:highlight w:val="none"/>
        </w:rPr>
        <w:t>）、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bookmarkEnd w:id="64"/>
    </w:p>
    <w:p w14:paraId="06056FD0">
      <w:pPr>
        <w:spacing w:before="120" w:line="320" w:lineRule="atLeast"/>
        <w:ind w:firstLine="420" w:firstLineChars="200"/>
        <w:rPr>
          <w:rFonts w:ascii="Arial" w:hAnsi="Arial" w:cs="Arial"/>
          <w:color w:val="auto"/>
          <w:highlight w:val="none"/>
        </w:rPr>
      </w:pPr>
      <w:r>
        <w:rPr>
          <w:rFonts w:ascii="Arial" w:hAnsi="Arial" w:cs="Arial"/>
          <w:color w:val="auto"/>
          <w:highlight w:val="none"/>
        </w:rPr>
        <w:t>6.3.3澄清、说明或补正</w:t>
      </w:r>
    </w:p>
    <w:p w14:paraId="5D64A7A8">
      <w:pPr>
        <w:spacing w:before="120" w:line="320" w:lineRule="atLeast"/>
        <w:ind w:firstLine="420" w:firstLineChars="200"/>
        <w:rPr>
          <w:rFonts w:ascii="Arial" w:hAnsi="Arial" w:cs="Arial"/>
          <w:color w:val="auto"/>
          <w:highlight w:val="none"/>
        </w:rPr>
      </w:pPr>
      <w:r>
        <w:rPr>
          <w:rFonts w:ascii="Arial" w:hAnsi="Arial" w:cs="Arial"/>
          <w:color w:val="auto"/>
          <w:highlight w:val="none"/>
        </w:rPr>
        <w:t>（1）对投标文件中含义不明确、同类问题表述不一致或者有明显文字和计算错误的内容，评审委员会应在</w:t>
      </w:r>
      <w:r>
        <w:rPr>
          <w:rFonts w:ascii="Arial" w:hAnsi="Arial" w:cs="Arial"/>
          <w:color w:val="auto"/>
          <w:szCs w:val="21"/>
          <w:highlight w:val="none"/>
        </w:rPr>
        <w:t>广西政府采购云平台</w:t>
      </w:r>
      <w:r>
        <w:rPr>
          <w:rFonts w:ascii="Arial" w:hAnsi="Arial" w:cs="Arial"/>
          <w:color w:val="auto"/>
          <w:highlight w:val="none"/>
        </w:rPr>
        <w:t>发布电子澄清函，要求供应商在平台设置的时间内作出必要的澄清、说明或者补正。供应商在</w:t>
      </w:r>
      <w:r>
        <w:rPr>
          <w:rFonts w:ascii="Arial" w:hAnsi="Arial" w:cs="Arial"/>
          <w:color w:val="auto"/>
          <w:szCs w:val="21"/>
          <w:highlight w:val="none"/>
        </w:rPr>
        <w:t>广西政府采购云平</w:t>
      </w:r>
      <w:r>
        <w:rPr>
          <w:rFonts w:ascii="Arial" w:hAnsi="Arial" w:cs="Arial"/>
          <w:color w:val="auto"/>
          <w:highlight w:val="none"/>
        </w:rPr>
        <w:t>台接收到电子澄清函后根据澄清函内容直接在线编辑或上传PDF格式回函，电子澄清答复函使用CA证书加盖单位电子签章后提交至评审委员会。供应商的澄清、说明或者补正不得超出投标文件的范围或者改变投标文件的实质性内容。供应商未在规定时间内进行澄清、说明或者补正的，按无效投标处理。</w:t>
      </w:r>
    </w:p>
    <w:p w14:paraId="540C2C74">
      <w:pPr>
        <w:spacing w:before="120" w:line="320" w:lineRule="atLeast"/>
        <w:ind w:firstLine="420" w:firstLineChars="200"/>
        <w:rPr>
          <w:rFonts w:ascii="Arial" w:hAnsi="Arial" w:cs="Arial"/>
          <w:color w:val="auto"/>
          <w:highlight w:val="none"/>
        </w:rPr>
      </w:pPr>
      <w:r>
        <w:rPr>
          <w:rFonts w:ascii="Arial" w:hAnsi="Arial" w:cs="Arial"/>
          <w:color w:val="auto"/>
          <w:highlight w:val="none"/>
        </w:rPr>
        <w:t>（2）异常情况处理：如遇无法正常使用线上发送澄清函的情况，将以书面形式执行。评审委员会以书面形式要求供应商在规定时间内作出必要的澄清、说明或者补正。供应商的澄清、说明或者补正必须采用书面形式，并加盖公章或者由法定代表人或者其授权的代表签字。</w:t>
      </w:r>
    </w:p>
    <w:p w14:paraId="0E969066">
      <w:pPr>
        <w:spacing w:before="120" w:line="320" w:lineRule="atLeast"/>
        <w:ind w:firstLine="420" w:firstLineChars="200"/>
        <w:rPr>
          <w:rFonts w:ascii="Arial" w:hAnsi="Arial" w:cs="Arial"/>
          <w:color w:val="auto"/>
          <w:highlight w:val="none"/>
        </w:rPr>
      </w:pPr>
      <w:r>
        <w:rPr>
          <w:rFonts w:ascii="Arial" w:hAnsi="Arial" w:cs="Arial"/>
          <w:color w:val="auto"/>
          <w:highlight w:val="none"/>
        </w:rPr>
        <w:t>6.3.4报价修正</w:t>
      </w:r>
    </w:p>
    <w:p w14:paraId="2B6247C4">
      <w:pPr>
        <w:spacing w:before="120" w:line="320" w:lineRule="atLeast"/>
        <w:ind w:firstLine="420" w:firstLineChars="200"/>
        <w:rPr>
          <w:rFonts w:ascii="Arial" w:hAnsi="Arial" w:cs="Arial"/>
          <w:color w:val="auto"/>
          <w:highlight w:val="none"/>
        </w:rPr>
      </w:pPr>
      <w:r>
        <w:rPr>
          <w:rFonts w:ascii="Arial" w:hAnsi="Arial" w:cs="Arial"/>
          <w:color w:val="auto"/>
          <w:highlight w:val="none"/>
        </w:rPr>
        <w:t>（1）报价出现前后不一致的，按照下列规定修正：</w:t>
      </w:r>
    </w:p>
    <w:p w14:paraId="15BC9448">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①投标文件中开标一览表（报价表）内容与投标文件中相应内容不一致的，以开标一览表（报价表）为准；</w:t>
      </w:r>
    </w:p>
    <w:p w14:paraId="6F094AB5">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②大写金额和小写金额不一致的，以大写金额为准；</w:t>
      </w:r>
    </w:p>
    <w:p w14:paraId="28B6C7E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③单价金额小数点或者百分比有明显错位的，以开标一览表的总价为准，并修改单价；</w:t>
      </w:r>
    </w:p>
    <w:p w14:paraId="6FF3C7E4">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④总价金额与按单价汇总金额不一致的，以单价金额计算结果为准。</w:t>
      </w:r>
    </w:p>
    <w:p w14:paraId="424B438F">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同时出现两种以上不一致的，按照上述①-④顺序修正。修正后的报价按照上述“6.3.3澄清、说明或补正”的规定经供应商确认后产生约束力，供应商不确认的，其投标无效。</w:t>
      </w:r>
    </w:p>
    <w:p w14:paraId="3351716E">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评审委员会认为供应商的报价明显低于其他通过符合性审查供应商的报价，有可能影响产品质量或者不能诚信履约的，应当要求其在合理的时间内提交相关书面证明材料；评审委员会可以要求供应商就提供货物的主要成本、销售费用、管理费用、财务费用、履约费用、计划利润、税金及附加等成本构成事项进行详细陈述。书面证明应当按照上述“6.3.3澄清、说明或补正”的规定提交。供应商未按规定提交或不能证明其报价合理性的，评审委员会应当将其作为无效投标处理。</w:t>
      </w:r>
    </w:p>
    <w:p w14:paraId="219CB8C8">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（3）经供应商确认修正后的报价若超过采购预算金额或者最高限价，其投标文件作无效投标处理。</w:t>
      </w:r>
    </w:p>
    <w:p w14:paraId="0CACC87B">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（4）经供应产确认修正后的报价作为签订合同的依据，并以此报价计算价格分。</w:t>
      </w:r>
    </w:p>
    <w:bookmarkEnd w:id="28"/>
    <w:bookmarkEnd w:id="60"/>
    <w:bookmarkEnd w:id="61"/>
    <w:bookmarkEnd w:id="62"/>
    <w:p w14:paraId="56E41F05">
      <w:pPr>
        <w:spacing w:before="120" w:line="320" w:lineRule="atLeast"/>
        <w:ind w:firstLine="420" w:firstLineChars="200"/>
        <w:rPr>
          <w:color w:val="auto"/>
          <w:szCs w:val="21"/>
          <w:highlight w:val="none"/>
        </w:rPr>
      </w:pPr>
      <w:r>
        <w:rPr>
          <w:rFonts w:hint="eastAsia"/>
          <w:color w:val="auto"/>
          <w:szCs w:val="21"/>
          <w:highlight w:val="none"/>
        </w:rPr>
        <w:t>6.3.5异常低价审查</w:t>
      </w:r>
    </w:p>
    <w:p w14:paraId="3869344F">
      <w:pPr>
        <w:spacing w:before="120" w:line="320" w:lineRule="atLeast"/>
        <w:ind w:firstLine="420" w:firstLineChars="200"/>
        <w:rPr>
          <w:color w:val="auto"/>
          <w:szCs w:val="21"/>
          <w:highlight w:val="none"/>
        </w:rPr>
      </w:pPr>
      <w:r>
        <w:rPr>
          <w:color w:val="auto"/>
          <w:szCs w:val="21"/>
          <w:highlight w:val="none"/>
        </w:rPr>
        <w:t>本项目</w:t>
      </w:r>
      <w:r>
        <w:rPr>
          <w:rFonts w:hint="eastAsia"/>
          <w:color w:val="auto"/>
          <w:szCs w:val="21"/>
          <w:highlight w:val="none"/>
        </w:rPr>
        <w:t>异常低价审查情形见</w:t>
      </w:r>
      <w:r>
        <w:rPr>
          <w:color w:val="auto"/>
          <w:szCs w:val="21"/>
          <w:highlight w:val="none"/>
        </w:rPr>
        <w:t>“</w:t>
      </w:r>
      <w:r>
        <w:rPr>
          <w:rFonts w:hint="eastAsia"/>
          <w:color w:val="auto"/>
          <w:szCs w:val="21"/>
          <w:highlight w:val="none"/>
        </w:rPr>
        <w:t>投标人须知</w:t>
      </w:r>
      <w:r>
        <w:rPr>
          <w:color w:val="auto"/>
          <w:szCs w:val="21"/>
          <w:highlight w:val="none"/>
        </w:rPr>
        <w:t>前附表”规定。</w:t>
      </w:r>
    </w:p>
    <w:p w14:paraId="516EE4CF">
      <w:pPr>
        <w:spacing w:before="120" w:line="320" w:lineRule="atLeast"/>
        <w:ind w:firstLine="420" w:firstLineChars="200"/>
        <w:rPr>
          <w:color w:val="auto"/>
          <w:szCs w:val="21"/>
          <w:highlight w:val="none"/>
        </w:rPr>
      </w:pPr>
      <w:r>
        <w:rPr>
          <w:rFonts w:hint="eastAsia"/>
          <w:color w:val="auto"/>
          <w:szCs w:val="21"/>
          <w:highlight w:val="none"/>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A18D10C">
      <w:pPr>
        <w:spacing w:before="120" w:line="320" w:lineRule="atLeast"/>
        <w:ind w:firstLine="420" w:firstLineChars="200"/>
        <w:rPr>
          <w:strike/>
          <w:color w:val="auto"/>
          <w:szCs w:val="21"/>
          <w:highlight w:val="none"/>
        </w:rPr>
      </w:pPr>
      <w:r>
        <w:rPr>
          <w:rFonts w:hint="eastAsia"/>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处理。</w:t>
      </w:r>
    </w:p>
    <w:p w14:paraId="6922C3D1">
      <w:pPr>
        <w:spacing w:before="120" w:line="320" w:lineRule="atLeast"/>
        <w:ind w:firstLine="420" w:firstLineChars="200"/>
        <w:rPr>
          <w:color w:val="auto"/>
          <w:szCs w:val="21"/>
          <w:highlight w:val="none"/>
        </w:rPr>
      </w:pPr>
      <w:r>
        <w:rPr>
          <w:rFonts w:hint="eastAsia"/>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4332020">
      <w:pPr>
        <w:spacing w:before="120" w:line="320" w:lineRule="atLeast"/>
        <w:ind w:firstLine="420" w:firstLineChars="200"/>
        <w:rPr>
          <w:color w:val="auto"/>
          <w:szCs w:val="21"/>
          <w:highlight w:val="none"/>
        </w:rPr>
      </w:pPr>
      <w:r>
        <w:rPr>
          <w:rFonts w:hint="eastAsia"/>
          <w:color w:val="auto"/>
          <w:szCs w:val="21"/>
          <w:highlight w:val="none"/>
        </w:rPr>
        <w:t>异常低价投标审查的启动原因、审查意见和审查结果应当在评审报告中记录，并随供应商提供的相关书面说明及证明材料，以及评审委员会有关互联网浏览、查询历史一并归档。</w:t>
      </w:r>
    </w:p>
    <w:p w14:paraId="4B192F1A">
      <w:pPr>
        <w:spacing w:before="120" w:line="320" w:lineRule="atLeast"/>
        <w:ind w:firstLine="420" w:firstLineChars="200"/>
        <w:rPr>
          <w:color w:val="auto"/>
          <w:szCs w:val="21"/>
          <w:highlight w:val="none"/>
        </w:rPr>
      </w:pPr>
      <w:r>
        <w:rPr>
          <w:rFonts w:hint="eastAsia"/>
          <w:color w:val="auto"/>
          <w:szCs w:val="21"/>
          <w:highlight w:val="none"/>
        </w:rPr>
        <w:t>书面证明应当按照上述“</w:t>
      </w:r>
      <w:r>
        <w:rPr>
          <w:color w:val="auto"/>
          <w:szCs w:val="21"/>
          <w:highlight w:val="none"/>
        </w:rPr>
        <w:t>6.3.3</w:t>
      </w:r>
      <w:r>
        <w:rPr>
          <w:rFonts w:hint="eastAsia"/>
          <w:color w:val="auto"/>
          <w:szCs w:val="21"/>
          <w:highlight w:val="none"/>
        </w:rPr>
        <w:t>澄清、说明或补正”的规定提交。</w:t>
      </w:r>
    </w:p>
    <w:p w14:paraId="34DCA058">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w:t>
      </w:r>
      <w:r>
        <w:rPr>
          <w:rFonts w:hint="eastAsia"/>
          <w:color w:val="auto"/>
          <w:szCs w:val="21"/>
          <w:highlight w:val="none"/>
        </w:rPr>
        <w:t>6相同品牌认定（仅适用于货物采购项目）</w:t>
      </w:r>
    </w:p>
    <w:p w14:paraId="49F7A58C">
      <w:pPr>
        <w:spacing w:before="120" w:line="320" w:lineRule="atLeast"/>
        <w:ind w:firstLine="420" w:firstLineChars="200"/>
        <w:rPr>
          <w:color w:val="auto"/>
          <w:szCs w:val="21"/>
          <w:highlight w:val="none"/>
        </w:rPr>
      </w:pPr>
      <w:r>
        <w:rPr>
          <w:rFonts w:hint="eastAsia"/>
          <w:color w:val="auto"/>
          <w:szCs w:val="21"/>
          <w:highlight w:val="none"/>
        </w:rPr>
        <w:t>（1）单一产品采购项目，</w:t>
      </w:r>
      <w:r>
        <w:rPr>
          <w:rFonts w:hint="eastAsia"/>
          <w:color w:val="auto"/>
          <w:highlight w:val="none"/>
        </w:rPr>
        <w:t>不同投标人提供的产品品牌相同时，按以下规定确定</w:t>
      </w:r>
      <w:r>
        <w:rPr>
          <w:rFonts w:hint="eastAsia"/>
          <w:color w:val="auto"/>
          <w:kern w:val="0"/>
          <w:szCs w:val="21"/>
          <w:highlight w:val="none"/>
        </w:rPr>
        <w:t>相同品牌的投标有效性</w:t>
      </w:r>
      <w:r>
        <w:rPr>
          <w:rFonts w:hint="eastAsia"/>
          <w:color w:val="auto"/>
          <w:highlight w:val="none"/>
        </w:rPr>
        <w:t>。</w:t>
      </w:r>
    </w:p>
    <w:p w14:paraId="6D133CAC">
      <w:pPr>
        <w:spacing w:before="120" w:line="320" w:lineRule="atLeast"/>
        <w:ind w:firstLine="420" w:firstLineChars="200"/>
        <w:rPr>
          <w:color w:val="auto"/>
          <w:szCs w:val="21"/>
          <w:highlight w:val="none"/>
        </w:rPr>
      </w:pPr>
      <w:r>
        <w:rPr>
          <w:rFonts w:hint="eastAsia" w:ascii="宋体" w:hAnsi="宋体"/>
          <w:color w:val="auto"/>
          <w:szCs w:val="21"/>
          <w:highlight w:val="none"/>
        </w:rPr>
        <w:t>①采</w:t>
      </w:r>
      <w:r>
        <w:rPr>
          <w:rFonts w:hint="eastAsia"/>
          <w:color w:val="auto"/>
          <w:szCs w:val="21"/>
          <w:highlight w:val="none"/>
        </w:rPr>
        <w:t>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0D980016">
      <w:pPr>
        <w:spacing w:before="120" w:line="320" w:lineRule="atLeast"/>
        <w:ind w:firstLine="420" w:firstLineChars="200"/>
        <w:rPr>
          <w:color w:val="auto"/>
          <w:szCs w:val="21"/>
          <w:highlight w:val="none"/>
        </w:rPr>
      </w:pPr>
      <w:r>
        <w:rPr>
          <w:rFonts w:hint="eastAsia" w:ascii="宋体" w:hAnsi="宋体"/>
          <w:color w:val="auto"/>
          <w:szCs w:val="21"/>
          <w:highlight w:val="none"/>
        </w:rPr>
        <w:t>②</w:t>
      </w:r>
      <w:r>
        <w:rPr>
          <w:rFonts w:hint="eastAsia"/>
          <w:color w:val="auto"/>
          <w:szCs w:val="21"/>
          <w:highlight w:val="none"/>
        </w:rPr>
        <w:t>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2C59665A">
      <w:pPr>
        <w:spacing w:before="120" w:line="320" w:lineRule="atLeast"/>
        <w:ind w:firstLine="420" w:firstLineChars="200"/>
        <w:rPr>
          <w:color w:val="auto"/>
          <w:highlight w:val="none"/>
        </w:rPr>
      </w:pPr>
      <w:r>
        <w:rPr>
          <w:rFonts w:hint="eastAsia"/>
          <w:color w:val="auto"/>
          <w:szCs w:val="21"/>
          <w:highlight w:val="none"/>
        </w:rPr>
        <w:t>（2）非单一产品采购项目，采购人应当确定核心产品，并在招标文件中载明。不同投标人提供的核心产品品牌相同的，按上述规定处理。核心产品在第二章采购需求规定。</w:t>
      </w:r>
    </w:p>
    <w:p w14:paraId="39D6C61F">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rPr>
        <w:t>7串通投标认定</w:t>
      </w:r>
    </w:p>
    <w:p w14:paraId="5D9C2927">
      <w:pPr>
        <w:spacing w:before="120" w:line="320" w:lineRule="atLeast"/>
        <w:ind w:firstLine="420" w:firstLineChars="200"/>
        <w:rPr>
          <w:color w:val="auto"/>
          <w:highlight w:val="none"/>
        </w:rPr>
      </w:pPr>
      <w:r>
        <w:rPr>
          <w:rFonts w:hint="eastAsia"/>
          <w:color w:val="auto"/>
          <w:szCs w:val="21"/>
          <w:highlight w:val="none"/>
        </w:rPr>
        <w:t>评审委员会须根据以下规定认定投标人是否有</w:t>
      </w:r>
      <w:r>
        <w:rPr>
          <w:rFonts w:hint="eastAsia"/>
          <w:color w:val="auto"/>
          <w:kern w:val="0"/>
          <w:szCs w:val="21"/>
          <w:highlight w:val="none"/>
        </w:rPr>
        <w:t>串通投标的行为</w:t>
      </w:r>
      <w:r>
        <w:rPr>
          <w:rFonts w:hint="eastAsia"/>
          <w:color w:val="auto"/>
          <w:highlight w:val="none"/>
        </w:rPr>
        <w:t>。</w:t>
      </w:r>
    </w:p>
    <w:p w14:paraId="195ED641">
      <w:pPr>
        <w:spacing w:before="120" w:line="320" w:lineRule="atLeast"/>
        <w:ind w:firstLine="420" w:firstLineChars="200"/>
        <w:rPr>
          <w:color w:val="auto"/>
          <w:szCs w:val="21"/>
          <w:highlight w:val="none"/>
        </w:rPr>
      </w:pPr>
      <w:r>
        <w:rPr>
          <w:rFonts w:hint="eastAsia"/>
          <w:color w:val="auto"/>
          <w:szCs w:val="21"/>
          <w:highlight w:val="none"/>
        </w:rPr>
        <w:t>（1）根据《关于防治政府采购招标中串通投标行为的通知》（桂财采〔2016〕42号）规定，出现下述情况的，相关供应商的投标作无效投标处理。</w:t>
      </w:r>
    </w:p>
    <w:p w14:paraId="40554CF2">
      <w:pPr>
        <w:spacing w:before="120" w:line="320" w:lineRule="atLeast"/>
        <w:ind w:firstLine="420" w:firstLineChars="200"/>
        <w:rPr>
          <w:color w:val="auto"/>
          <w:szCs w:val="21"/>
          <w:highlight w:val="none"/>
        </w:rPr>
      </w:pPr>
      <w:r>
        <w:rPr>
          <w:rFonts w:hint="eastAsia" w:ascii="宋体" w:hAnsi="宋体" w:cs="宋体"/>
          <w:color w:val="auto"/>
          <w:szCs w:val="21"/>
          <w:highlight w:val="none"/>
        </w:rPr>
        <w:t>①</w:t>
      </w:r>
      <w:r>
        <w:rPr>
          <w:rFonts w:hint="eastAsia"/>
          <w:color w:val="auto"/>
          <w:szCs w:val="21"/>
          <w:highlight w:val="none"/>
        </w:rPr>
        <w:t>单位负责人为同一人或者存在直接控股、管理关系，参加同一合同项下政府采购活动的不同供应商。</w:t>
      </w:r>
    </w:p>
    <w:p w14:paraId="0DA47105">
      <w:pPr>
        <w:spacing w:before="120" w:line="320" w:lineRule="atLeast"/>
        <w:ind w:firstLine="420" w:firstLineChars="200"/>
        <w:rPr>
          <w:color w:val="auto"/>
          <w:szCs w:val="21"/>
          <w:highlight w:val="none"/>
        </w:rPr>
      </w:pPr>
      <w:r>
        <w:rPr>
          <w:rFonts w:hint="eastAsia"/>
          <w:color w:val="auto"/>
          <w:szCs w:val="21"/>
          <w:highlight w:val="none"/>
        </w:rPr>
        <w:t>②授权给供应商后参加同一合同项（分标、分包）投标的生产厂商。</w:t>
      </w:r>
    </w:p>
    <w:p w14:paraId="23D33022">
      <w:pPr>
        <w:spacing w:before="120" w:line="320" w:lineRule="atLeast"/>
        <w:ind w:firstLine="420" w:firstLineChars="200"/>
        <w:rPr>
          <w:color w:val="auto"/>
          <w:szCs w:val="21"/>
          <w:highlight w:val="none"/>
        </w:rPr>
      </w:pPr>
      <w:r>
        <w:rPr>
          <w:rFonts w:hint="eastAsia"/>
          <w:color w:val="auto"/>
          <w:szCs w:val="21"/>
          <w:highlight w:val="none"/>
        </w:rPr>
        <w:t>③视为或被认定为串通投标的相关供应商。</w:t>
      </w:r>
    </w:p>
    <w:p w14:paraId="2D62E4E0">
      <w:pPr>
        <w:spacing w:before="120" w:line="320" w:lineRule="atLeast"/>
        <w:ind w:firstLine="420" w:firstLineChars="200"/>
        <w:rPr>
          <w:color w:val="auto"/>
          <w:szCs w:val="21"/>
          <w:highlight w:val="none"/>
        </w:rPr>
      </w:pPr>
      <w:r>
        <w:rPr>
          <w:rFonts w:hint="eastAsia"/>
          <w:color w:val="auto"/>
          <w:szCs w:val="21"/>
          <w:highlight w:val="none"/>
        </w:rPr>
        <w:t>（2）根据《关于防治政府采购招标中串通投标行为的通知》（桂财采〔2016〕42号）规定，有下列情形之一的视为投标人相互串通投标，投标文件将被视为无效。</w:t>
      </w:r>
    </w:p>
    <w:p w14:paraId="20C9E3A3">
      <w:pPr>
        <w:spacing w:before="120" w:line="320" w:lineRule="atLeast"/>
        <w:ind w:firstLine="420" w:firstLineChars="200"/>
        <w:rPr>
          <w:color w:val="auto"/>
          <w:szCs w:val="21"/>
          <w:highlight w:val="none"/>
        </w:rPr>
      </w:pPr>
      <w:r>
        <w:rPr>
          <w:rFonts w:hint="eastAsia" w:ascii="宋体" w:hAnsi="宋体" w:cs="宋体"/>
          <w:color w:val="auto"/>
          <w:szCs w:val="21"/>
          <w:highlight w:val="none"/>
        </w:rPr>
        <w:t>①</w:t>
      </w:r>
      <w:r>
        <w:rPr>
          <w:rFonts w:hint="eastAsia"/>
          <w:color w:val="auto"/>
          <w:szCs w:val="21"/>
          <w:highlight w:val="none"/>
        </w:rPr>
        <w:t>不同投标人的投标文件由同一单位或者个人编制；或不同投标人报名的IP地址一致的；</w:t>
      </w:r>
    </w:p>
    <w:p w14:paraId="60A53E6E">
      <w:pPr>
        <w:spacing w:before="120" w:line="320" w:lineRule="atLeast"/>
        <w:ind w:firstLine="420" w:firstLineChars="200"/>
        <w:rPr>
          <w:color w:val="auto"/>
          <w:szCs w:val="21"/>
          <w:highlight w:val="none"/>
        </w:rPr>
      </w:pPr>
      <w:r>
        <w:rPr>
          <w:rFonts w:hint="eastAsia"/>
          <w:color w:val="auto"/>
          <w:szCs w:val="21"/>
          <w:highlight w:val="none"/>
        </w:rPr>
        <w:t>②不同投标人委托同一单位或者个人办理投标事宜；</w:t>
      </w:r>
    </w:p>
    <w:p w14:paraId="6623CDB9">
      <w:pPr>
        <w:spacing w:before="120" w:line="320" w:lineRule="atLeast"/>
        <w:ind w:firstLine="420" w:firstLineChars="200"/>
        <w:rPr>
          <w:color w:val="auto"/>
          <w:szCs w:val="21"/>
          <w:highlight w:val="none"/>
        </w:rPr>
      </w:pPr>
      <w:r>
        <w:rPr>
          <w:rFonts w:hint="eastAsia"/>
          <w:color w:val="auto"/>
          <w:szCs w:val="21"/>
          <w:highlight w:val="none"/>
        </w:rPr>
        <w:t>③不同的投标人的投标文件载明的项目管理员为同一个人；</w:t>
      </w:r>
    </w:p>
    <w:p w14:paraId="2567D114">
      <w:pPr>
        <w:spacing w:before="120" w:line="320" w:lineRule="atLeast"/>
        <w:ind w:firstLine="420" w:firstLineChars="200"/>
        <w:rPr>
          <w:color w:val="auto"/>
          <w:szCs w:val="21"/>
          <w:highlight w:val="none"/>
        </w:rPr>
      </w:pPr>
      <w:r>
        <w:rPr>
          <w:rFonts w:hint="eastAsia"/>
          <w:color w:val="auto"/>
          <w:szCs w:val="21"/>
          <w:highlight w:val="none"/>
        </w:rPr>
        <w:t>④不同投标人的投标文件异常一致或投标报价呈规律性差异；</w:t>
      </w:r>
    </w:p>
    <w:p w14:paraId="50602B3A">
      <w:pPr>
        <w:spacing w:before="120" w:line="320" w:lineRule="atLeast"/>
        <w:ind w:firstLine="420" w:firstLineChars="200"/>
        <w:rPr>
          <w:color w:val="auto"/>
          <w:szCs w:val="21"/>
          <w:highlight w:val="none"/>
        </w:rPr>
      </w:pPr>
      <w:r>
        <w:rPr>
          <w:rFonts w:hint="eastAsia"/>
          <w:color w:val="auto"/>
          <w:szCs w:val="21"/>
          <w:highlight w:val="none"/>
        </w:rPr>
        <w:t>⑤不同投标人的投标文件相互混装；</w:t>
      </w:r>
    </w:p>
    <w:p w14:paraId="55A617F4">
      <w:pPr>
        <w:spacing w:before="120" w:line="320" w:lineRule="atLeast"/>
        <w:ind w:firstLine="420" w:firstLineChars="200"/>
        <w:rPr>
          <w:color w:val="auto"/>
          <w:szCs w:val="21"/>
          <w:highlight w:val="none"/>
        </w:rPr>
      </w:pPr>
      <w:r>
        <w:rPr>
          <w:rFonts w:hint="eastAsia"/>
          <w:color w:val="auto"/>
          <w:szCs w:val="21"/>
          <w:highlight w:val="none"/>
        </w:rPr>
        <w:t>⑥不同投标人的保证金从同一单位或者个人账户转出。</w:t>
      </w:r>
    </w:p>
    <w:p w14:paraId="0AE37409">
      <w:pPr>
        <w:spacing w:before="120" w:line="320" w:lineRule="atLeast"/>
        <w:ind w:firstLine="420" w:firstLineChars="200"/>
        <w:rPr>
          <w:color w:val="auto"/>
          <w:szCs w:val="21"/>
          <w:highlight w:val="none"/>
        </w:rPr>
      </w:pPr>
      <w:r>
        <w:rPr>
          <w:rFonts w:hint="eastAsia"/>
          <w:color w:val="auto"/>
          <w:szCs w:val="21"/>
          <w:highlight w:val="none"/>
        </w:rPr>
        <w:t>（3）根据《关于防治政府采购招标中串通投标行为的通知》（桂财采〔2016〕42号）规定，供应商有下列情形之一的，属于恶意串通行为，投标文件将被视为无效。</w:t>
      </w:r>
    </w:p>
    <w:p w14:paraId="1252618E">
      <w:pPr>
        <w:spacing w:before="120" w:line="320" w:lineRule="atLeast"/>
        <w:ind w:firstLine="420" w:firstLineChars="200"/>
        <w:rPr>
          <w:color w:val="auto"/>
          <w:szCs w:val="21"/>
          <w:highlight w:val="none"/>
        </w:rPr>
      </w:pPr>
      <w:r>
        <w:rPr>
          <w:rFonts w:hint="eastAsia"/>
          <w:color w:val="auto"/>
          <w:szCs w:val="21"/>
          <w:highlight w:val="none"/>
        </w:rPr>
        <w:t>①供应商直接或者间接从采购人或者采购代理机构处获得其他供应商的相关信息并修改其投标文件或者响应文件；</w:t>
      </w:r>
    </w:p>
    <w:p w14:paraId="1DD17B72">
      <w:pPr>
        <w:spacing w:before="120" w:line="320" w:lineRule="atLeast"/>
        <w:ind w:firstLine="420" w:firstLineChars="200"/>
        <w:rPr>
          <w:color w:val="auto"/>
          <w:szCs w:val="21"/>
          <w:highlight w:val="none"/>
        </w:rPr>
      </w:pPr>
      <w:r>
        <w:rPr>
          <w:rFonts w:hint="eastAsia"/>
          <w:color w:val="auto"/>
          <w:szCs w:val="21"/>
          <w:highlight w:val="none"/>
        </w:rPr>
        <w:t>②供应商按照采购人或者采购代理机构的授意撤换、修改投标文件或者响应文件;</w:t>
      </w:r>
    </w:p>
    <w:p w14:paraId="14CD0AE9">
      <w:pPr>
        <w:spacing w:before="120" w:line="320" w:lineRule="atLeast"/>
        <w:ind w:firstLine="420" w:firstLineChars="200"/>
        <w:rPr>
          <w:color w:val="auto"/>
          <w:szCs w:val="21"/>
          <w:highlight w:val="none"/>
        </w:rPr>
      </w:pPr>
      <w:r>
        <w:rPr>
          <w:rFonts w:hint="eastAsia"/>
          <w:color w:val="auto"/>
          <w:szCs w:val="21"/>
          <w:highlight w:val="none"/>
        </w:rPr>
        <w:t>③供应商之间协商报价、技术方案等投标文件或者响应文件的实质性内容；</w:t>
      </w:r>
    </w:p>
    <w:p w14:paraId="3B7E0263">
      <w:pPr>
        <w:spacing w:before="120" w:line="320" w:lineRule="atLeast"/>
        <w:ind w:firstLine="420" w:firstLineChars="200"/>
        <w:rPr>
          <w:color w:val="auto"/>
          <w:szCs w:val="21"/>
          <w:highlight w:val="none"/>
        </w:rPr>
      </w:pPr>
      <w:r>
        <w:rPr>
          <w:rFonts w:hint="eastAsia"/>
          <w:color w:val="auto"/>
          <w:szCs w:val="21"/>
          <w:highlight w:val="none"/>
        </w:rPr>
        <w:t>④属于同一集团、协会、商会等组织成员的供应商按照该组织要求协同参加政府采购活动；</w:t>
      </w:r>
    </w:p>
    <w:p w14:paraId="067D2F82">
      <w:pPr>
        <w:spacing w:before="120" w:line="320" w:lineRule="atLeast"/>
        <w:ind w:firstLine="420" w:firstLineChars="200"/>
        <w:rPr>
          <w:color w:val="auto"/>
          <w:szCs w:val="21"/>
          <w:highlight w:val="none"/>
        </w:rPr>
      </w:pPr>
      <w:r>
        <w:rPr>
          <w:rFonts w:hint="eastAsia"/>
          <w:color w:val="auto"/>
          <w:szCs w:val="21"/>
          <w:highlight w:val="none"/>
        </w:rPr>
        <w:t>⑤供应商之间事先约定一致抬高或者压低投标报价，或者在招标项目中事先约定轮流以高价位或者低价位中标，或者事先约定由某一特定供应商中标，然后再参加投标；</w:t>
      </w:r>
    </w:p>
    <w:p w14:paraId="3E068EA3">
      <w:pPr>
        <w:spacing w:before="120" w:line="320" w:lineRule="atLeast"/>
        <w:ind w:firstLine="420" w:firstLineChars="200"/>
        <w:rPr>
          <w:color w:val="auto"/>
          <w:szCs w:val="21"/>
          <w:highlight w:val="none"/>
        </w:rPr>
      </w:pPr>
      <w:r>
        <w:rPr>
          <w:rFonts w:hint="eastAsia"/>
          <w:color w:val="auto"/>
          <w:szCs w:val="21"/>
          <w:highlight w:val="none"/>
        </w:rPr>
        <w:t>⑥供应商之间商定部分供应商放弃参加政府采购活动或者放弃中标；</w:t>
      </w:r>
    </w:p>
    <w:p w14:paraId="2121BE8F">
      <w:pPr>
        <w:spacing w:before="120" w:line="320" w:lineRule="atLeast"/>
        <w:ind w:firstLine="420" w:firstLineChars="200"/>
        <w:rPr>
          <w:color w:val="auto"/>
          <w:szCs w:val="21"/>
          <w:highlight w:val="none"/>
        </w:rPr>
      </w:pPr>
      <w:r>
        <w:rPr>
          <w:rFonts w:hint="eastAsia"/>
          <w:color w:val="auto"/>
          <w:szCs w:val="21"/>
          <w:highlight w:val="none"/>
        </w:rPr>
        <w:t>⑦供应商与采购人或者采购代理机构之间、供应商相互之间，为谋求特定供应商中标或者排斥其他供应商的其他串通行为。</w:t>
      </w:r>
    </w:p>
    <w:p w14:paraId="27F101DA">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rPr>
        <w:t>8投标无效认定</w:t>
      </w:r>
    </w:p>
    <w:p w14:paraId="23622F1A">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）在评审过程中如发现下列情形之一的，投标文件将被视为无效：</w:t>
      </w:r>
    </w:p>
    <w:p w14:paraId="75BE6670">
      <w:pPr>
        <w:spacing w:before="120" w:line="320" w:lineRule="atLeast"/>
        <w:ind w:firstLine="420" w:firstLineChars="200"/>
        <w:rPr>
          <w:color w:val="auto"/>
          <w:highlight w:val="none"/>
        </w:rPr>
      </w:pPr>
      <w:r>
        <w:rPr>
          <w:rFonts w:hint="eastAsia"/>
          <w:color w:val="auto"/>
          <w:szCs w:val="21"/>
          <w:highlight w:val="none"/>
        </w:rPr>
        <w:t>①投标文件存在法律、法规及监督部门有关文件规定的无效情形。</w:t>
      </w:r>
    </w:p>
    <w:p w14:paraId="2A47BA08">
      <w:pPr>
        <w:spacing w:before="120" w:line="320" w:lineRule="atLeast"/>
        <w:ind w:firstLine="420" w:firstLineChars="200"/>
        <w:rPr>
          <w:color w:val="auto"/>
          <w:szCs w:val="21"/>
          <w:highlight w:val="none"/>
        </w:rPr>
      </w:pPr>
      <w:r>
        <w:rPr>
          <w:rFonts w:hint="eastAsia"/>
          <w:color w:val="auto"/>
          <w:szCs w:val="21"/>
          <w:highlight w:val="none"/>
        </w:rPr>
        <w:t>②投标文件存在招标文件规定的无效情形。</w:t>
      </w:r>
    </w:p>
    <w:p w14:paraId="00C12B8B">
      <w:pPr>
        <w:spacing w:before="120" w:line="320" w:lineRule="atLeast"/>
        <w:ind w:firstLine="420" w:firstLineChars="200"/>
        <w:rPr>
          <w:color w:val="auto"/>
          <w:szCs w:val="21"/>
          <w:highlight w:val="none"/>
        </w:rPr>
      </w:pPr>
      <w:r>
        <w:rPr>
          <w:rFonts w:hint="eastAsia"/>
          <w:color w:val="auto"/>
          <w:szCs w:val="21"/>
          <w:highlight w:val="none"/>
        </w:rPr>
        <w:t>（2）根据财库《关于促进政府采购公平竞争优化营商环境的通知》（〔2019〕38号）以及《广西壮族自治区财政厅转发财政部关于促进政府采购公平竞争优化营商环境的通知》（桂财采〔2019〕41号）规定，评审委员会不得因装订、纸张、文件排序等非实质性的格式、形式问题认定投标无效或否决投标，从而限制和影响供应商投标（响应）。</w:t>
      </w:r>
    </w:p>
    <w:p w14:paraId="2848033B">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rPr>
        <w:t>9比较与评价</w:t>
      </w:r>
    </w:p>
    <w:p w14:paraId="24A3B400">
      <w:pPr>
        <w:spacing w:before="120" w:line="320" w:lineRule="atLeast"/>
        <w:ind w:firstLine="420" w:firstLineChars="200"/>
        <w:rPr>
          <w:color w:val="auto"/>
          <w:szCs w:val="21"/>
          <w:highlight w:val="none"/>
        </w:rPr>
      </w:pPr>
      <w:r>
        <w:rPr>
          <w:rFonts w:hint="eastAsia"/>
          <w:color w:val="auto"/>
          <w:szCs w:val="21"/>
          <w:highlight w:val="none"/>
        </w:rPr>
        <w:t>（1）评审委员会按招标文件中规定的评审方法和标准，对符合性审查合格的投标文件进行综合比较与评价。</w:t>
      </w:r>
    </w:p>
    <w:p w14:paraId="6F573D54">
      <w:pPr>
        <w:spacing w:before="120" w:line="320" w:lineRule="atLeast"/>
        <w:ind w:firstLine="420" w:firstLineChars="200"/>
        <w:rPr>
          <w:color w:val="auto"/>
          <w:szCs w:val="21"/>
          <w:highlight w:val="none"/>
        </w:rPr>
      </w:pPr>
      <w:r>
        <w:rPr>
          <w:rFonts w:hint="eastAsia"/>
          <w:color w:val="auto"/>
          <w:szCs w:val="21"/>
          <w:highlight w:val="none"/>
        </w:rPr>
        <w:t>（2）评审委员会各成员独立对每个有效供应商的投标文件进行评价。评价有误的应及时进行修正。评分标准如有客观分定义，评审委员会所有成员的客观分评分分值应当一致。</w:t>
      </w:r>
    </w:p>
    <w:p w14:paraId="1667D2CD">
      <w:pPr>
        <w:spacing w:before="120" w:line="320" w:lineRule="atLeast"/>
        <w:ind w:firstLine="420" w:firstLineChars="200"/>
        <w:rPr>
          <w:color w:val="auto"/>
          <w:szCs w:val="21"/>
          <w:highlight w:val="none"/>
        </w:rPr>
      </w:pPr>
      <w:r>
        <w:rPr>
          <w:rFonts w:hint="eastAsia"/>
          <w:color w:val="auto"/>
          <w:szCs w:val="21"/>
          <w:highlight w:val="none"/>
        </w:rPr>
        <w:t>（3）评审委员会按综合评分由高到低的排列顺序推荐中标候选人，中标候选人最多不超过3名。若中标候选人综合评分相同的，按投标报价由低到高顺序排列；综合评分且投标报价相同的</w:t>
      </w:r>
      <w:r>
        <w:rPr>
          <w:rFonts w:hint="eastAsia"/>
          <w:color w:val="auto"/>
          <w:highlight w:val="none"/>
        </w:rPr>
        <w:t>并列</w:t>
      </w:r>
      <w:r>
        <w:rPr>
          <w:rFonts w:hint="eastAsia"/>
          <w:color w:val="auto"/>
          <w:szCs w:val="21"/>
          <w:highlight w:val="none"/>
        </w:rPr>
        <w:t>；中标候选人并列的，按技术部分得分由高到低顺序排列，若综合评分、投标报价、技术部分均相同的，按商务部分得分由高到低顺序排列。</w:t>
      </w:r>
    </w:p>
    <w:p w14:paraId="6A4A6D20">
      <w:pPr>
        <w:spacing w:before="120" w:line="320" w:lineRule="atLeast"/>
        <w:ind w:firstLine="420" w:firstLineChars="200"/>
        <w:rPr>
          <w:color w:val="auto"/>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）评审委员会根据评审记录及评审结果编写评审报告，评审委员会成员均应当在评审报告上签字，对自己的评审意见承担法律责任。</w:t>
      </w:r>
      <w:r>
        <w:rPr>
          <w:rFonts w:hint="eastAsia"/>
          <w:color w:val="auto"/>
          <w:highlight w:val="none"/>
        </w:rPr>
        <w:t>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7057B4EF">
      <w:pPr>
        <w:spacing w:before="120" w:line="320" w:lineRule="atLeast"/>
        <w:ind w:firstLine="420" w:firstLineChars="200"/>
        <w:rPr>
          <w:color w:val="auto"/>
          <w:highlight w:val="none"/>
        </w:rPr>
      </w:pPr>
      <w:r>
        <w:rPr>
          <w:rFonts w:hint="eastAsia"/>
          <w:color w:val="auto"/>
          <w:highlight w:val="none"/>
        </w:rPr>
        <w:t>分值汇总计算错误的；分项评分超出评分标准范围的；评审委员会成员对客观评审因素评分不一致的；经评审委员会认定评分畸高、畸低的。</w:t>
      </w:r>
    </w:p>
    <w:p w14:paraId="6658CC0A">
      <w:pPr>
        <w:spacing w:before="120" w:line="320" w:lineRule="atLeast"/>
        <w:ind w:firstLine="422" w:firstLineChars="200"/>
        <w:outlineLvl w:val="2"/>
        <w:rPr>
          <w:b/>
          <w:color w:val="auto"/>
          <w:kern w:val="0"/>
          <w:szCs w:val="21"/>
          <w:highlight w:val="none"/>
        </w:rPr>
      </w:pPr>
      <w:r>
        <w:rPr>
          <w:b/>
          <w:color w:val="auto"/>
          <w:kern w:val="0"/>
          <w:szCs w:val="21"/>
          <w:highlight w:val="none"/>
        </w:rPr>
        <w:t>6.4</w:t>
      </w:r>
      <w:r>
        <w:rPr>
          <w:rFonts w:hint="eastAsia"/>
          <w:b/>
          <w:color w:val="auto"/>
          <w:kern w:val="0"/>
          <w:szCs w:val="21"/>
          <w:highlight w:val="none"/>
        </w:rPr>
        <w:t>确定中标人</w:t>
      </w:r>
    </w:p>
    <w:p w14:paraId="3E0394BD">
      <w:pPr>
        <w:spacing w:before="120" w:line="276" w:lineRule="auto"/>
        <w:ind w:firstLine="420" w:firstLineChars="200"/>
        <w:rPr>
          <w:color w:val="auto"/>
          <w:szCs w:val="21"/>
          <w:highlight w:val="none"/>
        </w:rPr>
      </w:pPr>
      <w:r>
        <w:rPr>
          <w:rFonts w:hint="eastAsia"/>
          <w:color w:val="auto"/>
          <w:szCs w:val="21"/>
          <w:highlight w:val="none"/>
        </w:rPr>
        <w:t>6.4</w:t>
      </w:r>
      <w:r>
        <w:rPr>
          <w:color w:val="auto"/>
          <w:szCs w:val="21"/>
          <w:highlight w:val="none"/>
        </w:rPr>
        <w:t>.1</w:t>
      </w:r>
      <w:r>
        <w:rPr>
          <w:rFonts w:hint="eastAsia"/>
          <w:color w:val="auto"/>
          <w:szCs w:val="21"/>
          <w:highlight w:val="none"/>
        </w:rPr>
        <w:t>采购代理机构在评审结束后2个工作日内将评审报告送采购人，采购人在5个工作日内按照评审报告中推荐的中标候选人顺序确定中标人。中标候选人并列的，由采购人或者采购人委托评标委员会按照招标文件规定的方式确定中标人；招标文件未规定的，采取随机抽取的方式确定。</w:t>
      </w:r>
    </w:p>
    <w:p w14:paraId="52DDB0F9">
      <w:pPr>
        <w:spacing w:before="120" w:line="276" w:lineRule="auto"/>
        <w:ind w:firstLine="420" w:firstLineChars="200"/>
        <w:rPr>
          <w:color w:val="auto"/>
          <w:szCs w:val="21"/>
          <w:highlight w:val="none"/>
        </w:rPr>
      </w:pPr>
      <w:r>
        <w:rPr>
          <w:color w:val="auto"/>
          <w:szCs w:val="21"/>
          <w:highlight w:val="none"/>
        </w:rPr>
        <w:t>6.4.2</w:t>
      </w:r>
      <w:r>
        <w:rPr>
          <w:rFonts w:hint="eastAsia"/>
          <w:color w:val="auto"/>
          <w:szCs w:val="21"/>
          <w:highlight w:val="none"/>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7B46662F">
      <w:pPr>
        <w:spacing w:before="120" w:line="320" w:lineRule="atLeast"/>
        <w:ind w:firstLine="422" w:firstLineChars="200"/>
        <w:outlineLvl w:val="2"/>
        <w:rPr>
          <w:b/>
          <w:color w:val="auto"/>
          <w:kern w:val="0"/>
          <w:szCs w:val="21"/>
          <w:highlight w:val="none"/>
        </w:rPr>
      </w:pPr>
      <w:r>
        <w:rPr>
          <w:b/>
          <w:color w:val="auto"/>
          <w:kern w:val="0"/>
          <w:szCs w:val="21"/>
          <w:highlight w:val="none"/>
        </w:rPr>
        <w:t>6.5</w:t>
      </w:r>
      <w:r>
        <w:rPr>
          <w:rFonts w:hint="eastAsia"/>
          <w:b/>
          <w:color w:val="auto"/>
          <w:kern w:val="0"/>
          <w:szCs w:val="21"/>
          <w:highlight w:val="none"/>
        </w:rPr>
        <w:t>结果公告</w:t>
      </w:r>
    </w:p>
    <w:p w14:paraId="72A2F679">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.5.1</w:t>
      </w:r>
      <w:r>
        <w:rPr>
          <w:rFonts w:hint="eastAsia"/>
          <w:color w:val="auto"/>
          <w:szCs w:val="21"/>
          <w:highlight w:val="none"/>
        </w:rPr>
        <w:t>自中标人确定后2个工作日内，采购代理机构按照投标人须知前附表的规定公告中标结果，</w:t>
      </w:r>
      <w:r>
        <w:rPr>
          <w:rFonts w:hint="eastAsia"/>
          <w:color w:val="auto"/>
          <w:highlight w:val="none"/>
        </w:rPr>
        <w:t>中标结果公告期限为1个工作日，发布中标结果公告的同时向中标人发出中标通知书。采购代理机构发出中标通知书前，应当对中标人信用进行核实，对列入失信被执行人、重大税收违法案件当事人名 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以上信息查询记录及相关证据与采购文件一并保存。</w:t>
      </w:r>
    </w:p>
    <w:p w14:paraId="2CB41556">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.5.2</w:t>
      </w:r>
      <w:r>
        <w:rPr>
          <w:rFonts w:hint="eastAsia"/>
          <w:color w:val="auto"/>
          <w:szCs w:val="21"/>
          <w:highlight w:val="none"/>
        </w:rPr>
        <w:t>在发布结果公告的同时，采购代理机构以投标人须知前附表规定的形式向中标人发出中标通知书。中标通知书发出后，采购人改变中标结果，或者中标人放弃中标，应当承担相应的法律责任。</w:t>
      </w:r>
    </w:p>
    <w:p w14:paraId="6831EF04">
      <w:pPr>
        <w:spacing w:before="120" w:line="320" w:lineRule="atLeast"/>
        <w:ind w:firstLine="420" w:firstLineChars="200"/>
        <w:rPr>
          <w:b/>
          <w:color w:val="auto"/>
          <w:kern w:val="0"/>
          <w:szCs w:val="21"/>
          <w:highlight w:val="none"/>
        </w:rPr>
      </w:pPr>
      <w:r>
        <w:rPr>
          <w:rFonts w:hint="eastAsia"/>
          <w:color w:val="auto"/>
          <w:szCs w:val="21"/>
          <w:highlight w:val="none"/>
        </w:rPr>
        <w:t>6</w:t>
      </w:r>
      <w:r>
        <w:rPr>
          <w:color w:val="auto"/>
          <w:szCs w:val="21"/>
          <w:highlight w:val="none"/>
        </w:rPr>
        <w:t>.5.3</w:t>
      </w:r>
      <w:r>
        <w:rPr>
          <w:rFonts w:hint="eastAsia"/>
          <w:color w:val="auto"/>
          <w:szCs w:val="21"/>
          <w:highlight w:val="none"/>
        </w:rPr>
        <w:t>在发布结果公告的同时，采购代理机构以投标人须知前附表规定的形式向未中标人发出招标结果通知书，供应商自行承担未及时查收的后果。</w:t>
      </w:r>
    </w:p>
    <w:p w14:paraId="7D79D592">
      <w:pPr>
        <w:suppressAutoHyphens/>
        <w:spacing w:before="120" w:line="320" w:lineRule="atLeast"/>
        <w:ind w:firstLine="422" w:firstLineChars="200"/>
        <w:outlineLvl w:val="2"/>
        <w:rPr>
          <w:b/>
          <w:color w:val="auto"/>
          <w:kern w:val="0"/>
          <w:szCs w:val="21"/>
          <w:highlight w:val="none"/>
        </w:rPr>
      </w:pPr>
      <w:r>
        <w:rPr>
          <w:b/>
          <w:color w:val="auto"/>
          <w:kern w:val="0"/>
          <w:szCs w:val="21"/>
          <w:highlight w:val="none"/>
        </w:rPr>
        <w:t>6.6</w:t>
      </w:r>
      <w:r>
        <w:rPr>
          <w:rFonts w:hint="eastAsia"/>
          <w:b/>
          <w:color w:val="auto"/>
          <w:kern w:val="0"/>
          <w:szCs w:val="21"/>
          <w:highlight w:val="none"/>
        </w:rPr>
        <w:t>废标</w:t>
      </w:r>
    </w:p>
    <w:p w14:paraId="6E0ED334">
      <w:pPr>
        <w:spacing w:before="120" w:line="320" w:lineRule="atLeast"/>
        <w:ind w:firstLine="420" w:firstLineChars="200"/>
        <w:rPr>
          <w:color w:val="auto"/>
          <w:kern w:val="1"/>
          <w:szCs w:val="21"/>
          <w:highlight w:val="none"/>
        </w:rPr>
      </w:pPr>
      <w:r>
        <w:rPr>
          <w:color w:val="auto"/>
          <w:kern w:val="1"/>
          <w:szCs w:val="21"/>
          <w:highlight w:val="none"/>
        </w:rPr>
        <w:t>6.6.1</w:t>
      </w:r>
      <w:r>
        <w:rPr>
          <w:rFonts w:hint="eastAsia"/>
          <w:color w:val="auto"/>
          <w:kern w:val="1"/>
          <w:szCs w:val="21"/>
          <w:highlight w:val="none"/>
        </w:rPr>
        <w:t xml:space="preserve">出现下列情形之一，将导致项目废标： </w:t>
      </w:r>
    </w:p>
    <w:p w14:paraId="56DEF948">
      <w:pPr>
        <w:spacing w:before="120" w:line="320" w:lineRule="atLeast"/>
        <w:ind w:firstLine="420" w:firstLineChars="200"/>
        <w:rPr>
          <w:color w:val="auto"/>
          <w:szCs w:val="21"/>
          <w:highlight w:val="none"/>
        </w:rPr>
      </w:pPr>
      <w:r>
        <w:rPr>
          <w:rFonts w:hint="eastAsia"/>
          <w:color w:val="auto"/>
          <w:kern w:val="1"/>
          <w:szCs w:val="21"/>
          <w:highlight w:val="none"/>
        </w:rPr>
        <w:t>（1</w:t>
      </w:r>
      <w:r>
        <w:rPr>
          <w:rFonts w:hint="eastAsia"/>
          <w:color w:val="auto"/>
          <w:szCs w:val="21"/>
          <w:highlight w:val="none"/>
        </w:rPr>
        <w:t>）符合专业条件的供应商或者对招标文件做实质性响应的供应商不足三家；</w:t>
      </w:r>
    </w:p>
    <w:p w14:paraId="49723CA3">
      <w:pPr>
        <w:spacing w:before="120" w:line="320" w:lineRule="atLeast"/>
        <w:ind w:firstLine="420" w:firstLineChars="200"/>
        <w:rPr>
          <w:color w:val="auto"/>
          <w:szCs w:val="21"/>
          <w:highlight w:val="none"/>
        </w:rPr>
      </w:pPr>
      <w:r>
        <w:rPr>
          <w:rFonts w:hint="eastAsia"/>
          <w:color w:val="auto"/>
          <w:szCs w:val="21"/>
          <w:highlight w:val="none"/>
        </w:rPr>
        <w:t>（2）出现影响采购公正的违法、违规行为的；</w:t>
      </w:r>
    </w:p>
    <w:p w14:paraId="0554E447">
      <w:pPr>
        <w:spacing w:before="120" w:line="320" w:lineRule="atLeast"/>
        <w:ind w:firstLine="420" w:firstLineChars="200"/>
        <w:rPr>
          <w:color w:val="auto"/>
          <w:szCs w:val="21"/>
          <w:highlight w:val="none"/>
        </w:rPr>
      </w:pPr>
      <w:r>
        <w:rPr>
          <w:rFonts w:hint="eastAsia"/>
          <w:color w:val="auto"/>
          <w:szCs w:val="21"/>
          <w:highlight w:val="none"/>
        </w:rPr>
        <w:t>（3）供应商的报价均超过了采购预算，采购人不能支付的；</w:t>
      </w:r>
    </w:p>
    <w:p w14:paraId="5B20E382">
      <w:pPr>
        <w:spacing w:before="120" w:line="320" w:lineRule="atLeast"/>
        <w:ind w:firstLine="420" w:firstLineChars="200"/>
        <w:rPr>
          <w:color w:val="auto"/>
          <w:highlight w:val="none"/>
        </w:rPr>
      </w:pPr>
      <w:r>
        <w:rPr>
          <w:rFonts w:hint="eastAsia"/>
          <w:color w:val="auto"/>
          <w:szCs w:val="21"/>
          <w:highlight w:val="none"/>
        </w:rPr>
        <w:t>（4）</w:t>
      </w:r>
      <w:r>
        <w:rPr>
          <w:rFonts w:hint="eastAsia"/>
          <w:color w:val="auto"/>
          <w:highlight w:val="none"/>
        </w:rPr>
        <w:t>因发生重大变故或采购任务取消的。</w:t>
      </w:r>
    </w:p>
    <w:p w14:paraId="76EFBB78">
      <w:pPr>
        <w:spacing w:before="120" w:line="320" w:lineRule="atLeast"/>
        <w:ind w:firstLine="420" w:firstLineChars="200"/>
        <w:rPr>
          <w:color w:val="auto"/>
          <w:szCs w:val="21"/>
          <w:highlight w:val="none"/>
        </w:rPr>
      </w:pPr>
      <w:r>
        <w:rPr>
          <w:color w:val="auto"/>
          <w:kern w:val="1"/>
          <w:szCs w:val="21"/>
          <w:highlight w:val="none"/>
        </w:rPr>
        <w:t>6.6.2</w:t>
      </w:r>
      <w:r>
        <w:rPr>
          <w:rFonts w:hint="eastAsia"/>
          <w:color w:val="auto"/>
          <w:kern w:val="1"/>
          <w:szCs w:val="21"/>
          <w:highlight w:val="none"/>
        </w:rPr>
        <w:t>废标后</w:t>
      </w:r>
      <w:r>
        <w:rPr>
          <w:rFonts w:hint="eastAsia"/>
          <w:color w:val="auto"/>
          <w:szCs w:val="21"/>
          <w:highlight w:val="none"/>
        </w:rPr>
        <w:t>采购</w:t>
      </w:r>
      <w:r>
        <w:rPr>
          <w:rFonts w:hint="eastAsia"/>
          <w:color w:val="auto"/>
          <w:kern w:val="1"/>
          <w:szCs w:val="21"/>
          <w:highlight w:val="none"/>
        </w:rPr>
        <w:t>代理机构将发布废标公告通知供应商。</w:t>
      </w:r>
    </w:p>
    <w:p w14:paraId="7D5AE377">
      <w:pPr>
        <w:spacing w:before="120" w:line="320" w:lineRule="atLeast"/>
        <w:ind w:left="2" w:leftChars="1" w:firstLine="422" w:firstLineChars="200"/>
        <w:outlineLvl w:val="1"/>
        <w:rPr>
          <w:b/>
          <w:color w:val="auto"/>
          <w:kern w:val="0"/>
          <w:szCs w:val="21"/>
          <w:highlight w:val="none"/>
        </w:rPr>
      </w:pPr>
      <w:r>
        <w:rPr>
          <w:b/>
          <w:color w:val="auto"/>
          <w:kern w:val="0"/>
          <w:szCs w:val="21"/>
          <w:highlight w:val="none"/>
        </w:rPr>
        <w:t>7</w:t>
      </w:r>
      <w:r>
        <w:rPr>
          <w:rFonts w:hint="eastAsia"/>
          <w:b/>
          <w:color w:val="auto"/>
          <w:kern w:val="0"/>
          <w:szCs w:val="21"/>
          <w:highlight w:val="none"/>
        </w:rPr>
        <w:t>．合同</w:t>
      </w:r>
    </w:p>
    <w:p w14:paraId="30C1FD8A">
      <w:pPr>
        <w:spacing w:before="120" w:line="320" w:lineRule="atLeast"/>
        <w:ind w:firstLine="422" w:firstLineChars="200"/>
        <w:outlineLvl w:val="2"/>
        <w:rPr>
          <w:b/>
          <w:color w:val="auto"/>
          <w:kern w:val="0"/>
          <w:szCs w:val="21"/>
          <w:highlight w:val="none"/>
        </w:rPr>
      </w:pPr>
      <w:r>
        <w:rPr>
          <w:b/>
          <w:color w:val="auto"/>
          <w:kern w:val="0"/>
          <w:szCs w:val="21"/>
          <w:highlight w:val="none"/>
        </w:rPr>
        <w:t>7.1</w:t>
      </w:r>
      <w:r>
        <w:rPr>
          <w:rFonts w:hint="eastAsia"/>
          <w:b/>
          <w:color w:val="auto"/>
          <w:kern w:val="0"/>
          <w:szCs w:val="21"/>
          <w:highlight w:val="none"/>
        </w:rPr>
        <w:t>合同授予标准</w:t>
      </w:r>
    </w:p>
    <w:p w14:paraId="00AA8BBC">
      <w:pPr>
        <w:spacing w:before="120" w:line="320" w:lineRule="atLeast"/>
        <w:ind w:firstLine="420" w:firstLineChars="200"/>
        <w:rPr>
          <w:color w:val="auto"/>
          <w:szCs w:val="21"/>
          <w:highlight w:val="none"/>
        </w:rPr>
      </w:pPr>
      <w:r>
        <w:rPr>
          <w:rFonts w:hint="eastAsia"/>
          <w:color w:val="auto"/>
          <w:szCs w:val="21"/>
          <w:highlight w:val="none"/>
        </w:rPr>
        <w:t>合同将授予被确定实质上响应招标文件要求，具备履行合同能力，综合评分排名第一的供应商。在中标通知书发出前或签订合同前，如果中标人的组织机构、经营、财务状况发生较大变化，可能造成不能履行合同、无法按照招标文件要求提交履约保证金等情形，不符合中标条件或不满足供应商资格条件要求 ，应在中标通知书发出前或签订合同前及时书面告知采购人，未主动告知，给采购人造成损失的，采购人有权取消其中标资格并没收投标保证金。</w:t>
      </w:r>
    </w:p>
    <w:p w14:paraId="2FD6C7BA">
      <w:pPr>
        <w:spacing w:before="120" w:line="320" w:lineRule="atLeast"/>
        <w:ind w:firstLine="422" w:firstLineChars="200"/>
        <w:outlineLvl w:val="2"/>
        <w:rPr>
          <w:b/>
          <w:color w:val="auto"/>
          <w:kern w:val="0"/>
          <w:szCs w:val="21"/>
          <w:highlight w:val="none"/>
        </w:rPr>
      </w:pPr>
      <w:r>
        <w:rPr>
          <w:b/>
          <w:color w:val="auto"/>
          <w:kern w:val="0"/>
          <w:szCs w:val="21"/>
          <w:highlight w:val="none"/>
        </w:rPr>
        <w:t>7.2</w:t>
      </w:r>
      <w:r>
        <w:rPr>
          <w:rFonts w:hint="eastAsia"/>
          <w:b/>
          <w:color w:val="auto"/>
          <w:kern w:val="0"/>
          <w:szCs w:val="21"/>
          <w:highlight w:val="none"/>
        </w:rPr>
        <w:t>签订合同</w:t>
      </w:r>
    </w:p>
    <w:p w14:paraId="3674EC6C">
      <w:pPr>
        <w:spacing w:before="120" w:line="320" w:lineRule="atLeast"/>
        <w:ind w:firstLine="420" w:firstLineChars="200"/>
        <w:rPr>
          <w:color w:val="auto"/>
          <w:szCs w:val="21"/>
          <w:highlight w:val="none"/>
        </w:rPr>
      </w:pPr>
      <w:bookmarkStart w:id="65" w:name="_Hlk93421039"/>
      <w:r>
        <w:rPr>
          <w:color w:val="auto"/>
          <w:szCs w:val="21"/>
          <w:highlight w:val="none"/>
        </w:rPr>
        <w:t>7.2.1</w:t>
      </w:r>
      <w:r>
        <w:rPr>
          <w:rFonts w:hint="eastAsia"/>
          <w:color w:val="auto"/>
          <w:szCs w:val="21"/>
          <w:highlight w:val="none"/>
        </w:rPr>
        <w:t>如招标文件无特别规定，中标人按招标文件确定的事项签订政府采购合同。</w:t>
      </w:r>
    </w:p>
    <w:p w14:paraId="3FC12FB0">
      <w:pPr>
        <w:spacing w:before="120" w:line="320" w:lineRule="atLeast"/>
        <w:ind w:firstLine="420" w:firstLineChars="200"/>
        <w:rPr>
          <w:color w:val="auto"/>
          <w:szCs w:val="21"/>
          <w:highlight w:val="none"/>
        </w:rPr>
      </w:pPr>
      <w:r>
        <w:rPr>
          <w:color w:val="auto"/>
          <w:szCs w:val="21"/>
          <w:highlight w:val="none"/>
        </w:rPr>
        <w:t>7.2.2</w:t>
      </w:r>
      <w:r>
        <w:rPr>
          <w:rFonts w:hint="eastAsia"/>
          <w:color w:val="auto"/>
          <w:szCs w:val="21"/>
          <w:highlight w:val="none"/>
        </w:rPr>
        <w:t>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64EE8C44">
      <w:pPr>
        <w:spacing w:before="120" w:line="320" w:lineRule="atLeast"/>
        <w:ind w:firstLine="420" w:firstLineChars="200"/>
        <w:rPr>
          <w:color w:val="auto"/>
          <w:szCs w:val="21"/>
          <w:highlight w:val="none"/>
        </w:rPr>
      </w:pPr>
      <w:r>
        <w:rPr>
          <w:color w:val="auto"/>
          <w:szCs w:val="21"/>
          <w:highlight w:val="none"/>
        </w:rPr>
        <w:t>7.2.3</w:t>
      </w:r>
      <w:r>
        <w:rPr>
          <w:rFonts w:hint="eastAsia"/>
          <w:color w:val="auto"/>
          <w:szCs w:val="21"/>
          <w:highlight w:val="none"/>
        </w:rPr>
        <w:t>如中标人不按中标通知书的规定签订合同，其投标保证金将不予退还，并报由同级政府采购监督管理部门处理。</w:t>
      </w:r>
    </w:p>
    <w:p w14:paraId="59F21E81">
      <w:pPr>
        <w:spacing w:before="120" w:line="320" w:lineRule="atLeast"/>
        <w:ind w:firstLine="420" w:firstLineChars="200"/>
        <w:rPr>
          <w:color w:val="auto"/>
          <w:szCs w:val="21"/>
          <w:highlight w:val="none"/>
        </w:rPr>
      </w:pPr>
      <w:r>
        <w:rPr>
          <w:rFonts w:hint="eastAsia"/>
          <w:color w:val="auto"/>
          <w:szCs w:val="21"/>
          <w:highlight w:val="none"/>
        </w:rPr>
        <w:t>7</w:t>
      </w:r>
      <w:r>
        <w:rPr>
          <w:color w:val="auto"/>
          <w:szCs w:val="21"/>
          <w:highlight w:val="none"/>
        </w:rPr>
        <w:t>.2.4</w:t>
      </w:r>
      <w:r>
        <w:rPr>
          <w:rFonts w:hint="eastAsia"/>
          <w:color w:val="auto"/>
          <w:szCs w:val="21"/>
          <w:highlight w:val="none"/>
        </w:rPr>
        <w:t>中标人拒绝与采购人签订合同的，采购人可以按照评审报告推荐的中标候选人名单排序，确定下一候选人为中标人，也可以重新开展政府采购活动。</w:t>
      </w:r>
    </w:p>
    <w:p w14:paraId="5E8A654E">
      <w:pPr>
        <w:spacing w:before="120" w:line="320" w:lineRule="atLeast"/>
        <w:ind w:firstLine="420" w:firstLineChars="200"/>
        <w:rPr>
          <w:color w:val="auto"/>
          <w:szCs w:val="21"/>
          <w:highlight w:val="none"/>
        </w:rPr>
      </w:pPr>
      <w:r>
        <w:rPr>
          <w:rFonts w:hint="eastAsia"/>
          <w:color w:val="auto"/>
          <w:szCs w:val="21"/>
          <w:highlight w:val="none"/>
        </w:rPr>
        <w:t>7</w:t>
      </w:r>
      <w:r>
        <w:rPr>
          <w:color w:val="auto"/>
          <w:szCs w:val="21"/>
          <w:highlight w:val="none"/>
        </w:rPr>
        <w:t>.2.5</w:t>
      </w:r>
      <w:r>
        <w:rPr>
          <w:rFonts w:hint="eastAsia"/>
          <w:color w:val="auto"/>
          <w:szCs w:val="21"/>
          <w:highlight w:val="none"/>
        </w:rPr>
        <w:t>采购人因不可抗力原因迟延签订合同的，应当自不可抗力事由消除之日起5个工作日内完成合同签订事宜。</w:t>
      </w:r>
    </w:p>
    <w:bookmarkEnd w:id="65"/>
    <w:p w14:paraId="6E6B0295">
      <w:pPr>
        <w:spacing w:before="120" w:line="320" w:lineRule="atLeast"/>
        <w:ind w:firstLine="422" w:firstLineChars="200"/>
        <w:outlineLvl w:val="2"/>
        <w:rPr>
          <w:b/>
          <w:color w:val="auto"/>
          <w:kern w:val="0"/>
          <w:szCs w:val="21"/>
          <w:highlight w:val="none"/>
        </w:rPr>
      </w:pPr>
      <w:r>
        <w:rPr>
          <w:b/>
          <w:color w:val="auto"/>
          <w:kern w:val="0"/>
          <w:szCs w:val="21"/>
          <w:highlight w:val="none"/>
        </w:rPr>
        <w:t>7.3</w:t>
      </w:r>
      <w:r>
        <w:rPr>
          <w:rFonts w:hint="eastAsia"/>
          <w:b/>
          <w:color w:val="auto"/>
          <w:kern w:val="0"/>
          <w:szCs w:val="21"/>
          <w:highlight w:val="none"/>
        </w:rPr>
        <w:t>合同公告</w:t>
      </w:r>
    </w:p>
    <w:p w14:paraId="78D589A7">
      <w:pPr>
        <w:spacing w:before="120" w:line="320" w:lineRule="atLeast"/>
        <w:ind w:firstLine="420" w:firstLineChars="200"/>
        <w:rPr>
          <w:color w:val="auto"/>
          <w:szCs w:val="21"/>
          <w:highlight w:val="none"/>
        </w:rPr>
      </w:pPr>
      <w:bookmarkStart w:id="66" w:name="_Hlk93421052"/>
      <w:r>
        <w:rPr>
          <w:color w:val="auto"/>
          <w:szCs w:val="21"/>
          <w:highlight w:val="none"/>
        </w:rPr>
        <w:t>7.3.1</w:t>
      </w:r>
      <w:r>
        <w:rPr>
          <w:rFonts w:hint="eastAsia"/>
          <w:color w:val="auto"/>
          <w:szCs w:val="21"/>
          <w:highlight w:val="none"/>
        </w:rPr>
        <w:t>如招标文件无特殊规定，中标人应在签订合同后1个工作日内，将政府采购合同副本送采购代理机构存档。</w:t>
      </w:r>
    </w:p>
    <w:p w14:paraId="09C9DDB6">
      <w:pPr>
        <w:spacing w:before="120" w:line="320" w:lineRule="atLeast"/>
        <w:ind w:firstLine="420" w:firstLineChars="200"/>
        <w:rPr>
          <w:color w:val="auto"/>
          <w:szCs w:val="21"/>
          <w:highlight w:val="none"/>
        </w:rPr>
      </w:pPr>
      <w:r>
        <w:rPr>
          <w:color w:val="auto"/>
          <w:szCs w:val="21"/>
          <w:highlight w:val="none"/>
        </w:rPr>
        <w:t>7.3.2</w:t>
      </w:r>
      <w:r>
        <w:rPr>
          <w:rFonts w:hint="eastAsia"/>
          <w:color w:val="auto"/>
          <w:szCs w:val="21"/>
          <w:highlight w:val="none"/>
        </w:rPr>
        <w:t>采购人应当自政府采购合同签订之日起2个工作日内，将政府采购合同在省级以上人民政府财政部门指定的媒体上公告，但政府采购合同中涉及国家秘密、商业秘密的内容除外。</w:t>
      </w:r>
    </w:p>
    <w:p w14:paraId="0011C88A">
      <w:pPr>
        <w:spacing w:before="120" w:line="320" w:lineRule="atLeast"/>
        <w:ind w:firstLine="420" w:firstLineChars="200"/>
        <w:rPr>
          <w:color w:val="auto"/>
          <w:szCs w:val="21"/>
          <w:highlight w:val="none"/>
        </w:rPr>
      </w:pPr>
      <w:r>
        <w:rPr>
          <w:rFonts w:hint="eastAsia"/>
          <w:color w:val="auto"/>
          <w:szCs w:val="21"/>
          <w:highlight w:val="none"/>
        </w:rPr>
        <w:t>7</w:t>
      </w:r>
      <w:r>
        <w:rPr>
          <w:color w:val="auto"/>
          <w:szCs w:val="21"/>
          <w:highlight w:val="none"/>
        </w:rPr>
        <w:t xml:space="preserve">.3.3 </w:t>
      </w:r>
      <w:r>
        <w:rPr>
          <w:rFonts w:hint="eastAsia"/>
          <w:color w:val="auto"/>
          <w:szCs w:val="21"/>
          <w:highlight w:val="none"/>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p>
    <w:bookmarkEnd w:id="66"/>
    <w:p w14:paraId="479725CC">
      <w:pPr>
        <w:spacing w:before="120" w:line="320" w:lineRule="atLeast"/>
        <w:ind w:firstLine="422" w:firstLineChars="200"/>
        <w:outlineLvl w:val="2"/>
        <w:rPr>
          <w:b/>
          <w:color w:val="auto"/>
          <w:kern w:val="0"/>
          <w:szCs w:val="21"/>
          <w:highlight w:val="none"/>
        </w:rPr>
      </w:pPr>
      <w:r>
        <w:rPr>
          <w:b/>
          <w:color w:val="auto"/>
          <w:kern w:val="0"/>
          <w:szCs w:val="21"/>
          <w:highlight w:val="none"/>
        </w:rPr>
        <w:t xml:space="preserve">7.4 </w:t>
      </w:r>
      <w:r>
        <w:rPr>
          <w:rFonts w:hint="eastAsia"/>
          <w:b/>
          <w:color w:val="auto"/>
          <w:kern w:val="0"/>
          <w:szCs w:val="21"/>
          <w:highlight w:val="none"/>
        </w:rPr>
        <w:t>履行合同</w:t>
      </w:r>
    </w:p>
    <w:p w14:paraId="541AD72C">
      <w:pPr>
        <w:spacing w:before="120" w:line="320" w:lineRule="atLeast"/>
        <w:ind w:firstLine="420" w:firstLineChars="200"/>
        <w:rPr>
          <w:color w:val="auto"/>
          <w:szCs w:val="21"/>
          <w:highlight w:val="none"/>
        </w:rPr>
      </w:pPr>
      <w:bookmarkStart w:id="67" w:name="_Hlk93421061"/>
      <w:r>
        <w:rPr>
          <w:color w:val="auto"/>
          <w:szCs w:val="21"/>
          <w:highlight w:val="none"/>
        </w:rPr>
        <w:t>7.4.1</w:t>
      </w:r>
      <w:r>
        <w:rPr>
          <w:rFonts w:hint="eastAsia"/>
          <w:color w:val="auto"/>
          <w:szCs w:val="21"/>
          <w:highlight w:val="none"/>
        </w:rPr>
        <w:t>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bookmarkEnd w:id="67"/>
    <w:p w14:paraId="1DBFB446">
      <w:pPr>
        <w:spacing w:before="120" w:line="320" w:lineRule="atLeast"/>
        <w:ind w:firstLine="422" w:firstLineChars="200"/>
        <w:rPr>
          <w:b/>
          <w:color w:val="auto"/>
          <w:kern w:val="0"/>
          <w:szCs w:val="21"/>
          <w:highlight w:val="none"/>
        </w:rPr>
      </w:pPr>
      <w:r>
        <w:rPr>
          <w:b/>
          <w:color w:val="auto"/>
          <w:kern w:val="0"/>
          <w:szCs w:val="21"/>
          <w:highlight w:val="none"/>
        </w:rPr>
        <w:t>7.5</w:t>
      </w:r>
      <w:r>
        <w:rPr>
          <w:rFonts w:hint="eastAsia"/>
          <w:b/>
          <w:color w:val="auto"/>
          <w:kern w:val="0"/>
          <w:szCs w:val="21"/>
          <w:highlight w:val="none"/>
        </w:rPr>
        <w:t>履约验收</w:t>
      </w:r>
    </w:p>
    <w:p w14:paraId="14E54976">
      <w:pPr>
        <w:spacing w:before="120" w:line="320" w:lineRule="atLeast"/>
        <w:ind w:firstLine="420" w:firstLineChars="200"/>
        <w:rPr>
          <w:color w:val="auto"/>
          <w:szCs w:val="21"/>
          <w:highlight w:val="none"/>
        </w:rPr>
      </w:pPr>
      <w:bookmarkStart w:id="68" w:name="_Hlk93421069"/>
      <w:r>
        <w:rPr>
          <w:color w:val="auto"/>
          <w:szCs w:val="21"/>
          <w:highlight w:val="none"/>
        </w:rPr>
        <w:t>7.5.1</w:t>
      </w:r>
      <w:r>
        <w:rPr>
          <w:rFonts w:hint="eastAsia"/>
          <w:color w:val="auto"/>
          <w:szCs w:val="21"/>
          <w:highlight w:val="none"/>
        </w:rPr>
        <w:t>采购人可以根据政府采购项目具体情况自行组织验收，或者委托政府采购代理机构、国家认可的质量检测机构开展采购项目履约验收工作。</w:t>
      </w:r>
    </w:p>
    <w:p w14:paraId="1323F47B">
      <w:pPr>
        <w:spacing w:before="120" w:line="320" w:lineRule="atLeast"/>
        <w:ind w:firstLine="420" w:firstLineChars="200"/>
        <w:rPr>
          <w:color w:val="auto"/>
          <w:szCs w:val="21"/>
          <w:highlight w:val="none"/>
        </w:rPr>
      </w:pPr>
      <w:r>
        <w:rPr>
          <w:color w:val="auto"/>
          <w:szCs w:val="21"/>
          <w:highlight w:val="none"/>
        </w:rPr>
        <w:t>7.5.2</w:t>
      </w:r>
      <w:r>
        <w:rPr>
          <w:rFonts w:hint="eastAsia"/>
          <w:color w:val="auto"/>
          <w:szCs w:val="21"/>
          <w:highlight w:val="none"/>
        </w:rPr>
        <w:t>验收结果合格的，中标人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52F9A07B">
      <w:pPr>
        <w:spacing w:before="120" w:line="320" w:lineRule="atLeast"/>
        <w:ind w:firstLine="420" w:firstLineChars="200"/>
        <w:rPr>
          <w:color w:val="auto"/>
          <w:szCs w:val="21"/>
          <w:highlight w:val="none"/>
        </w:rPr>
      </w:pPr>
      <w:r>
        <w:rPr>
          <w:color w:val="auto"/>
          <w:szCs w:val="21"/>
          <w:highlight w:val="none"/>
        </w:rPr>
        <w:t>7.5.3</w:t>
      </w:r>
      <w:r>
        <w:rPr>
          <w:rFonts w:hint="eastAsia"/>
          <w:color w:val="auto"/>
          <w:szCs w:val="21"/>
          <w:highlight w:val="none"/>
        </w:rPr>
        <w:t>采购合同项目完成验收后，采购人应当将验收原始记录、验收书等资料作为该采购项目档案妥善保管，不得伪造、变造、隐匿或者销毁，验收资料保存期为采购结束之日起至少保存15年。</w:t>
      </w:r>
    </w:p>
    <w:p w14:paraId="1D53CF4E">
      <w:pPr>
        <w:spacing w:before="120" w:line="320" w:lineRule="atLeast"/>
        <w:ind w:firstLine="420" w:firstLineChars="200"/>
        <w:rPr>
          <w:color w:val="auto"/>
          <w:szCs w:val="21"/>
          <w:highlight w:val="none"/>
        </w:rPr>
      </w:pPr>
      <w:r>
        <w:rPr>
          <w:color w:val="auto"/>
          <w:szCs w:val="21"/>
          <w:highlight w:val="none"/>
        </w:rPr>
        <w:t>7.5.4</w:t>
      </w:r>
      <w:r>
        <w:rPr>
          <w:rFonts w:hint="eastAsia"/>
          <w:color w:val="auto"/>
          <w:szCs w:val="21"/>
          <w:highlight w:val="none"/>
        </w:rPr>
        <w:t>本项目将严格按照本招标文件及合同有关规定进行合同履约验收。招标文件或合同未规定的按财政部关于进一步加强政府采购需求和履约验收管理的指导意见（财库〔2016〕205号）以及《广西壮族自治区政府采购项目履约验收管理办法》（桂财采〔2015〕22号）的规定执行。</w:t>
      </w:r>
    </w:p>
    <w:bookmarkEnd w:id="68"/>
    <w:p w14:paraId="46899ADB">
      <w:pPr>
        <w:spacing w:before="120" w:line="320" w:lineRule="atLeast"/>
        <w:ind w:left="2" w:leftChars="1" w:firstLine="422" w:firstLineChars="200"/>
        <w:outlineLvl w:val="1"/>
        <w:rPr>
          <w:b/>
          <w:color w:val="auto"/>
          <w:kern w:val="0"/>
          <w:szCs w:val="21"/>
          <w:highlight w:val="none"/>
        </w:rPr>
      </w:pPr>
      <w:r>
        <w:rPr>
          <w:b/>
          <w:color w:val="auto"/>
          <w:kern w:val="0"/>
          <w:szCs w:val="21"/>
          <w:highlight w:val="none"/>
        </w:rPr>
        <w:t>8</w:t>
      </w:r>
      <w:r>
        <w:rPr>
          <w:rFonts w:hint="eastAsia"/>
          <w:b/>
          <w:color w:val="auto"/>
          <w:kern w:val="0"/>
          <w:szCs w:val="21"/>
          <w:highlight w:val="none"/>
        </w:rPr>
        <w:t>．质疑和投诉</w:t>
      </w:r>
    </w:p>
    <w:p w14:paraId="7AC9E9DF">
      <w:pPr>
        <w:spacing w:before="120" w:line="320" w:lineRule="atLeast"/>
        <w:ind w:firstLine="422" w:firstLineChars="200"/>
        <w:outlineLvl w:val="2"/>
        <w:rPr>
          <w:b/>
          <w:color w:val="auto"/>
          <w:kern w:val="0"/>
          <w:szCs w:val="21"/>
          <w:highlight w:val="none"/>
        </w:rPr>
      </w:pPr>
      <w:r>
        <w:rPr>
          <w:b/>
          <w:color w:val="auto"/>
          <w:kern w:val="0"/>
          <w:szCs w:val="21"/>
          <w:highlight w:val="none"/>
        </w:rPr>
        <w:t>8.1</w:t>
      </w:r>
      <w:r>
        <w:rPr>
          <w:rFonts w:hint="eastAsia"/>
          <w:b/>
          <w:color w:val="auto"/>
          <w:kern w:val="0"/>
          <w:szCs w:val="21"/>
          <w:highlight w:val="none"/>
        </w:rPr>
        <w:t>质疑</w:t>
      </w:r>
    </w:p>
    <w:p w14:paraId="52EBE90B">
      <w:pPr>
        <w:spacing w:before="120" w:line="320" w:lineRule="atLeast"/>
        <w:ind w:firstLine="420" w:firstLineChars="200"/>
        <w:rPr>
          <w:color w:val="auto"/>
          <w:szCs w:val="21"/>
          <w:highlight w:val="none"/>
        </w:rPr>
      </w:pPr>
      <w:r>
        <w:rPr>
          <w:color w:val="auto"/>
          <w:szCs w:val="21"/>
          <w:highlight w:val="none"/>
        </w:rPr>
        <w:t>8.1.1</w:t>
      </w:r>
      <w:r>
        <w:rPr>
          <w:rFonts w:hint="eastAsia"/>
          <w:color w:val="auto"/>
          <w:szCs w:val="21"/>
          <w:highlight w:val="none"/>
        </w:rPr>
        <w:t>质疑内容、时限</w:t>
      </w:r>
    </w:p>
    <w:p w14:paraId="1E95FE9C">
      <w:pPr>
        <w:spacing w:before="120" w:line="320" w:lineRule="atLeast"/>
        <w:ind w:firstLine="420" w:firstLineChars="200"/>
        <w:rPr>
          <w:color w:val="auto"/>
          <w:szCs w:val="21"/>
          <w:highlight w:val="none"/>
        </w:rPr>
      </w:pPr>
      <w:r>
        <w:rPr>
          <w:rFonts w:hint="eastAsia"/>
          <w:color w:val="auto"/>
          <w:szCs w:val="21"/>
          <w:highlight w:val="none"/>
        </w:rPr>
        <w:t>（1）供应商对政府采购活动有疑问的，可以向采购人或采购代理机构提出询问。采购人或者采购代理机构应当在3个工作日内对供应商依法提出的询问作出答复。</w:t>
      </w:r>
    </w:p>
    <w:p w14:paraId="526F6C81">
      <w:pPr>
        <w:spacing w:before="120" w:line="320" w:lineRule="atLeast"/>
        <w:ind w:firstLine="420" w:firstLineChars="200"/>
        <w:rPr>
          <w:color w:val="auto"/>
          <w:szCs w:val="21"/>
          <w:highlight w:val="none"/>
        </w:rPr>
      </w:pPr>
      <w:r>
        <w:rPr>
          <w:rFonts w:hint="eastAsia"/>
          <w:color w:val="auto"/>
          <w:szCs w:val="21"/>
          <w:highlight w:val="none"/>
        </w:rPr>
        <w:t>（2）供应商认为招标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0094B822">
      <w:pPr>
        <w:spacing w:before="120" w:line="320" w:lineRule="atLeast"/>
        <w:ind w:firstLine="420" w:firstLineChars="200"/>
        <w:rPr>
          <w:color w:val="auto"/>
          <w:szCs w:val="21"/>
          <w:highlight w:val="none"/>
        </w:rPr>
      </w:pPr>
      <w:r>
        <w:rPr>
          <w:color w:val="auto"/>
          <w:szCs w:val="21"/>
          <w:highlight w:val="none"/>
        </w:rPr>
        <w:t>8.1.2</w:t>
      </w:r>
      <w:r>
        <w:rPr>
          <w:rFonts w:hint="eastAsia"/>
          <w:color w:val="auto"/>
          <w:szCs w:val="21"/>
          <w:highlight w:val="none"/>
        </w:rPr>
        <w:t>质疑形式</w:t>
      </w:r>
    </w:p>
    <w:p w14:paraId="2F764334">
      <w:pPr>
        <w:spacing w:before="120" w:line="320" w:lineRule="atLeast"/>
        <w:ind w:firstLine="420" w:firstLineChars="200"/>
        <w:rPr>
          <w:color w:val="auto"/>
          <w:szCs w:val="21"/>
          <w:highlight w:val="none"/>
        </w:rPr>
      </w:pPr>
      <w:r>
        <w:rPr>
          <w:rFonts w:hint="eastAsia"/>
          <w:color w:val="auto"/>
          <w:szCs w:val="21"/>
          <w:highlight w:val="none"/>
        </w:rPr>
        <w:t>质疑应当采用投标人须知前附表所规定的形式，质疑书应明确阐述招标文件、采购过程或中标结果中使自己合法权益受到损害的实质性内容，提供相关事实、依据和证据及其来源或线索，便于有关单位调查、答复和处理。</w:t>
      </w:r>
    </w:p>
    <w:p w14:paraId="4687C8DB">
      <w:pPr>
        <w:spacing w:before="120" w:line="320" w:lineRule="atLeast"/>
        <w:ind w:firstLine="420" w:firstLineChars="200"/>
        <w:rPr>
          <w:color w:val="auto"/>
          <w:szCs w:val="21"/>
          <w:highlight w:val="none"/>
        </w:rPr>
      </w:pPr>
      <w:r>
        <w:rPr>
          <w:rFonts w:hint="eastAsia"/>
          <w:color w:val="auto"/>
          <w:szCs w:val="21"/>
          <w:highlight w:val="none"/>
        </w:rPr>
        <w:t>8</w:t>
      </w:r>
      <w:r>
        <w:rPr>
          <w:color w:val="auto"/>
          <w:szCs w:val="21"/>
          <w:highlight w:val="none"/>
        </w:rPr>
        <w:t>.1.3</w:t>
      </w:r>
      <w:r>
        <w:rPr>
          <w:rFonts w:hint="eastAsia"/>
          <w:color w:val="auto"/>
          <w:szCs w:val="21"/>
          <w:highlight w:val="none"/>
        </w:rPr>
        <w:t>供应商提出质疑应当提交质疑函和必要的证明材料。质疑函应当包括下列内容：</w:t>
      </w:r>
    </w:p>
    <w:p w14:paraId="3D54962A">
      <w:pPr>
        <w:spacing w:before="120" w:line="320" w:lineRule="atLeast"/>
        <w:ind w:firstLine="420" w:firstLineChars="200"/>
        <w:rPr>
          <w:color w:val="auto"/>
          <w:szCs w:val="21"/>
          <w:highlight w:val="none"/>
        </w:rPr>
      </w:pPr>
      <w:r>
        <w:rPr>
          <w:rFonts w:hint="eastAsia"/>
          <w:color w:val="auto"/>
          <w:szCs w:val="21"/>
          <w:highlight w:val="none"/>
        </w:rPr>
        <w:t>（1）</w:t>
      </w:r>
      <w:r>
        <w:rPr>
          <w:rFonts w:hint="eastAsia"/>
          <w:color w:val="auto"/>
          <w:szCs w:val="21"/>
          <w:highlight w:val="none"/>
        </w:rPr>
        <w:tab/>
      </w:r>
      <w:r>
        <w:rPr>
          <w:rFonts w:hint="eastAsia"/>
          <w:color w:val="auto"/>
          <w:szCs w:val="21"/>
          <w:highlight w:val="none"/>
        </w:rPr>
        <w:t>供应商的姓名或者名称、地址、邮编、联系人及联系电话；</w:t>
      </w:r>
    </w:p>
    <w:p w14:paraId="6446A712">
      <w:pPr>
        <w:spacing w:before="120" w:line="320" w:lineRule="atLeast"/>
        <w:ind w:firstLine="420" w:firstLineChars="200"/>
        <w:rPr>
          <w:color w:val="auto"/>
          <w:szCs w:val="21"/>
          <w:highlight w:val="none"/>
        </w:rPr>
      </w:pPr>
      <w:r>
        <w:rPr>
          <w:rFonts w:hint="eastAsia"/>
          <w:color w:val="auto"/>
          <w:szCs w:val="21"/>
          <w:highlight w:val="none"/>
        </w:rPr>
        <w:t>（2）</w:t>
      </w:r>
      <w:r>
        <w:rPr>
          <w:rFonts w:hint="eastAsia"/>
          <w:color w:val="auto"/>
          <w:szCs w:val="21"/>
          <w:highlight w:val="none"/>
        </w:rPr>
        <w:tab/>
      </w:r>
      <w:r>
        <w:rPr>
          <w:rFonts w:hint="eastAsia"/>
          <w:color w:val="auto"/>
          <w:szCs w:val="21"/>
          <w:highlight w:val="none"/>
        </w:rPr>
        <w:t>质疑项目的名称、编号；</w:t>
      </w:r>
    </w:p>
    <w:p w14:paraId="6AE05781">
      <w:pPr>
        <w:spacing w:before="120" w:line="320" w:lineRule="atLeast"/>
        <w:ind w:firstLine="420" w:firstLineChars="200"/>
        <w:rPr>
          <w:color w:val="auto"/>
          <w:szCs w:val="21"/>
          <w:highlight w:val="none"/>
        </w:rPr>
      </w:pPr>
      <w:r>
        <w:rPr>
          <w:rFonts w:hint="eastAsia"/>
          <w:color w:val="auto"/>
          <w:szCs w:val="21"/>
          <w:highlight w:val="none"/>
        </w:rPr>
        <w:t>（3）</w:t>
      </w:r>
      <w:r>
        <w:rPr>
          <w:rFonts w:hint="eastAsia"/>
          <w:color w:val="auto"/>
          <w:szCs w:val="21"/>
          <w:highlight w:val="none"/>
        </w:rPr>
        <w:tab/>
      </w:r>
      <w:r>
        <w:rPr>
          <w:rFonts w:hint="eastAsia"/>
          <w:color w:val="auto"/>
          <w:szCs w:val="21"/>
          <w:highlight w:val="none"/>
        </w:rPr>
        <w:t>具体、明确的质疑事项和与质疑事项相关的请求；</w:t>
      </w:r>
    </w:p>
    <w:p w14:paraId="60F6FC56">
      <w:pPr>
        <w:spacing w:before="120" w:line="320" w:lineRule="atLeast"/>
        <w:ind w:firstLine="420" w:firstLineChars="200"/>
        <w:rPr>
          <w:color w:val="auto"/>
          <w:szCs w:val="21"/>
          <w:highlight w:val="none"/>
        </w:rPr>
      </w:pPr>
      <w:r>
        <w:rPr>
          <w:rFonts w:hint="eastAsia"/>
          <w:color w:val="auto"/>
          <w:szCs w:val="21"/>
          <w:highlight w:val="none"/>
        </w:rPr>
        <w:t>（4）</w:t>
      </w:r>
      <w:r>
        <w:rPr>
          <w:rFonts w:hint="eastAsia"/>
          <w:color w:val="auto"/>
          <w:szCs w:val="21"/>
          <w:highlight w:val="none"/>
        </w:rPr>
        <w:tab/>
      </w:r>
      <w:r>
        <w:rPr>
          <w:rFonts w:hint="eastAsia"/>
          <w:color w:val="auto"/>
          <w:szCs w:val="21"/>
          <w:highlight w:val="none"/>
        </w:rPr>
        <w:t>事实依据；</w:t>
      </w:r>
    </w:p>
    <w:p w14:paraId="6D27788A">
      <w:pPr>
        <w:spacing w:before="120" w:line="320" w:lineRule="atLeast"/>
        <w:ind w:firstLine="420" w:firstLineChars="200"/>
        <w:rPr>
          <w:color w:val="auto"/>
          <w:szCs w:val="21"/>
          <w:highlight w:val="none"/>
        </w:rPr>
      </w:pPr>
      <w:r>
        <w:rPr>
          <w:rFonts w:hint="eastAsia"/>
          <w:color w:val="auto"/>
          <w:szCs w:val="21"/>
          <w:highlight w:val="none"/>
        </w:rPr>
        <w:t>（5）</w:t>
      </w:r>
      <w:r>
        <w:rPr>
          <w:rFonts w:hint="eastAsia"/>
          <w:color w:val="auto"/>
          <w:szCs w:val="21"/>
          <w:highlight w:val="none"/>
        </w:rPr>
        <w:tab/>
      </w:r>
      <w:r>
        <w:rPr>
          <w:rFonts w:hint="eastAsia"/>
          <w:color w:val="auto"/>
          <w:szCs w:val="21"/>
          <w:highlight w:val="none"/>
        </w:rPr>
        <w:t>必要的法律依据；</w:t>
      </w:r>
    </w:p>
    <w:p w14:paraId="502F3F3D">
      <w:pPr>
        <w:spacing w:before="120" w:line="320" w:lineRule="atLeast"/>
        <w:ind w:firstLine="420" w:firstLineChars="200"/>
        <w:rPr>
          <w:color w:val="auto"/>
          <w:szCs w:val="21"/>
          <w:highlight w:val="none"/>
        </w:rPr>
      </w:pPr>
      <w:r>
        <w:rPr>
          <w:rFonts w:hint="eastAsia"/>
          <w:color w:val="auto"/>
          <w:szCs w:val="21"/>
          <w:highlight w:val="none"/>
        </w:rPr>
        <w:t>（6）</w:t>
      </w:r>
      <w:r>
        <w:rPr>
          <w:rFonts w:hint="eastAsia"/>
          <w:color w:val="auto"/>
          <w:szCs w:val="21"/>
          <w:highlight w:val="none"/>
        </w:rPr>
        <w:tab/>
      </w:r>
      <w:r>
        <w:rPr>
          <w:rFonts w:hint="eastAsia"/>
          <w:color w:val="auto"/>
          <w:szCs w:val="21"/>
          <w:highlight w:val="none"/>
        </w:rPr>
        <w:t>提出质疑的日期。</w:t>
      </w:r>
    </w:p>
    <w:p w14:paraId="080206BB">
      <w:pPr>
        <w:spacing w:before="120" w:line="320" w:lineRule="atLeast"/>
        <w:ind w:firstLine="420" w:firstLineChars="200"/>
        <w:rPr>
          <w:color w:val="auto"/>
          <w:szCs w:val="21"/>
          <w:highlight w:val="none"/>
        </w:rPr>
      </w:pPr>
      <w:r>
        <w:rPr>
          <w:rFonts w:hint="eastAsia"/>
          <w:color w:val="auto"/>
          <w:szCs w:val="21"/>
          <w:highlight w:val="none"/>
        </w:rPr>
        <w:t>供应商为自然人的，应当由本人签字；供应商为法人或者其他组织的，应当由法定代表人、主要负责人，或者其授权代表签字或者盖章，并加盖公章。</w:t>
      </w:r>
    </w:p>
    <w:p w14:paraId="46BBC50A">
      <w:pPr>
        <w:spacing w:before="120" w:line="320" w:lineRule="atLeast"/>
        <w:ind w:firstLine="422" w:firstLineChars="200"/>
        <w:outlineLvl w:val="2"/>
        <w:rPr>
          <w:b/>
          <w:color w:val="auto"/>
          <w:kern w:val="0"/>
          <w:szCs w:val="21"/>
          <w:highlight w:val="none"/>
        </w:rPr>
      </w:pPr>
      <w:r>
        <w:rPr>
          <w:b/>
          <w:color w:val="auto"/>
          <w:kern w:val="0"/>
          <w:szCs w:val="21"/>
          <w:highlight w:val="none"/>
        </w:rPr>
        <w:t>8.2</w:t>
      </w:r>
      <w:r>
        <w:rPr>
          <w:rFonts w:hint="eastAsia"/>
          <w:b/>
          <w:color w:val="auto"/>
          <w:kern w:val="0"/>
          <w:szCs w:val="21"/>
          <w:highlight w:val="none"/>
        </w:rPr>
        <w:t>投诉</w:t>
      </w:r>
    </w:p>
    <w:p w14:paraId="7A326E69">
      <w:pPr>
        <w:spacing w:before="120" w:line="320" w:lineRule="atLeast"/>
        <w:ind w:firstLine="420" w:firstLineChars="200"/>
        <w:rPr>
          <w:color w:val="auto"/>
          <w:szCs w:val="21"/>
          <w:highlight w:val="none"/>
        </w:rPr>
      </w:pPr>
      <w:r>
        <w:rPr>
          <w:color w:val="auto"/>
          <w:szCs w:val="21"/>
          <w:highlight w:val="none"/>
        </w:rPr>
        <w:t>8.2.1</w:t>
      </w:r>
      <w:r>
        <w:rPr>
          <w:rFonts w:hint="eastAsia"/>
          <w:color w:val="auto"/>
          <w:szCs w:val="21"/>
          <w:highlight w:val="none"/>
        </w:rPr>
        <w:t>供应商对采购人、采购代理机构的答复不满意，或者采购人、采购代理机构未在规定时间内答复的，可在答复期满后15个工作日内按有关规定，向同级财政部门投诉。</w:t>
      </w:r>
    </w:p>
    <w:p w14:paraId="2292BE44">
      <w:pPr>
        <w:spacing w:before="120" w:line="320" w:lineRule="atLeast"/>
        <w:ind w:firstLine="420" w:firstLineChars="200"/>
        <w:rPr>
          <w:color w:val="auto"/>
          <w:szCs w:val="21"/>
          <w:highlight w:val="none"/>
        </w:rPr>
      </w:pPr>
      <w:r>
        <w:rPr>
          <w:color w:val="auto"/>
          <w:szCs w:val="21"/>
          <w:highlight w:val="none"/>
        </w:rPr>
        <w:t>8.2.</w:t>
      </w:r>
      <w:r>
        <w:rPr>
          <w:rFonts w:hint="eastAsia"/>
          <w:color w:val="auto"/>
          <w:szCs w:val="21"/>
          <w:highlight w:val="none"/>
        </w:rPr>
        <w:t>2投诉书应使用财政部发布的政府采购供应投诉书范本，并应按照“投诉书制作说明”进行编写。</w:t>
      </w:r>
    </w:p>
    <w:p w14:paraId="0CB6CC68">
      <w:pPr>
        <w:spacing w:before="120" w:line="320" w:lineRule="atLeast"/>
        <w:ind w:left="2" w:leftChars="1" w:firstLine="422" w:firstLineChars="200"/>
        <w:outlineLvl w:val="1"/>
        <w:rPr>
          <w:b/>
          <w:color w:val="auto"/>
          <w:kern w:val="0"/>
          <w:szCs w:val="21"/>
          <w:highlight w:val="none"/>
        </w:rPr>
      </w:pPr>
      <w:r>
        <w:rPr>
          <w:b/>
          <w:color w:val="auto"/>
          <w:kern w:val="0"/>
          <w:szCs w:val="21"/>
          <w:highlight w:val="none"/>
        </w:rPr>
        <w:t>9</w:t>
      </w:r>
      <w:r>
        <w:rPr>
          <w:rFonts w:hint="eastAsia"/>
          <w:b/>
          <w:color w:val="auto"/>
          <w:kern w:val="0"/>
          <w:szCs w:val="21"/>
          <w:highlight w:val="none"/>
        </w:rPr>
        <w:t>．其他事项</w:t>
      </w:r>
    </w:p>
    <w:p w14:paraId="2720CAA7">
      <w:pPr>
        <w:spacing w:before="120" w:line="320" w:lineRule="atLeast"/>
        <w:ind w:left="2" w:leftChars="1" w:firstLine="420" w:firstLineChars="200"/>
        <w:rPr>
          <w:color w:val="auto"/>
          <w:szCs w:val="21"/>
          <w:highlight w:val="none"/>
        </w:rPr>
      </w:pPr>
      <w:r>
        <w:rPr>
          <w:color w:val="auto"/>
          <w:szCs w:val="21"/>
          <w:highlight w:val="none"/>
        </w:rPr>
        <w:t>9.1</w:t>
      </w:r>
      <w:r>
        <w:rPr>
          <w:rFonts w:hint="eastAsia"/>
          <w:color w:val="auto"/>
          <w:szCs w:val="21"/>
          <w:highlight w:val="none"/>
        </w:rPr>
        <w:t>代理服务收费由采购代理机构向中标人收取。签订合同前，中标人应向采购代理机构一次付清代理服务费。</w:t>
      </w:r>
    </w:p>
    <w:p w14:paraId="7F159ACB">
      <w:pPr>
        <w:spacing w:before="120" w:line="320" w:lineRule="atLeast"/>
        <w:ind w:left="2" w:leftChars="1" w:firstLine="420" w:firstLineChars="200"/>
        <w:rPr>
          <w:color w:val="auto"/>
          <w:szCs w:val="21"/>
          <w:highlight w:val="none"/>
        </w:rPr>
      </w:pPr>
      <w:r>
        <w:rPr>
          <w:color w:val="auto"/>
          <w:szCs w:val="21"/>
          <w:highlight w:val="none"/>
        </w:rPr>
        <w:t>9.2</w:t>
      </w:r>
      <w:r>
        <w:rPr>
          <w:rFonts w:hint="eastAsia"/>
          <w:color w:val="auto"/>
          <w:szCs w:val="21"/>
          <w:highlight w:val="none"/>
        </w:rPr>
        <w:t>电子交易活动的中止。采购过程中出现以下情形，导致电子交易平台无法正常运行，或者无法保证电子交易的公平、公正和安全时，采购机构可中止电子交易活动：</w:t>
      </w:r>
    </w:p>
    <w:p w14:paraId="2905AA0E">
      <w:pPr>
        <w:spacing w:before="120" w:line="276" w:lineRule="auto"/>
        <w:ind w:firstLine="420" w:firstLineChars="200"/>
        <w:rPr>
          <w:color w:val="auto"/>
          <w:szCs w:val="21"/>
          <w:highlight w:val="none"/>
        </w:rPr>
      </w:pPr>
      <w:r>
        <w:rPr>
          <w:rFonts w:hint="eastAsia"/>
          <w:color w:val="auto"/>
          <w:szCs w:val="21"/>
          <w:highlight w:val="none"/>
        </w:rPr>
        <w:t xml:space="preserve">（1）电子交易平台发生故障而无法登录访问的； </w:t>
      </w:r>
    </w:p>
    <w:p w14:paraId="6C4514DA">
      <w:pPr>
        <w:spacing w:before="120" w:line="276" w:lineRule="auto"/>
        <w:ind w:firstLine="420" w:firstLineChars="200"/>
        <w:rPr>
          <w:color w:val="auto"/>
          <w:szCs w:val="21"/>
          <w:highlight w:val="none"/>
        </w:rPr>
      </w:pPr>
      <w:r>
        <w:rPr>
          <w:rFonts w:hint="eastAsia"/>
          <w:color w:val="auto"/>
          <w:szCs w:val="21"/>
          <w:highlight w:val="none"/>
        </w:rPr>
        <w:t>（2）电子交易平台应用或数据库出现错误，不能进行正常操作的；</w:t>
      </w:r>
    </w:p>
    <w:p w14:paraId="186FE5AB">
      <w:pPr>
        <w:spacing w:before="120" w:line="276" w:lineRule="auto"/>
        <w:ind w:firstLine="420" w:firstLineChars="200"/>
        <w:rPr>
          <w:color w:val="auto"/>
          <w:szCs w:val="21"/>
          <w:highlight w:val="none"/>
        </w:rPr>
      </w:pPr>
      <w:r>
        <w:rPr>
          <w:rFonts w:hint="eastAsia"/>
          <w:color w:val="auto"/>
          <w:szCs w:val="21"/>
          <w:highlight w:val="none"/>
        </w:rPr>
        <w:t>（3）电子交易平台发现严重安全漏洞，有潜在泄密危险的；</w:t>
      </w:r>
    </w:p>
    <w:p w14:paraId="7054A9B7">
      <w:pPr>
        <w:spacing w:before="120" w:line="276" w:lineRule="auto"/>
        <w:ind w:firstLine="420" w:firstLineChars="200"/>
        <w:rPr>
          <w:color w:val="auto"/>
          <w:szCs w:val="21"/>
          <w:highlight w:val="none"/>
        </w:rPr>
      </w:pPr>
      <w:r>
        <w:rPr>
          <w:rFonts w:hint="eastAsia"/>
          <w:color w:val="auto"/>
          <w:szCs w:val="21"/>
          <w:highlight w:val="none"/>
        </w:rPr>
        <w:t xml:space="preserve">（4）病毒发作导致不能进行正常操作的； </w:t>
      </w:r>
    </w:p>
    <w:p w14:paraId="3D578DE5">
      <w:pPr>
        <w:spacing w:before="120" w:line="276" w:lineRule="auto"/>
        <w:ind w:firstLine="420" w:firstLineChars="20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）其他无法保证电子交易的公平、公正和安全的情况。</w:t>
      </w:r>
    </w:p>
    <w:p w14:paraId="62D6E3A4">
      <w:pPr>
        <w:tabs>
          <w:tab w:val="left" w:pos="4820"/>
        </w:tabs>
        <w:spacing w:before="120" w:line="360" w:lineRule="auto"/>
        <w:ind w:firstLine="420" w:firstLineChars="200"/>
        <w:rPr>
          <w:color w:val="auto"/>
          <w:szCs w:val="21"/>
          <w:highlight w:val="none"/>
        </w:rPr>
      </w:pPr>
      <w:r>
        <w:rPr>
          <w:rFonts w:hint="eastAsia"/>
          <w:color w:val="auto"/>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8404459">
      <w:pPr>
        <w:spacing w:before="120" w:line="320" w:lineRule="atLeast"/>
        <w:ind w:left="2" w:leftChars="1" w:firstLine="420" w:firstLineChars="200"/>
        <w:rPr>
          <w:color w:val="auto"/>
          <w:szCs w:val="21"/>
          <w:highlight w:val="none"/>
        </w:rPr>
      </w:pPr>
      <w:r>
        <w:rPr>
          <w:color w:val="auto"/>
          <w:szCs w:val="21"/>
          <w:highlight w:val="none"/>
        </w:rPr>
        <w:t>9.3</w:t>
      </w:r>
      <w:r>
        <w:rPr>
          <w:rFonts w:hint="eastAsia"/>
          <w:color w:val="auto"/>
          <w:szCs w:val="21"/>
          <w:highlight w:val="none"/>
        </w:rPr>
        <w:t>本项目的附件及图纸详见投标人须知前附表。</w:t>
      </w:r>
    </w:p>
    <w:p w14:paraId="14CB9B93">
      <w:pPr>
        <w:spacing w:before="120" w:line="320" w:lineRule="atLeast"/>
        <w:ind w:left="2" w:leftChars="1" w:firstLine="420" w:firstLineChars="200"/>
        <w:rPr>
          <w:color w:val="auto"/>
          <w:szCs w:val="21"/>
          <w:highlight w:val="none"/>
        </w:rPr>
      </w:pPr>
      <w:r>
        <w:rPr>
          <w:color w:val="auto"/>
          <w:szCs w:val="21"/>
          <w:highlight w:val="none"/>
        </w:rPr>
        <w:t>9.4</w:t>
      </w:r>
      <w:r>
        <w:rPr>
          <w:rFonts w:hint="eastAsia"/>
          <w:color w:val="auto"/>
          <w:szCs w:val="21"/>
          <w:highlight w:val="none"/>
        </w:rPr>
        <w:t>本项目的其他事项详见投标人须知前附表。</w:t>
      </w:r>
    </w:p>
    <w:p w14:paraId="7203E198">
      <w:pPr>
        <w:spacing w:before="120" w:line="320" w:lineRule="atLeast"/>
        <w:ind w:left="2" w:leftChars="1" w:firstLine="422" w:firstLineChars="200"/>
        <w:outlineLvl w:val="1"/>
        <w:rPr>
          <w:b/>
          <w:color w:val="auto"/>
          <w:kern w:val="0"/>
          <w:szCs w:val="21"/>
          <w:highlight w:val="none"/>
        </w:rPr>
      </w:pPr>
      <w:r>
        <w:rPr>
          <w:b/>
          <w:color w:val="auto"/>
          <w:kern w:val="0"/>
          <w:szCs w:val="21"/>
          <w:highlight w:val="none"/>
        </w:rPr>
        <w:t>10</w:t>
      </w:r>
      <w:r>
        <w:rPr>
          <w:rFonts w:hint="eastAsia"/>
          <w:b/>
          <w:color w:val="auto"/>
          <w:kern w:val="0"/>
          <w:szCs w:val="21"/>
          <w:highlight w:val="none"/>
        </w:rPr>
        <w:t>．其他说明</w:t>
      </w:r>
    </w:p>
    <w:p w14:paraId="0BD4818E">
      <w:pPr>
        <w:spacing w:before="120" w:line="320" w:lineRule="atLeast"/>
        <w:ind w:left="2" w:leftChars="1" w:firstLine="420" w:firstLineChars="200"/>
        <w:rPr>
          <w:color w:val="auto"/>
          <w:kern w:val="0"/>
          <w:szCs w:val="21"/>
          <w:highlight w:val="none"/>
        </w:rPr>
      </w:pPr>
      <w:r>
        <w:rPr>
          <w:rFonts w:hint="eastAsia"/>
          <w:color w:val="auto"/>
          <w:kern w:val="0"/>
          <w:szCs w:val="21"/>
          <w:highlight w:val="none"/>
        </w:rPr>
        <w:t>1</w:t>
      </w:r>
      <w:r>
        <w:rPr>
          <w:color w:val="auto"/>
          <w:kern w:val="0"/>
          <w:szCs w:val="21"/>
          <w:highlight w:val="none"/>
        </w:rPr>
        <w:t>0.1</w:t>
      </w:r>
      <w:r>
        <w:rPr>
          <w:rFonts w:hint="eastAsia"/>
          <w:color w:val="auto"/>
          <w:kern w:val="0"/>
          <w:szCs w:val="21"/>
          <w:highlight w:val="none"/>
        </w:rPr>
        <w:t>其余未尽事宜按《中华人民共和国政府采购法》、《中华人民共和国政府采购法实施条例》的相关规定执行。</w:t>
      </w:r>
    </w:p>
    <w:p w14:paraId="2E23036D">
      <w:pPr>
        <w:spacing w:before="120" w:line="320" w:lineRule="atLeast"/>
        <w:ind w:left="2" w:leftChars="1" w:firstLine="420" w:firstLineChars="200"/>
        <w:outlineLvl w:val="1"/>
        <w:rPr>
          <w:color w:val="auto"/>
          <w:sz w:val="32"/>
          <w:szCs w:val="32"/>
          <w:highlight w:val="none"/>
        </w:rPr>
      </w:pPr>
      <w:r>
        <w:rPr>
          <w:color w:val="auto"/>
          <w:kern w:val="0"/>
          <w:szCs w:val="21"/>
          <w:highlight w:val="none"/>
        </w:rPr>
        <w:t>10.2</w:t>
      </w:r>
      <w:r>
        <w:rPr>
          <w:rFonts w:hint="eastAsia"/>
          <w:color w:val="auto"/>
          <w:highlight w:val="none"/>
        </w:rPr>
        <w:t>本招标文件是根据国家有关法律及有关政策、法规和参照国际惯例编制，解释权属采购代理机构。</w:t>
      </w:r>
    </w:p>
    <w:p w14:paraId="52BA9A25">
      <w:pPr>
        <w:pStyle w:val="27"/>
        <w:snapToGrid w:val="0"/>
        <w:spacing w:before="120" w:after="120"/>
        <w:jc w:val="center"/>
        <w:outlineLvl w:val="0"/>
        <w:rPr>
          <w:rFonts w:ascii="Arial" w:hAnsi="Arial" w:cs="Arial"/>
          <w:color w:val="auto"/>
          <w:sz w:val="32"/>
          <w:szCs w:val="32"/>
          <w:highlight w:val="none"/>
        </w:rPr>
      </w:pPr>
      <w:r>
        <w:rPr>
          <w:rFonts w:ascii="Arial" w:hAnsi="Arial" w:cs="Arial"/>
          <w:color w:val="auto"/>
          <w:highlight w:val="none"/>
        </w:rPr>
        <w:br w:type="page"/>
      </w:r>
      <w:bookmarkStart w:id="69" w:name="_Toc23753"/>
      <w:r>
        <w:rPr>
          <w:rStyle w:val="63"/>
          <w:rFonts w:ascii="Arial" w:hAnsi="Arial" w:cs="Arial"/>
          <w:color w:val="auto"/>
          <w:highlight w:val="none"/>
        </w:rPr>
        <w:t>第四章  评审方法及标准</w:t>
      </w:r>
      <w:bookmarkEnd w:id="69"/>
    </w:p>
    <w:bookmarkEnd w:id="26"/>
    <w:bookmarkEnd w:id="27"/>
    <w:p w14:paraId="1EB9A13C">
      <w:pPr>
        <w:spacing w:before="120" w:line="320" w:lineRule="atLeast"/>
        <w:ind w:firstLine="413" w:firstLineChars="196"/>
        <w:outlineLvl w:val="1"/>
        <w:rPr>
          <w:rFonts w:ascii="Arial" w:hAnsi="Arial" w:cs="Arial"/>
          <w:b/>
          <w:bCs/>
          <w:color w:val="auto"/>
          <w:kern w:val="0"/>
          <w:szCs w:val="21"/>
          <w:highlight w:val="none"/>
        </w:rPr>
      </w:pPr>
      <w:bookmarkStart w:id="70" w:name="_Hlk132879660"/>
      <w:bookmarkStart w:id="71" w:name="_Hlk132881389"/>
      <w:r>
        <w:rPr>
          <w:rFonts w:ascii="Arial" w:hAnsi="Arial" w:cs="Arial"/>
          <w:b/>
          <w:bCs/>
          <w:color w:val="auto"/>
          <w:kern w:val="0"/>
          <w:szCs w:val="21"/>
          <w:highlight w:val="none"/>
        </w:rPr>
        <w:t>一、评标方法</w:t>
      </w:r>
    </w:p>
    <w:p w14:paraId="3280336F">
      <w:pPr>
        <w:spacing w:before="120" w:line="320" w:lineRule="atLeast"/>
        <w:ind w:firstLine="411" w:firstLineChars="196"/>
        <w:outlineLvl w:val="1"/>
        <w:rPr>
          <w:rFonts w:ascii="Arial" w:hAnsi="Arial" w:cs="Arial"/>
          <w:bCs/>
          <w:color w:val="auto"/>
          <w:kern w:val="0"/>
          <w:szCs w:val="21"/>
          <w:highlight w:val="none"/>
        </w:rPr>
      </w:pPr>
      <w:r>
        <w:rPr>
          <w:rFonts w:ascii="Arial" w:hAnsi="Arial" w:cs="Arial"/>
          <w:bCs/>
          <w:color w:val="auto"/>
          <w:kern w:val="0"/>
          <w:szCs w:val="21"/>
          <w:highlight w:val="none"/>
        </w:rPr>
        <w:t>1、评标方法</w:t>
      </w:r>
    </w:p>
    <w:p w14:paraId="7970898A">
      <w:pPr>
        <w:suppressAutoHyphens/>
        <w:spacing w:before="120" w:line="320" w:lineRule="atLeast"/>
        <w:ind w:firstLine="420" w:firstLineChars="200"/>
        <w:rPr>
          <w:rFonts w:ascii="Arial" w:hAnsi="Arial" w:cs="Arial"/>
          <w:color w:val="auto"/>
          <w:highlight w:val="none"/>
        </w:rPr>
      </w:pPr>
      <w:r>
        <w:rPr>
          <w:rFonts w:ascii="Arial" w:hAnsi="Arial" w:cs="Arial"/>
          <w:color w:val="auto"/>
          <w:highlight w:val="none"/>
        </w:rPr>
        <w:t>本项目采用综合评分法进行评标。综合评分法，是指投标文件满足招标文件全部实质性要求且按照评标因素的量化指标评标得分最高的供应商为中标候选人的评标方法。</w:t>
      </w:r>
    </w:p>
    <w:p w14:paraId="2A548930">
      <w:pPr>
        <w:spacing w:before="120" w:line="320" w:lineRule="atLeast"/>
        <w:ind w:firstLine="411" w:firstLineChars="196"/>
        <w:outlineLvl w:val="1"/>
        <w:rPr>
          <w:rFonts w:ascii="Arial" w:hAnsi="Arial" w:cs="Arial"/>
          <w:color w:val="auto"/>
          <w:szCs w:val="21"/>
          <w:highlight w:val="none"/>
        </w:rPr>
      </w:pPr>
      <w:r>
        <w:rPr>
          <w:rFonts w:ascii="Arial" w:hAnsi="Arial" w:cs="Arial"/>
          <w:color w:val="auto"/>
          <w:szCs w:val="21"/>
          <w:highlight w:val="none"/>
        </w:rPr>
        <w:t>2、评标依据</w:t>
      </w:r>
    </w:p>
    <w:p w14:paraId="737EF6A3">
      <w:pPr>
        <w:suppressAutoHyphens/>
        <w:spacing w:before="120" w:line="320" w:lineRule="atLeast"/>
        <w:ind w:firstLine="420" w:firstLineChars="200"/>
        <w:rPr>
          <w:rFonts w:ascii="Arial" w:hAnsi="Arial" w:cs="Arial"/>
          <w:color w:val="auto"/>
          <w:highlight w:val="none"/>
        </w:rPr>
      </w:pPr>
      <w:r>
        <w:rPr>
          <w:rFonts w:ascii="Arial" w:hAnsi="Arial" w:cs="Arial"/>
          <w:color w:val="auto"/>
          <w:highlight w:val="none"/>
        </w:rPr>
        <w:t>评标委员会以招标文件、补充文件、投标文件、澄清及答复为评标依据。</w:t>
      </w:r>
    </w:p>
    <w:p w14:paraId="484E7CC2">
      <w:pPr>
        <w:spacing w:before="120" w:line="320" w:lineRule="atLeast"/>
        <w:ind w:firstLine="411" w:firstLineChars="196"/>
        <w:outlineLvl w:val="1"/>
        <w:rPr>
          <w:rFonts w:ascii="Arial" w:hAnsi="Arial" w:cs="Arial"/>
          <w:color w:val="auto"/>
          <w:szCs w:val="21"/>
          <w:highlight w:val="none"/>
        </w:rPr>
      </w:pPr>
      <w:r>
        <w:rPr>
          <w:rFonts w:ascii="Arial" w:hAnsi="Arial" w:cs="Arial"/>
          <w:color w:val="auto"/>
          <w:szCs w:val="21"/>
          <w:highlight w:val="none"/>
        </w:rPr>
        <w:t>3、评标委员会</w:t>
      </w:r>
      <w:bookmarkStart w:id="72" w:name="_Hlk19051932"/>
    </w:p>
    <w:p w14:paraId="352AC9FE">
      <w:pPr>
        <w:suppressAutoHyphens/>
        <w:spacing w:before="120" w:line="320" w:lineRule="atLeast"/>
        <w:ind w:firstLine="420" w:firstLineChars="200"/>
        <w:rPr>
          <w:rFonts w:ascii="Arial" w:hAnsi="Arial" w:cs="Arial"/>
          <w:color w:val="auto"/>
          <w:highlight w:val="none"/>
        </w:rPr>
      </w:pPr>
      <w:r>
        <w:rPr>
          <w:rFonts w:ascii="Arial" w:hAnsi="Arial" w:cs="Arial"/>
          <w:color w:val="auto"/>
          <w:highlight w:val="none"/>
        </w:rPr>
        <w:t>本项目评标委员会由政府采购评审专家和采购人代表组成。</w:t>
      </w:r>
      <w:bookmarkEnd w:id="72"/>
      <w:bookmarkStart w:id="73" w:name="_Hlk19051968"/>
      <w:r>
        <w:rPr>
          <w:rFonts w:ascii="Arial" w:hAnsi="Arial" w:cs="Arial"/>
          <w:color w:val="auto"/>
          <w:highlight w:val="none"/>
        </w:rPr>
        <w:t>评标委员会必须公平、公正、客观，不带任何倾向性和启发性；不得向外界透露任何与评审有关的内容；任何单位和个人不得干扰、影响评审的正常进行；评标委员会及有关工作人员不得私下与供应商接触。评审专家发现本人与参加采购活动的供应商有利害关系的，应当主动提出回避。</w:t>
      </w:r>
      <w:bookmarkEnd w:id="73"/>
    </w:p>
    <w:p w14:paraId="0AF58778">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二、评标程序</w:t>
      </w:r>
    </w:p>
    <w:p w14:paraId="6E7C87AE">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w:t>
      </w:r>
      <w:bookmarkStart w:id="74" w:name="_Hlk19175507"/>
      <w:r>
        <w:rPr>
          <w:rFonts w:ascii="Arial" w:hAnsi="Arial" w:cs="Arial"/>
          <w:color w:val="auto"/>
          <w:szCs w:val="21"/>
          <w:highlight w:val="none"/>
        </w:rPr>
        <w:t>初步评审：初步评审包括资格检查及符合性检查。</w:t>
      </w:r>
      <w:bookmarkEnd w:id="74"/>
    </w:p>
    <w:p w14:paraId="37642373">
      <w:pPr>
        <w:suppressAutoHyphens/>
        <w:spacing w:before="120" w:line="320" w:lineRule="atLeast"/>
        <w:ind w:firstLine="420" w:firstLineChars="200"/>
        <w:rPr>
          <w:rFonts w:ascii="Arial" w:hAnsi="Arial" w:cs="Arial"/>
          <w:bCs/>
          <w:color w:val="auto"/>
          <w:kern w:val="1"/>
          <w:szCs w:val="21"/>
          <w:highlight w:val="none"/>
        </w:rPr>
      </w:pPr>
      <w:r>
        <w:rPr>
          <w:rFonts w:ascii="Arial" w:hAnsi="Arial" w:cs="Arial"/>
          <w:bCs/>
          <w:color w:val="auto"/>
          <w:kern w:val="1"/>
          <w:szCs w:val="21"/>
          <w:highlight w:val="none"/>
        </w:rPr>
        <w:t>2、澄清（如需要）。</w:t>
      </w:r>
    </w:p>
    <w:p w14:paraId="60899E5C">
      <w:pPr>
        <w:suppressAutoHyphens/>
        <w:spacing w:before="120" w:line="320" w:lineRule="atLeast"/>
        <w:ind w:firstLine="420" w:firstLineChars="200"/>
        <w:rPr>
          <w:rFonts w:ascii="Arial" w:hAnsi="Arial" w:cs="Arial"/>
          <w:bCs/>
          <w:color w:val="auto"/>
          <w:kern w:val="1"/>
          <w:szCs w:val="21"/>
          <w:highlight w:val="none"/>
        </w:rPr>
      </w:pPr>
      <w:r>
        <w:rPr>
          <w:rFonts w:ascii="Arial" w:hAnsi="Arial" w:cs="Arial"/>
          <w:bCs/>
          <w:color w:val="auto"/>
          <w:kern w:val="1"/>
          <w:szCs w:val="21"/>
          <w:highlight w:val="none"/>
        </w:rPr>
        <w:t>3、详细评审。</w:t>
      </w:r>
    </w:p>
    <w:p w14:paraId="7388C628">
      <w:pPr>
        <w:suppressAutoHyphens/>
        <w:spacing w:before="120" w:line="320" w:lineRule="atLeast"/>
        <w:ind w:firstLine="420" w:firstLineChars="200"/>
        <w:rPr>
          <w:rFonts w:ascii="Arial" w:hAnsi="Arial" w:cs="Arial"/>
          <w:color w:val="auto"/>
          <w:szCs w:val="21"/>
          <w:highlight w:val="none"/>
        </w:rPr>
      </w:pPr>
      <w:r>
        <w:rPr>
          <w:rFonts w:ascii="Arial" w:hAnsi="Arial" w:cs="Arial"/>
          <w:bCs/>
          <w:color w:val="auto"/>
          <w:kern w:val="1"/>
          <w:szCs w:val="21"/>
          <w:highlight w:val="none"/>
        </w:rPr>
        <w:t>4、推荐中标候选人。</w:t>
      </w:r>
    </w:p>
    <w:p w14:paraId="1AC4713D">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三、特别说明：</w:t>
      </w:r>
    </w:p>
    <w:p w14:paraId="3EF8FDE4">
      <w:pPr>
        <w:tabs>
          <w:tab w:val="left" w:pos="2190"/>
        </w:tabs>
        <w:spacing w:line="370" w:lineRule="exact"/>
        <w:ind w:firstLine="435"/>
        <w:rPr>
          <w:rFonts w:ascii="Arial" w:hAnsi="Arial" w:cs="Arial"/>
          <w:b/>
          <w:color w:val="auto"/>
          <w:szCs w:val="21"/>
          <w:highlight w:val="none"/>
        </w:rPr>
      </w:pPr>
      <w:r>
        <w:rPr>
          <w:rFonts w:ascii="Arial" w:hAnsi="Arial" w:cs="Arial"/>
          <w:b/>
          <w:color w:val="auto"/>
          <w:szCs w:val="21"/>
          <w:highlight w:val="none"/>
        </w:rPr>
        <w:t>1、注意事项：本项目实行电子投标，供应商应准备电子投标文件。</w:t>
      </w:r>
    </w:p>
    <w:p w14:paraId="5159D5C6">
      <w:pPr>
        <w:tabs>
          <w:tab w:val="left" w:pos="2190"/>
        </w:tabs>
        <w:spacing w:line="370" w:lineRule="exact"/>
        <w:ind w:firstLine="435"/>
        <w:rPr>
          <w:rFonts w:ascii="Arial" w:hAnsi="Arial" w:cs="Arial"/>
          <w:b/>
          <w:bCs/>
          <w:color w:val="auto"/>
          <w:kern w:val="0"/>
          <w:szCs w:val="21"/>
          <w:highlight w:val="none"/>
        </w:rPr>
      </w:pPr>
      <w:r>
        <w:rPr>
          <w:rFonts w:ascii="Arial" w:hAnsi="Arial" w:cs="Arial"/>
          <w:b/>
          <w:color w:val="auto"/>
          <w:szCs w:val="21"/>
          <w:highlight w:val="none"/>
        </w:rPr>
        <w:t>2、电子投标文件按广西政府采购云平台要求及本招标文件要求制作、加密并递交。具体操作流程可参考《政府采购项目电子交易管理操作指南-供应商》，指南可在 “http://www.ccgp-guangxi.gov.cn/PurchaseAdvisory/ImportantNotice/2866753.html”下载。</w:t>
      </w:r>
    </w:p>
    <w:p w14:paraId="0000E4B8">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3、供应商提供的以下相关证明材料属于“必须提供”的</w:t>
      </w:r>
      <w:r>
        <w:rPr>
          <w:rFonts w:ascii="Arial" w:hAnsi="Arial" w:cs="Arial"/>
          <w:b/>
          <w:color w:val="auto"/>
          <w:sz w:val="24"/>
          <w:highlight w:val="none"/>
        </w:rPr>
        <w:t>文件</w:t>
      </w:r>
      <w:r>
        <w:rPr>
          <w:rFonts w:ascii="Arial" w:hAnsi="Arial" w:cs="Arial"/>
          <w:b/>
          <w:bCs/>
          <w:color w:val="auto"/>
          <w:kern w:val="0"/>
          <w:szCs w:val="21"/>
          <w:highlight w:val="none"/>
        </w:rPr>
        <w:t>应加盖供应商公章（CA签章）/自然人签字或加盖个人CA签章，否则投标无效。</w:t>
      </w:r>
    </w:p>
    <w:p w14:paraId="72E2E6D6">
      <w:pPr>
        <w:pStyle w:val="27"/>
        <w:spacing w:line="370" w:lineRule="exact"/>
        <w:ind w:firstLine="420"/>
        <w:rPr>
          <w:rFonts w:ascii="Arial" w:hAnsi="Arial" w:cs="Arial"/>
          <w:b/>
          <w:bCs/>
          <w:color w:val="auto"/>
          <w:highlight w:val="none"/>
        </w:rPr>
      </w:pPr>
      <w:r>
        <w:rPr>
          <w:rFonts w:ascii="Arial" w:hAnsi="Arial" w:cs="Arial"/>
          <w:b/>
          <w:bCs/>
          <w:color w:val="auto"/>
          <w:kern w:val="0"/>
          <w:highlight w:val="none"/>
        </w:rPr>
        <w:t>4、</w:t>
      </w:r>
      <w:r>
        <w:rPr>
          <w:rFonts w:ascii="Arial" w:hAnsi="Arial" w:cs="Arial"/>
          <w:b/>
          <w:bCs/>
          <w:color w:val="auto"/>
          <w:highlight w:val="none"/>
        </w:rPr>
        <w:t>投标文件（电子</w:t>
      </w:r>
      <w:r>
        <w:rPr>
          <w:rFonts w:hint="eastAsia" w:ascii="Arial" w:hAnsi="Arial" w:cs="Arial"/>
          <w:b/>
          <w:bCs/>
          <w:color w:val="auto"/>
          <w:highlight w:val="none"/>
        </w:rPr>
        <w:t>投标文件</w:t>
      </w:r>
      <w:r>
        <w:rPr>
          <w:rFonts w:ascii="Arial" w:hAnsi="Arial" w:cs="Arial"/>
          <w:b/>
          <w:bCs/>
          <w:color w:val="auto"/>
          <w:highlight w:val="none"/>
        </w:rPr>
        <w:t>），其中电子投标文件中所须加盖公章部分均采用CA签章。若招标文件中有专门标注的某关联点，并要求供应商在电子投标系统中作出响应的，如供应商未对关联点进行响应或者在投标文件其它内容进行描述，造成电子评审不能查询的责任由供应商自行承担。</w:t>
      </w:r>
    </w:p>
    <w:p w14:paraId="37EA1631">
      <w:pPr>
        <w:pStyle w:val="27"/>
        <w:spacing w:line="370" w:lineRule="exact"/>
        <w:ind w:firstLine="420"/>
        <w:rPr>
          <w:rFonts w:ascii="Arial" w:hAnsi="Arial" w:cs="Arial"/>
          <w:b/>
          <w:bCs/>
          <w:color w:val="auto"/>
          <w:highlight w:val="none"/>
        </w:rPr>
      </w:pPr>
      <w:r>
        <w:rPr>
          <w:rFonts w:ascii="Arial" w:hAnsi="Arial" w:cs="Arial"/>
          <w:b/>
          <w:bCs/>
          <w:color w:val="auto"/>
          <w:highlight w:val="none"/>
        </w:rPr>
        <w:t>5、招标文件要求法定代表人（负责人）或委托代理人签字的部分必须签字然后扫描或者拍照做成 pdf 格式上传（或加盖个人CA签章），无签字的视为投标无效。</w:t>
      </w:r>
    </w:p>
    <w:p w14:paraId="07ECCA0D">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6、电子投标文件中须加盖供应商公章部分均采用 CA 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799CAF5A">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7、供应商法人（负责人）或授权代表持有政采云个人CA签章的，应在投标文件中涉及到签字的位置使用个人CA签章，没有办理政采云个人CA签章的可在投标文件中涉及到签字的位置手写签字后扫描或者拍照做成 PDF 的格式上传即可。</w:t>
      </w:r>
    </w:p>
    <w:p w14:paraId="1D1DBDF7">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8、投标文件不得涂改，若有修改错漏处，须法定代表人（负责人）或授权委托人签字（或个人CA签章）。投标文件因字迹潦草或表达不清所引起的后果由供应商负责。</w:t>
      </w:r>
    </w:p>
    <w:p w14:paraId="3C33105F">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9、本项目实行网上评审，采用电子投标文件；若供应商参与投标，自行承担投标一切费用。各供应商在截标前应确保成为广西政府采购云平台正式注册入库供应商，并完成 CA 数字证书申领。因未注册入库、未办理 CA 数字证书等原因造成无法投标或投标失败等后果由供应商自行承担。供应商将政采云电子交易客户端下载、安装完成后，可通过账号密码或 CA 登录客户端进行投标文件制作。客户端请至网站下载专区查看，如有问题可拨打政采云客户服务热线95763 进行咨询。</w:t>
      </w:r>
    </w:p>
    <w:p w14:paraId="282EAB9B">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10、供应商进行电子投标应安装客户端软件，并按照采购文件和电子交易平台的要求编制并加密投标文件。供应商未按规定加密的投标文件，电子交易平台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如有特殊情况，采购代理机构延长截止时间和开标时间，采购代理机构和供应商的权利和义务将受到新的截止时间和开标时间的约束。</w:t>
      </w:r>
    </w:p>
    <w:p w14:paraId="3D15D6BF">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四、评标内容</w:t>
      </w:r>
    </w:p>
    <w:p w14:paraId="22162484">
      <w:pPr>
        <w:spacing w:before="120" w:line="320" w:lineRule="atLeast"/>
        <w:ind w:firstLine="551" w:firstLineChars="196"/>
        <w:jc w:val="center"/>
        <w:outlineLvl w:val="1"/>
        <w:rPr>
          <w:rFonts w:ascii="Arial" w:hAnsi="Arial" w:cs="Arial"/>
          <w:b/>
          <w:bCs/>
          <w:color w:val="auto"/>
          <w:kern w:val="0"/>
          <w:sz w:val="28"/>
          <w:szCs w:val="28"/>
          <w:highlight w:val="none"/>
        </w:rPr>
      </w:pPr>
      <w:r>
        <w:rPr>
          <w:rFonts w:ascii="Arial" w:hAnsi="Arial" w:cs="Arial"/>
          <w:b/>
          <w:bCs/>
          <w:color w:val="auto"/>
          <w:kern w:val="0"/>
          <w:sz w:val="28"/>
          <w:szCs w:val="28"/>
          <w:highlight w:val="none"/>
        </w:rPr>
        <w:t>1、资格审查</w:t>
      </w:r>
    </w:p>
    <w:p w14:paraId="60DCAFE7">
      <w:pPr>
        <w:suppressAutoHyphens/>
        <w:spacing w:before="120" w:line="320" w:lineRule="atLeast"/>
        <w:ind w:firstLine="420" w:firstLineChars="200"/>
        <w:rPr>
          <w:rFonts w:ascii="Arial" w:hAnsi="Arial" w:cs="Arial"/>
          <w:color w:val="auto"/>
          <w:szCs w:val="21"/>
          <w:highlight w:val="none"/>
        </w:rPr>
      </w:pPr>
      <w:r>
        <w:rPr>
          <w:rFonts w:ascii="Arial" w:hAnsi="Arial" w:cs="Arial"/>
          <w:color w:val="auto"/>
          <w:highlight w:val="none"/>
        </w:rPr>
        <w:t>采购人代表对所有供应商的投标文件进行资格审查。</w:t>
      </w:r>
      <w:r>
        <w:rPr>
          <w:rFonts w:ascii="Arial" w:hAnsi="Arial" w:cs="Arial"/>
          <w:color w:val="auto"/>
          <w:szCs w:val="21"/>
          <w:highlight w:val="none"/>
        </w:rPr>
        <w:t>以确定供应商是否具备投标资格。资格审查表如下，缺少任何一项或有任何一项不合格者，其资格审查视为不合格。</w:t>
      </w:r>
    </w:p>
    <w:p w14:paraId="6C616F22">
      <w:pPr>
        <w:suppressAutoHyphens/>
        <w:spacing w:before="120" w:line="288" w:lineRule="auto"/>
        <w:ind w:firstLine="440" w:firstLineChars="200"/>
        <w:rPr>
          <w:rFonts w:ascii="Arial" w:hAnsi="Arial" w:cs="Arial"/>
          <w:color w:val="auto"/>
          <w:highlight w:val="none"/>
        </w:rPr>
      </w:pPr>
      <w:r>
        <w:rPr>
          <w:rFonts w:ascii="Arial" w:hAnsi="Arial" w:cs="Arial"/>
          <w:color w:val="auto"/>
          <w:sz w:val="22"/>
          <w:szCs w:val="22"/>
          <w:highlight w:val="none"/>
        </w:rPr>
        <w:t>1.1</w:t>
      </w:r>
      <w:r>
        <w:rPr>
          <w:rFonts w:ascii="Arial" w:hAnsi="Arial" w:cs="Arial"/>
          <w:b/>
          <w:bCs/>
          <w:color w:val="auto"/>
          <w:sz w:val="22"/>
          <w:szCs w:val="22"/>
          <w:highlight w:val="none"/>
        </w:rPr>
        <w:t>供应商具备有效的“营业执照”或“事业单位法人证书”或“自然人的身份证明”副本复印件。</w:t>
      </w:r>
    </w:p>
    <w:p w14:paraId="47EE82A2">
      <w:pPr>
        <w:suppressAutoHyphens/>
        <w:spacing w:before="120" w:line="288" w:lineRule="auto"/>
        <w:ind w:firstLine="420" w:firstLineChars="200"/>
        <w:rPr>
          <w:rFonts w:ascii="Arial" w:hAnsi="Arial" w:cs="Arial"/>
          <w:color w:val="auto"/>
          <w:highlight w:val="none"/>
        </w:rPr>
      </w:pPr>
      <w:r>
        <w:rPr>
          <w:rFonts w:ascii="Arial" w:hAnsi="Arial" w:cs="Arial"/>
          <w:color w:val="auto"/>
          <w:szCs w:val="21"/>
          <w:highlight w:val="none"/>
        </w:rPr>
        <w:t>供应商是企业则审查营业执照（副本）复印件；供应商是事业单位，则审查事业单位法人证书（副本）复印件；供应商是非企业专业服务机构的，则审查执业许可证等证明文件复印件；供应商是个体工商户，则审查个体工商户营业执照复印件；供应商是自然人，则审查自然人身份证明复印件；如供应商不是以上所列的法人、组织、自然人的，则提供国家规定的相关证明材料。</w:t>
      </w:r>
    </w:p>
    <w:p w14:paraId="199FF8D9">
      <w:pPr>
        <w:suppressAutoHyphens/>
        <w:spacing w:before="120" w:line="288" w:lineRule="auto"/>
        <w:ind w:firstLine="440" w:firstLineChars="200"/>
        <w:rPr>
          <w:rFonts w:ascii="Arial" w:hAnsi="Arial" w:cs="Arial"/>
          <w:color w:val="auto"/>
          <w:szCs w:val="21"/>
          <w:highlight w:val="none"/>
        </w:rPr>
      </w:pPr>
      <w:r>
        <w:rPr>
          <w:rFonts w:ascii="Arial" w:hAnsi="Arial" w:cs="Arial"/>
          <w:color w:val="auto"/>
          <w:sz w:val="22"/>
          <w:szCs w:val="22"/>
          <w:highlight w:val="none"/>
        </w:rPr>
        <w:t xml:space="preserve">1.2 </w:t>
      </w:r>
      <w:r>
        <w:rPr>
          <w:rFonts w:ascii="Arial" w:hAnsi="Arial" w:cs="Arial"/>
          <w:b/>
          <w:bCs/>
          <w:color w:val="auto"/>
          <w:sz w:val="22"/>
          <w:szCs w:val="22"/>
          <w:highlight w:val="none"/>
        </w:rPr>
        <w:t>供应商202</w:t>
      </w:r>
      <w:r>
        <w:rPr>
          <w:rFonts w:hint="eastAsia" w:ascii="Arial" w:hAnsi="Arial" w:cs="Arial"/>
          <w:b/>
          <w:bCs/>
          <w:color w:val="auto"/>
          <w:sz w:val="22"/>
          <w:szCs w:val="22"/>
          <w:highlight w:val="none"/>
        </w:rPr>
        <w:t>5</w:t>
      </w:r>
      <w:r>
        <w:rPr>
          <w:rFonts w:ascii="Arial" w:hAnsi="Arial" w:cs="Arial"/>
          <w:b/>
          <w:bCs/>
          <w:color w:val="auto"/>
          <w:sz w:val="22"/>
          <w:szCs w:val="22"/>
          <w:highlight w:val="none"/>
        </w:rPr>
        <w:t>年度财务状况报告（表）复印件或202</w:t>
      </w:r>
      <w:r>
        <w:rPr>
          <w:rFonts w:hint="eastAsia" w:ascii="Arial" w:hAnsi="Arial" w:cs="Arial"/>
          <w:b/>
          <w:bCs/>
          <w:color w:val="auto"/>
          <w:sz w:val="22"/>
          <w:szCs w:val="22"/>
          <w:highlight w:val="none"/>
        </w:rPr>
        <w:t>6</w:t>
      </w:r>
      <w:r>
        <w:rPr>
          <w:rFonts w:ascii="Arial" w:hAnsi="Arial" w:cs="Arial"/>
          <w:b/>
          <w:bCs/>
          <w:color w:val="auto"/>
          <w:sz w:val="22"/>
          <w:szCs w:val="22"/>
          <w:highlight w:val="none"/>
        </w:rPr>
        <w:t>年银行出具的资信证明复印件。</w:t>
      </w:r>
      <w:r>
        <w:rPr>
          <w:rFonts w:ascii="Arial" w:hAnsi="Arial" w:cs="Arial"/>
          <w:color w:val="auto"/>
          <w:szCs w:val="21"/>
          <w:highlight w:val="none"/>
        </w:rPr>
        <w:t>对于从取得营业执照时间起到投标文件递交截止时间为止不足1年的供应商，只需提交投标文件递交截止时间前一个月的财务状况报告（表）复印件。</w:t>
      </w:r>
    </w:p>
    <w:p w14:paraId="6809B8F8">
      <w:pPr>
        <w:suppressAutoHyphens/>
        <w:spacing w:before="120" w:line="288" w:lineRule="auto"/>
        <w:ind w:firstLine="440" w:firstLineChars="200"/>
        <w:rPr>
          <w:rFonts w:ascii="Arial" w:hAnsi="Arial" w:cs="Arial"/>
          <w:color w:val="auto"/>
          <w:szCs w:val="21"/>
          <w:highlight w:val="none"/>
          <w:lang w:val="zh-CN"/>
        </w:rPr>
      </w:pPr>
      <w:r>
        <w:rPr>
          <w:rFonts w:ascii="Arial" w:hAnsi="Arial" w:cs="Arial"/>
          <w:color w:val="auto"/>
          <w:sz w:val="22"/>
          <w:szCs w:val="22"/>
          <w:highlight w:val="none"/>
        </w:rPr>
        <w:t>1.3</w:t>
      </w:r>
      <w:r>
        <w:rPr>
          <w:rFonts w:ascii="Arial" w:hAnsi="Arial" w:cs="Arial"/>
          <w:b/>
          <w:bCs/>
          <w:color w:val="auto"/>
          <w:sz w:val="22"/>
          <w:szCs w:val="22"/>
          <w:highlight w:val="none"/>
          <w:lang w:val="zh-CN"/>
        </w:rPr>
        <w:t>①投标截止时间前6个月内，供应商任意1个月依法缴纳税费证明复印件。②投标截止时间前6个月内，供应商任意1个月的社保缴费证明记录复印件。</w:t>
      </w:r>
      <w:r>
        <w:rPr>
          <w:rFonts w:ascii="Arial" w:hAnsi="Arial" w:cs="Arial"/>
          <w:color w:val="auto"/>
          <w:szCs w:val="21"/>
          <w:highlight w:val="none"/>
          <w:lang w:val="zh-CN"/>
        </w:rPr>
        <w:t>供应商成立不足1个月的，无须提供缴纳税费证明及社保缴费证明。依法免税或不需要缴纳社会保障资金的供应商，须提供相应文件证明其依法免税或不需要缴纳社会保障资金。</w:t>
      </w:r>
    </w:p>
    <w:p w14:paraId="1AD63EE4">
      <w:pPr>
        <w:suppressAutoHyphens/>
        <w:spacing w:before="120" w:line="288" w:lineRule="auto"/>
        <w:ind w:firstLine="442" w:firstLineChars="200"/>
        <w:rPr>
          <w:rFonts w:ascii="Arial" w:hAnsi="Arial" w:cs="Arial"/>
          <w:color w:val="auto"/>
          <w:szCs w:val="21"/>
          <w:highlight w:val="none"/>
        </w:rPr>
      </w:pPr>
      <w:r>
        <w:rPr>
          <w:rFonts w:ascii="Arial" w:hAnsi="Arial" w:cs="Arial"/>
          <w:b/>
          <w:bCs/>
          <w:color w:val="auto"/>
          <w:sz w:val="22"/>
          <w:szCs w:val="22"/>
          <w:highlight w:val="none"/>
        </w:rPr>
        <w:t>1.4审查无重大违法记录声明。须提供，格式见第六章投标文件格式“投标声明书”。</w:t>
      </w:r>
      <w:r>
        <w:rPr>
          <w:rFonts w:ascii="Arial" w:hAnsi="Arial" w:cs="Arial"/>
          <w:color w:val="auto"/>
          <w:szCs w:val="21"/>
          <w:highlight w:val="none"/>
        </w:rPr>
        <w:t>一旦发现供应商提供的投标声明书不实时，则按照《政府采购法》有关提供虚假材料的规定给予处罚。</w:t>
      </w:r>
    </w:p>
    <w:p w14:paraId="55B590D0">
      <w:pPr>
        <w:suppressAutoHyphens/>
        <w:spacing w:before="120" w:line="288" w:lineRule="auto"/>
        <w:ind w:firstLine="442" w:firstLineChars="200"/>
        <w:rPr>
          <w:rFonts w:ascii="Arial" w:hAnsi="Arial" w:cs="Arial"/>
          <w:color w:val="auto"/>
          <w:szCs w:val="21"/>
          <w:highlight w:val="none"/>
          <w:lang w:val="zh-CN"/>
        </w:rPr>
      </w:pPr>
      <w:r>
        <w:rPr>
          <w:rFonts w:ascii="Arial" w:hAnsi="Arial" w:cs="Arial"/>
          <w:b/>
          <w:bCs/>
          <w:color w:val="auto"/>
          <w:sz w:val="22"/>
          <w:szCs w:val="22"/>
          <w:highlight w:val="none"/>
        </w:rPr>
        <w:t>1.5</w:t>
      </w:r>
      <w:r>
        <w:rPr>
          <w:rFonts w:ascii="Arial" w:hAnsi="Arial" w:cs="Arial"/>
          <w:b/>
          <w:bCs/>
          <w:color w:val="auto"/>
          <w:sz w:val="22"/>
          <w:szCs w:val="22"/>
          <w:highlight w:val="none"/>
          <w:lang w:val="zh-CN"/>
        </w:rPr>
        <w:t>诚信要求：</w:t>
      </w:r>
      <w:r>
        <w:rPr>
          <w:rFonts w:ascii="Arial" w:hAnsi="Arial" w:cs="Arial"/>
          <w:color w:val="auto"/>
          <w:szCs w:val="21"/>
          <w:highlight w:val="none"/>
          <w:lang w:val="zh-CN"/>
        </w:rPr>
        <w:t>①</w:t>
      </w:r>
      <w:r>
        <w:rPr>
          <w:rFonts w:ascii="Arial" w:hAnsi="Arial" w:cs="Arial"/>
          <w:color w:val="auto"/>
          <w:szCs w:val="21"/>
          <w:highlight w:val="none"/>
        </w:rPr>
        <w:t>审核标准：供应商如被列入失信被执行人、重大税收违法失信主体、政府采购严重违法失信行为记录名单，则资格审查不予通过，其投标被否决</w:t>
      </w:r>
      <w:r>
        <w:rPr>
          <w:rFonts w:ascii="Arial" w:hAnsi="Arial" w:cs="Arial"/>
          <w:color w:val="auto"/>
          <w:szCs w:val="21"/>
          <w:highlight w:val="none"/>
          <w:lang w:val="zh-CN"/>
        </w:rPr>
        <w:t>。</w:t>
      </w:r>
    </w:p>
    <w:p w14:paraId="3ABCBA35">
      <w:pPr>
        <w:suppressAutoHyphens/>
        <w:spacing w:before="120" w:line="288" w:lineRule="auto"/>
        <w:ind w:firstLine="420" w:firstLineChars="200"/>
        <w:rPr>
          <w:rFonts w:ascii="Arial" w:hAnsi="Arial" w:cs="Arial"/>
          <w:color w:val="auto"/>
          <w:szCs w:val="21"/>
          <w:highlight w:val="none"/>
        </w:rPr>
      </w:pPr>
      <w:r>
        <w:rPr>
          <w:rFonts w:ascii="Arial" w:hAnsi="Arial" w:cs="Arial"/>
          <w:color w:val="auto"/>
          <w:szCs w:val="21"/>
          <w:highlight w:val="none"/>
        </w:rPr>
        <w:t xml:space="preserve">②信用信息查询渠道：中国政府采购网 “政府采购严重违法失信行为记录名单” 信用中国网：“失信被执行人”、“重大税收违法失信主体”  </w:t>
      </w:r>
    </w:p>
    <w:p w14:paraId="73E4D29B">
      <w:pPr>
        <w:suppressAutoHyphens/>
        <w:spacing w:before="120" w:line="288" w:lineRule="auto"/>
        <w:ind w:firstLine="420" w:firstLineChars="200"/>
        <w:rPr>
          <w:rFonts w:ascii="Arial" w:hAnsi="Arial" w:cs="Arial"/>
          <w:color w:val="auto"/>
          <w:szCs w:val="21"/>
          <w:highlight w:val="none"/>
          <w:lang w:val="zh-CN"/>
        </w:rPr>
      </w:pPr>
      <w:r>
        <w:rPr>
          <w:rFonts w:ascii="Arial" w:hAnsi="Arial" w:cs="Arial"/>
          <w:color w:val="auto"/>
          <w:szCs w:val="21"/>
          <w:highlight w:val="none"/>
        </w:rPr>
        <w:t>③查询方式：广西政府采购云平台已与“信用中国”平台做接口，可直接在线查询。</w:t>
      </w:r>
    </w:p>
    <w:p w14:paraId="1A6C91A9">
      <w:pPr>
        <w:suppressAutoHyphens/>
        <w:spacing w:before="120" w:line="288" w:lineRule="auto"/>
        <w:ind w:firstLine="442" w:firstLineChars="200"/>
        <w:rPr>
          <w:rFonts w:ascii="Arial" w:hAnsi="Arial" w:cs="Arial"/>
          <w:color w:val="auto"/>
          <w:kern w:val="0"/>
          <w:szCs w:val="21"/>
          <w:highlight w:val="none"/>
        </w:rPr>
      </w:pPr>
      <w:r>
        <w:rPr>
          <w:rFonts w:ascii="Arial" w:hAnsi="Arial" w:cs="Arial"/>
          <w:b/>
          <w:bCs/>
          <w:color w:val="auto"/>
          <w:sz w:val="22"/>
          <w:szCs w:val="22"/>
          <w:highlight w:val="none"/>
        </w:rPr>
        <w:t>1.6</w:t>
      </w:r>
      <w:r>
        <w:rPr>
          <w:rFonts w:ascii="Arial" w:hAnsi="Arial" w:cs="Arial"/>
          <w:b/>
          <w:bCs/>
          <w:color w:val="auto"/>
          <w:kern w:val="0"/>
          <w:sz w:val="22"/>
          <w:szCs w:val="22"/>
          <w:highlight w:val="none"/>
        </w:rPr>
        <w:t>供应商不得参加资格性审查的情形：</w:t>
      </w:r>
      <w:r>
        <w:rPr>
          <w:rFonts w:ascii="Arial" w:hAnsi="Arial" w:cs="Arial"/>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6695A560">
      <w:pPr>
        <w:suppressAutoHyphens/>
        <w:spacing w:line="288" w:lineRule="auto"/>
        <w:ind w:firstLine="442" w:firstLineChars="200"/>
        <w:rPr>
          <w:rFonts w:ascii="Arial" w:hAnsi="Arial" w:cs="Arial"/>
          <w:color w:val="auto"/>
          <w:kern w:val="0"/>
          <w:szCs w:val="21"/>
          <w:highlight w:val="none"/>
        </w:rPr>
      </w:pPr>
      <w:r>
        <w:rPr>
          <w:rFonts w:ascii="Arial" w:hAnsi="Arial" w:cs="Arial"/>
          <w:b/>
          <w:bCs/>
          <w:color w:val="auto"/>
          <w:kern w:val="0"/>
          <w:sz w:val="22"/>
          <w:szCs w:val="22"/>
          <w:highlight w:val="none"/>
        </w:rPr>
        <w:t>1.7供应商满足特定资格条件的其他证明材料</w:t>
      </w:r>
      <w:r>
        <w:rPr>
          <w:rFonts w:ascii="Arial" w:hAnsi="Arial" w:cs="Arial"/>
          <w:color w:val="auto"/>
          <w:kern w:val="0"/>
          <w:sz w:val="22"/>
          <w:szCs w:val="22"/>
          <w:highlight w:val="none"/>
        </w:rPr>
        <w:t>：</w:t>
      </w:r>
      <w:r>
        <w:rPr>
          <w:rFonts w:hint="eastAsia" w:ascii="Arial" w:hAnsi="Arial" w:cs="Arial"/>
          <w:color w:val="auto"/>
          <w:kern w:val="0"/>
          <w:sz w:val="22"/>
          <w:szCs w:val="22"/>
          <w:highlight w:val="none"/>
        </w:rPr>
        <w:t>无</w:t>
      </w:r>
    </w:p>
    <w:p w14:paraId="0699F43C">
      <w:pPr>
        <w:suppressAutoHyphens/>
        <w:spacing w:line="288" w:lineRule="auto"/>
        <w:ind w:firstLine="482" w:firstLineChars="200"/>
        <w:rPr>
          <w:rFonts w:ascii="Arial" w:hAnsi="Arial" w:cs="Arial"/>
          <w:b/>
          <w:bCs/>
          <w:color w:val="auto"/>
          <w:kern w:val="0"/>
          <w:sz w:val="24"/>
          <w:highlight w:val="none"/>
        </w:rPr>
      </w:pPr>
      <w:r>
        <w:rPr>
          <w:rFonts w:hint="eastAsia" w:ascii="Arial" w:hAnsi="Arial" w:cs="Arial"/>
          <w:b/>
          <w:bCs/>
          <w:color w:val="auto"/>
          <w:kern w:val="0"/>
          <w:sz w:val="24"/>
          <w:highlight w:val="none"/>
        </w:rPr>
        <w:t xml:space="preserve">1.8 </w:t>
      </w:r>
      <w:r>
        <w:rPr>
          <w:rFonts w:hint="eastAsia"/>
          <w:color w:val="auto"/>
          <w:sz w:val="24"/>
          <w:highlight w:val="none"/>
        </w:rPr>
        <w:t>联合体：本项目不接受联合体投标</w:t>
      </w:r>
      <w:r>
        <w:rPr>
          <w:rFonts w:hint="eastAsia" w:ascii="Arial" w:hAnsi="Arial" w:cs="Arial"/>
          <w:b/>
          <w:bCs/>
          <w:color w:val="auto"/>
          <w:kern w:val="0"/>
          <w:sz w:val="24"/>
          <w:highlight w:val="none"/>
        </w:rPr>
        <w:t>。</w:t>
      </w:r>
    </w:p>
    <w:p w14:paraId="6F98D973">
      <w:pPr>
        <w:spacing w:before="120" w:line="320" w:lineRule="atLeast"/>
        <w:ind w:firstLine="551" w:firstLineChars="196"/>
        <w:jc w:val="center"/>
        <w:outlineLvl w:val="1"/>
        <w:rPr>
          <w:rFonts w:ascii="Arial" w:hAnsi="Arial" w:cs="Arial"/>
          <w:b/>
          <w:bCs/>
          <w:color w:val="auto"/>
          <w:kern w:val="0"/>
          <w:sz w:val="28"/>
          <w:szCs w:val="28"/>
          <w:highlight w:val="none"/>
        </w:rPr>
      </w:pPr>
      <w:r>
        <w:rPr>
          <w:rFonts w:ascii="Arial" w:hAnsi="Arial" w:cs="Arial"/>
          <w:b/>
          <w:bCs/>
          <w:color w:val="auto"/>
          <w:kern w:val="0"/>
          <w:sz w:val="28"/>
          <w:szCs w:val="28"/>
          <w:highlight w:val="none"/>
        </w:rPr>
        <w:t>2、符合性检查</w:t>
      </w:r>
    </w:p>
    <w:p w14:paraId="26935370">
      <w:pPr>
        <w:spacing w:before="120" w:line="320" w:lineRule="atLeast"/>
        <w:ind w:firstLine="420" w:firstLineChars="200"/>
        <w:rPr>
          <w:rFonts w:ascii="Arial" w:hAnsi="Arial" w:cs="Arial"/>
          <w:color w:val="auto"/>
          <w:szCs w:val="21"/>
          <w:highlight w:val="none"/>
        </w:rPr>
      </w:pPr>
      <w:r>
        <w:rPr>
          <w:rFonts w:ascii="Arial" w:hAnsi="Arial" w:cs="Arial"/>
          <w:bCs/>
          <w:color w:val="auto"/>
          <w:kern w:val="1"/>
          <w:szCs w:val="21"/>
          <w:highlight w:val="none"/>
        </w:rPr>
        <w:t>资格审查结束后，由评标委员会对</w:t>
      </w:r>
      <w:r>
        <w:rPr>
          <w:rFonts w:ascii="Arial" w:hAnsi="Arial" w:cs="Arial"/>
          <w:color w:val="auto"/>
          <w:highlight w:val="none"/>
        </w:rPr>
        <w:t>通过资格审查的供应商的投标文件进行符合性审查，以确定其是否满足招标文件的实质性要求。</w:t>
      </w:r>
      <w:r>
        <w:rPr>
          <w:rFonts w:ascii="Arial" w:hAnsi="Arial" w:cs="Arial"/>
          <w:color w:val="auto"/>
          <w:szCs w:val="21"/>
          <w:highlight w:val="none"/>
        </w:rPr>
        <w:t>符合性检查表如下，缺少任何一项或有任何一项不合格者，其符合性检查视为不合格。</w:t>
      </w:r>
    </w:p>
    <w:p w14:paraId="036D17E3">
      <w:pPr>
        <w:spacing w:before="120" w:line="288" w:lineRule="auto"/>
        <w:ind w:firstLine="482" w:firstLineChars="200"/>
        <w:rPr>
          <w:rFonts w:ascii="Arial" w:hAnsi="Arial" w:cs="Arial"/>
          <w:b/>
          <w:bCs/>
          <w:color w:val="auto"/>
          <w:kern w:val="0"/>
          <w:sz w:val="24"/>
          <w:highlight w:val="none"/>
        </w:rPr>
      </w:pPr>
      <w:r>
        <w:rPr>
          <w:rFonts w:ascii="Arial" w:hAnsi="Arial" w:cs="Arial"/>
          <w:b/>
          <w:bCs/>
          <w:color w:val="auto"/>
          <w:sz w:val="24"/>
          <w:highlight w:val="none"/>
        </w:rPr>
        <w:t>2.1</w:t>
      </w:r>
      <w:r>
        <w:rPr>
          <w:rFonts w:ascii="Arial" w:hAnsi="Arial" w:cs="Arial"/>
          <w:b/>
          <w:bCs/>
          <w:color w:val="auto"/>
          <w:kern w:val="0"/>
          <w:sz w:val="24"/>
          <w:highlight w:val="none"/>
        </w:rPr>
        <w:t>有效性审查</w:t>
      </w:r>
    </w:p>
    <w:p w14:paraId="11367110">
      <w:pPr>
        <w:spacing w:before="120" w:line="288" w:lineRule="auto"/>
        <w:ind w:firstLine="442" w:firstLineChars="200"/>
        <w:rPr>
          <w:rFonts w:ascii="Arial" w:hAnsi="Arial" w:cs="Arial"/>
          <w:color w:val="auto"/>
          <w:szCs w:val="21"/>
          <w:highlight w:val="none"/>
        </w:rPr>
      </w:pPr>
      <w:r>
        <w:rPr>
          <w:rFonts w:ascii="Arial" w:hAnsi="Arial" w:cs="Arial"/>
          <w:b/>
          <w:bCs/>
          <w:color w:val="auto"/>
          <w:kern w:val="0"/>
          <w:sz w:val="22"/>
          <w:szCs w:val="22"/>
          <w:highlight w:val="none"/>
        </w:rPr>
        <w:t>2.1.1</w:t>
      </w:r>
      <w:r>
        <w:rPr>
          <w:rFonts w:ascii="Arial" w:hAnsi="Arial" w:cs="Arial"/>
          <w:b/>
          <w:bCs/>
          <w:color w:val="auto"/>
          <w:sz w:val="22"/>
          <w:szCs w:val="22"/>
          <w:highlight w:val="none"/>
        </w:rPr>
        <w:t>投标文件签署</w:t>
      </w:r>
      <w:r>
        <w:rPr>
          <w:rFonts w:ascii="Arial" w:hAnsi="Arial" w:cs="Arial"/>
          <w:color w:val="auto"/>
          <w:sz w:val="22"/>
          <w:szCs w:val="22"/>
          <w:highlight w:val="none"/>
        </w:rPr>
        <w:t>：</w:t>
      </w:r>
      <w:r>
        <w:rPr>
          <w:rFonts w:ascii="Arial" w:hAnsi="Arial" w:cs="Arial"/>
          <w:color w:val="auto"/>
          <w:szCs w:val="21"/>
          <w:highlight w:val="none"/>
        </w:rPr>
        <w:t>投标文件上法定代表人或其授权代表人已按要求签字盖章。</w:t>
      </w:r>
    </w:p>
    <w:p w14:paraId="6C1A9F6B">
      <w:pPr>
        <w:spacing w:before="120" w:line="288" w:lineRule="auto"/>
        <w:ind w:firstLine="442" w:firstLineChars="200"/>
        <w:rPr>
          <w:rFonts w:ascii="Arial" w:hAnsi="Arial" w:cs="Arial"/>
          <w:color w:val="auto"/>
          <w:szCs w:val="21"/>
          <w:highlight w:val="none"/>
        </w:rPr>
      </w:pPr>
      <w:r>
        <w:rPr>
          <w:rFonts w:ascii="Arial" w:hAnsi="Arial" w:cs="Arial"/>
          <w:b/>
          <w:bCs/>
          <w:color w:val="auto"/>
          <w:kern w:val="0"/>
          <w:sz w:val="22"/>
          <w:szCs w:val="22"/>
          <w:highlight w:val="none"/>
        </w:rPr>
        <w:t>2.1.2法定代表人身份证明及授权委托书：</w:t>
      </w:r>
      <w:r>
        <w:rPr>
          <w:rFonts w:ascii="Arial" w:hAnsi="Arial" w:cs="Arial"/>
          <w:color w:val="auto"/>
          <w:szCs w:val="21"/>
          <w:highlight w:val="none"/>
        </w:rPr>
        <w:t>供应商无授权代表时审查：法定代表人身份证明及附件，格式及附件见第六章投标文件格式要求；供应商有授权代表时审查：法定代表人授权委托书及附件，格式及附件见第六章投标文件格式要求；法定代表人身份证明及授权委托书须有效，符合招标文件规定的格式，签字或盖章齐全。</w:t>
      </w:r>
    </w:p>
    <w:p w14:paraId="43FB1C0A">
      <w:pPr>
        <w:spacing w:before="120" w:line="288" w:lineRule="auto"/>
        <w:ind w:firstLine="442" w:firstLineChars="200"/>
        <w:rPr>
          <w:rFonts w:ascii="Arial" w:hAnsi="Arial" w:cs="Arial"/>
          <w:color w:val="auto"/>
          <w:szCs w:val="21"/>
          <w:highlight w:val="none"/>
        </w:rPr>
      </w:pPr>
      <w:r>
        <w:rPr>
          <w:rFonts w:ascii="Arial" w:hAnsi="Arial" w:cs="Arial"/>
          <w:b/>
          <w:bCs/>
          <w:color w:val="auto"/>
          <w:kern w:val="0"/>
          <w:sz w:val="22"/>
          <w:szCs w:val="22"/>
          <w:highlight w:val="none"/>
        </w:rPr>
        <w:t>2.1.3投标文件或者投标报价唯一性：</w:t>
      </w:r>
      <w:r>
        <w:rPr>
          <w:rFonts w:ascii="Arial" w:hAnsi="Arial" w:cs="Arial"/>
          <w:color w:val="auto"/>
          <w:highlight w:val="none"/>
        </w:rPr>
        <w:t>同</w:t>
      </w:r>
      <w:r>
        <w:rPr>
          <w:rFonts w:ascii="Arial" w:hAnsi="Arial" w:cs="Arial"/>
          <w:color w:val="auto"/>
          <w:szCs w:val="21"/>
          <w:highlight w:val="none"/>
        </w:rPr>
        <w:t>一供应商不得提交两个以上不同的投标文件或者投标报价，但招标文件要求提交备选投标的除外。</w:t>
      </w:r>
    </w:p>
    <w:p w14:paraId="2795BCB3">
      <w:pPr>
        <w:spacing w:before="120" w:line="288" w:lineRule="auto"/>
        <w:ind w:firstLine="442" w:firstLineChars="200"/>
        <w:rPr>
          <w:rFonts w:ascii="Arial" w:hAnsi="Arial" w:cs="Arial"/>
          <w:color w:val="auto"/>
          <w:szCs w:val="21"/>
          <w:highlight w:val="none"/>
        </w:rPr>
      </w:pPr>
      <w:r>
        <w:rPr>
          <w:rFonts w:ascii="Arial" w:hAnsi="Arial" w:cs="Arial"/>
          <w:b/>
          <w:bCs/>
          <w:color w:val="auto"/>
          <w:kern w:val="0"/>
          <w:sz w:val="22"/>
          <w:szCs w:val="22"/>
          <w:highlight w:val="none"/>
        </w:rPr>
        <w:t>2.1.4投标报价：</w:t>
      </w:r>
      <w:r>
        <w:rPr>
          <w:rFonts w:ascii="Arial" w:hAnsi="Arial" w:cs="Arial"/>
          <w:color w:val="auto"/>
          <w:szCs w:val="21"/>
          <w:highlight w:val="none"/>
        </w:rPr>
        <w:t>报价超出采购预算金额或最高限价（如有）或</w:t>
      </w:r>
      <w:r>
        <w:rPr>
          <w:rFonts w:ascii="Arial" w:hAnsi="Arial" w:cs="Arial"/>
          <w:color w:val="auto"/>
          <w:kern w:val="0"/>
          <w:szCs w:val="21"/>
          <w:highlight w:val="none"/>
        </w:rPr>
        <w:t>单项</w:t>
      </w:r>
      <w:r>
        <w:rPr>
          <w:rFonts w:hint="eastAsia" w:ascii="Arial" w:hAnsi="Arial" w:cs="Arial"/>
          <w:color w:val="auto"/>
          <w:kern w:val="0"/>
          <w:szCs w:val="21"/>
          <w:highlight w:val="none"/>
        </w:rPr>
        <w:t>最高限价</w:t>
      </w:r>
      <w:r>
        <w:rPr>
          <w:rFonts w:ascii="Arial" w:hAnsi="Arial" w:cs="Arial"/>
          <w:color w:val="auto"/>
          <w:szCs w:val="21"/>
          <w:highlight w:val="none"/>
        </w:rPr>
        <w:t>（如有）的，否决其投标</w:t>
      </w:r>
      <w:r>
        <w:rPr>
          <w:rFonts w:ascii="Arial" w:hAnsi="Arial" w:cs="Arial"/>
          <w:color w:val="auto"/>
          <w:highlight w:val="none"/>
        </w:rPr>
        <w:t>。</w:t>
      </w:r>
      <w:r>
        <w:rPr>
          <w:rFonts w:ascii="Arial" w:hAnsi="Arial" w:cs="Arial"/>
          <w:color w:val="auto"/>
          <w:szCs w:val="21"/>
          <w:highlight w:val="none"/>
        </w:rPr>
        <w:t>提交选择性报价的，否决其投标。</w:t>
      </w:r>
    </w:p>
    <w:p w14:paraId="5B48C9DA">
      <w:pPr>
        <w:spacing w:before="120" w:line="288" w:lineRule="auto"/>
        <w:ind w:firstLine="442" w:firstLineChars="200"/>
        <w:rPr>
          <w:rFonts w:ascii="Arial" w:hAnsi="Arial" w:cs="Arial"/>
          <w:b/>
          <w:bCs/>
          <w:color w:val="auto"/>
          <w:kern w:val="0"/>
          <w:sz w:val="22"/>
          <w:szCs w:val="22"/>
          <w:highlight w:val="none"/>
        </w:rPr>
      </w:pPr>
      <w:r>
        <w:rPr>
          <w:rFonts w:ascii="Arial" w:hAnsi="Arial" w:cs="Arial"/>
          <w:b/>
          <w:bCs/>
          <w:color w:val="auto"/>
          <w:sz w:val="22"/>
          <w:szCs w:val="22"/>
          <w:highlight w:val="none"/>
        </w:rPr>
        <w:t>2.2</w:t>
      </w:r>
      <w:r>
        <w:rPr>
          <w:rFonts w:ascii="Arial" w:hAnsi="Arial" w:cs="Arial"/>
          <w:b/>
          <w:bCs/>
          <w:color w:val="auto"/>
          <w:kern w:val="0"/>
          <w:sz w:val="22"/>
          <w:szCs w:val="22"/>
          <w:highlight w:val="none"/>
        </w:rPr>
        <w:t>完整性审查</w:t>
      </w:r>
    </w:p>
    <w:p w14:paraId="5F963489">
      <w:pPr>
        <w:spacing w:before="120" w:line="320" w:lineRule="atLeast"/>
        <w:ind w:firstLine="433" w:firstLineChars="196"/>
        <w:outlineLvl w:val="1"/>
        <w:rPr>
          <w:rFonts w:ascii="Arial" w:hAnsi="Arial" w:cs="Arial"/>
          <w:b/>
          <w:bCs/>
          <w:color w:val="auto"/>
          <w:kern w:val="0"/>
          <w:szCs w:val="21"/>
          <w:highlight w:val="none"/>
        </w:rPr>
      </w:pPr>
      <w:r>
        <w:rPr>
          <w:rFonts w:ascii="Arial" w:hAnsi="Arial" w:cs="Arial"/>
          <w:b/>
          <w:bCs/>
          <w:color w:val="auto"/>
          <w:kern w:val="0"/>
          <w:sz w:val="22"/>
          <w:szCs w:val="22"/>
          <w:highlight w:val="none"/>
        </w:rPr>
        <w:t>对招标文件的响应程度审查：</w:t>
      </w:r>
      <w:r>
        <w:rPr>
          <w:rFonts w:ascii="Arial" w:hAnsi="Arial" w:cs="Arial"/>
          <w:color w:val="auto"/>
          <w:kern w:val="0"/>
          <w:szCs w:val="21"/>
          <w:highlight w:val="none"/>
        </w:rPr>
        <w:t>（1）</w:t>
      </w:r>
      <w:r>
        <w:rPr>
          <w:rFonts w:ascii="Arial" w:hAnsi="Arial" w:cs="Arial"/>
          <w:color w:val="auto"/>
          <w:szCs w:val="21"/>
          <w:highlight w:val="none"/>
          <w:lang w:val="zh-CN"/>
        </w:rPr>
        <w:t>实质性条款响应：对招标文件中所有标注▲号的实质性条款要求响应均无负偏离。（</w:t>
      </w:r>
      <w:r>
        <w:rPr>
          <w:rFonts w:ascii="Arial" w:hAnsi="Arial" w:cs="Arial"/>
          <w:color w:val="auto"/>
          <w:szCs w:val="21"/>
          <w:highlight w:val="none"/>
        </w:rPr>
        <w:t>2</w:t>
      </w:r>
      <w:r>
        <w:rPr>
          <w:rFonts w:ascii="Arial" w:hAnsi="Arial" w:cs="Arial"/>
          <w:color w:val="auto"/>
          <w:szCs w:val="21"/>
          <w:highlight w:val="none"/>
          <w:lang w:val="zh-CN"/>
        </w:rPr>
        <w:t>）</w:t>
      </w:r>
      <w:r>
        <w:rPr>
          <w:rFonts w:ascii="Arial" w:hAnsi="Arial" w:cs="Arial"/>
          <w:color w:val="auto"/>
          <w:szCs w:val="21"/>
          <w:highlight w:val="none"/>
        </w:rPr>
        <w:t>投标有效期：满足招标文件规定。</w:t>
      </w:r>
    </w:p>
    <w:p w14:paraId="6F6C439E">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3、串通投标的认定</w:t>
      </w:r>
    </w:p>
    <w:p w14:paraId="5C55FCE6">
      <w:pPr>
        <w:spacing w:before="120" w:line="320" w:lineRule="atLeast"/>
        <w:ind w:firstLine="420" w:firstLineChars="200"/>
        <w:rPr>
          <w:rFonts w:ascii="Arial" w:hAnsi="Arial" w:cs="Arial"/>
          <w:color w:val="auto"/>
          <w:highlight w:val="none"/>
        </w:rPr>
      </w:pPr>
      <w:r>
        <w:rPr>
          <w:rFonts w:ascii="Arial" w:hAnsi="Arial" w:cs="Arial"/>
          <w:color w:val="auto"/>
          <w:highlight w:val="none"/>
        </w:rPr>
        <w:t>评标委员会须根据以下规定评审</w:t>
      </w:r>
      <w:r>
        <w:rPr>
          <w:rFonts w:ascii="Arial" w:hAnsi="Arial" w:cs="Arial"/>
          <w:bCs/>
          <w:color w:val="auto"/>
          <w:kern w:val="0"/>
          <w:szCs w:val="21"/>
          <w:highlight w:val="none"/>
        </w:rPr>
        <w:t>供应商是否有串通投标的行为，并按规定判定投标是否有效</w:t>
      </w:r>
      <w:r>
        <w:rPr>
          <w:rFonts w:ascii="Arial" w:hAnsi="Arial" w:cs="Arial"/>
          <w:color w:val="auto"/>
          <w:highlight w:val="none"/>
        </w:rPr>
        <w:t>。</w:t>
      </w:r>
    </w:p>
    <w:p w14:paraId="33E7B5C3">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（1）根据桂财采[2016]42号《关于防治政府采购招标中串通投标行为的通知》规定，出现下述情况的，相关供应商的投标作无效投标处理。</w:t>
      </w:r>
    </w:p>
    <w:p w14:paraId="43A36797">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①单位负责人为同一人或者存在直接控股、管理关系，参加同一合同项下政府采购活动的不同供应商。</w:t>
      </w:r>
    </w:p>
    <w:p w14:paraId="7C8E7DAB">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②授权给供应商后参加同一合同项（分标、分包）投标的生产厂商。</w:t>
      </w:r>
    </w:p>
    <w:p w14:paraId="78937BCD">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③视为或被认定为串通投标的相关供应商。</w:t>
      </w:r>
    </w:p>
    <w:p w14:paraId="5BD7C68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（2）根据桂财采[2016]42号《关于防治政府采购招标中串通投标行为的通知》规定，有下列情形之一的视为供应商相互串通投标，投标文件将被视为无效。</w:t>
      </w:r>
    </w:p>
    <w:p w14:paraId="78A8E8C7">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①不同供应商的投标文件由同一单位或者个人编制；</w:t>
      </w:r>
    </w:p>
    <w:p w14:paraId="0A790E78">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②不同供应商委托同一单位或者个人办理投标事宜；</w:t>
      </w:r>
    </w:p>
    <w:p w14:paraId="6331827D">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③不同的供应商的投标文件载明的项目管理员为同一个人；</w:t>
      </w:r>
    </w:p>
    <w:p w14:paraId="3052EB04">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④不同供应商的投标文件异常一致或投标报价呈规律性差异；</w:t>
      </w:r>
    </w:p>
    <w:p w14:paraId="75CAC885">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⑤不同供应商的投标文件相互混装；</w:t>
      </w:r>
    </w:p>
    <w:p w14:paraId="641A4961">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（3）根据桂财采[2016]42号《关于防治政府采购招标中串通投标行为的通知》规定，供应商有下列情形之一的，属于恶意串通行为，投标文件将被视为无效。</w:t>
      </w:r>
    </w:p>
    <w:p w14:paraId="53AC045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①供应商直接或者间接从采购人或者采购代理机构处获得其他供应商的相关信息并修改其投标文件或者</w:t>
      </w:r>
      <w:r>
        <w:rPr>
          <w:rFonts w:hint="eastAsia" w:ascii="Arial" w:hAnsi="Arial" w:cs="Arial"/>
          <w:color w:val="auto"/>
          <w:szCs w:val="21"/>
          <w:highlight w:val="none"/>
        </w:rPr>
        <w:t>投标文件</w:t>
      </w:r>
      <w:r>
        <w:rPr>
          <w:rFonts w:ascii="Arial" w:hAnsi="Arial" w:cs="Arial"/>
          <w:color w:val="auto"/>
          <w:szCs w:val="21"/>
          <w:highlight w:val="none"/>
        </w:rPr>
        <w:t>；</w:t>
      </w:r>
    </w:p>
    <w:p w14:paraId="7286700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②供应商按照采购人或者采购代理机构的授意撤换、修改投标文件或者</w:t>
      </w:r>
      <w:r>
        <w:rPr>
          <w:rFonts w:hint="eastAsia" w:ascii="Arial" w:hAnsi="Arial" w:cs="Arial"/>
          <w:color w:val="auto"/>
          <w:szCs w:val="21"/>
          <w:highlight w:val="none"/>
        </w:rPr>
        <w:t>投标文件</w:t>
      </w:r>
      <w:r>
        <w:rPr>
          <w:rFonts w:ascii="Arial" w:hAnsi="Arial" w:cs="Arial"/>
          <w:color w:val="auto"/>
          <w:szCs w:val="21"/>
          <w:highlight w:val="none"/>
        </w:rPr>
        <w:t>;；</w:t>
      </w:r>
    </w:p>
    <w:p w14:paraId="7719A360">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③供应商之间协商报价、技术方案等投标文件或者</w:t>
      </w:r>
      <w:r>
        <w:rPr>
          <w:rFonts w:hint="eastAsia" w:ascii="Arial" w:hAnsi="Arial" w:cs="Arial"/>
          <w:color w:val="auto"/>
          <w:szCs w:val="21"/>
          <w:highlight w:val="none"/>
        </w:rPr>
        <w:t>投标文件</w:t>
      </w:r>
      <w:r>
        <w:rPr>
          <w:rFonts w:ascii="Arial" w:hAnsi="Arial" w:cs="Arial"/>
          <w:color w:val="auto"/>
          <w:szCs w:val="21"/>
          <w:highlight w:val="none"/>
        </w:rPr>
        <w:t>的实质性内容；</w:t>
      </w:r>
    </w:p>
    <w:p w14:paraId="2005C719">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④属于同一集团、协会、商会等组织成员的供应商按照该组织要求协同参加政府采购活动；</w:t>
      </w:r>
    </w:p>
    <w:p w14:paraId="76FF801F">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⑤供应商之间事先约定一致抬高或者压低投标报价，或者在招标项目中事先约定轮流以高价位或者低价位中标，或者事先约定由某一特定供应商中标，然后再参加投标；</w:t>
      </w:r>
    </w:p>
    <w:p w14:paraId="1F8D9FF9">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⑥供应商之间商定部分供应商放弃参加政府采购活动或者放弃中标；</w:t>
      </w:r>
    </w:p>
    <w:p w14:paraId="22F9958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⑦供应商与采购人或者采购代理机构之间、供应商相互之间，为谋求特定供应商中标或者排斥其他供应商的其他串通行为。</w:t>
      </w:r>
    </w:p>
    <w:p w14:paraId="1FEB6D65">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4、投标有效性的认定</w:t>
      </w:r>
    </w:p>
    <w:p w14:paraId="577261F0">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（1）资格审查时，如发现下列情形之一的，投标文件将被视为无效：</w:t>
      </w:r>
    </w:p>
    <w:p w14:paraId="33DF642F">
      <w:pPr>
        <w:spacing w:before="120" w:line="320" w:lineRule="atLeast"/>
        <w:ind w:firstLine="420" w:firstLineChars="200"/>
        <w:rPr>
          <w:rStyle w:val="97"/>
          <w:rFonts w:ascii="Arial" w:hAnsi="Arial" w:cs="Arial"/>
          <w:color w:val="auto"/>
          <w:highlight w:val="none"/>
        </w:rPr>
      </w:pPr>
      <w:r>
        <w:rPr>
          <w:rFonts w:ascii="Arial" w:hAnsi="Arial" w:cs="Arial"/>
          <w:color w:val="auto"/>
          <w:szCs w:val="21"/>
          <w:highlight w:val="none"/>
        </w:rPr>
        <w:t>①</w:t>
      </w:r>
      <w:r>
        <w:rPr>
          <w:rFonts w:ascii="Arial" w:hAnsi="Arial" w:cs="Arial"/>
          <w:color w:val="auto"/>
          <w:highlight w:val="none"/>
        </w:rPr>
        <w:t>不具备招标文件中规定的资格要求的；</w:t>
      </w:r>
    </w:p>
    <w:p w14:paraId="639BB511">
      <w:pPr>
        <w:spacing w:before="120" w:line="320" w:lineRule="atLeast"/>
        <w:ind w:firstLine="420" w:firstLineChars="200"/>
        <w:rPr>
          <w:rStyle w:val="97"/>
          <w:rFonts w:ascii="Arial" w:hAnsi="Arial" w:cs="Arial"/>
          <w:color w:val="auto"/>
          <w:szCs w:val="21"/>
          <w:highlight w:val="none"/>
        </w:rPr>
      </w:pPr>
      <w:r>
        <w:rPr>
          <w:rFonts w:ascii="Arial" w:hAnsi="Arial" w:cs="Arial"/>
          <w:color w:val="auto"/>
          <w:szCs w:val="21"/>
          <w:highlight w:val="none"/>
        </w:rPr>
        <w:t>②投标文件签署（签名）、盖章不符合招标文件要求的</w:t>
      </w:r>
      <w:r>
        <w:rPr>
          <w:rFonts w:ascii="Arial" w:hAnsi="Arial" w:cs="Arial"/>
          <w:color w:val="auto"/>
          <w:highlight w:val="none"/>
        </w:rPr>
        <w:t>；</w:t>
      </w:r>
    </w:p>
    <w:p w14:paraId="26C48DE1">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（2）在符合性审查、商务和技术评估时，如发现下列情形之一的，投标文件将被视为无效：</w:t>
      </w:r>
    </w:p>
    <w:p w14:paraId="35FC8BAD">
      <w:pPr>
        <w:spacing w:before="120" w:line="320" w:lineRule="atLeast"/>
        <w:ind w:firstLine="420" w:firstLineChars="200"/>
        <w:rPr>
          <w:rFonts w:ascii="Arial" w:hAnsi="Arial" w:cs="Arial"/>
          <w:color w:val="auto"/>
          <w:highlight w:val="none"/>
        </w:rPr>
      </w:pPr>
      <w:r>
        <w:rPr>
          <w:rFonts w:ascii="Arial" w:hAnsi="Arial" w:cs="Arial"/>
          <w:color w:val="auto"/>
          <w:szCs w:val="21"/>
          <w:highlight w:val="none"/>
        </w:rPr>
        <w:t>①</w:t>
      </w:r>
      <w:r>
        <w:rPr>
          <w:rFonts w:ascii="Arial" w:hAnsi="Arial" w:cs="Arial"/>
          <w:color w:val="auto"/>
          <w:highlight w:val="none"/>
        </w:rPr>
        <w:t>投标文件未按招标文件要求签署、盖章的；</w:t>
      </w:r>
    </w:p>
    <w:p w14:paraId="3F11C2E6">
      <w:pPr>
        <w:spacing w:before="120" w:line="320" w:lineRule="atLeast"/>
        <w:ind w:firstLine="420" w:firstLineChars="200"/>
        <w:rPr>
          <w:rStyle w:val="97"/>
          <w:rFonts w:ascii="Arial" w:hAnsi="Arial" w:cs="Arial"/>
          <w:color w:val="auto"/>
          <w:highlight w:val="none"/>
        </w:rPr>
      </w:pPr>
      <w:r>
        <w:rPr>
          <w:rFonts w:ascii="Arial" w:hAnsi="Arial" w:cs="Arial"/>
          <w:color w:val="auto"/>
          <w:szCs w:val="21"/>
          <w:highlight w:val="none"/>
        </w:rPr>
        <w:t>②</w:t>
      </w:r>
      <w:r>
        <w:rPr>
          <w:rFonts w:ascii="Arial" w:hAnsi="Arial" w:cs="Arial"/>
          <w:color w:val="auto"/>
          <w:highlight w:val="none"/>
        </w:rPr>
        <w:t>投标文件未按招标文件要求提供第六章要求“必须提供”的内容的；</w:t>
      </w:r>
    </w:p>
    <w:p w14:paraId="138487F6">
      <w:pPr>
        <w:spacing w:before="120" w:line="320" w:lineRule="atLeast"/>
        <w:ind w:firstLine="420" w:firstLineChars="200"/>
        <w:rPr>
          <w:rStyle w:val="97"/>
          <w:rFonts w:ascii="Arial" w:hAnsi="Arial" w:cs="Arial"/>
          <w:color w:val="auto"/>
          <w:highlight w:val="none"/>
        </w:rPr>
      </w:pPr>
      <w:r>
        <w:rPr>
          <w:rFonts w:ascii="Arial" w:hAnsi="Arial" w:cs="Arial"/>
          <w:color w:val="auto"/>
          <w:szCs w:val="21"/>
          <w:highlight w:val="none"/>
        </w:rPr>
        <w:t>③</w:t>
      </w:r>
      <w:r>
        <w:rPr>
          <w:rFonts w:ascii="Arial" w:hAnsi="Arial" w:cs="Arial"/>
          <w:color w:val="auto"/>
          <w:highlight w:val="none"/>
        </w:rPr>
        <w:t>报价超过招标文件中规定的预算金额或者最高限价的；</w:t>
      </w:r>
    </w:p>
    <w:p w14:paraId="676CBA4E">
      <w:pPr>
        <w:spacing w:before="120" w:line="320" w:lineRule="atLeast"/>
        <w:ind w:firstLine="420" w:firstLineChars="200"/>
        <w:rPr>
          <w:rFonts w:ascii="Arial" w:hAnsi="Arial" w:cs="Arial"/>
          <w:color w:val="auto"/>
          <w:highlight w:val="none"/>
        </w:rPr>
      </w:pPr>
      <w:r>
        <w:rPr>
          <w:rFonts w:ascii="Arial" w:hAnsi="Arial" w:cs="Arial"/>
          <w:color w:val="auto"/>
          <w:szCs w:val="21"/>
          <w:highlight w:val="none"/>
        </w:rPr>
        <w:t>④</w:t>
      </w:r>
      <w:r>
        <w:rPr>
          <w:rFonts w:ascii="Arial" w:hAnsi="Arial" w:cs="Arial"/>
          <w:color w:val="auto"/>
          <w:highlight w:val="none"/>
        </w:rPr>
        <w:t>投标文件含有采购人不能接受的附加条件的；</w:t>
      </w:r>
    </w:p>
    <w:p w14:paraId="1FA2F249">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⑤评审过程中发现投标文件中提供虚假材料的；</w:t>
      </w:r>
    </w:p>
    <w:p w14:paraId="281B1E3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⑥法律、法规和招标文件规定的其他无效情形。</w:t>
      </w:r>
    </w:p>
    <w:p w14:paraId="6EE8AC05">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（3）根据财库〔2019〕38号《关于促进政府采购公平竞争优化营商环境的通知》以及桂财采〔2019〕41号 《广西壮族自治区财政厅转发财政部关于促进政府采购公平竞争优化营商环境的通知》规定，评标委员会认定投标有效性时不得因装订、纸张、文件排序等非实质性的格式、形式问题否决投标，从而限制和影响供应商投标（响应）。</w:t>
      </w:r>
    </w:p>
    <w:p w14:paraId="08A9AC90">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5、澄清、说明或补正</w:t>
      </w:r>
    </w:p>
    <w:p w14:paraId="203396D8">
      <w:pPr>
        <w:spacing w:before="120" w:line="320" w:lineRule="atLeast"/>
        <w:ind w:firstLine="420" w:firstLineChars="200"/>
        <w:rPr>
          <w:rFonts w:ascii="Arial" w:hAnsi="Arial" w:cs="Arial"/>
          <w:color w:val="auto"/>
          <w:szCs w:val="21"/>
          <w:highlight w:val="none"/>
        </w:rPr>
      </w:pPr>
      <w:bookmarkStart w:id="75" w:name="_Hlk19113333"/>
      <w:r>
        <w:rPr>
          <w:rFonts w:ascii="Arial" w:hAnsi="Arial" w:cs="Arial"/>
          <w:color w:val="auto"/>
          <w:szCs w:val="21"/>
          <w:highlight w:val="none"/>
        </w:rPr>
        <w:t>对投标文件中含义不明确、同类问题表述不一致或者有明显文字和计算错误的内容，评标委员会可要求供应商在合理时间内通过在线询标、电话、电子邮件或传真等不见面、不接触的方式作出必要的澄清、说明或者纠正。内容不得超出投标文件的范围或者改变投标文件的实质性内容。逾期未做澄清、说明或者纠正的，经电话催告仍不澄清的，视为放弃。</w:t>
      </w:r>
    </w:p>
    <w:bookmarkEnd w:id="75"/>
    <w:p w14:paraId="7DDEC976">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6、报价修正</w:t>
      </w:r>
    </w:p>
    <w:p w14:paraId="3A713DA5">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投标文件报价如果出现计算或表达上的错误，修正错误的原则如下：</w:t>
      </w:r>
    </w:p>
    <w:p w14:paraId="0F68CD78">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（1）投标文件中开标一览表（报价表）内容与投标文件中相应内容不一致的，以开标一览表（报价表）为准；</w:t>
      </w:r>
    </w:p>
    <w:p w14:paraId="1326F304">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（2）大写金额和小写金额不一致的，以大写金额为准；</w:t>
      </w:r>
    </w:p>
    <w:p w14:paraId="5DB033DF">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（3）单价金额小数点或者百分比有明显错位的，以开标一览表的总价为准，并修改单价；</w:t>
      </w:r>
    </w:p>
    <w:p w14:paraId="7EB119F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（4）总价金额与按单价汇总金额不一致的，以单价金额计算结果为准。</w:t>
      </w:r>
    </w:p>
    <w:p w14:paraId="742A92F1">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同时出现两种以上不一致的，按照上述顺序修正。修正后的报价按照上述“5、澄清、说明或补正”的规定经供应商确认后产生约束力，供应商不确认的，其投标无效。</w:t>
      </w:r>
    </w:p>
    <w:p w14:paraId="4C62E0A4">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7、过低报价合理性的审查</w:t>
      </w:r>
    </w:p>
    <w:p w14:paraId="00DE6E71">
      <w:pPr>
        <w:spacing w:before="120" w:line="320" w:lineRule="atLeast"/>
        <w:ind w:firstLine="420" w:firstLineChars="200"/>
        <w:rPr>
          <w:rFonts w:ascii="Arial" w:hAnsi="Arial" w:cs="Arial"/>
          <w:b/>
          <w:bCs/>
          <w:color w:val="auto"/>
          <w:szCs w:val="21"/>
          <w:highlight w:val="none"/>
        </w:rPr>
      </w:pPr>
      <w:r>
        <w:rPr>
          <w:rFonts w:hint="eastAsia"/>
          <w:color w:val="auto"/>
          <w:highlight w:val="none"/>
        </w:rPr>
        <w:t>投标人的报价存在异常低价问题的情形，评审委员会</w:t>
      </w:r>
      <w:r>
        <w:rPr>
          <w:rFonts w:hint="eastAsia"/>
          <w:color w:val="auto"/>
          <w:szCs w:val="21"/>
          <w:highlight w:val="none"/>
        </w:rPr>
        <w:t>应当要求其在评标现场合理的时间内提供报价合理性相关的书面说明及必要的证明材料。</w:t>
      </w:r>
      <w:r>
        <w:rPr>
          <w:rFonts w:hint="eastAsia"/>
          <w:color w:val="auto"/>
          <w:highlight w:val="none"/>
        </w:rPr>
        <w:t>投标人不能证明其报价合理性的，评审委员会应当将其作为无效投标处理。</w:t>
      </w:r>
    </w:p>
    <w:p w14:paraId="3D54B461">
      <w:pPr>
        <w:spacing w:before="120" w:line="320" w:lineRule="atLeast"/>
        <w:ind w:firstLine="420" w:firstLineChars="200"/>
        <w:rPr>
          <w:rFonts w:ascii="Arial" w:hAnsi="Arial" w:cs="Arial"/>
          <w:color w:val="auto"/>
          <w:highlight w:val="none"/>
        </w:rPr>
      </w:pPr>
      <w:r>
        <w:rPr>
          <w:rFonts w:ascii="Arial" w:hAnsi="Arial" w:cs="Arial"/>
          <w:color w:val="auto"/>
          <w:highlight w:val="none"/>
        </w:rPr>
        <w:t>报价合理性书面说明应当有签字或盖章确认，供应商为法人的，由其法定代表人或者授权代表签名或盖章确认；供应商为其他组织的，由其主要负责人或者授权代表签名或盖章确认；供应商为自然人的，由其本人或者授权代表签名或盖章确认。</w:t>
      </w:r>
    </w:p>
    <w:p w14:paraId="43031DC6">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8、商务和技术评估、综合比较与评价</w:t>
      </w:r>
    </w:p>
    <w:p w14:paraId="0974602F">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评标委员会按招标文件中规定的评标方法和标准，对资格审查和符合性审查合格的投标文件进行商务和技术评估，综合比较与评价。</w:t>
      </w:r>
      <w:r>
        <w:rPr>
          <w:rStyle w:val="97"/>
          <w:rFonts w:ascii="Arial" w:hAnsi="Arial" w:cs="Arial"/>
          <w:color w:val="auto"/>
          <w:highlight w:val="none"/>
        </w:rPr>
        <w:t>具体评标标准见《</w:t>
      </w:r>
      <w:r>
        <w:rPr>
          <w:rFonts w:ascii="Arial" w:hAnsi="Arial" w:cs="Arial"/>
          <w:bCs/>
          <w:color w:val="auto"/>
          <w:kern w:val="0"/>
          <w:szCs w:val="21"/>
          <w:highlight w:val="none"/>
        </w:rPr>
        <w:t>评分表</w:t>
      </w:r>
      <w:r>
        <w:rPr>
          <w:rStyle w:val="97"/>
          <w:rFonts w:ascii="Arial" w:hAnsi="Arial" w:cs="Arial"/>
          <w:color w:val="auto"/>
          <w:highlight w:val="none"/>
        </w:rPr>
        <w:t>》。</w:t>
      </w:r>
    </w:p>
    <w:p w14:paraId="689E49E9">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评标委员会各成员独立对每个有效供应商的投标文件进行评价、打分，然后由评标组长组织评标委员会对各成员打分情况进行核查及复核，评分有误的，应及时进行修正。评标标准如有主客观分定义，评标委员会所有成员的客观分打分分数应当一致。</w:t>
      </w:r>
    </w:p>
    <w:p w14:paraId="76720778">
      <w:pPr>
        <w:spacing w:before="120" w:line="320" w:lineRule="atLeast"/>
        <w:ind w:firstLine="420" w:firstLineChars="200"/>
        <w:rPr>
          <w:rFonts w:ascii="Arial" w:hAnsi="Arial" w:cs="Arial"/>
          <w:color w:val="auto"/>
          <w:highlight w:val="none"/>
        </w:rPr>
      </w:pPr>
      <w:r>
        <w:rPr>
          <w:rFonts w:ascii="Arial" w:hAnsi="Arial" w:cs="Arial"/>
          <w:color w:val="auto"/>
          <w:szCs w:val="21"/>
          <w:highlight w:val="none"/>
        </w:rPr>
        <w:t>复核后，评标委员会汇总每个供应商每项评分因素的得分。</w:t>
      </w:r>
      <w:r>
        <w:rPr>
          <w:rFonts w:ascii="Arial" w:hAnsi="Arial" w:cs="Arial"/>
          <w:color w:val="auto"/>
          <w:highlight w:val="none"/>
        </w:rPr>
        <w:t>评标结果汇总完成后，除下列情形外，任何人不得修改评标结果：（1）分值汇总计算错误的；（2）分项评分超出评分标准范围的；（3）评标委员会成员对客观评审因素评分不一致的；（4）经评标委员会认定评分畸高、畸低的。评标报告签署前，经复核发现存在以上情形之一的，评标委员会应当当场修改评标结果，并在评标报告中记载；评标报告签署后，采购人或者采购代理机构发现存在以上情形之一的，应当组织原评标委员会进行重新评审。</w:t>
      </w:r>
    </w:p>
    <w:p w14:paraId="3995EB6B">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9、中标候选人推荐原则</w:t>
      </w:r>
    </w:p>
    <w:p w14:paraId="70787A96">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按评标后得分由高到低的排列顺序推荐综合得分排名第一的为第一中标候选人。若中标候选人综合得分相同的，按投标报价由低到高顺序排列；综合得分且投标报价相同的</w:t>
      </w:r>
      <w:r>
        <w:rPr>
          <w:rFonts w:ascii="Arial" w:hAnsi="Arial" w:cs="Arial"/>
          <w:color w:val="auto"/>
          <w:highlight w:val="none"/>
        </w:rPr>
        <w:t>并列</w:t>
      </w:r>
      <w:r>
        <w:rPr>
          <w:rFonts w:ascii="Arial" w:hAnsi="Arial" w:cs="Arial"/>
          <w:color w:val="auto"/>
          <w:szCs w:val="21"/>
          <w:highlight w:val="none"/>
        </w:rPr>
        <w:t>；中标候选人并列的，</w:t>
      </w:r>
      <w:r>
        <w:rPr>
          <w:rFonts w:ascii="Arial" w:hAnsi="Arial" w:cs="Arial"/>
          <w:color w:val="auto"/>
          <w:highlight w:val="none"/>
        </w:rPr>
        <w:t>由采购人</w:t>
      </w:r>
      <w:r>
        <w:rPr>
          <w:rFonts w:ascii="Arial" w:hAnsi="Arial" w:cs="Arial"/>
          <w:color w:val="auto"/>
          <w:szCs w:val="21"/>
          <w:highlight w:val="none"/>
        </w:rPr>
        <w:t>按综合信誉及履约能力分得分由高到低顺序排列，若综合得分、投标报价、综合信誉及履约能力分均相同的，按技术方案分得分由高到低顺序排列。</w:t>
      </w:r>
    </w:p>
    <w:p w14:paraId="74C2516F">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10、评标争议处理</w:t>
      </w:r>
    </w:p>
    <w:p w14:paraId="3D730FFC">
      <w:pPr>
        <w:spacing w:before="120" w:line="320" w:lineRule="atLeast"/>
        <w:ind w:firstLine="420" w:firstLineChars="200"/>
        <w:rPr>
          <w:rFonts w:ascii="Arial" w:hAnsi="Arial" w:cs="Arial"/>
          <w:color w:val="auto"/>
          <w:szCs w:val="21"/>
          <w:highlight w:val="none"/>
        </w:rPr>
      </w:pPr>
      <w:r>
        <w:rPr>
          <w:rFonts w:ascii="Arial" w:hAnsi="Arial" w:cs="Arial"/>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bookmarkEnd w:id="70"/>
    <w:bookmarkEnd w:id="71"/>
    <w:p w14:paraId="2EBC5CCB">
      <w:pPr>
        <w:spacing w:before="120" w:line="320" w:lineRule="atLeast"/>
        <w:ind w:firstLine="420" w:firstLineChars="200"/>
        <w:rPr>
          <w:rFonts w:ascii="Arial" w:hAnsi="Arial" w:cs="Arial"/>
          <w:color w:val="auto"/>
          <w:szCs w:val="21"/>
          <w:highlight w:val="none"/>
        </w:rPr>
      </w:pPr>
    </w:p>
    <w:p w14:paraId="710BFC2A">
      <w:pPr>
        <w:spacing w:before="120" w:line="320" w:lineRule="atLeast"/>
        <w:outlineLvl w:val="1"/>
        <w:rPr>
          <w:rFonts w:ascii="Arial" w:hAnsi="Arial" w:cs="Arial"/>
          <w:b/>
          <w:bCs/>
          <w:color w:val="auto"/>
          <w:kern w:val="0"/>
          <w:szCs w:val="21"/>
          <w:highlight w:val="none"/>
        </w:rPr>
      </w:pPr>
      <w:bookmarkStart w:id="76" w:name="_Hlk19113393"/>
      <w:r>
        <w:rPr>
          <w:rFonts w:ascii="Arial" w:hAnsi="Arial" w:cs="Arial"/>
          <w:b/>
          <w:bCs/>
          <w:color w:val="auto"/>
          <w:kern w:val="0"/>
          <w:szCs w:val="21"/>
          <w:highlight w:val="none"/>
        </w:rPr>
        <w:t>五、评标标准</w:t>
      </w:r>
    </w:p>
    <w:bookmarkEnd w:id="76"/>
    <w:p w14:paraId="7BB6BDBD">
      <w:pPr>
        <w:pStyle w:val="165"/>
        <w:snapToGrid w:val="0"/>
        <w:spacing w:line="360" w:lineRule="auto"/>
        <w:ind w:firstLine="0" w:firstLineChars="0"/>
        <w:rPr>
          <w:rFonts w:ascii="Arial" w:hAnsi="Arial" w:cs="Arial"/>
          <w:b/>
          <w:color w:val="auto"/>
          <w:kern w:val="0"/>
          <w:sz w:val="24"/>
          <w:highlight w:val="none"/>
        </w:rPr>
      </w:pPr>
      <w:r>
        <w:rPr>
          <w:rFonts w:ascii="Arial" w:hAnsi="Arial" w:cs="Arial"/>
          <w:b/>
          <w:color w:val="auto"/>
          <w:kern w:val="0"/>
          <w:sz w:val="24"/>
          <w:highlight w:val="none"/>
        </w:rPr>
        <w:t>（一）评分细则</w:t>
      </w:r>
    </w:p>
    <w:p w14:paraId="01B59A53">
      <w:pPr>
        <w:rPr>
          <w:rFonts w:ascii="Arial" w:hAnsi="Arial" w:cs="Arial"/>
          <w:color w:val="auto"/>
          <w:sz w:val="24"/>
          <w:highlight w:val="none"/>
        </w:rPr>
      </w:pPr>
      <w:r>
        <w:rPr>
          <w:rFonts w:ascii="Arial" w:hAnsi="Arial" w:cs="Arial"/>
          <w:color w:val="auto"/>
          <w:sz w:val="24"/>
          <w:highlight w:val="none"/>
        </w:rPr>
        <w:br w:type="page"/>
      </w:r>
    </w:p>
    <w:p w14:paraId="7A84AE9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（1）技术及商务资信分</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1009"/>
        <w:gridCol w:w="7828"/>
      </w:tblGrid>
      <w:tr w14:paraId="1F16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7F062569">
            <w:pPr>
              <w:adjustRightInd w:val="0"/>
              <w:snapToGrid w:val="0"/>
              <w:spacing w:line="300" w:lineRule="auto"/>
              <w:jc w:val="center"/>
              <w:rPr>
                <w:rFonts w:ascii="Arial" w:hAnsi="Arial" w:cs="Arial"/>
                <w:b/>
                <w:color w:val="auto"/>
                <w:szCs w:val="21"/>
                <w:highlight w:val="none"/>
              </w:rPr>
            </w:pPr>
            <w:r>
              <w:rPr>
                <w:rFonts w:ascii="Arial" w:hAnsi="Arial" w:cs="Arial"/>
                <w:b/>
                <w:color w:val="auto"/>
                <w:szCs w:val="21"/>
                <w:highlight w:val="none"/>
              </w:rPr>
              <w:t>序号</w:t>
            </w:r>
          </w:p>
        </w:tc>
        <w:tc>
          <w:tcPr>
            <w:tcW w:w="1009" w:type="dxa"/>
            <w:vAlign w:val="center"/>
          </w:tcPr>
          <w:p w14:paraId="7E08F95C">
            <w:pPr>
              <w:adjustRightInd w:val="0"/>
              <w:snapToGrid w:val="0"/>
              <w:spacing w:line="300" w:lineRule="auto"/>
              <w:jc w:val="center"/>
              <w:rPr>
                <w:rFonts w:ascii="Arial" w:hAnsi="Arial" w:cs="Arial"/>
                <w:b/>
                <w:color w:val="auto"/>
                <w:szCs w:val="21"/>
                <w:highlight w:val="none"/>
              </w:rPr>
            </w:pPr>
            <w:r>
              <w:rPr>
                <w:rFonts w:ascii="Arial" w:hAnsi="Arial" w:cs="Arial"/>
                <w:b/>
                <w:color w:val="auto"/>
                <w:szCs w:val="21"/>
                <w:highlight w:val="none"/>
              </w:rPr>
              <w:t>类型</w:t>
            </w:r>
          </w:p>
        </w:tc>
        <w:tc>
          <w:tcPr>
            <w:tcW w:w="7828" w:type="dxa"/>
            <w:vAlign w:val="center"/>
          </w:tcPr>
          <w:p w14:paraId="09F73441">
            <w:pPr>
              <w:adjustRightInd w:val="0"/>
              <w:snapToGrid w:val="0"/>
              <w:spacing w:line="300" w:lineRule="auto"/>
              <w:jc w:val="center"/>
              <w:rPr>
                <w:rFonts w:ascii="Arial" w:hAnsi="Arial" w:cs="Arial"/>
                <w:b/>
                <w:color w:val="auto"/>
                <w:szCs w:val="21"/>
                <w:highlight w:val="none"/>
              </w:rPr>
            </w:pPr>
            <w:r>
              <w:rPr>
                <w:rFonts w:ascii="Arial" w:hAnsi="Arial" w:cs="Arial"/>
                <w:b/>
                <w:color w:val="auto"/>
                <w:szCs w:val="21"/>
                <w:highlight w:val="none"/>
              </w:rPr>
              <w:t>评分标准</w:t>
            </w:r>
          </w:p>
        </w:tc>
      </w:tr>
      <w:tr w14:paraId="6CF87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0614AE32">
            <w:pPr>
              <w:adjustRightInd w:val="0"/>
              <w:snapToGrid w:val="0"/>
              <w:spacing w:line="300" w:lineRule="auto"/>
              <w:jc w:val="center"/>
              <w:rPr>
                <w:rFonts w:hint="eastAsia" w:ascii="Arial" w:hAnsi="Arial" w:eastAsia="宋体" w:cs="Arial"/>
                <w:b/>
                <w:color w:val="auto"/>
                <w:szCs w:val="21"/>
                <w:highlight w:val="none"/>
                <w:lang w:val="en-US" w:eastAsia="zh-CN"/>
              </w:rPr>
            </w:pPr>
            <w:r>
              <w:rPr>
                <w:rFonts w:hint="eastAsia" w:ascii="Arial" w:hAnsi="Arial" w:cs="Arial"/>
                <w:b/>
                <w:color w:val="auto"/>
                <w:szCs w:val="21"/>
                <w:highlight w:val="none"/>
                <w:lang w:val="en-US" w:eastAsia="zh-CN"/>
              </w:rPr>
              <w:t>1</w:t>
            </w:r>
          </w:p>
        </w:tc>
        <w:tc>
          <w:tcPr>
            <w:tcW w:w="1009" w:type="dxa"/>
            <w:vAlign w:val="center"/>
          </w:tcPr>
          <w:p w14:paraId="00B960FE">
            <w:pPr>
              <w:wordWrap w:val="0"/>
              <w:spacing w:line="400" w:lineRule="exact"/>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对招标文件</w:t>
            </w:r>
            <w:r>
              <w:rPr>
                <w:rFonts w:hint="default" w:ascii="Arial" w:hAnsi="Arial" w:eastAsia="宋体" w:cs="Arial"/>
                <w:b/>
                <w:bCs/>
                <w:color w:val="auto"/>
                <w:highlight w:val="none"/>
              </w:rPr>
              <w:t>采购需求</w:t>
            </w:r>
            <w:r>
              <w:rPr>
                <w:rFonts w:hint="default" w:ascii="Arial" w:hAnsi="Arial" w:eastAsia="宋体" w:cs="Arial"/>
                <w:b/>
                <w:bCs/>
                <w:color w:val="auto"/>
                <w:szCs w:val="21"/>
                <w:highlight w:val="none"/>
              </w:rPr>
              <w:t>的响应程度</w:t>
            </w:r>
          </w:p>
          <w:p w14:paraId="62F87E14">
            <w:pPr>
              <w:wordWrap w:val="0"/>
              <w:spacing w:line="400" w:lineRule="exact"/>
              <w:rPr>
                <w:rFonts w:ascii="Arial" w:hAnsi="Arial" w:cs="Arial"/>
                <w:b/>
                <w:color w:val="auto"/>
                <w:szCs w:val="21"/>
                <w:highlight w:val="none"/>
              </w:rPr>
            </w:pPr>
            <w:r>
              <w:rPr>
                <w:rFonts w:hint="default" w:ascii="Arial" w:hAnsi="Arial" w:eastAsia="宋体" w:cs="Arial"/>
                <w:b/>
                <w:bCs/>
                <w:color w:val="auto"/>
                <w:szCs w:val="21"/>
                <w:highlight w:val="none"/>
              </w:rPr>
              <w:t>（</w:t>
            </w:r>
            <w:r>
              <w:rPr>
                <w:rFonts w:hint="eastAsia" w:ascii="Arial" w:hAnsi="Arial" w:cs="Arial"/>
                <w:b/>
                <w:bCs/>
                <w:color w:val="auto"/>
                <w:szCs w:val="21"/>
                <w:highlight w:val="none"/>
                <w:lang w:val="en-US" w:eastAsia="zh-CN"/>
              </w:rPr>
              <w:t>15</w:t>
            </w:r>
            <w:r>
              <w:rPr>
                <w:rFonts w:hint="default" w:ascii="Arial" w:hAnsi="Arial" w:eastAsia="宋体" w:cs="Arial"/>
                <w:b/>
                <w:bCs/>
                <w:color w:val="auto"/>
                <w:szCs w:val="21"/>
                <w:highlight w:val="none"/>
              </w:rPr>
              <w:t>分）</w:t>
            </w:r>
          </w:p>
        </w:tc>
        <w:tc>
          <w:tcPr>
            <w:tcW w:w="7828" w:type="dxa"/>
            <w:vAlign w:val="top"/>
          </w:tcPr>
          <w:p w14:paraId="5263CF62">
            <w:pPr>
              <w:wordWrap w:val="0"/>
              <w:spacing w:line="288"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一档（0分）：一般条款（未标注“▲”的技术参数）有</w:t>
            </w:r>
            <w:r>
              <w:rPr>
                <w:rFonts w:hint="eastAsia" w:ascii="Arial" w:hAnsi="Arial" w:cs="Arial"/>
                <w:color w:val="auto"/>
                <w:szCs w:val="21"/>
                <w:highlight w:val="none"/>
                <w:lang w:val="en-US" w:eastAsia="zh-CN"/>
              </w:rPr>
              <w:t>5</w:t>
            </w:r>
            <w:r>
              <w:rPr>
                <w:rFonts w:hint="default" w:ascii="Arial" w:hAnsi="Arial" w:eastAsia="宋体" w:cs="Arial"/>
                <w:color w:val="auto"/>
                <w:szCs w:val="21"/>
                <w:highlight w:val="none"/>
              </w:rPr>
              <w:t>项（含）以上负偏离得0分。</w:t>
            </w:r>
          </w:p>
          <w:p w14:paraId="6B541EDF">
            <w:pPr>
              <w:wordWrap w:val="0"/>
              <w:spacing w:line="288"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二档（3分）：一般条款（未标注“▲”的技术参数）有</w:t>
            </w:r>
            <w:r>
              <w:rPr>
                <w:rFonts w:hint="eastAsia" w:ascii="Arial" w:hAnsi="Arial" w:cs="Arial"/>
                <w:color w:val="auto"/>
                <w:szCs w:val="21"/>
                <w:highlight w:val="none"/>
                <w:lang w:val="en-US" w:eastAsia="zh-CN"/>
              </w:rPr>
              <w:t>4</w:t>
            </w:r>
            <w:r>
              <w:rPr>
                <w:rFonts w:hint="default" w:ascii="Arial" w:hAnsi="Arial" w:eastAsia="宋体" w:cs="Arial"/>
                <w:color w:val="auto"/>
                <w:szCs w:val="21"/>
                <w:highlight w:val="none"/>
              </w:rPr>
              <w:t>项负偏离得3分。</w:t>
            </w:r>
          </w:p>
          <w:p w14:paraId="4C0BCBB6">
            <w:pPr>
              <w:wordWrap w:val="0"/>
              <w:spacing w:line="288"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三档（6分）：一般条款（未标注“▲”的技术参数）有</w:t>
            </w:r>
            <w:r>
              <w:rPr>
                <w:rFonts w:hint="eastAsia" w:ascii="Arial" w:hAnsi="Arial" w:cs="Arial"/>
                <w:color w:val="auto"/>
                <w:szCs w:val="21"/>
                <w:highlight w:val="none"/>
                <w:lang w:val="en-US" w:eastAsia="zh-CN"/>
              </w:rPr>
              <w:t>3</w:t>
            </w:r>
            <w:r>
              <w:rPr>
                <w:rFonts w:hint="default" w:ascii="Arial" w:hAnsi="Arial" w:eastAsia="宋体" w:cs="Arial"/>
                <w:color w:val="auto"/>
                <w:szCs w:val="21"/>
                <w:highlight w:val="none"/>
              </w:rPr>
              <w:t>项负偏离得6分。</w:t>
            </w:r>
          </w:p>
          <w:p w14:paraId="400417AE">
            <w:pPr>
              <w:wordWrap w:val="0"/>
              <w:spacing w:line="288"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四档（9分）：一般条款（未标注“▲”的技术参数）有</w:t>
            </w:r>
            <w:r>
              <w:rPr>
                <w:rFonts w:hint="eastAsia" w:ascii="Arial" w:hAnsi="Arial" w:cs="Arial"/>
                <w:color w:val="auto"/>
                <w:szCs w:val="21"/>
                <w:highlight w:val="none"/>
                <w:lang w:val="en-US" w:eastAsia="zh-CN"/>
              </w:rPr>
              <w:t>2</w:t>
            </w:r>
            <w:r>
              <w:rPr>
                <w:rFonts w:hint="default" w:ascii="Arial" w:hAnsi="Arial" w:eastAsia="宋体" w:cs="Arial"/>
                <w:color w:val="auto"/>
                <w:szCs w:val="21"/>
                <w:highlight w:val="none"/>
              </w:rPr>
              <w:t>项负偏离得9分。</w:t>
            </w:r>
          </w:p>
          <w:p w14:paraId="546CA379">
            <w:pPr>
              <w:wordWrap w:val="0"/>
              <w:spacing w:line="288"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五档（12分）：一般条款（未标注“▲”的技术参数）</w:t>
            </w:r>
            <w:r>
              <w:rPr>
                <w:rFonts w:hint="eastAsia" w:ascii="Arial" w:hAnsi="Arial" w:cs="Arial"/>
                <w:color w:val="auto"/>
                <w:szCs w:val="21"/>
                <w:highlight w:val="none"/>
                <w:lang w:val="en-US" w:eastAsia="zh-CN"/>
              </w:rPr>
              <w:t>有1项</w:t>
            </w:r>
            <w:r>
              <w:rPr>
                <w:rFonts w:hint="default" w:ascii="Arial" w:hAnsi="Arial" w:eastAsia="宋体" w:cs="Arial"/>
                <w:color w:val="auto"/>
                <w:szCs w:val="21"/>
                <w:highlight w:val="none"/>
              </w:rPr>
              <w:t>负偏离得12分。</w:t>
            </w:r>
          </w:p>
          <w:p w14:paraId="5B5D65C2">
            <w:pPr>
              <w:wordWrap w:val="0"/>
              <w:spacing w:line="288" w:lineRule="auto"/>
              <w:rPr>
                <w:rFonts w:hint="default" w:ascii="Arial" w:hAnsi="Arial" w:eastAsia="宋体" w:cs="Arial"/>
                <w:color w:val="auto"/>
                <w:szCs w:val="21"/>
                <w:highlight w:val="none"/>
              </w:rPr>
            </w:pPr>
            <w:r>
              <w:rPr>
                <w:rFonts w:hint="eastAsia" w:ascii="Arial" w:hAnsi="Arial" w:cs="Arial"/>
                <w:color w:val="auto"/>
                <w:szCs w:val="21"/>
                <w:highlight w:val="none"/>
                <w:lang w:val="en-US" w:eastAsia="zh-CN"/>
              </w:rPr>
              <w:t>六</w:t>
            </w:r>
            <w:r>
              <w:rPr>
                <w:rFonts w:hint="default" w:ascii="Arial" w:hAnsi="Arial" w:eastAsia="宋体" w:cs="Arial"/>
                <w:color w:val="auto"/>
                <w:szCs w:val="21"/>
                <w:highlight w:val="none"/>
              </w:rPr>
              <w:t>档（1</w:t>
            </w:r>
            <w:r>
              <w:rPr>
                <w:rFonts w:hint="eastAsia" w:ascii="Arial" w:hAnsi="Arial" w:cs="Arial"/>
                <w:color w:val="auto"/>
                <w:szCs w:val="21"/>
                <w:highlight w:val="none"/>
                <w:lang w:val="en-US" w:eastAsia="zh-CN"/>
              </w:rPr>
              <w:t>5</w:t>
            </w:r>
            <w:r>
              <w:rPr>
                <w:rFonts w:hint="default" w:ascii="Arial" w:hAnsi="Arial" w:eastAsia="宋体" w:cs="Arial"/>
                <w:color w:val="auto"/>
                <w:szCs w:val="21"/>
                <w:highlight w:val="none"/>
              </w:rPr>
              <w:t>分）：一般条款（未标注“▲”的技术参数）无负偏离得1</w:t>
            </w:r>
            <w:r>
              <w:rPr>
                <w:rFonts w:hint="eastAsia" w:ascii="Arial" w:hAnsi="Arial" w:cs="Arial"/>
                <w:color w:val="auto"/>
                <w:szCs w:val="21"/>
                <w:highlight w:val="none"/>
                <w:lang w:val="en-US" w:eastAsia="zh-CN"/>
              </w:rPr>
              <w:t>5</w:t>
            </w:r>
            <w:r>
              <w:rPr>
                <w:rFonts w:hint="default" w:ascii="Arial" w:hAnsi="Arial" w:eastAsia="宋体" w:cs="Arial"/>
                <w:color w:val="auto"/>
                <w:szCs w:val="21"/>
                <w:highlight w:val="none"/>
              </w:rPr>
              <w:t>分。</w:t>
            </w:r>
          </w:p>
          <w:p w14:paraId="5F946D6C">
            <w:pPr>
              <w:wordWrap w:val="0"/>
              <w:spacing w:line="288" w:lineRule="auto"/>
              <w:rPr>
                <w:rFonts w:ascii="Arial" w:hAnsi="Arial" w:cs="Arial"/>
                <w:b/>
                <w:color w:val="auto"/>
                <w:szCs w:val="21"/>
                <w:highlight w:val="none"/>
              </w:rPr>
            </w:pPr>
            <w:r>
              <w:rPr>
                <w:rFonts w:hint="default" w:ascii="Arial" w:hAnsi="Arial" w:eastAsia="宋体" w:cs="Arial"/>
                <w:color w:val="auto"/>
                <w:szCs w:val="21"/>
                <w:highlight w:val="none"/>
              </w:rPr>
              <w:t>注：供应商须对本招标文件技术要求进行点对点应答。标注“▲”为实质性条款，有1条不满足视为无效投标。</w:t>
            </w:r>
            <w:r>
              <w:rPr>
                <w:rFonts w:hint="default" w:ascii="Arial" w:hAnsi="Arial" w:eastAsia="宋体" w:cs="Arial"/>
                <w:b/>
                <w:bCs/>
                <w:color w:val="auto"/>
                <w:sz w:val="22"/>
                <w:szCs w:val="22"/>
                <w:highlight w:val="none"/>
              </w:rPr>
              <w:t>如供应商投标文件对招标文件采购需求响应为无偏离，但经评标委员会认定为负偏离的，评标委员会可给予相应档次定档。</w:t>
            </w:r>
          </w:p>
        </w:tc>
      </w:tr>
      <w:tr w14:paraId="3626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4DE1E475">
            <w:pPr>
              <w:adjustRightInd w:val="0"/>
              <w:snapToGrid w:val="0"/>
              <w:spacing w:line="300" w:lineRule="auto"/>
              <w:jc w:val="center"/>
              <w:rPr>
                <w:rFonts w:hint="eastAsia" w:ascii="Arial" w:hAnsi="Arial" w:eastAsia="宋体" w:cs="Arial"/>
                <w:b/>
                <w:color w:val="auto"/>
                <w:szCs w:val="21"/>
                <w:highlight w:val="none"/>
                <w:lang w:eastAsia="zh-CN"/>
              </w:rPr>
            </w:pPr>
            <w:r>
              <w:rPr>
                <w:rFonts w:hint="eastAsia" w:ascii="Arial" w:hAnsi="Arial" w:cs="Arial"/>
                <w:b/>
                <w:color w:val="auto"/>
                <w:szCs w:val="21"/>
                <w:highlight w:val="none"/>
                <w:lang w:val="en-US" w:eastAsia="zh-CN"/>
              </w:rPr>
              <w:t>2</w:t>
            </w:r>
          </w:p>
        </w:tc>
        <w:tc>
          <w:tcPr>
            <w:tcW w:w="1009" w:type="dxa"/>
            <w:vAlign w:val="center"/>
          </w:tcPr>
          <w:p w14:paraId="0C2C73DF">
            <w:pPr>
              <w:adjustRightInd w:val="0"/>
              <w:snapToGrid w:val="0"/>
              <w:spacing w:line="300" w:lineRule="auto"/>
              <w:jc w:val="center"/>
              <w:rPr>
                <w:rFonts w:ascii="Arial" w:hAnsi="Arial" w:cs="Arial"/>
                <w:color w:val="auto"/>
                <w:szCs w:val="21"/>
                <w:highlight w:val="none"/>
              </w:rPr>
            </w:pPr>
            <w:r>
              <w:rPr>
                <w:rFonts w:ascii="Arial" w:hAnsi="Arial" w:cs="Arial"/>
                <w:b/>
                <w:bCs w:val="0"/>
                <w:color w:val="auto"/>
                <w:szCs w:val="21"/>
                <w:highlight w:val="none"/>
              </w:rPr>
              <w:t>服务方案分（满分</w:t>
            </w:r>
            <w:r>
              <w:rPr>
                <w:rFonts w:ascii="Arial" w:hAnsi="Arial" w:cs="Arial"/>
                <w:b/>
                <w:bCs w:val="0"/>
                <w:color w:val="auto"/>
                <w:szCs w:val="21"/>
                <w:highlight w:val="none"/>
              </w:rPr>
              <w:t>4</w:t>
            </w:r>
            <w:r>
              <w:rPr>
                <w:rFonts w:hint="eastAsia" w:ascii="Arial" w:hAnsi="Arial" w:cs="Arial"/>
                <w:b/>
                <w:bCs w:val="0"/>
                <w:color w:val="auto"/>
                <w:szCs w:val="21"/>
                <w:highlight w:val="none"/>
                <w:lang w:val="en-US" w:eastAsia="zh-CN"/>
              </w:rPr>
              <w:t>0</w:t>
            </w:r>
            <w:r>
              <w:rPr>
                <w:rFonts w:ascii="Arial" w:hAnsi="Arial" w:cs="Arial"/>
                <w:b/>
                <w:bCs w:val="0"/>
                <w:color w:val="auto"/>
                <w:szCs w:val="21"/>
                <w:highlight w:val="none"/>
              </w:rPr>
              <w:t>分）</w:t>
            </w:r>
          </w:p>
        </w:tc>
        <w:tc>
          <w:tcPr>
            <w:tcW w:w="7828" w:type="dxa"/>
            <w:vAlign w:val="center"/>
          </w:tcPr>
          <w:p w14:paraId="4DF1F1A9">
            <w:pPr>
              <w:pStyle w:val="20"/>
              <w:adjustRightInd w:val="0"/>
              <w:snapToGrid w:val="0"/>
              <w:spacing w:line="300" w:lineRule="auto"/>
              <w:jc w:val="left"/>
              <w:rPr>
                <w:rFonts w:ascii="Arial" w:hAnsi="Arial" w:cs="Arial"/>
                <w:b/>
                <w:bCs/>
                <w:color w:val="auto"/>
                <w:spacing w:val="-3"/>
                <w:sz w:val="21"/>
                <w:szCs w:val="21"/>
                <w:highlight w:val="none"/>
              </w:rPr>
            </w:pPr>
            <w:r>
              <w:rPr>
                <w:rFonts w:ascii="Arial" w:hAnsi="Arial" w:cs="Arial"/>
                <w:b/>
                <w:bCs/>
                <w:color w:val="auto"/>
                <w:spacing w:val="-3"/>
                <w:sz w:val="21"/>
                <w:szCs w:val="21"/>
                <w:highlight w:val="none"/>
              </w:rPr>
              <w:t>（1）整体服务方案（</w:t>
            </w:r>
            <w:r>
              <w:rPr>
                <w:rFonts w:ascii="Arial" w:hAnsi="Arial" w:cs="Arial"/>
                <w:b/>
                <w:bCs/>
                <w:color w:val="auto"/>
                <w:spacing w:val="-3"/>
                <w:sz w:val="21"/>
                <w:szCs w:val="21"/>
                <w:highlight w:val="none"/>
              </w:rPr>
              <w:t>满分</w:t>
            </w:r>
            <w:r>
              <w:rPr>
                <w:rFonts w:hint="eastAsia" w:ascii="Arial" w:hAnsi="Arial" w:cs="Arial"/>
                <w:b/>
                <w:bCs/>
                <w:color w:val="auto"/>
                <w:spacing w:val="-3"/>
                <w:sz w:val="21"/>
                <w:szCs w:val="21"/>
                <w:highlight w:val="none"/>
              </w:rPr>
              <w:t>1</w:t>
            </w:r>
            <w:r>
              <w:rPr>
                <w:rFonts w:hint="eastAsia" w:ascii="Arial" w:hAnsi="Arial" w:cs="Arial"/>
                <w:b/>
                <w:bCs/>
                <w:color w:val="auto"/>
                <w:spacing w:val="-3"/>
                <w:sz w:val="21"/>
                <w:szCs w:val="21"/>
                <w:highlight w:val="none"/>
                <w:lang w:val="en-US" w:eastAsia="zh-CN"/>
              </w:rPr>
              <w:t>0</w:t>
            </w:r>
            <w:r>
              <w:rPr>
                <w:rFonts w:ascii="Arial" w:hAnsi="Arial" w:cs="Arial"/>
                <w:b/>
                <w:bCs/>
                <w:color w:val="auto"/>
                <w:spacing w:val="-3"/>
                <w:sz w:val="21"/>
                <w:szCs w:val="21"/>
                <w:highlight w:val="none"/>
              </w:rPr>
              <w:t>分）</w:t>
            </w:r>
          </w:p>
          <w:p w14:paraId="52ACBE94">
            <w:pPr>
              <w:pStyle w:val="20"/>
              <w:adjustRightInd w:val="0"/>
              <w:snapToGrid w:val="0"/>
              <w:spacing w:line="300" w:lineRule="auto"/>
              <w:jc w:val="left"/>
              <w:rPr>
                <w:rFonts w:ascii="Arial" w:hAnsi="Arial" w:cs="Arial"/>
                <w:color w:val="auto"/>
                <w:spacing w:val="-3"/>
                <w:sz w:val="21"/>
                <w:szCs w:val="21"/>
                <w:highlight w:val="none"/>
              </w:rPr>
            </w:pPr>
            <w:r>
              <w:rPr>
                <w:rFonts w:ascii="Arial" w:hAnsi="Arial" w:cs="Arial"/>
                <w:color w:val="auto"/>
                <w:spacing w:val="-3"/>
                <w:sz w:val="21"/>
                <w:szCs w:val="21"/>
                <w:highlight w:val="none"/>
              </w:rPr>
              <w:t>一档（</w:t>
            </w:r>
            <w:r>
              <w:rPr>
                <w:rFonts w:hint="eastAsia" w:ascii="Arial" w:hAnsi="Arial" w:cs="Arial"/>
                <w:color w:val="auto"/>
                <w:spacing w:val="-3"/>
                <w:sz w:val="21"/>
                <w:szCs w:val="21"/>
                <w:highlight w:val="none"/>
                <w:lang w:val="en-US" w:eastAsia="zh-CN"/>
              </w:rPr>
              <w:t>1</w:t>
            </w:r>
            <w:r>
              <w:rPr>
                <w:rFonts w:ascii="Arial" w:hAnsi="Arial" w:cs="Arial"/>
                <w:color w:val="auto"/>
                <w:spacing w:val="-3"/>
                <w:sz w:val="21"/>
                <w:szCs w:val="21"/>
                <w:highlight w:val="none"/>
              </w:rPr>
              <w:t>分</w:t>
            </w:r>
            <w:r>
              <w:rPr>
                <w:rFonts w:ascii="Arial" w:hAnsi="Arial" w:cs="Arial"/>
                <w:color w:val="auto"/>
                <w:spacing w:val="-3"/>
                <w:sz w:val="21"/>
                <w:szCs w:val="21"/>
                <w:highlight w:val="none"/>
              </w:rPr>
              <w:t>）：不了解项目技术服务、设备维保要求，与采购人的需求有一定差距，服务方案不合理。</w:t>
            </w:r>
          </w:p>
          <w:p w14:paraId="07E27DF7">
            <w:pPr>
              <w:pStyle w:val="20"/>
              <w:adjustRightInd w:val="0"/>
              <w:snapToGrid w:val="0"/>
              <w:spacing w:line="300" w:lineRule="auto"/>
              <w:jc w:val="left"/>
              <w:rPr>
                <w:rFonts w:ascii="Arial" w:hAnsi="Arial" w:cs="Arial"/>
                <w:color w:val="auto"/>
                <w:spacing w:val="-3"/>
                <w:sz w:val="21"/>
                <w:szCs w:val="21"/>
                <w:highlight w:val="none"/>
              </w:rPr>
            </w:pPr>
            <w:r>
              <w:rPr>
                <w:rFonts w:ascii="Arial" w:hAnsi="Arial" w:cs="Arial"/>
                <w:color w:val="auto"/>
                <w:spacing w:val="-3"/>
                <w:sz w:val="21"/>
                <w:szCs w:val="21"/>
                <w:highlight w:val="none"/>
              </w:rPr>
              <w:t>二档（</w:t>
            </w:r>
            <w:r>
              <w:rPr>
                <w:rFonts w:hint="eastAsia" w:ascii="Arial" w:hAnsi="Arial" w:cs="Arial"/>
                <w:color w:val="auto"/>
                <w:spacing w:val="-3"/>
                <w:sz w:val="21"/>
                <w:szCs w:val="21"/>
                <w:highlight w:val="none"/>
                <w:lang w:val="en-US" w:eastAsia="zh-CN"/>
              </w:rPr>
              <w:t>4</w:t>
            </w:r>
            <w:r>
              <w:rPr>
                <w:rFonts w:ascii="Arial" w:hAnsi="Arial" w:cs="Arial"/>
                <w:color w:val="auto"/>
                <w:spacing w:val="-3"/>
                <w:sz w:val="21"/>
                <w:szCs w:val="21"/>
                <w:highlight w:val="none"/>
              </w:rPr>
              <w:t>分</w:t>
            </w:r>
            <w:r>
              <w:rPr>
                <w:rFonts w:ascii="Arial" w:hAnsi="Arial" w:cs="Arial"/>
                <w:color w:val="auto"/>
                <w:spacing w:val="-3"/>
                <w:sz w:val="21"/>
                <w:szCs w:val="21"/>
                <w:highlight w:val="none"/>
              </w:rPr>
              <w:t>）：基本了解项目技术服务要求，了解设备维保基本工作要点，整体服务方案较详细但不全面；</w:t>
            </w:r>
          </w:p>
          <w:p w14:paraId="77D80F9C">
            <w:pPr>
              <w:pStyle w:val="20"/>
              <w:adjustRightInd w:val="0"/>
              <w:snapToGrid w:val="0"/>
              <w:spacing w:line="300" w:lineRule="auto"/>
              <w:jc w:val="left"/>
              <w:rPr>
                <w:rFonts w:ascii="Arial" w:hAnsi="Arial" w:cs="Arial"/>
                <w:color w:val="auto"/>
                <w:spacing w:val="-3"/>
                <w:sz w:val="21"/>
                <w:szCs w:val="21"/>
                <w:highlight w:val="none"/>
              </w:rPr>
            </w:pPr>
            <w:r>
              <w:rPr>
                <w:rFonts w:ascii="Arial" w:hAnsi="Arial" w:cs="Arial"/>
                <w:color w:val="auto"/>
                <w:spacing w:val="-3"/>
                <w:sz w:val="21"/>
                <w:szCs w:val="21"/>
                <w:highlight w:val="none"/>
              </w:rPr>
              <w:t>三档（</w:t>
            </w:r>
            <w:r>
              <w:rPr>
                <w:rFonts w:hint="eastAsia" w:ascii="Arial" w:hAnsi="Arial" w:cs="Arial"/>
                <w:color w:val="auto"/>
                <w:spacing w:val="-3"/>
                <w:sz w:val="21"/>
                <w:szCs w:val="21"/>
                <w:highlight w:val="none"/>
                <w:lang w:val="en-US" w:eastAsia="zh-CN"/>
              </w:rPr>
              <w:t>7</w:t>
            </w:r>
            <w:r>
              <w:rPr>
                <w:rFonts w:ascii="Arial" w:hAnsi="Arial" w:cs="Arial"/>
                <w:color w:val="auto"/>
                <w:spacing w:val="-3"/>
                <w:sz w:val="21"/>
                <w:szCs w:val="21"/>
                <w:highlight w:val="none"/>
              </w:rPr>
              <w:t>分</w:t>
            </w:r>
            <w:r>
              <w:rPr>
                <w:rFonts w:ascii="Arial" w:hAnsi="Arial" w:cs="Arial"/>
                <w:color w:val="auto"/>
                <w:spacing w:val="-3"/>
                <w:sz w:val="21"/>
                <w:szCs w:val="21"/>
                <w:highlight w:val="none"/>
              </w:rPr>
              <w:t>）：满足二档的基础上，了解项目技术服务要求，了解设备维保基本工作要点，整体服务方案详细且全面。</w:t>
            </w:r>
          </w:p>
          <w:p w14:paraId="2A3D32BA">
            <w:pPr>
              <w:pStyle w:val="20"/>
              <w:adjustRightInd w:val="0"/>
              <w:snapToGrid w:val="0"/>
              <w:spacing w:line="300" w:lineRule="auto"/>
              <w:jc w:val="left"/>
              <w:rPr>
                <w:rFonts w:ascii="Arial" w:hAnsi="Arial" w:cs="Arial"/>
                <w:color w:val="auto"/>
                <w:spacing w:val="-3"/>
                <w:sz w:val="21"/>
                <w:szCs w:val="21"/>
                <w:highlight w:val="none"/>
              </w:rPr>
            </w:pPr>
            <w:r>
              <w:rPr>
                <w:rFonts w:ascii="Arial" w:hAnsi="Arial" w:cs="Arial"/>
                <w:color w:val="auto"/>
                <w:spacing w:val="-3"/>
                <w:sz w:val="21"/>
                <w:szCs w:val="21"/>
                <w:highlight w:val="none"/>
              </w:rPr>
              <w:t>四档</w:t>
            </w:r>
            <w:r>
              <w:rPr>
                <w:rFonts w:ascii="Arial" w:hAnsi="Arial" w:eastAsia="宋体" w:cs="Arial"/>
                <w:color w:val="auto"/>
                <w:kern w:val="2"/>
                <w:sz w:val="21"/>
                <w:szCs w:val="21"/>
                <w:highlight w:val="none"/>
                <w:lang w:val="en-US" w:eastAsia="zh-CN" w:bidi="ar-SA"/>
              </w:rPr>
              <w:t>（</w:t>
            </w:r>
            <w:r>
              <w:rPr>
                <w:rFonts w:hint="eastAsia" w:ascii="Arial" w:hAnsi="Arial" w:eastAsia="宋体" w:cs="Arial"/>
                <w:color w:val="auto"/>
                <w:kern w:val="2"/>
                <w:sz w:val="21"/>
                <w:szCs w:val="21"/>
                <w:highlight w:val="none"/>
                <w:lang w:val="en-US" w:eastAsia="zh-CN" w:bidi="ar-SA"/>
              </w:rPr>
              <w:t>10</w:t>
            </w:r>
            <w:r>
              <w:rPr>
                <w:rFonts w:ascii="Arial" w:hAnsi="Arial" w:eastAsia="宋体" w:cs="Arial"/>
                <w:color w:val="auto"/>
                <w:kern w:val="2"/>
                <w:sz w:val="21"/>
                <w:szCs w:val="21"/>
                <w:highlight w:val="none"/>
                <w:lang w:val="en-US" w:eastAsia="zh-CN" w:bidi="ar-SA"/>
              </w:rPr>
              <w:t>分）</w:t>
            </w:r>
            <w:r>
              <w:rPr>
                <w:rFonts w:ascii="Arial" w:hAnsi="Arial" w:cs="Arial"/>
                <w:color w:val="auto"/>
                <w:spacing w:val="-3"/>
                <w:sz w:val="21"/>
                <w:szCs w:val="21"/>
                <w:highlight w:val="none"/>
              </w:rPr>
              <w:t>：深刻了解本项目需求的必要性、重要性，熟悉项目技术服务要求，能准确把握设备维保工作要点，整体服务方案详细全面，合理完整、针对性强。</w:t>
            </w:r>
          </w:p>
          <w:p w14:paraId="01FCB9F9">
            <w:pPr>
              <w:pStyle w:val="20"/>
              <w:adjustRightInd w:val="0"/>
              <w:snapToGrid w:val="0"/>
              <w:spacing w:line="300" w:lineRule="auto"/>
              <w:jc w:val="left"/>
              <w:rPr>
                <w:rFonts w:ascii="Arial" w:hAnsi="Arial" w:cs="Arial"/>
                <w:color w:val="auto"/>
                <w:spacing w:val="-3"/>
                <w:sz w:val="21"/>
                <w:szCs w:val="21"/>
                <w:highlight w:val="none"/>
              </w:rPr>
            </w:pPr>
            <w:r>
              <w:rPr>
                <w:rFonts w:ascii="Arial" w:hAnsi="Arial" w:cs="Arial"/>
                <w:color w:val="auto"/>
                <w:spacing w:val="-3"/>
                <w:sz w:val="21"/>
                <w:szCs w:val="21"/>
                <w:highlight w:val="none"/>
              </w:rPr>
              <w:t>注：未提供</w:t>
            </w:r>
            <w:r>
              <w:rPr>
                <w:rFonts w:ascii="Arial" w:hAnsi="Arial" w:cs="Arial"/>
                <w:b/>
                <w:bCs/>
                <w:color w:val="auto"/>
                <w:spacing w:val="-3"/>
                <w:sz w:val="21"/>
                <w:szCs w:val="21"/>
                <w:highlight w:val="none"/>
              </w:rPr>
              <w:t>整体服务方案</w:t>
            </w:r>
            <w:r>
              <w:rPr>
                <w:rFonts w:ascii="Arial" w:hAnsi="Arial" w:cs="Arial"/>
                <w:color w:val="auto"/>
                <w:spacing w:val="-3"/>
                <w:sz w:val="21"/>
                <w:szCs w:val="21"/>
                <w:highlight w:val="none"/>
              </w:rPr>
              <w:t>的得0分。</w:t>
            </w:r>
          </w:p>
          <w:p w14:paraId="33BDB820">
            <w:pPr>
              <w:pStyle w:val="20"/>
              <w:adjustRightInd w:val="0"/>
              <w:snapToGrid w:val="0"/>
              <w:spacing w:line="300" w:lineRule="auto"/>
              <w:jc w:val="left"/>
              <w:rPr>
                <w:rFonts w:ascii="Arial" w:hAnsi="Arial" w:cs="Arial"/>
                <w:b/>
                <w:bCs/>
                <w:color w:val="auto"/>
                <w:spacing w:val="-3"/>
                <w:sz w:val="21"/>
                <w:szCs w:val="21"/>
                <w:highlight w:val="none"/>
              </w:rPr>
            </w:pPr>
            <w:bookmarkStart w:id="77" w:name="（4）外业工作质量及安全措施（满分8分）"/>
            <w:bookmarkEnd w:id="77"/>
            <w:bookmarkStart w:id="78" w:name="（2）组织机构分（满分4分）"/>
            <w:bookmarkEnd w:id="78"/>
            <w:r>
              <w:rPr>
                <w:rFonts w:ascii="Arial" w:hAnsi="Arial" w:cs="Arial"/>
                <w:b/>
                <w:bCs/>
                <w:color w:val="auto"/>
                <w:spacing w:val="-3"/>
                <w:sz w:val="21"/>
                <w:szCs w:val="21"/>
                <w:highlight w:val="none"/>
              </w:rPr>
              <w:t>（2）</w:t>
            </w:r>
            <w:r>
              <w:rPr>
                <w:rFonts w:ascii="Arial" w:hAnsi="Arial" w:cs="Arial"/>
                <w:b/>
                <w:bCs/>
                <w:color w:val="auto"/>
                <w:sz w:val="21"/>
                <w:szCs w:val="21"/>
                <w:highlight w:val="none"/>
              </w:rPr>
              <w:t>实施组织机构方案</w:t>
            </w:r>
            <w:r>
              <w:rPr>
                <w:rFonts w:ascii="Arial" w:hAnsi="Arial" w:cs="Arial"/>
                <w:b/>
                <w:bCs/>
                <w:color w:val="auto"/>
                <w:spacing w:val="-3"/>
                <w:sz w:val="21"/>
                <w:szCs w:val="21"/>
                <w:highlight w:val="none"/>
              </w:rPr>
              <w:t>（满分</w:t>
            </w:r>
            <w:r>
              <w:rPr>
                <w:rFonts w:hint="eastAsia" w:ascii="Arial" w:hAnsi="Arial" w:cs="Arial"/>
                <w:b/>
                <w:bCs/>
                <w:color w:val="auto"/>
                <w:spacing w:val="-3"/>
                <w:sz w:val="21"/>
                <w:szCs w:val="21"/>
                <w:highlight w:val="none"/>
              </w:rPr>
              <w:t>1</w:t>
            </w:r>
            <w:r>
              <w:rPr>
                <w:rFonts w:hint="eastAsia" w:ascii="Arial" w:hAnsi="Arial" w:cs="Arial"/>
                <w:b/>
                <w:bCs/>
                <w:color w:val="auto"/>
                <w:spacing w:val="-3"/>
                <w:sz w:val="21"/>
                <w:szCs w:val="21"/>
                <w:highlight w:val="none"/>
                <w:lang w:val="en-US" w:eastAsia="zh-CN"/>
              </w:rPr>
              <w:t>0</w:t>
            </w:r>
            <w:r>
              <w:rPr>
                <w:rFonts w:ascii="Arial" w:hAnsi="Arial" w:cs="Arial"/>
                <w:b/>
                <w:bCs/>
                <w:color w:val="auto"/>
                <w:spacing w:val="-3"/>
                <w:sz w:val="21"/>
                <w:szCs w:val="21"/>
                <w:highlight w:val="none"/>
              </w:rPr>
              <w:t>分）</w:t>
            </w:r>
          </w:p>
          <w:p w14:paraId="7EB3BBC6">
            <w:pPr>
              <w:pStyle w:val="181"/>
              <w:adjustRightInd w:val="0"/>
              <w:snapToGrid w:val="0"/>
              <w:spacing w:line="300" w:lineRule="auto"/>
              <w:ind w:firstLine="0"/>
              <w:rPr>
                <w:rFonts w:ascii="Arial" w:hAnsi="Arial" w:cs="Arial"/>
                <w:color w:val="auto"/>
                <w:kern w:val="2"/>
                <w:sz w:val="21"/>
                <w:szCs w:val="21"/>
                <w:highlight w:val="none"/>
              </w:rPr>
            </w:pPr>
            <w:r>
              <w:rPr>
                <w:rFonts w:ascii="Arial" w:hAnsi="Arial" w:cs="Arial"/>
                <w:color w:val="auto"/>
                <w:kern w:val="2"/>
                <w:sz w:val="21"/>
                <w:szCs w:val="21"/>
                <w:highlight w:val="none"/>
              </w:rPr>
              <w:t>一档</w:t>
            </w:r>
            <w:r>
              <w:rPr>
                <w:rFonts w:ascii="Arial" w:hAnsi="Arial" w:cs="Arial"/>
                <w:color w:val="auto"/>
                <w:spacing w:val="-3"/>
                <w:sz w:val="21"/>
                <w:szCs w:val="21"/>
                <w:highlight w:val="none"/>
              </w:rPr>
              <w:t>（</w:t>
            </w:r>
            <w:r>
              <w:rPr>
                <w:rFonts w:hint="eastAsia" w:ascii="Arial" w:hAnsi="Arial" w:cs="Arial"/>
                <w:color w:val="auto"/>
                <w:spacing w:val="-3"/>
                <w:sz w:val="21"/>
                <w:szCs w:val="21"/>
                <w:highlight w:val="none"/>
                <w:lang w:val="en-US" w:eastAsia="zh-CN"/>
              </w:rPr>
              <w:t>1</w:t>
            </w:r>
            <w:r>
              <w:rPr>
                <w:rFonts w:ascii="Arial" w:hAnsi="Arial" w:cs="Arial"/>
                <w:color w:val="auto"/>
                <w:spacing w:val="-3"/>
                <w:sz w:val="21"/>
                <w:szCs w:val="21"/>
                <w:highlight w:val="none"/>
              </w:rPr>
              <w:t>分）</w:t>
            </w:r>
            <w:r>
              <w:rPr>
                <w:rFonts w:ascii="Arial" w:hAnsi="Arial" w:cs="Arial"/>
                <w:color w:val="auto"/>
                <w:kern w:val="2"/>
                <w:sz w:val="21"/>
                <w:szCs w:val="21"/>
                <w:highlight w:val="none"/>
              </w:rPr>
              <w:t>：组织机构设置不够合理，项目班子成员较少，拟投入的技术力量一般，人员技术资格水平差。</w:t>
            </w:r>
            <w:r>
              <w:rPr>
                <w:rFonts w:ascii="Arial" w:hAnsi="Arial" w:cs="Arial"/>
                <w:bCs/>
                <w:color w:val="auto"/>
                <w:kern w:val="2"/>
                <w:sz w:val="21"/>
                <w:szCs w:val="21"/>
                <w:highlight w:val="none"/>
              </w:rPr>
              <w:t>能够提供实施服务的工程师不具备设备厂家维修培训证书。</w:t>
            </w:r>
          </w:p>
          <w:p w14:paraId="2AAA0A72">
            <w:pPr>
              <w:pStyle w:val="181"/>
              <w:adjustRightInd w:val="0"/>
              <w:snapToGrid w:val="0"/>
              <w:spacing w:line="300" w:lineRule="auto"/>
              <w:ind w:firstLine="0"/>
              <w:rPr>
                <w:rFonts w:ascii="Arial" w:hAnsi="Arial" w:cs="Arial"/>
                <w:color w:val="auto"/>
                <w:kern w:val="2"/>
                <w:sz w:val="21"/>
                <w:szCs w:val="21"/>
                <w:highlight w:val="none"/>
              </w:rPr>
            </w:pPr>
            <w:r>
              <w:rPr>
                <w:rFonts w:ascii="Arial" w:hAnsi="Arial" w:cs="Arial"/>
                <w:color w:val="auto"/>
                <w:kern w:val="2"/>
                <w:sz w:val="21"/>
                <w:szCs w:val="21"/>
                <w:highlight w:val="none"/>
              </w:rPr>
              <w:t>二档</w:t>
            </w:r>
            <w:r>
              <w:rPr>
                <w:rFonts w:ascii="Arial" w:hAnsi="Arial" w:cs="Arial"/>
                <w:color w:val="auto"/>
                <w:spacing w:val="-3"/>
                <w:sz w:val="21"/>
                <w:szCs w:val="21"/>
                <w:highlight w:val="none"/>
              </w:rPr>
              <w:t>（</w:t>
            </w:r>
            <w:r>
              <w:rPr>
                <w:rFonts w:hint="eastAsia" w:ascii="Arial" w:hAnsi="Arial" w:cs="Arial"/>
                <w:color w:val="auto"/>
                <w:spacing w:val="-3"/>
                <w:sz w:val="21"/>
                <w:szCs w:val="21"/>
                <w:highlight w:val="none"/>
                <w:lang w:val="en-US" w:eastAsia="zh-CN"/>
              </w:rPr>
              <w:t>4</w:t>
            </w:r>
            <w:r>
              <w:rPr>
                <w:rFonts w:ascii="Arial" w:hAnsi="Arial" w:cs="Arial"/>
                <w:color w:val="auto"/>
                <w:spacing w:val="-3"/>
                <w:sz w:val="21"/>
                <w:szCs w:val="21"/>
                <w:highlight w:val="none"/>
              </w:rPr>
              <w:t>分）</w:t>
            </w:r>
            <w:r>
              <w:rPr>
                <w:rFonts w:ascii="Arial" w:hAnsi="Arial" w:cs="Arial"/>
                <w:color w:val="auto"/>
                <w:kern w:val="2"/>
                <w:sz w:val="21"/>
                <w:szCs w:val="21"/>
                <w:highlight w:val="none"/>
              </w:rPr>
              <w:t>：组织机构设置基本合理，项目人员配备基本齐全，配置较为合理，技术力量一般，基本能满足项目实施要求，人员技术资格水平较好。</w:t>
            </w:r>
            <w:r>
              <w:rPr>
                <w:rFonts w:ascii="Arial" w:hAnsi="Arial" w:cs="Arial"/>
                <w:bCs/>
                <w:color w:val="auto"/>
                <w:kern w:val="2"/>
                <w:sz w:val="21"/>
                <w:szCs w:val="21"/>
                <w:highlight w:val="none"/>
              </w:rPr>
              <w:t>在国内能够提供实施服务的工程师具有</w:t>
            </w:r>
            <w:bookmarkStart w:id="79" w:name="OLE_LINK1"/>
            <w:r>
              <w:rPr>
                <w:rFonts w:ascii="Arial" w:hAnsi="Arial" w:cs="Arial"/>
                <w:bCs/>
                <w:color w:val="auto"/>
                <w:kern w:val="2"/>
                <w:sz w:val="21"/>
                <w:szCs w:val="21"/>
                <w:highlight w:val="none"/>
              </w:rPr>
              <w:t>设备厂家维修培训证书的</w:t>
            </w:r>
            <w:bookmarkEnd w:id="79"/>
            <w:r>
              <w:rPr>
                <w:rFonts w:ascii="Arial" w:hAnsi="Arial" w:cs="Arial"/>
                <w:bCs/>
                <w:color w:val="auto"/>
                <w:kern w:val="2"/>
                <w:sz w:val="21"/>
                <w:szCs w:val="21"/>
                <w:highlight w:val="none"/>
              </w:rPr>
              <w:t>至少</w:t>
            </w:r>
            <w:r>
              <w:rPr>
                <w:rFonts w:hint="eastAsia" w:ascii="Arial" w:hAnsi="Arial" w:cs="Arial"/>
                <w:bCs/>
                <w:color w:val="auto"/>
                <w:kern w:val="2"/>
                <w:sz w:val="21"/>
                <w:szCs w:val="21"/>
                <w:highlight w:val="none"/>
              </w:rPr>
              <w:t>6</w:t>
            </w:r>
            <w:r>
              <w:rPr>
                <w:rFonts w:ascii="Arial" w:hAnsi="Arial" w:cs="Arial"/>
                <w:bCs/>
                <w:color w:val="auto"/>
                <w:kern w:val="2"/>
                <w:sz w:val="21"/>
                <w:szCs w:val="21"/>
                <w:highlight w:val="none"/>
              </w:rPr>
              <w:t>名。（提供培训证书复印件）</w:t>
            </w:r>
          </w:p>
          <w:p w14:paraId="64D52C3E">
            <w:pPr>
              <w:pStyle w:val="20"/>
              <w:adjustRightInd w:val="0"/>
              <w:snapToGrid w:val="0"/>
              <w:spacing w:line="300" w:lineRule="auto"/>
              <w:jc w:val="left"/>
              <w:rPr>
                <w:rFonts w:ascii="Arial" w:hAnsi="Arial" w:cs="Arial"/>
                <w:b/>
                <w:bCs/>
                <w:color w:val="auto"/>
                <w:sz w:val="21"/>
                <w:szCs w:val="21"/>
                <w:highlight w:val="none"/>
              </w:rPr>
            </w:pPr>
            <w:r>
              <w:rPr>
                <w:rFonts w:ascii="Arial" w:hAnsi="Arial" w:cs="Arial"/>
                <w:color w:val="auto"/>
                <w:sz w:val="21"/>
                <w:szCs w:val="21"/>
                <w:highlight w:val="none"/>
              </w:rPr>
              <w:t>三档</w:t>
            </w:r>
            <w:r>
              <w:rPr>
                <w:rFonts w:ascii="Arial" w:hAnsi="Arial" w:cs="Arial"/>
                <w:color w:val="auto"/>
                <w:spacing w:val="-3"/>
                <w:sz w:val="21"/>
                <w:szCs w:val="21"/>
                <w:highlight w:val="none"/>
              </w:rPr>
              <w:t>（</w:t>
            </w:r>
            <w:r>
              <w:rPr>
                <w:rFonts w:hint="eastAsia" w:ascii="Arial" w:hAnsi="Arial" w:cs="Arial"/>
                <w:color w:val="auto"/>
                <w:spacing w:val="-3"/>
                <w:sz w:val="21"/>
                <w:szCs w:val="21"/>
                <w:highlight w:val="none"/>
                <w:lang w:val="en-US" w:eastAsia="zh-CN"/>
              </w:rPr>
              <w:t>7</w:t>
            </w:r>
            <w:r>
              <w:rPr>
                <w:rFonts w:ascii="Arial" w:hAnsi="Arial" w:cs="Arial"/>
                <w:color w:val="auto"/>
                <w:spacing w:val="-3"/>
                <w:sz w:val="21"/>
                <w:szCs w:val="21"/>
                <w:highlight w:val="none"/>
              </w:rPr>
              <w:t>分）</w:t>
            </w:r>
            <w:r>
              <w:rPr>
                <w:rFonts w:ascii="Arial" w:hAnsi="Arial" w:cs="Arial"/>
                <w:color w:val="auto"/>
                <w:sz w:val="21"/>
                <w:szCs w:val="21"/>
                <w:highlight w:val="none"/>
              </w:rPr>
              <w:t>：组织机构设置合理全面，项目人员配备充裕，配置合理，技术力量及人员技术资格水平良好，完全能满足项目实施要求；</w:t>
            </w:r>
            <w:r>
              <w:rPr>
                <w:rFonts w:ascii="Arial" w:hAnsi="Arial" w:cs="Arial"/>
                <w:bCs/>
                <w:color w:val="auto"/>
                <w:sz w:val="21"/>
                <w:szCs w:val="21"/>
                <w:highlight w:val="none"/>
              </w:rPr>
              <w:t>在国内能够提供服务的工程师具备设备厂家维修培训证书的至少</w:t>
            </w:r>
            <w:r>
              <w:rPr>
                <w:rFonts w:hint="eastAsia" w:ascii="Arial" w:hAnsi="Arial" w:cs="Arial"/>
                <w:bCs/>
                <w:color w:val="auto"/>
                <w:sz w:val="21"/>
                <w:szCs w:val="21"/>
                <w:highlight w:val="none"/>
              </w:rPr>
              <w:t>7</w:t>
            </w:r>
            <w:r>
              <w:rPr>
                <w:rFonts w:ascii="Arial" w:hAnsi="Arial" w:cs="Arial"/>
                <w:bCs/>
                <w:color w:val="auto"/>
                <w:sz w:val="21"/>
                <w:szCs w:val="21"/>
                <w:highlight w:val="none"/>
              </w:rPr>
              <w:t>名。（提供培训证书复印件）</w:t>
            </w:r>
          </w:p>
          <w:p w14:paraId="09511D17">
            <w:pPr>
              <w:pStyle w:val="20"/>
              <w:adjustRightInd w:val="0"/>
              <w:snapToGrid w:val="0"/>
              <w:spacing w:line="300" w:lineRule="auto"/>
              <w:jc w:val="left"/>
              <w:rPr>
                <w:rFonts w:ascii="Arial" w:hAnsi="Arial" w:cs="Arial"/>
                <w:color w:val="auto"/>
                <w:spacing w:val="-3"/>
                <w:sz w:val="21"/>
                <w:szCs w:val="21"/>
                <w:highlight w:val="none"/>
              </w:rPr>
            </w:pPr>
            <w:r>
              <w:rPr>
                <w:rFonts w:ascii="Arial" w:hAnsi="Arial" w:cs="Arial"/>
                <w:color w:val="auto"/>
                <w:sz w:val="21"/>
                <w:szCs w:val="21"/>
                <w:highlight w:val="none"/>
              </w:rPr>
              <w:t>四档</w:t>
            </w:r>
            <w:r>
              <w:rPr>
                <w:rFonts w:ascii="Arial" w:hAnsi="Arial" w:eastAsia="宋体" w:cs="Arial"/>
                <w:color w:val="auto"/>
                <w:kern w:val="2"/>
                <w:sz w:val="21"/>
                <w:szCs w:val="21"/>
                <w:highlight w:val="none"/>
                <w:lang w:val="en-US" w:eastAsia="zh-CN" w:bidi="ar-SA"/>
              </w:rPr>
              <w:t>（</w:t>
            </w:r>
            <w:r>
              <w:rPr>
                <w:rFonts w:hint="eastAsia" w:ascii="Arial" w:hAnsi="Arial" w:eastAsia="宋体" w:cs="Arial"/>
                <w:color w:val="auto"/>
                <w:kern w:val="2"/>
                <w:sz w:val="21"/>
                <w:szCs w:val="21"/>
                <w:highlight w:val="none"/>
                <w:lang w:val="en-US" w:eastAsia="zh-CN" w:bidi="ar-SA"/>
              </w:rPr>
              <w:t>10</w:t>
            </w:r>
            <w:r>
              <w:rPr>
                <w:rFonts w:ascii="Arial" w:hAnsi="Arial" w:eastAsia="宋体" w:cs="Arial"/>
                <w:color w:val="auto"/>
                <w:kern w:val="2"/>
                <w:sz w:val="21"/>
                <w:szCs w:val="21"/>
                <w:highlight w:val="none"/>
                <w:lang w:val="en-US" w:eastAsia="zh-CN" w:bidi="ar-SA"/>
              </w:rPr>
              <w:t>分）</w:t>
            </w:r>
            <w:r>
              <w:rPr>
                <w:rFonts w:ascii="Arial" w:hAnsi="Arial" w:cs="Arial"/>
                <w:color w:val="auto"/>
                <w:sz w:val="21"/>
                <w:szCs w:val="21"/>
                <w:highlight w:val="none"/>
              </w:rPr>
              <w:t>：组织机构设置合理全面，项目人员配备充裕，人员技术力量雄厚，配置合理，人员技术</w:t>
            </w:r>
            <w:r>
              <w:rPr>
                <w:rFonts w:ascii="Arial" w:hAnsi="Arial" w:cs="Arial"/>
                <w:color w:val="auto"/>
                <w:spacing w:val="-3"/>
                <w:sz w:val="21"/>
                <w:szCs w:val="21"/>
                <w:highlight w:val="none"/>
              </w:rPr>
              <w:t>资格水平优，完全能满足或优于项目实施要求；在国内能够提供服务的工程师具备设备厂家维修培训证书的至少</w:t>
            </w:r>
            <w:r>
              <w:rPr>
                <w:rFonts w:hint="eastAsia" w:ascii="Arial" w:hAnsi="Arial" w:cs="Arial"/>
                <w:color w:val="auto"/>
                <w:spacing w:val="-3"/>
                <w:sz w:val="21"/>
                <w:szCs w:val="21"/>
                <w:highlight w:val="none"/>
              </w:rPr>
              <w:t>8</w:t>
            </w:r>
            <w:r>
              <w:rPr>
                <w:rFonts w:ascii="Arial" w:hAnsi="Arial" w:cs="Arial"/>
                <w:color w:val="auto"/>
                <w:spacing w:val="-3"/>
                <w:sz w:val="21"/>
                <w:szCs w:val="21"/>
                <w:highlight w:val="none"/>
              </w:rPr>
              <w:t>名。（提供培训证书复印件）</w:t>
            </w:r>
          </w:p>
          <w:p w14:paraId="12B47695">
            <w:pPr>
              <w:pStyle w:val="20"/>
              <w:adjustRightInd w:val="0"/>
              <w:snapToGrid w:val="0"/>
              <w:spacing w:line="300" w:lineRule="auto"/>
              <w:jc w:val="left"/>
              <w:rPr>
                <w:rFonts w:ascii="Arial" w:hAnsi="Arial" w:cs="Arial"/>
                <w:color w:val="auto"/>
                <w:spacing w:val="-3"/>
                <w:sz w:val="21"/>
                <w:szCs w:val="21"/>
                <w:highlight w:val="none"/>
              </w:rPr>
            </w:pPr>
            <w:r>
              <w:rPr>
                <w:rFonts w:ascii="Arial" w:hAnsi="Arial" w:cs="Arial"/>
                <w:color w:val="auto"/>
                <w:spacing w:val="-3"/>
                <w:sz w:val="21"/>
                <w:szCs w:val="21"/>
                <w:highlight w:val="none"/>
              </w:rPr>
              <w:t>注：未提供</w:t>
            </w:r>
            <w:r>
              <w:rPr>
                <w:rFonts w:ascii="Arial" w:hAnsi="Arial" w:cs="Arial"/>
                <w:b/>
                <w:bCs/>
                <w:color w:val="auto"/>
                <w:sz w:val="21"/>
                <w:szCs w:val="21"/>
                <w:highlight w:val="none"/>
              </w:rPr>
              <w:t>实施组织机构方案</w:t>
            </w:r>
            <w:r>
              <w:rPr>
                <w:rFonts w:ascii="Arial" w:hAnsi="Arial" w:cs="Arial"/>
                <w:color w:val="auto"/>
                <w:spacing w:val="-3"/>
                <w:sz w:val="21"/>
                <w:szCs w:val="21"/>
                <w:highlight w:val="none"/>
              </w:rPr>
              <w:t>的得0分。</w:t>
            </w:r>
          </w:p>
          <w:p w14:paraId="7BB36E3F">
            <w:pPr>
              <w:pStyle w:val="20"/>
              <w:adjustRightInd w:val="0"/>
              <w:snapToGrid w:val="0"/>
              <w:spacing w:line="300" w:lineRule="auto"/>
              <w:jc w:val="left"/>
              <w:rPr>
                <w:rFonts w:ascii="Arial" w:hAnsi="Arial" w:cs="Arial"/>
                <w:b/>
                <w:bCs/>
                <w:color w:val="auto"/>
                <w:sz w:val="21"/>
                <w:szCs w:val="21"/>
                <w:highlight w:val="none"/>
              </w:rPr>
            </w:pPr>
            <w:r>
              <w:rPr>
                <w:rFonts w:ascii="Arial" w:hAnsi="Arial" w:cs="Arial"/>
                <w:b/>
                <w:bCs/>
                <w:color w:val="auto"/>
                <w:sz w:val="21"/>
                <w:szCs w:val="21"/>
                <w:highlight w:val="none"/>
              </w:rPr>
              <w:t>（3）服务质量保证措施、服务承诺及合理化建议</w:t>
            </w:r>
            <w:r>
              <w:rPr>
                <w:rFonts w:ascii="Arial" w:hAnsi="Arial" w:cs="Arial"/>
                <w:b/>
                <w:bCs/>
                <w:color w:val="auto"/>
                <w:sz w:val="21"/>
                <w:szCs w:val="21"/>
                <w:highlight w:val="none"/>
              </w:rPr>
              <w:t>（满分</w:t>
            </w:r>
            <w:r>
              <w:rPr>
                <w:rFonts w:hint="eastAsia" w:ascii="Arial" w:hAnsi="Arial" w:cs="Arial"/>
                <w:b/>
                <w:bCs/>
                <w:color w:val="auto"/>
                <w:sz w:val="21"/>
                <w:szCs w:val="21"/>
                <w:highlight w:val="none"/>
              </w:rPr>
              <w:t>1</w:t>
            </w:r>
            <w:r>
              <w:rPr>
                <w:rFonts w:hint="eastAsia" w:ascii="Arial" w:hAnsi="Arial" w:cs="Arial"/>
                <w:b/>
                <w:bCs/>
                <w:color w:val="auto"/>
                <w:sz w:val="21"/>
                <w:szCs w:val="21"/>
                <w:highlight w:val="none"/>
                <w:lang w:val="en-US" w:eastAsia="zh-CN"/>
              </w:rPr>
              <w:t>0</w:t>
            </w:r>
            <w:r>
              <w:rPr>
                <w:rFonts w:ascii="Arial" w:hAnsi="Arial" w:cs="Arial"/>
                <w:b/>
                <w:bCs/>
                <w:color w:val="auto"/>
                <w:sz w:val="21"/>
                <w:szCs w:val="21"/>
                <w:highlight w:val="none"/>
              </w:rPr>
              <w:t>分）</w:t>
            </w:r>
          </w:p>
          <w:p w14:paraId="253440D8">
            <w:pPr>
              <w:pStyle w:val="20"/>
              <w:adjustRightInd w:val="0"/>
              <w:snapToGrid w:val="0"/>
              <w:spacing w:line="300" w:lineRule="auto"/>
              <w:jc w:val="left"/>
              <w:rPr>
                <w:rFonts w:ascii="Arial" w:hAnsi="Arial" w:cs="Arial"/>
                <w:color w:val="auto"/>
                <w:sz w:val="21"/>
                <w:szCs w:val="21"/>
                <w:highlight w:val="none"/>
              </w:rPr>
            </w:pPr>
            <w:r>
              <w:rPr>
                <w:rFonts w:ascii="Arial" w:hAnsi="Arial" w:cs="Arial"/>
                <w:color w:val="auto"/>
                <w:sz w:val="21"/>
                <w:szCs w:val="21"/>
                <w:highlight w:val="none"/>
              </w:rPr>
              <w:t>一档（</w:t>
            </w:r>
            <w:r>
              <w:rPr>
                <w:rFonts w:hint="eastAsia" w:ascii="Arial" w:hAnsi="Arial" w:cs="Arial"/>
                <w:color w:val="auto"/>
                <w:sz w:val="21"/>
                <w:szCs w:val="21"/>
                <w:highlight w:val="none"/>
                <w:lang w:val="en-US" w:eastAsia="zh-CN"/>
              </w:rPr>
              <w:t>1</w:t>
            </w:r>
            <w:r>
              <w:rPr>
                <w:rFonts w:ascii="Arial" w:hAnsi="Arial" w:cs="Arial"/>
                <w:color w:val="auto"/>
                <w:sz w:val="21"/>
                <w:szCs w:val="21"/>
                <w:highlight w:val="none"/>
              </w:rPr>
              <w:t>分）：服务质量保证措施、服务承诺不具体，无合理化建议。</w:t>
            </w:r>
          </w:p>
          <w:p w14:paraId="25B69BAC">
            <w:pPr>
              <w:pStyle w:val="20"/>
              <w:adjustRightInd w:val="0"/>
              <w:snapToGrid w:val="0"/>
              <w:spacing w:line="300" w:lineRule="auto"/>
              <w:jc w:val="left"/>
              <w:rPr>
                <w:rFonts w:ascii="Arial" w:hAnsi="Arial" w:cs="Arial"/>
                <w:color w:val="auto"/>
                <w:sz w:val="21"/>
                <w:szCs w:val="21"/>
                <w:highlight w:val="none"/>
              </w:rPr>
            </w:pPr>
            <w:r>
              <w:rPr>
                <w:rFonts w:ascii="Arial" w:hAnsi="Arial" w:cs="Arial"/>
                <w:color w:val="auto"/>
                <w:sz w:val="21"/>
                <w:szCs w:val="21"/>
                <w:highlight w:val="none"/>
              </w:rPr>
              <w:t>二档（</w:t>
            </w:r>
            <w:r>
              <w:rPr>
                <w:rFonts w:hint="eastAsia" w:ascii="Arial" w:hAnsi="Arial" w:cs="Arial"/>
                <w:color w:val="auto"/>
                <w:sz w:val="21"/>
                <w:szCs w:val="21"/>
                <w:highlight w:val="none"/>
                <w:lang w:val="en-US" w:eastAsia="zh-CN"/>
              </w:rPr>
              <w:t>4</w:t>
            </w:r>
            <w:r>
              <w:rPr>
                <w:rFonts w:ascii="Arial" w:hAnsi="Arial" w:cs="Arial"/>
                <w:color w:val="auto"/>
                <w:sz w:val="21"/>
                <w:szCs w:val="21"/>
                <w:highlight w:val="none"/>
              </w:rPr>
              <w:t>分）：服务质量保证措施、服务承诺较具体，合理化建议无可行性。</w:t>
            </w:r>
          </w:p>
          <w:p w14:paraId="66861D33">
            <w:pPr>
              <w:pStyle w:val="20"/>
              <w:adjustRightInd w:val="0"/>
              <w:snapToGrid w:val="0"/>
              <w:spacing w:line="300" w:lineRule="auto"/>
              <w:jc w:val="left"/>
              <w:rPr>
                <w:rFonts w:ascii="Arial" w:hAnsi="Arial" w:cs="Arial"/>
                <w:b/>
                <w:bCs/>
                <w:color w:val="auto"/>
                <w:sz w:val="21"/>
                <w:szCs w:val="21"/>
                <w:highlight w:val="none"/>
              </w:rPr>
            </w:pPr>
            <w:r>
              <w:rPr>
                <w:rFonts w:ascii="Arial" w:hAnsi="Arial" w:cs="Arial"/>
                <w:color w:val="auto"/>
                <w:sz w:val="21"/>
                <w:szCs w:val="21"/>
                <w:highlight w:val="none"/>
              </w:rPr>
              <w:t>三档（</w:t>
            </w:r>
            <w:r>
              <w:rPr>
                <w:rFonts w:hint="eastAsia" w:ascii="Arial" w:hAnsi="Arial" w:cs="Arial"/>
                <w:color w:val="auto"/>
                <w:sz w:val="21"/>
                <w:szCs w:val="21"/>
                <w:highlight w:val="none"/>
                <w:lang w:val="en-US" w:eastAsia="zh-CN"/>
              </w:rPr>
              <w:t>7</w:t>
            </w:r>
            <w:r>
              <w:rPr>
                <w:rFonts w:ascii="Arial" w:hAnsi="Arial" w:cs="Arial"/>
                <w:color w:val="auto"/>
                <w:sz w:val="21"/>
                <w:szCs w:val="21"/>
                <w:highlight w:val="none"/>
              </w:rPr>
              <w:t>分）：服务质量保证措施、服务承诺具体，基本可行，合理化建议有针对性；</w:t>
            </w:r>
          </w:p>
          <w:p w14:paraId="55D53515">
            <w:pPr>
              <w:pStyle w:val="20"/>
              <w:adjustRightInd w:val="0"/>
              <w:snapToGrid w:val="0"/>
              <w:spacing w:line="300" w:lineRule="auto"/>
              <w:jc w:val="left"/>
              <w:rPr>
                <w:rFonts w:ascii="Arial" w:hAnsi="Arial" w:cs="Arial"/>
                <w:color w:val="auto"/>
                <w:sz w:val="21"/>
                <w:szCs w:val="21"/>
                <w:highlight w:val="none"/>
              </w:rPr>
            </w:pPr>
            <w:r>
              <w:rPr>
                <w:rFonts w:ascii="Arial" w:hAnsi="Arial" w:cs="Arial"/>
                <w:color w:val="auto"/>
                <w:sz w:val="21"/>
                <w:szCs w:val="21"/>
                <w:highlight w:val="none"/>
              </w:rPr>
              <w:t>四档</w:t>
            </w:r>
            <w:r>
              <w:rPr>
                <w:rFonts w:ascii="Arial" w:hAnsi="Arial" w:cs="Arial"/>
                <w:color w:val="auto"/>
                <w:sz w:val="21"/>
                <w:szCs w:val="21"/>
                <w:highlight w:val="none"/>
              </w:rPr>
              <w:t>（</w:t>
            </w:r>
            <w:r>
              <w:rPr>
                <w:rFonts w:ascii="Arial" w:hAnsi="Arial" w:eastAsia="宋体" w:cs="Arial"/>
                <w:color w:val="auto"/>
                <w:kern w:val="2"/>
                <w:sz w:val="21"/>
                <w:szCs w:val="21"/>
                <w:highlight w:val="none"/>
                <w:lang w:val="en-US" w:eastAsia="zh-CN" w:bidi="ar-SA"/>
              </w:rPr>
              <w:t>1</w:t>
            </w:r>
            <w:r>
              <w:rPr>
                <w:rFonts w:hint="eastAsia" w:ascii="Arial" w:hAnsi="Arial" w:eastAsia="宋体" w:cs="Arial"/>
                <w:color w:val="auto"/>
                <w:kern w:val="2"/>
                <w:sz w:val="21"/>
                <w:szCs w:val="21"/>
                <w:highlight w:val="none"/>
                <w:lang w:val="en-US" w:eastAsia="zh-CN" w:bidi="ar-SA"/>
              </w:rPr>
              <w:t>0</w:t>
            </w:r>
            <w:r>
              <w:rPr>
                <w:rFonts w:ascii="Arial" w:hAnsi="Arial" w:eastAsia="宋体" w:cs="Arial"/>
                <w:color w:val="auto"/>
                <w:kern w:val="2"/>
                <w:sz w:val="21"/>
                <w:szCs w:val="21"/>
                <w:highlight w:val="none"/>
                <w:lang w:val="en-US" w:eastAsia="zh-CN" w:bidi="ar-SA"/>
              </w:rPr>
              <w:t>分）</w:t>
            </w:r>
            <w:r>
              <w:rPr>
                <w:rFonts w:ascii="Arial" w:hAnsi="Arial" w:cs="Arial"/>
                <w:color w:val="auto"/>
                <w:sz w:val="21"/>
                <w:szCs w:val="21"/>
                <w:highlight w:val="none"/>
              </w:rPr>
              <w:t>：服务质量保证措施、服务承诺全面、具体、完整可行，合理化建议针对性强；</w:t>
            </w:r>
          </w:p>
          <w:p w14:paraId="49E06101">
            <w:pPr>
              <w:pStyle w:val="20"/>
              <w:adjustRightInd w:val="0"/>
              <w:snapToGrid w:val="0"/>
              <w:spacing w:line="300" w:lineRule="auto"/>
              <w:jc w:val="left"/>
              <w:rPr>
                <w:rFonts w:ascii="Arial" w:hAnsi="Arial" w:cs="Arial"/>
                <w:color w:val="auto"/>
                <w:sz w:val="21"/>
                <w:szCs w:val="21"/>
                <w:highlight w:val="none"/>
              </w:rPr>
            </w:pPr>
            <w:r>
              <w:rPr>
                <w:rFonts w:ascii="Arial" w:hAnsi="Arial" w:cs="Arial"/>
                <w:color w:val="auto"/>
                <w:spacing w:val="-3"/>
                <w:sz w:val="21"/>
                <w:szCs w:val="21"/>
                <w:highlight w:val="none"/>
              </w:rPr>
              <w:t>注：未提供</w:t>
            </w:r>
            <w:r>
              <w:rPr>
                <w:rFonts w:ascii="Arial" w:hAnsi="Arial" w:cs="Arial"/>
                <w:b/>
                <w:bCs/>
                <w:color w:val="auto"/>
                <w:sz w:val="21"/>
                <w:szCs w:val="21"/>
                <w:highlight w:val="none"/>
              </w:rPr>
              <w:t>服务质量保证措施、服务承诺及合理化建议</w:t>
            </w:r>
            <w:r>
              <w:rPr>
                <w:rFonts w:ascii="Arial" w:hAnsi="Arial" w:cs="Arial"/>
                <w:color w:val="auto"/>
                <w:spacing w:val="-3"/>
                <w:sz w:val="21"/>
                <w:szCs w:val="21"/>
                <w:highlight w:val="none"/>
              </w:rPr>
              <w:t>的得0分。</w:t>
            </w:r>
          </w:p>
          <w:p w14:paraId="60D20096">
            <w:pPr>
              <w:pStyle w:val="181"/>
              <w:adjustRightInd w:val="0"/>
              <w:snapToGrid w:val="0"/>
              <w:spacing w:line="300" w:lineRule="auto"/>
              <w:ind w:firstLine="0"/>
              <w:rPr>
                <w:rFonts w:ascii="Arial" w:hAnsi="Arial" w:cs="Arial"/>
                <w:b/>
                <w:bCs/>
                <w:color w:val="auto"/>
                <w:sz w:val="21"/>
                <w:szCs w:val="21"/>
                <w:highlight w:val="none"/>
              </w:rPr>
            </w:pPr>
            <w:r>
              <w:rPr>
                <w:rFonts w:ascii="Arial" w:hAnsi="Arial" w:cs="Arial"/>
                <w:b/>
                <w:bCs/>
                <w:color w:val="auto"/>
                <w:kern w:val="2"/>
                <w:sz w:val="21"/>
                <w:szCs w:val="21"/>
                <w:highlight w:val="none"/>
              </w:rPr>
              <w:t>（4）主要服务设施的情况和现状（满分</w:t>
            </w:r>
            <w:r>
              <w:rPr>
                <w:rFonts w:hint="eastAsia" w:ascii="Arial" w:hAnsi="Arial" w:cs="Arial"/>
                <w:b/>
                <w:bCs/>
                <w:color w:val="auto"/>
                <w:kern w:val="2"/>
                <w:sz w:val="21"/>
                <w:szCs w:val="21"/>
                <w:highlight w:val="none"/>
              </w:rPr>
              <w:t>1</w:t>
            </w:r>
            <w:r>
              <w:rPr>
                <w:rFonts w:hint="eastAsia" w:ascii="Arial" w:hAnsi="Arial" w:cs="Arial"/>
                <w:b/>
                <w:bCs/>
                <w:color w:val="auto"/>
                <w:kern w:val="2"/>
                <w:sz w:val="21"/>
                <w:szCs w:val="21"/>
                <w:highlight w:val="none"/>
                <w:lang w:val="en-US" w:eastAsia="zh-CN"/>
              </w:rPr>
              <w:t>0</w:t>
            </w:r>
            <w:r>
              <w:rPr>
                <w:rFonts w:ascii="Arial" w:hAnsi="Arial" w:cs="Arial"/>
                <w:b/>
                <w:bCs/>
                <w:color w:val="auto"/>
                <w:kern w:val="2"/>
                <w:sz w:val="21"/>
                <w:szCs w:val="21"/>
                <w:highlight w:val="none"/>
              </w:rPr>
              <w:t>分）</w:t>
            </w:r>
          </w:p>
          <w:p w14:paraId="0E36A151">
            <w:pPr>
              <w:pStyle w:val="181"/>
              <w:adjustRightInd w:val="0"/>
              <w:snapToGrid w:val="0"/>
              <w:spacing w:line="300" w:lineRule="auto"/>
              <w:ind w:firstLine="0"/>
              <w:rPr>
                <w:rFonts w:ascii="Arial" w:hAnsi="Arial" w:cs="Arial"/>
                <w:bCs/>
                <w:color w:val="auto"/>
                <w:kern w:val="2"/>
                <w:sz w:val="21"/>
                <w:szCs w:val="21"/>
                <w:highlight w:val="none"/>
              </w:rPr>
            </w:pPr>
            <w:r>
              <w:rPr>
                <w:rFonts w:ascii="Arial" w:hAnsi="Arial" w:cs="Arial"/>
                <w:color w:val="auto"/>
                <w:kern w:val="2"/>
                <w:sz w:val="21"/>
                <w:szCs w:val="21"/>
                <w:highlight w:val="none"/>
              </w:rPr>
              <w:t>一档（</w:t>
            </w:r>
            <w:r>
              <w:rPr>
                <w:rFonts w:hint="eastAsia" w:ascii="Arial" w:hAnsi="Arial" w:cs="Arial"/>
                <w:color w:val="auto"/>
                <w:kern w:val="2"/>
                <w:sz w:val="21"/>
                <w:szCs w:val="21"/>
                <w:highlight w:val="none"/>
                <w:lang w:val="en-US" w:eastAsia="zh-CN"/>
              </w:rPr>
              <w:t>1</w:t>
            </w:r>
            <w:r>
              <w:rPr>
                <w:rFonts w:ascii="Arial" w:hAnsi="Arial" w:cs="Arial"/>
                <w:color w:val="auto"/>
                <w:kern w:val="2"/>
                <w:sz w:val="21"/>
                <w:szCs w:val="21"/>
                <w:highlight w:val="none"/>
              </w:rPr>
              <w:t>分）：维修工具严重不足，</w:t>
            </w:r>
            <w:r>
              <w:rPr>
                <w:rFonts w:ascii="Arial" w:hAnsi="Arial" w:cs="Arial"/>
                <w:bCs/>
                <w:color w:val="auto"/>
                <w:kern w:val="2"/>
                <w:sz w:val="21"/>
                <w:szCs w:val="21"/>
                <w:highlight w:val="none"/>
              </w:rPr>
              <w:t>不具备提供原厂配件的能力且维修能力欠缺。</w:t>
            </w:r>
          </w:p>
          <w:p w14:paraId="50635270">
            <w:pPr>
              <w:pStyle w:val="181"/>
              <w:adjustRightInd w:val="0"/>
              <w:snapToGrid w:val="0"/>
              <w:spacing w:line="300" w:lineRule="auto"/>
              <w:ind w:firstLine="0"/>
              <w:rPr>
                <w:rFonts w:ascii="Arial" w:hAnsi="Arial" w:cs="Arial"/>
                <w:color w:val="auto"/>
                <w:kern w:val="2"/>
                <w:sz w:val="21"/>
                <w:szCs w:val="21"/>
                <w:highlight w:val="none"/>
              </w:rPr>
            </w:pPr>
            <w:r>
              <w:rPr>
                <w:rFonts w:ascii="Arial" w:hAnsi="Arial" w:cs="Arial"/>
                <w:color w:val="auto"/>
                <w:kern w:val="2"/>
                <w:sz w:val="21"/>
                <w:szCs w:val="21"/>
                <w:highlight w:val="none"/>
              </w:rPr>
              <w:t>二档（</w:t>
            </w:r>
            <w:r>
              <w:rPr>
                <w:rFonts w:hint="eastAsia" w:ascii="Arial" w:hAnsi="Arial" w:cs="Arial"/>
                <w:color w:val="auto"/>
                <w:kern w:val="2"/>
                <w:sz w:val="21"/>
                <w:szCs w:val="21"/>
                <w:highlight w:val="none"/>
                <w:lang w:val="en-US" w:eastAsia="zh-CN"/>
              </w:rPr>
              <w:t>4</w:t>
            </w:r>
            <w:r>
              <w:rPr>
                <w:rFonts w:ascii="Arial" w:hAnsi="Arial" w:cs="Arial"/>
                <w:color w:val="auto"/>
                <w:kern w:val="2"/>
                <w:sz w:val="21"/>
                <w:szCs w:val="21"/>
                <w:highlight w:val="none"/>
              </w:rPr>
              <w:t>分）：维修工具配置一般，</w:t>
            </w:r>
            <w:r>
              <w:rPr>
                <w:rFonts w:ascii="Arial" w:hAnsi="Arial" w:cs="Arial"/>
                <w:bCs/>
                <w:color w:val="auto"/>
                <w:kern w:val="2"/>
                <w:sz w:val="21"/>
                <w:szCs w:val="21"/>
                <w:highlight w:val="none"/>
              </w:rPr>
              <w:t>不具备提供原厂配件的能力，但具备有采购需求维修设备一定的维修能力（投标文件中按采购项目要求能提供部分能证明维修能力的工单和部分维修工具证明材料）。</w:t>
            </w:r>
          </w:p>
          <w:p w14:paraId="76678BBF">
            <w:pPr>
              <w:pStyle w:val="181"/>
              <w:adjustRightInd w:val="0"/>
              <w:snapToGrid w:val="0"/>
              <w:spacing w:line="300" w:lineRule="auto"/>
              <w:ind w:firstLine="0"/>
              <w:rPr>
                <w:rFonts w:ascii="Arial" w:hAnsi="Arial" w:cs="Arial"/>
                <w:bCs/>
                <w:color w:val="auto"/>
                <w:kern w:val="2"/>
                <w:sz w:val="21"/>
                <w:szCs w:val="21"/>
                <w:highlight w:val="none"/>
              </w:rPr>
            </w:pPr>
            <w:r>
              <w:rPr>
                <w:rFonts w:ascii="Arial" w:hAnsi="Arial" w:cs="Arial"/>
                <w:color w:val="auto"/>
                <w:kern w:val="2"/>
                <w:sz w:val="21"/>
                <w:szCs w:val="21"/>
                <w:highlight w:val="none"/>
              </w:rPr>
              <w:t>三档（</w:t>
            </w:r>
            <w:r>
              <w:rPr>
                <w:rFonts w:hint="eastAsia" w:ascii="Arial" w:hAnsi="Arial" w:cs="Arial"/>
                <w:color w:val="auto"/>
                <w:kern w:val="2"/>
                <w:sz w:val="21"/>
                <w:szCs w:val="21"/>
                <w:highlight w:val="none"/>
                <w:lang w:val="en-US" w:eastAsia="zh-CN"/>
              </w:rPr>
              <w:t>7</w:t>
            </w:r>
            <w:r>
              <w:rPr>
                <w:rFonts w:ascii="Arial" w:hAnsi="Arial" w:cs="Arial"/>
                <w:color w:val="auto"/>
                <w:kern w:val="2"/>
                <w:sz w:val="21"/>
                <w:szCs w:val="21"/>
                <w:highlight w:val="none"/>
              </w:rPr>
              <w:t>分）：维修工具配置较为齐全，</w:t>
            </w:r>
            <w:r>
              <w:rPr>
                <w:rFonts w:ascii="Arial" w:hAnsi="Arial" w:cs="Arial"/>
                <w:bCs/>
                <w:color w:val="auto"/>
                <w:kern w:val="2"/>
                <w:sz w:val="21"/>
                <w:szCs w:val="21"/>
                <w:highlight w:val="none"/>
              </w:rPr>
              <w:t>具备提供原厂配件的能力，以及具备有较强的采购需求维修设备维修能力（投标文件中按采购项目要求能提供部分能证明维修能力的工单和部分维修工具证明材料）。</w:t>
            </w:r>
          </w:p>
          <w:p w14:paraId="025FD629">
            <w:pPr>
              <w:pStyle w:val="181"/>
              <w:adjustRightInd w:val="0"/>
              <w:snapToGrid w:val="0"/>
              <w:spacing w:line="300" w:lineRule="auto"/>
              <w:ind w:firstLine="0"/>
              <w:rPr>
                <w:rFonts w:ascii="Arial" w:hAnsi="Arial" w:cs="Arial"/>
                <w:bCs/>
                <w:color w:val="auto"/>
                <w:kern w:val="2"/>
                <w:sz w:val="21"/>
                <w:szCs w:val="21"/>
                <w:highlight w:val="none"/>
              </w:rPr>
            </w:pPr>
            <w:r>
              <w:rPr>
                <w:rFonts w:ascii="Arial" w:hAnsi="Arial" w:cs="Arial"/>
                <w:color w:val="auto"/>
                <w:kern w:val="2"/>
                <w:sz w:val="21"/>
                <w:szCs w:val="21"/>
                <w:highlight w:val="none"/>
              </w:rPr>
              <w:t>四档（</w:t>
            </w:r>
            <w:r>
              <w:rPr>
                <w:rFonts w:ascii="Arial" w:hAnsi="Arial" w:cs="Arial"/>
                <w:color w:val="auto"/>
                <w:kern w:val="2"/>
                <w:sz w:val="21"/>
                <w:szCs w:val="21"/>
                <w:highlight w:val="none"/>
              </w:rPr>
              <w:t>1</w:t>
            </w:r>
            <w:r>
              <w:rPr>
                <w:rFonts w:hint="eastAsia" w:ascii="Arial" w:hAnsi="Arial" w:cs="Arial"/>
                <w:color w:val="auto"/>
                <w:kern w:val="2"/>
                <w:sz w:val="21"/>
                <w:szCs w:val="21"/>
                <w:highlight w:val="none"/>
                <w:lang w:val="en-US" w:eastAsia="zh-CN"/>
              </w:rPr>
              <w:t>0</w:t>
            </w:r>
            <w:r>
              <w:rPr>
                <w:rFonts w:ascii="Arial" w:hAnsi="Arial" w:cs="Arial"/>
                <w:color w:val="auto"/>
                <w:kern w:val="2"/>
                <w:sz w:val="21"/>
                <w:szCs w:val="21"/>
                <w:highlight w:val="none"/>
              </w:rPr>
              <w:t>分</w:t>
            </w:r>
            <w:r>
              <w:rPr>
                <w:rFonts w:ascii="Arial" w:hAnsi="Arial" w:cs="Arial"/>
                <w:color w:val="auto"/>
                <w:kern w:val="2"/>
                <w:sz w:val="21"/>
                <w:szCs w:val="21"/>
                <w:highlight w:val="none"/>
              </w:rPr>
              <w:t>）：维修工具配置齐全，</w:t>
            </w:r>
            <w:r>
              <w:rPr>
                <w:rFonts w:ascii="Arial" w:hAnsi="Arial" w:cs="Arial"/>
                <w:bCs/>
                <w:color w:val="auto"/>
                <w:kern w:val="2"/>
                <w:sz w:val="21"/>
                <w:szCs w:val="21"/>
                <w:highlight w:val="none"/>
              </w:rPr>
              <w:t>具备提供原厂配件的能力，以及具备有相对于三档要求更优的设备维修能力（投标文件中按采购项目要求能提供完整的维修能力证明工单）。</w:t>
            </w:r>
          </w:p>
          <w:p w14:paraId="18B0E076">
            <w:pPr>
              <w:pStyle w:val="20"/>
              <w:adjustRightInd w:val="0"/>
              <w:snapToGrid w:val="0"/>
              <w:spacing w:line="300" w:lineRule="auto"/>
              <w:jc w:val="left"/>
              <w:rPr>
                <w:rFonts w:ascii="Arial" w:hAnsi="Arial" w:cs="Arial"/>
                <w:color w:val="auto"/>
                <w:sz w:val="21"/>
                <w:szCs w:val="21"/>
                <w:highlight w:val="none"/>
              </w:rPr>
            </w:pPr>
            <w:r>
              <w:rPr>
                <w:rFonts w:ascii="Arial" w:hAnsi="Arial" w:cs="Arial"/>
                <w:color w:val="auto"/>
                <w:spacing w:val="-3"/>
                <w:sz w:val="21"/>
                <w:szCs w:val="21"/>
                <w:highlight w:val="none"/>
              </w:rPr>
              <w:t>注：未提供</w:t>
            </w:r>
            <w:r>
              <w:rPr>
                <w:rFonts w:ascii="Arial" w:hAnsi="Arial" w:cs="Arial"/>
                <w:b/>
                <w:bCs/>
                <w:color w:val="auto"/>
                <w:sz w:val="21"/>
                <w:szCs w:val="21"/>
                <w:highlight w:val="none"/>
              </w:rPr>
              <w:t>主要服务设施的情况和现状</w:t>
            </w:r>
            <w:r>
              <w:rPr>
                <w:rFonts w:ascii="Arial" w:hAnsi="Arial" w:cs="Arial"/>
                <w:color w:val="auto"/>
                <w:spacing w:val="-3"/>
                <w:sz w:val="21"/>
                <w:szCs w:val="21"/>
                <w:highlight w:val="none"/>
              </w:rPr>
              <w:t>的得0分。</w:t>
            </w:r>
          </w:p>
        </w:tc>
      </w:tr>
      <w:tr w14:paraId="74AC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0CDDDD18">
            <w:pPr>
              <w:adjustRightInd w:val="0"/>
              <w:snapToGrid w:val="0"/>
              <w:spacing w:line="300" w:lineRule="auto"/>
              <w:jc w:val="center"/>
              <w:rPr>
                <w:rFonts w:hint="eastAsia" w:ascii="Arial" w:hAnsi="Arial" w:eastAsia="宋体" w:cs="Arial"/>
                <w:b/>
                <w:color w:val="auto"/>
                <w:szCs w:val="21"/>
                <w:highlight w:val="none"/>
                <w:lang w:eastAsia="zh-CN"/>
              </w:rPr>
            </w:pPr>
            <w:r>
              <w:rPr>
                <w:rFonts w:hint="eastAsia" w:ascii="Arial" w:hAnsi="Arial" w:cs="Arial"/>
                <w:b/>
                <w:color w:val="auto"/>
                <w:szCs w:val="21"/>
                <w:highlight w:val="none"/>
                <w:lang w:val="en-US" w:eastAsia="zh-CN"/>
              </w:rPr>
              <w:t>3</w:t>
            </w:r>
          </w:p>
        </w:tc>
        <w:tc>
          <w:tcPr>
            <w:tcW w:w="1009" w:type="dxa"/>
            <w:vAlign w:val="center"/>
          </w:tcPr>
          <w:p w14:paraId="32FC3E80">
            <w:pPr>
              <w:adjustRightInd w:val="0"/>
              <w:snapToGrid w:val="0"/>
              <w:spacing w:line="300" w:lineRule="auto"/>
              <w:jc w:val="center"/>
              <w:rPr>
                <w:rFonts w:ascii="Arial" w:hAnsi="Arial" w:cs="Arial"/>
                <w:color w:val="auto"/>
                <w:szCs w:val="21"/>
                <w:highlight w:val="none"/>
              </w:rPr>
            </w:pPr>
            <w:r>
              <w:rPr>
                <w:rFonts w:ascii="Arial" w:hAnsi="Arial" w:cs="Arial"/>
                <w:b/>
                <w:bCs/>
                <w:color w:val="auto"/>
                <w:szCs w:val="21"/>
                <w:highlight w:val="none"/>
              </w:rPr>
              <w:t>售后服务方案分（满分</w:t>
            </w:r>
            <w:r>
              <w:rPr>
                <w:rFonts w:ascii="Arial" w:hAnsi="Arial" w:cs="Arial"/>
                <w:b/>
                <w:bCs/>
                <w:color w:val="auto"/>
                <w:szCs w:val="21"/>
                <w:highlight w:val="none"/>
              </w:rPr>
              <w:t>1</w:t>
            </w:r>
            <w:r>
              <w:rPr>
                <w:rFonts w:hint="eastAsia" w:ascii="Arial" w:hAnsi="Arial" w:cs="Arial"/>
                <w:b/>
                <w:bCs/>
                <w:color w:val="auto"/>
                <w:szCs w:val="21"/>
                <w:highlight w:val="none"/>
                <w:lang w:val="en-US" w:eastAsia="zh-CN"/>
              </w:rPr>
              <w:t>0</w:t>
            </w:r>
            <w:r>
              <w:rPr>
                <w:rFonts w:ascii="Arial" w:hAnsi="Arial" w:cs="Arial"/>
                <w:b/>
                <w:bCs/>
                <w:color w:val="auto"/>
                <w:szCs w:val="21"/>
                <w:highlight w:val="none"/>
              </w:rPr>
              <w:t>分）</w:t>
            </w:r>
          </w:p>
        </w:tc>
        <w:tc>
          <w:tcPr>
            <w:tcW w:w="7828" w:type="dxa"/>
            <w:vAlign w:val="center"/>
          </w:tcPr>
          <w:p w14:paraId="5F638B00">
            <w:pPr>
              <w:pStyle w:val="181"/>
              <w:adjustRightInd w:val="0"/>
              <w:snapToGrid w:val="0"/>
              <w:spacing w:line="300" w:lineRule="auto"/>
              <w:ind w:firstLine="0"/>
              <w:rPr>
                <w:rFonts w:ascii="Arial" w:hAnsi="Arial" w:cs="Arial"/>
                <w:color w:val="auto"/>
                <w:kern w:val="2"/>
                <w:sz w:val="21"/>
                <w:szCs w:val="21"/>
                <w:highlight w:val="none"/>
              </w:rPr>
            </w:pPr>
            <w:r>
              <w:rPr>
                <w:rFonts w:ascii="Arial" w:hAnsi="Arial" w:cs="Arial"/>
                <w:color w:val="auto"/>
                <w:kern w:val="2"/>
                <w:sz w:val="21"/>
                <w:szCs w:val="21"/>
                <w:highlight w:val="none"/>
              </w:rPr>
              <w:t>（1）针对本项目售后服务方案、人员安排等方面售后服务能力计划、措施及服务承诺，根据供应商的投标文件中对采购人的管理人员、操作人员及维护人员进行培训（需提供相关承诺）。满分</w:t>
            </w:r>
            <w:r>
              <w:rPr>
                <w:rFonts w:hint="eastAsia" w:ascii="Arial" w:hAnsi="Arial" w:cs="Arial"/>
                <w:color w:val="auto"/>
                <w:kern w:val="2"/>
                <w:sz w:val="21"/>
                <w:szCs w:val="21"/>
                <w:highlight w:val="none"/>
              </w:rPr>
              <w:t>1</w:t>
            </w:r>
            <w:r>
              <w:rPr>
                <w:rFonts w:hint="eastAsia" w:ascii="Arial" w:hAnsi="Arial" w:cs="Arial"/>
                <w:color w:val="auto"/>
                <w:kern w:val="2"/>
                <w:sz w:val="21"/>
                <w:szCs w:val="21"/>
                <w:highlight w:val="none"/>
                <w:lang w:val="en-US" w:eastAsia="zh-CN"/>
              </w:rPr>
              <w:t>0</w:t>
            </w:r>
            <w:r>
              <w:rPr>
                <w:rFonts w:ascii="Arial" w:hAnsi="Arial" w:cs="Arial"/>
                <w:color w:val="auto"/>
                <w:kern w:val="2"/>
                <w:sz w:val="21"/>
                <w:szCs w:val="21"/>
                <w:highlight w:val="none"/>
              </w:rPr>
              <w:t>分。</w:t>
            </w:r>
          </w:p>
          <w:p w14:paraId="1DBC5CEF">
            <w:pPr>
              <w:pStyle w:val="181"/>
              <w:adjustRightInd w:val="0"/>
              <w:snapToGrid w:val="0"/>
              <w:spacing w:line="300" w:lineRule="auto"/>
              <w:ind w:firstLine="0"/>
              <w:rPr>
                <w:rFonts w:ascii="Arial" w:hAnsi="Arial" w:cs="Arial"/>
                <w:color w:val="auto"/>
                <w:kern w:val="2"/>
                <w:sz w:val="21"/>
                <w:szCs w:val="21"/>
                <w:highlight w:val="none"/>
              </w:rPr>
            </w:pPr>
            <w:r>
              <w:rPr>
                <w:rFonts w:ascii="Arial" w:hAnsi="Arial" w:cs="Arial"/>
                <w:color w:val="auto"/>
                <w:kern w:val="2"/>
                <w:sz w:val="21"/>
                <w:szCs w:val="21"/>
                <w:highlight w:val="none"/>
              </w:rPr>
              <w:t>一档（</w:t>
            </w:r>
            <w:r>
              <w:rPr>
                <w:rFonts w:hint="eastAsia" w:ascii="Arial" w:hAnsi="Arial" w:cs="Arial"/>
                <w:color w:val="auto"/>
                <w:kern w:val="2"/>
                <w:sz w:val="21"/>
                <w:szCs w:val="21"/>
                <w:highlight w:val="none"/>
                <w:lang w:val="en-US" w:eastAsia="zh-CN"/>
              </w:rPr>
              <w:t>1</w:t>
            </w:r>
            <w:r>
              <w:rPr>
                <w:rFonts w:ascii="Arial" w:hAnsi="Arial" w:cs="Arial"/>
                <w:color w:val="auto"/>
                <w:kern w:val="2"/>
                <w:sz w:val="21"/>
                <w:szCs w:val="21"/>
                <w:highlight w:val="none"/>
              </w:rPr>
              <w:t>分）：提供的服务方案不满足要求的；</w:t>
            </w:r>
          </w:p>
          <w:p w14:paraId="222DF38F">
            <w:pPr>
              <w:pStyle w:val="181"/>
              <w:adjustRightInd w:val="0"/>
              <w:snapToGrid w:val="0"/>
              <w:spacing w:line="300" w:lineRule="auto"/>
              <w:ind w:firstLine="0"/>
              <w:rPr>
                <w:rFonts w:ascii="Arial" w:hAnsi="Arial" w:cs="Arial"/>
                <w:color w:val="auto"/>
                <w:kern w:val="2"/>
                <w:sz w:val="21"/>
                <w:szCs w:val="21"/>
                <w:highlight w:val="none"/>
              </w:rPr>
            </w:pPr>
            <w:r>
              <w:rPr>
                <w:rFonts w:ascii="Arial" w:hAnsi="Arial" w:cs="Arial"/>
                <w:color w:val="auto"/>
                <w:kern w:val="2"/>
                <w:sz w:val="21"/>
                <w:szCs w:val="21"/>
                <w:highlight w:val="none"/>
              </w:rPr>
              <w:t>二档（</w:t>
            </w:r>
            <w:r>
              <w:rPr>
                <w:rFonts w:hint="eastAsia" w:ascii="Arial" w:hAnsi="Arial" w:cs="Arial"/>
                <w:color w:val="auto"/>
                <w:kern w:val="2"/>
                <w:sz w:val="21"/>
                <w:szCs w:val="21"/>
                <w:highlight w:val="none"/>
                <w:lang w:val="en-US" w:eastAsia="zh-CN"/>
              </w:rPr>
              <w:t>4</w:t>
            </w:r>
            <w:r>
              <w:rPr>
                <w:rFonts w:ascii="Arial" w:hAnsi="Arial" w:cs="Arial"/>
                <w:color w:val="auto"/>
                <w:kern w:val="2"/>
                <w:sz w:val="21"/>
                <w:szCs w:val="21"/>
                <w:highlight w:val="none"/>
              </w:rPr>
              <w:t>分）：服务承诺简单，基本满足招标文件要求的；</w:t>
            </w:r>
          </w:p>
          <w:p w14:paraId="0F13BC96">
            <w:pPr>
              <w:pStyle w:val="181"/>
              <w:adjustRightInd w:val="0"/>
              <w:snapToGrid w:val="0"/>
              <w:spacing w:line="300" w:lineRule="auto"/>
              <w:ind w:firstLine="0"/>
              <w:rPr>
                <w:rFonts w:ascii="Arial" w:hAnsi="Arial" w:cs="Arial"/>
                <w:color w:val="auto"/>
                <w:kern w:val="2"/>
                <w:sz w:val="21"/>
                <w:szCs w:val="21"/>
                <w:highlight w:val="none"/>
              </w:rPr>
            </w:pPr>
            <w:r>
              <w:rPr>
                <w:rFonts w:ascii="Arial" w:hAnsi="Arial" w:cs="Arial"/>
                <w:color w:val="auto"/>
                <w:kern w:val="2"/>
                <w:sz w:val="21"/>
                <w:szCs w:val="21"/>
                <w:highlight w:val="none"/>
              </w:rPr>
              <w:t>三档（</w:t>
            </w:r>
            <w:r>
              <w:rPr>
                <w:rFonts w:hint="eastAsia" w:ascii="Arial" w:hAnsi="Arial" w:cs="Arial"/>
                <w:color w:val="auto"/>
                <w:kern w:val="2"/>
                <w:sz w:val="21"/>
                <w:szCs w:val="21"/>
                <w:highlight w:val="none"/>
                <w:lang w:val="en-US" w:eastAsia="zh-CN"/>
              </w:rPr>
              <w:t>7</w:t>
            </w:r>
            <w:r>
              <w:rPr>
                <w:rFonts w:ascii="Arial" w:hAnsi="Arial" w:cs="Arial"/>
                <w:color w:val="auto"/>
                <w:kern w:val="2"/>
                <w:sz w:val="21"/>
                <w:szCs w:val="21"/>
                <w:highlight w:val="none"/>
              </w:rPr>
              <w:t>分）：项目总体有一定认识，表达清晰、完整，措施具体有效；</w:t>
            </w:r>
          </w:p>
          <w:p w14:paraId="790E446D">
            <w:pPr>
              <w:pStyle w:val="181"/>
              <w:adjustRightInd w:val="0"/>
              <w:snapToGrid w:val="0"/>
              <w:spacing w:line="300" w:lineRule="auto"/>
              <w:ind w:firstLine="0"/>
              <w:rPr>
                <w:rFonts w:ascii="Arial" w:hAnsi="Arial" w:cs="Arial"/>
                <w:color w:val="auto"/>
                <w:kern w:val="2"/>
                <w:sz w:val="21"/>
                <w:szCs w:val="21"/>
                <w:highlight w:val="none"/>
              </w:rPr>
            </w:pPr>
            <w:r>
              <w:rPr>
                <w:rFonts w:ascii="Arial" w:hAnsi="Arial" w:cs="Arial"/>
                <w:color w:val="auto"/>
                <w:kern w:val="2"/>
                <w:sz w:val="21"/>
                <w:szCs w:val="21"/>
                <w:highlight w:val="none"/>
              </w:rPr>
              <w:t>四档（</w:t>
            </w:r>
            <w:r>
              <w:rPr>
                <w:rFonts w:hint="eastAsia" w:ascii="Arial" w:hAnsi="Arial" w:cs="Arial"/>
                <w:color w:val="auto"/>
                <w:kern w:val="2"/>
                <w:sz w:val="21"/>
                <w:szCs w:val="21"/>
                <w:highlight w:val="none"/>
              </w:rPr>
              <w:t>1</w:t>
            </w:r>
            <w:r>
              <w:rPr>
                <w:rFonts w:hint="eastAsia" w:ascii="Arial" w:hAnsi="Arial" w:cs="Arial"/>
                <w:color w:val="auto"/>
                <w:kern w:val="2"/>
                <w:sz w:val="21"/>
                <w:szCs w:val="21"/>
                <w:highlight w:val="none"/>
                <w:lang w:val="en-US" w:eastAsia="zh-CN"/>
              </w:rPr>
              <w:t>0</w:t>
            </w:r>
            <w:r>
              <w:rPr>
                <w:rFonts w:ascii="Arial" w:hAnsi="Arial" w:cs="Arial"/>
                <w:color w:val="auto"/>
                <w:kern w:val="2"/>
                <w:sz w:val="21"/>
                <w:szCs w:val="21"/>
                <w:highlight w:val="none"/>
              </w:rPr>
              <w:t>分）：对项目总体有深刻认识，表达清晰、完整、严谨、合理，措施先进、具体、有效、成熟。</w:t>
            </w:r>
          </w:p>
          <w:p w14:paraId="330468A9">
            <w:pPr>
              <w:pStyle w:val="20"/>
              <w:adjustRightInd w:val="0"/>
              <w:snapToGrid w:val="0"/>
              <w:spacing w:line="300" w:lineRule="auto"/>
              <w:jc w:val="left"/>
              <w:rPr>
                <w:rFonts w:ascii="Arial" w:hAnsi="Arial" w:cs="Arial"/>
                <w:color w:val="auto"/>
                <w:szCs w:val="21"/>
                <w:highlight w:val="none"/>
              </w:rPr>
            </w:pPr>
            <w:r>
              <w:rPr>
                <w:rFonts w:ascii="Arial" w:hAnsi="Arial" w:cs="Arial"/>
                <w:color w:val="auto"/>
                <w:spacing w:val="-3"/>
                <w:sz w:val="21"/>
                <w:szCs w:val="21"/>
                <w:highlight w:val="none"/>
              </w:rPr>
              <w:t>注：未提供</w:t>
            </w:r>
            <w:r>
              <w:rPr>
                <w:rFonts w:ascii="Arial" w:hAnsi="Arial" w:cs="Arial"/>
                <w:b/>
                <w:bCs/>
                <w:color w:val="auto"/>
                <w:sz w:val="21"/>
                <w:szCs w:val="21"/>
                <w:highlight w:val="none"/>
              </w:rPr>
              <w:t>售后服务方案</w:t>
            </w:r>
            <w:r>
              <w:rPr>
                <w:rFonts w:ascii="Arial" w:hAnsi="Arial" w:cs="Arial"/>
                <w:color w:val="auto"/>
                <w:spacing w:val="-3"/>
                <w:sz w:val="21"/>
                <w:szCs w:val="21"/>
                <w:highlight w:val="none"/>
              </w:rPr>
              <w:t>的得0分。</w:t>
            </w:r>
          </w:p>
        </w:tc>
      </w:tr>
      <w:tr w14:paraId="66F3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489CD6D4">
            <w:pPr>
              <w:adjustRightInd w:val="0"/>
              <w:snapToGrid w:val="0"/>
              <w:spacing w:line="300" w:lineRule="auto"/>
              <w:jc w:val="center"/>
              <w:rPr>
                <w:rFonts w:hint="eastAsia" w:ascii="Arial" w:hAnsi="Arial" w:eastAsia="宋体" w:cs="Arial"/>
                <w:b/>
                <w:color w:val="auto"/>
                <w:szCs w:val="21"/>
                <w:highlight w:val="none"/>
                <w:lang w:eastAsia="zh-CN"/>
              </w:rPr>
            </w:pPr>
            <w:r>
              <w:rPr>
                <w:rFonts w:hint="eastAsia" w:ascii="Arial" w:hAnsi="Arial" w:cs="Arial"/>
                <w:b/>
                <w:color w:val="auto"/>
                <w:szCs w:val="21"/>
                <w:highlight w:val="none"/>
                <w:lang w:val="en-US" w:eastAsia="zh-CN"/>
              </w:rPr>
              <w:t>4</w:t>
            </w:r>
          </w:p>
        </w:tc>
        <w:tc>
          <w:tcPr>
            <w:tcW w:w="1009" w:type="dxa"/>
            <w:vAlign w:val="center"/>
          </w:tcPr>
          <w:p w14:paraId="30A1E89F">
            <w:pPr>
              <w:adjustRightInd w:val="0"/>
              <w:snapToGrid w:val="0"/>
              <w:spacing w:line="300" w:lineRule="auto"/>
              <w:jc w:val="center"/>
              <w:rPr>
                <w:rFonts w:ascii="Arial" w:hAnsi="Arial" w:cs="Arial"/>
                <w:color w:val="auto"/>
                <w:szCs w:val="21"/>
                <w:highlight w:val="none"/>
              </w:rPr>
            </w:pPr>
            <w:r>
              <w:rPr>
                <w:rFonts w:ascii="Arial" w:hAnsi="Arial" w:cs="Arial"/>
                <w:b/>
                <w:bCs/>
                <w:color w:val="auto"/>
                <w:szCs w:val="21"/>
                <w:highlight w:val="none"/>
              </w:rPr>
              <w:t>拟投入本项目人员（满分</w:t>
            </w:r>
            <w:r>
              <w:rPr>
                <w:rFonts w:hint="eastAsia" w:ascii="Arial" w:hAnsi="Arial" w:cs="Arial"/>
                <w:b/>
                <w:bCs/>
                <w:color w:val="auto"/>
                <w:szCs w:val="21"/>
                <w:highlight w:val="none"/>
                <w:shd w:val="clear"/>
                <w:lang w:val="en-US" w:eastAsia="zh-CN"/>
              </w:rPr>
              <w:t>4</w:t>
            </w:r>
            <w:r>
              <w:rPr>
                <w:rFonts w:ascii="Arial" w:hAnsi="Arial" w:cs="Arial"/>
                <w:b/>
                <w:bCs/>
                <w:color w:val="auto"/>
                <w:szCs w:val="21"/>
                <w:highlight w:val="none"/>
                <w:shd w:val="clear"/>
              </w:rPr>
              <w:t>分</w:t>
            </w:r>
            <w:r>
              <w:rPr>
                <w:rFonts w:ascii="Arial" w:hAnsi="Arial" w:cs="Arial"/>
                <w:b/>
                <w:bCs/>
                <w:color w:val="auto"/>
                <w:szCs w:val="21"/>
                <w:highlight w:val="none"/>
              </w:rPr>
              <w:t>）</w:t>
            </w:r>
          </w:p>
        </w:tc>
        <w:tc>
          <w:tcPr>
            <w:tcW w:w="7828" w:type="dxa"/>
            <w:vAlign w:val="center"/>
          </w:tcPr>
          <w:p w14:paraId="54C50DC3">
            <w:pPr>
              <w:pStyle w:val="20"/>
              <w:adjustRightInd w:val="0"/>
              <w:snapToGrid w:val="0"/>
              <w:spacing w:line="300" w:lineRule="auto"/>
              <w:jc w:val="left"/>
              <w:rPr>
                <w:rFonts w:ascii="Arial" w:hAnsi="Arial" w:cs="Arial"/>
                <w:color w:val="auto"/>
                <w:sz w:val="21"/>
                <w:szCs w:val="21"/>
                <w:highlight w:val="none"/>
              </w:rPr>
            </w:pPr>
            <w:r>
              <w:rPr>
                <w:rFonts w:ascii="Arial" w:hAnsi="Arial" w:cs="Arial"/>
                <w:color w:val="auto"/>
                <w:sz w:val="21"/>
                <w:szCs w:val="21"/>
                <w:highlight w:val="none"/>
              </w:rPr>
              <w:t>供应商或最终服务机构的主要实施人员具有：</w:t>
            </w:r>
          </w:p>
          <w:p w14:paraId="43567BE3">
            <w:pPr>
              <w:pStyle w:val="20"/>
              <w:adjustRightInd w:val="0"/>
              <w:snapToGrid w:val="0"/>
              <w:spacing w:line="300" w:lineRule="auto"/>
              <w:jc w:val="left"/>
              <w:rPr>
                <w:rFonts w:ascii="Arial" w:hAnsi="Arial" w:cs="Arial"/>
                <w:color w:val="auto"/>
                <w:sz w:val="21"/>
                <w:szCs w:val="21"/>
                <w:highlight w:val="none"/>
              </w:rPr>
            </w:pPr>
            <w:r>
              <w:rPr>
                <w:rFonts w:ascii="Arial" w:hAnsi="Arial" w:cs="Arial"/>
                <w:color w:val="auto"/>
                <w:sz w:val="21"/>
                <w:szCs w:val="21"/>
                <w:highlight w:val="none"/>
              </w:rPr>
              <w:t>主要实施人员具有十年以上（含）此次招标设备CT经验的获得原厂认证证书工程师资质，每个得</w:t>
            </w:r>
            <w:r>
              <w:rPr>
                <w:rFonts w:hint="eastAsia" w:ascii="Arial" w:hAnsi="Arial" w:cs="Arial"/>
                <w:color w:val="auto"/>
                <w:sz w:val="21"/>
                <w:szCs w:val="21"/>
                <w:highlight w:val="none"/>
                <w:lang w:val="en-US" w:eastAsia="zh-CN"/>
              </w:rPr>
              <w:t>1</w:t>
            </w:r>
            <w:r>
              <w:rPr>
                <w:rFonts w:ascii="Arial" w:hAnsi="Arial" w:cs="Arial"/>
                <w:color w:val="auto"/>
                <w:sz w:val="21"/>
                <w:szCs w:val="21"/>
                <w:highlight w:val="none"/>
              </w:rPr>
              <w:t>分，满分</w:t>
            </w:r>
            <w:r>
              <w:rPr>
                <w:rFonts w:hint="eastAsia" w:ascii="Arial" w:hAnsi="Arial" w:cs="Arial"/>
                <w:color w:val="auto"/>
                <w:sz w:val="21"/>
                <w:szCs w:val="21"/>
                <w:highlight w:val="none"/>
                <w:lang w:val="en-US" w:eastAsia="zh-CN"/>
              </w:rPr>
              <w:t>4</w:t>
            </w:r>
            <w:r>
              <w:rPr>
                <w:rFonts w:ascii="Arial" w:hAnsi="Arial" w:cs="Arial"/>
                <w:color w:val="auto"/>
                <w:sz w:val="21"/>
                <w:szCs w:val="21"/>
                <w:highlight w:val="none"/>
              </w:rPr>
              <w:t>分。</w:t>
            </w:r>
          </w:p>
          <w:p w14:paraId="44AB7061">
            <w:pPr>
              <w:pStyle w:val="20"/>
              <w:adjustRightInd w:val="0"/>
              <w:snapToGrid w:val="0"/>
              <w:spacing w:line="300" w:lineRule="auto"/>
              <w:jc w:val="left"/>
              <w:rPr>
                <w:rFonts w:ascii="Arial" w:hAnsi="Arial" w:cs="Arial"/>
                <w:color w:val="auto"/>
                <w:sz w:val="21"/>
                <w:szCs w:val="21"/>
                <w:highlight w:val="none"/>
              </w:rPr>
            </w:pPr>
            <w:r>
              <w:rPr>
                <w:rFonts w:ascii="Arial" w:hAnsi="Arial" w:cs="Arial"/>
                <w:color w:val="auto"/>
                <w:sz w:val="21"/>
                <w:szCs w:val="21"/>
                <w:highlight w:val="none"/>
              </w:rPr>
              <w:t>注：提供以上相关证书复印件及</w:t>
            </w:r>
            <w:r>
              <w:rPr>
                <w:rFonts w:hint="eastAsia" w:ascii="Arial" w:hAnsi="Arial" w:cs="Arial"/>
                <w:color w:val="auto"/>
                <w:sz w:val="21"/>
                <w:szCs w:val="21"/>
                <w:highlight w:val="none"/>
              </w:rPr>
              <w:t>2026年1月以来任意1个月由供应商为其缴纳的</w:t>
            </w:r>
            <w:r>
              <w:rPr>
                <w:rFonts w:ascii="Arial" w:hAnsi="Arial" w:cs="Arial"/>
                <w:color w:val="auto"/>
                <w:sz w:val="21"/>
                <w:szCs w:val="21"/>
                <w:highlight w:val="none"/>
              </w:rPr>
              <w:t>社保证明复印件并加盖供应商公章。</w:t>
            </w:r>
          </w:p>
        </w:tc>
      </w:tr>
      <w:tr w14:paraId="56CAC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3F909E86">
            <w:pPr>
              <w:adjustRightInd w:val="0"/>
              <w:snapToGrid w:val="0"/>
              <w:spacing w:line="300" w:lineRule="auto"/>
              <w:jc w:val="center"/>
              <w:rPr>
                <w:rFonts w:hint="eastAsia" w:ascii="Arial" w:hAnsi="Arial" w:eastAsia="宋体" w:cs="Arial"/>
                <w:b/>
                <w:color w:val="auto"/>
                <w:szCs w:val="21"/>
                <w:highlight w:val="none"/>
                <w:lang w:eastAsia="zh-CN"/>
              </w:rPr>
            </w:pPr>
            <w:r>
              <w:rPr>
                <w:rFonts w:hint="eastAsia" w:ascii="Arial" w:hAnsi="Arial" w:cs="Arial"/>
                <w:b/>
                <w:color w:val="auto"/>
                <w:szCs w:val="21"/>
                <w:highlight w:val="none"/>
                <w:lang w:val="en-US" w:eastAsia="zh-CN"/>
              </w:rPr>
              <w:t>5</w:t>
            </w:r>
          </w:p>
        </w:tc>
        <w:tc>
          <w:tcPr>
            <w:tcW w:w="1009" w:type="dxa"/>
            <w:vAlign w:val="center"/>
          </w:tcPr>
          <w:p w14:paraId="3339B10A">
            <w:pPr>
              <w:adjustRightInd w:val="0"/>
              <w:snapToGrid w:val="0"/>
              <w:spacing w:line="300" w:lineRule="auto"/>
              <w:jc w:val="center"/>
              <w:rPr>
                <w:rFonts w:ascii="Arial" w:hAnsi="Arial" w:cs="Arial"/>
                <w:color w:val="auto"/>
                <w:szCs w:val="21"/>
                <w:highlight w:val="none"/>
              </w:rPr>
            </w:pPr>
            <w:r>
              <w:rPr>
                <w:rFonts w:ascii="Arial" w:hAnsi="Arial" w:cs="Arial"/>
                <w:b/>
                <w:bCs/>
                <w:color w:val="auto"/>
                <w:szCs w:val="21"/>
                <w:highlight w:val="none"/>
              </w:rPr>
              <w:t>企业实力分（满分</w:t>
            </w:r>
            <w:r>
              <w:rPr>
                <w:rFonts w:hint="eastAsia" w:ascii="Arial" w:hAnsi="Arial" w:cs="Arial"/>
                <w:b/>
                <w:bCs/>
                <w:color w:val="auto"/>
                <w:szCs w:val="21"/>
                <w:highlight w:val="none"/>
                <w:shd w:val="clear"/>
                <w:lang w:val="en-US" w:eastAsia="zh-CN"/>
              </w:rPr>
              <w:t>8</w:t>
            </w:r>
            <w:r>
              <w:rPr>
                <w:rFonts w:ascii="Arial" w:hAnsi="Arial" w:cs="Arial"/>
                <w:b/>
                <w:bCs/>
                <w:color w:val="auto"/>
                <w:szCs w:val="21"/>
                <w:highlight w:val="none"/>
                <w:shd w:val="clear"/>
              </w:rPr>
              <w:t>分</w:t>
            </w:r>
            <w:r>
              <w:rPr>
                <w:rFonts w:ascii="Arial" w:hAnsi="Arial" w:cs="Arial"/>
                <w:b/>
                <w:bCs/>
                <w:color w:val="auto"/>
                <w:szCs w:val="21"/>
                <w:highlight w:val="none"/>
              </w:rPr>
              <w:t>）</w:t>
            </w:r>
          </w:p>
        </w:tc>
        <w:tc>
          <w:tcPr>
            <w:tcW w:w="7828" w:type="dxa"/>
            <w:vAlign w:val="center"/>
          </w:tcPr>
          <w:p w14:paraId="51711C87">
            <w:pPr>
              <w:pStyle w:val="20"/>
              <w:adjustRightInd w:val="0"/>
              <w:snapToGrid w:val="0"/>
              <w:spacing w:line="300" w:lineRule="auto"/>
              <w:jc w:val="left"/>
              <w:rPr>
                <w:rFonts w:ascii="Arial" w:hAnsi="Arial" w:cs="Arial"/>
                <w:color w:val="auto"/>
                <w:sz w:val="21"/>
                <w:szCs w:val="21"/>
                <w:highlight w:val="none"/>
              </w:rPr>
            </w:pPr>
            <w:r>
              <w:rPr>
                <w:rFonts w:ascii="Arial" w:hAnsi="Arial" w:cs="Arial"/>
                <w:color w:val="auto"/>
                <w:sz w:val="21"/>
                <w:szCs w:val="21"/>
                <w:highlight w:val="none"/>
              </w:rPr>
              <w:t>①供应商取得原厂授权书得</w:t>
            </w:r>
            <w:r>
              <w:rPr>
                <w:rFonts w:hint="eastAsia" w:ascii="Arial" w:hAnsi="Arial" w:cs="Arial"/>
                <w:color w:val="auto"/>
                <w:sz w:val="21"/>
                <w:szCs w:val="21"/>
                <w:highlight w:val="none"/>
                <w:lang w:val="en-US" w:eastAsia="zh-CN"/>
              </w:rPr>
              <w:t>2</w:t>
            </w:r>
            <w:r>
              <w:rPr>
                <w:rFonts w:ascii="Arial" w:hAnsi="Arial" w:cs="Arial"/>
                <w:color w:val="auto"/>
                <w:sz w:val="21"/>
                <w:szCs w:val="21"/>
                <w:highlight w:val="none"/>
              </w:rPr>
              <w:t>分</w:t>
            </w:r>
          </w:p>
          <w:p w14:paraId="3622FA99">
            <w:pPr>
              <w:pStyle w:val="20"/>
              <w:adjustRightInd w:val="0"/>
              <w:snapToGrid w:val="0"/>
              <w:spacing w:line="300" w:lineRule="auto"/>
              <w:jc w:val="left"/>
              <w:rPr>
                <w:rFonts w:ascii="Arial" w:hAnsi="Arial" w:cs="Arial"/>
                <w:color w:val="auto"/>
                <w:sz w:val="21"/>
                <w:szCs w:val="21"/>
                <w:highlight w:val="none"/>
              </w:rPr>
            </w:pPr>
            <w:bookmarkStart w:id="80" w:name="3、项目调查人员配备分……………………………………………………………………………"/>
            <w:bookmarkEnd w:id="80"/>
            <w:r>
              <w:rPr>
                <w:rFonts w:ascii="Arial" w:hAnsi="Arial" w:cs="Arial"/>
                <w:color w:val="auto"/>
                <w:sz w:val="21"/>
                <w:szCs w:val="21"/>
                <w:highlight w:val="none"/>
              </w:rPr>
              <w:t>②供应商或最终服务机构在国内设有零备件仓库（提供相应证明材料，如租赁合同等）得</w:t>
            </w:r>
            <w:r>
              <w:rPr>
                <w:rFonts w:hint="eastAsia" w:ascii="Arial" w:hAnsi="Arial" w:cs="Arial"/>
                <w:color w:val="auto"/>
                <w:sz w:val="21"/>
                <w:szCs w:val="21"/>
                <w:highlight w:val="none"/>
                <w:lang w:val="en-US" w:eastAsia="zh-CN"/>
              </w:rPr>
              <w:t>2</w:t>
            </w:r>
            <w:r>
              <w:rPr>
                <w:rFonts w:ascii="Arial" w:hAnsi="Arial" w:cs="Arial"/>
                <w:color w:val="auto"/>
                <w:sz w:val="21"/>
                <w:szCs w:val="21"/>
                <w:highlight w:val="none"/>
              </w:rPr>
              <w:t>分。</w:t>
            </w:r>
          </w:p>
          <w:p w14:paraId="148A3E33">
            <w:pPr>
              <w:pStyle w:val="20"/>
              <w:adjustRightInd w:val="0"/>
              <w:snapToGrid w:val="0"/>
              <w:spacing w:line="300" w:lineRule="auto"/>
              <w:jc w:val="left"/>
              <w:rPr>
                <w:rFonts w:ascii="Arial" w:hAnsi="Arial" w:cs="Arial"/>
                <w:color w:val="auto"/>
                <w:sz w:val="21"/>
                <w:szCs w:val="21"/>
                <w:highlight w:val="none"/>
              </w:rPr>
            </w:pPr>
            <w:r>
              <w:rPr>
                <w:rFonts w:ascii="Arial" w:hAnsi="Arial" w:cs="Arial"/>
                <w:color w:val="auto"/>
                <w:sz w:val="21"/>
                <w:szCs w:val="21"/>
                <w:highlight w:val="none"/>
              </w:rPr>
              <w:t>③供应商或最终服务机构获得ISO9001质量管理体系认证（提供相应证明材料）得</w:t>
            </w:r>
            <w:r>
              <w:rPr>
                <w:rFonts w:hint="eastAsia" w:ascii="Arial" w:hAnsi="Arial" w:cs="Arial"/>
                <w:color w:val="auto"/>
                <w:sz w:val="21"/>
                <w:szCs w:val="21"/>
                <w:highlight w:val="none"/>
                <w:lang w:val="en-US" w:eastAsia="zh-CN"/>
              </w:rPr>
              <w:t>1</w:t>
            </w:r>
            <w:r>
              <w:rPr>
                <w:rFonts w:ascii="Arial" w:hAnsi="Arial" w:cs="Arial"/>
                <w:color w:val="auto"/>
                <w:sz w:val="21"/>
                <w:szCs w:val="21"/>
                <w:highlight w:val="none"/>
              </w:rPr>
              <w:t>分。</w:t>
            </w:r>
          </w:p>
          <w:p w14:paraId="797D1CC2">
            <w:pPr>
              <w:pStyle w:val="20"/>
              <w:adjustRightInd w:val="0"/>
              <w:snapToGrid w:val="0"/>
              <w:spacing w:line="300" w:lineRule="auto"/>
              <w:jc w:val="left"/>
              <w:rPr>
                <w:rFonts w:ascii="Arial" w:hAnsi="Arial" w:cs="Arial"/>
                <w:color w:val="auto"/>
                <w:sz w:val="21"/>
                <w:szCs w:val="21"/>
                <w:highlight w:val="none"/>
              </w:rPr>
            </w:pPr>
            <w:r>
              <w:rPr>
                <w:rFonts w:ascii="Arial" w:hAnsi="Arial" w:cs="Arial"/>
                <w:color w:val="auto"/>
                <w:sz w:val="21"/>
                <w:szCs w:val="21"/>
                <w:highlight w:val="none"/>
              </w:rPr>
              <w:t>④供应商或最终服务机构获得ISO13485医疗器械质量管理体系认证（提供相应证明材料）得</w:t>
            </w:r>
            <w:r>
              <w:rPr>
                <w:rFonts w:hint="eastAsia" w:ascii="Arial" w:hAnsi="Arial" w:cs="Arial"/>
                <w:color w:val="auto"/>
                <w:sz w:val="21"/>
                <w:szCs w:val="21"/>
                <w:highlight w:val="none"/>
                <w:lang w:val="en-US" w:eastAsia="zh-CN"/>
              </w:rPr>
              <w:t>1</w:t>
            </w:r>
            <w:r>
              <w:rPr>
                <w:rFonts w:ascii="Arial" w:hAnsi="Arial" w:cs="Arial"/>
                <w:color w:val="auto"/>
                <w:sz w:val="21"/>
                <w:szCs w:val="21"/>
                <w:highlight w:val="none"/>
              </w:rPr>
              <w:t>分。</w:t>
            </w:r>
          </w:p>
          <w:p w14:paraId="0049E4FF">
            <w:pPr>
              <w:pStyle w:val="20"/>
              <w:adjustRightInd w:val="0"/>
              <w:snapToGrid w:val="0"/>
              <w:spacing w:line="300" w:lineRule="auto"/>
              <w:jc w:val="left"/>
              <w:rPr>
                <w:rFonts w:ascii="Arial" w:hAnsi="Arial" w:cs="Arial"/>
                <w:color w:val="auto"/>
                <w:sz w:val="21"/>
                <w:szCs w:val="21"/>
                <w:highlight w:val="none"/>
              </w:rPr>
            </w:pPr>
            <w:r>
              <w:rPr>
                <w:rFonts w:ascii="Arial" w:hAnsi="Arial" w:cs="Arial"/>
                <w:color w:val="auto"/>
                <w:sz w:val="21"/>
                <w:szCs w:val="21"/>
                <w:highlight w:val="none"/>
              </w:rPr>
              <w:t>⑤供应商或最终服务机构获得ISO27001信息安全管理管理体系认证（提供相应证明材料）得</w:t>
            </w:r>
            <w:r>
              <w:rPr>
                <w:rFonts w:hint="eastAsia" w:ascii="Arial" w:hAnsi="Arial" w:cs="Arial"/>
                <w:color w:val="auto"/>
                <w:sz w:val="21"/>
                <w:szCs w:val="21"/>
                <w:highlight w:val="none"/>
                <w:lang w:val="en-US" w:eastAsia="zh-CN"/>
              </w:rPr>
              <w:t>1</w:t>
            </w:r>
            <w:r>
              <w:rPr>
                <w:rFonts w:ascii="Arial" w:hAnsi="Arial" w:cs="Arial"/>
                <w:color w:val="auto"/>
                <w:sz w:val="21"/>
                <w:szCs w:val="21"/>
                <w:highlight w:val="none"/>
              </w:rPr>
              <w:t>分。</w:t>
            </w:r>
          </w:p>
          <w:p w14:paraId="56140E29">
            <w:pPr>
              <w:pStyle w:val="20"/>
              <w:adjustRightInd w:val="0"/>
              <w:snapToGrid w:val="0"/>
              <w:spacing w:line="300" w:lineRule="auto"/>
              <w:jc w:val="left"/>
              <w:rPr>
                <w:rFonts w:ascii="Arial" w:hAnsi="Arial" w:cs="Arial"/>
                <w:color w:val="auto"/>
                <w:sz w:val="21"/>
                <w:szCs w:val="21"/>
                <w:highlight w:val="none"/>
              </w:rPr>
            </w:pPr>
            <w:r>
              <w:rPr>
                <w:rFonts w:ascii="Arial" w:hAnsi="Arial" w:cs="Arial"/>
                <w:color w:val="auto"/>
                <w:sz w:val="21"/>
                <w:szCs w:val="21"/>
                <w:highlight w:val="none"/>
              </w:rPr>
              <w:t>⑥供应商或最终服务机构获得OHSAS18001或ISO45001职业健康安全管理体系认证（提供相应证明材料）得</w:t>
            </w:r>
            <w:r>
              <w:rPr>
                <w:rFonts w:hint="eastAsia" w:ascii="Arial" w:hAnsi="Arial" w:cs="Arial"/>
                <w:color w:val="auto"/>
                <w:sz w:val="21"/>
                <w:szCs w:val="21"/>
                <w:highlight w:val="none"/>
                <w:lang w:val="en-US" w:eastAsia="zh-CN"/>
              </w:rPr>
              <w:t>1</w:t>
            </w:r>
            <w:r>
              <w:rPr>
                <w:rFonts w:ascii="Arial" w:hAnsi="Arial" w:cs="Arial"/>
                <w:color w:val="auto"/>
                <w:sz w:val="21"/>
                <w:szCs w:val="21"/>
                <w:highlight w:val="none"/>
              </w:rPr>
              <w:t>分。</w:t>
            </w:r>
          </w:p>
        </w:tc>
      </w:tr>
      <w:tr w14:paraId="1B4F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3B7328A9">
            <w:pPr>
              <w:adjustRightInd w:val="0"/>
              <w:snapToGrid w:val="0"/>
              <w:spacing w:line="300" w:lineRule="auto"/>
              <w:jc w:val="center"/>
              <w:rPr>
                <w:rFonts w:hint="eastAsia" w:ascii="Arial" w:hAnsi="Arial" w:eastAsia="宋体" w:cs="Arial"/>
                <w:b/>
                <w:color w:val="auto"/>
                <w:szCs w:val="21"/>
                <w:highlight w:val="none"/>
                <w:lang w:eastAsia="zh-CN"/>
              </w:rPr>
            </w:pPr>
            <w:r>
              <w:rPr>
                <w:rFonts w:hint="eastAsia" w:ascii="Arial" w:hAnsi="Arial" w:cs="Arial"/>
                <w:b/>
                <w:color w:val="auto"/>
                <w:szCs w:val="21"/>
                <w:highlight w:val="none"/>
                <w:lang w:val="en-US" w:eastAsia="zh-CN"/>
              </w:rPr>
              <w:t>6</w:t>
            </w:r>
            <w:bookmarkStart w:id="114" w:name="_GoBack"/>
            <w:bookmarkEnd w:id="114"/>
          </w:p>
        </w:tc>
        <w:tc>
          <w:tcPr>
            <w:tcW w:w="1009" w:type="dxa"/>
            <w:vAlign w:val="center"/>
          </w:tcPr>
          <w:p w14:paraId="7A216DE8">
            <w:pPr>
              <w:adjustRightInd w:val="0"/>
              <w:snapToGrid w:val="0"/>
              <w:spacing w:line="300" w:lineRule="auto"/>
              <w:jc w:val="center"/>
              <w:rPr>
                <w:rFonts w:ascii="Arial" w:hAnsi="Arial" w:cs="Arial"/>
                <w:color w:val="auto"/>
                <w:szCs w:val="21"/>
                <w:highlight w:val="none"/>
              </w:rPr>
            </w:pPr>
            <w:r>
              <w:rPr>
                <w:rFonts w:ascii="Arial" w:hAnsi="Arial" w:cs="Arial"/>
                <w:b/>
                <w:bCs/>
                <w:color w:val="auto"/>
                <w:szCs w:val="21"/>
                <w:highlight w:val="none"/>
              </w:rPr>
              <w:t>业绩分（满分</w:t>
            </w:r>
            <w:r>
              <w:rPr>
                <w:rFonts w:hint="eastAsia" w:ascii="Arial" w:hAnsi="Arial" w:cs="Arial"/>
                <w:b/>
                <w:bCs/>
                <w:color w:val="auto"/>
                <w:szCs w:val="21"/>
                <w:highlight w:val="none"/>
                <w:lang w:val="en-US" w:eastAsia="zh-CN"/>
              </w:rPr>
              <w:t>3</w:t>
            </w:r>
            <w:r>
              <w:rPr>
                <w:rFonts w:ascii="Arial" w:hAnsi="Arial" w:cs="Arial"/>
                <w:b/>
                <w:bCs/>
                <w:color w:val="auto"/>
                <w:szCs w:val="21"/>
                <w:highlight w:val="none"/>
              </w:rPr>
              <w:t>分）</w:t>
            </w:r>
          </w:p>
        </w:tc>
        <w:tc>
          <w:tcPr>
            <w:tcW w:w="7828" w:type="dxa"/>
            <w:vAlign w:val="center"/>
          </w:tcPr>
          <w:p w14:paraId="20D7CEF1">
            <w:pPr>
              <w:adjustRightInd w:val="0"/>
              <w:snapToGrid w:val="0"/>
              <w:spacing w:line="300" w:lineRule="auto"/>
              <w:jc w:val="left"/>
              <w:rPr>
                <w:rFonts w:ascii="Arial" w:hAnsi="Arial" w:cs="Arial"/>
                <w:b/>
                <w:bCs/>
                <w:color w:val="auto"/>
                <w:szCs w:val="21"/>
                <w:highlight w:val="none"/>
              </w:rPr>
            </w:pPr>
            <w:r>
              <w:rPr>
                <w:rFonts w:hint="eastAsia" w:ascii="Arial" w:hAnsi="Arial" w:cs="Arial"/>
                <w:color w:val="auto"/>
                <w:szCs w:val="21"/>
                <w:highlight w:val="none"/>
              </w:rPr>
              <w:t>自2023年1月1日以来</w:t>
            </w:r>
            <w:r>
              <w:rPr>
                <w:rFonts w:ascii="Arial" w:hAnsi="Arial" w:cs="Arial"/>
                <w:color w:val="auto"/>
                <w:szCs w:val="21"/>
                <w:highlight w:val="none"/>
              </w:rPr>
              <w:t>供应商或最终服务商具有此次招标设备CT医疗设备维修保养项目业绩证明，每提供一份得</w:t>
            </w:r>
            <w:r>
              <w:rPr>
                <w:rFonts w:hint="eastAsia" w:ascii="Arial" w:hAnsi="Arial" w:cs="Arial"/>
                <w:color w:val="auto"/>
                <w:szCs w:val="21"/>
                <w:highlight w:val="none"/>
                <w:lang w:val="en-US" w:eastAsia="zh-CN"/>
              </w:rPr>
              <w:t>1</w:t>
            </w:r>
            <w:r>
              <w:rPr>
                <w:rFonts w:ascii="Arial" w:hAnsi="Arial" w:cs="Arial"/>
                <w:color w:val="auto"/>
                <w:szCs w:val="21"/>
                <w:highlight w:val="none"/>
              </w:rPr>
              <w:t>分</w:t>
            </w:r>
            <w:r>
              <w:rPr>
                <w:rFonts w:ascii="Arial" w:hAnsi="Arial" w:cs="Arial"/>
                <w:color w:val="auto"/>
                <w:szCs w:val="21"/>
                <w:highlight w:val="none"/>
              </w:rPr>
              <w:t>，此项最高</w:t>
            </w:r>
            <w:r>
              <w:rPr>
                <w:rFonts w:ascii="Arial" w:hAnsi="Arial" w:cs="Arial"/>
                <w:color w:val="auto"/>
                <w:szCs w:val="21"/>
                <w:highlight w:val="none"/>
              </w:rPr>
              <w:t>得</w:t>
            </w:r>
            <w:r>
              <w:rPr>
                <w:rFonts w:hint="eastAsia" w:ascii="Arial" w:hAnsi="Arial" w:cs="Arial"/>
                <w:color w:val="auto"/>
                <w:szCs w:val="21"/>
                <w:highlight w:val="none"/>
                <w:lang w:val="en-US" w:eastAsia="zh-CN"/>
              </w:rPr>
              <w:t>3</w:t>
            </w:r>
            <w:r>
              <w:rPr>
                <w:rFonts w:ascii="Arial" w:hAnsi="Arial" w:cs="Arial"/>
                <w:color w:val="auto"/>
                <w:szCs w:val="21"/>
                <w:highlight w:val="none"/>
              </w:rPr>
              <w:t>分</w:t>
            </w:r>
            <w:r>
              <w:rPr>
                <w:rFonts w:ascii="Arial" w:hAnsi="Arial" w:cs="Arial"/>
                <w:color w:val="auto"/>
                <w:szCs w:val="21"/>
                <w:highlight w:val="none"/>
              </w:rPr>
              <w:t>。</w:t>
            </w:r>
            <w:r>
              <w:rPr>
                <w:rFonts w:ascii="Arial" w:hAnsi="Arial" w:cs="Arial"/>
                <w:b/>
                <w:bCs/>
                <w:color w:val="auto"/>
                <w:szCs w:val="21"/>
                <w:highlight w:val="none"/>
              </w:rPr>
              <w:t>（提供</w:t>
            </w:r>
            <w:r>
              <w:rPr>
                <w:rFonts w:hint="eastAsia" w:ascii="Arial" w:hAnsi="Arial" w:cs="Arial"/>
                <w:b/>
                <w:bCs/>
                <w:color w:val="auto"/>
                <w:szCs w:val="21"/>
                <w:highlight w:val="none"/>
              </w:rPr>
              <w:t>中标（成交）通知书</w:t>
            </w:r>
            <w:r>
              <w:rPr>
                <w:rFonts w:ascii="Arial" w:hAnsi="Arial" w:cs="Arial"/>
                <w:b/>
                <w:bCs/>
                <w:color w:val="auto"/>
                <w:szCs w:val="21"/>
                <w:highlight w:val="none"/>
              </w:rPr>
              <w:t>或相关合同复印件加盖公章）</w:t>
            </w:r>
          </w:p>
        </w:tc>
      </w:tr>
    </w:tbl>
    <w:p w14:paraId="6C613715">
      <w:pPr>
        <w:spacing w:line="360" w:lineRule="auto"/>
        <w:ind w:firstLine="480" w:firstLineChars="200"/>
        <w:rPr>
          <w:rFonts w:ascii="Arial" w:hAnsi="Arial" w:cs="Arial"/>
          <w:color w:val="auto"/>
          <w:sz w:val="24"/>
          <w:highlight w:val="none"/>
        </w:rPr>
      </w:pPr>
    </w:p>
    <w:p w14:paraId="2C78B19F">
      <w:pPr>
        <w:rPr>
          <w:rFonts w:ascii="Arial" w:hAnsi="Arial" w:cs="Arial"/>
          <w:color w:val="auto"/>
          <w:highlight w:val="none"/>
          <w:lang w:val="zh-CN"/>
        </w:rPr>
      </w:pPr>
    </w:p>
    <w:p w14:paraId="41319D41">
      <w:pPr>
        <w:ind w:firstLine="210" w:firstLineChars="100"/>
        <w:rPr>
          <w:rFonts w:ascii="Arial" w:hAnsi="Arial" w:cs="Arial"/>
          <w:color w:val="auto"/>
          <w:highlight w:val="none"/>
          <w:lang w:val="zh-CN"/>
        </w:rPr>
      </w:pPr>
      <w:r>
        <w:rPr>
          <w:rFonts w:ascii="Arial" w:hAnsi="Arial" w:cs="Arial"/>
          <w:color w:val="auto"/>
          <w:highlight w:val="none"/>
          <w:lang w:val="zh-CN"/>
        </w:rPr>
        <w:t>（2）投标报价分</w:t>
      </w:r>
    </w:p>
    <w:tbl>
      <w:tblPr>
        <w:tblStyle w:val="52"/>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547"/>
        <w:gridCol w:w="4163"/>
        <w:gridCol w:w="806"/>
        <w:gridCol w:w="2377"/>
      </w:tblGrid>
      <w:tr w14:paraId="5D23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644" w:type="dxa"/>
            <w:vAlign w:val="center"/>
          </w:tcPr>
          <w:p w14:paraId="2BFB5DDD">
            <w:pPr>
              <w:spacing w:line="288" w:lineRule="auto"/>
              <w:jc w:val="center"/>
              <w:rPr>
                <w:rFonts w:ascii="Arial" w:hAnsi="Arial" w:cs="Arial"/>
                <w:b/>
                <w:color w:val="auto"/>
                <w:szCs w:val="21"/>
                <w:highlight w:val="none"/>
              </w:rPr>
            </w:pPr>
            <w:r>
              <w:rPr>
                <w:rFonts w:ascii="Arial" w:hAnsi="Arial" w:cs="Arial"/>
                <w:b/>
                <w:color w:val="auto"/>
                <w:szCs w:val="21"/>
                <w:highlight w:val="none"/>
              </w:rPr>
              <w:t>序号</w:t>
            </w:r>
          </w:p>
        </w:tc>
        <w:tc>
          <w:tcPr>
            <w:tcW w:w="1547" w:type="dxa"/>
            <w:vAlign w:val="center"/>
          </w:tcPr>
          <w:p w14:paraId="7EEF0D8D">
            <w:pPr>
              <w:spacing w:line="288" w:lineRule="auto"/>
              <w:jc w:val="center"/>
              <w:rPr>
                <w:rFonts w:ascii="Arial" w:hAnsi="Arial" w:cs="Arial"/>
                <w:b/>
                <w:color w:val="auto"/>
                <w:szCs w:val="21"/>
                <w:highlight w:val="none"/>
              </w:rPr>
            </w:pPr>
            <w:r>
              <w:rPr>
                <w:rFonts w:ascii="Arial" w:hAnsi="Arial" w:cs="Arial"/>
                <w:b/>
                <w:color w:val="auto"/>
                <w:szCs w:val="21"/>
                <w:highlight w:val="none"/>
              </w:rPr>
              <w:t>类型</w:t>
            </w:r>
          </w:p>
        </w:tc>
        <w:tc>
          <w:tcPr>
            <w:tcW w:w="4163" w:type="dxa"/>
            <w:vAlign w:val="center"/>
          </w:tcPr>
          <w:p w14:paraId="4EE6E28B">
            <w:pPr>
              <w:spacing w:line="288" w:lineRule="auto"/>
              <w:jc w:val="center"/>
              <w:rPr>
                <w:rFonts w:ascii="Arial" w:hAnsi="Arial" w:cs="Arial"/>
                <w:b/>
                <w:color w:val="auto"/>
                <w:szCs w:val="21"/>
                <w:highlight w:val="none"/>
              </w:rPr>
            </w:pPr>
            <w:r>
              <w:rPr>
                <w:rFonts w:ascii="Arial" w:hAnsi="Arial" w:cs="Arial"/>
                <w:b/>
                <w:color w:val="auto"/>
                <w:szCs w:val="21"/>
                <w:highlight w:val="none"/>
              </w:rPr>
              <w:t>评分标准</w:t>
            </w:r>
          </w:p>
        </w:tc>
        <w:tc>
          <w:tcPr>
            <w:tcW w:w="806" w:type="dxa"/>
            <w:vAlign w:val="center"/>
          </w:tcPr>
          <w:p w14:paraId="1B76847C">
            <w:pPr>
              <w:spacing w:line="288" w:lineRule="auto"/>
              <w:jc w:val="center"/>
              <w:rPr>
                <w:rFonts w:ascii="Arial" w:hAnsi="Arial" w:cs="Arial"/>
                <w:b/>
                <w:color w:val="auto"/>
                <w:szCs w:val="21"/>
                <w:highlight w:val="none"/>
              </w:rPr>
            </w:pPr>
            <w:r>
              <w:rPr>
                <w:rFonts w:ascii="Arial" w:hAnsi="Arial" w:cs="Arial"/>
                <w:b/>
                <w:color w:val="auto"/>
                <w:szCs w:val="21"/>
                <w:highlight w:val="none"/>
              </w:rPr>
              <w:t>分值权重</w:t>
            </w:r>
          </w:p>
        </w:tc>
        <w:tc>
          <w:tcPr>
            <w:tcW w:w="2377" w:type="dxa"/>
            <w:vAlign w:val="center"/>
          </w:tcPr>
          <w:p w14:paraId="797A7F1E">
            <w:pPr>
              <w:spacing w:line="288" w:lineRule="auto"/>
              <w:jc w:val="center"/>
              <w:rPr>
                <w:rFonts w:ascii="Arial" w:hAnsi="Arial" w:cs="Arial"/>
                <w:b/>
                <w:color w:val="auto"/>
                <w:szCs w:val="21"/>
                <w:highlight w:val="none"/>
              </w:rPr>
            </w:pPr>
            <w:r>
              <w:rPr>
                <w:rFonts w:ascii="Arial" w:hAnsi="Arial" w:cs="Arial"/>
                <w:b/>
                <w:color w:val="auto"/>
                <w:szCs w:val="21"/>
                <w:highlight w:val="none"/>
              </w:rPr>
              <w:t>说明</w:t>
            </w:r>
          </w:p>
        </w:tc>
      </w:tr>
      <w:tr w14:paraId="05F2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6" w:hRule="atLeast"/>
          <w:jc w:val="center"/>
        </w:trPr>
        <w:tc>
          <w:tcPr>
            <w:tcW w:w="644" w:type="dxa"/>
            <w:vAlign w:val="center"/>
          </w:tcPr>
          <w:p w14:paraId="27BBF7A7">
            <w:pPr>
              <w:spacing w:line="288" w:lineRule="auto"/>
              <w:jc w:val="center"/>
              <w:rPr>
                <w:rFonts w:ascii="Arial" w:hAnsi="Arial" w:cs="Arial"/>
                <w:b/>
                <w:color w:val="auto"/>
                <w:szCs w:val="21"/>
                <w:highlight w:val="none"/>
              </w:rPr>
            </w:pPr>
            <w:r>
              <w:rPr>
                <w:rFonts w:ascii="Arial" w:hAnsi="Arial" w:cs="Arial"/>
                <w:b/>
                <w:color w:val="auto"/>
                <w:szCs w:val="21"/>
                <w:highlight w:val="none"/>
              </w:rPr>
              <w:t>1</w:t>
            </w:r>
          </w:p>
        </w:tc>
        <w:tc>
          <w:tcPr>
            <w:tcW w:w="1547" w:type="dxa"/>
            <w:vAlign w:val="center"/>
          </w:tcPr>
          <w:p w14:paraId="279B3FF8">
            <w:pPr>
              <w:rPr>
                <w:rFonts w:ascii="Arial" w:hAnsi="Arial" w:cs="Arial"/>
                <w:color w:val="auto"/>
                <w:szCs w:val="21"/>
                <w:highlight w:val="none"/>
              </w:rPr>
            </w:pPr>
            <w:r>
              <w:rPr>
                <w:rFonts w:ascii="Arial" w:hAnsi="Arial" w:cs="Arial"/>
                <w:b/>
                <w:bCs/>
                <w:color w:val="auto"/>
                <w:szCs w:val="21"/>
                <w:highlight w:val="none"/>
              </w:rPr>
              <w:t>投标报价分（满分</w:t>
            </w:r>
            <w:r>
              <w:rPr>
                <w:rFonts w:hint="eastAsia" w:ascii="Arial" w:hAnsi="Arial" w:cs="Arial"/>
                <w:b/>
                <w:bCs/>
                <w:color w:val="auto"/>
                <w:szCs w:val="21"/>
                <w:highlight w:val="none"/>
                <w:lang w:val="en-US" w:eastAsia="zh-CN"/>
              </w:rPr>
              <w:t>2</w:t>
            </w:r>
            <w:r>
              <w:rPr>
                <w:rFonts w:ascii="Arial" w:hAnsi="Arial" w:cs="Arial"/>
                <w:b/>
                <w:bCs/>
                <w:color w:val="auto"/>
                <w:szCs w:val="21"/>
                <w:highlight w:val="none"/>
              </w:rPr>
              <w:t>0分）</w:t>
            </w:r>
          </w:p>
        </w:tc>
        <w:tc>
          <w:tcPr>
            <w:tcW w:w="4163" w:type="dxa"/>
            <w:vAlign w:val="center"/>
          </w:tcPr>
          <w:p w14:paraId="57C42B1A">
            <w:pPr>
              <w:rPr>
                <w:rFonts w:ascii="Arial" w:hAnsi="Arial" w:cs="Arial"/>
                <w:color w:val="auto"/>
                <w:szCs w:val="21"/>
                <w:highlight w:val="none"/>
              </w:rPr>
            </w:pPr>
            <w:r>
              <w:rPr>
                <w:rFonts w:ascii="Arial" w:hAnsi="Arial" w:cs="Arial"/>
                <w:color w:val="auto"/>
                <w:szCs w:val="21"/>
                <w:highlight w:val="none"/>
              </w:rPr>
              <w:t>以满足招标文件要求且投标价格最低的投标报价为评审基准价，其价格分为满分。其他供应商的价格分统一按照下列公式计算：投标报价得分=（评审基准价/投标报价）×</w:t>
            </w:r>
            <w:r>
              <w:rPr>
                <w:rFonts w:hint="eastAsia" w:ascii="Arial" w:hAnsi="Arial" w:cs="Arial"/>
                <w:color w:val="auto"/>
                <w:szCs w:val="21"/>
                <w:highlight w:val="none"/>
                <w:lang w:val="en-US" w:eastAsia="zh-CN"/>
              </w:rPr>
              <w:t>2</w:t>
            </w:r>
            <w:r>
              <w:rPr>
                <w:rFonts w:ascii="Arial" w:hAnsi="Arial" w:cs="Arial"/>
                <w:color w:val="auto"/>
                <w:szCs w:val="21"/>
                <w:highlight w:val="none"/>
              </w:rPr>
              <w:t>0。</w:t>
            </w:r>
          </w:p>
        </w:tc>
        <w:tc>
          <w:tcPr>
            <w:tcW w:w="806" w:type="dxa"/>
            <w:vAlign w:val="center"/>
          </w:tcPr>
          <w:p w14:paraId="0D089950">
            <w:pPr>
              <w:spacing w:line="288" w:lineRule="auto"/>
              <w:jc w:val="center"/>
              <w:rPr>
                <w:rFonts w:ascii="Arial" w:hAnsi="Arial" w:cs="Arial"/>
                <w:color w:val="auto"/>
                <w:szCs w:val="21"/>
                <w:highlight w:val="none"/>
              </w:rPr>
            </w:pPr>
            <w:r>
              <w:rPr>
                <w:rFonts w:hint="eastAsia" w:ascii="Arial" w:hAnsi="Arial" w:cs="Arial"/>
                <w:color w:val="auto"/>
                <w:szCs w:val="21"/>
                <w:highlight w:val="none"/>
                <w:lang w:val="en-US" w:eastAsia="zh-CN"/>
              </w:rPr>
              <w:t>2</w:t>
            </w:r>
            <w:r>
              <w:rPr>
                <w:rFonts w:hint="eastAsia" w:ascii="Arial" w:hAnsi="Arial" w:cs="Arial"/>
                <w:color w:val="auto"/>
                <w:szCs w:val="21"/>
                <w:highlight w:val="none"/>
              </w:rPr>
              <w:t>0</w:t>
            </w:r>
          </w:p>
        </w:tc>
        <w:tc>
          <w:tcPr>
            <w:tcW w:w="2377" w:type="dxa"/>
            <w:vAlign w:val="center"/>
          </w:tcPr>
          <w:p w14:paraId="73236FFC">
            <w:pPr>
              <w:spacing w:line="288" w:lineRule="auto"/>
              <w:rPr>
                <w:rFonts w:ascii="Arial" w:hAnsi="Arial" w:cs="Arial"/>
                <w:color w:val="auto"/>
                <w:szCs w:val="21"/>
                <w:highlight w:val="none"/>
              </w:rPr>
            </w:pPr>
            <w:r>
              <w:rPr>
                <w:rFonts w:ascii="Arial" w:hAnsi="Arial" w:cs="Arial"/>
                <w:bCs/>
                <w:color w:val="auto"/>
                <w:szCs w:val="21"/>
                <w:highlight w:val="none"/>
              </w:rPr>
              <w:t>投标报价计算时均为供应商的实际投标报价进行政策性扣除后的价格，最终中标金额＝投标报价。政策性扣除计算方法见后。</w:t>
            </w:r>
          </w:p>
        </w:tc>
      </w:tr>
    </w:tbl>
    <w:p w14:paraId="132F961C">
      <w:pPr>
        <w:spacing w:before="120" w:line="320" w:lineRule="atLeast"/>
        <w:ind w:firstLine="316" w:firstLineChars="150"/>
        <w:rPr>
          <w:rFonts w:ascii="Arial" w:hAnsi="Arial" w:cs="Arial"/>
          <w:b/>
          <w:bCs/>
          <w:color w:val="auto"/>
          <w:kern w:val="0"/>
          <w:szCs w:val="21"/>
          <w:highlight w:val="none"/>
        </w:rPr>
      </w:pPr>
      <w:r>
        <w:rPr>
          <w:rFonts w:ascii="Arial" w:hAnsi="Arial" w:cs="Arial"/>
          <w:b/>
          <w:bCs/>
          <w:color w:val="auto"/>
          <w:kern w:val="0"/>
          <w:szCs w:val="21"/>
          <w:highlight w:val="none"/>
        </w:rPr>
        <w:t>注：政策性扣除计算方法</w:t>
      </w:r>
      <w:bookmarkStart w:id="81" w:name="_Hlk132881338"/>
    </w:p>
    <w:bookmarkEnd w:id="81"/>
    <w:p w14:paraId="00983002">
      <w:pPr>
        <w:spacing w:before="120" w:line="320" w:lineRule="atLeast"/>
        <w:ind w:firstLine="420" w:firstLineChars="200"/>
        <w:rPr>
          <w:rFonts w:ascii="Arial" w:hAnsi="Arial" w:cs="Arial"/>
          <w:color w:val="auto"/>
          <w:szCs w:val="21"/>
          <w:highlight w:val="none"/>
        </w:rPr>
      </w:pPr>
      <w:bookmarkStart w:id="82" w:name="_Hlk132881368"/>
      <w:r>
        <w:rPr>
          <w:rFonts w:ascii="Arial" w:hAnsi="Arial" w:cs="Arial"/>
          <w:color w:val="auto"/>
          <w:szCs w:val="21"/>
          <w:highlight w:val="none"/>
        </w:rPr>
        <w:t>供应商投标报价将按相应比例进行扣除，用扣除后的价格参与评审（计算价格分），价格扣除比例分别如下：</w:t>
      </w:r>
    </w:p>
    <w:tbl>
      <w:tblPr>
        <w:tblStyle w:val="52"/>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23F1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5E27CC3F">
            <w:pPr>
              <w:spacing w:before="120" w:line="320" w:lineRule="atLeast"/>
              <w:jc w:val="center"/>
              <w:rPr>
                <w:rFonts w:ascii="Arial" w:hAnsi="Arial" w:cs="Arial"/>
                <w:color w:val="auto"/>
                <w:szCs w:val="21"/>
                <w:highlight w:val="none"/>
              </w:rPr>
            </w:pPr>
            <w:bookmarkStart w:id="83" w:name="_Hlk132881358"/>
            <w:r>
              <w:rPr>
                <w:rFonts w:ascii="Arial" w:hAnsi="Arial" w:cs="Arial"/>
                <w:color w:val="auto"/>
                <w:szCs w:val="21"/>
                <w:highlight w:val="none"/>
              </w:rPr>
              <w:t>独立投标</w:t>
            </w:r>
          </w:p>
        </w:tc>
        <w:tc>
          <w:tcPr>
            <w:tcW w:w="4962" w:type="dxa"/>
          </w:tcPr>
          <w:p w14:paraId="0BF9C27C">
            <w:pPr>
              <w:spacing w:before="120" w:line="320" w:lineRule="atLeast"/>
              <w:rPr>
                <w:rFonts w:ascii="Arial" w:hAnsi="Arial" w:cs="Arial"/>
                <w:color w:val="auto"/>
                <w:szCs w:val="21"/>
                <w:highlight w:val="none"/>
              </w:rPr>
            </w:pPr>
            <w:r>
              <w:rPr>
                <w:rFonts w:ascii="Arial" w:hAnsi="Arial" w:cs="Arial"/>
                <w:color w:val="auto"/>
                <w:szCs w:val="21"/>
                <w:highlight w:val="none"/>
              </w:rPr>
              <w:t>供应商均为所列企业之一（小型企业、微型企业、残疾人福利企业、监狱企业）</w:t>
            </w:r>
          </w:p>
        </w:tc>
        <w:tc>
          <w:tcPr>
            <w:tcW w:w="2551" w:type="dxa"/>
          </w:tcPr>
          <w:p w14:paraId="71691DFE">
            <w:pPr>
              <w:spacing w:before="120" w:line="320" w:lineRule="atLeast"/>
              <w:rPr>
                <w:rFonts w:ascii="Arial" w:hAnsi="Arial" w:cs="Arial"/>
                <w:color w:val="auto"/>
                <w:szCs w:val="21"/>
                <w:highlight w:val="none"/>
              </w:rPr>
            </w:pPr>
            <w:r>
              <w:rPr>
                <w:rFonts w:ascii="Arial" w:hAnsi="Arial" w:cs="Arial"/>
                <w:color w:val="auto"/>
                <w:szCs w:val="21"/>
                <w:highlight w:val="none"/>
              </w:rPr>
              <w:t>价格扣除响应报价的10%</w:t>
            </w:r>
          </w:p>
        </w:tc>
      </w:tr>
      <w:tr w14:paraId="4A79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tcPr>
          <w:p w14:paraId="54E75EC9">
            <w:pPr>
              <w:spacing w:before="120" w:line="320" w:lineRule="atLeast"/>
              <w:jc w:val="center"/>
              <w:rPr>
                <w:rFonts w:ascii="Arial" w:hAnsi="Arial" w:cs="Arial"/>
                <w:color w:val="auto"/>
                <w:szCs w:val="21"/>
                <w:highlight w:val="none"/>
              </w:rPr>
            </w:pPr>
            <w:r>
              <w:rPr>
                <w:rFonts w:ascii="Arial" w:hAnsi="Arial" w:cs="Arial"/>
                <w:color w:val="auto"/>
                <w:szCs w:val="21"/>
                <w:highlight w:val="none"/>
              </w:rPr>
              <w:t>联合体或</w:t>
            </w:r>
          </w:p>
          <w:p w14:paraId="7D335162">
            <w:pPr>
              <w:spacing w:before="120" w:line="320" w:lineRule="atLeast"/>
              <w:jc w:val="center"/>
              <w:rPr>
                <w:rFonts w:ascii="Arial" w:hAnsi="Arial" w:cs="Arial"/>
                <w:color w:val="auto"/>
                <w:szCs w:val="21"/>
                <w:highlight w:val="none"/>
              </w:rPr>
            </w:pPr>
            <w:r>
              <w:rPr>
                <w:rFonts w:ascii="Arial" w:hAnsi="Arial" w:cs="Arial"/>
                <w:color w:val="auto"/>
                <w:szCs w:val="21"/>
                <w:highlight w:val="none"/>
              </w:rPr>
              <w:t>分包</w:t>
            </w:r>
          </w:p>
        </w:tc>
        <w:tc>
          <w:tcPr>
            <w:tcW w:w="4962" w:type="dxa"/>
          </w:tcPr>
          <w:p w14:paraId="49CEF40D">
            <w:pPr>
              <w:spacing w:before="120" w:line="320" w:lineRule="atLeast"/>
              <w:rPr>
                <w:rFonts w:ascii="Arial" w:hAnsi="Arial" w:cs="Arial"/>
                <w:color w:val="auto"/>
                <w:szCs w:val="21"/>
                <w:highlight w:val="none"/>
              </w:rPr>
            </w:pPr>
            <w:r>
              <w:rPr>
                <w:rFonts w:ascii="Arial" w:hAnsi="Arial" w:cs="Arial"/>
                <w:color w:val="auto"/>
                <w:szCs w:val="21"/>
                <w:highlight w:val="none"/>
              </w:rPr>
              <w:t>小微企业承接的金额比例为100%</w:t>
            </w:r>
          </w:p>
        </w:tc>
        <w:tc>
          <w:tcPr>
            <w:tcW w:w="2551" w:type="dxa"/>
          </w:tcPr>
          <w:p w14:paraId="64922073">
            <w:pPr>
              <w:spacing w:before="120" w:line="320" w:lineRule="atLeast"/>
              <w:rPr>
                <w:rFonts w:ascii="Arial" w:hAnsi="Arial" w:cs="Arial"/>
                <w:color w:val="auto"/>
                <w:szCs w:val="21"/>
                <w:highlight w:val="none"/>
              </w:rPr>
            </w:pPr>
            <w:r>
              <w:rPr>
                <w:rFonts w:ascii="Arial" w:hAnsi="Arial" w:cs="Arial"/>
                <w:color w:val="auto"/>
                <w:szCs w:val="21"/>
                <w:highlight w:val="none"/>
              </w:rPr>
              <w:t>价格扣除响应报价的10%</w:t>
            </w:r>
          </w:p>
        </w:tc>
      </w:tr>
      <w:tr w14:paraId="38A9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22700877">
            <w:pPr>
              <w:spacing w:before="120" w:line="320" w:lineRule="atLeast"/>
              <w:rPr>
                <w:rFonts w:ascii="Arial" w:hAnsi="Arial" w:cs="Arial"/>
                <w:color w:val="auto"/>
                <w:szCs w:val="21"/>
                <w:highlight w:val="none"/>
              </w:rPr>
            </w:pPr>
          </w:p>
        </w:tc>
        <w:tc>
          <w:tcPr>
            <w:tcW w:w="4962" w:type="dxa"/>
          </w:tcPr>
          <w:p w14:paraId="0F307493">
            <w:pPr>
              <w:spacing w:before="120" w:line="320" w:lineRule="atLeast"/>
              <w:rPr>
                <w:rFonts w:ascii="Arial" w:hAnsi="Arial" w:cs="Arial"/>
                <w:color w:val="auto"/>
                <w:szCs w:val="21"/>
                <w:highlight w:val="none"/>
              </w:rPr>
            </w:pPr>
            <w:r>
              <w:rPr>
                <w:rFonts w:ascii="Arial" w:hAnsi="Arial" w:cs="Arial"/>
                <w:color w:val="auto"/>
                <w:szCs w:val="21"/>
                <w:highlight w:val="none"/>
              </w:rPr>
              <w:t>小微企业承接的金额比例达到合同总金额30%以上</w:t>
            </w:r>
          </w:p>
        </w:tc>
        <w:tc>
          <w:tcPr>
            <w:tcW w:w="2551" w:type="dxa"/>
          </w:tcPr>
          <w:p w14:paraId="2A4D6C15">
            <w:pPr>
              <w:spacing w:before="120" w:line="320" w:lineRule="atLeast"/>
              <w:rPr>
                <w:rFonts w:ascii="Arial" w:hAnsi="Arial" w:cs="Arial"/>
                <w:color w:val="auto"/>
                <w:szCs w:val="21"/>
                <w:highlight w:val="none"/>
              </w:rPr>
            </w:pPr>
            <w:r>
              <w:rPr>
                <w:rFonts w:ascii="Arial" w:hAnsi="Arial" w:cs="Arial"/>
                <w:color w:val="auto"/>
                <w:szCs w:val="21"/>
                <w:highlight w:val="none"/>
              </w:rPr>
              <w:t>价格扣除响应报价的4%</w:t>
            </w:r>
          </w:p>
        </w:tc>
      </w:tr>
      <w:tr w14:paraId="525E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tcPr>
          <w:p w14:paraId="7A198D5F">
            <w:pPr>
              <w:spacing w:before="120" w:line="320" w:lineRule="atLeast"/>
              <w:rPr>
                <w:rFonts w:ascii="Arial" w:hAnsi="Arial" w:cs="Arial"/>
                <w:color w:val="auto"/>
                <w:szCs w:val="21"/>
                <w:highlight w:val="none"/>
              </w:rPr>
            </w:pPr>
            <w:r>
              <w:rPr>
                <w:rFonts w:ascii="Arial" w:hAnsi="Arial" w:cs="Arial"/>
                <w:color w:val="auto"/>
                <w:szCs w:val="21"/>
                <w:highlight w:val="none"/>
              </w:rPr>
              <w:t>注：未提供《中小企业声明函》、《分包意向协议书》或《联合体协议书》或不符合条件的，不享受价格扣除优惠。</w:t>
            </w:r>
          </w:p>
        </w:tc>
      </w:tr>
      <w:bookmarkEnd w:id="82"/>
      <w:bookmarkEnd w:id="83"/>
    </w:tbl>
    <w:p w14:paraId="1BE68336">
      <w:pPr>
        <w:rPr>
          <w:rFonts w:ascii="Arial" w:hAnsi="Arial" w:cs="Arial"/>
          <w:color w:val="auto"/>
          <w:highlight w:val="none"/>
        </w:rPr>
      </w:pPr>
    </w:p>
    <w:p w14:paraId="5831C8E2">
      <w:pPr>
        <w:ind w:firstLine="315" w:firstLineChars="150"/>
        <w:rPr>
          <w:rFonts w:ascii="Arial" w:hAnsi="Arial" w:cs="Arial"/>
          <w:color w:val="auto"/>
          <w:highlight w:val="none"/>
        </w:rPr>
      </w:pPr>
      <w:r>
        <w:rPr>
          <w:rFonts w:ascii="Arial" w:hAnsi="Arial" w:cs="Arial"/>
          <w:color w:val="auto"/>
          <w:highlight w:val="none"/>
        </w:rPr>
        <w:t>（3）综合评分</w:t>
      </w:r>
    </w:p>
    <w:tbl>
      <w:tblPr>
        <w:tblStyle w:val="52"/>
        <w:tblW w:w="8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2756"/>
        <w:gridCol w:w="2564"/>
        <w:gridCol w:w="1977"/>
      </w:tblGrid>
      <w:tr w14:paraId="5196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1561" w:type="dxa"/>
            <w:vAlign w:val="center"/>
          </w:tcPr>
          <w:p w14:paraId="6D13F3DB">
            <w:pPr>
              <w:jc w:val="center"/>
              <w:rPr>
                <w:rFonts w:ascii="Arial" w:hAnsi="Arial" w:cs="Arial"/>
                <w:b/>
                <w:color w:val="auto"/>
                <w:szCs w:val="21"/>
                <w:highlight w:val="none"/>
              </w:rPr>
            </w:pPr>
            <w:r>
              <w:rPr>
                <w:rFonts w:ascii="Arial" w:hAnsi="Arial" w:cs="Arial"/>
                <w:b/>
                <w:color w:val="auto"/>
                <w:szCs w:val="21"/>
                <w:highlight w:val="none"/>
              </w:rPr>
              <w:t>分项</w:t>
            </w:r>
          </w:p>
        </w:tc>
        <w:tc>
          <w:tcPr>
            <w:tcW w:w="2756" w:type="dxa"/>
            <w:vAlign w:val="center"/>
          </w:tcPr>
          <w:p w14:paraId="119EFC8B">
            <w:pPr>
              <w:jc w:val="center"/>
              <w:rPr>
                <w:rFonts w:ascii="Arial" w:hAnsi="Arial" w:cs="Arial"/>
                <w:b/>
                <w:color w:val="auto"/>
                <w:szCs w:val="21"/>
                <w:highlight w:val="none"/>
              </w:rPr>
            </w:pPr>
            <w:r>
              <w:rPr>
                <w:rFonts w:ascii="Arial" w:hAnsi="Arial" w:cs="Arial"/>
                <w:b/>
                <w:color w:val="auto"/>
                <w:szCs w:val="21"/>
                <w:highlight w:val="none"/>
              </w:rPr>
              <w:t>技术及商务资信分</w:t>
            </w:r>
          </w:p>
        </w:tc>
        <w:tc>
          <w:tcPr>
            <w:tcW w:w="2564" w:type="dxa"/>
            <w:vAlign w:val="center"/>
          </w:tcPr>
          <w:p w14:paraId="51156475">
            <w:pPr>
              <w:jc w:val="center"/>
              <w:rPr>
                <w:rFonts w:ascii="Arial" w:hAnsi="Arial" w:cs="Arial"/>
                <w:b/>
                <w:color w:val="auto"/>
                <w:szCs w:val="21"/>
                <w:highlight w:val="none"/>
              </w:rPr>
            </w:pPr>
            <w:r>
              <w:rPr>
                <w:rFonts w:ascii="Arial" w:hAnsi="Arial" w:cs="Arial"/>
                <w:b/>
                <w:color w:val="auto"/>
                <w:szCs w:val="21"/>
                <w:highlight w:val="none"/>
              </w:rPr>
              <w:t>投标报价得分</w:t>
            </w:r>
          </w:p>
        </w:tc>
        <w:tc>
          <w:tcPr>
            <w:tcW w:w="1977" w:type="dxa"/>
            <w:vAlign w:val="center"/>
          </w:tcPr>
          <w:p w14:paraId="420A6F12">
            <w:pPr>
              <w:jc w:val="center"/>
              <w:rPr>
                <w:rFonts w:ascii="Arial" w:hAnsi="Arial" w:cs="Arial"/>
                <w:b/>
                <w:color w:val="auto"/>
                <w:szCs w:val="21"/>
                <w:highlight w:val="none"/>
              </w:rPr>
            </w:pPr>
            <w:r>
              <w:rPr>
                <w:rFonts w:ascii="Arial" w:hAnsi="Arial" w:cs="Arial"/>
                <w:b/>
                <w:color w:val="auto"/>
                <w:szCs w:val="21"/>
                <w:highlight w:val="none"/>
              </w:rPr>
              <w:t>总分</w:t>
            </w:r>
          </w:p>
        </w:tc>
      </w:tr>
      <w:tr w14:paraId="0819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561" w:type="dxa"/>
            <w:vAlign w:val="center"/>
          </w:tcPr>
          <w:p w14:paraId="5CF74B0A">
            <w:pPr>
              <w:jc w:val="center"/>
              <w:rPr>
                <w:rFonts w:ascii="Arial" w:hAnsi="Arial" w:cs="Arial"/>
                <w:b/>
                <w:color w:val="auto"/>
                <w:szCs w:val="21"/>
                <w:highlight w:val="none"/>
              </w:rPr>
            </w:pPr>
            <w:r>
              <w:rPr>
                <w:rFonts w:ascii="Arial" w:hAnsi="Arial" w:cs="Arial"/>
                <w:b/>
                <w:color w:val="auto"/>
                <w:szCs w:val="21"/>
                <w:highlight w:val="none"/>
              </w:rPr>
              <w:t>分值</w:t>
            </w:r>
          </w:p>
        </w:tc>
        <w:tc>
          <w:tcPr>
            <w:tcW w:w="2756" w:type="dxa"/>
            <w:vAlign w:val="center"/>
          </w:tcPr>
          <w:p w14:paraId="2678BF58">
            <w:pPr>
              <w:jc w:val="center"/>
              <w:rPr>
                <w:rFonts w:ascii="Arial" w:hAnsi="Arial" w:cs="Arial"/>
                <w:color w:val="auto"/>
                <w:szCs w:val="21"/>
                <w:highlight w:val="none"/>
              </w:rPr>
            </w:pPr>
            <w:r>
              <w:rPr>
                <w:rFonts w:hint="eastAsia" w:ascii="Arial" w:hAnsi="Arial" w:cs="Arial"/>
                <w:color w:val="auto"/>
                <w:szCs w:val="21"/>
                <w:highlight w:val="none"/>
                <w:lang w:val="en-US" w:eastAsia="zh-CN"/>
              </w:rPr>
              <w:t>8</w:t>
            </w:r>
            <w:r>
              <w:rPr>
                <w:rFonts w:hint="eastAsia" w:ascii="Arial" w:hAnsi="Arial" w:cs="Arial"/>
                <w:color w:val="auto"/>
                <w:szCs w:val="21"/>
                <w:highlight w:val="none"/>
              </w:rPr>
              <w:t>0</w:t>
            </w:r>
          </w:p>
        </w:tc>
        <w:tc>
          <w:tcPr>
            <w:tcW w:w="2564" w:type="dxa"/>
            <w:vAlign w:val="center"/>
          </w:tcPr>
          <w:p w14:paraId="397A58C1">
            <w:pPr>
              <w:jc w:val="center"/>
              <w:rPr>
                <w:rFonts w:ascii="Arial" w:hAnsi="Arial" w:cs="Arial"/>
                <w:color w:val="auto"/>
                <w:szCs w:val="21"/>
                <w:highlight w:val="none"/>
              </w:rPr>
            </w:pPr>
            <w:r>
              <w:rPr>
                <w:rFonts w:hint="eastAsia" w:ascii="Arial" w:hAnsi="Arial" w:cs="Arial"/>
                <w:color w:val="auto"/>
                <w:szCs w:val="21"/>
                <w:highlight w:val="none"/>
                <w:lang w:val="en-US" w:eastAsia="zh-CN"/>
              </w:rPr>
              <w:t>2</w:t>
            </w:r>
            <w:r>
              <w:rPr>
                <w:rFonts w:hint="eastAsia" w:ascii="Arial" w:hAnsi="Arial" w:cs="Arial"/>
                <w:color w:val="auto"/>
                <w:szCs w:val="21"/>
                <w:highlight w:val="none"/>
              </w:rPr>
              <w:t>0</w:t>
            </w:r>
          </w:p>
        </w:tc>
        <w:tc>
          <w:tcPr>
            <w:tcW w:w="1977" w:type="dxa"/>
            <w:vAlign w:val="center"/>
          </w:tcPr>
          <w:p w14:paraId="443C1852">
            <w:pPr>
              <w:jc w:val="center"/>
              <w:rPr>
                <w:rFonts w:ascii="Arial" w:hAnsi="Arial" w:cs="Arial"/>
                <w:color w:val="auto"/>
                <w:szCs w:val="21"/>
                <w:highlight w:val="none"/>
              </w:rPr>
            </w:pPr>
            <w:r>
              <w:rPr>
                <w:rFonts w:ascii="Arial" w:hAnsi="Arial" w:cs="Arial"/>
                <w:color w:val="auto"/>
                <w:szCs w:val="21"/>
                <w:highlight w:val="none"/>
              </w:rPr>
              <w:t>100</w:t>
            </w:r>
          </w:p>
        </w:tc>
      </w:tr>
      <w:tr w14:paraId="0551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858" w:type="dxa"/>
            <w:gridSpan w:val="4"/>
            <w:vAlign w:val="center"/>
          </w:tcPr>
          <w:p w14:paraId="5444D655">
            <w:pPr>
              <w:rPr>
                <w:rFonts w:ascii="Arial" w:hAnsi="Arial" w:cs="Arial"/>
                <w:color w:val="auto"/>
                <w:szCs w:val="21"/>
                <w:highlight w:val="none"/>
              </w:rPr>
            </w:pPr>
            <w:r>
              <w:rPr>
                <w:rFonts w:ascii="Arial" w:hAnsi="Arial" w:cs="Arial"/>
                <w:color w:val="auto"/>
                <w:szCs w:val="21"/>
                <w:highlight w:val="none"/>
              </w:rPr>
              <w:t>综合评分=技术及商务资信分+投标报价得分（</w:t>
            </w:r>
            <w:r>
              <w:rPr>
                <w:rFonts w:ascii="Arial" w:hAnsi="Arial" w:cs="Arial"/>
                <w:color w:val="auto"/>
                <w:highlight w:val="none"/>
              </w:rPr>
              <w:t>注：各</w:t>
            </w:r>
            <w:r>
              <w:rPr>
                <w:rFonts w:ascii="Arial" w:hAnsi="Arial" w:cs="Arial"/>
                <w:color w:val="auto"/>
                <w:szCs w:val="21"/>
                <w:highlight w:val="none"/>
              </w:rPr>
              <w:t>项评分分值计算保留小数点后两位，小数点后第三位“四舍五入”）</w:t>
            </w:r>
          </w:p>
        </w:tc>
      </w:tr>
    </w:tbl>
    <w:p w14:paraId="1055E66C">
      <w:pPr>
        <w:pStyle w:val="165"/>
        <w:snapToGrid w:val="0"/>
        <w:spacing w:line="288" w:lineRule="auto"/>
        <w:ind w:firstLine="0" w:firstLineChars="0"/>
        <w:rPr>
          <w:rFonts w:ascii="Arial" w:hAnsi="Arial" w:cs="Arial"/>
          <w:b/>
          <w:color w:val="auto"/>
          <w:kern w:val="0"/>
          <w:szCs w:val="21"/>
          <w:highlight w:val="none"/>
        </w:rPr>
      </w:pPr>
    </w:p>
    <w:p w14:paraId="6E9C7799">
      <w:pPr>
        <w:pStyle w:val="165"/>
        <w:snapToGrid w:val="0"/>
        <w:spacing w:line="288" w:lineRule="auto"/>
        <w:ind w:firstLine="0" w:firstLineChars="0"/>
        <w:rPr>
          <w:rFonts w:ascii="Arial" w:hAnsi="Arial" w:cs="Arial"/>
          <w:b/>
          <w:color w:val="auto"/>
          <w:kern w:val="0"/>
          <w:szCs w:val="21"/>
          <w:highlight w:val="none"/>
        </w:rPr>
      </w:pPr>
    </w:p>
    <w:p w14:paraId="3141F009">
      <w:pPr>
        <w:pStyle w:val="165"/>
        <w:snapToGrid w:val="0"/>
        <w:spacing w:line="288" w:lineRule="auto"/>
        <w:ind w:firstLine="0" w:firstLineChars="0"/>
        <w:rPr>
          <w:rFonts w:ascii="Arial" w:hAnsi="Arial" w:cs="Arial"/>
          <w:b/>
          <w:color w:val="auto"/>
          <w:kern w:val="0"/>
          <w:szCs w:val="21"/>
          <w:highlight w:val="none"/>
        </w:rPr>
      </w:pPr>
    </w:p>
    <w:p w14:paraId="4C16CF2F">
      <w:pPr>
        <w:spacing w:line="528" w:lineRule="exact"/>
        <w:ind w:firstLine="280" w:firstLineChars="100"/>
        <w:rPr>
          <w:rFonts w:ascii="Arial" w:hAnsi="Arial" w:cs="Arial"/>
          <w:color w:val="auto"/>
          <w:sz w:val="28"/>
          <w:szCs w:val="28"/>
          <w:highlight w:val="none"/>
        </w:rPr>
      </w:pPr>
      <w:bookmarkStart w:id="84" w:name="_Hlk132878602"/>
      <w:r>
        <w:rPr>
          <w:rFonts w:ascii="Arial" w:hAnsi="Arial" w:cs="Arial"/>
          <w:color w:val="auto"/>
          <w:sz w:val="28"/>
          <w:szCs w:val="28"/>
          <w:highlight w:val="none"/>
        </w:rPr>
        <w:br w:type="page"/>
      </w:r>
      <w:r>
        <w:rPr>
          <w:rFonts w:ascii="Arial" w:hAnsi="Arial" w:cs="Arial"/>
          <w:color w:val="auto"/>
          <w:sz w:val="28"/>
          <w:szCs w:val="28"/>
          <w:highlight w:val="none"/>
        </w:rPr>
        <w:t xml:space="preserve">附件1：                </w:t>
      </w:r>
    </w:p>
    <w:p w14:paraId="39A4D02A">
      <w:pPr>
        <w:spacing w:line="528" w:lineRule="exact"/>
        <w:ind w:firstLine="280" w:firstLineChars="100"/>
        <w:jc w:val="center"/>
        <w:rPr>
          <w:rFonts w:ascii="Arial" w:hAnsi="Arial" w:cs="Arial"/>
          <w:color w:val="auto"/>
          <w:sz w:val="28"/>
          <w:szCs w:val="28"/>
          <w:highlight w:val="none"/>
        </w:rPr>
      </w:pPr>
      <w:r>
        <w:rPr>
          <w:rFonts w:ascii="Arial" w:hAnsi="Arial" w:cs="Arial"/>
          <w:color w:val="auto"/>
          <w:sz w:val="28"/>
          <w:szCs w:val="28"/>
          <w:highlight w:val="none"/>
        </w:rPr>
        <w:t>中小微企业划型标准</w:t>
      </w:r>
    </w:p>
    <w:tbl>
      <w:tblPr>
        <w:tblStyle w:val="52"/>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0681055E">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vAlign w:val="center"/>
          </w:tcPr>
          <w:p w14:paraId="0A77C835">
            <w:pPr>
              <w:widowControl/>
              <w:jc w:val="left"/>
              <w:rPr>
                <w:rFonts w:ascii="Arial" w:hAnsi="Arial" w:cs="Arial"/>
                <w:color w:val="auto"/>
                <w:szCs w:val="21"/>
                <w:highlight w:val="none"/>
              </w:rPr>
            </w:pPr>
            <w:r>
              <w:rPr>
                <w:rFonts w:ascii="Arial" w:hAnsi="Arial" w:cs="Arial"/>
                <w:color w:val="auto"/>
                <w:szCs w:val="21"/>
                <w:highlight w:val="none"/>
              </w:rPr>
              <w:t>行业名称</w:t>
            </w:r>
          </w:p>
        </w:tc>
        <w:tc>
          <w:tcPr>
            <w:tcW w:w="1701" w:type="dxa"/>
            <w:tcBorders>
              <w:top w:val="single" w:color="auto" w:sz="4" w:space="0"/>
              <w:left w:val="nil"/>
              <w:bottom w:val="single" w:color="auto" w:sz="4" w:space="0"/>
              <w:right w:val="single" w:color="auto" w:sz="4" w:space="0"/>
            </w:tcBorders>
            <w:vAlign w:val="center"/>
          </w:tcPr>
          <w:p w14:paraId="415BC1FE">
            <w:pPr>
              <w:widowControl/>
              <w:jc w:val="left"/>
              <w:rPr>
                <w:rFonts w:ascii="Arial" w:hAnsi="Arial" w:cs="Arial"/>
                <w:color w:val="auto"/>
                <w:szCs w:val="21"/>
                <w:highlight w:val="none"/>
              </w:rPr>
            </w:pPr>
            <w:r>
              <w:rPr>
                <w:rFonts w:ascii="Arial" w:hAnsi="Arial" w:cs="Arial"/>
                <w:color w:val="auto"/>
                <w:szCs w:val="21"/>
                <w:highlight w:val="none"/>
              </w:rPr>
              <w:t>指标名称</w:t>
            </w:r>
          </w:p>
        </w:tc>
        <w:tc>
          <w:tcPr>
            <w:tcW w:w="1134" w:type="dxa"/>
            <w:tcBorders>
              <w:top w:val="single" w:color="auto" w:sz="4" w:space="0"/>
              <w:left w:val="nil"/>
              <w:bottom w:val="single" w:color="auto" w:sz="4" w:space="0"/>
              <w:right w:val="single" w:color="auto" w:sz="4" w:space="0"/>
            </w:tcBorders>
            <w:vAlign w:val="center"/>
          </w:tcPr>
          <w:p w14:paraId="0F25279B">
            <w:pPr>
              <w:widowControl/>
              <w:jc w:val="left"/>
              <w:rPr>
                <w:rFonts w:ascii="Arial" w:hAnsi="Arial" w:cs="Arial"/>
                <w:color w:val="auto"/>
                <w:szCs w:val="21"/>
                <w:highlight w:val="none"/>
              </w:rPr>
            </w:pPr>
            <w:r>
              <w:rPr>
                <w:rFonts w:ascii="Arial" w:hAnsi="Arial" w:cs="Arial"/>
                <w:color w:val="auto"/>
                <w:szCs w:val="21"/>
                <w:highlight w:val="none"/>
              </w:rPr>
              <w:t>计量单位</w:t>
            </w:r>
          </w:p>
        </w:tc>
        <w:tc>
          <w:tcPr>
            <w:tcW w:w="1846" w:type="dxa"/>
            <w:tcBorders>
              <w:top w:val="single" w:color="auto" w:sz="4" w:space="0"/>
              <w:left w:val="nil"/>
              <w:bottom w:val="single" w:color="auto" w:sz="4" w:space="0"/>
              <w:right w:val="single" w:color="auto" w:sz="4" w:space="0"/>
            </w:tcBorders>
            <w:vAlign w:val="center"/>
          </w:tcPr>
          <w:p w14:paraId="0384F8F1">
            <w:pPr>
              <w:widowControl/>
              <w:jc w:val="left"/>
              <w:rPr>
                <w:rFonts w:ascii="Arial" w:hAnsi="Arial" w:cs="Arial"/>
                <w:color w:val="auto"/>
                <w:szCs w:val="21"/>
                <w:highlight w:val="none"/>
              </w:rPr>
            </w:pPr>
            <w:r>
              <w:rPr>
                <w:rFonts w:ascii="Arial" w:hAnsi="Arial" w:cs="Arial"/>
                <w:color w:val="auto"/>
                <w:szCs w:val="21"/>
                <w:highlight w:val="none"/>
              </w:rPr>
              <w:t>中型</w:t>
            </w:r>
          </w:p>
        </w:tc>
        <w:tc>
          <w:tcPr>
            <w:tcW w:w="1570" w:type="dxa"/>
            <w:tcBorders>
              <w:top w:val="single" w:color="auto" w:sz="4" w:space="0"/>
              <w:left w:val="nil"/>
              <w:bottom w:val="single" w:color="auto" w:sz="4" w:space="0"/>
              <w:right w:val="single" w:color="auto" w:sz="4" w:space="0"/>
            </w:tcBorders>
            <w:vAlign w:val="center"/>
          </w:tcPr>
          <w:p w14:paraId="6E16E69A">
            <w:pPr>
              <w:widowControl/>
              <w:jc w:val="left"/>
              <w:rPr>
                <w:rFonts w:ascii="Arial" w:hAnsi="Arial" w:cs="Arial"/>
                <w:color w:val="auto"/>
                <w:szCs w:val="21"/>
                <w:highlight w:val="none"/>
              </w:rPr>
            </w:pPr>
            <w:r>
              <w:rPr>
                <w:rFonts w:ascii="Arial" w:hAnsi="Arial" w:cs="Arial"/>
                <w:color w:val="auto"/>
                <w:szCs w:val="21"/>
                <w:highlight w:val="none"/>
              </w:rPr>
              <w:t>小型</w:t>
            </w:r>
          </w:p>
        </w:tc>
        <w:tc>
          <w:tcPr>
            <w:tcW w:w="1009" w:type="dxa"/>
            <w:tcBorders>
              <w:top w:val="single" w:color="auto" w:sz="4" w:space="0"/>
              <w:left w:val="nil"/>
              <w:bottom w:val="single" w:color="auto" w:sz="4" w:space="0"/>
              <w:right w:val="single" w:color="auto" w:sz="4" w:space="0"/>
            </w:tcBorders>
            <w:vAlign w:val="center"/>
          </w:tcPr>
          <w:p w14:paraId="734B00C8">
            <w:pPr>
              <w:widowControl/>
              <w:jc w:val="left"/>
              <w:rPr>
                <w:rFonts w:ascii="Arial" w:hAnsi="Arial" w:cs="Arial"/>
                <w:color w:val="auto"/>
                <w:szCs w:val="21"/>
                <w:highlight w:val="none"/>
              </w:rPr>
            </w:pPr>
            <w:r>
              <w:rPr>
                <w:rFonts w:ascii="Arial" w:hAnsi="Arial" w:cs="Arial"/>
                <w:color w:val="auto"/>
                <w:szCs w:val="21"/>
                <w:highlight w:val="none"/>
              </w:rPr>
              <w:t>微型</w:t>
            </w:r>
          </w:p>
        </w:tc>
      </w:tr>
      <w:tr w14:paraId="1FF467CA">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1A0AC821">
            <w:pPr>
              <w:widowControl/>
              <w:jc w:val="center"/>
              <w:rPr>
                <w:rFonts w:ascii="Arial" w:hAnsi="Arial" w:cs="Arial"/>
                <w:color w:val="auto"/>
                <w:szCs w:val="21"/>
                <w:highlight w:val="none"/>
              </w:rPr>
            </w:pPr>
            <w:r>
              <w:rPr>
                <w:rFonts w:ascii="Arial" w:hAnsi="Arial" w:cs="Arial"/>
                <w:color w:val="auto"/>
                <w:szCs w:val="21"/>
                <w:highlight w:val="none"/>
              </w:rPr>
              <w:t>农、林、牧、渔</w:t>
            </w:r>
          </w:p>
        </w:tc>
        <w:tc>
          <w:tcPr>
            <w:tcW w:w="1701" w:type="dxa"/>
            <w:tcBorders>
              <w:top w:val="nil"/>
              <w:left w:val="nil"/>
              <w:bottom w:val="single" w:color="auto" w:sz="4" w:space="0"/>
              <w:right w:val="single" w:color="auto" w:sz="4" w:space="0"/>
            </w:tcBorders>
            <w:vAlign w:val="center"/>
          </w:tcPr>
          <w:p w14:paraId="6D79CD5F">
            <w:pPr>
              <w:widowControl/>
              <w:jc w:val="left"/>
              <w:rPr>
                <w:rFonts w:ascii="Arial" w:hAnsi="Arial" w:cs="Arial"/>
                <w:color w:val="auto"/>
                <w:szCs w:val="21"/>
                <w:highlight w:val="none"/>
              </w:rPr>
            </w:pPr>
            <w:r>
              <w:rPr>
                <w:rFonts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11D2D932">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1456067B">
            <w:pPr>
              <w:widowControl/>
              <w:jc w:val="left"/>
              <w:rPr>
                <w:rFonts w:ascii="Arial" w:hAnsi="Arial" w:cs="Arial"/>
                <w:color w:val="auto"/>
                <w:szCs w:val="21"/>
                <w:highlight w:val="none"/>
              </w:rPr>
            </w:pPr>
            <w:r>
              <w:rPr>
                <w:rFonts w:ascii="Arial" w:hAnsi="Arial" w:cs="Arial"/>
                <w:color w:val="auto"/>
                <w:szCs w:val="21"/>
                <w:highlight w:val="none"/>
              </w:rPr>
              <w:t>500≤Y＜20000</w:t>
            </w:r>
          </w:p>
        </w:tc>
        <w:tc>
          <w:tcPr>
            <w:tcW w:w="1570" w:type="dxa"/>
            <w:tcBorders>
              <w:top w:val="nil"/>
              <w:left w:val="nil"/>
              <w:bottom w:val="single" w:color="auto" w:sz="4" w:space="0"/>
              <w:right w:val="single" w:color="auto" w:sz="4" w:space="0"/>
            </w:tcBorders>
            <w:vAlign w:val="center"/>
          </w:tcPr>
          <w:p w14:paraId="078119E9">
            <w:pPr>
              <w:widowControl/>
              <w:jc w:val="left"/>
              <w:rPr>
                <w:rFonts w:ascii="Arial" w:hAnsi="Arial" w:cs="Arial"/>
                <w:color w:val="auto"/>
                <w:szCs w:val="21"/>
                <w:highlight w:val="none"/>
              </w:rPr>
            </w:pPr>
            <w:r>
              <w:rPr>
                <w:rFonts w:ascii="Arial" w:hAnsi="Arial" w:cs="Arial"/>
                <w:color w:val="auto"/>
                <w:szCs w:val="21"/>
                <w:highlight w:val="none"/>
              </w:rPr>
              <w:t>50≤Y＜500</w:t>
            </w:r>
          </w:p>
        </w:tc>
        <w:tc>
          <w:tcPr>
            <w:tcW w:w="1009" w:type="dxa"/>
            <w:tcBorders>
              <w:top w:val="nil"/>
              <w:left w:val="nil"/>
              <w:bottom w:val="single" w:color="auto" w:sz="4" w:space="0"/>
              <w:right w:val="single" w:color="auto" w:sz="4" w:space="0"/>
            </w:tcBorders>
            <w:vAlign w:val="center"/>
          </w:tcPr>
          <w:p w14:paraId="33FED3A5">
            <w:pPr>
              <w:widowControl/>
              <w:jc w:val="left"/>
              <w:rPr>
                <w:rFonts w:ascii="Arial" w:hAnsi="Arial" w:cs="Arial"/>
                <w:color w:val="auto"/>
                <w:szCs w:val="21"/>
                <w:highlight w:val="none"/>
              </w:rPr>
            </w:pPr>
            <w:r>
              <w:rPr>
                <w:rFonts w:ascii="Arial" w:hAnsi="Arial" w:cs="Arial"/>
                <w:color w:val="auto"/>
                <w:szCs w:val="21"/>
                <w:highlight w:val="none"/>
              </w:rPr>
              <w:t>Y＜50</w:t>
            </w:r>
          </w:p>
        </w:tc>
      </w:tr>
      <w:tr w14:paraId="244A024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7E8CEC4">
            <w:pPr>
              <w:widowControl/>
              <w:jc w:val="center"/>
              <w:rPr>
                <w:rFonts w:ascii="Arial" w:hAnsi="Arial" w:cs="Arial"/>
                <w:color w:val="auto"/>
                <w:szCs w:val="21"/>
                <w:highlight w:val="none"/>
              </w:rPr>
            </w:pPr>
            <w:r>
              <w:rPr>
                <w:rFonts w:ascii="Arial" w:hAnsi="Arial" w:cs="Arial"/>
                <w:color w:val="auto"/>
                <w:szCs w:val="21"/>
                <w:highlight w:val="none"/>
              </w:rPr>
              <w:t>工业</w:t>
            </w:r>
          </w:p>
        </w:tc>
        <w:tc>
          <w:tcPr>
            <w:tcW w:w="1701" w:type="dxa"/>
            <w:tcBorders>
              <w:top w:val="nil"/>
              <w:left w:val="nil"/>
              <w:bottom w:val="single" w:color="auto" w:sz="4" w:space="0"/>
              <w:right w:val="single" w:color="auto" w:sz="4" w:space="0"/>
            </w:tcBorders>
            <w:vAlign w:val="center"/>
          </w:tcPr>
          <w:p w14:paraId="202E022E">
            <w:pPr>
              <w:widowControl/>
              <w:jc w:val="left"/>
              <w:rPr>
                <w:rFonts w:ascii="Arial" w:hAnsi="Arial" w:cs="Arial"/>
                <w:color w:val="auto"/>
                <w:szCs w:val="21"/>
                <w:highlight w:val="none"/>
              </w:rPr>
            </w:pPr>
            <w:r>
              <w:rPr>
                <w:rFonts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46CBA4C7">
            <w:pPr>
              <w:widowControl/>
              <w:jc w:val="left"/>
              <w:rPr>
                <w:rFonts w:ascii="Arial" w:hAnsi="Arial" w:cs="Arial"/>
                <w:color w:val="auto"/>
                <w:szCs w:val="21"/>
                <w:highlight w:val="none"/>
              </w:rPr>
            </w:pPr>
            <w:r>
              <w:rPr>
                <w:rFonts w:ascii="Arial" w:hAnsi="Arial" w:cs="Arial"/>
                <w:color w:val="auto"/>
                <w:szCs w:val="21"/>
                <w:highlight w:val="none"/>
              </w:rPr>
              <w:t>人</w:t>
            </w:r>
          </w:p>
        </w:tc>
        <w:tc>
          <w:tcPr>
            <w:tcW w:w="1846" w:type="dxa"/>
            <w:tcBorders>
              <w:top w:val="nil"/>
              <w:left w:val="nil"/>
              <w:bottom w:val="single" w:color="auto" w:sz="4" w:space="0"/>
              <w:right w:val="single" w:color="auto" w:sz="4" w:space="0"/>
            </w:tcBorders>
            <w:vAlign w:val="center"/>
          </w:tcPr>
          <w:p w14:paraId="7944CB2E">
            <w:pPr>
              <w:widowControl/>
              <w:jc w:val="left"/>
              <w:rPr>
                <w:rFonts w:ascii="Arial" w:hAnsi="Arial" w:cs="Arial"/>
                <w:color w:val="auto"/>
                <w:szCs w:val="21"/>
                <w:highlight w:val="none"/>
              </w:rPr>
            </w:pPr>
            <w:r>
              <w:rPr>
                <w:rFonts w:ascii="Arial" w:hAnsi="Arial" w:cs="Arial"/>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6446DD0F">
            <w:pPr>
              <w:widowControl/>
              <w:jc w:val="left"/>
              <w:rPr>
                <w:rFonts w:ascii="Arial" w:hAnsi="Arial" w:cs="Arial"/>
                <w:color w:val="auto"/>
                <w:szCs w:val="21"/>
                <w:highlight w:val="none"/>
              </w:rPr>
            </w:pPr>
            <w:r>
              <w:rPr>
                <w:rFonts w:ascii="Arial" w:hAnsi="Arial" w:cs="Arial"/>
                <w:color w:val="auto"/>
                <w:szCs w:val="21"/>
                <w:highlight w:val="none"/>
              </w:rPr>
              <w:t>20≤X＜300</w:t>
            </w:r>
          </w:p>
        </w:tc>
        <w:tc>
          <w:tcPr>
            <w:tcW w:w="1009" w:type="dxa"/>
            <w:tcBorders>
              <w:top w:val="nil"/>
              <w:left w:val="nil"/>
              <w:bottom w:val="single" w:color="auto" w:sz="4" w:space="0"/>
              <w:right w:val="single" w:color="auto" w:sz="4" w:space="0"/>
            </w:tcBorders>
            <w:vAlign w:val="center"/>
          </w:tcPr>
          <w:p w14:paraId="23702A1C">
            <w:pPr>
              <w:widowControl/>
              <w:jc w:val="left"/>
              <w:rPr>
                <w:rFonts w:ascii="Arial" w:hAnsi="Arial" w:cs="Arial"/>
                <w:color w:val="auto"/>
                <w:szCs w:val="21"/>
                <w:highlight w:val="none"/>
              </w:rPr>
            </w:pPr>
            <w:r>
              <w:rPr>
                <w:rFonts w:ascii="Arial" w:hAnsi="Arial" w:cs="Arial"/>
                <w:color w:val="auto"/>
                <w:szCs w:val="21"/>
                <w:highlight w:val="none"/>
              </w:rPr>
              <w:t>X＜20</w:t>
            </w:r>
          </w:p>
        </w:tc>
      </w:tr>
      <w:tr w14:paraId="67987A0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DBDB56C">
            <w:pPr>
              <w:widowControl/>
              <w:jc w:val="left"/>
              <w:rPr>
                <w:rFonts w:ascii="Arial" w:hAnsi="Arial" w:cs="Arial"/>
                <w:color w:val="auto"/>
                <w:szCs w:val="21"/>
                <w:highlight w:val="none"/>
              </w:rPr>
            </w:pPr>
          </w:p>
        </w:tc>
        <w:tc>
          <w:tcPr>
            <w:tcW w:w="1701" w:type="dxa"/>
            <w:tcBorders>
              <w:top w:val="nil"/>
              <w:left w:val="nil"/>
              <w:bottom w:val="single" w:color="auto" w:sz="4" w:space="0"/>
              <w:right w:val="single" w:color="auto" w:sz="4" w:space="0"/>
            </w:tcBorders>
            <w:vAlign w:val="center"/>
          </w:tcPr>
          <w:p w14:paraId="671D16B1">
            <w:pPr>
              <w:widowControl/>
              <w:jc w:val="left"/>
              <w:rPr>
                <w:rFonts w:ascii="Arial" w:hAnsi="Arial" w:cs="Arial"/>
                <w:color w:val="auto"/>
                <w:szCs w:val="21"/>
                <w:highlight w:val="none"/>
              </w:rPr>
            </w:pPr>
            <w:r>
              <w:rPr>
                <w:rFonts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39C73187">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76D2DC78">
            <w:pPr>
              <w:widowControl/>
              <w:jc w:val="left"/>
              <w:rPr>
                <w:rFonts w:ascii="Arial" w:hAnsi="Arial" w:cs="Arial"/>
                <w:color w:val="auto"/>
                <w:szCs w:val="21"/>
                <w:highlight w:val="none"/>
              </w:rPr>
            </w:pPr>
            <w:r>
              <w:rPr>
                <w:rFonts w:ascii="Arial" w:hAnsi="Arial" w:cs="Arial"/>
                <w:color w:val="auto"/>
                <w:szCs w:val="21"/>
                <w:highlight w:val="none"/>
              </w:rPr>
              <w:t>2000≤Y＜40000</w:t>
            </w:r>
          </w:p>
        </w:tc>
        <w:tc>
          <w:tcPr>
            <w:tcW w:w="1570" w:type="dxa"/>
            <w:tcBorders>
              <w:top w:val="nil"/>
              <w:left w:val="nil"/>
              <w:bottom w:val="single" w:color="auto" w:sz="4" w:space="0"/>
              <w:right w:val="single" w:color="auto" w:sz="4" w:space="0"/>
            </w:tcBorders>
            <w:vAlign w:val="center"/>
          </w:tcPr>
          <w:p w14:paraId="2BE6B9A5">
            <w:pPr>
              <w:widowControl/>
              <w:jc w:val="left"/>
              <w:rPr>
                <w:rFonts w:ascii="Arial" w:hAnsi="Arial" w:cs="Arial"/>
                <w:color w:val="auto"/>
                <w:szCs w:val="21"/>
                <w:highlight w:val="none"/>
              </w:rPr>
            </w:pPr>
            <w:r>
              <w:rPr>
                <w:rFonts w:ascii="Arial" w:hAnsi="Arial" w:cs="Arial"/>
                <w:color w:val="auto"/>
                <w:szCs w:val="21"/>
                <w:highlight w:val="none"/>
              </w:rPr>
              <w:t>300≤Y＜2000</w:t>
            </w:r>
          </w:p>
        </w:tc>
        <w:tc>
          <w:tcPr>
            <w:tcW w:w="1009" w:type="dxa"/>
            <w:tcBorders>
              <w:top w:val="nil"/>
              <w:left w:val="nil"/>
              <w:bottom w:val="single" w:color="auto" w:sz="4" w:space="0"/>
              <w:right w:val="single" w:color="auto" w:sz="4" w:space="0"/>
            </w:tcBorders>
            <w:vAlign w:val="center"/>
          </w:tcPr>
          <w:p w14:paraId="7D76629F">
            <w:pPr>
              <w:widowControl/>
              <w:jc w:val="left"/>
              <w:rPr>
                <w:rFonts w:ascii="Arial" w:hAnsi="Arial" w:cs="Arial"/>
                <w:color w:val="auto"/>
                <w:szCs w:val="21"/>
                <w:highlight w:val="none"/>
              </w:rPr>
            </w:pPr>
            <w:r>
              <w:rPr>
                <w:rFonts w:ascii="Arial" w:hAnsi="Arial" w:cs="Arial"/>
                <w:color w:val="auto"/>
                <w:szCs w:val="21"/>
                <w:highlight w:val="none"/>
              </w:rPr>
              <w:t>Y＜300</w:t>
            </w:r>
          </w:p>
        </w:tc>
      </w:tr>
      <w:tr w14:paraId="07B2D74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BA22044">
            <w:pPr>
              <w:widowControl/>
              <w:jc w:val="center"/>
              <w:rPr>
                <w:rFonts w:ascii="Arial" w:hAnsi="Arial" w:cs="Arial"/>
                <w:color w:val="auto"/>
                <w:szCs w:val="21"/>
                <w:highlight w:val="none"/>
              </w:rPr>
            </w:pPr>
            <w:r>
              <w:rPr>
                <w:rFonts w:ascii="Arial" w:hAnsi="Arial" w:cs="Arial"/>
                <w:color w:val="auto"/>
                <w:szCs w:val="21"/>
                <w:highlight w:val="none"/>
              </w:rPr>
              <w:t>建筑业</w:t>
            </w:r>
          </w:p>
        </w:tc>
        <w:tc>
          <w:tcPr>
            <w:tcW w:w="1701" w:type="dxa"/>
            <w:tcBorders>
              <w:top w:val="nil"/>
              <w:left w:val="nil"/>
              <w:bottom w:val="single" w:color="auto" w:sz="4" w:space="0"/>
              <w:right w:val="single" w:color="auto" w:sz="4" w:space="0"/>
            </w:tcBorders>
            <w:vAlign w:val="center"/>
          </w:tcPr>
          <w:p w14:paraId="268E98D5">
            <w:pPr>
              <w:widowControl/>
              <w:jc w:val="left"/>
              <w:rPr>
                <w:rFonts w:ascii="Arial" w:hAnsi="Arial" w:cs="Arial"/>
                <w:color w:val="auto"/>
                <w:szCs w:val="21"/>
                <w:highlight w:val="none"/>
              </w:rPr>
            </w:pPr>
            <w:r>
              <w:rPr>
                <w:rFonts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50D312EA">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20350202">
            <w:pPr>
              <w:widowControl/>
              <w:jc w:val="left"/>
              <w:rPr>
                <w:rFonts w:ascii="Arial" w:hAnsi="Arial" w:cs="Arial"/>
                <w:color w:val="auto"/>
                <w:szCs w:val="21"/>
                <w:highlight w:val="none"/>
              </w:rPr>
            </w:pPr>
            <w:r>
              <w:rPr>
                <w:rFonts w:ascii="Arial" w:hAnsi="Arial" w:cs="Arial"/>
                <w:color w:val="auto"/>
                <w:szCs w:val="21"/>
                <w:highlight w:val="none"/>
              </w:rPr>
              <w:t>6000≤Y＜80000</w:t>
            </w:r>
          </w:p>
        </w:tc>
        <w:tc>
          <w:tcPr>
            <w:tcW w:w="1570" w:type="dxa"/>
            <w:tcBorders>
              <w:top w:val="nil"/>
              <w:left w:val="nil"/>
              <w:bottom w:val="single" w:color="auto" w:sz="4" w:space="0"/>
              <w:right w:val="single" w:color="auto" w:sz="4" w:space="0"/>
            </w:tcBorders>
            <w:vAlign w:val="center"/>
          </w:tcPr>
          <w:p w14:paraId="0611376A">
            <w:pPr>
              <w:widowControl/>
              <w:jc w:val="left"/>
              <w:rPr>
                <w:rFonts w:ascii="Arial" w:hAnsi="Arial" w:cs="Arial"/>
                <w:color w:val="auto"/>
                <w:szCs w:val="21"/>
                <w:highlight w:val="none"/>
              </w:rPr>
            </w:pPr>
            <w:r>
              <w:rPr>
                <w:rFonts w:ascii="Arial" w:hAnsi="Arial" w:cs="Arial"/>
                <w:color w:val="auto"/>
                <w:szCs w:val="21"/>
                <w:highlight w:val="none"/>
              </w:rPr>
              <w:t>300≤Y＜6000</w:t>
            </w:r>
          </w:p>
        </w:tc>
        <w:tc>
          <w:tcPr>
            <w:tcW w:w="1009" w:type="dxa"/>
            <w:tcBorders>
              <w:top w:val="nil"/>
              <w:left w:val="nil"/>
              <w:bottom w:val="single" w:color="auto" w:sz="4" w:space="0"/>
              <w:right w:val="single" w:color="auto" w:sz="4" w:space="0"/>
            </w:tcBorders>
            <w:vAlign w:val="center"/>
          </w:tcPr>
          <w:p w14:paraId="06665D73">
            <w:pPr>
              <w:widowControl/>
              <w:jc w:val="left"/>
              <w:rPr>
                <w:rFonts w:ascii="Arial" w:hAnsi="Arial" w:cs="Arial"/>
                <w:color w:val="auto"/>
                <w:szCs w:val="21"/>
                <w:highlight w:val="none"/>
              </w:rPr>
            </w:pPr>
            <w:r>
              <w:rPr>
                <w:rFonts w:ascii="Arial" w:hAnsi="Arial" w:cs="Arial"/>
                <w:color w:val="auto"/>
                <w:szCs w:val="21"/>
                <w:highlight w:val="none"/>
              </w:rPr>
              <w:t>Y＜300</w:t>
            </w:r>
          </w:p>
        </w:tc>
      </w:tr>
      <w:tr w14:paraId="057ABF7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678056B">
            <w:pPr>
              <w:widowControl/>
              <w:jc w:val="left"/>
              <w:rPr>
                <w:rFonts w:ascii="Arial" w:hAnsi="Arial" w:cs="Arial"/>
                <w:color w:val="auto"/>
                <w:szCs w:val="21"/>
                <w:highlight w:val="none"/>
              </w:rPr>
            </w:pPr>
          </w:p>
        </w:tc>
        <w:tc>
          <w:tcPr>
            <w:tcW w:w="1701" w:type="dxa"/>
            <w:tcBorders>
              <w:top w:val="nil"/>
              <w:left w:val="nil"/>
              <w:bottom w:val="single" w:color="auto" w:sz="4" w:space="0"/>
              <w:right w:val="single" w:color="auto" w:sz="4" w:space="0"/>
            </w:tcBorders>
            <w:vAlign w:val="center"/>
          </w:tcPr>
          <w:p w14:paraId="77FE1B91">
            <w:pPr>
              <w:widowControl/>
              <w:jc w:val="left"/>
              <w:rPr>
                <w:rFonts w:ascii="Arial" w:hAnsi="Arial" w:cs="Arial"/>
                <w:color w:val="auto"/>
                <w:szCs w:val="21"/>
                <w:highlight w:val="none"/>
              </w:rPr>
            </w:pPr>
            <w:r>
              <w:rPr>
                <w:rFonts w:ascii="Arial" w:hAnsi="Arial" w:cs="Arial"/>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0F48EDEC">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31B1B165">
            <w:pPr>
              <w:widowControl/>
              <w:jc w:val="left"/>
              <w:rPr>
                <w:rFonts w:ascii="Arial" w:hAnsi="Arial" w:cs="Arial"/>
                <w:color w:val="auto"/>
                <w:szCs w:val="21"/>
                <w:highlight w:val="none"/>
              </w:rPr>
            </w:pPr>
            <w:r>
              <w:rPr>
                <w:rFonts w:ascii="Arial" w:hAnsi="Arial" w:cs="Arial"/>
                <w:color w:val="auto"/>
                <w:szCs w:val="21"/>
                <w:highlight w:val="none"/>
              </w:rPr>
              <w:t>5000≤Z＜80000</w:t>
            </w:r>
          </w:p>
        </w:tc>
        <w:tc>
          <w:tcPr>
            <w:tcW w:w="1570" w:type="dxa"/>
            <w:tcBorders>
              <w:top w:val="nil"/>
              <w:left w:val="nil"/>
              <w:bottom w:val="single" w:color="auto" w:sz="4" w:space="0"/>
              <w:right w:val="single" w:color="auto" w:sz="4" w:space="0"/>
            </w:tcBorders>
            <w:vAlign w:val="center"/>
          </w:tcPr>
          <w:p w14:paraId="39D22AB2">
            <w:pPr>
              <w:widowControl/>
              <w:jc w:val="left"/>
              <w:rPr>
                <w:rFonts w:ascii="Arial" w:hAnsi="Arial" w:cs="Arial"/>
                <w:color w:val="auto"/>
                <w:szCs w:val="21"/>
                <w:highlight w:val="none"/>
              </w:rPr>
            </w:pPr>
            <w:r>
              <w:rPr>
                <w:rFonts w:ascii="Arial" w:hAnsi="Arial" w:cs="Arial"/>
                <w:color w:val="auto"/>
                <w:szCs w:val="21"/>
                <w:highlight w:val="none"/>
              </w:rPr>
              <w:t>300≤Z＜5000</w:t>
            </w:r>
          </w:p>
        </w:tc>
        <w:tc>
          <w:tcPr>
            <w:tcW w:w="1009" w:type="dxa"/>
            <w:tcBorders>
              <w:top w:val="nil"/>
              <w:left w:val="nil"/>
              <w:bottom w:val="single" w:color="auto" w:sz="4" w:space="0"/>
              <w:right w:val="single" w:color="auto" w:sz="4" w:space="0"/>
            </w:tcBorders>
            <w:vAlign w:val="center"/>
          </w:tcPr>
          <w:p w14:paraId="1314DE0F">
            <w:pPr>
              <w:widowControl/>
              <w:jc w:val="left"/>
              <w:rPr>
                <w:rFonts w:ascii="Arial" w:hAnsi="Arial" w:cs="Arial"/>
                <w:color w:val="auto"/>
                <w:szCs w:val="21"/>
                <w:highlight w:val="none"/>
              </w:rPr>
            </w:pPr>
            <w:r>
              <w:rPr>
                <w:rFonts w:ascii="Arial" w:hAnsi="Arial" w:cs="Arial"/>
                <w:color w:val="auto"/>
                <w:szCs w:val="21"/>
                <w:highlight w:val="none"/>
              </w:rPr>
              <w:t>Z＜300</w:t>
            </w:r>
          </w:p>
        </w:tc>
      </w:tr>
      <w:tr w14:paraId="0369F1C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83599B5">
            <w:pPr>
              <w:widowControl/>
              <w:ind w:firstLine="315" w:firstLineChars="150"/>
              <w:rPr>
                <w:rFonts w:ascii="Arial" w:hAnsi="Arial" w:cs="Arial"/>
                <w:color w:val="auto"/>
                <w:szCs w:val="21"/>
                <w:highlight w:val="none"/>
              </w:rPr>
            </w:pPr>
            <w:r>
              <w:rPr>
                <w:rFonts w:ascii="Arial" w:hAnsi="Arial" w:cs="Arial"/>
                <w:color w:val="auto"/>
                <w:szCs w:val="21"/>
                <w:highlight w:val="none"/>
              </w:rPr>
              <w:t>批发业</w:t>
            </w:r>
          </w:p>
        </w:tc>
        <w:tc>
          <w:tcPr>
            <w:tcW w:w="1701" w:type="dxa"/>
            <w:tcBorders>
              <w:top w:val="nil"/>
              <w:left w:val="nil"/>
              <w:bottom w:val="single" w:color="auto" w:sz="4" w:space="0"/>
              <w:right w:val="single" w:color="auto" w:sz="4" w:space="0"/>
            </w:tcBorders>
            <w:vAlign w:val="center"/>
          </w:tcPr>
          <w:p w14:paraId="11286FF5">
            <w:pPr>
              <w:widowControl/>
              <w:jc w:val="left"/>
              <w:rPr>
                <w:rFonts w:ascii="Arial" w:hAnsi="Arial" w:cs="Arial"/>
                <w:color w:val="auto"/>
                <w:szCs w:val="21"/>
                <w:highlight w:val="none"/>
              </w:rPr>
            </w:pPr>
            <w:r>
              <w:rPr>
                <w:rFonts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6438B0F6">
            <w:pPr>
              <w:widowControl/>
              <w:jc w:val="left"/>
              <w:rPr>
                <w:rFonts w:ascii="Arial" w:hAnsi="Arial" w:cs="Arial"/>
                <w:color w:val="auto"/>
                <w:szCs w:val="21"/>
                <w:highlight w:val="none"/>
              </w:rPr>
            </w:pPr>
            <w:r>
              <w:rPr>
                <w:rFonts w:ascii="Arial" w:hAnsi="Arial" w:cs="Arial"/>
                <w:color w:val="auto"/>
                <w:szCs w:val="21"/>
                <w:highlight w:val="none"/>
              </w:rPr>
              <w:t>人</w:t>
            </w:r>
          </w:p>
        </w:tc>
        <w:tc>
          <w:tcPr>
            <w:tcW w:w="1846" w:type="dxa"/>
            <w:tcBorders>
              <w:top w:val="nil"/>
              <w:left w:val="nil"/>
              <w:bottom w:val="single" w:color="auto" w:sz="4" w:space="0"/>
              <w:right w:val="single" w:color="auto" w:sz="4" w:space="0"/>
            </w:tcBorders>
            <w:vAlign w:val="center"/>
          </w:tcPr>
          <w:p w14:paraId="2E1B35BF">
            <w:pPr>
              <w:widowControl/>
              <w:jc w:val="left"/>
              <w:rPr>
                <w:rFonts w:ascii="Arial" w:hAnsi="Arial" w:cs="Arial"/>
                <w:color w:val="auto"/>
                <w:szCs w:val="21"/>
                <w:highlight w:val="none"/>
              </w:rPr>
            </w:pPr>
            <w:r>
              <w:rPr>
                <w:rFonts w:ascii="Arial" w:hAnsi="Arial" w:cs="Arial"/>
                <w:color w:val="auto"/>
                <w:szCs w:val="21"/>
                <w:highlight w:val="none"/>
              </w:rPr>
              <w:t>20≤X＜200</w:t>
            </w:r>
          </w:p>
        </w:tc>
        <w:tc>
          <w:tcPr>
            <w:tcW w:w="1570" w:type="dxa"/>
            <w:tcBorders>
              <w:top w:val="nil"/>
              <w:left w:val="nil"/>
              <w:bottom w:val="single" w:color="auto" w:sz="4" w:space="0"/>
              <w:right w:val="single" w:color="auto" w:sz="4" w:space="0"/>
            </w:tcBorders>
            <w:vAlign w:val="center"/>
          </w:tcPr>
          <w:p w14:paraId="11AD89B8">
            <w:pPr>
              <w:widowControl/>
              <w:jc w:val="left"/>
              <w:rPr>
                <w:rFonts w:ascii="Arial" w:hAnsi="Arial" w:cs="Arial"/>
                <w:color w:val="auto"/>
                <w:szCs w:val="21"/>
                <w:highlight w:val="none"/>
              </w:rPr>
            </w:pPr>
            <w:r>
              <w:rPr>
                <w:rFonts w:ascii="Arial" w:hAnsi="Arial" w:cs="Arial"/>
                <w:color w:val="auto"/>
                <w:szCs w:val="21"/>
                <w:highlight w:val="none"/>
              </w:rPr>
              <w:t>5≤X＜20</w:t>
            </w:r>
          </w:p>
        </w:tc>
        <w:tc>
          <w:tcPr>
            <w:tcW w:w="1009" w:type="dxa"/>
            <w:tcBorders>
              <w:top w:val="nil"/>
              <w:left w:val="nil"/>
              <w:bottom w:val="single" w:color="auto" w:sz="4" w:space="0"/>
              <w:right w:val="single" w:color="auto" w:sz="4" w:space="0"/>
            </w:tcBorders>
            <w:vAlign w:val="center"/>
          </w:tcPr>
          <w:p w14:paraId="244D891A">
            <w:pPr>
              <w:widowControl/>
              <w:jc w:val="left"/>
              <w:rPr>
                <w:rFonts w:ascii="Arial" w:hAnsi="Arial" w:cs="Arial"/>
                <w:color w:val="auto"/>
                <w:szCs w:val="21"/>
                <w:highlight w:val="none"/>
              </w:rPr>
            </w:pPr>
            <w:r>
              <w:rPr>
                <w:rFonts w:ascii="Arial" w:hAnsi="Arial" w:cs="Arial"/>
                <w:color w:val="auto"/>
                <w:szCs w:val="21"/>
                <w:highlight w:val="none"/>
              </w:rPr>
              <w:t>X＜5</w:t>
            </w:r>
          </w:p>
        </w:tc>
      </w:tr>
      <w:tr w14:paraId="17EB1FB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E46CD9C">
            <w:pPr>
              <w:widowControl/>
              <w:jc w:val="left"/>
              <w:rPr>
                <w:rFonts w:ascii="Arial" w:hAnsi="Arial" w:cs="Arial"/>
                <w:color w:val="auto"/>
                <w:szCs w:val="21"/>
                <w:highlight w:val="none"/>
              </w:rPr>
            </w:pPr>
          </w:p>
        </w:tc>
        <w:tc>
          <w:tcPr>
            <w:tcW w:w="1701" w:type="dxa"/>
            <w:tcBorders>
              <w:top w:val="nil"/>
              <w:left w:val="nil"/>
              <w:bottom w:val="single" w:color="auto" w:sz="4" w:space="0"/>
              <w:right w:val="single" w:color="auto" w:sz="4" w:space="0"/>
            </w:tcBorders>
            <w:vAlign w:val="center"/>
          </w:tcPr>
          <w:p w14:paraId="31F86F52">
            <w:pPr>
              <w:widowControl/>
              <w:jc w:val="left"/>
              <w:rPr>
                <w:rFonts w:ascii="Arial" w:hAnsi="Arial" w:cs="Arial"/>
                <w:color w:val="auto"/>
                <w:szCs w:val="21"/>
                <w:highlight w:val="none"/>
              </w:rPr>
            </w:pPr>
            <w:r>
              <w:rPr>
                <w:rFonts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7B41DE10">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145EC62F">
            <w:pPr>
              <w:widowControl/>
              <w:jc w:val="left"/>
              <w:rPr>
                <w:rFonts w:ascii="Arial" w:hAnsi="Arial" w:cs="Arial"/>
                <w:color w:val="auto"/>
                <w:szCs w:val="21"/>
                <w:highlight w:val="none"/>
              </w:rPr>
            </w:pPr>
            <w:r>
              <w:rPr>
                <w:rFonts w:ascii="Arial" w:hAnsi="Arial" w:cs="Arial"/>
                <w:color w:val="auto"/>
                <w:szCs w:val="21"/>
                <w:highlight w:val="none"/>
              </w:rPr>
              <w:t>5000≤Y＜40000</w:t>
            </w:r>
          </w:p>
        </w:tc>
        <w:tc>
          <w:tcPr>
            <w:tcW w:w="1570" w:type="dxa"/>
            <w:tcBorders>
              <w:top w:val="nil"/>
              <w:left w:val="nil"/>
              <w:bottom w:val="single" w:color="auto" w:sz="4" w:space="0"/>
              <w:right w:val="single" w:color="auto" w:sz="4" w:space="0"/>
            </w:tcBorders>
            <w:vAlign w:val="center"/>
          </w:tcPr>
          <w:p w14:paraId="44278C19">
            <w:pPr>
              <w:widowControl/>
              <w:jc w:val="left"/>
              <w:rPr>
                <w:rFonts w:ascii="Arial" w:hAnsi="Arial" w:cs="Arial"/>
                <w:color w:val="auto"/>
                <w:szCs w:val="21"/>
                <w:highlight w:val="none"/>
              </w:rPr>
            </w:pPr>
            <w:r>
              <w:rPr>
                <w:rFonts w:ascii="Arial" w:hAnsi="Arial" w:cs="Arial"/>
                <w:color w:val="auto"/>
                <w:szCs w:val="21"/>
                <w:highlight w:val="none"/>
              </w:rPr>
              <w:t>1000≤Y＜5000</w:t>
            </w:r>
          </w:p>
        </w:tc>
        <w:tc>
          <w:tcPr>
            <w:tcW w:w="1009" w:type="dxa"/>
            <w:tcBorders>
              <w:top w:val="nil"/>
              <w:left w:val="nil"/>
              <w:bottom w:val="single" w:color="auto" w:sz="4" w:space="0"/>
              <w:right w:val="single" w:color="auto" w:sz="4" w:space="0"/>
            </w:tcBorders>
            <w:vAlign w:val="center"/>
          </w:tcPr>
          <w:p w14:paraId="55BFBEE4">
            <w:pPr>
              <w:widowControl/>
              <w:jc w:val="left"/>
              <w:rPr>
                <w:rFonts w:ascii="Arial" w:hAnsi="Arial" w:cs="Arial"/>
                <w:color w:val="auto"/>
                <w:szCs w:val="21"/>
                <w:highlight w:val="none"/>
              </w:rPr>
            </w:pPr>
            <w:r>
              <w:rPr>
                <w:rFonts w:ascii="Arial" w:hAnsi="Arial" w:cs="Arial"/>
                <w:color w:val="auto"/>
                <w:szCs w:val="21"/>
                <w:highlight w:val="none"/>
              </w:rPr>
              <w:t>Y＜1000</w:t>
            </w:r>
          </w:p>
        </w:tc>
      </w:tr>
      <w:tr w14:paraId="6491FEE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667E217">
            <w:pPr>
              <w:widowControl/>
              <w:jc w:val="center"/>
              <w:rPr>
                <w:rFonts w:ascii="Arial" w:hAnsi="Arial" w:cs="Arial"/>
                <w:color w:val="auto"/>
                <w:szCs w:val="21"/>
                <w:highlight w:val="none"/>
              </w:rPr>
            </w:pPr>
            <w:r>
              <w:rPr>
                <w:rFonts w:ascii="Arial" w:hAnsi="Arial" w:cs="Arial"/>
                <w:color w:val="auto"/>
                <w:szCs w:val="21"/>
                <w:highlight w:val="none"/>
              </w:rPr>
              <w:t>零售业</w:t>
            </w:r>
          </w:p>
        </w:tc>
        <w:tc>
          <w:tcPr>
            <w:tcW w:w="1701" w:type="dxa"/>
            <w:tcBorders>
              <w:top w:val="nil"/>
              <w:left w:val="nil"/>
              <w:bottom w:val="single" w:color="auto" w:sz="4" w:space="0"/>
              <w:right w:val="single" w:color="auto" w:sz="4" w:space="0"/>
            </w:tcBorders>
            <w:vAlign w:val="center"/>
          </w:tcPr>
          <w:p w14:paraId="79619411">
            <w:pPr>
              <w:widowControl/>
              <w:jc w:val="left"/>
              <w:rPr>
                <w:rFonts w:ascii="Arial" w:hAnsi="Arial" w:cs="Arial"/>
                <w:color w:val="auto"/>
                <w:szCs w:val="21"/>
                <w:highlight w:val="none"/>
              </w:rPr>
            </w:pPr>
            <w:r>
              <w:rPr>
                <w:rFonts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0449C4A9">
            <w:pPr>
              <w:widowControl/>
              <w:jc w:val="left"/>
              <w:rPr>
                <w:rFonts w:ascii="Arial" w:hAnsi="Arial" w:cs="Arial"/>
                <w:color w:val="auto"/>
                <w:szCs w:val="21"/>
                <w:highlight w:val="none"/>
              </w:rPr>
            </w:pPr>
            <w:r>
              <w:rPr>
                <w:rFonts w:ascii="Arial" w:hAnsi="Arial" w:cs="Arial"/>
                <w:color w:val="auto"/>
                <w:szCs w:val="21"/>
                <w:highlight w:val="none"/>
              </w:rPr>
              <w:t>人</w:t>
            </w:r>
          </w:p>
        </w:tc>
        <w:tc>
          <w:tcPr>
            <w:tcW w:w="1846" w:type="dxa"/>
            <w:tcBorders>
              <w:top w:val="nil"/>
              <w:left w:val="nil"/>
              <w:bottom w:val="single" w:color="auto" w:sz="4" w:space="0"/>
              <w:right w:val="single" w:color="auto" w:sz="4" w:space="0"/>
            </w:tcBorders>
            <w:vAlign w:val="center"/>
          </w:tcPr>
          <w:p w14:paraId="59DFCA2B">
            <w:pPr>
              <w:widowControl/>
              <w:jc w:val="left"/>
              <w:rPr>
                <w:rFonts w:ascii="Arial" w:hAnsi="Arial" w:cs="Arial"/>
                <w:color w:val="auto"/>
                <w:szCs w:val="21"/>
                <w:highlight w:val="none"/>
              </w:rPr>
            </w:pPr>
            <w:r>
              <w:rPr>
                <w:rFonts w:ascii="Arial" w:hAnsi="Arial" w:cs="Arial"/>
                <w:color w:val="auto"/>
                <w:szCs w:val="21"/>
                <w:highlight w:val="none"/>
              </w:rPr>
              <w:t>50≤X＜300</w:t>
            </w:r>
          </w:p>
        </w:tc>
        <w:tc>
          <w:tcPr>
            <w:tcW w:w="1570" w:type="dxa"/>
            <w:tcBorders>
              <w:top w:val="nil"/>
              <w:left w:val="nil"/>
              <w:bottom w:val="single" w:color="auto" w:sz="4" w:space="0"/>
              <w:right w:val="single" w:color="auto" w:sz="4" w:space="0"/>
            </w:tcBorders>
            <w:vAlign w:val="center"/>
          </w:tcPr>
          <w:p w14:paraId="4F1CEBDD">
            <w:pPr>
              <w:widowControl/>
              <w:jc w:val="left"/>
              <w:rPr>
                <w:rFonts w:ascii="Arial" w:hAnsi="Arial" w:cs="Arial"/>
                <w:color w:val="auto"/>
                <w:szCs w:val="21"/>
                <w:highlight w:val="none"/>
              </w:rPr>
            </w:pPr>
            <w:r>
              <w:rPr>
                <w:rFonts w:ascii="Arial" w:hAnsi="Arial" w:cs="Arial"/>
                <w:color w:val="auto"/>
                <w:szCs w:val="21"/>
                <w:highlight w:val="none"/>
              </w:rPr>
              <w:t>10≤X＜50</w:t>
            </w:r>
          </w:p>
        </w:tc>
        <w:tc>
          <w:tcPr>
            <w:tcW w:w="1009" w:type="dxa"/>
            <w:tcBorders>
              <w:top w:val="nil"/>
              <w:left w:val="nil"/>
              <w:bottom w:val="single" w:color="auto" w:sz="4" w:space="0"/>
              <w:right w:val="single" w:color="auto" w:sz="4" w:space="0"/>
            </w:tcBorders>
            <w:vAlign w:val="center"/>
          </w:tcPr>
          <w:p w14:paraId="759F9328">
            <w:pPr>
              <w:widowControl/>
              <w:jc w:val="left"/>
              <w:rPr>
                <w:rFonts w:ascii="Arial" w:hAnsi="Arial" w:cs="Arial"/>
                <w:color w:val="auto"/>
                <w:szCs w:val="21"/>
                <w:highlight w:val="none"/>
              </w:rPr>
            </w:pPr>
            <w:r>
              <w:rPr>
                <w:rFonts w:ascii="Arial" w:hAnsi="Arial" w:cs="Arial"/>
                <w:color w:val="auto"/>
                <w:szCs w:val="21"/>
                <w:highlight w:val="none"/>
              </w:rPr>
              <w:t>X＜10</w:t>
            </w:r>
          </w:p>
        </w:tc>
      </w:tr>
      <w:tr w14:paraId="543F2DD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6CD6516">
            <w:pPr>
              <w:widowControl/>
              <w:jc w:val="left"/>
              <w:rPr>
                <w:rFonts w:ascii="Arial" w:hAnsi="Arial" w:cs="Arial"/>
                <w:color w:val="auto"/>
                <w:szCs w:val="21"/>
                <w:highlight w:val="none"/>
              </w:rPr>
            </w:pPr>
          </w:p>
        </w:tc>
        <w:tc>
          <w:tcPr>
            <w:tcW w:w="1701" w:type="dxa"/>
            <w:tcBorders>
              <w:top w:val="nil"/>
              <w:left w:val="nil"/>
              <w:bottom w:val="single" w:color="auto" w:sz="4" w:space="0"/>
              <w:right w:val="single" w:color="auto" w:sz="4" w:space="0"/>
            </w:tcBorders>
            <w:vAlign w:val="center"/>
          </w:tcPr>
          <w:p w14:paraId="1476D9CD">
            <w:pPr>
              <w:widowControl/>
              <w:jc w:val="left"/>
              <w:rPr>
                <w:rFonts w:ascii="Arial" w:hAnsi="Arial" w:cs="Arial"/>
                <w:color w:val="auto"/>
                <w:szCs w:val="21"/>
                <w:highlight w:val="none"/>
              </w:rPr>
            </w:pPr>
            <w:r>
              <w:rPr>
                <w:rFonts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3EDB0336">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47710147">
            <w:pPr>
              <w:widowControl/>
              <w:jc w:val="left"/>
              <w:rPr>
                <w:rFonts w:ascii="Arial" w:hAnsi="Arial" w:cs="Arial"/>
                <w:color w:val="auto"/>
                <w:szCs w:val="21"/>
                <w:highlight w:val="none"/>
              </w:rPr>
            </w:pPr>
            <w:r>
              <w:rPr>
                <w:rFonts w:ascii="Arial" w:hAnsi="Arial" w:cs="Arial"/>
                <w:color w:val="auto"/>
                <w:szCs w:val="21"/>
                <w:highlight w:val="none"/>
              </w:rPr>
              <w:t>500≤Y＜20000</w:t>
            </w:r>
          </w:p>
        </w:tc>
        <w:tc>
          <w:tcPr>
            <w:tcW w:w="1570" w:type="dxa"/>
            <w:tcBorders>
              <w:top w:val="nil"/>
              <w:left w:val="nil"/>
              <w:bottom w:val="single" w:color="auto" w:sz="4" w:space="0"/>
              <w:right w:val="single" w:color="auto" w:sz="4" w:space="0"/>
            </w:tcBorders>
            <w:vAlign w:val="center"/>
          </w:tcPr>
          <w:p w14:paraId="71E102D4">
            <w:pPr>
              <w:widowControl/>
              <w:jc w:val="left"/>
              <w:rPr>
                <w:rFonts w:ascii="Arial" w:hAnsi="Arial" w:cs="Arial"/>
                <w:color w:val="auto"/>
                <w:szCs w:val="21"/>
                <w:highlight w:val="none"/>
              </w:rPr>
            </w:pPr>
            <w:r>
              <w:rPr>
                <w:rFonts w:ascii="Arial" w:hAnsi="Arial" w:cs="Arial"/>
                <w:color w:val="auto"/>
                <w:szCs w:val="21"/>
                <w:highlight w:val="none"/>
              </w:rPr>
              <w:t>100≤Y＜500</w:t>
            </w:r>
          </w:p>
        </w:tc>
        <w:tc>
          <w:tcPr>
            <w:tcW w:w="1009" w:type="dxa"/>
            <w:tcBorders>
              <w:top w:val="nil"/>
              <w:left w:val="nil"/>
              <w:bottom w:val="single" w:color="auto" w:sz="4" w:space="0"/>
              <w:right w:val="single" w:color="auto" w:sz="4" w:space="0"/>
            </w:tcBorders>
            <w:vAlign w:val="center"/>
          </w:tcPr>
          <w:p w14:paraId="0EDF9C74">
            <w:pPr>
              <w:widowControl/>
              <w:jc w:val="left"/>
              <w:rPr>
                <w:rFonts w:ascii="Arial" w:hAnsi="Arial" w:cs="Arial"/>
                <w:color w:val="auto"/>
                <w:szCs w:val="21"/>
                <w:highlight w:val="none"/>
              </w:rPr>
            </w:pPr>
            <w:r>
              <w:rPr>
                <w:rFonts w:ascii="Arial" w:hAnsi="Arial" w:cs="Arial"/>
                <w:color w:val="auto"/>
                <w:szCs w:val="21"/>
                <w:highlight w:val="none"/>
              </w:rPr>
              <w:t>Y＜100</w:t>
            </w:r>
          </w:p>
        </w:tc>
      </w:tr>
      <w:tr w14:paraId="2ED674E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062CC72">
            <w:pPr>
              <w:widowControl/>
              <w:jc w:val="center"/>
              <w:rPr>
                <w:rFonts w:ascii="Arial" w:hAnsi="Arial" w:cs="Arial"/>
                <w:color w:val="auto"/>
                <w:szCs w:val="21"/>
                <w:highlight w:val="none"/>
              </w:rPr>
            </w:pPr>
            <w:r>
              <w:rPr>
                <w:rFonts w:ascii="Arial" w:hAnsi="Arial" w:cs="Arial"/>
                <w:color w:val="auto"/>
                <w:szCs w:val="21"/>
                <w:highlight w:val="none"/>
              </w:rPr>
              <w:t>交通运输业</w:t>
            </w:r>
          </w:p>
        </w:tc>
        <w:tc>
          <w:tcPr>
            <w:tcW w:w="1701" w:type="dxa"/>
            <w:tcBorders>
              <w:top w:val="nil"/>
              <w:left w:val="nil"/>
              <w:bottom w:val="single" w:color="auto" w:sz="4" w:space="0"/>
              <w:right w:val="single" w:color="auto" w:sz="4" w:space="0"/>
            </w:tcBorders>
            <w:vAlign w:val="center"/>
          </w:tcPr>
          <w:p w14:paraId="59E0C6A5">
            <w:pPr>
              <w:widowControl/>
              <w:jc w:val="left"/>
              <w:rPr>
                <w:rFonts w:ascii="Arial" w:hAnsi="Arial" w:cs="Arial"/>
                <w:color w:val="auto"/>
                <w:szCs w:val="21"/>
                <w:highlight w:val="none"/>
              </w:rPr>
            </w:pPr>
            <w:r>
              <w:rPr>
                <w:rFonts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32CA5DBD">
            <w:pPr>
              <w:widowControl/>
              <w:jc w:val="left"/>
              <w:rPr>
                <w:rFonts w:ascii="Arial" w:hAnsi="Arial" w:cs="Arial"/>
                <w:color w:val="auto"/>
                <w:szCs w:val="21"/>
                <w:highlight w:val="none"/>
              </w:rPr>
            </w:pPr>
            <w:r>
              <w:rPr>
                <w:rFonts w:ascii="Arial" w:hAnsi="Arial" w:cs="Arial"/>
                <w:color w:val="auto"/>
                <w:szCs w:val="21"/>
                <w:highlight w:val="none"/>
              </w:rPr>
              <w:t>人</w:t>
            </w:r>
          </w:p>
        </w:tc>
        <w:tc>
          <w:tcPr>
            <w:tcW w:w="1846" w:type="dxa"/>
            <w:tcBorders>
              <w:top w:val="nil"/>
              <w:left w:val="nil"/>
              <w:bottom w:val="single" w:color="auto" w:sz="4" w:space="0"/>
              <w:right w:val="single" w:color="auto" w:sz="4" w:space="0"/>
            </w:tcBorders>
            <w:vAlign w:val="center"/>
          </w:tcPr>
          <w:p w14:paraId="2886FF10">
            <w:pPr>
              <w:widowControl/>
              <w:jc w:val="left"/>
              <w:rPr>
                <w:rFonts w:ascii="Arial" w:hAnsi="Arial" w:cs="Arial"/>
                <w:color w:val="auto"/>
                <w:szCs w:val="21"/>
                <w:highlight w:val="none"/>
              </w:rPr>
            </w:pPr>
            <w:r>
              <w:rPr>
                <w:rFonts w:ascii="Arial" w:hAnsi="Arial" w:cs="Arial"/>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473BAED1">
            <w:pPr>
              <w:widowControl/>
              <w:jc w:val="left"/>
              <w:rPr>
                <w:rFonts w:ascii="Arial" w:hAnsi="Arial" w:cs="Arial"/>
                <w:color w:val="auto"/>
                <w:szCs w:val="21"/>
                <w:highlight w:val="none"/>
              </w:rPr>
            </w:pPr>
            <w:r>
              <w:rPr>
                <w:rFonts w:ascii="Arial" w:hAnsi="Arial" w:cs="Arial"/>
                <w:color w:val="auto"/>
                <w:szCs w:val="21"/>
                <w:highlight w:val="none"/>
              </w:rPr>
              <w:t>20≤X＜300</w:t>
            </w:r>
          </w:p>
        </w:tc>
        <w:tc>
          <w:tcPr>
            <w:tcW w:w="1009" w:type="dxa"/>
            <w:tcBorders>
              <w:top w:val="nil"/>
              <w:left w:val="nil"/>
              <w:bottom w:val="single" w:color="auto" w:sz="4" w:space="0"/>
              <w:right w:val="single" w:color="auto" w:sz="4" w:space="0"/>
            </w:tcBorders>
            <w:vAlign w:val="center"/>
          </w:tcPr>
          <w:p w14:paraId="1A90D30E">
            <w:pPr>
              <w:widowControl/>
              <w:jc w:val="left"/>
              <w:rPr>
                <w:rFonts w:ascii="Arial" w:hAnsi="Arial" w:cs="Arial"/>
                <w:color w:val="auto"/>
                <w:szCs w:val="21"/>
                <w:highlight w:val="none"/>
              </w:rPr>
            </w:pPr>
            <w:r>
              <w:rPr>
                <w:rFonts w:ascii="Arial" w:hAnsi="Arial" w:cs="Arial"/>
                <w:color w:val="auto"/>
                <w:szCs w:val="21"/>
                <w:highlight w:val="none"/>
              </w:rPr>
              <w:t>X＜20</w:t>
            </w:r>
          </w:p>
        </w:tc>
      </w:tr>
      <w:tr w14:paraId="510ECD2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2679A21">
            <w:pPr>
              <w:widowControl/>
              <w:jc w:val="left"/>
              <w:rPr>
                <w:rFonts w:ascii="Arial" w:hAnsi="Arial" w:cs="Arial"/>
                <w:color w:val="auto"/>
                <w:szCs w:val="21"/>
                <w:highlight w:val="none"/>
              </w:rPr>
            </w:pPr>
          </w:p>
        </w:tc>
        <w:tc>
          <w:tcPr>
            <w:tcW w:w="1701" w:type="dxa"/>
            <w:tcBorders>
              <w:top w:val="nil"/>
              <w:left w:val="nil"/>
              <w:bottom w:val="single" w:color="auto" w:sz="4" w:space="0"/>
              <w:right w:val="single" w:color="auto" w:sz="4" w:space="0"/>
            </w:tcBorders>
            <w:vAlign w:val="center"/>
          </w:tcPr>
          <w:p w14:paraId="476BB261">
            <w:pPr>
              <w:widowControl/>
              <w:jc w:val="left"/>
              <w:rPr>
                <w:rFonts w:ascii="Arial" w:hAnsi="Arial" w:cs="Arial"/>
                <w:color w:val="auto"/>
                <w:szCs w:val="21"/>
                <w:highlight w:val="none"/>
              </w:rPr>
            </w:pPr>
            <w:r>
              <w:rPr>
                <w:rFonts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6F3C1D82">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32C8A80E">
            <w:pPr>
              <w:widowControl/>
              <w:jc w:val="left"/>
              <w:rPr>
                <w:rFonts w:ascii="Arial" w:hAnsi="Arial" w:cs="Arial"/>
                <w:color w:val="auto"/>
                <w:szCs w:val="21"/>
                <w:highlight w:val="none"/>
              </w:rPr>
            </w:pPr>
            <w:r>
              <w:rPr>
                <w:rFonts w:ascii="Arial" w:hAnsi="Arial" w:cs="Arial"/>
                <w:color w:val="auto"/>
                <w:szCs w:val="21"/>
                <w:highlight w:val="none"/>
              </w:rPr>
              <w:t>3000≤Y＜30000</w:t>
            </w:r>
          </w:p>
        </w:tc>
        <w:tc>
          <w:tcPr>
            <w:tcW w:w="1570" w:type="dxa"/>
            <w:tcBorders>
              <w:top w:val="nil"/>
              <w:left w:val="nil"/>
              <w:bottom w:val="single" w:color="auto" w:sz="4" w:space="0"/>
              <w:right w:val="single" w:color="auto" w:sz="4" w:space="0"/>
            </w:tcBorders>
            <w:vAlign w:val="center"/>
          </w:tcPr>
          <w:p w14:paraId="608A5E84">
            <w:pPr>
              <w:widowControl/>
              <w:jc w:val="left"/>
              <w:rPr>
                <w:rFonts w:ascii="Arial" w:hAnsi="Arial" w:cs="Arial"/>
                <w:color w:val="auto"/>
                <w:szCs w:val="21"/>
                <w:highlight w:val="none"/>
              </w:rPr>
            </w:pPr>
            <w:r>
              <w:rPr>
                <w:rFonts w:ascii="Arial" w:hAnsi="Arial" w:cs="Arial"/>
                <w:color w:val="auto"/>
                <w:szCs w:val="21"/>
                <w:highlight w:val="none"/>
              </w:rPr>
              <w:t>200≤Y＜3000</w:t>
            </w:r>
          </w:p>
        </w:tc>
        <w:tc>
          <w:tcPr>
            <w:tcW w:w="1009" w:type="dxa"/>
            <w:tcBorders>
              <w:top w:val="nil"/>
              <w:left w:val="nil"/>
              <w:bottom w:val="single" w:color="auto" w:sz="4" w:space="0"/>
              <w:right w:val="single" w:color="auto" w:sz="4" w:space="0"/>
            </w:tcBorders>
            <w:vAlign w:val="center"/>
          </w:tcPr>
          <w:p w14:paraId="1D130CB3">
            <w:pPr>
              <w:widowControl/>
              <w:jc w:val="left"/>
              <w:rPr>
                <w:rFonts w:ascii="Arial" w:hAnsi="Arial" w:cs="Arial"/>
                <w:color w:val="auto"/>
                <w:szCs w:val="21"/>
                <w:highlight w:val="none"/>
              </w:rPr>
            </w:pPr>
            <w:r>
              <w:rPr>
                <w:rFonts w:ascii="Arial" w:hAnsi="Arial" w:cs="Arial"/>
                <w:color w:val="auto"/>
                <w:szCs w:val="21"/>
                <w:highlight w:val="none"/>
              </w:rPr>
              <w:t>Y＜200</w:t>
            </w:r>
          </w:p>
        </w:tc>
      </w:tr>
      <w:tr w14:paraId="4E11ED7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712C882">
            <w:pPr>
              <w:widowControl/>
              <w:jc w:val="center"/>
              <w:rPr>
                <w:rFonts w:ascii="Arial" w:hAnsi="Arial" w:cs="Arial"/>
                <w:color w:val="auto"/>
                <w:szCs w:val="21"/>
                <w:highlight w:val="none"/>
              </w:rPr>
            </w:pPr>
            <w:r>
              <w:rPr>
                <w:rFonts w:ascii="Arial" w:hAnsi="Arial" w:cs="Arial"/>
                <w:color w:val="auto"/>
                <w:szCs w:val="21"/>
                <w:highlight w:val="none"/>
              </w:rPr>
              <w:t>仓储业</w:t>
            </w:r>
          </w:p>
        </w:tc>
        <w:tc>
          <w:tcPr>
            <w:tcW w:w="1701" w:type="dxa"/>
            <w:tcBorders>
              <w:top w:val="nil"/>
              <w:left w:val="nil"/>
              <w:bottom w:val="single" w:color="auto" w:sz="4" w:space="0"/>
              <w:right w:val="single" w:color="auto" w:sz="4" w:space="0"/>
            </w:tcBorders>
            <w:vAlign w:val="center"/>
          </w:tcPr>
          <w:p w14:paraId="5285B1C7">
            <w:pPr>
              <w:widowControl/>
              <w:jc w:val="left"/>
              <w:rPr>
                <w:rFonts w:ascii="Arial" w:hAnsi="Arial" w:cs="Arial"/>
                <w:color w:val="auto"/>
                <w:szCs w:val="21"/>
                <w:highlight w:val="none"/>
              </w:rPr>
            </w:pPr>
            <w:r>
              <w:rPr>
                <w:rFonts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563478B8">
            <w:pPr>
              <w:widowControl/>
              <w:jc w:val="left"/>
              <w:rPr>
                <w:rFonts w:ascii="Arial" w:hAnsi="Arial" w:cs="Arial"/>
                <w:color w:val="auto"/>
                <w:szCs w:val="21"/>
                <w:highlight w:val="none"/>
              </w:rPr>
            </w:pPr>
            <w:r>
              <w:rPr>
                <w:rFonts w:ascii="Arial" w:hAnsi="Arial" w:cs="Arial"/>
                <w:color w:val="auto"/>
                <w:szCs w:val="21"/>
                <w:highlight w:val="none"/>
              </w:rPr>
              <w:t>人</w:t>
            </w:r>
          </w:p>
        </w:tc>
        <w:tc>
          <w:tcPr>
            <w:tcW w:w="1846" w:type="dxa"/>
            <w:tcBorders>
              <w:top w:val="nil"/>
              <w:left w:val="nil"/>
              <w:bottom w:val="single" w:color="auto" w:sz="4" w:space="0"/>
              <w:right w:val="single" w:color="auto" w:sz="4" w:space="0"/>
            </w:tcBorders>
            <w:vAlign w:val="center"/>
          </w:tcPr>
          <w:p w14:paraId="366E3648">
            <w:pPr>
              <w:widowControl/>
              <w:jc w:val="left"/>
              <w:rPr>
                <w:rFonts w:ascii="Arial" w:hAnsi="Arial" w:cs="Arial"/>
                <w:color w:val="auto"/>
                <w:szCs w:val="21"/>
                <w:highlight w:val="none"/>
              </w:rPr>
            </w:pPr>
            <w:r>
              <w:rPr>
                <w:rFonts w:ascii="Arial" w:hAnsi="Arial" w:cs="Arial"/>
                <w:color w:val="auto"/>
                <w:szCs w:val="21"/>
                <w:highlight w:val="none"/>
              </w:rPr>
              <w:t>100≤X＜200</w:t>
            </w:r>
          </w:p>
        </w:tc>
        <w:tc>
          <w:tcPr>
            <w:tcW w:w="1570" w:type="dxa"/>
            <w:tcBorders>
              <w:top w:val="nil"/>
              <w:left w:val="nil"/>
              <w:bottom w:val="single" w:color="auto" w:sz="4" w:space="0"/>
              <w:right w:val="single" w:color="auto" w:sz="4" w:space="0"/>
            </w:tcBorders>
            <w:vAlign w:val="center"/>
          </w:tcPr>
          <w:p w14:paraId="17A4480C">
            <w:pPr>
              <w:widowControl/>
              <w:jc w:val="left"/>
              <w:rPr>
                <w:rFonts w:ascii="Arial" w:hAnsi="Arial" w:cs="Arial"/>
                <w:color w:val="auto"/>
                <w:szCs w:val="21"/>
                <w:highlight w:val="none"/>
              </w:rPr>
            </w:pPr>
            <w:r>
              <w:rPr>
                <w:rFonts w:ascii="Arial" w:hAnsi="Arial" w:cs="Arial"/>
                <w:color w:val="auto"/>
                <w:szCs w:val="21"/>
                <w:highlight w:val="none"/>
              </w:rPr>
              <w:t>20≤X＜100</w:t>
            </w:r>
          </w:p>
        </w:tc>
        <w:tc>
          <w:tcPr>
            <w:tcW w:w="1009" w:type="dxa"/>
            <w:tcBorders>
              <w:top w:val="nil"/>
              <w:left w:val="nil"/>
              <w:bottom w:val="single" w:color="auto" w:sz="4" w:space="0"/>
              <w:right w:val="single" w:color="auto" w:sz="4" w:space="0"/>
            </w:tcBorders>
            <w:vAlign w:val="center"/>
          </w:tcPr>
          <w:p w14:paraId="6D6CEFC2">
            <w:pPr>
              <w:widowControl/>
              <w:jc w:val="left"/>
              <w:rPr>
                <w:rFonts w:ascii="Arial" w:hAnsi="Arial" w:cs="Arial"/>
                <w:color w:val="auto"/>
                <w:szCs w:val="21"/>
                <w:highlight w:val="none"/>
              </w:rPr>
            </w:pPr>
            <w:r>
              <w:rPr>
                <w:rFonts w:ascii="Arial" w:hAnsi="Arial" w:cs="Arial"/>
                <w:color w:val="auto"/>
                <w:szCs w:val="21"/>
                <w:highlight w:val="none"/>
              </w:rPr>
              <w:t>X＜20</w:t>
            </w:r>
          </w:p>
        </w:tc>
      </w:tr>
      <w:tr w14:paraId="3C947A0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4C20590">
            <w:pPr>
              <w:widowControl/>
              <w:jc w:val="left"/>
              <w:rPr>
                <w:rFonts w:ascii="Arial" w:hAnsi="Arial" w:cs="Arial"/>
                <w:color w:val="auto"/>
                <w:szCs w:val="21"/>
                <w:highlight w:val="none"/>
              </w:rPr>
            </w:pPr>
          </w:p>
        </w:tc>
        <w:tc>
          <w:tcPr>
            <w:tcW w:w="1701" w:type="dxa"/>
            <w:tcBorders>
              <w:top w:val="nil"/>
              <w:left w:val="nil"/>
              <w:bottom w:val="single" w:color="auto" w:sz="4" w:space="0"/>
              <w:right w:val="single" w:color="auto" w:sz="4" w:space="0"/>
            </w:tcBorders>
            <w:vAlign w:val="center"/>
          </w:tcPr>
          <w:p w14:paraId="1A9CF650">
            <w:pPr>
              <w:widowControl/>
              <w:jc w:val="left"/>
              <w:rPr>
                <w:rFonts w:ascii="Arial" w:hAnsi="Arial" w:cs="Arial"/>
                <w:color w:val="auto"/>
                <w:szCs w:val="21"/>
                <w:highlight w:val="none"/>
              </w:rPr>
            </w:pPr>
            <w:r>
              <w:rPr>
                <w:rFonts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7789D7C3">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31ED1E29">
            <w:pPr>
              <w:widowControl/>
              <w:jc w:val="left"/>
              <w:rPr>
                <w:rFonts w:ascii="Arial" w:hAnsi="Arial" w:cs="Arial"/>
                <w:color w:val="auto"/>
                <w:szCs w:val="21"/>
                <w:highlight w:val="none"/>
              </w:rPr>
            </w:pPr>
            <w:r>
              <w:rPr>
                <w:rFonts w:ascii="Arial" w:hAnsi="Arial" w:cs="Arial"/>
                <w:color w:val="auto"/>
                <w:szCs w:val="21"/>
                <w:highlight w:val="none"/>
              </w:rPr>
              <w:t>1000≤Y＜30000</w:t>
            </w:r>
          </w:p>
        </w:tc>
        <w:tc>
          <w:tcPr>
            <w:tcW w:w="1570" w:type="dxa"/>
            <w:tcBorders>
              <w:top w:val="nil"/>
              <w:left w:val="nil"/>
              <w:bottom w:val="single" w:color="auto" w:sz="4" w:space="0"/>
              <w:right w:val="single" w:color="auto" w:sz="4" w:space="0"/>
            </w:tcBorders>
            <w:vAlign w:val="center"/>
          </w:tcPr>
          <w:p w14:paraId="578BB1F5">
            <w:pPr>
              <w:widowControl/>
              <w:jc w:val="left"/>
              <w:rPr>
                <w:rFonts w:ascii="Arial" w:hAnsi="Arial" w:cs="Arial"/>
                <w:color w:val="auto"/>
                <w:szCs w:val="21"/>
                <w:highlight w:val="none"/>
              </w:rPr>
            </w:pPr>
            <w:r>
              <w:rPr>
                <w:rFonts w:ascii="Arial" w:hAnsi="Arial" w:cs="Arial"/>
                <w:color w:val="auto"/>
                <w:szCs w:val="21"/>
                <w:highlight w:val="none"/>
              </w:rPr>
              <w:t>100≤Y＜1000</w:t>
            </w:r>
          </w:p>
        </w:tc>
        <w:tc>
          <w:tcPr>
            <w:tcW w:w="1009" w:type="dxa"/>
            <w:tcBorders>
              <w:top w:val="nil"/>
              <w:left w:val="nil"/>
              <w:bottom w:val="single" w:color="auto" w:sz="4" w:space="0"/>
              <w:right w:val="single" w:color="auto" w:sz="4" w:space="0"/>
            </w:tcBorders>
            <w:vAlign w:val="center"/>
          </w:tcPr>
          <w:p w14:paraId="5BA6B43A">
            <w:pPr>
              <w:widowControl/>
              <w:jc w:val="left"/>
              <w:rPr>
                <w:rFonts w:ascii="Arial" w:hAnsi="Arial" w:cs="Arial"/>
                <w:color w:val="auto"/>
                <w:szCs w:val="21"/>
                <w:highlight w:val="none"/>
              </w:rPr>
            </w:pPr>
            <w:r>
              <w:rPr>
                <w:rFonts w:ascii="Arial" w:hAnsi="Arial" w:cs="Arial"/>
                <w:color w:val="auto"/>
                <w:szCs w:val="21"/>
                <w:highlight w:val="none"/>
              </w:rPr>
              <w:t>Y＜100</w:t>
            </w:r>
          </w:p>
        </w:tc>
      </w:tr>
      <w:tr w14:paraId="7EE5E0D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9FECBAA">
            <w:pPr>
              <w:widowControl/>
              <w:jc w:val="center"/>
              <w:rPr>
                <w:rFonts w:ascii="Arial" w:hAnsi="Arial" w:cs="Arial"/>
                <w:color w:val="auto"/>
                <w:szCs w:val="21"/>
                <w:highlight w:val="none"/>
              </w:rPr>
            </w:pPr>
            <w:r>
              <w:rPr>
                <w:rFonts w:ascii="Arial" w:hAnsi="Arial" w:cs="Arial"/>
                <w:color w:val="auto"/>
                <w:szCs w:val="21"/>
                <w:highlight w:val="none"/>
              </w:rPr>
              <w:t>邮政业</w:t>
            </w:r>
          </w:p>
        </w:tc>
        <w:tc>
          <w:tcPr>
            <w:tcW w:w="1701" w:type="dxa"/>
            <w:tcBorders>
              <w:top w:val="nil"/>
              <w:left w:val="nil"/>
              <w:bottom w:val="single" w:color="auto" w:sz="4" w:space="0"/>
              <w:right w:val="single" w:color="auto" w:sz="4" w:space="0"/>
            </w:tcBorders>
            <w:vAlign w:val="center"/>
          </w:tcPr>
          <w:p w14:paraId="5511DFF2">
            <w:pPr>
              <w:widowControl/>
              <w:jc w:val="left"/>
              <w:rPr>
                <w:rFonts w:ascii="Arial" w:hAnsi="Arial" w:cs="Arial"/>
                <w:color w:val="auto"/>
                <w:szCs w:val="21"/>
                <w:highlight w:val="none"/>
              </w:rPr>
            </w:pPr>
            <w:r>
              <w:rPr>
                <w:rFonts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6E06FA92">
            <w:pPr>
              <w:widowControl/>
              <w:jc w:val="left"/>
              <w:rPr>
                <w:rFonts w:ascii="Arial" w:hAnsi="Arial" w:cs="Arial"/>
                <w:color w:val="auto"/>
                <w:szCs w:val="21"/>
                <w:highlight w:val="none"/>
              </w:rPr>
            </w:pPr>
            <w:r>
              <w:rPr>
                <w:rFonts w:ascii="Arial" w:hAnsi="Arial" w:cs="Arial"/>
                <w:color w:val="auto"/>
                <w:szCs w:val="21"/>
                <w:highlight w:val="none"/>
              </w:rPr>
              <w:t>人</w:t>
            </w:r>
          </w:p>
        </w:tc>
        <w:tc>
          <w:tcPr>
            <w:tcW w:w="1846" w:type="dxa"/>
            <w:tcBorders>
              <w:top w:val="nil"/>
              <w:left w:val="nil"/>
              <w:bottom w:val="single" w:color="auto" w:sz="4" w:space="0"/>
              <w:right w:val="single" w:color="auto" w:sz="4" w:space="0"/>
            </w:tcBorders>
            <w:vAlign w:val="center"/>
          </w:tcPr>
          <w:p w14:paraId="538094E1">
            <w:pPr>
              <w:widowControl/>
              <w:jc w:val="left"/>
              <w:rPr>
                <w:rFonts w:ascii="Arial" w:hAnsi="Arial" w:cs="Arial"/>
                <w:color w:val="auto"/>
                <w:szCs w:val="21"/>
                <w:highlight w:val="none"/>
              </w:rPr>
            </w:pPr>
            <w:r>
              <w:rPr>
                <w:rFonts w:ascii="Arial" w:hAnsi="Arial" w:cs="Arial"/>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1A8EA70A">
            <w:pPr>
              <w:widowControl/>
              <w:jc w:val="left"/>
              <w:rPr>
                <w:rFonts w:ascii="Arial" w:hAnsi="Arial" w:cs="Arial"/>
                <w:color w:val="auto"/>
                <w:szCs w:val="21"/>
                <w:highlight w:val="none"/>
              </w:rPr>
            </w:pPr>
            <w:r>
              <w:rPr>
                <w:rFonts w:ascii="Arial" w:hAnsi="Arial" w:cs="Arial"/>
                <w:color w:val="auto"/>
                <w:szCs w:val="21"/>
                <w:highlight w:val="none"/>
              </w:rPr>
              <w:t>20≤X＜300</w:t>
            </w:r>
          </w:p>
        </w:tc>
        <w:tc>
          <w:tcPr>
            <w:tcW w:w="1009" w:type="dxa"/>
            <w:tcBorders>
              <w:top w:val="nil"/>
              <w:left w:val="nil"/>
              <w:bottom w:val="single" w:color="auto" w:sz="4" w:space="0"/>
              <w:right w:val="single" w:color="auto" w:sz="4" w:space="0"/>
            </w:tcBorders>
            <w:vAlign w:val="center"/>
          </w:tcPr>
          <w:p w14:paraId="05C3BBCB">
            <w:pPr>
              <w:widowControl/>
              <w:jc w:val="left"/>
              <w:rPr>
                <w:rFonts w:ascii="Arial" w:hAnsi="Arial" w:cs="Arial"/>
                <w:color w:val="auto"/>
                <w:szCs w:val="21"/>
                <w:highlight w:val="none"/>
              </w:rPr>
            </w:pPr>
            <w:r>
              <w:rPr>
                <w:rFonts w:ascii="Arial" w:hAnsi="Arial" w:cs="Arial"/>
                <w:color w:val="auto"/>
                <w:szCs w:val="21"/>
                <w:highlight w:val="none"/>
              </w:rPr>
              <w:t>X＜20</w:t>
            </w:r>
          </w:p>
        </w:tc>
      </w:tr>
      <w:tr w14:paraId="7611B09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8AC9B75">
            <w:pPr>
              <w:widowControl/>
              <w:jc w:val="left"/>
              <w:rPr>
                <w:rFonts w:ascii="Arial" w:hAnsi="Arial" w:cs="Arial"/>
                <w:color w:val="auto"/>
                <w:szCs w:val="21"/>
                <w:highlight w:val="none"/>
              </w:rPr>
            </w:pPr>
          </w:p>
        </w:tc>
        <w:tc>
          <w:tcPr>
            <w:tcW w:w="1701" w:type="dxa"/>
            <w:tcBorders>
              <w:top w:val="nil"/>
              <w:left w:val="nil"/>
              <w:bottom w:val="single" w:color="auto" w:sz="4" w:space="0"/>
              <w:right w:val="single" w:color="auto" w:sz="4" w:space="0"/>
            </w:tcBorders>
            <w:vAlign w:val="center"/>
          </w:tcPr>
          <w:p w14:paraId="5237186D">
            <w:pPr>
              <w:widowControl/>
              <w:jc w:val="left"/>
              <w:rPr>
                <w:rFonts w:ascii="Arial" w:hAnsi="Arial" w:cs="Arial"/>
                <w:color w:val="auto"/>
                <w:szCs w:val="21"/>
                <w:highlight w:val="none"/>
              </w:rPr>
            </w:pPr>
            <w:r>
              <w:rPr>
                <w:rFonts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369257E7">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2056B5B2">
            <w:pPr>
              <w:widowControl/>
              <w:jc w:val="left"/>
              <w:rPr>
                <w:rFonts w:ascii="Arial" w:hAnsi="Arial" w:cs="Arial"/>
                <w:color w:val="auto"/>
                <w:szCs w:val="21"/>
                <w:highlight w:val="none"/>
              </w:rPr>
            </w:pPr>
            <w:r>
              <w:rPr>
                <w:rFonts w:ascii="Arial" w:hAnsi="Arial" w:cs="Arial"/>
                <w:color w:val="auto"/>
                <w:szCs w:val="21"/>
                <w:highlight w:val="none"/>
              </w:rPr>
              <w:t>2000≤Y＜30000</w:t>
            </w:r>
          </w:p>
        </w:tc>
        <w:tc>
          <w:tcPr>
            <w:tcW w:w="1570" w:type="dxa"/>
            <w:tcBorders>
              <w:top w:val="nil"/>
              <w:left w:val="nil"/>
              <w:bottom w:val="single" w:color="auto" w:sz="4" w:space="0"/>
              <w:right w:val="single" w:color="auto" w:sz="4" w:space="0"/>
            </w:tcBorders>
            <w:vAlign w:val="center"/>
          </w:tcPr>
          <w:p w14:paraId="32FB197E">
            <w:pPr>
              <w:widowControl/>
              <w:jc w:val="left"/>
              <w:rPr>
                <w:rFonts w:ascii="Arial" w:hAnsi="Arial" w:cs="Arial"/>
                <w:color w:val="auto"/>
                <w:szCs w:val="21"/>
                <w:highlight w:val="none"/>
              </w:rPr>
            </w:pPr>
            <w:r>
              <w:rPr>
                <w:rFonts w:ascii="Arial" w:hAnsi="Arial" w:cs="Arial"/>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5E287EEA">
            <w:pPr>
              <w:widowControl/>
              <w:jc w:val="left"/>
              <w:rPr>
                <w:rFonts w:ascii="Arial" w:hAnsi="Arial" w:cs="Arial"/>
                <w:color w:val="auto"/>
                <w:szCs w:val="21"/>
                <w:highlight w:val="none"/>
              </w:rPr>
            </w:pPr>
            <w:r>
              <w:rPr>
                <w:rFonts w:ascii="Arial" w:hAnsi="Arial" w:cs="Arial"/>
                <w:color w:val="auto"/>
                <w:szCs w:val="21"/>
                <w:highlight w:val="none"/>
              </w:rPr>
              <w:t>Y＜100</w:t>
            </w:r>
          </w:p>
        </w:tc>
      </w:tr>
      <w:tr w14:paraId="0F91250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88CE063">
            <w:pPr>
              <w:widowControl/>
              <w:jc w:val="center"/>
              <w:rPr>
                <w:rFonts w:ascii="Arial" w:hAnsi="Arial" w:cs="Arial"/>
                <w:color w:val="auto"/>
                <w:szCs w:val="21"/>
                <w:highlight w:val="none"/>
              </w:rPr>
            </w:pPr>
            <w:r>
              <w:rPr>
                <w:rFonts w:ascii="Arial" w:hAnsi="Arial" w:cs="Arial"/>
                <w:color w:val="auto"/>
                <w:szCs w:val="21"/>
                <w:highlight w:val="none"/>
              </w:rPr>
              <w:t>住宿业</w:t>
            </w:r>
          </w:p>
        </w:tc>
        <w:tc>
          <w:tcPr>
            <w:tcW w:w="1701" w:type="dxa"/>
            <w:tcBorders>
              <w:top w:val="nil"/>
              <w:left w:val="nil"/>
              <w:bottom w:val="single" w:color="auto" w:sz="4" w:space="0"/>
              <w:right w:val="single" w:color="auto" w:sz="4" w:space="0"/>
            </w:tcBorders>
            <w:vAlign w:val="center"/>
          </w:tcPr>
          <w:p w14:paraId="46C8C417">
            <w:pPr>
              <w:widowControl/>
              <w:jc w:val="left"/>
              <w:rPr>
                <w:rFonts w:ascii="Arial" w:hAnsi="Arial" w:cs="Arial"/>
                <w:color w:val="auto"/>
                <w:szCs w:val="21"/>
                <w:highlight w:val="none"/>
              </w:rPr>
            </w:pPr>
            <w:r>
              <w:rPr>
                <w:rFonts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1CFF8B62">
            <w:pPr>
              <w:widowControl/>
              <w:jc w:val="left"/>
              <w:rPr>
                <w:rFonts w:ascii="Arial" w:hAnsi="Arial" w:cs="Arial"/>
                <w:color w:val="auto"/>
                <w:szCs w:val="21"/>
                <w:highlight w:val="none"/>
              </w:rPr>
            </w:pPr>
            <w:r>
              <w:rPr>
                <w:rFonts w:ascii="Arial" w:hAnsi="Arial" w:cs="Arial"/>
                <w:color w:val="auto"/>
                <w:szCs w:val="21"/>
                <w:highlight w:val="none"/>
              </w:rPr>
              <w:t>人</w:t>
            </w:r>
          </w:p>
        </w:tc>
        <w:tc>
          <w:tcPr>
            <w:tcW w:w="1846" w:type="dxa"/>
            <w:tcBorders>
              <w:top w:val="nil"/>
              <w:left w:val="nil"/>
              <w:bottom w:val="single" w:color="auto" w:sz="4" w:space="0"/>
              <w:right w:val="single" w:color="auto" w:sz="4" w:space="0"/>
            </w:tcBorders>
            <w:vAlign w:val="center"/>
          </w:tcPr>
          <w:p w14:paraId="30A3402B">
            <w:pPr>
              <w:widowControl/>
              <w:jc w:val="left"/>
              <w:rPr>
                <w:rFonts w:ascii="Arial" w:hAnsi="Arial" w:cs="Arial"/>
                <w:color w:val="auto"/>
                <w:szCs w:val="21"/>
                <w:highlight w:val="none"/>
              </w:rPr>
            </w:pPr>
            <w:r>
              <w:rPr>
                <w:rFonts w:ascii="Arial" w:hAnsi="Arial" w:cs="Arial"/>
                <w:color w:val="auto"/>
                <w:szCs w:val="21"/>
                <w:highlight w:val="none"/>
              </w:rPr>
              <w:t>100≤X＜300</w:t>
            </w:r>
          </w:p>
        </w:tc>
        <w:tc>
          <w:tcPr>
            <w:tcW w:w="1570" w:type="dxa"/>
            <w:tcBorders>
              <w:top w:val="nil"/>
              <w:left w:val="nil"/>
              <w:bottom w:val="single" w:color="auto" w:sz="4" w:space="0"/>
              <w:right w:val="single" w:color="auto" w:sz="4" w:space="0"/>
            </w:tcBorders>
            <w:vAlign w:val="center"/>
          </w:tcPr>
          <w:p w14:paraId="727E59DB">
            <w:pPr>
              <w:widowControl/>
              <w:jc w:val="left"/>
              <w:rPr>
                <w:rFonts w:ascii="Arial" w:hAnsi="Arial" w:cs="Arial"/>
                <w:color w:val="auto"/>
                <w:szCs w:val="21"/>
                <w:highlight w:val="none"/>
              </w:rPr>
            </w:pPr>
            <w:r>
              <w:rPr>
                <w:rFonts w:ascii="Arial" w:hAnsi="Arial" w:cs="Arial"/>
                <w:color w:val="auto"/>
                <w:szCs w:val="21"/>
                <w:highlight w:val="none"/>
              </w:rPr>
              <w:t>10≤X＜100</w:t>
            </w:r>
          </w:p>
        </w:tc>
        <w:tc>
          <w:tcPr>
            <w:tcW w:w="1009" w:type="dxa"/>
            <w:tcBorders>
              <w:top w:val="nil"/>
              <w:left w:val="nil"/>
              <w:bottom w:val="single" w:color="auto" w:sz="4" w:space="0"/>
              <w:right w:val="single" w:color="auto" w:sz="4" w:space="0"/>
            </w:tcBorders>
            <w:vAlign w:val="center"/>
          </w:tcPr>
          <w:p w14:paraId="66556311">
            <w:pPr>
              <w:widowControl/>
              <w:jc w:val="left"/>
              <w:rPr>
                <w:rFonts w:ascii="Arial" w:hAnsi="Arial" w:cs="Arial"/>
                <w:color w:val="auto"/>
                <w:szCs w:val="21"/>
                <w:highlight w:val="none"/>
              </w:rPr>
            </w:pPr>
            <w:r>
              <w:rPr>
                <w:rFonts w:ascii="Arial" w:hAnsi="Arial" w:cs="Arial"/>
                <w:color w:val="auto"/>
                <w:szCs w:val="21"/>
                <w:highlight w:val="none"/>
              </w:rPr>
              <w:t>X＜10</w:t>
            </w:r>
          </w:p>
        </w:tc>
      </w:tr>
      <w:tr w14:paraId="4F6AD00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29BD97B">
            <w:pPr>
              <w:widowControl/>
              <w:jc w:val="left"/>
              <w:rPr>
                <w:rFonts w:ascii="Arial" w:hAnsi="Arial" w:cs="Arial"/>
                <w:color w:val="auto"/>
                <w:szCs w:val="21"/>
                <w:highlight w:val="none"/>
              </w:rPr>
            </w:pPr>
          </w:p>
        </w:tc>
        <w:tc>
          <w:tcPr>
            <w:tcW w:w="1701" w:type="dxa"/>
            <w:tcBorders>
              <w:top w:val="nil"/>
              <w:left w:val="nil"/>
              <w:bottom w:val="single" w:color="auto" w:sz="4" w:space="0"/>
              <w:right w:val="single" w:color="auto" w:sz="4" w:space="0"/>
            </w:tcBorders>
            <w:vAlign w:val="center"/>
          </w:tcPr>
          <w:p w14:paraId="08627DC4">
            <w:pPr>
              <w:widowControl/>
              <w:jc w:val="left"/>
              <w:rPr>
                <w:rFonts w:ascii="Arial" w:hAnsi="Arial" w:cs="Arial"/>
                <w:color w:val="auto"/>
                <w:szCs w:val="21"/>
                <w:highlight w:val="none"/>
              </w:rPr>
            </w:pPr>
            <w:r>
              <w:rPr>
                <w:rFonts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693B20A9">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6678B8FF">
            <w:pPr>
              <w:widowControl/>
              <w:jc w:val="left"/>
              <w:rPr>
                <w:rFonts w:ascii="Arial" w:hAnsi="Arial" w:cs="Arial"/>
                <w:color w:val="auto"/>
                <w:szCs w:val="21"/>
                <w:highlight w:val="none"/>
              </w:rPr>
            </w:pPr>
            <w:r>
              <w:rPr>
                <w:rFonts w:ascii="Arial" w:hAnsi="Arial" w:cs="Arial"/>
                <w:color w:val="auto"/>
                <w:szCs w:val="21"/>
                <w:highlight w:val="none"/>
              </w:rPr>
              <w:t>2000≤Y＜10000</w:t>
            </w:r>
          </w:p>
        </w:tc>
        <w:tc>
          <w:tcPr>
            <w:tcW w:w="1570" w:type="dxa"/>
            <w:tcBorders>
              <w:top w:val="nil"/>
              <w:left w:val="nil"/>
              <w:bottom w:val="single" w:color="auto" w:sz="4" w:space="0"/>
              <w:right w:val="single" w:color="auto" w:sz="4" w:space="0"/>
            </w:tcBorders>
            <w:vAlign w:val="center"/>
          </w:tcPr>
          <w:p w14:paraId="54134C75">
            <w:pPr>
              <w:widowControl/>
              <w:jc w:val="left"/>
              <w:rPr>
                <w:rFonts w:ascii="Arial" w:hAnsi="Arial" w:cs="Arial"/>
                <w:color w:val="auto"/>
                <w:szCs w:val="21"/>
                <w:highlight w:val="none"/>
              </w:rPr>
            </w:pPr>
            <w:r>
              <w:rPr>
                <w:rFonts w:ascii="Arial" w:hAnsi="Arial" w:cs="Arial"/>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27865211">
            <w:pPr>
              <w:widowControl/>
              <w:jc w:val="left"/>
              <w:rPr>
                <w:rFonts w:ascii="Arial" w:hAnsi="Arial" w:cs="Arial"/>
                <w:color w:val="auto"/>
                <w:szCs w:val="21"/>
                <w:highlight w:val="none"/>
              </w:rPr>
            </w:pPr>
            <w:r>
              <w:rPr>
                <w:rFonts w:ascii="Arial" w:hAnsi="Arial" w:cs="Arial"/>
                <w:color w:val="auto"/>
                <w:szCs w:val="21"/>
                <w:highlight w:val="none"/>
              </w:rPr>
              <w:t>Y＜100</w:t>
            </w:r>
          </w:p>
        </w:tc>
      </w:tr>
      <w:tr w14:paraId="27DB86A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BA12E24">
            <w:pPr>
              <w:widowControl/>
              <w:jc w:val="center"/>
              <w:rPr>
                <w:rFonts w:ascii="Arial" w:hAnsi="Arial" w:cs="Arial"/>
                <w:color w:val="auto"/>
                <w:szCs w:val="21"/>
                <w:highlight w:val="none"/>
              </w:rPr>
            </w:pPr>
            <w:r>
              <w:rPr>
                <w:rFonts w:ascii="Arial" w:hAnsi="Arial" w:cs="Arial"/>
                <w:color w:val="auto"/>
                <w:szCs w:val="21"/>
                <w:highlight w:val="none"/>
              </w:rPr>
              <w:t>餐饮业</w:t>
            </w:r>
          </w:p>
        </w:tc>
        <w:tc>
          <w:tcPr>
            <w:tcW w:w="1701" w:type="dxa"/>
            <w:tcBorders>
              <w:top w:val="nil"/>
              <w:left w:val="nil"/>
              <w:bottom w:val="single" w:color="auto" w:sz="4" w:space="0"/>
              <w:right w:val="single" w:color="auto" w:sz="4" w:space="0"/>
            </w:tcBorders>
            <w:vAlign w:val="center"/>
          </w:tcPr>
          <w:p w14:paraId="74325A98">
            <w:pPr>
              <w:widowControl/>
              <w:jc w:val="left"/>
              <w:rPr>
                <w:rFonts w:ascii="Arial" w:hAnsi="Arial" w:cs="Arial"/>
                <w:color w:val="auto"/>
                <w:szCs w:val="21"/>
                <w:highlight w:val="none"/>
              </w:rPr>
            </w:pPr>
            <w:r>
              <w:rPr>
                <w:rFonts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33C2BACF">
            <w:pPr>
              <w:widowControl/>
              <w:jc w:val="left"/>
              <w:rPr>
                <w:rFonts w:ascii="Arial" w:hAnsi="Arial" w:cs="Arial"/>
                <w:color w:val="auto"/>
                <w:szCs w:val="21"/>
                <w:highlight w:val="none"/>
              </w:rPr>
            </w:pPr>
            <w:r>
              <w:rPr>
                <w:rFonts w:ascii="Arial" w:hAnsi="Arial" w:cs="Arial"/>
                <w:color w:val="auto"/>
                <w:szCs w:val="21"/>
                <w:highlight w:val="none"/>
              </w:rPr>
              <w:t>人</w:t>
            </w:r>
          </w:p>
        </w:tc>
        <w:tc>
          <w:tcPr>
            <w:tcW w:w="1846" w:type="dxa"/>
            <w:tcBorders>
              <w:top w:val="nil"/>
              <w:left w:val="nil"/>
              <w:bottom w:val="single" w:color="auto" w:sz="4" w:space="0"/>
              <w:right w:val="single" w:color="auto" w:sz="4" w:space="0"/>
            </w:tcBorders>
            <w:vAlign w:val="center"/>
          </w:tcPr>
          <w:p w14:paraId="0B685F4E">
            <w:pPr>
              <w:widowControl/>
              <w:jc w:val="left"/>
              <w:rPr>
                <w:rFonts w:ascii="Arial" w:hAnsi="Arial" w:cs="Arial"/>
                <w:color w:val="auto"/>
                <w:szCs w:val="21"/>
                <w:highlight w:val="none"/>
              </w:rPr>
            </w:pPr>
            <w:r>
              <w:rPr>
                <w:rFonts w:ascii="Arial" w:hAnsi="Arial" w:cs="Arial"/>
                <w:color w:val="auto"/>
                <w:szCs w:val="21"/>
                <w:highlight w:val="none"/>
              </w:rPr>
              <w:t>100≤X＜300</w:t>
            </w:r>
          </w:p>
        </w:tc>
        <w:tc>
          <w:tcPr>
            <w:tcW w:w="1570" w:type="dxa"/>
            <w:tcBorders>
              <w:top w:val="nil"/>
              <w:left w:val="nil"/>
              <w:bottom w:val="single" w:color="auto" w:sz="4" w:space="0"/>
              <w:right w:val="single" w:color="auto" w:sz="4" w:space="0"/>
            </w:tcBorders>
            <w:vAlign w:val="center"/>
          </w:tcPr>
          <w:p w14:paraId="1F6612ED">
            <w:pPr>
              <w:widowControl/>
              <w:jc w:val="left"/>
              <w:rPr>
                <w:rFonts w:ascii="Arial" w:hAnsi="Arial" w:cs="Arial"/>
                <w:color w:val="auto"/>
                <w:szCs w:val="21"/>
                <w:highlight w:val="none"/>
              </w:rPr>
            </w:pPr>
            <w:r>
              <w:rPr>
                <w:rFonts w:ascii="Arial" w:hAnsi="Arial" w:cs="Arial"/>
                <w:color w:val="auto"/>
                <w:szCs w:val="21"/>
                <w:highlight w:val="none"/>
              </w:rPr>
              <w:t>10≤X＜100</w:t>
            </w:r>
          </w:p>
        </w:tc>
        <w:tc>
          <w:tcPr>
            <w:tcW w:w="1009" w:type="dxa"/>
            <w:tcBorders>
              <w:top w:val="nil"/>
              <w:left w:val="nil"/>
              <w:bottom w:val="single" w:color="auto" w:sz="4" w:space="0"/>
              <w:right w:val="single" w:color="auto" w:sz="4" w:space="0"/>
            </w:tcBorders>
            <w:vAlign w:val="center"/>
          </w:tcPr>
          <w:p w14:paraId="4FA0EE0A">
            <w:pPr>
              <w:widowControl/>
              <w:jc w:val="left"/>
              <w:rPr>
                <w:rFonts w:ascii="Arial" w:hAnsi="Arial" w:cs="Arial"/>
                <w:color w:val="auto"/>
                <w:szCs w:val="21"/>
                <w:highlight w:val="none"/>
              </w:rPr>
            </w:pPr>
            <w:r>
              <w:rPr>
                <w:rFonts w:ascii="Arial" w:hAnsi="Arial" w:cs="Arial"/>
                <w:color w:val="auto"/>
                <w:szCs w:val="21"/>
                <w:highlight w:val="none"/>
              </w:rPr>
              <w:t>X＜10</w:t>
            </w:r>
          </w:p>
        </w:tc>
      </w:tr>
      <w:tr w14:paraId="1DF7E9B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4F83564">
            <w:pPr>
              <w:widowControl/>
              <w:jc w:val="left"/>
              <w:rPr>
                <w:rFonts w:ascii="Arial" w:hAnsi="Arial" w:cs="Arial"/>
                <w:color w:val="auto"/>
                <w:szCs w:val="21"/>
                <w:highlight w:val="none"/>
              </w:rPr>
            </w:pPr>
          </w:p>
        </w:tc>
        <w:tc>
          <w:tcPr>
            <w:tcW w:w="1701" w:type="dxa"/>
            <w:tcBorders>
              <w:top w:val="nil"/>
              <w:left w:val="nil"/>
              <w:bottom w:val="single" w:color="auto" w:sz="4" w:space="0"/>
              <w:right w:val="single" w:color="auto" w:sz="4" w:space="0"/>
            </w:tcBorders>
            <w:vAlign w:val="center"/>
          </w:tcPr>
          <w:p w14:paraId="589E3ADE">
            <w:pPr>
              <w:widowControl/>
              <w:jc w:val="left"/>
              <w:rPr>
                <w:rFonts w:ascii="Arial" w:hAnsi="Arial" w:cs="Arial"/>
                <w:color w:val="auto"/>
                <w:szCs w:val="21"/>
                <w:highlight w:val="none"/>
              </w:rPr>
            </w:pPr>
            <w:r>
              <w:rPr>
                <w:rFonts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40AFDF8">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078504BA">
            <w:pPr>
              <w:widowControl/>
              <w:jc w:val="left"/>
              <w:rPr>
                <w:rFonts w:ascii="Arial" w:hAnsi="Arial" w:cs="Arial"/>
                <w:color w:val="auto"/>
                <w:szCs w:val="21"/>
                <w:highlight w:val="none"/>
              </w:rPr>
            </w:pPr>
            <w:r>
              <w:rPr>
                <w:rFonts w:ascii="Arial" w:hAnsi="Arial" w:cs="Arial"/>
                <w:color w:val="auto"/>
                <w:szCs w:val="21"/>
                <w:highlight w:val="none"/>
              </w:rPr>
              <w:t>2000≤Y＜10000</w:t>
            </w:r>
          </w:p>
        </w:tc>
        <w:tc>
          <w:tcPr>
            <w:tcW w:w="1570" w:type="dxa"/>
            <w:tcBorders>
              <w:top w:val="nil"/>
              <w:left w:val="nil"/>
              <w:bottom w:val="single" w:color="auto" w:sz="4" w:space="0"/>
              <w:right w:val="single" w:color="auto" w:sz="4" w:space="0"/>
            </w:tcBorders>
            <w:vAlign w:val="center"/>
          </w:tcPr>
          <w:p w14:paraId="318A5A51">
            <w:pPr>
              <w:widowControl/>
              <w:jc w:val="left"/>
              <w:rPr>
                <w:rFonts w:ascii="Arial" w:hAnsi="Arial" w:cs="Arial"/>
                <w:color w:val="auto"/>
                <w:szCs w:val="21"/>
                <w:highlight w:val="none"/>
              </w:rPr>
            </w:pPr>
            <w:r>
              <w:rPr>
                <w:rFonts w:ascii="Arial" w:hAnsi="Arial" w:cs="Arial"/>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3C78D4EA">
            <w:pPr>
              <w:widowControl/>
              <w:jc w:val="left"/>
              <w:rPr>
                <w:rFonts w:ascii="Arial" w:hAnsi="Arial" w:cs="Arial"/>
                <w:color w:val="auto"/>
                <w:szCs w:val="21"/>
                <w:highlight w:val="none"/>
              </w:rPr>
            </w:pPr>
            <w:r>
              <w:rPr>
                <w:rFonts w:ascii="Arial" w:hAnsi="Arial" w:cs="Arial"/>
                <w:color w:val="auto"/>
                <w:szCs w:val="21"/>
                <w:highlight w:val="none"/>
              </w:rPr>
              <w:t>Y＜100</w:t>
            </w:r>
          </w:p>
        </w:tc>
      </w:tr>
      <w:tr w14:paraId="2C42C7F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02496F2">
            <w:pPr>
              <w:widowControl/>
              <w:jc w:val="center"/>
              <w:rPr>
                <w:rFonts w:ascii="Arial" w:hAnsi="Arial" w:cs="Arial"/>
                <w:color w:val="auto"/>
                <w:szCs w:val="21"/>
                <w:highlight w:val="none"/>
              </w:rPr>
            </w:pPr>
            <w:r>
              <w:rPr>
                <w:rFonts w:ascii="Arial" w:hAnsi="Arial" w:cs="Arial"/>
                <w:color w:val="auto"/>
                <w:szCs w:val="21"/>
                <w:highlight w:val="none"/>
              </w:rPr>
              <w:t>信息传输业</w:t>
            </w:r>
          </w:p>
        </w:tc>
        <w:tc>
          <w:tcPr>
            <w:tcW w:w="1701" w:type="dxa"/>
            <w:tcBorders>
              <w:top w:val="nil"/>
              <w:left w:val="nil"/>
              <w:bottom w:val="single" w:color="auto" w:sz="4" w:space="0"/>
              <w:right w:val="single" w:color="auto" w:sz="4" w:space="0"/>
            </w:tcBorders>
            <w:vAlign w:val="center"/>
          </w:tcPr>
          <w:p w14:paraId="64C3C59C">
            <w:pPr>
              <w:widowControl/>
              <w:jc w:val="left"/>
              <w:rPr>
                <w:rFonts w:ascii="Arial" w:hAnsi="Arial" w:cs="Arial"/>
                <w:color w:val="auto"/>
                <w:szCs w:val="21"/>
                <w:highlight w:val="none"/>
              </w:rPr>
            </w:pPr>
            <w:r>
              <w:rPr>
                <w:rFonts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53FBF173">
            <w:pPr>
              <w:widowControl/>
              <w:jc w:val="left"/>
              <w:rPr>
                <w:rFonts w:ascii="Arial" w:hAnsi="Arial" w:cs="Arial"/>
                <w:color w:val="auto"/>
                <w:szCs w:val="21"/>
                <w:highlight w:val="none"/>
              </w:rPr>
            </w:pPr>
            <w:r>
              <w:rPr>
                <w:rFonts w:ascii="Arial" w:hAnsi="Arial" w:cs="Arial"/>
                <w:color w:val="auto"/>
                <w:szCs w:val="21"/>
                <w:highlight w:val="none"/>
              </w:rPr>
              <w:t>人</w:t>
            </w:r>
          </w:p>
        </w:tc>
        <w:tc>
          <w:tcPr>
            <w:tcW w:w="1846" w:type="dxa"/>
            <w:tcBorders>
              <w:top w:val="nil"/>
              <w:left w:val="nil"/>
              <w:bottom w:val="single" w:color="auto" w:sz="4" w:space="0"/>
              <w:right w:val="single" w:color="auto" w:sz="4" w:space="0"/>
            </w:tcBorders>
            <w:vAlign w:val="center"/>
          </w:tcPr>
          <w:p w14:paraId="0EA2CF5A">
            <w:pPr>
              <w:widowControl/>
              <w:jc w:val="left"/>
              <w:rPr>
                <w:rFonts w:ascii="Arial" w:hAnsi="Arial" w:cs="Arial"/>
                <w:color w:val="auto"/>
                <w:szCs w:val="21"/>
                <w:highlight w:val="none"/>
              </w:rPr>
            </w:pPr>
            <w:r>
              <w:rPr>
                <w:rFonts w:ascii="Arial" w:hAnsi="Arial" w:cs="Arial"/>
                <w:color w:val="auto"/>
                <w:szCs w:val="21"/>
                <w:highlight w:val="none"/>
              </w:rPr>
              <w:t>100≤X＜2000</w:t>
            </w:r>
          </w:p>
        </w:tc>
        <w:tc>
          <w:tcPr>
            <w:tcW w:w="1570" w:type="dxa"/>
            <w:tcBorders>
              <w:top w:val="nil"/>
              <w:left w:val="nil"/>
              <w:bottom w:val="single" w:color="auto" w:sz="4" w:space="0"/>
              <w:right w:val="single" w:color="auto" w:sz="4" w:space="0"/>
            </w:tcBorders>
            <w:vAlign w:val="center"/>
          </w:tcPr>
          <w:p w14:paraId="3351EE94">
            <w:pPr>
              <w:widowControl/>
              <w:jc w:val="left"/>
              <w:rPr>
                <w:rFonts w:ascii="Arial" w:hAnsi="Arial" w:cs="Arial"/>
                <w:color w:val="auto"/>
                <w:szCs w:val="21"/>
                <w:highlight w:val="none"/>
              </w:rPr>
            </w:pPr>
            <w:r>
              <w:rPr>
                <w:rFonts w:ascii="Arial" w:hAnsi="Arial" w:cs="Arial"/>
                <w:color w:val="auto"/>
                <w:szCs w:val="21"/>
                <w:highlight w:val="none"/>
              </w:rPr>
              <w:t>10≤X＜100</w:t>
            </w:r>
          </w:p>
        </w:tc>
        <w:tc>
          <w:tcPr>
            <w:tcW w:w="1009" w:type="dxa"/>
            <w:tcBorders>
              <w:top w:val="nil"/>
              <w:left w:val="nil"/>
              <w:bottom w:val="single" w:color="auto" w:sz="4" w:space="0"/>
              <w:right w:val="single" w:color="auto" w:sz="4" w:space="0"/>
            </w:tcBorders>
            <w:vAlign w:val="center"/>
          </w:tcPr>
          <w:p w14:paraId="28477038">
            <w:pPr>
              <w:widowControl/>
              <w:jc w:val="left"/>
              <w:rPr>
                <w:rFonts w:ascii="Arial" w:hAnsi="Arial" w:cs="Arial"/>
                <w:color w:val="auto"/>
                <w:szCs w:val="21"/>
                <w:highlight w:val="none"/>
              </w:rPr>
            </w:pPr>
            <w:r>
              <w:rPr>
                <w:rFonts w:ascii="Arial" w:hAnsi="Arial" w:cs="Arial"/>
                <w:color w:val="auto"/>
                <w:szCs w:val="21"/>
                <w:highlight w:val="none"/>
              </w:rPr>
              <w:t>X＜10</w:t>
            </w:r>
          </w:p>
        </w:tc>
      </w:tr>
      <w:tr w14:paraId="5EAA15E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16609D6">
            <w:pPr>
              <w:widowControl/>
              <w:jc w:val="left"/>
              <w:rPr>
                <w:rFonts w:ascii="Arial" w:hAnsi="Arial" w:cs="Arial"/>
                <w:color w:val="auto"/>
                <w:szCs w:val="21"/>
                <w:highlight w:val="none"/>
              </w:rPr>
            </w:pPr>
          </w:p>
        </w:tc>
        <w:tc>
          <w:tcPr>
            <w:tcW w:w="1701" w:type="dxa"/>
            <w:tcBorders>
              <w:top w:val="nil"/>
              <w:left w:val="nil"/>
              <w:bottom w:val="single" w:color="auto" w:sz="4" w:space="0"/>
              <w:right w:val="single" w:color="auto" w:sz="4" w:space="0"/>
            </w:tcBorders>
            <w:vAlign w:val="center"/>
          </w:tcPr>
          <w:p w14:paraId="68D5608A">
            <w:pPr>
              <w:widowControl/>
              <w:jc w:val="left"/>
              <w:rPr>
                <w:rFonts w:ascii="Arial" w:hAnsi="Arial" w:cs="Arial"/>
                <w:color w:val="auto"/>
                <w:szCs w:val="21"/>
                <w:highlight w:val="none"/>
              </w:rPr>
            </w:pPr>
            <w:r>
              <w:rPr>
                <w:rFonts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70F922F1">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7F40E173">
            <w:pPr>
              <w:widowControl/>
              <w:jc w:val="left"/>
              <w:rPr>
                <w:rFonts w:ascii="Arial" w:hAnsi="Arial" w:cs="Arial"/>
                <w:color w:val="auto"/>
                <w:szCs w:val="21"/>
                <w:highlight w:val="none"/>
              </w:rPr>
            </w:pPr>
            <w:r>
              <w:rPr>
                <w:rFonts w:ascii="Arial" w:hAnsi="Arial" w:cs="Arial"/>
                <w:color w:val="auto"/>
                <w:szCs w:val="21"/>
                <w:highlight w:val="none"/>
              </w:rPr>
              <w:t>1000≤Y＜100000</w:t>
            </w:r>
          </w:p>
        </w:tc>
        <w:tc>
          <w:tcPr>
            <w:tcW w:w="1570" w:type="dxa"/>
            <w:tcBorders>
              <w:top w:val="nil"/>
              <w:left w:val="nil"/>
              <w:bottom w:val="single" w:color="auto" w:sz="4" w:space="0"/>
              <w:right w:val="single" w:color="auto" w:sz="4" w:space="0"/>
            </w:tcBorders>
            <w:vAlign w:val="center"/>
          </w:tcPr>
          <w:p w14:paraId="4E05D48F">
            <w:pPr>
              <w:widowControl/>
              <w:jc w:val="left"/>
              <w:rPr>
                <w:rFonts w:ascii="Arial" w:hAnsi="Arial" w:cs="Arial"/>
                <w:color w:val="auto"/>
                <w:szCs w:val="21"/>
                <w:highlight w:val="none"/>
              </w:rPr>
            </w:pPr>
            <w:r>
              <w:rPr>
                <w:rFonts w:ascii="Arial" w:hAnsi="Arial" w:cs="Arial"/>
                <w:color w:val="auto"/>
                <w:szCs w:val="21"/>
                <w:highlight w:val="none"/>
              </w:rPr>
              <w:t>100≤Y＜1000</w:t>
            </w:r>
          </w:p>
        </w:tc>
        <w:tc>
          <w:tcPr>
            <w:tcW w:w="1009" w:type="dxa"/>
            <w:tcBorders>
              <w:top w:val="nil"/>
              <w:left w:val="nil"/>
              <w:bottom w:val="single" w:color="auto" w:sz="4" w:space="0"/>
              <w:right w:val="single" w:color="auto" w:sz="4" w:space="0"/>
            </w:tcBorders>
            <w:vAlign w:val="center"/>
          </w:tcPr>
          <w:p w14:paraId="161611AA">
            <w:pPr>
              <w:widowControl/>
              <w:jc w:val="left"/>
              <w:rPr>
                <w:rFonts w:ascii="Arial" w:hAnsi="Arial" w:cs="Arial"/>
                <w:color w:val="auto"/>
                <w:szCs w:val="21"/>
                <w:highlight w:val="none"/>
              </w:rPr>
            </w:pPr>
            <w:r>
              <w:rPr>
                <w:rFonts w:ascii="Arial" w:hAnsi="Arial" w:cs="Arial"/>
                <w:color w:val="auto"/>
                <w:szCs w:val="21"/>
                <w:highlight w:val="none"/>
              </w:rPr>
              <w:t>Y＜100</w:t>
            </w:r>
          </w:p>
        </w:tc>
      </w:tr>
      <w:tr w14:paraId="33777BC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4D7B702">
            <w:pPr>
              <w:widowControl/>
              <w:jc w:val="center"/>
              <w:rPr>
                <w:rFonts w:ascii="Arial" w:hAnsi="Arial" w:cs="Arial"/>
                <w:color w:val="auto"/>
                <w:szCs w:val="21"/>
                <w:highlight w:val="none"/>
              </w:rPr>
            </w:pPr>
            <w:r>
              <w:rPr>
                <w:rFonts w:ascii="Arial" w:hAnsi="Arial" w:cs="Arial"/>
                <w:color w:val="auto"/>
                <w:szCs w:val="21"/>
                <w:highlight w:val="none"/>
              </w:rPr>
              <w:t>软件和信息技术服务业</w:t>
            </w:r>
          </w:p>
        </w:tc>
        <w:tc>
          <w:tcPr>
            <w:tcW w:w="1701" w:type="dxa"/>
            <w:tcBorders>
              <w:top w:val="nil"/>
              <w:left w:val="nil"/>
              <w:bottom w:val="single" w:color="auto" w:sz="4" w:space="0"/>
              <w:right w:val="single" w:color="auto" w:sz="4" w:space="0"/>
            </w:tcBorders>
            <w:vAlign w:val="center"/>
          </w:tcPr>
          <w:p w14:paraId="3DC2D7D7">
            <w:pPr>
              <w:widowControl/>
              <w:jc w:val="left"/>
              <w:rPr>
                <w:rFonts w:ascii="Arial" w:hAnsi="Arial" w:cs="Arial"/>
                <w:color w:val="auto"/>
                <w:szCs w:val="21"/>
                <w:highlight w:val="none"/>
              </w:rPr>
            </w:pPr>
            <w:r>
              <w:rPr>
                <w:rFonts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45BAB292">
            <w:pPr>
              <w:widowControl/>
              <w:jc w:val="left"/>
              <w:rPr>
                <w:rFonts w:ascii="Arial" w:hAnsi="Arial" w:cs="Arial"/>
                <w:color w:val="auto"/>
                <w:szCs w:val="21"/>
                <w:highlight w:val="none"/>
              </w:rPr>
            </w:pPr>
            <w:r>
              <w:rPr>
                <w:rFonts w:ascii="Arial" w:hAnsi="Arial" w:cs="Arial"/>
                <w:color w:val="auto"/>
                <w:szCs w:val="21"/>
                <w:highlight w:val="none"/>
              </w:rPr>
              <w:t>人</w:t>
            </w:r>
          </w:p>
        </w:tc>
        <w:tc>
          <w:tcPr>
            <w:tcW w:w="1846" w:type="dxa"/>
            <w:tcBorders>
              <w:top w:val="nil"/>
              <w:left w:val="nil"/>
              <w:bottom w:val="single" w:color="auto" w:sz="4" w:space="0"/>
              <w:right w:val="single" w:color="auto" w:sz="4" w:space="0"/>
            </w:tcBorders>
            <w:vAlign w:val="center"/>
          </w:tcPr>
          <w:p w14:paraId="670AB6C9">
            <w:pPr>
              <w:widowControl/>
              <w:jc w:val="left"/>
              <w:rPr>
                <w:rFonts w:ascii="Arial" w:hAnsi="Arial" w:cs="Arial"/>
                <w:color w:val="auto"/>
                <w:szCs w:val="21"/>
                <w:highlight w:val="none"/>
              </w:rPr>
            </w:pPr>
            <w:r>
              <w:rPr>
                <w:rFonts w:ascii="Arial" w:hAnsi="Arial" w:cs="Arial"/>
                <w:color w:val="auto"/>
                <w:szCs w:val="21"/>
                <w:highlight w:val="none"/>
              </w:rPr>
              <w:t>100≤X＜300</w:t>
            </w:r>
          </w:p>
        </w:tc>
        <w:tc>
          <w:tcPr>
            <w:tcW w:w="1570" w:type="dxa"/>
            <w:tcBorders>
              <w:top w:val="nil"/>
              <w:left w:val="nil"/>
              <w:bottom w:val="single" w:color="auto" w:sz="4" w:space="0"/>
              <w:right w:val="single" w:color="auto" w:sz="4" w:space="0"/>
            </w:tcBorders>
            <w:vAlign w:val="center"/>
          </w:tcPr>
          <w:p w14:paraId="35CA1976">
            <w:pPr>
              <w:widowControl/>
              <w:jc w:val="left"/>
              <w:rPr>
                <w:rFonts w:ascii="Arial" w:hAnsi="Arial" w:cs="Arial"/>
                <w:color w:val="auto"/>
                <w:szCs w:val="21"/>
                <w:highlight w:val="none"/>
              </w:rPr>
            </w:pPr>
            <w:r>
              <w:rPr>
                <w:rFonts w:ascii="Arial" w:hAnsi="Arial" w:cs="Arial"/>
                <w:color w:val="auto"/>
                <w:szCs w:val="21"/>
                <w:highlight w:val="none"/>
              </w:rPr>
              <w:t>10≤X＜100</w:t>
            </w:r>
          </w:p>
        </w:tc>
        <w:tc>
          <w:tcPr>
            <w:tcW w:w="1009" w:type="dxa"/>
            <w:tcBorders>
              <w:top w:val="nil"/>
              <w:left w:val="nil"/>
              <w:bottom w:val="single" w:color="auto" w:sz="4" w:space="0"/>
              <w:right w:val="single" w:color="auto" w:sz="4" w:space="0"/>
            </w:tcBorders>
            <w:vAlign w:val="center"/>
          </w:tcPr>
          <w:p w14:paraId="51AE2723">
            <w:pPr>
              <w:widowControl/>
              <w:jc w:val="left"/>
              <w:rPr>
                <w:rFonts w:ascii="Arial" w:hAnsi="Arial" w:cs="Arial"/>
                <w:color w:val="auto"/>
                <w:szCs w:val="21"/>
                <w:highlight w:val="none"/>
              </w:rPr>
            </w:pPr>
            <w:r>
              <w:rPr>
                <w:rFonts w:ascii="Arial" w:hAnsi="Arial" w:cs="Arial"/>
                <w:color w:val="auto"/>
                <w:szCs w:val="21"/>
                <w:highlight w:val="none"/>
              </w:rPr>
              <w:t>X＜10</w:t>
            </w:r>
          </w:p>
        </w:tc>
      </w:tr>
      <w:tr w14:paraId="4460790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9D81677">
            <w:pPr>
              <w:widowControl/>
              <w:jc w:val="left"/>
              <w:rPr>
                <w:rFonts w:ascii="Arial" w:hAnsi="Arial" w:cs="Arial"/>
                <w:color w:val="auto"/>
                <w:szCs w:val="21"/>
                <w:highlight w:val="none"/>
              </w:rPr>
            </w:pPr>
          </w:p>
        </w:tc>
        <w:tc>
          <w:tcPr>
            <w:tcW w:w="1701" w:type="dxa"/>
            <w:tcBorders>
              <w:top w:val="nil"/>
              <w:left w:val="nil"/>
              <w:bottom w:val="single" w:color="auto" w:sz="4" w:space="0"/>
              <w:right w:val="single" w:color="auto" w:sz="4" w:space="0"/>
            </w:tcBorders>
            <w:vAlign w:val="center"/>
          </w:tcPr>
          <w:p w14:paraId="05785201">
            <w:pPr>
              <w:widowControl/>
              <w:jc w:val="left"/>
              <w:rPr>
                <w:rFonts w:ascii="Arial" w:hAnsi="Arial" w:cs="Arial"/>
                <w:color w:val="auto"/>
                <w:szCs w:val="21"/>
                <w:highlight w:val="none"/>
              </w:rPr>
            </w:pPr>
            <w:r>
              <w:rPr>
                <w:rFonts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5AD3C932">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0A14958A">
            <w:pPr>
              <w:widowControl/>
              <w:jc w:val="left"/>
              <w:rPr>
                <w:rFonts w:ascii="Arial" w:hAnsi="Arial" w:cs="Arial"/>
                <w:color w:val="auto"/>
                <w:szCs w:val="21"/>
                <w:highlight w:val="none"/>
              </w:rPr>
            </w:pPr>
            <w:r>
              <w:rPr>
                <w:rFonts w:ascii="Arial" w:hAnsi="Arial" w:cs="Arial"/>
                <w:color w:val="auto"/>
                <w:szCs w:val="21"/>
                <w:highlight w:val="none"/>
              </w:rPr>
              <w:t>1000≤Y＜10000</w:t>
            </w:r>
          </w:p>
        </w:tc>
        <w:tc>
          <w:tcPr>
            <w:tcW w:w="1570" w:type="dxa"/>
            <w:tcBorders>
              <w:top w:val="nil"/>
              <w:left w:val="nil"/>
              <w:bottom w:val="single" w:color="auto" w:sz="4" w:space="0"/>
              <w:right w:val="single" w:color="auto" w:sz="4" w:space="0"/>
            </w:tcBorders>
            <w:vAlign w:val="center"/>
          </w:tcPr>
          <w:p w14:paraId="38753D65">
            <w:pPr>
              <w:widowControl/>
              <w:jc w:val="left"/>
              <w:rPr>
                <w:rFonts w:ascii="Arial" w:hAnsi="Arial" w:cs="Arial"/>
                <w:color w:val="auto"/>
                <w:szCs w:val="21"/>
                <w:highlight w:val="none"/>
              </w:rPr>
            </w:pPr>
            <w:r>
              <w:rPr>
                <w:rFonts w:ascii="Arial" w:hAnsi="Arial" w:cs="Arial"/>
                <w:color w:val="auto"/>
                <w:szCs w:val="21"/>
                <w:highlight w:val="none"/>
              </w:rPr>
              <w:t>50≤Y＜1000</w:t>
            </w:r>
          </w:p>
        </w:tc>
        <w:tc>
          <w:tcPr>
            <w:tcW w:w="1009" w:type="dxa"/>
            <w:tcBorders>
              <w:top w:val="nil"/>
              <w:left w:val="nil"/>
              <w:bottom w:val="single" w:color="auto" w:sz="4" w:space="0"/>
              <w:right w:val="single" w:color="auto" w:sz="4" w:space="0"/>
            </w:tcBorders>
            <w:vAlign w:val="center"/>
          </w:tcPr>
          <w:p w14:paraId="66DE8AD9">
            <w:pPr>
              <w:widowControl/>
              <w:jc w:val="left"/>
              <w:rPr>
                <w:rFonts w:ascii="Arial" w:hAnsi="Arial" w:cs="Arial"/>
                <w:color w:val="auto"/>
                <w:szCs w:val="21"/>
                <w:highlight w:val="none"/>
              </w:rPr>
            </w:pPr>
            <w:r>
              <w:rPr>
                <w:rFonts w:ascii="Arial" w:hAnsi="Arial" w:cs="Arial"/>
                <w:color w:val="auto"/>
                <w:szCs w:val="21"/>
                <w:highlight w:val="none"/>
              </w:rPr>
              <w:t>Y＜50</w:t>
            </w:r>
          </w:p>
        </w:tc>
      </w:tr>
      <w:tr w14:paraId="03F8AB9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17D325A">
            <w:pPr>
              <w:widowControl/>
              <w:jc w:val="center"/>
              <w:rPr>
                <w:rFonts w:ascii="Arial" w:hAnsi="Arial" w:cs="Arial"/>
                <w:color w:val="auto"/>
                <w:szCs w:val="21"/>
                <w:highlight w:val="none"/>
              </w:rPr>
            </w:pPr>
            <w:r>
              <w:rPr>
                <w:rFonts w:ascii="Arial" w:hAnsi="Arial" w:cs="Arial"/>
                <w:color w:val="auto"/>
                <w:szCs w:val="21"/>
                <w:highlight w:val="none"/>
              </w:rPr>
              <w:t>房地产开发经营</w:t>
            </w:r>
          </w:p>
        </w:tc>
        <w:tc>
          <w:tcPr>
            <w:tcW w:w="1701" w:type="dxa"/>
            <w:tcBorders>
              <w:top w:val="nil"/>
              <w:left w:val="nil"/>
              <w:bottom w:val="single" w:color="auto" w:sz="4" w:space="0"/>
              <w:right w:val="single" w:color="auto" w:sz="4" w:space="0"/>
            </w:tcBorders>
            <w:vAlign w:val="center"/>
          </w:tcPr>
          <w:p w14:paraId="510340D2">
            <w:pPr>
              <w:widowControl/>
              <w:jc w:val="left"/>
              <w:rPr>
                <w:rFonts w:ascii="Arial" w:hAnsi="Arial" w:cs="Arial"/>
                <w:color w:val="auto"/>
                <w:szCs w:val="21"/>
                <w:highlight w:val="none"/>
              </w:rPr>
            </w:pPr>
            <w:r>
              <w:rPr>
                <w:rFonts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61472DF3">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0C13F1B5">
            <w:pPr>
              <w:widowControl/>
              <w:jc w:val="left"/>
              <w:rPr>
                <w:rFonts w:ascii="Arial" w:hAnsi="Arial" w:cs="Arial"/>
                <w:color w:val="auto"/>
                <w:szCs w:val="21"/>
                <w:highlight w:val="none"/>
              </w:rPr>
            </w:pPr>
            <w:r>
              <w:rPr>
                <w:rFonts w:ascii="Arial" w:hAnsi="Arial" w:cs="Arial"/>
                <w:color w:val="auto"/>
                <w:szCs w:val="21"/>
                <w:highlight w:val="none"/>
              </w:rPr>
              <w:t>1000≤Y＜200000</w:t>
            </w:r>
          </w:p>
        </w:tc>
        <w:tc>
          <w:tcPr>
            <w:tcW w:w="1570" w:type="dxa"/>
            <w:tcBorders>
              <w:top w:val="nil"/>
              <w:left w:val="nil"/>
              <w:bottom w:val="single" w:color="auto" w:sz="4" w:space="0"/>
              <w:right w:val="single" w:color="auto" w:sz="4" w:space="0"/>
            </w:tcBorders>
            <w:vAlign w:val="center"/>
          </w:tcPr>
          <w:p w14:paraId="7A97430D">
            <w:pPr>
              <w:widowControl/>
              <w:jc w:val="left"/>
              <w:rPr>
                <w:rFonts w:ascii="Arial" w:hAnsi="Arial" w:cs="Arial"/>
                <w:color w:val="auto"/>
                <w:szCs w:val="21"/>
                <w:highlight w:val="none"/>
              </w:rPr>
            </w:pPr>
            <w:r>
              <w:rPr>
                <w:rFonts w:ascii="Arial" w:hAnsi="Arial" w:cs="Arial"/>
                <w:color w:val="auto"/>
                <w:szCs w:val="21"/>
                <w:highlight w:val="none"/>
              </w:rPr>
              <w:t>100≤X＜1000</w:t>
            </w:r>
          </w:p>
        </w:tc>
        <w:tc>
          <w:tcPr>
            <w:tcW w:w="1009" w:type="dxa"/>
            <w:tcBorders>
              <w:top w:val="nil"/>
              <w:left w:val="nil"/>
              <w:bottom w:val="single" w:color="auto" w:sz="4" w:space="0"/>
              <w:right w:val="single" w:color="auto" w:sz="4" w:space="0"/>
            </w:tcBorders>
            <w:vAlign w:val="center"/>
          </w:tcPr>
          <w:p w14:paraId="20EF7EE4">
            <w:pPr>
              <w:widowControl/>
              <w:jc w:val="left"/>
              <w:rPr>
                <w:rFonts w:ascii="Arial" w:hAnsi="Arial" w:cs="Arial"/>
                <w:color w:val="auto"/>
                <w:szCs w:val="21"/>
                <w:highlight w:val="none"/>
              </w:rPr>
            </w:pPr>
            <w:r>
              <w:rPr>
                <w:rFonts w:ascii="Arial" w:hAnsi="Arial" w:cs="Arial"/>
                <w:color w:val="auto"/>
                <w:szCs w:val="21"/>
                <w:highlight w:val="none"/>
              </w:rPr>
              <w:t>X＜100</w:t>
            </w:r>
          </w:p>
        </w:tc>
      </w:tr>
      <w:tr w14:paraId="08CC55B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CD56A29">
            <w:pPr>
              <w:widowControl/>
              <w:jc w:val="left"/>
              <w:rPr>
                <w:rFonts w:ascii="Arial" w:hAnsi="Arial" w:cs="Arial"/>
                <w:color w:val="auto"/>
                <w:szCs w:val="21"/>
                <w:highlight w:val="none"/>
              </w:rPr>
            </w:pPr>
          </w:p>
        </w:tc>
        <w:tc>
          <w:tcPr>
            <w:tcW w:w="1701" w:type="dxa"/>
            <w:tcBorders>
              <w:top w:val="nil"/>
              <w:left w:val="nil"/>
              <w:bottom w:val="single" w:color="auto" w:sz="4" w:space="0"/>
              <w:right w:val="single" w:color="auto" w:sz="4" w:space="0"/>
            </w:tcBorders>
            <w:vAlign w:val="center"/>
          </w:tcPr>
          <w:p w14:paraId="7013DDF3">
            <w:pPr>
              <w:widowControl/>
              <w:jc w:val="left"/>
              <w:rPr>
                <w:rFonts w:ascii="Arial" w:hAnsi="Arial" w:cs="Arial"/>
                <w:color w:val="auto"/>
                <w:szCs w:val="21"/>
                <w:highlight w:val="none"/>
              </w:rPr>
            </w:pPr>
            <w:r>
              <w:rPr>
                <w:rFonts w:ascii="Arial" w:hAnsi="Arial" w:cs="Arial"/>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051EE2BA">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366E21A9">
            <w:pPr>
              <w:widowControl/>
              <w:jc w:val="left"/>
              <w:rPr>
                <w:rFonts w:ascii="Arial" w:hAnsi="Arial" w:cs="Arial"/>
                <w:color w:val="auto"/>
                <w:szCs w:val="21"/>
                <w:highlight w:val="none"/>
              </w:rPr>
            </w:pPr>
            <w:r>
              <w:rPr>
                <w:rFonts w:ascii="Arial" w:hAnsi="Arial" w:cs="Arial"/>
                <w:color w:val="auto"/>
                <w:szCs w:val="21"/>
                <w:highlight w:val="none"/>
              </w:rPr>
              <w:t>5000≤Z＜10000</w:t>
            </w:r>
          </w:p>
        </w:tc>
        <w:tc>
          <w:tcPr>
            <w:tcW w:w="1570" w:type="dxa"/>
            <w:tcBorders>
              <w:top w:val="nil"/>
              <w:left w:val="nil"/>
              <w:bottom w:val="single" w:color="auto" w:sz="4" w:space="0"/>
              <w:right w:val="single" w:color="auto" w:sz="4" w:space="0"/>
            </w:tcBorders>
            <w:vAlign w:val="center"/>
          </w:tcPr>
          <w:p w14:paraId="216DE01B">
            <w:pPr>
              <w:widowControl/>
              <w:jc w:val="left"/>
              <w:rPr>
                <w:rFonts w:ascii="Arial" w:hAnsi="Arial" w:cs="Arial"/>
                <w:color w:val="auto"/>
                <w:szCs w:val="21"/>
                <w:highlight w:val="none"/>
              </w:rPr>
            </w:pPr>
            <w:r>
              <w:rPr>
                <w:rFonts w:ascii="Arial" w:hAnsi="Arial" w:cs="Arial"/>
                <w:color w:val="auto"/>
                <w:szCs w:val="21"/>
                <w:highlight w:val="none"/>
              </w:rPr>
              <w:t>2000≤Y＜5000</w:t>
            </w:r>
          </w:p>
        </w:tc>
        <w:tc>
          <w:tcPr>
            <w:tcW w:w="1009" w:type="dxa"/>
            <w:tcBorders>
              <w:top w:val="nil"/>
              <w:left w:val="nil"/>
              <w:bottom w:val="single" w:color="auto" w:sz="4" w:space="0"/>
              <w:right w:val="single" w:color="auto" w:sz="4" w:space="0"/>
            </w:tcBorders>
            <w:vAlign w:val="center"/>
          </w:tcPr>
          <w:p w14:paraId="2D7C9FDF">
            <w:pPr>
              <w:widowControl/>
              <w:jc w:val="left"/>
              <w:rPr>
                <w:rFonts w:ascii="Arial" w:hAnsi="Arial" w:cs="Arial"/>
                <w:color w:val="auto"/>
                <w:szCs w:val="21"/>
                <w:highlight w:val="none"/>
              </w:rPr>
            </w:pPr>
            <w:r>
              <w:rPr>
                <w:rFonts w:ascii="Arial" w:hAnsi="Arial" w:cs="Arial"/>
                <w:color w:val="auto"/>
                <w:szCs w:val="21"/>
                <w:highlight w:val="none"/>
              </w:rPr>
              <w:t>Y＜2000</w:t>
            </w:r>
          </w:p>
        </w:tc>
      </w:tr>
      <w:tr w14:paraId="7163751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3BBFAC9">
            <w:pPr>
              <w:widowControl/>
              <w:jc w:val="center"/>
              <w:rPr>
                <w:rFonts w:ascii="Arial" w:hAnsi="Arial" w:cs="Arial"/>
                <w:color w:val="auto"/>
                <w:szCs w:val="21"/>
                <w:highlight w:val="none"/>
              </w:rPr>
            </w:pPr>
            <w:r>
              <w:rPr>
                <w:rFonts w:ascii="Arial" w:hAnsi="Arial" w:cs="Arial"/>
                <w:color w:val="auto"/>
                <w:szCs w:val="21"/>
                <w:highlight w:val="none"/>
              </w:rPr>
              <w:t>物业管理</w:t>
            </w:r>
          </w:p>
        </w:tc>
        <w:tc>
          <w:tcPr>
            <w:tcW w:w="1701" w:type="dxa"/>
            <w:tcBorders>
              <w:top w:val="nil"/>
              <w:left w:val="nil"/>
              <w:bottom w:val="single" w:color="auto" w:sz="4" w:space="0"/>
              <w:right w:val="single" w:color="auto" w:sz="4" w:space="0"/>
            </w:tcBorders>
            <w:vAlign w:val="center"/>
          </w:tcPr>
          <w:p w14:paraId="2AD0E6E7">
            <w:pPr>
              <w:widowControl/>
              <w:jc w:val="left"/>
              <w:rPr>
                <w:rFonts w:ascii="Arial" w:hAnsi="Arial" w:cs="Arial"/>
                <w:color w:val="auto"/>
                <w:szCs w:val="21"/>
                <w:highlight w:val="none"/>
              </w:rPr>
            </w:pPr>
            <w:r>
              <w:rPr>
                <w:rFonts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51492DD8">
            <w:pPr>
              <w:widowControl/>
              <w:jc w:val="left"/>
              <w:rPr>
                <w:rFonts w:ascii="Arial" w:hAnsi="Arial" w:cs="Arial"/>
                <w:color w:val="auto"/>
                <w:szCs w:val="21"/>
                <w:highlight w:val="none"/>
              </w:rPr>
            </w:pPr>
            <w:r>
              <w:rPr>
                <w:rFonts w:ascii="Arial" w:hAnsi="Arial" w:cs="Arial"/>
                <w:color w:val="auto"/>
                <w:szCs w:val="21"/>
                <w:highlight w:val="none"/>
              </w:rPr>
              <w:t>人</w:t>
            </w:r>
          </w:p>
        </w:tc>
        <w:tc>
          <w:tcPr>
            <w:tcW w:w="1846" w:type="dxa"/>
            <w:tcBorders>
              <w:top w:val="nil"/>
              <w:left w:val="nil"/>
              <w:bottom w:val="single" w:color="auto" w:sz="4" w:space="0"/>
              <w:right w:val="single" w:color="auto" w:sz="4" w:space="0"/>
            </w:tcBorders>
            <w:vAlign w:val="center"/>
          </w:tcPr>
          <w:p w14:paraId="095ACFFF">
            <w:pPr>
              <w:widowControl/>
              <w:jc w:val="left"/>
              <w:rPr>
                <w:rFonts w:ascii="Arial" w:hAnsi="Arial" w:cs="Arial"/>
                <w:color w:val="auto"/>
                <w:szCs w:val="21"/>
                <w:highlight w:val="none"/>
              </w:rPr>
            </w:pPr>
            <w:r>
              <w:rPr>
                <w:rFonts w:ascii="Arial" w:hAnsi="Arial" w:cs="Arial"/>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0BD43AE3">
            <w:pPr>
              <w:widowControl/>
              <w:jc w:val="left"/>
              <w:rPr>
                <w:rFonts w:ascii="Arial" w:hAnsi="Arial" w:cs="Arial"/>
                <w:color w:val="auto"/>
                <w:szCs w:val="21"/>
                <w:highlight w:val="none"/>
              </w:rPr>
            </w:pPr>
            <w:r>
              <w:rPr>
                <w:rFonts w:ascii="Arial" w:hAnsi="Arial" w:cs="Arial"/>
                <w:color w:val="auto"/>
                <w:szCs w:val="21"/>
                <w:highlight w:val="none"/>
              </w:rPr>
              <w:t>100≤X＜300</w:t>
            </w:r>
          </w:p>
        </w:tc>
        <w:tc>
          <w:tcPr>
            <w:tcW w:w="1009" w:type="dxa"/>
            <w:tcBorders>
              <w:top w:val="nil"/>
              <w:left w:val="nil"/>
              <w:bottom w:val="single" w:color="auto" w:sz="4" w:space="0"/>
              <w:right w:val="single" w:color="auto" w:sz="4" w:space="0"/>
            </w:tcBorders>
            <w:vAlign w:val="center"/>
          </w:tcPr>
          <w:p w14:paraId="6B739B60">
            <w:pPr>
              <w:widowControl/>
              <w:jc w:val="left"/>
              <w:rPr>
                <w:rFonts w:ascii="Arial" w:hAnsi="Arial" w:cs="Arial"/>
                <w:color w:val="auto"/>
                <w:szCs w:val="21"/>
                <w:highlight w:val="none"/>
              </w:rPr>
            </w:pPr>
            <w:r>
              <w:rPr>
                <w:rFonts w:ascii="Arial" w:hAnsi="Arial" w:cs="Arial"/>
                <w:color w:val="auto"/>
                <w:szCs w:val="21"/>
                <w:highlight w:val="none"/>
              </w:rPr>
              <w:t>X＜100</w:t>
            </w:r>
          </w:p>
        </w:tc>
      </w:tr>
      <w:tr w14:paraId="6D37470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98287B1">
            <w:pPr>
              <w:widowControl/>
              <w:jc w:val="left"/>
              <w:rPr>
                <w:rFonts w:ascii="Arial" w:hAnsi="Arial" w:cs="Arial"/>
                <w:color w:val="auto"/>
                <w:szCs w:val="21"/>
                <w:highlight w:val="none"/>
              </w:rPr>
            </w:pPr>
          </w:p>
        </w:tc>
        <w:tc>
          <w:tcPr>
            <w:tcW w:w="1701" w:type="dxa"/>
            <w:tcBorders>
              <w:top w:val="nil"/>
              <w:left w:val="nil"/>
              <w:bottom w:val="single" w:color="auto" w:sz="4" w:space="0"/>
              <w:right w:val="single" w:color="auto" w:sz="4" w:space="0"/>
            </w:tcBorders>
            <w:vAlign w:val="center"/>
          </w:tcPr>
          <w:p w14:paraId="3804E89F">
            <w:pPr>
              <w:widowControl/>
              <w:jc w:val="left"/>
              <w:rPr>
                <w:rFonts w:ascii="Arial" w:hAnsi="Arial" w:cs="Arial"/>
                <w:color w:val="auto"/>
                <w:szCs w:val="21"/>
                <w:highlight w:val="none"/>
              </w:rPr>
            </w:pPr>
            <w:r>
              <w:rPr>
                <w:rFonts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33876A02">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70F17749">
            <w:pPr>
              <w:widowControl/>
              <w:jc w:val="left"/>
              <w:rPr>
                <w:rFonts w:ascii="Arial" w:hAnsi="Arial" w:cs="Arial"/>
                <w:color w:val="auto"/>
                <w:szCs w:val="21"/>
                <w:highlight w:val="none"/>
              </w:rPr>
            </w:pPr>
            <w:r>
              <w:rPr>
                <w:rFonts w:ascii="Arial" w:hAnsi="Arial" w:cs="Arial"/>
                <w:color w:val="auto"/>
                <w:szCs w:val="21"/>
                <w:highlight w:val="none"/>
              </w:rPr>
              <w:t>1000≤Y＜5000</w:t>
            </w:r>
          </w:p>
        </w:tc>
        <w:tc>
          <w:tcPr>
            <w:tcW w:w="1570" w:type="dxa"/>
            <w:tcBorders>
              <w:top w:val="nil"/>
              <w:left w:val="nil"/>
              <w:bottom w:val="single" w:color="auto" w:sz="4" w:space="0"/>
              <w:right w:val="single" w:color="auto" w:sz="4" w:space="0"/>
            </w:tcBorders>
            <w:vAlign w:val="center"/>
          </w:tcPr>
          <w:p w14:paraId="44FABD84">
            <w:pPr>
              <w:widowControl/>
              <w:jc w:val="left"/>
              <w:rPr>
                <w:rFonts w:ascii="Arial" w:hAnsi="Arial" w:cs="Arial"/>
                <w:color w:val="auto"/>
                <w:szCs w:val="21"/>
                <w:highlight w:val="none"/>
              </w:rPr>
            </w:pPr>
            <w:r>
              <w:rPr>
                <w:rFonts w:ascii="Arial" w:hAnsi="Arial" w:cs="Arial"/>
                <w:color w:val="auto"/>
                <w:szCs w:val="21"/>
                <w:highlight w:val="none"/>
              </w:rPr>
              <w:t>500≤Y＜1000</w:t>
            </w:r>
          </w:p>
        </w:tc>
        <w:tc>
          <w:tcPr>
            <w:tcW w:w="1009" w:type="dxa"/>
            <w:tcBorders>
              <w:top w:val="nil"/>
              <w:left w:val="nil"/>
              <w:bottom w:val="single" w:color="auto" w:sz="4" w:space="0"/>
              <w:right w:val="single" w:color="auto" w:sz="4" w:space="0"/>
            </w:tcBorders>
            <w:vAlign w:val="center"/>
          </w:tcPr>
          <w:p w14:paraId="551C7659">
            <w:pPr>
              <w:widowControl/>
              <w:jc w:val="left"/>
              <w:rPr>
                <w:rFonts w:ascii="Arial" w:hAnsi="Arial" w:cs="Arial"/>
                <w:color w:val="auto"/>
                <w:szCs w:val="21"/>
                <w:highlight w:val="none"/>
              </w:rPr>
            </w:pPr>
            <w:r>
              <w:rPr>
                <w:rFonts w:ascii="Arial" w:hAnsi="Arial" w:cs="Arial"/>
                <w:color w:val="auto"/>
                <w:szCs w:val="21"/>
                <w:highlight w:val="none"/>
              </w:rPr>
              <w:t>Y＜500</w:t>
            </w:r>
          </w:p>
        </w:tc>
      </w:tr>
      <w:tr w14:paraId="1327CC1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0E1030E3">
            <w:pPr>
              <w:widowControl/>
              <w:jc w:val="center"/>
              <w:rPr>
                <w:rFonts w:ascii="Arial" w:hAnsi="Arial" w:cs="Arial"/>
                <w:color w:val="auto"/>
                <w:szCs w:val="21"/>
                <w:highlight w:val="none"/>
              </w:rPr>
            </w:pPr>
            <w:r>
              <w:rPr>
                <w:rFonts w:ascii="Arial" w:hAnsi="Arial" w:cs="Arial"/>
                <w:color w:val="auto"/>
                <w:szCs w:val="21"/>
                <w:highlight w:val="none"/>
              </w:rPr>
              <w:t>租赁和商务服务业</w:t>
            </w:r>
          </w:p>
        </w:tc>
        <w:tc>
          <w:tcPr>
            <w:tcW w:w="1701" w:type="dxa"/>
            <w:tcBorders>
              <w:top w:val="nil"/>
              <w:left w:val="nil"/>
              <w:bottom w:val="single" w:color="auto" w:sz="4" w:space="0"/>
              <w:right w:val="single" w:color="auto" w:sz="4" w:space="0"/>
            </w:tcBorders>
            <w:vAlign w:val="center"/>
          </w:tcPr>
          <w:p w14:paraId="6BDC080A">
            <w:pPr>
              <w:widowControl/>
              <w:jc w:val="left"/>
              <w:rPr>
                <w:rFonts w:ascii="Arial" w:hAnsi="Arial" w:cs="Arial"/>
                <w:color w:val="auto"/>
                <w:szCs w:val="21"/>
                <w:highlight w:val="none"/>
              </w:rPr>
            </w:pPr>
            <w:r>
              <w:rPr>
                <w:rFonts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1F6D8526">
            <w:pPr>
              <w:widowControl/>
              <w:jc w:val="left"/>
              <w:rPr>
                <w:rFonts w:ascii="Arial" w:hAnsi="Arial" w:cs="Arial"/>
                <w:color w:val="auto"/>
                <w:szCs w:val="21"/>
                <w:highlight w:val="none"/>
              </w:rPr>
            </w:pPr>
            <w:r>
              <w:rPr>
                <w:rFonts w:ascii="Arial" w:hAnsi="Arial" w:cs="Arial"/>
                <w:color w:val="auto"/>
                <w:szCs w:val="21"/>
                <w:highlight w:val="none"/>
              </w:rPr>
              <w:t>人</w:t>
            </w:r>
          </w:p>
        </w:tc>
        <w:tc>
          <w:tcPr>
            <w:tcW w:w="1846" w:type="dxa"/>
            <w:tcBorders>
              <w:top w:val="nil"/>
              <w:left w:val="nil"/>
              <w:bottom w:val="single" w:color="auto" w:sz="4" w:space="0"/>
              <w:right w:val="single" w:color="auto" w:sz="4" w:space="0"/>
            </w:tcBorders>
            <w:vAlign w:val="center"/>
          </w:tcPr>
          <w:p w14:paraId="783D2918">
            <w:pPr>
              <w:widowControl/>
              <w:jc w:val="left"/>
              <w:rPr>
                <w:rFonts w:ascii="Arial" w:hAnsi="Arial" w:cs="Arial"/>
                <w:color w:val="auto"/>
                <w:szCs w:val="21"/>
                <w:highlight w:val="none"/>
              </w:rPr>
            </w:pPr>
            <w:r>
              <w:rPr>
                <w:rFonts w:ascii="Arial" w:hAnsi="Arial" w:cs="Arial"/>
                <w:color w:val="auto"/>
                <w:szCs w:val="21"/>
                <w:highlight w:val="none"/>
              </w:rPr>
              <w:t>100≤X＜300</w:t>
            </w:r>
          </w:p>
        </w:tc>
        <w:tc>
          <w:tcPr>
            <w:tcW w:w="1570" w:type="dxa"/>
            <w:tcBorders>
              <w:top w:val="nil"/>
              <w:left w:val="nil"/>
              <w:bottom w:val="single" w:color="auto" w:sz="4" w:space="0"/>
              <w:right w:val="single" w:color="auto" w:sz="4" w:space="0"/>
            </w:tcBorders>
            <w:vAlign w:val="center"/>
          </w:tcPr>
          <w:p w14:paraId="3E30E6D1">
            <w:pPr>
              <w:widowControl/>
              <w:jc w:val="left"/>
              <w:rPr>
                <w:rFonts w:ascii="Arial" w:hAnsi="Arial" w:cs="Arial"/>
                <w:color w:val="auto"/>
                <w:szCs w:val="21"/>
                <w:highlight w:val="none"/>
              </w:rPr>
            </w:pPr>
            <w:r>
              <w:rPr>
                <w:rFonts w:ascii="Arial" w:hAnsi="Arial" w:cs="Arial"/>
                <w:color w:val="auto"/>
                <w:szCs w:val="21"/>
                <w:highlight w:val="none"/>
              </w:rPr>
              <w:t>10≤X＜100</w:t>
            </w:r>
          </w:p>
        </w:tc>
        <w:tc>
          <w:tcPr>
            <w:tcW w:w="1009" w:type="dxa"/>
            <w:tcBorders>
              <w:top w:val="nil"/>
              <w:left w:val="nil"/>
              <w:bottom w:val="single" w:color="auto" w:sz="4" w:space="0"/>
              <w:right w:val="single" w:color="auto" w:sz="4" w:space="0"/>
            </w:tcBorders>
            <w:vAlign w:val="center"/>
          </w:tcPr>
          <w:p w14:paraId="1F5308F2">
            <w:pPr>
              <w:widowControl/>
              <w:jc w:val="left"/>
              <w:rPr>
                <w:rFonts w:ascii="Arial" w:hAnsi="Arial" w:cs="Arial"/>
                <w:color w:val="auto"/>
                <w:szCs w:val="21"/>
                <w:highlight w:val="none"/>
              </w:rPr>
            </w:pPr>
            <w:r>
              <w:rPr>
                <w:rFonts w:ascii="Arial" w:hAnsi="Arial" w:cs="Arial"/>
                <w:color w:val="auto"/>
                <w:szCs w:val="21"/>
                <w:highlight w:val="none"/>
              </w:rPr>
              <w:t>X＜10</w:t>
            </w:r>
          </w:p>
        </w:tc>
      </w:tr>
      <w:tr w14:paraId="00D51D7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3DC34D9">
            <w:pPr>
              <w:widowControl/>
              <w:jc w:val="left"/>
              <w:rPr>
                <w:rFonts w:ascii="Arial" w:hAnsi="Arial" w:cs="Arial"/>
                <w:color w:val="auto"/>
                <w:szCs w:val="21"/>
                <w:highlight w:val="none"/>
              </w:rPr>
            </w:pPr>
          </w:p>
        </w:tc>
        <w:tc>
          <w:tcPr>
            <w:tcW w:w="1701" w:type="dxa"/>
            <w:tcBorders>
              <w:top w:val="nil"/>
              <w:left w:val="nil"/>
              <w:bottom w:val="single" w:color="auto" w:sz="4" w:space="0"/>
              <w:right w:val="single" w:color="auto" w:sz="4" w:space="0"/>
            </w:tcBorders>
            <w:vAlign w:val="center"/>
          </w:tcPr>
          <w:p w14:paraId="669E7D8D">
            <w:pPr>
              <w:widowControl/>
              <w:jc w:val="left"/>
              <w:rPr>
                <w:rFonts w:ascii="Arial" w:hAnsi="Arial" w:cs="Arial"/>
                <w:color w:val="auto"/>
                <w:szCs w:val="21"/>
                <w:highlight w:val="none"/>
              </w:rPr>
            </w:pPr>
            <w:r>
              <w:rPr>
                <w:rFonts w:ascii="Arial" w:hAnsi="Arial" w:cs="Arial"/>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2D16A28B">
            <w:pPr>
              <w:widowControl/>
              <w:jc w:val="left"/>
              <w:rPr>
                <w:rFonts w:ascii="Arial" w:hAnsi="Arial" w:cs="Arial"/>
                <w:color w:val="auto"/>
                <w:szCs w:val="21"/>
                <w:highlight w:val="none"/>
              </w:rPr>
            </w:pPr>
            <w:r>
              <w:rPr>
                <w:rFonts w:ascii="Arial" w:hAnsi="Arial" w:cs="Arial"/>
                <w:color w:val="auto"/>
                <w:szCs w:val="21"/>
                <w:highlight w:val="none"/>
              </w:rPr>
              <w:t>万元</w:t>
            </w:r>
          </w:p>
        </w:tc>
        <w:tc>
          <w:tcPr>
            <w:tcW w:w="1846" w:type="dxa"/>
            <w:tcBorders>
              <w:top w:val="nil"/>
              <w:left w:val="nil"/>
              <w:bottom w:val="single" w:color="auto" w:sz="4" w:space="0"/>
              <w:right w:val="single" w:color="auto" w:sz="4" w:space="0"/>
            </w:tcBorders>
            <w:vAlign w:val="center"/>
          </w:tcPr>
          <w:p w14:paraId="56E1805E">
            <w:pPr>
              <w:widowControl/>
              <w:jc w:val="left"/>
              <w:rPr>
                <w:rFonts w:ascii="Arial" w:hAnsi="Arial" w:cs="Arial"/>
                <w:color w:val="auto"/>
                <w:szCs w:val="21"/>
                <w:highlight w:val="none"/>
              </w:rPr>
            </w:pPr>
            <w:r>
              <w:rPr>
                <w:rFonts w:ascii="Arial" w:hAnsi="Arial" w:cs="Arial"/>
                <w:color w:val="auto"/>
                <w:szCs w:val="21"/>
                <w:highlight w:val="none"/>
              </w:rPr>
              <w:t>8000≤Z＜120000</w:t>
            </w:r>
          </w:p>
        </w:tc>
        <w:tc>
          <w:tcPr>
            <w:tcW w:w="1570" w:type="dxa"/>
            <w:tcBorders>
              <w:top w:val="nil"/>
              <w:left w:val="nil"/>
              <w:bottom w:val="single" w:color="auto" w:sz="4" w:space="0"/>
              <w:right w:val="single" w:color="auto" w:sz="4" w:space="0"/>
            </w:tcBorders>
            <w:vAlign w:val="center"/>
          </w:tcPr>
          <w:p w14:paraId="1A57165E">
            <w:pPr>
              <w:widowControl/>
              <w:jc w:val="left"/>
              <w:rPr>
                <w:rFonts w:ascii="Arial" w:hAnsi="Arial" w:cs="Arial"/>
                <w:color w:val="auto"/>
                <w:szCs w:val="21"/>
                <w:highlight w:val="none"/>
              </w:rPr>
            </w:pPr>
            <w:r>
              <w:rPr>
                <w:rFonts w:ascii="Arial" w:hAnsi="Arial" w:cs="Arial"/>
                <w:color w:val="auto"/>
                <w:szCs w:val="21"/>
                <w:highlight w:val="none"/>
              </w:rPr>
              <w:t>100≤Z＜8000</w:t>
            </w:r>
          </w:p>
        </w:tc>
        <w:tc>
          <w:tcPr>
            <w:tcW w:w="1009" w:type="dxa"/>
            <w:tcBorders>
              <w:top w:val="nil"/>
              <w:left w:val="nil"/>
              <w:bottom w:val="single" w:color="auto" w:sz="4" w:space="0"/>
              <w:right w:val="single" w:color="auto" w:sz="4" w:space="0"/>
            </w:tcBorders>
            <w:vAlign w:val="center"/>
          </w:tcPr>
          <w:p w14:paraId="77B58EDE">
            <w:pPr>
              <w:widowControl/>
              <w:jc w:val="left"/>
              <w:rPr>
                <w:rFonts w:ascii="Arial" w:hAnsi="Arial" w:cs="Arial"/>
                <w:color w:val="auto"/>
                <w:szCs w:val="21"/>
                <w:highlight w:val="none"/>
              </w:rPr>
            </w:pPr>
            <w:r>
              <w:rPr>
                <w:rFonts w:ascii="Arial" w:hAnsi="Arial" w:cs="Arial"/>
                <w:color w:val="auto"/>
                <w:szCs w:val="21"/>
                <w:highlight w:val="none"/>
              </w:rPr>
              <w:t>Y＜100</w:t>
            </w:r>
          </w:p>
        </w:tc>
      </w:tr>
      <w:tr w14:paraId="06C2F2D2">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1258EEF5">
            <w:pPr>
              <w:widowControl/>
              <w:jc w:val="center"/>
              <w:rPr>
                <w:rFonts w:ascii="Arial" w:hAnsi="Arial" w:cs="Arial"/>
                <w:color w:val="auto"/>
                <w:szCs w:val="21"/>
                <w:highlight w:val="none"/>
              </w:rPr>
            </w:pPr>
            <w:r>
              <w:rPr>
                <w:rFonts w:ascii="Arial" w:hAnsi="Arial" w:cs="Arial"/>
                <w:color w:val="auto"/>
                <w:szCs w:val="21"/>
                <w:highlight w:val="none"/>
              </w:rPr>
              <w:t>其他未列明行业</w:t>
            </w:r>
          </w:p>
        </w:tc>
        <w:tc>
          <w:tcPr>
            <w:tcW w:w="1701" w:type="dxa"/>
            <w:tcBorders>
              <w:top w:val="nil"/>
              <w:left w:val="nil"/>
              <w:bottom w:val="single" w:color="auto" w:sz="4" w:space="0"/>
              <w:right w:val="single" w:color="auto" w:sz="4" w:space="0"/>
            </w:tcBorders>
            <w:vAlign w:val="center"/>
          </w:tcPr>
          <w:p w14:paraId="3775952E">
            <w:pPr>
              <w:widowControl/>
              <w:jc w:val="left"/>
              <w:rPr>
                <w:rFonts w:ascii="Arial" w:hAnsi="Arial" w:cs="Arial"/>
                <w:color w:val="auto"/>
                <w:szCs w:val="21"/>
                <w:highlight w:val="none"/>
              </w:rPr>
            </w:pPr>
            <w:r>
              <w:rPr>
                <w:rFonts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5F5F5C32">
            <w:pPr>
              <w:widowControl/>
              <w:jc w:val="left"/>
              <w:rPr>
                <w:rFonts w:ascii="Arial" w:hAnsi="Arial" w:cs="Arial"/>
                <w:color w:val="auto"/>
                <w:szCs w:val="21"/>
                <w:highlight w:val="none"/>
              </w:rPr>
            </w:pPr>
            <w:r>
              <w:rPr>
                <w:rFonts w:ascii="Arial" w:hAnsi="Arial" w:cs="Arial"/>
                <w:color w:val="auto"/>
                <w:szCs w:val="21"/>
                <w:highlight w:val="none"/>
              </w:rPr>
              <w:t>人</w:t>
            </w:r>
          </w:p>
        </w:tc>
        <w:tc>
          <w:tcPr>
            <w:tcW w:w="1846" w:type="dxa"/>
            <w:tcBorders>
              <w:top w:val="nil"/>
              <w:left w:val="nil"/>
              <w:bottom w:val="single" w:color="auto" w:sz="4" w:space="0"/>
              <w:right w:val="single" w:color="auto" w:sz="4" w:space="0"/>
            </w:tcBorders>
            <w:vAlign w:val="center"/>
          </w:tcPr>
          <w:p w14:paraId="3E0474A2">
            <w:pPr>
              <w:widowControl/>
              <w:jc w:val="left"/>
              <w:rPr>
                <w:rFonts w:ascii="Arial" w:hAnsi="Arial" w:cs="Arial"/>
                <w:color w:val="auto"/>
                <w:szCs w:val="21"/>
                <w:highlight w:val="none"/>
              </w:rPr>
            </w:pPr>
            <w:r>
              <w:rPr>
                <w:rFonts w:ascii="Arial" w:hAnsi="Arial" w:cs="Arial"/>
                <w:color w:val="auto"/>
                <w:szCs w:val="21"/>
                <w:highlight w:val="none"/>
              </w:rPr>
              <w:t>100≤X＜300</w:t>
            </w:r>
          </w:p>
        </w:tc>
        <w:tc>
          <w:tcPr>
            <w:tcW w:w="1570" w:type="dxa"/>
            <w:tcBorders>
              <w:top w:val="nil"/>
              <w:left w:val="nil"/>
              <w:bottom w:val="single" w:color="auto" w:sz="4" w:space="0"/>
              <w:right w:val="single" w:color="auto" w:sz="4" w:space="0"/>
            </w:tcBorders>
            <w:vAlign w:val="center"/>
          </w:tcPr>
          <w:p w14:paraId="1A20712D">
            <w:pPr>
              <w:widowControl/>
              <w:jc w:val="left"/>
              <w:rPr>
                <w:rFonts w:ascii="Arial" w:hAnsi="Arial" w:cs="Arial"/>
                <w:color w:val="auto"/>
                <w:szCs w:val="21"/>
                <w:highlight w:val="none"/>
              </w:rPr>
            </w:pPr>
            <w:r>
              <w:rPr>
                <w:rFonts w:ascii="Arial" w:hAnsi="Arial" w:cs="Arial"/>
                <w:color w:val="auto"/>
                <w:szCs w:val="21"/>
                <w:highlight w:val="none"/>
              </w:rPr>
              <w:t>10≤X＜100</w:t>
            </w:r>
          </w:p>
        </w:tc>
        <w:tc>
          <w:tcPr>
            <w:tcW w:w="1009" w:type="dxa"/>
            <w:tcBorders>
              <w:top w:val="nil"/>
              <w:left w:val="nil"/>
              <w:bottom w:val="single" w:color="auto" w:sz="4" w:space="0"/>
              <w:right w:val="single" w:color="auto" w:sz="4" w:space="0"/>
            </w:tcBorders>
            <w:vAlign w:val="center"/>
          </w:tcPr>
          <w:p w14:paraId="2C32A6A6">
            <w:pPr>
              <w:widowControl/>
              <w:jc w:val="left"/>
              <w:rPr>
                <w:rFonts w:ascii="Arial" w:hAnsi="Arial" w:cs="Arial"/>
                <w:color w:val="auto"/>
                <w:szCs w:val="21"/>
                <w:highlight w:val="none"/>
              </w:rPr>
            </w:pPr>
            <w:r>
              <w:rPr>
                <w:rFonts w:ascii="Arial" w:hAnsi="Arial" w:cs="Arial"/>
                <w:color w:val="auto"/>
                <w:szCs w:val="21"/>
                <w:highlight w:val="none"/>
              </w:rPr>
              <w:t>X＜10</w:t>
            </w:r>
          </w:p>
        </w:tc>
      </w:tr>
    </w:tbl>
    <w:p w14:paraId="78D970EB">
      <w:pPr>
        <w:spacing w:line="360" w:lineRule="auto"/>
        <w:ind w:firstLine="525" w:firstLineChars="250"/>
        <w:rPr>
          <w:rFonts w:ascii="Arial" w:hAnsi="Arial" w:cs="Arial"/>
          <w:color w:val="auto"/>
          <w:szCs w:val="21"/>
          <w:highlight w:val="none"/>
        </w:rPr>
      </w:pPr>
      <w:r>
        <w:rPr>
          <w:rFonts w:ascii="Arial" w:hAnsi="Arial" w:cs="Arial"/>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bookmarkEnd w:id="84"/>
    <w:p w14:paraId="135DFCBC">
      <w:pPr>
        <w:spacing w:line="360" w:lineRule="auto"/>
        <w:outlineLvl w:val="0"/>
        <w:rPr>
          <w:rFonts w:ascii="Arial" w:hAnsi="Arial" w:cs="Arial"/>
          <w:color w:val="auto"/>
          <w:szCs w:val="21"/>
          <w:highlight w:val="none"/>
        </w:rPr>
        <w:sectPr>
          <w:pgSz w:w="11906" w:h="16838"/>
          <w:pgMar w:top="993" w:right="1133" w:bottom="1246" w:left="1418" w:header="851" w:footer="992" w:gutter="0"/>
          <w:cols w:space="720" w:num="1"/>
          <w:titlePg/>
          <w:docGrid w:linePitch="312" w:charSpace="0"/>
        </w:sectPr>
      </w:pPr>
    </w:p>
    <w:p w14:paraId="742ECDD6">
      <w:pPr>
        <w:spacing w:line="360" w:lineRule="auto"/>
        <w:rPr>
          <w:rFonts w:ascii="Arial" w:hAnsi="Arial" w:cs="Arial"/>
          <w:color w:val="auto"/>
          <w:sz w:val="28"/>
          <w:szCs w:val="28"/>
          <w:highlight w:val="none"/>
        </w:rPr>
      </w:pPr>
      <w:r>
        <w:rPr>
          <w:rFonts w:ascii="Arial" w:hAnsi="Arial" w:cs="Arial"/>
          <w:color w:val="auto"/>
          <w:position w:val="-335"/>
          <w:sz w:val="20"/>
          <w:szCs w:val="20"/>
          <w:highlight w:val="none"/>
        </w:rPr>
        <w:drawing>
          <wp:anchor distT="0" distB="0" distL="114300" distR="114300" simplePos="0" relativeHeight="251659264" behindDoc="0" locked="0" layoutInCell="1" allowOverlap="1">
            <wp:simplePos x="0" y="0"/>
            <wp:positionH relativeFrom="column">
              <wp:posOffset>711835</wp:posOffset>
            </wp:positionH>
            <wp:positionV relativeFrom="paragraph">
              <wp:posOffset>149860</wp:posOffset>
            </wp:positionV>
            <wp:extent cx="5137785" cy="7490460"/>
            <wp:effectExtent l="0" t="0" r="5715" b="15240"/>
            <wp:wrapSquare wrapText="bothSides"/>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25"/>
                    <a:stretch>
                      <a:fillRect/>
                    </a:stretch>
                  </pic:blipFill>
                  <pic:spPr>
                    <a:xfrm>
                      <a:off x="0" y="0"/>
                      <a:ext cx="5137785" cy="7490460"/>
                    </a:xfrm>
                    <a:prstGeom prst="rect">
                      <a:avLst/>
                    </a:prstGeom>
                    <a:noFill/>
                    <a:ln>
                      <a:noFill/>
                    </a:ln>
                  </pic:spPr>
                </pic:pic>
              </a:graphicData>
            </a:graphic>
          </wp:anchor>
        </w:drawing>
      </w:r>
      <w:r>
        <w:rPr>
          <w:rFonts w:ascii="Arial" w:hAnsi="Arial" w:cs="Arial"/>
          <w:color w:val="auto"/>
          <w:sz w:val="28"/>
          <w:szCs w:val="28"/>
          <w:highlight w:val="none"/>
        </w:rPr>
        <w:t>附件2：</w:t>
      </w:r>
    </w:p>
    <w:p w14:paraId="1BD4818E">
      <w:pPr>
        <w:pStyle w:val="2"/>
        <w:jc w:val="center"/>
        <w:rPr>
          <w:rFonts w:ascii="Arial" w:hAnsi="Arial" w:cs="Arial"/>
          <w:bCs w:val="0"/>
          <w:color w:val="auto"/>
          <w:sz w:val="24"/>
          <w:highlight w:val="none"/>
        </w:rPr>
      </w:pPr>
      <w:bookmarkStart w:id="85" w:name="_Hlk132879714"/>
      <w:bookmarkStart w:id="86" w:name="_Hlk132881438"/>
      <w:bookmarkStart w:id="87" w:name="_Hlk132879681"/>
      <w:r>
        <w:rPr>
          <w:rStyle w:val="63"/>
          <w:rFonts w:ascii="Arial" w:hAnsi="Arial" w:cs="Arial"/>
          <w:b/>
          <w:bCs/>
          <w:color w:val="auto"/>
          <w:highlight w:val="none"/>
        </w:rPr>
        <w:br w:type="page"/>
      </w:r>
      <w:bookmarkStart w:id="88" w:name="_Toc12930"/>
      <w:r>
        <w:rPr>
          <w:rStyle w:val="63"/>
          <w:rFonts w:ascii="Arial" w:hAnsi="Arial" w:cs="Arial"/>
          <w:b/>
          <w:bCs/>
          <w:color w:val="auto"/>
          <w:highlight w:val="none"/>
        </w:rPr>
        <w:t>第五章  合同主要条款格式</w:t>
      </w:r>
      <w:bookmarkEnd w:id="88"/>
    </w:p>
    <w:bookmarkEnd w:id="85"/>
    <w:p w14:paraId="01811B17">
      <w:pPr>
        <w:jc w:val="center"/>
        <w:rPr>
          <w:rFonts w:ascii="Arial" w:hAnsi="Arial" w:cs="Arial"/>
          <w:b/>
          <w:color w:val="auto"/>
          <w:sz w:val="72"/>
          <w:szCs w:val="28"/>
          <w:highlight w:val="none"/>
        </w:rPr>
      </w:pPr>
      <w:r>
        <w:rPr>
          <w:rFonts w:ascii="Arial" w:hAnsi="Arial" w:cs="Arial"/>
          <w:b/>
          <w:color w:val="auto"/>
          <w:sz w:val="72"/>
          <w:szCs w:val="28"/>
          <w:highlight w:val="none"/>
        </w:rPr>
        <w:t>采购合同</w:t>
      </w:r>
    </w:p>
    <w:p w14:paraId="0C8CD0E9">
      <w:pPr>
        <w:pStyle w:val="170"/>
        <w:rPr>
          <w:rFonts w:ascii="Arial" w:hAnsi="Arial" w:cs="Arial"/>
          <w:color w:val="auto"/>
          <w:highlight w:val="none"/>
        </w:rPr>
      </w:pPr>
    </w:p>
    <w:p w14:paraId="5326CB4E">
      <w:pPr>
        <w:pStyle w:val="170"/>
        <w:rPr>
          <w:rFonts w:ascii="Arial" w:hAnsi="Arial" w:cs="Arial"/>
          <w:color w:val="auto"/>
          <w:highlight w:val="none"/>
        </w:rPr>
      </w:pPr>
    </w:p>
    <w:p w14:paraId="53D79C33">
      <w:pPr>
        <w:pStyle w:val="170"/>
        <w:rPr>
          <w:rFonts w:ascii="Arial" w:hAnsi="Arial" w:cs="Arial"/>
          <w:color w:val="auto"/>
          <w:highlight w:val="none"/>
        </w:rPr>
      </w:pPr>
    </w:p>
    <w:p w14:paraId="328B5A80">
      <w:pPr>
        <w:pStyle w:val="170"/>
        <w:rPr>
          <w:rFonts w:ascii="Arial" w:hAnsi="Arial" w:cs="Arial"/>
          <w:color w:val="auto"/>
          <w:highlight w:val="none"/>
        </w:rPr>
      </w:pPr>
    </w:p>
    <w:tbl>
      <w:tblPr>
        <w:tblStyle w:val="52"/>
        <w:tblW w:w="8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4"/>
        <w:gridCol w:w="5670"/>
      </w:tblGrid>
      <w:tr w14:paraId="5AED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2" w:hRule="atLeast"/>
          <w:jc w:val="center"/>
        </w:trPr>
        <w:tc>
          <w:tcPr>
            <w:tcW w:w="2694" w:type="dxa"/>
            <w:tcBorders>
              <w:top w:val="nil"/>
              <w:left w:val="nil"/>
              <w:bottom w:val="nil"/>
              <w:right w:val="nil"/>
            </w:tcBorders>
            <w:vAlign w:val="center"/>
          </w:tcPr>
          <w:p w14:paraId="50E016CA">
            <w:pPr>
              <w:spacing w:line="740" w:lineRule="exact"/>
              <w:jc w:val="center"/>
              <w:rPr>
                <w:rFonts w:ascii="Arial" w:hAnsi="Arial" w:cs="Arial"/>
                <w:b/>
                <w:bCs/>
                <w:color w:val="auto"/>
                <w:sz w:val="36"/>
                <w:szCs w:val="36"/>
                <w:highlight w:val="none"/>
              </w:rPr>
            </w:pPr>
            <w:r>
              <w:rPr>
                <w:rFonts w:ascii="Arial" w:hAnsi="Arial" w:cs="Arial"/>
                <w:b/>
                <w:bCs/>
                <w:color w:val="auto"/>
                <w:sz w:val="36"/>
                <w:szCs w:val="36"/>
                <w:highlight w:val="none"/>
              </w:rPr>
              <w:t>项目</w:t>
            </w:r>
            <w:r>
              <w:rPr>
                <w:rFonts w:hint="eastAsia" w:ascii="Arial" w:hAnsi="Arial" w:cs="Arial"/>
                <w:b/>
                <w:bCs/>
                <w:color w:val="auto"/>
                <w:sz w:val="36"/>
                <w:szCs w:val="36"/>
                <w:highlight w:val="none"/>
              </w:rPr>
              <w:t>名</w:t>
            </w:r>
            <w:r>
              <w:rPr>
                <w:rFonts w:ascii="Arial" w:hAnsi="Arial" w:cs="Arial"/>
                <w:b/>
                <w:bCs/>
                <w:color w:val="auto"/>
                <w:sz w:val="36"/>
                <w:szCs w:val="36"/>
                <w:highlight w:val="none"/>
              </w:rPr>
              <w:t>称：</w:t>
            </w:r>
          </w:p>
        </w:tc>
        <w:tc>
          <w:tcPr>
            <w:tcW w:w="5670" w:type="dxa"/>
            <w:tcBorders>
              <w:top w:val="nil"/>
              <w:left w:val="nil"/>
              <w:bottom w:val="nil"/>
              <w:right w:val="nil"/>
            </w:tcBorders>
            <w:vAlign w:val="center"/>
          </w:tcPr>
          <w:p w14:paraId="4CDFFD66">
            <w:pPr>
              <w:spacing w:line="740" w:lineRule="exact"/>
              <w:jc w:val="left"/>
              <w:rPr>
                <w:rFonts w:ascii="Arial" w:hAnsi="Arial" w:cs="Arial"/>
                <w:b/>
                <w:bCs/>
                <w:color w:val="auto"/>
                <w:sz w:val="36"/>
                <w:szCs w:val="36"/>
                <w:highlight w:val="none"/>
              </w:rPr>
            </w:pPr>
          </w:p>
        </w:tc>
      </w:tr>
    </w:tbl>
    <w:p w14:paraId="38288C9F">
      <w:pPr>
        <w:spacing w:line="740" w:lineRule="exact"/>
        <w:rPr>
          <w:rFonts w:ascii="Arial" w:hAnsi="Arial" w:cs="Arial"/>
          <w:b/>
          <w:bCs/>
          <w:color w:val="auto"/>
          <w:sz w:val="36"/>
          <w:highlight w:val="none"/>
        </w:rPr>
      </w:pPr>
      <w:r>
        <w:rPr>
          <w:rFonts w:hint="eastAsia" w:ascii="Arial" w:hAnsi="Arial" w:cs="Arial"/>
          <w:b/>
          <w:bCs/>
          <w:color w:val="auto"/>
          <w:sz w:val="36"/>
          <w:highlight w:val="none"/>
        </w:rPr>
        <w:t>合同编号：</w:t>
      </w:r>
    </w:p>
    <w:p w14:paraId="50174DA3">
      <w:pPr>
        <w:spacing w:line="740" w:lineRule="exact"/>
        <w:ind w:firstLine="1785" w:firstLineChars="494"/>
        <w:rPr>
          <w:rFonts w:ascii="Arial" w:hAnsi="Arial" w:cs="Arial"/>
          <w:b/>
          <w:bCs/>
          <w:color w:val="auto"/>
          <w:sz w:val="36"/>
          <w:highlight w:val="none"/>
        </w:rPr>
      </w:pPr>
    </w:p>
    <w:p w14:paraId="66249BB5">
      <w:pPr>
        <w:spacing w:line="740" w:lineRule="exact"/>
        <w:ind w:firstLine="723" w:firstLineChars="200"/>
        <w:rPr>
          <w:rFonts w:ascii="Arial" w:hAnsi="Arial" w:cs="Arial"/>
          <w:b/>
          <w:bCs/>
          <w:color w:val="auto"/>
          <w:sz w:val="36"/>
          <w:highlight w:val="none"/>
        </w:rPr>
      </w:pPr>
      <w:r>
        <w:rPr>
          <w:rFonts w:ascii="Arial" w:hAnsi="Arial" w:cs="Arial"/>
          <w:b/>
          <w:bCs/>
          <w:color w:val="auto"/>
          <w:sz w:val="36"/>
          <w:highlight w:val="none"/>
        </w:rPr>
        <w:t>甲方：桂林医科大学第一附属医院</w:t>
      </w:r>
    </w:p>
    <w:p w14:paraId="7E38D3BA">
      <w:pPr>
        <w:spacing w:line="740" w:lineRule="exact"/>
        <w:ind w:firstLine="723" w:firstLineChars="200"/>
        <w:rPr>
          <w:rFonts w:ascii="Arial" w:hAnsi="Arial" w:cs="Arial"/>
          <w:b/>
          <w:bCs/>
          <w:color w:val="auto"/>
          <w:sz w:val="36"/>
          <w:highlight w:val="none"/>
        </w:rPr>
      </w:pPr>
      <w:r>
        <w:rPr>
          <w:rFonts w:ascii="Arial" w:hAnsi="Arial" w:cs="Arial"/>
          <w:b/>
          <w:bCs/>
          <w:color w:val="auto"/>
          <w:sz w:val="36"/>
          <w:highlight w:val="none"/>
        </w:rPr>
        <w:t>乙方：</w:t>
      </w:r>
    </w:p>
    <w:p w14:paraId="294BFB5F">
      <w:pPr>
        <w:spacing w:line="740" w:lineRule="exact"/>
        <w:ind w:firstLine="1785" w:firstLineChars="494"/>
        <w:rPr>
          <w:rFonts w:ascii="Arial" w:hAnsi="Arial" w:cs="Arial"/>
          <w:b/>
          <w:bCs/>
          <w:color w:val="auto"/>
          <w:sz w:val="36"/>
          <w:highlight w:val="none"/>
        </w:rPr>
      </w:pPr>
    </w:p>
    <w:p w14:paraId="7EC7DFBA">
      <w:pPr>
        <w:spacing w:line="700" w:lineRule="exact"/>
        <w:rPr>
          <w:rFonts w:ascii="Arial" w:hAnsi="Arial" w:cs="Arial"/>
          <w:b/>
          <w:bCs/>
          <w:color w:val="auto"/>
          <w:sz w:val="36"/>
          <w:highlight w:val="none"/>
        </w:rPr>
      </w:pPr>
    </w:p>
    <w:p w14:paraId="6E38D3EC">
      <w:pPr>
        <w:spacing w:line="700" w:lineRule="exact"/>
        <w:ind w:firstLine="1084" w:firstLineChars="300"/>
        <w:rPr>
          <w:rFonts w:ascii="Arial" w:hAnsi="Arial" w:cs="Arial"/>
          <w:b/>
          <w:bCs/>
          <w:color w:val="auto"/>
          <w:sz w:val="36"/>
          <w:highlight w:val="none"/>
        </w:rPr>
        <w:sectPr>
          <w:pgSz w:w="11906" w:h="16838"/>
          <w:pgMar w:top="1417" w:right="1587" w:bottom="1417" w:left="1587" w:header="851" w:footer="992" w:gutter="0"/>
          <w:cols w:space="425" w:num="1"/>
          <w:docGrid w:type="lines" w:linePitch="312" w:charSpace="0"/>
        </w:sectPr>
      </w:pPr>
      <w:r>
        <w:rPr>
          <w:rFonts w:hint="eastAsia" w:ascii="Arial" w:hAnsi="Arial" w:cs="Arial"/>
          <w:b/>
          <w:bCs/>
          <w:color w:val="auto"/>
          <w:sz w:val="36"/>
          <w:highlight w:val="none"/>
        </w:rPr>
        <w:t>签订日期：2</w:t>
      </w:r>
      <w:r>
        <w:rPr>
          <w:rFonts w:ascii="Arial" w:hAnsi="Arial" w:cs="Arial"/>
          <w:b/>
          <w:bCs/>
          <w:color w:val="auto"/>
          <w:sz w:val="36"/>
          <w:highlight w:val="none"/>
        </w:rPr>
        <w:t>02</w:t>
      </w:r>
      <w:r>
        <w:rPr>
          <w:rFonts w:hint="eastAsia" w:ascii="Arial" w:hAnsi="Arial" w:cs="Arial"/>
          <w:b/>
          <w:bCs/>
          <w:color w:val="auto"/>
          <w:sz w:val="36"/>
          <w:highlight w:val="none"/>
        </w:rPr>
        <w:t>6年 月 日</w:t>
      </w:r>
    </w:p>
    <w:p w14:paraId="637A2476">
      <w:pPr>
        <w:spacing w:line="420" w:lineRule="exact"/>
        <w:jc w:val="center"/>
        <w:rPr>
          <w:rFonts w:ascii="宋体" w:hAnsi="宋体"/>
          <w:b/>
          <w:color w:val="auto"/>
          <w:sz w:val="36"/>
          <w:szCs w:val="36"/>
          <w:highlight w:val="none"/>
        </w:rPr>
      </w:pPr>
      <w:r>
        <w:rPr>
          <w:rFonts w:hint="eastAsia" w:ascii="宋体" w:hAnsi="宋体"/>
          <w:b/>
          <w:color w:val="auto"/>
          <w:sz w:val="36"/>
          <w:szCs w:val="36"/>
          <w:highlight w:val="none"/>
        </w:rPr>
        <w:t>医疗设备保修服务合同（模板）</w:t>
      </w:r>
    </w:p>
    <w:p w14:paraId="4A5CFB1D">
      <w:pPr>
        <w:spacing w:line="420" w:lineRule="exact"/>
        <w:jc w:val="left"/>
        <w:rPr>
          <w:rFonts w:ascii="宋体" w:hAnsi="宋体"/>
          <w:color w:val="auto"/>
          <w:sz w:val="28"/>
          <w:szCs w:val="28"/>
          <w:highlight w:val="none"/>
        </w:rPr>
      </w:pPr>
    </w:p>
    <w:p w14:paraId="5CAE1B9E">
      <w:pPr>
        <w:spacing w:line="360" w:lineRule="auto"/>
        <w:rPr>
          <w:rFonts w:ascii="宋体" w:hAnsi="宋体"/>
          <w:b/>
          <w:color w:val="auto"/>
          <w:sz w:val="28"/>
          <w:szCs w:val="28"/>
          <w:highlight w:val="none"/>
        </w:rPr>
      </w:pPr>
      <w:r>
        <w:rPr>
          <w:rFonts w:hint="eastAsia" w:ascii="宋体" w:hAnsi="宋体"/>
          <w:color w:val="auto"/>
          <w:sz w:val="28"/>
          <w:szCs w:val="28"/>
          <w:highlight w:val="none"/>
        </w:rPr>
        <w:t>项目名称：  合同编号</w:t>
      </w:r>
      <w:r>
        <w:rPr>
          <w:rFonts w:ascii="宋体" w:hAnsi="宋体"/>
          <w:color w:val="auto"/>
          <w:sz w:val="28"/>
          <w:szCs w:val="28"/>
          <w:highlight w:val="none"/>
        </w:rPr>
        <w:t>：</w:t>
      </w:r>
    </w:p>
    <w:p w14:paraId="1993F262">
      <w:pPr>
        <w:spacing w:line="420" w:lineRule="exact"/>
        <w:jc w:val="left"/>
        <w:rPr>
          <w:rFonts w:ascii="宋体" w:hAnsi="宋体"/>
          <w:color w:val="auto"/>
          <w:sz w:val="28"/>
          <w:szCs w:val="28"/>
          <w:highlight w:val="none"/>
        </w:rPr>
      </w:pPr>
    </w:p>
    <w:p w14:paraId="52F218FE">
      <w:pPr>
        <w:spacing w:line="420" w:lineRule="exact"/>
        <w:jc w:val="left"/>
        <w:rPr>
          <w:rFonts w:ascii="宋体" w:hAnsi="宋体"/>
          <w:color w:val="auto"/>
          <w:sz w:val="28"/>
          <w:szCs w:val="28"/>
          <w:highlight w:val="none"/>
        </w:rPr>
      </w:pPr>
      <w:r>
        <w:rPr>
          <w:rFonts w:hint="eastAsia" w:ascii="宋体" w:hAnsi="宋体"/>
          <w:color w:val="auto"/>
          <w:sz w:val="28"/>
          <w:szCs w:val="28"/>
          <w:highlight w:val="none"/>
        </w:rPr>
        <w:t>甲方：</w:t>
      </w:r>
      <w:r>
        <w:rPr>
          <w:rFonts w:hint="eastAsia" w:ascii="宋体" w:hAnsi="宋体" w:cs="宋体"/>
          <w:color w:val="auto"/>
          <w:kern w:val="0"/>
          <w:sz w:val="28"/>
          <w:szCs w:val="28"/>
          <w:highlight w:val="none"/>
          <w:u w:val="single"/>
        </w:rPr>
        <w:t>桂林医科大学第一附属医院</w:t>
      </w:r>
    </w:p>
    <w:p w14:paraId="754F60D6">
      <w:pPr>
        <w:spacing w:line="420" w:lineRule="exact"/>
        <w:jc w:val="left"/>
        <w:rPr>
          <w:rFonts w:ascii="宋体" w:hAnsi="宋体" w:cs="宋体"/>
          <w:color w:val="auto"/>
          <w:kern w:val="0"/>
          <w:sz w:val="28"/>
          <w:szCs w:val="28"/>
          <w:highlight w:val="none"/>
        </w:rPr>
      </w:pPr>
    </w:p>
    <w:p w14:paraId="3A918835">
      <w:pPr>
        <w:spacing w:line="420" w:lineRule="exact"/>
        <w:rPr>
          <w:rFonts w:ascii="宋体" w:hAnsi="宋体"/>
          <w:color w:val="auto"/>
          <w:sz w:val="28"/>
          <w:szCs w:val="28"/>
          <w:highlight w:val="none"/>
        </w:rPr>
      </w:pPr>
      <w:r>
        <w:rPr>
          <w:rFonts w:hint="eastAsia" w:ascii="宋体" w:hAnsi="宋体"/>
          <w:color w:val="auto"/>
          <w:sz w:val="28"/>
          <w:szCs w:val="28"/>
          <w:highlight w:val="none"/>
        </w:rPr>
        <w:t xml:space="preserve">乙方：     </w:t>
      </w:r>
    </w:p>
    <w:p w14:paraId="770EACBA">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为保证桂林医科大学第一附属医院（设备）的正常运行，经友好协商，甲乙双方就</w:t>
      </w:r>
      <w:r>
        <w:rPr>
          <w:rFonts w:hint="eastAsia" w:ascii="宋体" w:hAnsi="宋体"/>
          <w:color w:val="auto"/>
          <w:sz w:val="28"/>
          <w:szCs w:val="28"/>
          <w:highlight w:val="none"/>
          <w:u w:val="single"/>
        </w:rPr>
        <w:t>保修所提供的技术以及人员服务</w:t>
      </w:r>
      <w:r>
        <w:rPr>
          <w:rFonts w:hint="eastAsia" w:ascii="宋体" w:hAnsi="宋体"/>
          <w:color w:val="auto"/>
          <w:sz w:val="28"/>
          <w:szCs w:val="28"/>
          <w:highlight w:val="none"/>
        </w:rPr>
        <w:t>签订本合同，共同信守。</w:t>
      </w:r>
    </w:p>
    <w:p w14:paraId="61D1D06B">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一、保修设备名称、型号：</w:t>
      </w:r>
    </w:p>
    <w:p w14:paraId="3F520214">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名称：</w:t>
      </w:r>
    </w:p>
    <w:p w14:paraId="5E43918A">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型号：</w:t>
      </w:r>
    </w:p>
    <w:p w14:paraId="0AEE65D4">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二、保修期限：</w:t>
      </w:r>
    </w:p>
    <w:p w14:paraId="1545EFDD">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期限年，自20年月日至</w:t>
      </w:r>
      <w:r>
        <w:rPr>
          <w:rFonts w:ascii="宋体" w:hAnsi="宋体"/>
          <w:color w:val="auto"/>
          <w:sz w:val="28"/>
          <w:szCs w:val="28"/>
          <w:highlight w:val="none"/>
        </w:rPr>
        <w:t>20</w:t>
      </w:r>
      <w:r>
        <w:rPr>
          <w:rFonts w:hint="eastAsia" w:ascii="宋体" w:hAnsi="宋体"/>
          <w:color w:val="auto"/>
          <w:sz w:val="28"/>
          <w:szCs w:val="28"/>
          <w:highlight w:val="none"/>
        </w:rPr>
        <w:t>年月日止。</w:t>
      </w:r>
    </w:p>
    <w:p w14:paraId="618BC290">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三、保修类型：</w:t>
      </w:r>
    </w:p>
    <w:p w14:paraId="617BACB2">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整机保修（含人工和零配件，不含）。具体保修详细项目清单及范围详见附件1。</w:t>
      </w:r>
    </w:p>
    <w:p w14:paraId="1B7C1B63">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四、保修期内双方义务：</w:t>
      </w:r>
    </w:p>
    <w:p w14:paraId="62E3EBD9">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（一）甲方义务：</w:t>
      </w:r>
    </w:p>
    <w:p w14:paraId="529278DF">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1、甲方应保证设备使用环境稳定、可靠，按使用说明书要求对设备进行日常清洁保养和基本维护工作，做好故障报修。</w:t>
      </w:r>
    </w:p>
    <w:p w14:paraId="59CEE480">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2、保修期间，甲方有义务保存乙方人员所需的设备资料及故障记录以备使用。</w:t>
      </w:r>
    </w:p>
    <w:p w14:paraId="77CE22E4">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3、保修期间，甲方应按照设备使用手册的要求正确操作设备。</w:t>
      </w:r>
    </w:p>
    <w:p w14:paraId="32D4117F">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（二）乙方义务：</w:t>
      </w:r>
    </w:p>
    <w:p w14:paraId="07C4A3D6">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1、乙方承担协议约定的设备保修责任，在接到甲方故障通知后，须给予明确答复，在24小时内赶到现场，由原厂认证合格的专业工程师提供快速优质的现场服务。</w:t>
      </w:r>
    </w:p>
    <w:p w14:paraId="3AE27DDC">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2、乙方人员在维修期间的往返费用由乙方自理。</w:t>
      </w:r>
    </w:p>
    <w:p w14:paraId="64B86BD6">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3、为保证甲方设备的正常运行，乙方按使用说明书要求提供每年四次定期预防性维护检测，乙方工程师向甲方提供计划性的预防性维护报告（记录）。乙方在预期保养时间的前两周通知甲方保养时间，如因甲方原因导致不能执行保养，乙方将不对此承担责任。计划性的预防性维护服务内容应列出清单。</w:t>
      </w:r>
    </w:p>
    <w:p w14:paraId="0DD43E2E">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4、乙方在系统故障维修过程中，必须免费更换配件，承担人工费、搬运费、安装调试费及系统软件升级费等一切费用。</w:t>
      </w:r>
    </w:p>
    <w:p w14:paraId="36636FB4">
      <w:pPr>
        <w:spacing w:line="420" w:lineRule="exact"/>
        <w:ind w:firstLine="548" w:firstLineChars="196"/>
        <w:rPr>
          <w:rFonts w:ascii="宋体" w:hAnsi="宋体"/>
          <w:bCs/>
          <w:color w:val="auto"/>
          <w:sz w:val="28"/>
          <w:szCs w:val="28"/>
          <w:highlight w:val="none"/>
        </w:rPr>
      </w:pPr>
      <w:r>
        <w:rPr>
          <w:rFonts w:hint="eastAsia" w:ascii="宋体" w:hAnsi="宋体"/>
          <w:bCs/>
          <w:color w:val="auto"/>
          <w:sz w:val="28"/>
          <w:szCs w:val="28"/>
          <w:highlight w:val="none"/>
        </w:rPr>
        <w:t>5、乙方承诺在保修期内，每个保修年度内，保证设备正常开机率不低于95%，不得影响科室使用。</w:t>
      </w:r>
    </w:p>
    <w:p w14:paraId="3BFDC4C5">
      <w:pPr>
        <w:spacing w:line="420" w:lineRule="exact"/>
        <w:ind w:firstLine="548" w:firstLineChars="196"/>
        <w:rPr>
          <w:rFonts w:ascii="宋体" w:hAnsi="宋体"/>
          <w:bCs/>
          <w:color w:val="auto"/>
          <w:sz w:val="28"/>
          <w:szCs w:val="28"/>
          <w:highlight w:val="none"/>
        </w:rPr>
      </w:pPr>
      <w:r>
        <w:rPr>
          <w:rFonts w:hint="eastAsia" w:ascii="宋体" w:hAnsi="宋体"/>
          <w:bCs/>
          <w:color w:val="auto"/>
          <w:sz w:val="28"/>
          <w:szCs w:val="28"/>
          <w:highlight w:val="none"/>
        </w:rPr>
        <w:t>6、保修期内，每次故障维修维护、检测、校准等工作，必须提供记录并到设备科确认。</w:t>
      </w:r>
    </w:p>
    <w:p w14:paraId="02C6E0FA">
      <w:pPr>
        <w:spacing w:line="420" w:lineRule="exact"/>
        <w:ind w:firstLine="548" w:firstLineChars="196"/>
        <w:rPr>
          <w:rFonts w:ascii="宋体" w:hAnsi="宋体"/>
          <w:bCs/>
          <w:color w:val="auto"/>
          <w:sz w:val="28"/>
          <w:szCs w:val="28"/>
          <w:highlight w:val="none"/>
        </w:rPr>
      </w:pPr>
      <w:r>
        <w:rPr>
          <w:rFonts w:hint="eastAsia" w:ascii="宋体" w:hAnsi="宋体"/>
          <w:bCs/>
          <w:color w:val="auto"/>
          <w:sz w:val="28"/>
          <w:szCs w:val="28"/>
          <w:highlight w:val="none"/>
        </w:rPr>
        <w:t>7、乙方维修人员在维修期间，必须遵守院方在安全、防盗、停车、环境卫生等方面的有关规定，否则一切后果自负。</w:t>
      </w:r>
    </w:p>
    <w:p w14:paraId="0E6253BB">
      <w:pPr>
        <w:spacing w:line="420" w:lineRule="exact"/>
        <w:ind w:firstLine="548" w:firstLineChars="196"/>
        <w:rPr>
          <w:rFonts w:ascii="宋体" w:hAnsi="宋体"/>
          <w:bCs/>
          <w:color w:val="auto"/>
          <w:sz w:val="28"/>
          <w:szCs w:val="28"/>
          <w:highlight w:val="none"/>
        </w:rPr>
      </w:pPr>
      <w:r>
        <w:rPr>
          <w:rFonts w:hint="eastAsia" w:ascii="宋体" w:hAnsi="宋体"/>
          <w:bCs/>
          <w:color w:val="auto"/>
          <w:sz w:val="28"/>
          <w:szCs w:val="28"/>
          <w:highlight w:val="none"/>
        </w:rPr>
        <w:t>五、保修费及支付方式：</w:t>
      </w:r>
    </w:p>
    <w:p w14:paraId="0D7304DC">
      <w:pPr>
        <w:spacing w:line="420" w:lineRule="exact"/>
        <w:ind w:firstLine="548" w:firstLineChars="196"/>
        <w:rPr>
          <w:rFonts w:ascii="宋体" w:hAnsi="宋体"/>
          <w:color w:val="auto"/>
          <w:sz w:val="28"/>
          <w:szCs w:val="28"/>
          <w:highlight w:val="none"/>
        </w:rPr>
      </w:pPr>
      <w:r>
        <w:rPr>
          <w:rFonts w:hint="eastAsia" w:ascii="宋体" w:hAnsi="宋体"/>
          <w:bCs/>
          <w:color w:val="auto"/>
          <w:sz w:val="28"/>
          <w:szCs w:val="28"/>
          <w:highlight w:val="none"/>
        </w:rPr>
        <w:t>1、保修费总额（人民币）：￥</w:t>
      </w:r>
      <w:r>
        <w:rPr>
          <w:rFonts w:hint="eastAsia" w:ascii="宋体" w:hAnsi="宋体"/>
          <w:color w:val="auto"/>
          <w:sz w:val="28"/>
          <w:szCs w:val="28"/>
          <w:highlight w:val="none"/>
        </w:rPr>
        <w:t>元整，大写：</w:t>
      </w:r>
      <w:r>
        <w:rPr>
          <w:rFonts w:hint="eastAsia" w:ascii="宋体" w:hAnsi="宋体" w:cs="Arial"/>
          <w:color w:val="auto"/>
          <w:sz w:val="28"/>
          <w:szCs w:val="28"/>
          <w:highlight w:val="none"/>
          <w:shd w:val="clear" w:color="auto" w:fill="FFFFFF"/>
        </w:rPr>
        <w:t>。</w:t>
      </w:r>
    </w:p>
    <w:p w14:paraId="48F4A115">
      <w:pPr>
        <w:widowControl/>
        <w:spacing w:line="420" w:lineRule="exact"/>
        <w:ind w:firstLine="560" w:firstLineChars="200"/>
        <w:jc w:val="left"/>
        <w:rPr>
          <w:rFonts w:ascii="宋体" w:hAnsi="宋体" w:cs="宋体"/>
          <w:color w:val="auto"/>
          <w:kern w:val="0"/>
          <w:sz w:val="28"/>
          <w:szCs w:val="28"/>
          <w:highlight w:val="none"/>
        </w:rPr>
      </w:pPr>
      <w:r>
        <w:rPr>
          <w:rFonts w:hint="eastAsia" w:ascii="宋体" w:hAnsi="宋体"/>
          <w:bCs/>
          <w:color w:val="auto"/>
          <w:sz w:val="28"/>
          <w:szCs w:val="28"/>
          <w:highlight w:val="none"/>
        </w:rPr>
        <w:t>2、支付方式：（按甲乙双方约定的方式付款）</w:t>
      </w:r>
      <w:r>
        <w:rPr>
          <w:rFonts w:hint="eastAsia" w:ascii="宋体" w:hAnsi="宋体" w:cs="宋体"/>
          <w:color w:val="auto"/>
          <w:kern w:val="0"/>
          <w:sz w:val="28"/>
          <w:szCs w:val="28"/>
          <w:highlight w:val="none"/>
        </w:rPr>
        <w:t>甲乙双方在签订合同后，乙方在</w:t>
      </w:r>
      <w:r>
        <w:rPr>
          <w:rFonts w:hint="eastAsia" w:ascii="宋体" w:hAnsi="宋体"/>
          <w:bCs/>
          <w:color w:val="auto"/>
          <w:sz w:val="28"/>
          <w:szCs w:val="28"/>
          <w:highlight w:val="none"/>
        </w:rPr>
        <w:t>一个月内开具税务发票，甲方收到税务发票后转账支付合同款的</w:t>
      </w:r>
      <w:r>
        <w:rPr>
          <w:rFonts w:hint="eastAsia" w:ascii="宋体" w:hAnsi="宋体" w:cs="宋体"/>
          <w:color w:val="auto"/>
          <w:kern w:val="0"/>
          <w:sz w:val="28"/>
          <w:szCs w:val="28"/>
          <w:highlight w:val="none"/>
        </w:rPr>
        <w:t>10%，第一保修年结束</w:t>
      </w:r>
      <w:r>
        <w:rPr>
          <w:rFonts w:hint="eastAsia" w:ascii="宋体" w:hAnsi="宋体"/>
          <w:bCs/>
          <w:color w:val="auto"/>
          <w:sz w:val="28"/>
          <w:szCs w:val="28"/>
          <w:highlight w:val="none"/>
        </w:rPr>
        <w:t>后一个月内开具税务发票，甲方收到税务发票后转账支付合同款的</w:t>
      </w:r>
      <w:r>
        <w:rPr>
          <w:rFonts w:hint="eastAsia" w:ascii="宋体" w:hAnsi="宋体" w:cs="宋体"/>
          <w:color w:val="auto"/>
          <w:kern w:val="0"/>
          <w:sz w:val="28"/>
          <w:szCs w:val="28"/>
          <w:highlight w:val="none"/>
        </w:rPr>
        <w:t>30%，第二保修年结束</w:t>
      </w:r>
      <w:r>
        <w:rPr>
          <w:rFonts w:hint="eastAsia" w:ascii="宋体" w:hAnsi="宋体"/>
          <w:bCs/>
          <w:color w:val="auto"/>
          <w:sz w:val="28"/>
          <w:szCs w:val="28"/>
          <w:highlight w:val="none"/>
        </w:rPr>
        <w:t>后一个月内开具税务发票，甲方收到税务发票后转账支付合同款的</w:t>
      </w:r>
      <w:r>
        <w:rPr>
          <w:rFonts w:hint="eastAsia" w:ascii="宋体" w:hAnsi="宋体" w:cs="宋体"/>
          <w:color w:val="auto"/>
          <w:kern w:val="0"/>
          <w:sz w:val="28"/>
          <w:szCs w:val="28"/>
          <w:highlight w:val="none"/>
        </w:rPr>
        <w:t>30%，第三保修年结束并服务合格</w:t>
      </w:r>
      <w:r>
        <w:rPr>
          <w:rFonts w:hint="eastAsia" w:ascii="宋体" w:hAnsi="宋体"/>
          <w:bCs/>
          <w:color w:val="auto"/>
          <w:sz w:val="28"/>
          <w:szCs w:val="28"/>
          <w:highlight w:val="none"/>
        </w:rPr>
        <w:t>后一个月内开具税务发票，甲方收到税务发票后转账支付合同款的</w:t>
      </w:r>
      <w:r>
        <w:rPr>
          <w:rFonts w:hint="eastAsia" w:ascii="宋体" w:hAnsi="宋体" w:cs="宋体"/>
          <w:color w:val="auto"/>
          <w:kern w:val="0"/>
          <w:sz w:val="28"/>
          <w:szCs w:val="28"/>
          <w:highlight w:val="none"/>
        </w:rPr>
        <w:t>3</w:t>
      </w:r>
      <w:r>
        <w:rPr>
          <w:rFonts w:ascii="宋体" w:hAnsi="宋体" w:cs="宋体"/>
          <w:color w:val="auto"/>
          <w:kern w:val="0"/>
          <w:sz w:val="28"/>
          <w:szCs w:val="28"/>
          <w:highlight w:val="none"/>
        </w:rPr>
        <w:t>0</w:t>
      </w:r>
      <w:r>
        <w:rPr>
          <w:rFonts w:hint="eastAsia" w:ascii="宋体" w:hAnsi="宋体" w:cs="宋体"/>
          <w:color w:val="auto"/>
          <w:kern w:val="0"/>
          <w:sz w:val="28"/>
          <w:szCs w:val="28"/>
          <w:highlight w:val="none"/>
        </w:rPr>
        <w:t>%给乙方（无息）。</w:t>
      </w:r>
    </w:p>
    <w:p w14:paraId="61CC26A3">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六、违约责任：</w:t>
      </w:r>
    </w:p>
    <w:p w14:paraId="5C3E349B">
      <w:pPr>
        <w:spacing w:line="420" w:lineRule="exact"/>
        <w:ind w:firstLine="560" w:firstLineChars="200"/>
        <w:rPr>
          <w:rFonts w:ascii="宋体" w:hAnsi="宋体"/>
          <w:bCs/>
          <w:color w:val="auto"/>
          <w:sz w:val="28"/>
          <w:szCs w:val="28"/>
          <w:highlight w:val="none"/>
        </w:rPr>
      </w:pPr>
      <w:r>
        <w:rPr>
          <w:rFonts w:hint="eastAsia" w:ascii="宋体" w:hAnsi="宋体"/>
          <w:bCs/>
          <w:color w:val="auto"/>
          <w:sz w:val="28"/>
          <w:szCs w:val="28"/>
          <w:highlight w:val="none"/>
        </w:rPr>
        <w:t>1、因乙方不履行合同或履行合同不符合约定而给甲方造成损失的，乙方负责赔偿直接损失，该损失赔偿额以合同价款为限。</w:t>
      </w:r>
    </w:p>
    <w:p w14:paraId="009D39BF">
      <w:pPr>
        <w:spacing w:line="420" w:lineRule="exact"/>
        <w:ind w:firstLine="560" w:firstLineChars="200"/>
        <w:rPr>
          <w:rFonts w:ascii="宋体" w:hAnsi="宋体"/>
          <w:color w:val="auto"/>
          <w:sz w:val="28"/>
          <w:szCs w:val="28"/>
          <w:highlight w:val="none"/>
        </w:rPr>
      </w:pPr>
      <w:r>
        <w:rPr>
          <w:rFonts w:hint="eastAsia" w:ascii="宋体" w:hAnsi="宋体"/>
          <w:bCs/>
          <w:color w:val="auto"/>
          <w:sz w:val="28"/>
          <w:szCs w:val="28"/>
          <w:highlight w:val="none"/>
        </w:rPr>
        <w:t>2、</w:t>
      </w:r>
      <w:r>
        <w:rPr>
          <w:rFonts w:hint="eastAsia" w:ascii="宋体" w:hAnsi="宋体"/>
          <w:color w:val="auto"/>
          <w:sz w:val="28"/>
          <w:szCs w:val="28"/>
          <w:highlight w:val="none"/>
        </w:rPr>
        <w:t>乙方未在承诺时间内到达现场处理设备故障的，每次扣除合同款的1%，总金额不超过合同款的5%。</w:t>
      </w:r>
    </w:p>
    <w:p w14:paraId="6BB41C83">
      <w:pPr>
        <w:spacing w:line="420" w:lineRule="exact"/>
        <w:ind w:firstLine="548" w:firstLineChars="196"/>
        <w:rPr>
          <w:rFonts w:ascii="宋体" w:hAnsi="宋体"/>
          <w:bCs/>
          <w:color w:val="auto"/>
          <w:sz w:val="28"/>
          <w:szCs w:val="28"/>
          <w:highlight w:val="none"/>
        </w:rPr>
      </w:pPr>
      <w:r>
        <w:rPr>
          <w:rFonts w:hint="eastAsia" w:ascii="宋体" w:hAnsi="宋体"/>
          <w:bCs/>
          <w:color w:val="auto"/>
          <w:sz w:val="28"/>
          <w:szCs w:val="28"/>
          <w:highlight w:val="none"/>
        </w:rPr>
        <w:t>3、乙方承诺在保修期内，每个保修年度内，未能保证设备正常开机率达到95%（3</w:t>
      </w:r>
      <w:r>
        <w:rPr>
          <w:rFonts w:ascii="宋体" w:hAnsi="宋体"/>
          <w:bCs/>
          <w:color w:val="auto"/>
          <w:sz w:val="28"/>
          <w:szCs w:val="28"/>
          <w:highlight w:val="none"/>
        </w:rPr>
        <w:t>65</w:t>
      </w:r>
      <w:r>
        <w:rPr>
          <w:rFonts w:hint="eastAsia" w:ascii="宋体" w:hAnsi="宋体"/>
          <w:bCs/>
          <w:color w:val="auto"/>
          <w:sz w:val="28"/>
          <w:szCs w:val="28"/>
          <w:highlight w:val="none"/>
        </w:rPr>
        <w:t>天ⅹ9</w:t>
      </w:r>
      <w:r>
        <w:rPr>
          <w:rFonts w:ascii="宋体" w:hAnsi="宋体"/>
          <w:bCs/>
          <w:color w:val="auto"/>
          <w:sz w:val="28"/>
          <w:szCs w:val="28"/>
          <w:highlight w:val="none"/>
        </w:rPr>
        <w:t>5</w:t>
      </w:r>
      <w:r>
        <w:rPr>
          <w:rFonts w:hint="eastAsia" w:ascii="宋体" w:hAnsi="宋体"/>
          <w:bCs/>
          <w:color w:val="auto"/>
          <w:sz w:val="28"/>
          <w:szCs w:val="28"/>
          <w:highlight w:val="none"/>
        </w:rPr>
        <w:t>%≈</w:t>
      </w:r>
      <w:r>
        <w:rPr>
          <w:rFonts w:ascii="宋体" w:hAnsi="宋体"/>
          <w:bCs/>
          <w:color w:val="auto"/>
          <w:sz w:val="28"/>
          <w:szCs w:val="28"/>
          <w:highlight w:val="none"/>
        </w:rPr>
        <w:t>347</w:t>
      </w:r>
      <w:r>
        <w:rPr>
          <w:rFonts w:hint="eastAsia" w:ascii="宋体" w:hAnsi="宋体"/>
          <w:bCs/>
          <w:color w:val="auto"/>
          <w:sz w:val="28"/>
          <w:szCs w:val="28"/>
          <w:highlight w:val="none"/>
        </w:rPr>
        <w:t>天）；如停机时间超过18天，则每超过一天，则质保期往后顺</w:t>
      </w:r>
      <w:r>
        <w:rPr>
          <w:rFonts w:hint="eastAsia" w:ascii="宋体" w:hAnsi="宋体"/>
          <w:bCs/>
          <w:color w:val="auto"/>
          <w:sz w:val="28"/>
          <w:szCs w:val="28"/>
          <w:highlight w:val="none"/>
          <w:lang w:val="en-US" w:eastAsia="zh-CN"/>
        </w:rPr>
        <w:t>延</w:t>
      </w:r>
      <w:r>
        <w:rPr>
          <w:rFonts w:hint="eastAsia" w:ascii="宋体" w:hAnsi="宋体"/>
          <w:bCs/>
          <w:color w:val="auto"/>
          <w:sz w:val="28"/>
          <w:szCs w:val="28"/>
          <w:highlight w:val="none"/>
        </w:rPr>
        <w:t>10天。</w:t>
      </w:r>
    </w:p>
    <w:p w14:paraId="585A5AB3">
      <w:pPr>
        <w:spacing w:line="420" w:lineRule="exact"/>
        <w:ind w:firstLine="548" w:firstLineChars="196"/>
        <w:rPr>
          <w:rFonts w:ascii="宋体" w:hAnsi="宋体"/>
          <w:bCs/>
          <w:color w:val="auto"/>
          <w:sz w:val="28"/>
          <w:szCs w:val="28"/>
          <w:highlight w:val="none"/>
        </w:rPr>
      </w:pPr>
      <w:r>
        <w:rPr>
          <w:rFonts w:hint="eastAsia" w:ascii="宋体" w:hAnsi="宋体"/>
          <w:color w:val="auto"/>
          <w:sz w:val="28"/>
          <w:szCs w:val="28"/>
          <w:highlight w:val="none"/>
        </w:rPr>
        <w:t>七、乙方在保修期内维护保养的次数及内容、更换维修配件的数目及发生的所有费用，以保修期结束后甲乙双方共同核对为准，相关文件交甲方存档。</w:t>
      </w:r>
    </w:p>
    <w:p w14:paraId="4EA5AB82">
      <w:pPr>
        <w:spacing w:line="420" w:lineRule="exact"/>
        <w:ind w:firstLine="560" w:firstLineChars="200"/>
        <w:rPr>
          <w:rFonts w:ascii="宋体" w:hAnsi="宋体"/>
          <w:color w:val="auto"/>
          <w:sz w:val="28"/>
          <w:szCs w:val="28"/>
          <w:highlight w:val="none"/>
        </w:rPr>
      </w:pPr>
      <w:r>
        <w:rPr>
          <w:rFonts w:hint="eastAsia" w:ascii="宋体" w:hAnsi="宋体"/>
          <w:bCs/>
          <w:color w:val="auto"/>
          <w:sz w:val="28"/>
          <w:szCs w:val="28"/>
          <w:highlight w:val="none"/>
        </w:rPr>
        <w:t>八、</w:t>
      </w:r>
      <w:r>
        <w:rPr>
          <w:rFonts w:hint="eastAsia" w:ascii="宋体" w:hAnsi="宋体"/>
          <w:color w:val="auto"/>
          <w:sz w:val="28"/>
          <w:szCs w:val="28"/>
          <w:highlight w:val="none"/>
        </w:rPr>
        <w:t>合同执行期间如不能履行或需要修改，必须经双方同意，并互相换文或另订合同，方为有效。</w:t>
      </w:r>
    </w:p>
    <w:p w14:paraId="6AC8BAED">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九、纠纷的解决方式：因合同引起的或与本合同有关的任何争议，由双方当事人协商解决；也可以向有关部门申请调解。协商或调解不成，当事人可依照有关法律规定将争议提交仲裁，或向甲方所在地的人民法院起诉。</w:t>
      </w:r>
    </w:p>
    <w:p w14:paraId="4147D7B1">
      <w:pPr>
        <w:spacing w:line="42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十、</w:t>
      </w:r>
      <w:r>
        <w:rPr>
          <w:rFonts w:hint="eastAsia" w:ascii="宋体" w:hAnsi="宋体" w:cs="Arial"/>
          <w:color w:val="auto"/>
          <w:sz w:val="28"/>
          <w:szCs w:val="28"/>
          <w:highlight w:val="none"/>
        </w:rPr>
        <w:t>本合同一式伍份，甲方执</w:t>
      </w:r>
      <w:r>
        <w:rPr>
          <w:rFonts w:hint="eastAsia" w:ascii="宋体" w:hAnsi="宋体" w:cs="Arial"/>
          <w:color w:val="auto"/>
          <w:sz w:val="28"/>
          <w:szCs w:val="28"/>
          <w:highlight w:val="none"/>
          <w:lang w:val="en-US" w:eastAsia="zh-CN"/>
        </w:rPr>
        <w:t>叁</w:t>
      </w:r>
      <w:r>
        <w:rPr>
          <w:rFonts w:hint="eastAsia" w:ascii="宋体" w:hAnsi="宋体" w:cs="Arial"/>
          <w:color w:val="auto"/>
          <w:sz w:val="28"/>
          <w:szCs w:val="28"/>
          <w:highlight w:val="none"/>
        </w:rPr>
        <w:t>份，乙方执壹份，代理机构执壹份。本合同经甲乙双方签字盖章后生效，补充协议含售后服务承诺书等，与本合同具有同等法律效力。如甲乙双方合同条款内容不一致，以甲方存档的文本为正本。</w:t>
      </w:r>
    </w:p>
    <w:p w14:paraId="3961781C">
      <w:pPr>
        <w:spacing w:line="400" w:lineRule="exact"/>
        <w:ind w:firstLine="560" w:firstLineChars="200"/>
        <w:rPr>
          <w:rFonts w:ascii="宋体" w:hAnsi="宋体" w:cs="Arial"/>
          <w:color w:val="auto"/>
          <w:sz w:val="28"/>
          <w:szCs w:val="28"/>
          <w:highlight w:val="none"/>
        </w:rPr>
      </w:pPr>
      <w:r>
        <w:rPr>
          <w:rFonts w:hint="eastAsia" w:ascii="宋体" w:hAnsi="宋体" w:cs="Arial"/>
          <w:color w:val="auto"/>
          <w:sz w:val="28"/>
          <w:szCs w:val="28"/>
          <w:highlight w:val="none"/>
        </w:rPr>
        <w:t>十一、本合同尾部及《廉洁合同》载明的乙方地址及联系人用于接收往来函件及诉讼法律文书，且适用于因本合同履行相关的一切纠纷处理程序（如仲裁、诉讼、执行等）的送达。如有变更乙方需以书面方式通知甲方，未书面通知变更的，凡向合同记载地址或联系方式发送的文件及信息，无论是否实际收到，均视为有效送达。</w:t>
      </w:r>
    </w:p>
    <w:p w14:paraId="1755D10B">
      <w:pPr>
        <w:spacing w:line="400" w:lineRule="exact"/>
        <w:ind w:firstLine="562" w:firstLineChars="200"/>
        <w:rPr>
          <w:rFonts w:ascii="宋体" w:hAnsi="宋体" w:cs="Arial"/>
          <w:b/>
          <w:color w:val="auto"/>
          <w:sz w:val="28"/>
          <w:szCs w:val="28"/>
          <w:highlight w:val="none"/>
        </w:rPr>
      </w:pPr>
      <w:r>
        <w:rPr>
          <w:rFonts w:hint="eastAsia" w:ascii="宋体" w:hAnsi="宋体" w:cs="Arial"/>
          <w:b/>
          <w:color w:val="auto"/>
          <w:sz w:val="28"/>
          <w:szCs w:val="28"/>
          <w:highlight w:val="none"/>
        </w:rPr>
        <w:t>十二、本合同如有未尽事宜，甲乙双方另行协商。</w:t>
      </w:r>
    </w:p>
    <w:p w14:paraId="671B817D">
      <w:pPr>
        <w:spacing w:line="400" w:lineRule="exact"/>
        <w:ind w:firstLine="562" w:firstLineChars="200"/>
        <w:rPr>
          <w:rFonts w:ascii="宋体" w:hAnsi="宋体" w:cs="Arial"/>
          <w:b/>
          <w:color w:val="auto"/>
          <w:sz w:val="28"/>
          <w:szCs w:val="28"/>
          <w:highlight w:val="none"/>
        </w:rPr>
      </w:pPr>
      <w:r>
        <w:rPr>
          <w:rFonts w:hint="eastAsia" w:ascii="宋体" w:hAnsi="宋体" w:cs="Arial"/>
          <w:b/>
          <w:color w:val="auto"/>
          <w:sz w:val="28"/>
          <w:szCs w:val="28"/>
          <w:highlight w:val="none"/>
        </w:rPr>
        <w:t>十三、附件：</w:t>
      </w:r>
    </w:p>
    <w:tbl>
      <w:tblPr>
        <w:tblStyle w:val="52"/>
        <w:tblW w:w="0" w:type="auto"/>
        <w:jc w:val="center"/>
        <w:tblLayout w:type="autofit"/>
        <w:tblCellMar>
          <w:top w:w="0" w:type="dxa"/>
          <w:left w:w="108" w:type="dxa"/>
          <w:bottom w:w="0" w:type="dxa"/>
          <w:right w:w="108" w:type="dxa"/>
        </w:tblCellMar>
      </w:tblPr>
      <w:tblGrid>
        <w:gridCol w:w="5627"/>
        <w:gridCol w:w="3944"/>
      </w:tblGrid>
      <w:tr w14:paraId="6D0857D5">
        <w:tblPrEx>
          <w:tblCellMar>
            <w:top w:w="0" w:type="dxa"/>
            <w:left w:w="108" w:type="dxa"/>
            <w:bottom w:w="0" w:type="dxa"/>
            <w:right w:w="108" w:type="dxa"/>
          </w:tblCellMar>
        </w:tblPrEx>
        <w:trPr>
          <w:jc w:val="center"/>
        </w:trPr>
        <w:tc>
          <w:tcPr>
            <w:tcW w:w="5627" w:type="dxa"/>
          </w:tcPr>
          <w:p w14:paraId="6630447F">
            <w:pPr>
              <w:spacing w:line="480" w:lineRule="auto"/>
              <w:rPr>
                <w:rFonts w:ascii="宋体" w:hAnsi="宋体" w:cs="Arial"/>
                <w:color w:val="auto"/>
                <w:sz w:val="28"/>
                <w:szCs w:val="28"/>
                <w:highlight w:val="none"/>
              </w:rPr>
            </w:pPr>
            <w:r>
              <w:rPr>
                <w:rFonts w:hint="eastAsia" w:ascii="宋体" w:hAnsi="宋体" w:cs="Arial"/>
                <w:color w:val="auto"/>
                <w:sz w:val="28"/>
                <w:szCs w:val="28"/>
                <w:highlight w:val="none"/>
              </w:rPr>
              <w:t>甲方（盖章）：桂林医科大学第一附属医院</w:t>
            </w:r>
          </w:p>
        </w:tc>
        <w:tc>
          <w:tcPr>
            <w:tcW w:w="3944" w:type="dxa"/>
          </w:tcPr>
          <w:p w14:paraId="255D8201">
            <w:pPr>
              <w:spacing w:line="480" w:lineRule="auto"/>
              <w:rPr>
                <w:rFonts w:ascii="宋体" w:hAnsi="宋体" w:cs="Arial"/>
                <w:color w:val="auto"/>
                <w:sz w:val="28"/>
                <w:szCs w:val="28"/>
                <w:highlight w:val="none"/>
              </w:rPr>
            </w:pPr>
            <w:r>
              <w:rPr>
                <w:rFonts w:hint="eastAsia" w:ascii="宋体" w:hAnsi="宋体" w:cs="Arial"/>
                <w:color w:val="auto"/>
                <w:sz w:val="28"/>
                <w:szCs w:val="28"/>
                <w:highlight w:val="none"/>
              </w:rPr>
              <w:t>乙方（盖章）：</w:t>
            </w:r>
          </w:p>
        </w:tc>
      </w:tr>
      <w:tr w14:paraId="3F986009">
        <w:tblPrEx>
          <w:tblCellMar>
            <w:top w:w="0" w:type="dxa"/>
            <w:left w:w="108" w:type="dxa"/>
            <w:bottom w:w="0" w:type="dxa"/>
            <w:right w:w="108" w:type="dxa"/>
          </w:tblCellMar>
        </w:tblPrEx>
        <w:trPr>
          <w:jc w:val="center"/>
        </w:trPr>
        <w:tc>
          <w:tcPr>
            <w:tcW w:w="5627" w:type="dxa"/>
          </w:tcPr>
          <w:p w14:paraId="026CA37C">
            <w:pPr>
              <w:spacing w:line="480" w:lineRule="auto"/>
              <w:rPr>
                <w:rFonts w:ascii="宋体" w:hAnsi="宋体" w:cs="Arial"/>
                <w:color w:val="auto"/>
                <w:sz w:val="28"/>
                <w:szCs w:val="28"/>
                <w:highlight w:val="none"/>
              </w:rPr>
            </w:pPr>
            <w:r>
              <w:rPr>
                <w:rFonts w:hint="eastAsia" w:ascii="宋体" w:hAnsi="宋体" w:cs="Arial"/>
                <w:color w:val="auto"/>
                <w:sz w:val="28"/>
                <w:szCs w:val="28"/>
                <w:highlight w:val="none"/>
              </w:rPr>
              <w:t>地址：桂林市秀峰区乐群路15号</w:t>
            </w:r>
          </w:p>
        </w:tc>
        <w:tc>
          <w:tcPr>
            <w:tcW w:w="3944" w:type="dxa"/>
          </w:tcPr>
          <w:p w14:paraId="1ECA2AB9">
            <w:pPr>
              <w:spacing w:line="480" w:lineRule="auto"/>
              <w:rPr>
                <w:rFonts w:ascii="宋体" w:hAnsi="宋体" w:cs="Arial"/>
                <w:color w:val="auto"/>
                <w:sz w:val="28"/>
                <w:szCs w:val="28"/>
                <w:highlight w:val="none"/>
              </w:rPr>
            </w:pPr>
            <w:r>
              <w:rPr>
                <w:rFonts w:hint="eastAsia" w:ascii="宋体" w:hAnsi="宋体" w:cs="Arial"/>
                <w:color w:val="auto"/>
                <w:sz w:val="28"/>
                <w:szCs w:val="28"/>
                <w:highlight w:val="none"/>
              </w:rPr>
              <w:t>地址：</w:t>
            </w:r>
          </w:p>
          <w:p w14:paraId="3EB7B9C4">
            <w:pPr>
              <w:spacing w:line="400" w:lineRule="exact"/>
              <w:rPr>
                <w:rFonts w:ascii="宋体" w:hAnsi="宋体" w:cs="Arial"/>
                <w:color w:val="auto"/>
                <w:sz w:val="28"/>
                <w:szCs w:val="28"/>
                <w:highlight w:val="none"/>
              </w:rPr>
            </w:pPr>
            <w:r>
              <w:rPr>
                <w:rFonts w:hint="eastAsia" w:ascii="宋体" w:hAnsi="宋体" w:cs="Arial"/>
                <w:color w:val="auto"/>
                <w:sz w:val="28"/>
                <w:szCs w:val="28"/>
                <w:highlight w:val="none"/>
              </w:rPr>
              <w:t>银行账号：</w:t>
            </w:r>
          </w:p>
          <w:p w14:paraId="1B8FB50B">
            <w:pPr>
              <w:spacing w:line="480" w:lineRule="auto"/>
              <w:rPr>
                <w:rFonts w:ascii="宋体" w:hAnsi="宋体" w:cs="Arial"/>
                <w:color w:val="auto"/>
                <w:sz w:val="28"/>
                <w:szCs w:val="28"/>
                <w:highlight w:val="none"/>
              </w:rPr>
            </w:pPr>
            <w:r>
              <w:rPr>
                <w:rFonts w:hint="eastAsia" w:ascii="宋体" w:hAnsi="宋体" w:cs="Arial"/>
                <w:color w:val="auto"/>
                <w:sz w:val="28"/>
                <w:szCs w:val="28"/>
                <w:highlight w:val="none"/>
              </w:rPr>
              <w:t>开户行：</w:t>
            </w:r>
          </w:p>
        </w:tc>
      </w:tr>
      <w:tr w14:paraId="19A9D86D">
        <w:tblPrEx>
          <w:tblCellMar>
            <w:top w:w="0" w:type="dxa"/>
            <w:left w:w="108" w:type="dxa"/>
            <w:bottom w:w="0" w:type="dxa"/>
            <w:right w:w="108" w:type="dxa"/>
          </w:tblCellMar>
        </w:tblPrEx>
        <w:trPr>
          <w:jc w:val="center"/>
        </w:trPr>
        <w:tc>
          <w:tcPr>
            <w:tcW w:w="5627" w:type="dxa"/>
          </w:tcPr>
          <w:p w14:paraId="46D89C9B">
            <w:pPr>
              <w:spacing w:line="480" w:lineRule="auto"/>
              <w:rPr>
                <w:rFonts w:ascii="宋体" w:hAnsi="宋体" w:cs="Arial"/>
                <w:color w:val="auto"/>
                <w:sz w:val="28"/>
                <w:szCs w:val="28"/>
                <w:highlight w:val="none"/>
              </w:rPr>
            </w:pPr>
            <w:r>
              <w:rPr>
                <w:rFonts w:hint="eastAsia" w:ascii="宋体" w:hAnsi="宋体" w:cs="Arial"/>
                <w:color w:val="auto"/>
                <w:sz w:val="28"/>
                <w:szCs w:val="28"/>
                <w:highlight w:val="none"/>
              </w:rPr>
              <w:t xml:space="preserve">电话：0773-2802050  </w:t>
            </w:r>
          </w:p>
        </w:tc>
        <w:tc>
          <w:tcPr>
            <w:tcW w:w="3944" w:type="dxa"/>
          </w:tcPr>
          <w:p w14:paraId="4F428B17">
            <w:pPr>
              <w:spacing w:line="480" w:lineRule="auto"/>
              <w:rPr>
                <w:rFonts w:ascii="宋体" w:hAnsi="宋体" w:cs="Arial"/>
                <w:color w:val="auto"/>
                <w:sz w:val="28"/>
                <w:szCs w:val="28"/>
                <w:highlight w:val="none"/>
              </w:rPr>
            </w:pPr>
            <w:r>
              <w:rPr>
                <w:rFonts w:hint="eastAsia" w:ascii="宋体" w:hAnsi="宋体" w:cs="Arial"/>
                <w:color w:val="auto"/>
                <w:sz w:val="28"/>
                <w:szCs w:val="28"/>
                <w:highlight w:val="none"/>
              </w:rPr>
              <w:t>电话：</w:t>
            </w:r>
          </w:p>
        </w:tc>
      </w:tr>
      <w:tr w14:paraId="0D44C8DA">
        <w:tblPrEx>
          <w:tblCellMar>
            <w:top w:w="0" w:type="dxa"/>
            <w:left w:w="108" w:type="dxa"/>
            <w:bottom w:w="0" w:type="dxa"/>
            <w:right w:w="108" w:type="dxa"/>
          </w:tblCellMar>
        </w:tblPrEx>
        <w:trPr>
          <w:jc w:val="center"/>
        </w:trPr>
        <w:tc>
          <w:tcPr>
            <w:tcW w:w="5627" w:type="dxa"/>
          </w:tcPr>
          <w:p w14:paraId="13D5FC40">
            <w:pPr>
              <w:spacing w:line="480" w:lineRule="auto"/>
              <w:rPr>
                <w:rFonts w:ascii="宋体" w:hAnsi="宋体" w:cs="Arial"/>
                <w:color w:val="auto"/>
                <w:sz w:val="28"/>
                <w:szCs w:val="28"/>
                <w:highlight w:val="none"/>
              </w:rPr>
            </w:pPr>
            <w:r>
              <w:rPr>
                <w:rFonts w:hint="eastAsia" w:ascii="宋体" w:hAnsi="宋体" w:cs="Arial"/>
                <w:color w:val="auto"/>
                <w:sz w:val="28"/>
                <w:szCs w:val="28"/>
                <w:highlight w:val="none"/>
              </w:rPr>
              <w:t>法人代表：</w:t>
            </w:r>
          </w:p>
        </w:tc>
        <w:tc>
          <w:tcPr>
            <w:tcW w:w="3944" w:type="dxa"/>
          </w:tcPr>
          <w:p w14:paraId="7FEEC4DB">
            <w:pPr>
              <w:spacing w:line="480" w:lineRule="auto"/>
              <w:rPr>
                <w:rFonts w:ascii="宋体" w:hAnsi="宋体" w:cs="Arial"/>
                <w:color w:val="auto"/>
                <w:sz w:val="28"/>
                <w:szCs w:val="28"/>
                <w:highlight w:val="none"/>
              </w:rPr>
            </w:pPr>
            <w:r>
              <w:rPr>
                <w:rFonts w:hint="eastAsia" w:ascii="宋体" w:hAnsi="宋体" w:cs="Arial"/>
                <w:color w:val="auto"/>
                <w:sz w:val="28"/>
                <w:szCs w:val="28"/>
                <w:highlight w:val="none"/>
              </w:rPr>
              <w:t>法人代表：</w:t>
            </w:r>
          </w:p>
        </w:tc>
      </w:tr>
      <w:tr w14:paraId="6A93B491">
        <w:tblPrEx>
          <w:tblCellMar>
            <w:top w:w="0" w:type="dxa"/>
            <w:left w:w="108" w:type="dxa"/>
            <w:bottom w:w="0" w:type="dxa"/>
            <w:right w:w="108" w:type="dxa"/>
          </w:tblCellMar>
        </w:tblPrEx>
        <w:trPr>
          <w:jc w:val="center"/>
        </w:trPr>
        <w:tc>
          <w:tcPr>
            <w:tcW w:w="5627" w:type="dxa"/>
          </w:tcPr>
          <w:p w14:paraId="54C63653">
            <w:pPr>
              <w:spacing w:line="480" w:lineRule="auto"/>
              <w:rPr>
                <w:rFonts w:ascii="宋体" w:hAnsi="宋体" w:cs="Arial"/>
                <w:color w:val="auto"/>
                <w:sz w:val="28"/>
                <w:szCs w:val="28"/>
                <w:highlight w:val="none"/>
              </w:rPr>
            </w:pPr>
            <w:r>
              <w:rPr>
                <w:rFonts w:hint="eastAsia" w:ascii="宋体" w:hAnsi="宋体" w:cs="Arial"/>
                <w:color w:val="auto"/>
                <w:sz w:val="28"/>
                <w:szCs w:val="28"/>
                <w:highlight w:val="none"/>
              </w:rPr>
              <w:t>委托代理人：</w:t>
            </w:r>
          </w:p>
        </w:tc>
        <w:tc>
          <w:tcPr>
            <w:tcW w:w="3944" w:type="dxa"/>
          </w:tcPr>
          <w:p w14:paraId="0ABC0EB0">
            <w:pPr>
              <w:spacing w:line="480" w:lineRule="auto"/>
              <w:rPr>
                <w:rFonts w:ascii="宋体" w:hAnsi="宋体" w:cs="Arial"/>
                <w:color w:val="auto"/>
                <w:sz w:val="28"/>
                <w:szCs w:val="28"/>
                <w:highlight w:val="none"/>
              </w:rPr>
            </w:pPr>
            <w:r>
              <w:rPr>
                <w:rFonts w:hint="eastAsia" w:ascii="宋体" w:hAnsi="宋体" w:cs="Arial"/>
                <w:color w:val="auto"/>
                <w:sz w:val="28"/>
                <w:szCs w:val="28"/>
                <w:highlight w:val="none"/>
              </w:rPr>
              <w:t>委托代理人：</w:t>
            </w:r>
          </w:p>
        </w:tc>
      </w:tr>
      <w:tr w14:paraId="47718995">
        <w:tblPrEx>
          <w:tblCellMar>
            <w:top w:w="0" w:type="dxa"/>
            <w:left w:w="108" w:type="dxa"/>
            <w:bottom w:w="0" w:type="dxa"/>
            <w:right w:w="108" w:type="dxa"/>
          </w:tblCellMar>
        </w:tblPrEx>
        <w:trPr>
          <w:jc w:val="center"/>
        </w:trPr>
        <w:tc>
          <w:tcPr>
            <w:tcW w:w="5627" w:type="dxa"/>
          </w:tcPr>
          <w:p w14:paraId="6DB10B07">
            <w:pPr>
              <w:spacing w:line="480" w:lineRule="auto"/>
              <w:rPr>
                <w:rFonts w:ascii="宋体" w:hAnsi="宋体" w:cs="Arial"/>
                <w:color w:val="auto"/>
                <w:sz w:val="28"/>
                <w:szCs w:val="28"/>
                <w:highlight w:val="none"/>
              </w:rPr>
            </w:pPr>
            <w:r>
              <w:rPr>
                <w:rFonts w:hint="eastAsia" w:ascii="宋体" w:hAnsi="宋体" w:cs="Arial"/>
                <w:color w:val="auto"/>
                <w:sz w:val="28"/>
                <w:szCs w:val="28"/>
                <w:highlight w:val="none"/>
              </w:rPr>
              <w:t>签订日期：</w:t>
            </w:r>
            <w:r>
              <w:rPr>
                <w:rFonts w:ascii="宋体" w:hAnsi="宋体" w:cs="Arial"/>
                <w:color w:val="auto"/>
                <w:sz w:val="28"/>
                <w:szCs w:val="28"/>
                <w:highlight w:val="none"/>
              </w:rPr>
              <w:t xml:space="preserve">202   </w:t>
            </w:r>
            <w:r>
              <w:rPr>
                <w:rFonts w:hint="eastAsia" w:ascii="宋体" w:hAnsi="宋体" w:cs="Arial"/>
                <w:color w:val="auto"/>
                <w:sz w:val="28"/>
                <w:szCs w:val="28"/>
                <w:highlight w:val="none"/>
              </w:rPr>
              <w:t xml:space="preserve">年   月   日  </w:t>
            </w:r>
          </w:p>
        </w:tc>
        <w:tc>
          <w:tcPr>
            <w:tcW w:w="3944" w:type="dxa"/>
          </w:tcPr>
          <w:p w14:paraId="2EA9EAE1">
            <w:pPr>
              <w:spacing w:line="480" w:lineRule="auto"/>
              <w:rPr>
                <w:rFonts w:ascii="宋体" w:hAnsi="宋体" w:cs="Arial"/>
                <w:color w:val="auto"/>
                <w:sz w:val="28"/>
                <w:szCs w:val="28"/>
                <w:highlight w:val="none"/>
              </w:rPr>
            </w:pPr>
          </w:p>
        </w:tc>
      </w:tr>
    </w:tbl>
    <w:p w14:paraId="7EFB9A61">
      <w:pPr>
        <w:spacing w:line="400" w:lineRule="exact"/>
        <w:ind w:firstLine="960" w:firstLineChars="200"/>
        <w:rPr>
          <w:rFonts w:ascii="宋体" w:hAnsi="宋体" w:cs="Arial"/>
          <w:color w:val="auto"/>
          <w:sz w:val="48"/>
          <w:szCs w:val="48"/>
          <w:highlight w:val="none"/>
        </w:rPr>
      </w:pPr>
    </w:p>
    <w:p w14:paraId="485C95C1">
      <w:pPr>
        <w:rPr>
          <w:rFonts w:ascii="宋体" w:hAnsi="宋体"/>
          <w:color w:val="auto"/>
          <w:sz w:val="28"/>
          <w:szCs w:val="28"/>
          <w:highlight w:val="none"/>
        </w:rPr>
      </w:pPr>
      <w:r>
        <w:rPr>
          <w:rFonts w:hint="eastAsia" w:ascii="宋体" w:hAnsi="宋体"/>
          <w:color w:val="auto"/>
          <w:sz w:val="28"/>
          <w:szCs w:val="28"/>
          <w:highlight w:val="none"/>
        </w:rPr>
        <w:br w:type="page"/>
      </w:r>
    </w:p>
    <w:p w14:paraId="13AC0670">
      <w:pPr>
        <w:spacing w:line="400" w:lineRule="exact"/>
        <w:jc w:val="center"/>
        <w:rPr>
          <w:rFonts w:ascii="宋体" w:hAnsi="宋体"/>
          <w:b/>
          <w:color w:val="auto"/>
          <w:sz w:val="36"/>
          <w:szCs w:val="36"/>
          <w:highlight w:val="none"/>
        </w:rPr>
      </w:pPr>
      <w:r>
        <w:rPr>
          <w:rFonts w:hint="eastAsia" w:ascii="宋体" w:hAnsi="宋体"/>
          <w:b/>
          <w:color w:val="auto"/>
          <w:sz w:val="36"/>
          <w:szCs w:val="36"/>
          <w:highlight w:val="none"/>
        </w:rPr>
        <w:t>医疗卫生机构医药产品廉洁购销合同</w:t>
      </w:r>
    </w:p>
    <w:p w14:paraId="43AA67D8">
      <w:pPr>
        <w:spacing w:line="400" w:lineRule="exact"/>
        <w:ind w:firstLine="1405" w:firstLineChars="500"/>
        <w:rPr>
          <w:rFonts w:ascii="宋体" w:hAnsi="宋体"/>
          <w:b/>
          <w:color w:val="auto"/>
          <w:sz w:val="28"/>
          <w:szCs w:val="28"/>
          <w:highlight w:val="none"/>
        </w:rPr>
      </w:pPr>
      <w:r>
        <w:rPr>
          <w:rFonts w:hint="eastAsia" w:ascii="宋体" w:hAnsi="宋体"/>
          <w:b/>
          <w:color w:val="auto"/>
          <w:sz w:val="28"/>
          <w:szCs w:val="28"/>
          <w:highlight w:val="none"/>
        </w:rPr>
        <w:t>（含设备、耗材、后勤物资、基建工程、行业服务等）</w:t>
      </w:r>
    </w:p>
    <w:p w14:paraId="5D5F4106">
      <w:pPr>
        <w:spacing w:line="400" w:lineRule="exact"/>
        <w:rPr>
          <w:rFonts w:ascii="宋体" w:hAnsi="宋体"/>
          <w:b/>
          <w:color w:val="auto"/>
          <w:sz w:val="24"/>
          <w:highlight w:val="none"/>
        </w:rPr>
      </w:pPr>
      <w:r>
        <w:rPr>
          <w:rFonts w:hint="eastAsia" w:ascii="宋体" w:hAnsi="宋体"/>
          <w:b/>
          <w:color w:val="auto"/>
          <w:sz w:val="24"/>
          <w:highlight w:val="none"/>
        </w:rPr>
        <w:t>甲方（医疗卫生机构）：桂林医科大学第一附属医院</w:t>
      </w:r>
    </w:p>
    <w:p w14:paraId="2A18D348">
      <w:pPr>
        <w:spacing w:line="400" w:lineRule="exact"/>
        <w:rPr>
          <w:rFonts w:ascii="宋体" w:hAnsi="宋体"/>
          <w:b/>
          <w:color w:val="auto"/>
          <w:sz w:val="24"/>
          <w:highlight w:val="none"/>
        </w:rPr>
      </w:pPr>
      <w:r>
        <w:rPr>
          <w:rFonts w:hint="eastAsia" w:ascii="宋体" w:hAnsi="宋体"/>
          <w:b/>
          <w:color w:val="auto"/>
          <w:sz w:val="24"/>
          <w:highlight w:val="none"/>
        </w:rPr>
        <w:t>乙方（医药生产经营企业及其代理人）：</w:t>
      </w:r>
    </w:p>
    <w:p w14:paraId="56F03D6B">
      <w:pPr>
        <w:spacing w:line="400" w:lineRule="exact"/>
        <w:rPr>
          <w:rFonts w:ascii="宋体" w:hAnsi="宋体"/>
          <w:color w:val="auto"/>
          <w:sz w:val="24"/>
          <w:highlight w:val="none"/>
        </w:rPr>
      </w:pPr>
      <w:r>
        <w:rPr>
          <w:rFonts w:hint="eastAsia" w:ascii="宋体" w:hAnsi="宋体"/>
          <w:color w:val="auto"/>
          <w:sz w:val="24"/>
          <w:highlight w:val="none"/>
        </w:rPr>
        <w:t>为进一步加强医疗卫生行风建设，规范医疗卫生机构医药购销行为，有效防范商业贿赂行为，营造公平交易、诚实守信的购销环境，经甲、乙双方协商，同意签订本合同，并共同遵守：</w:t>
      </w:r>
    </w:p>
    <w:p w14:paraId="7DE536E0">
      <w:pPr>
        <w:spacing w:line="400" w:lineRule="exact"/>
        <w:ind w:firstLine="491" w:firstLineChars="205"/>
        <w:rPr>
          <w:rFonts w:ascii="宋体" w:hAnsi="宋体"/>
          <w:color w:val="auto"/>
          <w:sz w:val="24"/>
          <w:highlight w:val="none"/>
        </w:rPr>
      </w:pPr>
      <w:r>
        <w:rPr>
          <w:rFonts w:hint="eastAsia" w:ascii="宋体" w:hAnsi="宋体"/>
          <w:color w:val="auto"/>
          <w:sz w:val="24"/>
          <w:highlight w:val="none"/>
        </w:rPr>
        <w:t>一、甲乙双方按照《中华人民共和国民法典》及医药产品购销合同约定购销药品、医用设备、医用耗材试剂等医药产品。</w:t>
      </w:r>
    </w:p>
    <w:p w14:paraId="2314165B">
      <w:pPr>
        <w:spacing w:line="400" w:lineRule="exact"/>
        <w:ind w:firstLine="491" w:firstLineChars="205"/>
        <w:rPr>
          <w:rFonts w:ascii="宋体" w:hAnsi="宋体"/>
          <w:color w:val="auto"/>
          <w:sz w:val="24"/>
          <w:highlight w:val="none"/>
        </w:rPr>
      </w:pPr>
      <w:r>
        <w:rPr>
          <w:rFonts w:hint="eastAsia" w:ascii="宋体" w:hAnsi="宋体"/>
          <w:color w:val="auto"/>
          <w:sz w:val="24"/>
          <w:highlight w:val="none"/>
        </w:rPr>
        <w:t>二、甲方应当严格执行医药产品购销合同验收、入库制度，对采购医药产品及发票进行查验，不得违反有关规定合同外采购、违价采购或从非规定渠道采购。</w:t>
      </w:r>
    </w:p>
    <w:p w14:paraId="0BECFD9C">
      <w:pPr>
        <w:spacing w:line="400" w:lineRule="exact"/>
        <w:ind w:firstLine="491" w:firstLineChars="205"/>
        <w:rPr>
          <w:rFonts w:ascii="宋体" w:hAnsi="宋体"/>
          <w:color w:val="auto"/>
          <w:sz w:val="24"/>
          <w:highlight w:val="none"/>
        </w:rPr>
      </w:pPr>
      <w:r>
        <w:rPr>
          <w:rFonts w:hint="eastAsia" w:ascii="宋体" w:hAnsi="宋体"/>
          <w:color w:val="auto"/>
          <w:sz w:val="24"/>
          <w:highlight w:val="none"/>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6BE108BF">
      <w:pPr>
        <w:spacing w:line="400" w:lineRule="exact"/>
        <w:ind w:firstLine="491" w:firstLineChars="205"/>
        <w:rPr>
          <w:rFonts w:ascii="宋体" w:hAnsi="宋体"/>
          <w:color w:val="auto"/>
          <w:sz w:val="24"/>
          <w:highlight w:val="none"/>
        </w:rPr>
      </w:pPr>
      <w:r>
        <w:rPr>
          <w:rFonts w:hint="eastAsia" w:ascii="宋体" w:hAnsi="宋体"/>
          <w:color w:val="auto"/>
          <w:sz w:val="24"/>
          <w:highlight w:val="none"/>
        </w:rPr>
        <w:t>四、严禁甲方工作人员利用任何途径和方式，为乙方统计医师个人及临床科室有关医药产品用量信息，或为乙方统计提供便利。</w:t>
      </w:r>
    </w:p>
    <w:p w14:paraId="32B9FD60">
      <w:pPr>
        <w:spacing w:line="400" w:lineRule="exact"/>
        <w:ind w:firstLine="491" w:firstLineChars="205"/>
        <w:rPr>
          <w:rFonts w:ascii="宋体" w:hAnsi="宋体"/>
          <w:color w:val="auto"/>
          <w:sz w:val="24"/>
          <w:highlight w:val="none"/>
        </w:rPr>
      </w:pPr>
      <w:r>
        <w:rPr>
          <w:rFonts w:hint="eastAsia" w:ascii="宋体" w:hAnsi="宋体"/>
          <w:color w:val="auto"/>
          <w:sz w:val="24"/>
          <w:highlight w:val="none"/>
        </w:rPr>
        <w:t>五、乙方不得以回扣、宴请等方式影响甲方工作人员采购或使用医药产品的选择权，不得在学术活动中提供旅游、超标准支付食宿费用。</w:t>
      </w:r>
    </w:p>
    <w:p w14:paraId="6D9CE522">
      <w:pPr>
        <w:spacing w:line="400" w:lineRule="exact"/>
        <w:ind w:firstLine="491" w:firstLineChars="205"/>
        <w:rPr>
          <w:rFonts w:ascii="宋体" w:hAnsi="宋体"/>
          <w:color w:val="auto"/>
          <w:sz w:val="24"/>
          <w:highlight w:val="none"/>
        </w:rPr>
      </w:pPr>
      <w:r>
        <w:rPr>
          <w:rFonts w:hint="eastAsia" w:ascii="宋体" w:hAnsi="宋体"/>
          <w:color w:val="auto"/>
          <w:sz w:val="24"/>
          <w:highlight w:val="none"/>
        </w:rPr>
        <w:t>六、乙方指定</w:t>
      </w:r>
      <w:r>
        <w:rPr>
          <w:rFonts w:hint="eastAsia" w:ascii="宋体" w:hAnsi="宋体"/>
          <w:color w:val="auto"/>
          <w:sz w:val="24"/>
          <w:highlight w:val="none"/>
          <w:u w:val="single"/>
        </w:rPr>
        <w:t xml:space="preserve">    姓名：    </w:t>
      </w:r>
      <w:r>
        <w:rPr>
          <w:rFonts w:hint="eastAsia" w:ascii="宋体" w:hAnsi="宋体"/>
          <w:b/>
          <w:color w:val="auto"/>
          <w:sz w:val="24"/>
          <w:highlight w:val="none"/>
        </w:rPr>
        <w:t>电话：</w:t>
      </w:r>
      <w:r>
        <w:rPr>
          <w:rFonts w:hint="eastAsia" w:ascii="宋体" w:hAnsi="宋体"/>
          <w:color w:val="auto"/>
          <w:sz w:val="24"/>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71FF3154">
      <w:pPr>
        <w:spacing w:line="400" w:lineRule="exact"/>
        <w:ind w:firstLine="491" w:firstLineChars="205"/>
        <w:rPr>
          <w:rFonts w:ascii="宋体" w:hAnsi="宋体"/>
          <w:color w:val="auto"/>
          <w:sz w:val="24"/>
          <w:highlight w:val="none"/>
        </w:rPr>
      </w:pPr>
      <w:r>
        <w:rPr>
          <w:rFonts w:hint="eastAsia" w:ascii="宋体" w:hAnsi="宋体"/>
          <w:color w:val="auto"/>
          <w:sz w:val="24"/>
          <w:highlight w:val="none"/>
        </w:rPr>
        <w:t>七、乙方如违反本合同，一经发现，甲方有权终止购销合同，并向有关卫生计生行政部门报告。如乙方被列入商业贿赂不良记录，则按照《国家卫生计生委关于建立医药购销领域商业贿赂不良记录的规定》（国卫法制发[2013]50号）相关规定处理。</w:t>
      </w:r>
    </w:p>
    <w:p w14:paraId="3323321D">
      <w:pPr>
        <w:spacing w:line="400" w:lineRule="exact"/>
        <w:ind w:firstLine="491" w:firstLineChars="205"/>
        <w:rPr>
          <w:rFonts w:ascii="宋体" w:hAnsi="宋体"/>
          <w:color w:val="auto"/>
          <w:sz w:val="24"/>
          <w:highlight w:val="none"/>
        </w:rPr>
      </w:pPr>
      <w:r>
        <w:rPr>
          <w:rFonts w:hint="eastAsia" w:ascii="宋体" w:hAnsi="宋体"/>
          <w:color w:val="auto"/>
          <w:sz w:val="24"/>
          <w:highlight w:val="none"/>
        </w:rPr>
        <w:t>八、本合同作为医药产品购销合同的重要组成部分，与购销合同一并执行，具有同等的法律效力。</w:t>
      </w:r>
    </w:p>
    <w:p w14:paraId="40D24CE3">
      <w:pPr>
        <w:spacing w:line="400" w:lineRule="exact"/>
        <w:ind w:firstLine="491" w:firstLineChars="205"/>
        <w:rPr>
          <w:rFonts w:ascii="宋体" w:hAnsi="宋体"/>
          <w:color w:val="auto"/>
          <w:sz w:val="24"/>
          <w:highlight w:val="none"/>
        </w:rPr>
      </w:pPr>
      <w:r>
        <w:rPr>
          <w:rFonts w:hint="eastAsia" w:ascii="宋体" w:hAnsi="宋体"/>
          <w:color w:val="auto"/>
          <w:sz w:val="24"/>
          <w:highlight w:val="none"/>
        </w:rPr>
        <w:t>九、本合同一式肆份，甲方执叁份，乙方执壹份，并从签订之日起生效。</w:t>
      </w:r>
    </w:p>
    <w:p w14:paraId="7766D434">
      <w:pPr>
        <w:spacing w:line="400" w:lineRule="exact"/>
        <w:rPr>
          <w:rFonts w:ascii="宋体" w:hAnsi="宋体"/>
          <w:color w:val="auto"/>
          <w:sz w:val="24"/>
          <w:highlight w:val="none"/>
        </w:rPr>
      </w:pPr>
    </w:p>
    <w:p w14:paraId="465A6465">
      <w:pPr>
        <w:spacing w:line="400" w:lineRule="exact"/>
        <w:rPr>
          <w:rFonts w:ascii="宋体" w:hAnsi="宋体"/>
          <w:b/>
          <w:color w:val="auto"/>
          <w:sz w:val="24"/>
          <w:highlight w:val="none"/>
        </w:rPr>
      </w:pPr>
      <w:r>
        <w:rPr>
          <w:rFonts w:hint="eastAsia" w:ascii="宋体" w:hAnsi="宋体"/>
          <w:b/>
          <w:color w:val="auto"/>
          <w:sz w:val="24"/>
          <w:highlight w:val="none"/>
        </w:rPr>
        <w:t>甲方（盖章）：桂林医科大学第一附属医院           乙方（盖章）：</w:t>
      </w:r>
    </w:p>
    <w:p w14:paraId="51EE73C5">
      <w:pPr>
        <w:spacing w:line="400" w:lineRule="exact"/>
        <w:rPr>
          <w:rFonts w:ascii="宋体" w:hAnsi="宋体"/>
          <w:b/>
          <w:color w:val="auto"/>
          <w:sz w:val="24"/>
          <w:highlight w:val="none"/>
        </w:rPr>
      </w:pPr>
      <w:r>
        <w:rPr>
          <w:rFonts w:hint="eastAsia" w:ascii="宋体" w:hAnsi="宋体"/>
          <w:b/>
          <w:color w:val="auto"/>
          <w:sz w:val="24"/>
          <w:highlight w:val="none"/>
        </w:rPr>
        <w:t>法定代表人（负责人）：                     法定代表人（负责人）：</w:t>
      </w:r>
    </w:p>
    <w:p w14:paraId="3BA70FAD">
      <w:pPr>
        <w:spacing w:line="400" w:lineRule="exact"/>
        <w:rPr>
          <w:rFonts w:ascii="宋体" w:hAnsi="宋体"/>
          <w:b/>
          <w:color w:val="auto"/>
          <w:sz w:val="24"/>
          <w:highlight w:val="none"/>
          <w:u w:val="single"/>
        </w:rPr>
      </w:pPr>
      <w:r>
        <w:rPr>
          <w:rFonts w:hint="eastAsia" w:ascii="宋体" w:hAnsi="宋体"/>
          <w:b/>
          <w:color w:val="auto"/>
          <w:sz w:val="24"/>
          <w:highlight w:val="none"/>
        </w:rPr>
        <w:t>经办人签名：                              经办人签名：</w:t>
      </w:r>
    </w:p>
    <w:p w14:paraId="36F45544">
      <w:pPr>
        <w:spacing w:line="400" w:lineRule="exact"/>
        <w:rPr>
          <w:rFonts w:ascii="宋体" w:hAnsi="宋体"/>
          <w:b/>
          <w:color w:val="auto"/>
          <w:sz w:val="24"/>
          <w:highlight w:val="none"/>
        </w:rPr>
      </w:pPr>
      <w:r>
        <w:rPr>
          <w:rFonts w:hint="eastAsia" w:ascii="宋体" w:hAnsi="宋体"/>
          <w:b/>
          <w:color w:val="auto"/>
          <w:sz w:val="24"/>
          <w:highlight w:val="none"/>
        </w:rPr>
        <w:t>签订日期：</w:t>
      </w:r>
      <w:r>
        <w:rPr>
          <w:rFonts w:ascii="宋体" w:hAnsi="宋体"/>
          <w:b/>
          <w:color w:val="auto"/>
          <w:sz w:val="24"/>
          <w:highlight w:val="none"/>
        </w:rPr>
        <w:t xml:space="preserve">202     </w:t>
      </w:r>
      <w:r>
        <w:rPr>
          <w:rFonts w:hint="eastAsia" w:ascii="宋体" w:hAnsi="宋体"/>
          <w:b/>
          <w:color w:val="auto"/>
          <w:sz w:val="24"/>
          <w:highlight w:val="none"/>
        </w:rPr>
        <w:t xml:space="preserve">年   月   日            </w:t>
      </w:r>
    </w:p>
    <w:p w14:paraId="65CC6FD2">
      <w:pPr>
        <w:rPr>
          <w:rFonts w:ascii="宋体" w:hAnsi="宋体"/>
          <w:b/>
          <w:color w:val="auto"/>
          <w:sz w:val="28"/>
          <w:szCs w:val="28"/>
          <w:highlight w:val="none"/>
        </w:rPr>
      </w:pPr>
      <w:r>
        <w:rPr>
          <w:rFonts w:hint="eastAsia" w:ascii="宋体" w:hAnsi="宋体"/>
          <w:b/>
          <w:color w:val="auto"/>
          <w:sz w:val="28"/>
          <w:szCs w:val="28"/>
          <w:highlight w:val="none"/>
        </w:rPr>
        <w:br w:type="page"/>
      </w:r>
    </w:p>
    <w:p w14:paraId="5A5916FD">
      <w:pPr>
        <w:spacing w:line="360" w:lineRule="auto"/>
        <w:ind w:left="5060" w:hanging="5060" w:hangingChars="1800"/>
        <w:jc w:val="left"/>
        <w:rPr>
          <w:rFonts w:ascii="宋体" w:hAnsi="宋体"/>
          <w:b/>
          <w:color w:val="auto"/>
          <w:sz w:val="28"/>
          <w:szCs w:val="28"/>
          <w:highlight w:val="none"/>
        </w:rPr>
      </w:pPr>
      <w:r>
        <w:rPr>
          <w:rFonts w:hint="eastAsia" w:ascii="宋体" w:hAnsi="宋体"/>
          <w:b/>
          <w:color w:val="auto"/>
          <w:sz w:val="28"/>
          <w:szCs w:val="28"/>
          <w:highlight w:val="none"/>
        </w:rPr>
        <w:t>附件：</w:t>
      </w:r>
    </w:p>
    <w:p w14:paraId="7CC3F491">
      <w:pPr>
        <w:spacing w:line="360" w:lineRule="auto"/>
        <w:ind w:left="5060" w:hanging="5060" w:hangingChars="1800"/>
        <w:jc w:val="center"/>
        <w:rPr>
          <w:rFonts w:ascii="宋体" w:hAnsi="宋体"/>
          <w:b/>
          <w:color w:val="auto"/>
          <w:sz w:val="28"/>
          <w:szCs w:val="28"/>
          <w:highlight w:val="none"/>
        </w:rPr>
      </w:pPr>
      <w:r>
        <w:rPr>
          <w:rFonts w:hint="eastAsia" w:ascii="宋体" w:hAnsi="宋体"/>
          <w:b/>
          <w:color w:val="auto"/>
          <w:sz w:val="28"/>
          <w:szCs w:val="28"/>
          <w:highlight w:val="none"/>
        </w:rPr>
        <w:t>设备保修项目清单及范围</w:t>
      </w:r>
    </w:p>
    <w:p w14:paraId="543F8B5F">
      <w:pPr>
        <w:pStyle w:val="2"/>
        <w:spacing w:before="0" w:after="0" w:line="400" w:lineRule="exact"/>
        <w:jc w:val="center"/>
        <w:rPr>
          <w:rFonts w:ascii="Arial" w:hAnsi="Arial" w:cs="Arial"/>
          <w:color w:val="auto"/>
          <w:sz w:val="32"/>
          <w:szCs w:val="32"/>
          <w:highlight w:val="none"/>
        </w:rPr>
      </w:pPr>
    </w:p>
    <w:p w14:paraId="27AB2FC9">
      <w:pPr>
        <w:snapToGrid w:val="0"/>
        <w:spacing w:line="400" w:lineRule="exact"/>
        <w:rPr>
          <w:rFonts w:ascii="Arial" w:hAnsi="Arial" w:cs="Arial"/>
          <w:color w:val="auto"/>
          <w:szCs w:val="21"/>
          <w:highlight w:val="none"/>
        </w:rPr>
      </w:pPr>
    </w:p>
    <w:p w14:paraId="2ABF809D">
      <w:pPr>
        <w:spacing w:line="400" w:lineRule="exact"/>
        <w:rPr>
          <w:rFonts w:ascii="Arial" w:hAnsi="Arial" w:cs="Arial"/>
          <w:b/>
          <w:color w:val="auto"/>
          <w:szCs w:val="21"/>
          <w:highlight w:val="none"/>
        </w:rPr>
      </w:pPr>
      <w:r>
        <w:rPr>
          <w:rFonts w:ascii="Arial" w:hAnsi="Arial" w:cs="Arial"/>
          <w:color w:val="auto"/>
          <w:sz w:val="32"/>
          <w:szCs w:val="32"/>
          <w:highlight w:val="none"/>
        </w:rPr>
        <w:br w:type="page"/>
      </w:r>
    </w:p>
    <w:bookmarkEnd w:id="86"/>
    <w:p w14:paraId="0105914F">
      <w:pPr>
        <w:spacing w:before="120" w:line="320" w:lineRule="atLeast"/>
        <w:jc w:val="left"/>
        <w:outlineLvl w:val="1"/>
        <w:rPr>
          <w:rFonts w:ascii="Arial" w:hAnsi="Arial" w:cs="Arial"/>
          <w:color w:val="auto"/>
          <w:highlight w:val="none"/>
        </w:rPr>
      </w:pPr>
    </w:p>
    <w:bookmarkEnd w:id="87"/>
    <w:p w14:paraId="59FEBF47">
      <w:pPr>
        <w:pStyle w:val="2"/>
        <w:jc w:val="center"/>
        <w:rPr>
          <w:rFonts w:ascii="Arial" w:hAnsi="Arial" w:cs="Arial"/>
          <w:color w:val="auto"/>
          <w:highlight w:val="none"/>
        </w:rPr>
      </w:pPr>
      <w:bookmarkStart w:id="89" w:name="_Toc22700"/>
      <w:r>
        <w:rPr>
          <w:rFonts w:ascii="Arial" w:hAnsi="Arial" w:cs="Arial"/>
          <w:color w:val="auto"/>
          <w:highlight w:val="none"/>
        </w:rPr>
        <w:t>第六章  投标文件格式</w:t>
      </w:r>
      <w:bookmarkEnd w:id="89"/>
    </w:p>
    <w:p w14:paraId="52CB59F6">
      <w:pPr>
        <w:rPr>
          <w:rFonts w:ascii="Arial" w:hAnsi="Arial" w:cs="Arial"/>
          <w:color w:val="auto"/>
          <w:sz w:val="28"/>
          <w:szCs w:val="28"/>
          <w:highlight w:val="none"/>
        </w:rPr>
      </w:pPr>
    </w:p>
    <w:p w14:paraId="2C0A45BD">
      <w:pPr>
        <w:rPr>
          <w:rFonts w:ascii="Arial" w:hAnsi="Arial" w:cs="Arial"/>
          <w:color w:val="auto"/>
          <w:sz w:val="28"/>
          <w:szCs w:val="28"/>
          <w:highlight w:val="none"/>
        </w:rPr>
      </w:pPr>
    </w:p>
    <w:p w14:paraId="103E053D">
      <w:pPr>
        <w:rPr>
          <w:rFonts w:ascii="Arial" w:hAnsi="Arial" w:cs="Arial"/>
          <w:color w:val="auto"/>
          <w:sz w:val="28"/>
          <w:szCs w:val="28"/>
          <w:highlight w:val="none"/>
        </w:rPr>
      </w:pPr>
    </w:p>
    <w:p w14:paraId="028D41FD">
      <w:pPr>
        <w:rPr>
          <w:rFonts w:ascii="Arial" w:hAnsi="Arial" w:cs="Arial"/>
          <w:color w:val="auto"/>
          <w:sz w:val="28"/>
          <w:szCs w:val="28"/>
          <w:highlight w:val="none"/>
        </w:rPr>
      </w:pPr>
    </w:p>
    <w:p w14:paraId="3B7961CD">
      <w:pPr>
        <w:spacing w:line="500" w:lineRule="exact"/>
        <w:ind w:firstLine="560" w:firstLineChars="200"/>
        <w:rPr>
          <w:rFonts w:ascii="Arial" w:hAnsi="Arial" w:cs="Arial"/>
          <w:color w:val="auto"/>
          <w:sz w:val="28"/>
          <w:szCs w:val="28"/>
          <w:highlight w:val="none"/>
        </w:rPr>
      </w:pPr>
      <w:r>
        <w:rPr>
          <w:rFonts w:ascii="Arial" w:hAnsi="Arial" w:cs="Arial"/>
          <w:color w:val="auto"/>
          <w:sz w:val="28"/>
          <w:szCs w:val="28"/>
          <w:highlight w:val="none"/>
        </w:rPr>
        <w:t>注：有签字、盖章要求的应按要求</w:t>
      </w:r>
      <w:bookmarkStart w:id="90" w:name="_Hlk89032274"/>
      <w:r>
        <w:rPr>
          <w:rFonts w:ascii="Arial" w:hAnsi="Arial" w:cs="Arial"/>
          <w:color w:val="auto"/>
          <w:sz w:val="28"/>
          <w:szCs w:val="28"/>
          <w:highlight w:val="none"/>
        </w:rPr>
        <w:t>签字（签章）、盖章（签章）</w:t>
      </w:r>
      <w:bookmarkEnd w:id="90"/>
      <w:r>
        <w:rPr>
          <w:rFonts w:ascii="Arial" w:hAnsi="Arial" w:cs="Arial"/>
          <w:color w:val="auto"/>
          <w:sz w:val="28"/>
          <w:szCs w:val="28"/>
          <w:highlight w:val="none"/>
        </w:rPr>
        <w:t>。</w:t>
      </w:r>
    </w:p>
    <w:p w14:paraId="51323F0D">
      <w:pPr>
        <w:snapToGrid w:val="0"/>
        <w:spacing w:beforeLines="50" w:after="50" w:line="440" w:lineRule="exact"/>
        <w:jc w:val="left"/>
        <w:outlineLvl w:val="1"/>
        <w:rPr>
          <w:rFonts w:ascii="Arial" w:hAnsi="Arial" w:cs="Arial"/>
          <w:bCs/>
          <w:color w:val="auto"/>
          <w:sz w:val="24"/>
          <w:highlight w:val="none"/>
        </w:rPr>
      </w:pPr>
      <w:r>
        <w:rPr>
          <w:rFonts w:ascii="Arial" w:hAnsi="Arial" w:cs="Arial"/>
          <w:color w:val="auto"/>
          <w:highlight w:val="none"/>
        </w:rPr>
        <w:br w:type="page"/>
      </w:r>
      <w:bookmarkStart w:id="91" w:name="_Toc254970557"/>
      <w:bookmarkStart w:id="92" w:name="_Toc254970698"/>
      <w:r>
        <w:rPr>
          <w:rFonts w:ascii="Arial" w:hAnsi="Arial" w:cs="Arial"/>
          <w:bCs/>
          <w:color w:val="auto"/>
          <w:sz w:val="24"/>
          <w:highlight w:val="none"/>
        </w:rPr>
        <w:t xml:space="preserve">1．投标文件封面参考格式（资格证明文件）： </w:t>
      </w:r>
    </w:p>
    <w:p w14:paraId="17C22838">
      <w:pPr>
        <w:snapToGrid w:val="0"/>
        <w:spacing w:beforeLines="50" w:after="50" w:line="360" w:lineRule="exact"/>
        <w:rPr>
          <w:rFonts w:ascii="Arial" w:hAnsi="Arial" w:cs="Arial"/>
          <w:color w:val="auto"/>
          <w:sz w:val="24"/>
          <w:highlight w:val="none"/>
        </w:rPr>
      </w:pPr>
    </w:p>
    <w:p w14:paraId="5D1393AB">
      <w:pPr>
        <w:snapToGrid w:val="0"/>
        <w:spacing w:beforeLines="50" w:after="50" w:line="360" w:lineRule="exact"/>
        <w:jc w:val="center"/>
        <w:rPr>
          <w:rFonts w:ascii="Arial" w:hAnsi="Arial" w:cs="Arial"/>
          <w:bCs/>
          <w:color w:val="auto"/>
          <w:sz w:val="24"/>
          <w:highlight w:val="none"/>
        </w:rPr>
      </w:pPr>
    </w:p>
    <w:p w14:paraId="7DF213CD">
      <w:pPr>
        <w:snapToGrid w:val="0"/>
        <w:spacing w:beforeLines="50" w:after="50" w:line="360" w:lineRule="exact"/>
        <w:jc w:val="center"/>
        <w:rPr>
          <w:rFonts w:ascii="Arial" w:hAnsi="Arial" w:cs="Arial"/>
          <w:b/>
          <w:bCs/>
          <w:color w:val="auto"/>
          <w:sz w:val="44"/>
          <w:szCs w:val="44"/>
          <w:highlight w:val="none"/>
        </w:rPr>
      </w:pPr>
      <w:r>
        <w:rPr>
          <w:rFonts w:ascii="Arial" w:hAnsi="Arial" w:cs="Arial"/>
          <w:b/>
          <w:bCs/>
          <w:color w:val="auto"/>
          <w:sz w:val="44"/>
          <w:szCs w:val="44"/>
          <w:highlight w:val="none"/>
        </w:rPr>
        <w:t>电子投标文件</w:t>
      </w:r>
    </w:p>
    <w:p w14:paraId="0F6BC7C2">
      <w:pPr>
        <w:snapToGrid w:val="0"/>
        <w:spacing w:beforeLines="50" w:after="50" w:line="360" w:lineRule="exact"/>
        <w:jc w:val="center"/>
        <w:rPr>
          <w:rFonts w:ascii="Arial" w:hAnsi="Arial" w:cs="Arial"/>
          <w:b/>
          <w:bCs/>
          <w:color w:val="auto"/>
          <w:sz w:val="44"/>
          <w:szCs w:val="44"/>
          <w:highlight w:val="none"/>
        </w:rPr>
      </w:pPr>
    </w:p>
    <w:p w14:paraId="51822B4E">
      <w:pPr>
        <w:snapToGrid w:val="0"/>
        <w:spacing w:beforeLines="50" w:after="50" w:line="360" w:lineRule="exact"/>
        <w:jc w:val="center"/>
        <w:rPr>
          <w:rFonts w:ascii="Arial" w:hAnsi="Arial" w:cs="Arial"/>
          <w:b/>
          <w:bCs/>
          <w:color w:val="auto"/>
          <w:sz w:val="44"/>
          <w:szCs w:val="44"/>
          <w:highlight w:val="none"/>
        </w:rPr>
      </w:pPr>
    </w:p>
    <w:p w14:paraId="489F9402">
      <w:pPr>
        <w:snapToGrid w:val="0"/>
        <w:spacing w:beforeLines="50" w:after="50" w:line="360" w:lineRule="exact"/>
        <w:jc w:val="center"/>
        <w:rPr>
          <w:rFonts w:ascii="Arial" w:hAnsi="Arial" w:cs="Arial"/>
          <w:b/>
          <w:bCs/>
          <w:color w:val="auto"/>
          <w:sz w:val="44"/>
          <w:szCs w:val="44"/>
          <w:highlight w:val="none"/>
        </w:rPr>
      </w:pPr>
      <w:r>
        <w:rPr>
          <w:rFonts w:ascii="Arial" w:hAnsi="Arial" w:cs="Arial"/>
          <w:b/>
          <w:bCs/>
          <w:color w:val="auto"/>
          <w:sz w:val="44"/>
          <w:szCs w:val="44"/>
          <w:highlight w:val="none"/>
        </w:rPr>
        <w:t>资格证明文件</w:t>
      </w:r>
    </w:p>
    <w:p w14:paraId="59BF1C60">
      <w:pPr>
        <w:snapToGrid w:val="0"/>
        <w:spacing w:beforeLines="50" w:after="50" w:line="360" w:lineRule="exact"/>
        <w:rPr>
          <w:rFonts w:ascii="Arial" w:hAnsi="Arial" w:cs="Arial"/>
          <w:bCs/>
          <w:color w:val="auto"/>
          <w:sz w:val="24"/>
          <w:highlight w:val="none"/>
        </w:rPr>
      </w:pPr>
    </w:p>
    <w:p w14:paraId="3737F943">
      <w:pPr>
        <w:snapToGrid w:val="0"/>
        <w:spacing w:beforeLines="50" w:after="50" w:line="360" w:lineRule="exact"/>
        <w:rPr>
          <w:rFonts w:ascii="Arial" w:hAnsi="Arial" w:cs="Arial"/>
          <w:bCs/>
          <w:color w:val="auto"/>
          <w:sz w:val="24"/>
          <w:highlight w:val="none"/>
        </w:rPr>
      </w:pPr>
    </w:p>
    <w:p w14:paraId="571E417D">
      <w:pPr>
        <w:snapToGrid w:val="0"/>
        <w:spacing w:beforeLines="50" w:after="50" w:line="360" w:lineRule="exact"/>
        <w:rPr>
          <w:rFonts w:ascii="Arial" w:hAnsi="Arial" w:cs="Arial"/>
          <w:bCs/>
          <w:color w:val="auto"/>
          <w:sz w:val="24"/>
          <w:highlight w:val="none"/>
        </w:rPr>
      </w:pPr>
    </w:p>
    <w:p w14:paraId="14242085">
      <w:pPr>
        <w:snapToGrid w:val="0"/>
        <w:spacing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 xml:space="preserve">项目名称： </w:t>
      </w:r>
    </w:p>
    <w:p w14:paraId="33DFF868">
      <w:pPr>
        <w:snapToGrid w:val="0"/>
        <w:spacing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项目编号：</w:t>
      </w:r>
    </w:p>
    <w:p w14:paraId="36200601">
      <w:pPr>
        <w:snapToGrid w:val="0"/>
        <w:spacing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分标号：（若无留空或写“/”）</w:t>
      </w:r>
    </w:p>
    <w:p w14:paraId="25C884BE">
      <w:pPr>
        <w:snapToGrid w:val="0"/>
        <w:spacing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供应商名称：</w:t>
      </w:r>
    </w:p>
    <w:p w14:paraId="5B2C43B4">
      <w:pPr>
        <w:snapToGrid w:val="0"/>
        <w:spacing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供应商地址：</w:t>
      </w:r>
    </w:p>
    <w:p w14:paraId="0E6E3006">
      <w:pPr>
        <w:pStyle w:val="7"/>
        <w:snapToGrid w:val="0"/>
        <w:spacing w:before="50" w:after="50" w:line="360" w:lineRule="exact"/>
        <w:ind w:firstLine="960" w:firstLineChars="400"/>
        <w:rPr>
          <w:rFonts w:ascii="Arial" w:hAnsi="Arial" w:cs="Arial"/>
          <w:bCs/>
          <w:color w:val="auto"/>
          <w:sz w:val="24"/>
          <w:szCs w:val="24"/>
          <w:highlight w:val="none"/>
        </w:rPr>
      </w:pPr>
    </w:p>
    <w:p w14:paraId="78B8A367">
      <w:pPr>
        <w:snapToGrid w:val="0"/>
        <w:spacing w:beforeLines="50" w:after="50" w:line="360" w:lineRule="exact"/>
        <w:jc w:val="center"/>
        <w:rPr>
          <w:rFonts w:ascii="Arial" w:hAnsi="Arial" w:cs="Arial"/>
          <w:color w:val="auto"/>
          <w:sz w:val="24"/>
          <w:highlight w:val="none"/>
        </w:rPr>
      </w:pPr>
      <w:r>
        <w:rPr>
          <w:rFonts w:ascii="Arial" w:hAnsi="Arial" w:cs="Arial"/>
          <w:color w:val="auto"/>
          <w:sz w:val="24"/>
          <w:highlight w:val="none"/>
        </w:rPr>
        <w:t xml:space="preserve">                        年  月  日</w:t>
      </w:r>
    </w:p>
    <w:p w14:paraId="6327F1A2">
      <w:pPr>
        <w:snapToGrid w:val="0"/>
        <w:spacing w:beforeLines="50" w:after="50" w:line="360" w:lineRule="exact"/>
        <w:rPr>
          <w:rFonts w:ascii="Arial" w:hAnsi="Arial" w:cs="Arial"/>
          <w:b/>
          <w:bCs/>
          <w:color w:val="auto"/>
          <w:sz w:val="24"/>
          <w:highlight w:val="none"/>
        </w:rPr>
      </w:pPr>
      <w:r>
        <w:rPr>
          <w:rFonts w:ascii="Arial" w:hAnsi="Arial" w:cs="Arial"/>
          <w:color w:val="auto"/>
          <w:highlight w:val="none"/>
        </w:rPr>
        <w:br w:type="page"/>
      </w:r>
      <w:bookmarkEnd w:id="91"/>
      <w:bookmarkEnd w:id="92"/>
    </w:p>
    <w:p w14:paraId="607F62CA">
      <w:pPr>
        <w:snapToGrid w:val="0"/>
        <w:spacing w:before="50" w:after="50" w:line="440" w:lineRule="exact"/>
        <w:ind w:firstLine="138" w:firstLineChars="49"/>
        <w:jc w:val="center"/>
        <w:rPr>
          <w:rFonts w:ascii="Arial" w:hAnsi="Arial" w:cs="Arial"/>
          <w:b/>
          <w:color w:val="auto"/>
          <w:sz w:val="28"/>
          <w:szCs w:val="28"/>
          <w:highlight w:val="none"/>
        </w:rPr>
      </w:pPr>
      <w:r>
        <w:rPr>
          <w:rFonts w:ascii="Arial" w:hAnsi="Arial" w:cs="Arial"/>
          <w:b/>
          <w:color w:val="auto"/>
          <w:sz w:val="28"/>
          <w:szCs w:val="28"/>
          <w:highlight w:val="none"/>
        </w:rPr>
        <w:t>目录</w:t>
      </w:r>
    </w:p>
    <w:p w14:paraId="648E7DAA">
      <w:pPr>
        <w:snapToGrid w:val="0"/>
        <w:spacing w:before="50" w:after="50" w:line="440" w:lineRule="exact"/>
        <w:ind w:firstLine="118" w:firstLineChars="49"/>
        <w:jc w:val="center"/>
        <w:rPr>
          <w:rFonts w:ascii="Arial" w:hAnsi="Arial" w:cs="Arial"/>
          <w:b/>
          <w:color w:val="auto"/>
          <w:sz w:val="24"/>
          <w:highlight w:val="none"/>
        </w:rPr>
      </w:pPr>
      <w:r>
        <w:rPr>
          <w:rFonts w:ascii="Arial" w:hAnsi="Arial" w:cs="Arial"/>
          <w:b/>
          <w:color w:val="auto"/>
          <w:sz w:val="24"/>
          <w:highlight w:val="none"/>
        </w:rPr>
        <w:t>（应有页码）</w:t>
      </w:r>
    </w:p>
    <w:p w14:paraId="070DF755">
      <w:pPr>
        <w:snapToGrid w:val="0"/>
        <w:spacing w:before="50" w:after="50" w:line="440" w:lineRule="exact"/>
        <w:rPr>
          <w:rFonts w:ascii="Arial" w:hAnsi="Arial" w:cs="Arial"/>
          <w:b/>
          <w:color w:val="auto"/>
          <w:sz w:val="24"/>
          <w:highlight w:val="none"/>
        </w:rPr>
      </w:pPr>
      <w:r>
        <w:rPr>
          <w:rFonts w:ascii="Arial" w:hAnsi="Arial" w:cs="Arial"/>
          <w:b/>
          <w:color w:val="auto"/>
          <w:sz w:val="24"/>
          <w:highlight w:val="none"/>
        </w:rPr>
        <w:br w:type="page"/>
      </w:r>
      <w:r>
        <w:rPr>
          <w:rFonts w:ascii="Arial" w:hAnsi="Arial" w:cs="Arial"/>
          <w:b/>
          <w:color w:val="auto"/>
          <w:szCs w:val="21"/>
          <w:highlight w:val="none"/>
        </w:rPr>
        <w:t>1．投标声明书格式：</w:t>
      </w:r>
    </w:p>
    <w:p w14:paraId="50497864">
      <w:pPr>
        <w:snapToGrid w:val="0"/>
        <w:spacing w:before="50" w:after="50" w:line="440" w:lineRule="exact"/>
        <w:ind w:firstLine="157" w:firstLineChars="49"/>
        <w:jc w:val="left"/>
        <w:rPr>
          <w:rFonts w:ascii="Arial" w:hAnsi="Arial" w:cs="Arial"/>
          <w:b/>
          <w:bCs/>
          <w:color w:val="auto"/>
          <w:sz w:val="32"/>
          <w:szCs w:val="32"/>
          <w:highlight w:val="none"/>
        </w:rPr>
      </w:pPr>
    </w:p>
    <w:p w14:paraId="0208C4B3">
      <w:pPr>
        <w:snapToGrid w:val="0"/>
        <w:spacing w:beforeLines="50" w:after="50" w:line="360" w:lineRule="exact"/>
        <w:jc w:val="center"/>
        <w:rPr>
          <w:rFonts w:ascii="Arial" w:hAnsi="Arial" w:cs="Arial"/>
          <w:b/>
          <w:color w:val="auto"/>
          <w:szCs w:val="21"/>
          <w:highlight w:val="none"/>
        </w:rPr>
      </w:pPr>
      <w:r>
        <w:rPr>
          <w:rFonts w:ascii="Arial" w:hAnsi="Arial" w:cs="Arial"/>
          <w:b/>
          <w:color w:val="auto"/>
          <w:szCs w:val="21"/>
          <w:highlight w:val="none"/>
        </w:rPr>
        <w:t>投标声明书</w:t>
      </w:r>
    </w:p>
    <w:p w14:paraId="416FBF32">
      <w:pPr>
        <w:snapToGrid w:val="0"/>
        <w:spacing w:beforeLines="50" w:after="50" w:line="360" w:lineRule="exact"/>
        <w:jc w:val="center"/>
        <w:rPr>
          <w:rFonts w:ascii="Arial" w:hAnsi="Arial" w:cs="Arial"/>
          <w:color w:val="auto"/>
          <w:szCs w:val="21"/>
          <w:highlight w:val="none"/>
        </w:rPr>
      </w:pPr>
    </w:p>
    <w:p w14:paraId="288F97D7">
      <w:pPr>
        <w:snapToGrid w:val="0"/>
        <w:spacing w:beforeLines="50" w:after="50" w:line="360" w:lineRule="exact"/>
        <w:rPr>
          <w:rFonts w:ascii="Arial" w:hAnsi="Arial" w:cs="Arial"/>
          <w:color w:val="auto"/>
          <w:szCs w:val="21"/>
          <w:highlight w:val="none"/>
        </w:rPr>
      </w:pPr>
      <w:r>
        <w:rPr>
          <w:rFonts w:ascii="Arial" w:hAnsi="Arial" w:cs="Arial"/>
          <w:color w:val="auto"/>
          <w:szCs w:val="21"/>
          <w:highlight w:val="none"/>
        </w:rPr>
        <w:t>致：</w:t>
      </w:r>
      <w:r>
        <w:rPr>
          <w:rFonts w:ascii="Arial" w:hAnsi="Arial" w:cs="Arial"/>
          <w:i/>
          <w:iCs/>
          <w:color w:val="auto"/>
          <w:szCs w:val="21"/>
          <w:highlight w:val="none"/>
          <w:u w:val="single"/>
        </w:rPr>
        <w:t>（采购人名称）</w:t>
      </w:r>
      <w:r>
        <w:rPr>
          <w:rFonts w:ascii="Arial" w:hAnsi="Arial" w:cs="Arial"/>
          <w:color w:val="auto"/>
          <w:szCs w:val="21"/>
          <w:highlight w:val="none"/>
        </w:rPr>
        <w:t>：</w:t>
      </w:r>
    </w:p>
    <w:p w14:paraId="15F61C26">
      <w:pPr>
        <w:snapToGrid w:val="0"/>
        <w:spacing w:beforeLines="50" w:after="50" w:line="360" w:lineRule="exact"/>
        <w:ind w:firstLine="630" w:firstLineChars="300"/>
        <w:rPr>
          <w:rFonts w:ascii="Arial" w:hAnsi="Arial" w:cs="Arial"/>
          <w:color w:val="auto"/>
          <w:szCs w:val="21"/>
          <w:highlight w:val="none"/>
        </w:rPr>
      </w:pPr>
      <w:r>
        <w:rPr>
          <w:rFonts w:ascii="Arial" w:hAnsi="Arial" w:cs="Arial"/>
          <w:i/>
          <w:iCs/>
          <w:color w:val="auto"/>
          <w:szCs w:val="21"/>
          <w:highlight w:val="none"/>
          <w:u w:val="single"/>
        </w:rPr>
        <w:t>（供应商名称）</w:t>
      </w:r>
      <w:r>
        <w:rPr>
          <w:rFonts w:ascii="Arial" w:hAnsi="Arial" w:cs="Arial"/>
          <w:color w:val="auto"/>
          <w:szCs w:val="21"/>
          <w:highlight w:val="none"/>
        </w:rPr>
        <w:t>系中华人民共和国合法企业，</w:t>
      </w:r>
      <w:r>
        <w:rPr>
          <w:rFonts w:ascii="Arial" w:hAnsi="Arial" w:cs="Arial"/>
          <w:i/>
          <w:iCs/>
          <w:color w:val="auto"/>
          <w:szCs w:val="21"/>
          <w:highlight w:val="none"/>
          <w:u w:val="single"/>
        </w:rPr>
        <w:t xml:space="preserve"> （经营地址）  </w:t>
      </w:r>
      <w:r>
        <w:rPr>
          <w:rFonts w:ascii="Arial" w:hAnsi="Arial" w:cs="Arial"/>
          <w:color w:val="auto"/>
          <w:szCs w:val="21"/>
          <w:highlight w:val="none"/>
        </w:rPr>
        <w:t>。</w:t>
      </w:r>
    </w:p>
    <w:p w14:paraId="5D3543D7">
      <w:pPr>
        <w:snapToGrid w:val="0"/>
        <w:spacing w:beforeLines="50" w:after="50" w:line="360" w:lineRule="exact"/>
        <w:ind w:firstLine="645"/>
        <w:rPr>
          <w:rFonts w:ascii="Arial" w:hAnsi="Arial" w:cs="Arial"/>
          <w:color w:val="auto"/>
          <w:szCs w:val="21"/>
          <w:highlight w:val="none"/>
        </w:rPr>
      </w:pPr>
      <w:r>
        <w:rPr>
          <w:rFonts w:ascii="Arial" w:hAnsi="Arial" w:cs="Arial"/>
          <w:color w:val="auto"/>
          <w:szCs w:val="21"/>
          <w:highlight w:val="none"/>
        </w:rPr>
        <w:t>我</w:t>
      </w:r>
      <w:r>
        <w:rPr>
          <w:rFonts w:ascii="Arial" w:hAnsi="Arial" w:cs="Arial"/>
          <w:i/>
          <w:iCs/>
          <w:color w:val="auto"/>
          <w:szCs w:val="21"/>
          <w:highlight w:val="none"/>
          <w:u w:val="single"/>
        </w:rPr>
        <w:t xml:space="preserve">（姓名） </w:t>
      </w:r>
      <w:r>
        <w:rPr>
          <w:rFonts w:ascii="Arial" w:hAnsi="Arial" w:cs="Arial"/>
          <w:color w:val="auto"/>
          <w:szCs w:val="21"/>
          <w:highlight w:val="none"/>
        </w:rPr>
        <w:t>系</w:t>
      </w:r>
      <w:r>
        <w:rPr>
          <w:rFonts w:ascii="Arial" w:hAnsi="Arial" w:cs="Arial"/>
          <w:i/>
          <w:iCs/>
          <w:color w:val="auto"/>
          <w:szCs w:val="21"/>
          <w:highlight w:val="none"/>
          <w:u w:val="single"/>
        </w:rPr>
        <w:t>（供应商名称）</w:t>
      </w:r>
      <w:r>
        <w:rPr>
          <w:rFonts w:ascii="Arial" w:hAnsi="Arial" w:cs="Arial"/>
          <w:color w:val="auto"/>
          <w:szCs w:val="21"/>
          <w:highlight w:val="none"/>
        </w:rPr>
        <w:t xml:space="preserve">的法定代表人，我方愿意参加贵方组织的 </w:t>
      </w:r>
      <w:r>
        <w:rPr>
          <w:rFonts w:ascii="Arial" w:hAnsi="Arial" w:cs="Arial"/>
          <w:i/>
          <w:iCs/>
          <w:color w:val="auto"/>
          <w:szCs w:val="21"/>
          <w:highlight w:val="none"/>
          <w:u w:val="single"/>
        </w:rPr>
        <w:t xml:space="preserve">（项目名称） </w:t>
      </w:r>
      <w:r>
        <w:rPr>
          <w:rFonts w:ascii="Arial" w:hAnsi="Arial" w:cs="Arial"/>
          <w:color w:val="auto"/>
          <w:szCs w:val="21"/>
          <w:highlight w:val="none"/>
        </w:rPr>
        <w:t>项目的投标，为便于贵方公正、择优地确定中标供应商及其投标产品和服务，我方就本次投标有关事项郑重声明如下：</w:t>
      </w:r>
    </w:p>
    <w:p w14:paraId="19B5495F">
      <w:pPr>
        <w:snapToGrid w:val="0"/>
        <w:spacing w:beforeLines="50" w:line="360" w:lineRule="exact"/>
        <w:ind w:firstLine="420" w:firstLineChars="200"/>
        <w:rPr>
          <w:rFonts w:ascii="Arial" w:hAnsi="Arial" w:cs="Arial"/>
          <w:color w:val="auto"/>
          <w:szCs w:val="21"/>
          <w:highlight w:val="none"/>
        </w:rPr>
      </w:pPr>
      <w:r>
        <w:rPr>
          <w:rFonts w:ascii="Arial" w:hAnsi="Arial" w:cs="Arial"/>
          <w:color w:val="auto"/>
          <w:szCs w:val="21"/>
          <w:highlight w:val="none"/>
        </w:rPr>
        <w:t>（1）我方向贵方提交的所有投标文件、资料都是准确的和真实的。</w:t>
      </w:r>
    </w:p>
    <w:p w14:paraId="19379661">
      <w:pPr>
        <w:snapToGrid w:val="0"/>
        <w:spacing w:beforeLines="50" w:line="360" w:lineRule="exact"/>
        <w:ind w:firstLine="420" w:firstLineChars="200"/>
        <w:rPr>
          <w:rFonts w:ascii="Arial" w:hAnsi="Arial" w:cs="Arial"/>
          <w:color w:val="auto"/>
          <w:szCs w:val="21"/>
          <w:highlight w:val="none"/>
        </w:rPr>
      </w:pPr>
      <w:r>
        <w:rPr>
          <w:rFonts w:ascii="Arial" w:hAnsi="Arial" w:cs="Arial"/>
          <w:color w:val="auto"/>
          <w:szCs w:val="21"/>
          <w:highlight w:val="none"/>
        </w:rPr>
        <w:t>（2）我方不是采购人的附属机构；也不是为本项目提供整体设计、规范编制或者项目管理、监理、检测等服务的供应商或其附属机构。</w:t>
      </w:r>
    </w:p>
    <w:p w14:paraId="7E94CD11">
      <w:pPr>
        <w:snapToGrid w:val="0"/>
        <w:spacing w:beforeLines="50" w:line="360" w:lineRule="exact"/>
        <w:ind w:firstLine="420" w:firstLineChars="200"/>
        <w:rPr>
          <w:rFonts w:ascii="Arial" w:hAnsi="Arial" w:cs="Arial"/>
          <w:color w:val="auto"/>
          <w:szCs w:val="21"/>
          <w:highlight w:val="none"/>
        </w:rPr>
      </w:pPr>
      <w:r>
        <w:rPr>
          <w:rFonts w:ascii="Arial" w:hAnsi="Arial" w:cs="Arial"/>
          <w:color w:val="auto"/>
          <w:szCs w:val="21"/>
          <w:highlight w:val="none"/>
        </w:rPr>
        <w:t>（3）我方承诺在参加本政府采购项目活动前，没有被纳入政府部门或银行认定的失信名单，我方具有良好的商业信誉。</w:t>
      </w:r>
    </w:p>
    <w:p w14:paraId="4AECD551">
      <w:pPr>
        <w:snapToGrid w:val="0"/>
        <w:spacing w:beforeLines="50" w:line="360" w:lineRule="exact"/>
        <w:ind w:firstLine="420" w:firstLineChars="200"/>
        <w:rPr>
          <w:rFonts w:ascii="Arial" w:hAnsi="Arial" w:cs="Arial"/>
          <w:color w:val="auto"/>
          <w:szCs w:val="21"/>
          <w:highlight w:val="none"/>
        </w:rPr>
      </w:pPr>
      <w:r>
        <w:rPr>
          <w:rFonts w:ascii="Arial" w:hAnsi="Arial" w:cs="Arial"/>
          <w:color w:val="auto"/>
          <w:szCs w:val="21"/>
          <w:highlight w:val="none"/>
        </w:rPr>
        <w:t>（4）我方及本人承诺在参加本政府采购项目活动前三年内，在经营活动中没有重大违法记录。重大违法记录是指供供应商因违法经营受到刑事处罚或者责令停产停业、吊销许可证或者执照、较大数额罚款等行政处罚。如我方提供的声明不实，则自愿承担《政府采购法》有关提供虚假材料的规定给予的处罚。</w:t>
      </w:r>
    </w:p>
    <w:p w14:paraId="4B0079B4">
      <w:pPr>
        <w:snapToGrid w:val="0"/>
        <w:spacing w:beforeLines="50" w:line="360" w:lineRule="exact"/>
        <w:ind w:firstLine="420" w:firstLineChars="200"/>
        <w:rPr>
          <w:rFonts w:ascii="Arial" w:hAnsi="Arial" w:cs="Arial"/>
          <w:color w:val="auto"/>
          <w:szCs w:val="21"/>
          <w:highlight w:val="none"/>
        </w:rPr>
      </w:pPr>
      <w:r>
        <w:rPr>
          <w:rFonts w:ascii="Arial" w:hAnsi="Arial" w:cs="Arial"/>
          <w:color w:val="auto"/>
          <w:szCs w:val="21"/>
          <w:highlight w:val="none"/>
        </w:rPr>
        <w:t>（5）我方承诺具有履行本项目合同所必需的设备和专业技术能力。</w:t>
      </w:r>
    </w:p>
    <w:p w14:paraId="4DDF9370">
      <w:pPr>
        <w:snapToGrid w:val="0"/>
        <w:spacing w:beforeLines="50" w:line="360" w:lineRule="exact"/>
        <w:ind w:firstLine="420" w:firstLineChars="200"/>
        <w:rPr>
          <w:rFonts w:ascii="Arial" w:hAnsi="Arial" w:cs="Arial"/>
          <w:color w:val="auto"/>
          <w:szCs w:val="21"/>
          <w:highlight w:val="none"/>
        </w:rPr>
      </w:pPr>
      <w:r>
        <w:rPr>
          <w:rFonts w:ascii="Arial" w:hAnsi="Arial" w:cs="Arial"/>
          <w:color w:val="auto"/>
          <w:szCs w:val="21"/>
          <w:highlight w:val="none"/>
        </w:rPr>
        <w:t>（6）我方承诺未被列入失信被执行人、重大税收违法失信主体、政府采购严重违法失信行为记录名单，如我方提供的声明不实，则接受本次投标作为否决投标的处理，并根据财库〔2016〕125号《财政部关于在政府采购活动中查询及使用信用记录有关问题的通知》规定接受失信联合惩戒。</w:t>
      </w:r>
    </w:p>
    <w:p w14:paraId="7D308981">
      <w:pPr>
        <w:snapToGrid w:val="0"/>
        <w:spacing w:beforeLines="50" w:line="360" w:lineRule="exact"/>
        <w:ind w:firstLine="420" w:firstLineChars="200"/>
        <w:rPr>
          <w:rFonts w:ascii="Arial" w:hAnsi="Arial" w:cs="Arial"/>
          <w:color w:val="auto"/>
          <w:szCs w:val="21"/>
          <w:highlight w:val="none"/>
        </w:rPr>
      </w:pPr>
      <w:r>
        <w:rPr>
          <w:rFonts w:ascii="Arial" w:hAnsi="Arial" w:cs="Arial"/>
          <w:color w:val="auto"/>
          <w:szCs w:val="21"/>
          <w:highlight w:val="none"/>
        </w:rPr>
        <w:t>（7）我方承诺中标后按规定缴纳代理服务费。</w:t>
      </w:r>
    </w:p>
    <w:p w14:paraId="56F65E34">
      <w:pPr>
        <w:snapToGrid w:val="0"/>
        <w:spacing w:beforeLines="50" w:line="360" w:lineRule="exact"/>
        <w:ind w:firstLine="420" w:firstLineChars="200"/>
        <w:rPr>
          <w:rFonts w:ascii="Arial" w:hAnsi="Arial" w:cs="Arial"/>
          <w:color w:val="auto"/>
          <w:szCs w:val="21"/>
          <w:highlight w:val="none"/>
        </w:rPr>
      </w:pPr>
      <w:r>
        <w:rPr>
          <w:rFonts w:ascii="Arial" w:hAnsi="Arial" w:cs="Arial"/>
          <w:color w:val="auto"/>
          <w:szCs w:val="21"/>
          <w:highlight w:val="none"/>
        </w:rPr>
        <w:t>我方对以上声明负全部法律责任。如有虚假或隐瞒，我方愿意承担一切后果，并不再寻求任何旨在减轻或免除法律责任的辩解。</w:t>
      </w:r>
    </w:p>
    <w:p w14:paraId="211D3382">
      <w:pPr>
        <w:snapToGrid w:val="0"/>
        <w:spacing w:beforeLines="50" w:line="360" w:lineRule="exact"/>
        <w:ind w:firstLine="420" w:firstLineChars="200"/>
        <w:rPr>
          <w:rFonts w:ascii="Arial" w:hAnsi="Arial" w:cs="Arial"/>
          <w:color w:val="auto"/>
          <w:szCs w:val="21"/>
          <w:highlight w:val="none"/>
        </w:rPr>
      </w:pPr>
    </w:p>
    <w:p w14:paraId="42454916">
      <w:pPr>
        <w:snapToGrid w:val="0"/>
        <w:spacing w:beforeLines="50" w:after="50" w:line="360" w:lineRule="exact"/>
        <w:ind w:firstLine="210" w:firstLineChars="100"/>
        <w:jc w:val="right"/>
        <w:rPr>
          <w:rFonts w:ascii="Arial" w:hAnsi="Arial" w:cs="Arial"/>
          <w:color w:val="auto"/>
          <w:szCs w:val="21"/>
          <w:highlight w:val="none"/>
        </w:rPr>
      </w:pPr>
      <w:bookmarkStart w:id="93" w:name="_Hlk88990289"/>
      <w:r>
        <w:rPr>
          <w:rFonts w:ascii="Arial" w:hAnsi="Arial" w:cs="Arial"/>
          <w:color w:val="auto"/>
          <w:szCs w:val="21"/>
          <w:highlight w:val="none"/>
        </w:rPr>
        <w:t>供应商名称（电子签章）</w:t>
      </w:r>
      <w:bookmarkEnd w:id="93"/>
      <w:r>
        <w:rPr>
          <w:rFonts w:ascii="Arial" w:hAnsi="Arial" w:cs="Arial"/>
          <w:color w:val="auto"/>
          <w:szCs w:val="21"/>
          <w:highlight w:val="none"/>
        </w:rPr>
        <w:t>：</w:t>
      </w:r>
    </w:p>
    <w:p w14:paraId="7262BAB9">
      <w:pPr>
        <w:snapToGrid w:val="0"/>
        <w:spacing w:beforeLines="50" w:after="50" w:line="360" w:lineRule="exact"/>
        <w:ind w:firstLine="210" w:firstLineChars="100"/>
        <w:jc w:val="right"/>
        <w:rPr>
          <w:rFonts w:ascii="Arial" w:hAnsi="Arial" w:cs="Arial"/>
          <w:color w:val="auto"/>
          <w:szCs w:val="21"/>
          <w:highlight w:val="none"/>
        </w:rPr>
      </w:pPr>
      <w:r>
        <w:rPr>
          <w:rFonts w:ascii="Arial" w:hAnsi="Arial" w:cs="Arial"/>
          <w:color w:val="auto"/>
          <w:szCs w:val="21"/>
          <w:highlight w:val="none"/>
        </w:rPr>
        <w:t>年    月    日</w:t>
      </w:r>
    </w:p>
    <w:p w14:paraId="6F176638">
      <w:pPr>
        <w:snapToGrid w:val="0"/>
        <w:spacing w:beforeLines="50" w:after="50" w:line="360" w:lineRule="exact"/>
        <w:rPr>
          <w:rFonts w:ascii="Arial" w:hAnsi="Arial" w:cs="Arial"/>
          <w:color w:val="auto"/>
          <w:szCs w:val="21"/>
          <w:highlight w:val="none"/>
        </w:rPr>
      </w:pPr>
      <w:r>
        <w:rPr>
          <w:rFonts w:ascii="Arial" w:hAnsi="Arial" w:cs="Arial"/>
          <w:color w:val="auto"/>
          <w:szCs w:val="21"/>
          <w:highlight w:val="none"/>
        </w:rPr>
        <w:br w:type="page"/>
      </w:r>
      <w:r>
        <w:rPr>
          <w:rFonts w:ascii="Arial" w:hAnsi="Arial" w:cs="Arial"/>
          <w:color w:val="auto"/>
          <w:szCs w:val="21"/>
          <w:highlight w:val="none"/>
        </w:rPr>
        <w:t>2．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电子签章）。</w:t>
      </w:r>
    </w:p>
    <w:p w14:paraId="4EF01848">
      <w:pPr>
        <w:snapToGrid w:val="0"/>
        <w:spacing w:beforeLines="50" w:after="50" w:line="440" w:lineRule="exact"/>
        <w:rPr>
          <w:rFonts w:ascii="Arial" w:hAnsi="Arial" w:cs="Arial"/>
          <w:color w:val="auto"/>
          <w:sz w:val="18"/>
          <w:szCs w:val="18"/>
          <w:highlight w:val="none"/>
        </w:rPr>
      </w:pPr>
    </w:p>
    <w:p w14:paraId="01311D22">
      <w:pPr>
        <w:snapToGrid w:val="0"/>
        <w:spacing w:beforeLines="50" w:after="50" w:line="440" w:lineRule="exact"/>
        <w:rPr>
          <w:rFonts w:ascii="Arial" w:hAnsi="Arial" w:cs="Arial"/>
          <w:b/>
          <w:color w:val="auto"/>
          <w:szCs w:val="21"/>
          <w:highlight w:val="none"/>
        </w:rPr>
      </w:pPr>
      <w:r>
        <w:rPr>
          <w:rFonts w:ascii="Arial" w:hAnsi="Arial" w:cs="Arial"/>
          <w:color w:val="auto"/>
          <w:szCs w:val="21"/>
          <w:highlight w:val="none"/>
        </w:rPr>
        <w:t>3．财务状况报告（表）复印件或银行出具的资信证明复印件。</w:t>
      </w:r>
      <w:r>
        <w:rPr>
          <w:rFonts w:ascii="Arial" w:hAnsi="Arial" w:cs="Arial"/>
          <w:color w:val="auto"/>
          <w:highlight w:val="none"/>
        </w:rPr>
        <w:t>对于从取得营业执照时间起到截标时间为止不足1年的供应商，只需提交</w:t>
      </w:r>
      <w:r>
        <w:rPr>
          <w:rFonts w:ascii="Arial" w:hAnsi="Arial" w:cs="Arial"/>
          <w:color w:val="auto"/>
          <w:szCs w:val="21"/>
          <w:highlight w:val="none"/>
        </w:rPr>
        <w:t>截标时间前一个月的财务状况报告（表）复印件。（按“评审方法及标准” “资格审查表”规定提供）。（加盖供应商电子签章）。</w:t>
      </w:r>
    </w:p>
    <w:p w14:paraId="46DE70EA">
      <w:pPr>
        <w:snapToGrid w:val="0"/>
        <w:spacing w:beforeLines="50" w:after="50" w:line="440" w:lineRule="exact"/>
        <w:rPr>
          <w:rFonts w:ascii="Arial" w:hAnsi="Arial" w:cs="Arial"/>
          <w:color w:val="auto"/>
          <w:szCs w:val="21"/>
          <w:highlight w:val="none"/>
        </w:rPr>
      </w:pPr>
    </w:p>
    <w:p w14:paraId="3D4490D2">
      <w:pPr>
        <w:snapToGrid w:val="0"/>
        <w:spacing w:beforeLines="50" w:after="50" w:line="440" w:lineRule="exact"/>
        <w:rPr>
          <w:rFonts w:ascii="Arial" w:hAnsi="Arial" w:cs="Arial"/>
          <w:color w:val="auto"/>
          <w:highlight w:val="none"/>
        </w:rPr>
      </w:pPr>
      <w:r>
        <w:rPr>
          <w:rFonts w:ascii="Arial" w:hAnsi="Arial" w:cs="Arial"/>
          <w:color w:val="auto"/>
          <w:highlight w:val="none"/>
        </w:rPr>
        <w:t>4．依法缴纳税费证明和社会保险缴纳证明材料。供应商成立不足1个月的，无须提供缴纳税费证明及社保缴费证明。依法免税或不需要缴纳社会保障资金的供应商，须提供相应文件证明其依法免税或不需要缴纳社会保障资金。</w:t>
      </w:r>
      <w:r>
        <w:rPr>
          <w:rFonts w:ascii="Arial" w:hAnsi="Arial" w:cs="Arial"/>
          <w:color w:val="auto"/>
          <w:szCs w:val="21"/>
          <w:highlight w:val="none"/>
        </w:rPr>
        <w:t>（按“评审方法及标准” “资格审查表”规定提供）（加盖供应商电子签章）。</w:t>
      </w:r>
    </w:p>
    <w:p w14:paraId="77CE77AD">
      <w:pPr>
        <w:snapToGrid w:val="0"/>
        <w:spacing w:beforeLines="50" w:after="50" w:line="360" w:lineRule="exact"/>
        <w:rPr>
          <w:rFonts w:ascii="Arial" w:hAnsi="Arial" w:cs="Arial"/>
          <w:color w:val="auto"/>
          <w:szCs w:val="21"/>
          <w:highlight w:val="none"/>
        </w:rPr>
      </w:pPr>
    </w:p>
    <w:p w14:paraId="4375B81A">
      <w:pPr>
        <w:snapToGrid w:val="0"/>
        <w:spacing w:before="50" w:afterLines="50" w:line="440" w:lineRule="exact"/>
        <w:jc w:val="left"/>
        <w:rPr>
          <w:rFonts w:ascii="Arial" w:hAnsi="Arial" w:cs="Arial"/>
          <w:b/>
          <w:color w:val="auto"/>
          <w:szCs w:val="21"/>
          <w:highlight w:val="none"/>
        </w:rPr>
      </w:pPr>
      <w:r>
        <w:rPr>
          <w:rFonts w:ascii="Arial" w:hAnsi="Arial" w:cs="Arial"/>
          <w:color w:val="auto"/>
          <w:szCs w:val="21"/>
          <w:highlight w:val="none"/>
        </w:rPr>
        <w:t>5．具备法律、行政法规规定的其他要求的证明材料</w:t>
      </w:r>
      <w:r>
        <w:rPr>
          <w:rFonts w:ascii="Arial" w:hAnsi="Arial" w:cs="Arial"/>
          <w:color w:val="auto"/>
          <w:highlight w:val="none"/>
        </w:rPr>
        <w:t>（</w:t>
      </w:r>
      <w:r>
        <w:rPr>
          <w:rFonts w:ascii="Arial" w:hAnsi="Arial" w:cs="Arial"/>
          <w:color w:val="auto"/>
          <w:szCs w:val="21"/>
          <w:highlight w:val="none"/>
        </w:rPr>
        <w:t>按“评审方法及标准” “资格审查表”规定提供</w:t>
      </w:r>
      <w:r>
        <w:rPr>
          <w:rFonts w:ascii="Arial" w:hAnsi="Arial" w:cs="Arial"/>
          <w:color w:val="auto"/>
          <w:highlight w:val="none"/>
        </w:rPr>
        <w:t>）。</w:t>
      </w:r>
      <w:r>
        <w:rPr>
          <w:rFonts w:ascii="Arial" w:hAnsi="Arial" w:cs="Arial"/>
          <w:b/>
          <w:color w:val="auto"/>
          <w:szCs w:val="21"/>
          <w:highlight w:val="none"/>
        </w:rPr>
        <w:t>（如招标文件有要求时提供）</w:t>
      </w:r>
    </w:p>
    <w:p w14:paraId="00E0DDC7">
      <w:pPr>
        <w:snapToGrid w:val="0"/>
        <w:spacing w:before="50" w:afterLines="50" w:line="440" w:lineRule="exact"/>
        <w:jc w:val="left"/>
        <w:rPr>
          <w:rFonts w:ascii="Arial" w:hAnsi="Arial" w:cs="Arial"/>
          <w:color w:val="auto"/>
          <w:szCs w:val="21"/>
          <w:highlight w:val="none"/>
        </w:rPr>
      </w:pPr>
    </w:p>
    <w:p w14:paraId="48415019">
      <w:pPr>
        <w:widowControl/>
        <w:jc w:val="left"/>
        <w:rPr>
          <w:rFonts w:ascii="Arial" w:hAnsi="Arial" w:cs="Arial"/>
          <w:b/>
          <w:color w:val="auto"/>
          <w:szCs w:val="21"/>
          <w:highlight w:val="none"/>
        </w:rPr>
      </w:pPr>
      <w:r>
        <w:rPr>
          <w:rFonts w:ascii="Arial" w:hAnsi="Arial" w:cs="Arial"/>
          <w:b/>
          <w:bCs/>
          <w:color w:val="auto"/>
          <w:szCs w:val="21"/>
          <w:highlight w:val="none"/>
        </w:rPr>
        <w:t>6．</w:t>
      </w:r>
      <w:r>
        <w:rPr>
          <w:rFonts w:ascii="Arial" w:hAnsi="Arial" w:cs="Arial"/>
          <w:b/>
          <w:bCs/>
          <w:color w:val="auto"/>
          <w:highlight w:val="none"/>
        </w:rPr>
        <w:t>满足供应商特定资格条件的其他证明材料</w:t>
      </w:r>
      <w:r>
        <w:rPr>
          <w:rFonts w:ascii="Arial" w:hAnsi="Arial" w:cs="Arial"/>
          <w:b/>
          <w:bCs/>
          <w:color w:val="auto"/>
          <w:szCs w:val="21"/>
          <w:highlight w:val="none"/>
        </w:rPr>
        <w:t>加盖供应商电子签章</w:t>
      </w:r>
      <w:r>
        <w:rPr>
          <w:rFonts w:ascii="Arial" w:hAnsi="Arial" w:cs="Arial"/>
          <w:b/>
          <w:bCs/>
          <w:color w:val="auto"/>
          <w:highlight w:val="none"/>
        </w:rPr>
        <w:t>（</w:t>
      </w:r>
      <w:r>
        <w:rPr>
          <w:rFonts w:ascii="Arial" w:hAnsi="Arial" w:cs="Arial"/>
          <w:b/>
          <w:bCs/>
          <w:color w:val="auto"/>
          <w:szCs w:val="21"/>
          <w:highlight w:val="none"/>
        </w:rPr>
        <w:t>按“评审方法及标准” “资格审查表”“</w:t>
      </w:r>
      <w:r>
        <w:rPr>
          <w:rFonts w:ascii="Arial" w:hAnsi="Arial" w:cs="Arial"/>
          <w:b/>
          <w:bCs/>
          <w:color w:val="auto"/>
          <w:szCs w:val="21"/>
          <w:highlight w:val="none"/>
          <w:lang w:val="zh-CN"/>
        </w:rPr>
        <w:t xml:space="preserve"> 供应商应符合的</w:t>
      </w:r>
      <w:r>
        <w:rPr>
          <w:rFonts w:ascii="Arial" w:hAnsi="Arial" w:cs="Arial"/>
          <w:b/>
          <w:bCs/>
          <w:color w:val="auto"/>
          <w:szCs w:val="21"/>
          <w:highlight w:val="none"/>
        </w:rPr>
        <w:t>特定资格条件”规定提供</w:t>
      </w:r>
      <w:r>
        <w:rPr>
          <w:rFonts w:ascii="Arial" w:hAnsi="Arial" w:cs="Arial"/>
          <w:b/>
          <w:bCs/>
          <w:color w:val="auto"/>
          <w:highlight w:val="none"/>
        </w:rPr>
        <w:t>）。</w:t>
      </w:r>
      <w:r>
        <w:rPr>
          <w:rFonts w:ascii="Arial" w:hAnsi="Arial" w:cs="Arial"/>
          <w:b/>
          <w:color w:val="auto"/>
          <w:szCs w:val="21"/>
          <w:highlight w:val="none"/>
        </w:rPr>
        <w:t>（如招标文件有要求时提供）</w:t>
      </w:r>
    </w:p>
    <w:p w14:paraId="619A24F9">
      <w:pPr>
        <w:snapToGrid w:val="0"/>
        <w:spacing w:before="50" w:afterLines="50" w:line="360" w:lineRule="auto"/>
        <w:jc w:val="left"/>
        <w:rPr>
          <w:rFonts w:ascii="Arial" w:hAnsi="Arial" w:cs="Arial"/>
          <w:color w:val="auto"/>
          <w:szCs w:val="21"/>
          <w:highlight w:val="none"/>
        </w:rPr>
        <w:sectPr>
          <w:headerReference r:id="rId17" w:type="default"/>
          <w:footerReference r:id="rId18" w:type="default"/>
          <w:pgSz w:w="11906" w:h="16838"/>
          <w:pgMar w:top="1418" w:right="1133" w:bottom="1246" w:left="1418" w:header="851" w:footer="992" w:gutter="0"/>
          <w:cols w:space="720" w:num="1"/>
          <w:docGrid w:linePitch="312" w:charSpace="0"/>
        </w:sectPr>
      </w:pPr>
    </w:p>
    <w:p w14:paraId="61D31E2D">
      <w:pPr>
        <w:snapToGrid w:val="0"/>
        <w:spacing w:before="50" w:afterLines="50" w:line="360" w:lineRule="auto"/>
        <w:jc w:val="left"/>
        <w:rPr>
          <w:rFonts w:ascii="Arial" w:hAnsi="Arial" w:cs="Arial"/>
          <w:color w:val="auto"/>
          <w:szCs w:val="21"/>
          <w:highlight w:val="none"/>
        </w:rPr>
      </w:pPr>
      <w:r>
        <w:rPr>
          <w:rFonts w:ascii="Arial" w:hAnsi="Arial" w:cs="Arial"/>
          <w:color w:val="auto"/>
          <w:szCs w:val="21"/>
          <w:highlight w:val="none"/>
        </w:rPr>
        <w:t>6.1投标人直接控股股东信息表</w:t>
      </w:r>
    </w:p>
    <w:tbl>
      <w:tblPr>
        <w:tblStyle w:val="52"/>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441DB5D4">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AF9A4D9">
            <w:pPr>
              <w:spacing w:line="360" w:lineRule="auto"/>
              <w:jc w:val="center"/>
              <w:rPr>
                <w:rFonts w:ascii="Arial" w:hAnsi="Arial" w:cs="Arial"/>
                <w:color w:val="auto"/>
                <w:szCs w:val="21"/>
                <w:highlight w:val="none"/>
              </w:rPr>
            </w:pPr>
            <w:r>
              <w:rPr>
                <w:rFonts w:ascii="Arial" w:hAnsi="Arial" w:cs="Arial"/>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E5AC29A">
            <w:pPr>
              <w:spacing w:line="360" w:lineRule="auto"/>
              <w:jc w:val="center"/>
              <w:rPr>
                <w:rFonts w:ascii="Arial" w:hAnsi="Arial" w:cs="Arial"/>
                <w:color w:val="auto"/>
                <w:szCs w:val="21"/>
                <w:highlight w:val="none"/>
              </w:rPr>
            </w:pPr>
            <w:r>
              <w:rPr>
                <w:rFonts w:ascii="Arial" w:hAnsi="Arial" w:cs="Arial"/>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EBE8EF2">
            <w:pPr>
              <w:spacing w:line="360" w:lineRule="auto"/>
              <w:jc w:val="center"/>
              <w:rPr>
                <w:rFonts w:ascii="Arial" w:hAnsi="Arial" w:cs="Arial"/>
                <w:color w:val="auto"/>
                <w:szCs w:val="21"/>
                <w:highlight w:val="none"/>
              </w:rPr>
            </w:pPr>
            <w:r>
              <w:rPr>
                <w:rFonts w:ascii="Arial" w:hAnsi="Arial" w:cs="Arial"/>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F82D140">
            <w:pPr>
              <w:spacing w:line="360" w:lineRule="auto"/>
              <w:jc w:val="center"/>
              <w:rPr>
                <w:rFonts w:ascii="Arial" w:hAnsi="Arial" w:cs="Arial"/>
                <w:color w:val="auto"/>
                <w:szCs w:val="21"/>
                <w:highlight w:val="none"/>
              </w:rPr>
            </w:pPr>
            <w:r>
              <w:rPr>
                <w:rFonts w:ascii="Arial" w:hAnsi="Arial" w:cs="Arial"/>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53415D3">
            <w:pPr>
              <w:spacing w:line="360" w:lineRule="auto"/>
              <w:jc w:val="center"/>
              <w:rPr>
                <w:rFonts w:ascii="Arial" w:hAnsi="Arial" w:cs="Arial"/>
                <w:color w:val="auto"/>
                <w:szCs w:val="21"/>
                <w:highlight w:val="none"/>
              </w:rPr>
            </w:pPr>
            <w:r>
              <w:rPr>
                <w:rFonts w:ascii="Arial" w:hAnsi="Arial" w:cs="Arial"/>
                <w:color w:val="auto"/>
                <w:szCs w:val="21"/>
                <w:highlight w:val="none"/>
              </w:rPr>
              <w:t>备注</w:t>
            </w:r>
          </w:p>
        </w:tc>
      </w:tr>
      <w:tr w14:paraId="53BEAA1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2D78585">
            <w:pPr>
              <w:spacing w:line="360" w:lineRule="auto"/>
              <w:jc w:val="center"/>
              <w:rPr>
                <w:rFonts w:ascii="Arial" w:hAnsi="Arial" w:cs="Arial"/>
                <w:color w:val="auto"/>
                <w:szCs w:val="21"/>
                <w:highlight w:val="none"/>
              </w:rPr>
            </w:pPr>
            <w:r>
              <w:rPr>
                <w:rFonts w:ascii="Arial" w:hAnsi="Arial" w:cs="Arial"/>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A4FBE9E">
            <w:pPr>
              <w:spacing w:line="360" w:lineRule="auto"/>
              <w:jc w:val="center"/>
              <w:rPr>
                <w:rFonts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20577D9">
            <w:pPr>
              <w:spacing w:line="360" w:lineRule="auto"/>
              <w:jc w:val="center"/>
              <w:rPr>
                <w:rFonts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D5E1533">
            <w:pPr>
              <w:spacing w:line="360" w:lineRule="auto"/>
              <w:jc w:val="center"/>
              <w:rPr>
                <w:rFonts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6F842E7">
            <w:pPr>
              <w:spacing w:line="360" w:lineRule="auto"/>
              <w:jc w:val="center"/>
              <w:rPr>
                <w:rFonts w:ascii="Arial" w:hAnsi="Arial" w:cs="Arial"/>
                <w:color w:val="auto"/>
                <w:szCs w:val="21"/>
                <w:highlight w:val="none"/>
              </w:rPr>
            </w:pPr>
          </w:p>
        </w:tc>
      </w:tr>
      <w:tr w14:paraId="4125503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7BDE2C4">
            <w:pPr>
              <w:spacing w:line="360" w:lineRule="auto"/>
              <w:jc w:val="center"/>
              <w:rPr>
                <w:rFonts w:ascii="Arial" w:hAnsi="Arial" w:cs="Arial"/>
                <w:color w:val="auto"/>
                <w:szCs w:val="21"/>
                <w:highlight w:val="none"/>
              </w:rPr>
            </w:pPr>
            <w:r>
              <w:rPr>
                <w:rFonts w:ascii="Arial" w:hAnsi="Arial" w:cs="Arial"/>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CD2FF9B">
            <w:pPr>
              <w:spacing w:line="360" w:lineRule="auto"/>
              <w:jc w:val="center"/>
              <w:rPr>
                <w:rFonts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1A8041D">
            <w:pPr>
              <w:spacing w:line="360" w:lineRule="auto"/>
              <w:jc w:val="center"/>
              <w:rPr>
                <w:rFonts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3F95242">
            <w:pPr>
              <w:spacing w:line="360" w:lineRule="auto"/>
              <w:jc w:val="center"/>
              <w:rPr>
                <w:rFonts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F68F6FB">
            <w:pPr>
              <w:spacing w:line="360" w:lineRule="auto"/>
              <w:jc w:val="center"/>
              <w:rPr>
                <w:rFonts w:ascii="Arial" w:hAnsi="Arial" w:cs="Arial"/>
                <w:color w:val="auto"/>
                <w:szCs w:val="21"/>
                <w:highlight w:val="none"/>
              </w:rPr>
            </w:pPr>
          </w:p>
        </w:tc>
      </w:tr>
      <w:tr w14:paraId="20FD244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A72D7AD">
            <w:pPr>
              <w:spacing w:line="360" w:lineRule="auto"/>
              <w:jc w:val="center"/>
              <w:rPr>
                <w:rFonts w:ascii="Arial" w:hAnsi="Arial" w:cs="Arial"/>
                <w:color w:val="auto"/>
                <w:szCs w:val="21"/>
                <w:highlight w:val="none"/>
              </w:rPr>
            </w:pPr>
            <w:r>
              <w:rPr>
                <w:rFonts w:ascii="Arial" w:hAnsi="Arial" w:cs="Arial"/>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9A75280">
            <w:pPr>
              <w:spacing w:line="360" w:lineRule="auto"/>
              <w:jc w:val="center"/>
              <w:rPr>
                <w:rFonts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397C5FA">
            <w:pPr>
              <w:spacing w:line="360" w:lineRule="auto"/>
              <w:jc w:val="center"/>
              <w:rPr>
                <w:rFonts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5D4053F">
            <w:pPr>
              <w:spacing w:line="360" w:lineRule="auto"/>
              <w:jc w:val="center"/>
              <w:rPr>
                <w:rFonts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50D1418">
            <w:pPr>
              <w:spacing w:line="360" w:lineRule="auto"/>
              <w:jc w:val="center"/>
              <w:rPr>
                <w:rFonts w:ascii="Arial" w:hAnsi="Arial" w:cs="Arial"/>
                <w:color w:val="auto"/>
                <w:szCs w:val="21"/>
                <w:highlight w:val="none"/>
              </w:rPr>
            </w:pPr>
          </w:p>
        </w:tc>
      </w:tr>
      <w:tr w14:paraId="5BBEDF3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8D77997">
            <w:pPr>
              <w:spacing w:line="360" w:lineRule="auto"/>
              <w:jc w:val="center"/>
              <w:rPr>
                <w:rFonts w:ascii="Arial" w:hAnsi="Arial" w:cs="Arial"/>
                <w:color w:val="auto"/>
                <w:szCs w:val="21"/>
                <w:highlight w:val="none"/>
              </w:rPr>
            </w:pPr>
            <w:r>
              <w:rPr>
                <w:rFonts w:ascii="Arial" w:hAnsi="Arial" w:cs="Arial"/>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93F2EED">
            <w:pPr>
              <w:spacing w:line="360" w:lineRule="auto"/>
              <w:jc w:val="center"/>
              <w:rPr>
                <w:rFonts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EF89E86">
            <w:pPr>
              <w:spacing w:line="360" w:lineRule="auto"/>
              <w:jc w:val="center"/>
              <w:rPr>
                <w:rFonts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4363660">
            <w:pPr>
              <w:spacing w:line="360" w:lineRule="auto"/>
              <w:jc w:val="center"/>
              <w:rPr>
                <w:rFonts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BE00A99">
            <w:pPr>
              <w:spacing w:line="360" w:lineRule="auto"/>
              <w:jc w:val="center"/>
              <w:rPr>
                <w:rFonts w:ascii="Arial" w:hAnsi="Arial" w:cs="Arial"/>
                <w:color w:val="auto"/>
                <w:szCs w:val="21"/>
                <w:highlight w:val="none"/>
              </w:rPr>
            </w:pPr>
          </w:p>
        </w:tc>
      </w:tr>
    </w:tbl>
    <w:p w14:paraId="225F8463">
      <w:pPr>
        <w:snapToGrid w:val="0"/>
        <w:spacing w:line="360" w:lineRule="auto"/>
        <w:jc w:val="left"/>
        <w:rPr>
          <w:rFonts w:ascii="Arial" w:hAnsi="Arial" w:cs="Arial"/>
          <w:color w:val="auto"/>
          <w:szCs w:val="21"/>
          <w:highlight w:val="none"/>
        </w:rPr>
      </w:pPr>
      <w:r>
        <w:rPr>
          <w:rFonts w:ascii="Arial" w:hAnsi="Arial" w:cs="Arial"/>
          <w:color w:val="auto"/>
          <w:szCs w:val="21"/>
          <w:highlight w:val="none"/>
        </w:rPr>
        <w:t>注：</w:t>
      </w:r>
    </w:p>
    <w:p w14:paraId="3BD7EA35">
      <w:pPr>
        <w:snapToGrid w:val="0"/>
        <w:spacing w:line="360" w:lineRule="auto"/>
        <w:jc w:val="left"/>
        <w:rPr>
          <w:rFonts w:ascii="Arial" w:hAnsi="Arial" w:cs="Arial"/>
          <w:color w:val="auto"/>
          <w:szCs w:val="21"/>
          <w:highlight w:val="none"/>
        </w:rPr>
      </w:pPr>
      <w:r>
        <w:rPr>
          <w:rFonts w:ascii="Arial" w:hAnsi="Arial" w:cs="Arial"/>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5D44536">
      <w:pPr>
        <w:snapToGrid w:val="0"/>
        <w:spacing w:line="360" w:lineRule="auto"/>
        <w:jc w:val="left"/>
        <w:rPr>
          <w:rFonts w:ascii="Arial" w:hAnsi="Arial" w:cs="Arial"/>
          <w:color w:val="auto"/>
          <w:szCs w:val="21"/>
          <w:highlight w:val="none"/>
        </w:rPr>
      </w:pPr>
      <w:r>
        <w:rPr>
          <w:rFonts w:ascii="Arial" w:hAnsi="Arial" w:cs="Arial"/>
          <w:color w:val="auto"/>
          <w:szCs w:val="21"/>
          <w:highlight w:val="none"/>
        </w:rPr>
        <w:t>2.本表所指的控股关系仅限于直接控股关系，不包括间接的控股关系。公司实际控制人与公司之间的关系不属于本表所指的直接控股关系。</w:t>
      </w:r>
    </w:p>
    <w:p w14:paraId="63CB535D">
      <w:pPr>
        <w:snapToGrid w:val="0"/>
        <w:spacing w:line="360" w:lineRule="auto"/>
        <w:jc w:val="left"/>
        <w:rPr>
          <w:rFonts w:ascii="Arial" w:hAnsi="Arial" w:cs="Arial"/>
          <w:color w:val="auto"/>
          <w:szCs w:val="21"/>
          <w:highlight w:val="none"/>
        </w:rPr>
      </w:pPr>
      <w:r>
        <w:rPr>
          <w:rFonts w:ascii="Arial" w:hAnsi="Arial" w:cs="Arial"/>
          <w:color w:val="auto"/>
          <w:szCs w:val="21"/>
          <w:highlight w:val="none"/>
        </w:rPr>
        <w:t>3.供应商不存在直接控股股东的，则填“无”。</w:t>
      </w:r>
    </w:p>
    <w:p w14:paraId="1C23E01D">
      <w:pPr>
        <w:snapToGrid w:val="0"/>
        <w:spacing w:line="360" w:lineRule="auto"/>
        <w:jc w:val="left"/>
        <w:rPr>
          <w:rFonts w:ascii="Arial" w:hAnsi="Arial" w:cs="Arial"/>
          <w:color w:val="auto"/>
          <w:szCs w:val="21"/>
          <w:highlight w:val="none"/>
        </w:rPr>
      </w:pPr>
    </w:p>
    <w:p w14:paraId="26BD271E">
      <w:pPr>
        <w:snapToGrid w:val="0"/>
        <w:spacing w:line="360" w:lineRule="auto"/>
        <w:jc w:val="left"/>
        <w:rPr>
          <w:rFonts w:ascii="Arial" w:hAnsi="Arial" w:cs="Arial"/>
          <w:color w:val="auto"/>
          <w:szCs w:val="21"/>
          <w:highlight w:val="none"/>
        </w:rPr>
      </w:pPr>
    </w:p>
    <w:p w14:paraId="2606D671">
      <w:pPr>
        <w:snapToGrid w:val="0"/>
        <w:spacing w:line="360" w:lineRule="auto"/>
        <w:jc w:val="left"/>
        <w:rPr>
          <w:rFonts w:ascii="Arial" w:hAnsi="Arial" w:cs="Arial"/>
          <w:color w:val="auto"/>
          <w:szCs w:val="21"/>
          <w:highlight w:val="none"/>
        </w:rPr>
      </w:pPr>
    </w:p>
    <w:p w14:paraId="332B43B1">
      <w:pPr>
        <w:snapToGrid w:val="0"/>
        <w:spacing w:line="360" w:lineRule="auto"/>
        <w:jc w:val="left"/>
        <w:rPr>
          <w:rFonts w:ascii="Arial" w:hAnsi="Arial" w:cs="Arial"/>
          <w:color w:val="auto"/>
          <w:szCs w:val="21"/>
          <w:highlight w:val="none"/>
        </w:rPr>
      </w:pPr>
    </w:p>
    <w:p w14:paraId="2118EBA9">
      <w:pPr>
        <w:snapToGrid w:val="0"/>
        <w:spacing w:line="360" w:lineRule="auto"/>
        <w:jc w:val="left"/>
        <w:rPr>
          <w:rFonts w:ascii="Arial" w:hAnsi="Arial" w:cs="Arial"/>
          <w:color w:val="auto"/>
          <w:szCs w:val="21"/>
          <w:highlight w:val="none"/>
        </w:rPr>
      </w:pPr>
    </w:p>
    <w:p w14:paraId="0E030984">
      <w:pPr>
        <w:snapToGrid w:val="0"/>
        <w:spacing w:line="360" w:lineRule="auto"/>
        <w:ind w:firstLine="4410" w:firstLineChars="2100"/>
        <w:rPr>
          <w:rFonts w:ascii="Arial" w:hAnsi="Arial" w:cs="Arial"/>
          <w:color w:val="auto"/>
          <w:szCs w:val="21"/>
          <w:highlight w:val="none"/>
        </w:rPr>
      </w:pPr>
      <w:r>
        <w:rPr>
          <w:rFonts w:ascii="Arial" w:hAnsi="Arial" w:cs="Arial"/>
          <w:color w:val="auto"/>
          <w:szCs w:val="21"/>
          <w:highlight w:val="none"/>
        </w:rPr>
        <w:t>供应商名称(电子签章)：</w:t>
      </w:r>
    </w:p>
    <w:p w14:paraId="1FD46D3A">
      <w:pPr>
        <w:snapToGrid w:val="0"/>
        <w:spacing w:line="360" w:lineRule="auto"/>
        <w:ind w:firstLine="4515" w:firstLineChars="2150"/>
        <w:rPr>
          <w:rFonts w:ascii="Arial" w:hAnsi="Arial" w:cs="Arial"/>
          <w:color w:val="auto"/>
          <w:szCs w:val="21"/>
          <w:highlight w:val="none"/>
        </w:rPr>
      </w:pPr>
      <w:r>
        <w:rPr>
          <w:rFonts w:ascii="Arial" w:hAnsi="Arial" w:cs="Arial"/>
          <w:color w:val="auto"/>
          <w:szCs w:val="21"/>
          <w:highlight w:val="none"/>
        </w:rPr>
        <w:t>日期：  年  月   日</w:t>
      </w:r>
    </w:p>
    <w:p w14:paraId="187B0D55">
      <w:pPr>
        <w:snapToGrid w:val="0"/>
        <w:spacing w:line="360" w:lineRule="auto"/>
        <w:jc w:val="left"/>
        <w:rPr>
          <w:rFonts w:ascii="Arial" w:hAnsi="Arial" w:cs="Arial"/>
          <w:color w:val="auto"/>
          <w:szCs w:val="21"/>
          <w:highlight w:val="none"/>
        </w:rPr>
      </w:pPr>
      <w:r>
        <w:rPr>
          <w:rFonts w:ascii="Arial" w:hAnsi="Arial" w:cs="Arial"/>
          <w:color w:val="auto"/>
          <w:szCs w:val="21"/>
          <w:highlight w:val="none"/>
        </w:rPr>
        <w:br w:type="page"/>
      </w:r>
      <w:r>
        <w:rPr>
          <w:rFonts w:ascii="Arial" w:hAnsi="Arial" w:cs="Arial"/>
          <w:color w:val="auto"/>
          <w:szCs w:val="21"/>
          <w:highlight w:val="none"/>
        </w:rPr>
        <w:t>6.2投标人直接管理关系信息表</w:t>
      </w:r>
    </w:p>
    <w:tbl>
      <w:tblPr>
        <w:tblStyle w:val="52"/>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3B78B02E">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609726A6">
            <w:pPr>
              <w:spacing w:line="360" w:lineRule="auto"/>
              <w:jc w:val="center"/>
              <w:rPr>
                <w:rFonts w:ascii="Arial" w:hAnsi="Arial" w:cs="Arial"/>
                <w:color w:val="auto"/>
                <w:szCs w:val="21"/>
                <w:highlight w:val="none"/>
              </w:rPr>
            </w:pPr>
            <w:r>
              <w:rPr>
                <w:rFonts w:ascii="Arial" w:hAnsi="Arial" w:cs="Arial"/>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13E00645">
            <w:pPr>
              <w:spacing w:line="360" w:lineRule="auto"/>
              <w:jc w:val="center"/>
              <w:rPr>
                <w:rFonts w:ascii="Arial" w:hAnsi="Arial" w:cs="Arial"/>
                <w:color w:val="auto"/>
                <w:szCs w:val="21"/>
                <w:highlight w:val="none"/>
              </w:rPr>
            </w:pPr>
            <w:r>
              <w:rPr>
                <w:rFonts w:ascii="Arial" w:hAnsi="Arial" w:cs="Arial"/>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11EEBA6F">
            <w:pPr>
              <w:spacing w:line="360" w:lineRule="auto"/>
              <w:jc w:val="center"/>
              <w:rPr>
                <w:rFonts w:ascii="Arial" w:hAnsi="Arial" w:cs="Arial"/>
                <w:color w:val="auto"/>
                <w:szCs w:val="21"/>
                <w:highlight w:val="none"/>
              </w:rPr>
            </w:pPr>
            <w:r>
              <w:rPr>
                <w:rFonts w:ascii="Arial" w:hAnsi="Arial" w:cs="Arial"/>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4A2ED726">
            <w:pPr>
              <w:spacing w:line="360" w:lineRule="auto"/>
              <w:jc w:val="center"/>
              <w:rPr>
                <w:rFonts w:ascii="Arial" w:hAnsi="Arial" w:cs="Arial"/>
                <w:color w:val="auto"/>
                <w:szCs w:val="21"/>
                <w:highlight w:val="none"/>
              </w:rPr>
            </w:pPr>
            <w:r>
              <w:rPr>
                <w:rFonts w:ascii="Arial" w:hAnsi="Arial" w:cs="Arial"/>
                <w:color w:val="auto"/>
                <w:szCs w:val="21"/>
                <w:highlight w:val="none"/>
              </w:rPr>
              <w:t>备注</w:t>
            </w:r>
          </w:p>
        </w:tc>
      </w:tr>
      <w:tr w14:paraId="43D4F31C">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0E27FD5F">
            <w:pPr>
              <w:spacing w:line="360" w:lineRule="auto"/>
              <w:jc w:val="center"/>
              <w:rPr>
                <w:rFonts w:ascii="Arial" w:hAnsi="Arial" w:cs="Arial"/>
                <w:color w:val="auto"/>
                <w:szCs w:val="21"/>
                <w:highlight w:val="none"/>
              </w:rPr>
            </w:pPr>
            <w:r>
              <w:rPr>
                <w:rFonts w:ascii="Arial" w:hAnsi="Arial" w:cs="Arial"/>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45F3BB1E">
            <w:pPr>
              <w:spacing w:line="360" w:lineRule="auto"/>
              <w:jc w:val="center"/>
              <w:rPr>
                <w:rFonts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16C4A29A">
            <w:pPr>
              <w:spacing w:line="360" w:lineRule="auto"/>
              <w:jc w:val="center"/>
              <w:rPr>
                <w:rFonts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7FE4CFB0">
            <w:pPr>
              <w:spacing w:line="360" w:lineRule="auto"/>
              <w:jc w:val="center"/>
              <w:rPr>
                <w:rFonts w:ascii="Arial" w:hAnsi="Arial" w:cs="Arial"/>
                <w:color w:val="auto"/>
                <w:szCs w:val="21"/>
                <w:highlight w:val="none"/>
              </w:rPr>
            </w:pPr>
          </w:p>
        </w:tc>
      </w:tr>
      <w:tr w14:paraId="68D64CBC">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02A9B3DF">
            <w:pPr>
              <w:spacing w:line="360" w:lineRule="auto"/>
              <w:jc w:val="center"/>
              <w:rPr>
                <w:rFonts w:ascii="Arial" w:hAnsi="Arial" w:cs="Arial"/>
                <w:color w:val="auto"/>
                <w:szCs w:val="21"/>
                <w:highlight w:val="none"/>
              </w:rPr>
            </w:pPr>
            <w:r>
              <w:rPr>
                <w:rFonts w:ascii="Arial" w:hAnsi="Arial" w:cs="Arial"/>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2E96FF03">
            <w:pPr>
              <w:spacing w:line="360" w:lineRule="auto"/>
              <w:jc w:val="center"/>
              <w:rPr>
                <w:rFonts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1F50A594">
            <w:pPr>
              <w:spacing w:line="360" w:lineRule="auto"/>
              <w:jc w:val="center"/>
              <w:rPr>
                <w:rFonts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3C4F929C">
            <w:pPr>
              <w:spacing w:line="360" w:lineRule="auto"/>
              <w:jc w:val="center"/>
              <w:rPr>
                <w:rFonts w:ascii="Arial" w:hAnsi="Arial" w:cs="Arial"/>
                <w:color w:val="auto"/>
                <w:szCs w:val="21"/>
                <w:highlight w:val="none"/>
              </w:rPr>
            </w:pPr>
          </w:p>
        </w:tc>
      </w:tr>
      <w:tr w14:paraId="0749A69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3C4FBA0F">
            <w:pPr>
              <w:spacing w:line="360" w:lineRule="auto"/>
              <w:jc w:val="center"/>
              <w:rPr>
                <w:rFonts w:ascii="Arial" w:hAnsi="Arial" w:cs="Arial"/>
                <w:color w:val="auto"/>
                <w:szCs w:val="21"/>
                <w:highlight w:val="none"/>
              </w:rPr>
            </w:pPr>
            <w:r>
              <w:rPr>
                <w:rFonts w:ascii="Arial" w:hAnsi="Arial" w:cs="Arial"/>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34469BB4">
            <w:pPr>
              <w:spacing w:line="360" w:lineRule="auto"/>
              <w:jc w:val="center"/>
              <w:rPr>
                <w:rFonts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38B9BF01">
            <w:pPr>
              <w:spacing w:line="360" w:lineRule="auto"/>
              <w:jc w:val="center"/>
              <w:rPr>
                <w:rFonts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6B9444DB">
            <w:pPr>
              <w:spacing w:line="360" w:lineRule="auto"/>
              <w:jc w:val="center"/>
              <w:rPr>
                <w:rFonts w:ascii="Arial" w:hAnsi="Arial" w:cs="Arial"/>
                <w:color w:val="auto"/>
                <w:szCs w:val="21"/>
                <w:highlight w:val="none"/>
              </w:rPr>
            </w:pPr>
          </w:p>
        </w:tc>
      </w:tr>
      <w:tr w14:paraId="5CCA278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2C5E00AB">
            <w:pPr>
              <w:spacing w:line="360" w:lineRule="auto"/>
              <w:jc w:val="center"/>
              <w:rPr>
                <w:rFonts w:ascii="Arial" w:hAnsi="Arial" w:cs="Arial"/>
                <w:color w:val="auto"/>
                <w:szCs w:val="21"/>
                <w:highlight w:val="none"/>
              </w:rPr>
            </w:pPr>
            <w:r>
              <w:rPr>
                <w:rFonts w:ascii="Arial" w:hAnsi="Arial" w:cs="Arial"/>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41C19104">
            <w:pPr>
              <w:spacing w:line="360" w:lineRule="auto"/>
              <w:jc w:val="center"/>
              <w:rPr>
                <w:rFonts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4476E99F">
            <w:pPr>
              <w:spacing w:line="360" w:lineRule="auto"/>
              <w:jc w:val="center"/>
              <w:rPr>
                <w:rFonts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2E49803A">
            <w:pPr>
              <w:spacing w:line="360" w:lineRule="auto"/>
              <w:jc w:val="center"/>
              <w:rPr>
                <w:rFonts w:ascii="Arial" w:hAnsi="Arial" w:cs="Arial"/>
                <w:color w:val="auto"/>
                <w:szCs w:val="21"/>
                <w:highlight w:val="none"/>
              </w:rPr>
            </w:pPr>
          </w:p>
        </w:tc>
      </w:tr>
    </w:tbl>
    <w:p w14:paraId="6884C859">
      <w:pPr>
        <w:snapToGrid w:val="0"/>
        <w:spacing w:line="360" w:lineRule="auto"/>
        <w:jc w:val="left"/>
        <w:rPr>
          <w:rFonts w:ascii="Arial" w:hAnsi="Arial" w:cs="Arial"/>
          <w:color w:val="auto"/>
          <w:szCs w:val="21"/>
          <w:highlight w:val="none"/>
        </w:rPr>
      </w:pPr>
      <w:r>
        <w:rPr>
          <w:rFonts w:ascii="Arial" w:hAnsi="Arial" w:cs="Arial"/>
          <w:color w:val="auto"/>
          <w:szCs w:val="21"/>
          <w:highlight w:val="none"/>
        </w:rPr>
        <w:t>注：</w:t>
      </w:r>
    </w:p>
    <w:p w14:paraId="55911986">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1.管理关系：是指不具有出资持股关系的其他单位之间存在的管理与被管理关系，如一些上下级关系的事业单位和团体组织。</w:t>
      </w:r>
    </w:p>
    <w:p w14:paraId="6A110537">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2.本表所指的管理关系仅限于直接管理关系，不包括间接的管理关系。</w:t>
      </w:r>
    </w:p>
    <w:p w14:paraId="596198D9">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3.供应商不存在直接管理关系的，则填“无”。</w:t>
      </w:r>
    </w:p>
    <w:p w14:paraId="754B44A0">
      <w:pPr>
        <w:snapToGrid w:val="0"/>
        <w:spacing w:line="360" w:lineRule="auto"/>
        <w:jc w:val="left"/>
        <w:rPr>
          <w:rFonts w:ascii="Arial" w:hAnsi="Arial" w:cs="Arial"/>
          <w:color w:val="auto"/>
          <w:szCs w:val="21"/>
          <w:highlight w:val="none"/>
        </w:rPr>
      </w:pPr>
    </w:p>
    <w:p w14:paraId="11BA52BE">
      <w:pPr>
        <w:snapToGrid w:val="0"/>
        <w:spacing w:line="360" w:lineRule="auto"/>
        <w:jc w:val="left"/>
        <w:rPr>
          <w:rFonts w:ascii="Arial" w:hAnsi="Arial" w:cs="Arial"/>
          <w:color w:val="auto"/>
          <w:szCs w:val="21"/>
          <w:highlight w:val="none"/>
        </w:rPr>
      </w:pPr>
    </w:p>
    <w:p w14:paraId="2AE96D98">
      <w:pPr>
        <w:snapToGrid w:val="0"/>
        <w:spacing w:line="360" w:lineRule="auto"/>
        <w:jc w:val="left"/>
        <w:rPr>
          <w:rFonts w:ascii="Arial" w:hAnsi="Arial" w:cs="Arial"/>
          <w:color w:val="auto"/>
          <w:szCs w:val="21"/>
          <w:highlight w:val="none"/>
        </w:rPr>
      </w:pPr>
    </w:p>
    <w:p w14:paraId="060E1D19">
      <w:pPr>
        <w:snapToGrid w:val="0"/>
        <w:spacing w:line="360" w:lineRule="auto"/>
        <w:jc w:val="left"/>
        <w:rPr>
          <w:rFonts w:ascii="Arial" w:hAnsi="Arial" w:cs="Arial"/>
          <w:color w:val="auto"/>
          <w:szCs w:val="21"/>
          <w:highlight w:val="none"/>
        </w:rPr>
      </w:pPr>
    </w:p>
    <w:p w14:paraId="2093A44D">
      <w:pPr>
        <w:snapToGrid w:val="0"/>
        <w:spacing w:line="360" w:lineRule="auto"/>
        <w:ind w:firstLine="4410" w:firstLineChars="2100"/>
        <w:rPr>
          <w:rFonts w:ascii="Arial" w:hAnsi="Arial" w:cs="Arial"/>
          <w:color w:val="auto"/>
          <w:szCs w:val="21"/>
          <w:highlight w:val="none"/>
        </w:rPr>
      </w:pPr>
      <w:r>
        <w:rPr>
          <w:rFonts w:ascii="Arial" w:hAnsi="Arial" w:cs="Arial"/>
          <w:color w:val="auto"/>
          <w:szCs w:val="21"/>
          <w:highlight w:val="none"/>
        </w:rPr>
        <w:t>供应商名称(电子签章)：</w:t>
      </w:r>
    </w:p>
    <w:p w14:paraId="52967563">
      <w:pPr>
        <w:snapToGrid w:val="0"/>
        <w:spacing w:line="360" w:lineRule="auto"/>
        <w:ind w:firstLine="4515" w:firstLineChars="2150"/>
        <w:rPr>
          <w:rFonts w:ascii="Arial" w:hAnsi="Arial" w:cs="Arial"/>
          <w:color w:val="auto"/>
          <w:szCs w:val="21"/>
          <w:highlight w:val="none"/>
        </w:rPr>
      </w:pPr>
      <w:r>
        <w:rPr>
          <w:rFonts w:ascii="Arial" w:hAnsi="Arial" w:cs="Arial"/>
          <w:color w:val="auto"/>
          <w:szCs w:val="21"/>
          <w:highlight w:val="none"/>
        </w:rPr>
        <w:t>日期：  年  月   日</w:t>
      </w:r>
    </w:p>
    <w:p w14:paraId="7AC58FEA">
      <w:pPr>
        <w:snapToGrid w:val="0"/>
        <w:spacing w:before="50" w:afterLines="50" w:line="440" w:lineRule="exact"/>
        <w:jc w:val="left"/>
        <w:rPr>
          <w:rFonts w:ascii="Arial" w:hAnsi="Arial" w:cs="Arial"/>
          <w:b/>
          <w:color w:val="auto"/>
          <w:szCs w:val="21"/>
          <w:highlight w:val="none"/>
        </w:rPr>
      </w:pPr>
    </w:p>
    <w:p w14:paraId="7956BA8D">
      <w:pPr>
        <w:snapToGrid w:val="0"/>
        <w:spacing w:before="50" w:afterLines="50" w:line="440" w:lineRule="exact"/>
        <w:jc w:val="left"/>
        <w:rPr>
          <w:rFonts w:ascii="Arial" w:hAnsi="Arial" w:cs="Arial"/>
          <w:color w:val="auto"/>
          <w:highlight w:val="none"/>
        </w:rPr>
      </w:pPr>
    </w:p>
    <w:p w14:paraId="25ECABEE">
      <w:pPr>
        <w:snapToGrid w:val="0"/>
        <w:spacing w:before="50" w:afterLines="50"/>
        <w:jc w:val="left"/>
        <w:rPr>
          <w:rFonts w:ascii="Arial" w:hAnsi="Arial" w:cs="Arial"/>
          <w:color w:val="auto"/>
          <w:szCs w:val="21"/>
          <w:highlight w:val="none"/>
        </w:rPr>
      </w:pPr>
    </w:p>
    <w:p w14:paraId="632D9247">
      <w:pPr>
        <w:snapToGrid w:val="0"/>
        <w:spacing w:before="50" w:afterLines="50" w:line="400" w:lineRule="exact"/>
        <w:jc w:val="left"/>
        <w:rPr>
          <w:rFonts w:ascii="Arial" w:hAnsi="Arial" w:cs="Arial"/>
          <w:bCs/>
          <w:color w:val="auto"/>
          <w:sz w:val="24"/>
          <w:highlight w:val="none"/>
        </w:rPr>
      </w:pPr>
      <w:r>
        <w:rPr>
          <w:rFonts w:hint="eastAsia" w:ascii="Arial" w:hAnsi="Arial" w:cs="Arial"/>
          <w:bCs/>
          <w:color w:val="auto"/>
          <w:sz w:val="24"/>
          <w:highlight w:val="none"/>
        </w:rPr>
        <w:t>7</w:t>
      </w:r>
      <w:r>
        <w:rPr>
          <w:rFonts w:ascii="Arial" w:hAnsi="Arial" w:cs="Arial"/>
          <w:bCs/>
          <w:color w:val="auto"/>
          <w:sz w:val="24"/>
          <w:highlight w:val="none"/>
        </w:rPr>
        <w:t>.</w:t>
      </w:r>
      <w:r>
        <w:rPr>
          <w:rFonts w:ascii="Arial" w:hAnsi="Arial" w:cs="Arial"/>
          <w:color w:val="auto"/>
          <w:szCs w:val="21"/>
          <w:highlight w:val="none"/>
        </w:rPr>
        <w:t>供应商认为应当要提交的其他资格证明材料。</w:t>
      </w:r>
    </w:p>
    <w:p w14:paraId="4BB68544">
      <w:pPr>
        <w:spacing w:line="276" w:lineRule="auto"/>
        <w:rPr>
          <w:rFonts w:ascii="Arial" w:hAnsi="Arial" w:cs="Arial"/>
          <w:bCs/>
          <w:color w:val="auto"/>
          <w:sz w:val="24"/>
          <w:highlight w:val="none"/>
        </w:rPr>
      </w:pPr>
    </w:p>
    <w:p w14:paraId="29D90297">
      <w:pPr>
        <w:snapToGrid w:val="0"/>
        <w:spacing w:beforeLines="50" w:after="50" w:line="440" w:lineRule="exact"/>
        <w:jc w:val="left"/>
        <w:outlineLvl w:val="1"/>
        <w:rPr>
          <w:rFonts w:ascii="Arial" w:hAnsi="Arial" w:cs="Arial"/>
          <w:bCs/>
          <w:color w:val="auto"/>
          <w:sz w:val="24"/>
          <w:highlight w:val="none"/>
        </w:rPr>
      </w:pPr>
      <w:r>
        <w:rPr>
          <w:rFonts w:ascii="Arial" w:hAnsi="Arial" w:cs="Arial"/>
          <w:color w:val="auto"/>
          <w:szCs w:val="21"/>
          <w:highlight w:val="none"/>
        </w:rPr>
        <w:br w:type="page"/>
      </w:r>
      <w:r>
        <w:rPr>
          <w:rFonts w:ascii="Arial" w:hAnsi="Arial" w:cs="Arial"/>
          <w:bCs/>
          <w:color w:val="auto"/>
          <w:sz w:val="24"/>
          <w:highlight w:val="none"/>
        </w:rPr>
        <w:t>2．投标文件封面参考格式（商务技术文件）：</w:t>
      </w:r>
    </w:p>
    <w:p w14:paraId="7B7057A5">
      <w:pPr>
        <w:snapToGrid w:val="0"/>
        <w:spacing w:beforeLines="50" w:after="50" w:line="360" w:lineRule="exact"/>
        <w:rPr>
          <w:rFonts w:ascii="Arial" w:hAnsi="Arial" w:cs="Arial"/>
          <w:color w:val="auto"/>
          <w:sz w:val="24"/>
          <w:highlight w:val="none"/>
        </w:rPr>
      </w:pPr>
    </w:p>
    <w:p w14:paraId="30CC1924">
      <w:pPr>
        <w:snapToGrid w:val="0"/>
        <w:spacing w:beforeLines="50" w:after="50" w:line="360" w:lineRule="exact"/>
        <w:jc w:val="center"/>
        <w:rPr>
          <w:rFonts w:ascii="Arial" w:hAnsi="Arial" w:cs="Arial"/>
          <w:bCs/>
          <w:color w:val="auto"/>
          <w:sz w:val="24"/>
          <w:highlight w:val="none"/>
        </w:rPr>
      </w:pPr>
    </w:p>
    <w:p w14:paraId="20EE571A">
      <w:pPr>
        <w:snapToGrid w:val="0"/>
        <w:spacing w:beforeLines="50" w:after="50" w:line="360" w:lineRule="exact"/>
        <w:jc w:val="center"/>
        <w:rPr>
          <w:rFonts w:ascii="Arial" w:hAnsi="Arial" w:cs="Arial"/>
          <w:b/>
          <w:bCs/>
          <w:color w:val="auto"/>
          <w:sz w:val="44"/>
          <w:szCs w:val="44"/>
          <w:highlight w:val="none"/>
        </w:rPr>
      </w:pPr>
      <w:r>
        <w:rPr>
          <w:rFonts w:ascii="Arial" w:hAnsi="Arial" w:cs="Arial"/>
          <w:b/>
          <w:bCs/>
          <w:color w:val="auto"/>
          <w:sz w:val="44"/>
          <w:szCs w:val="44"/>
          <w:highlight w:val="none"/>
        </w:rPr>
        <w:t>电子投标文件</w:t>
      </w:r>
    </w:p>
    <w:p w14:paraId="5D8124CB">
      <w:pPr>
        <w:snapToGrid w:val="0"/>
        <w:spacing w:beforeLines="50" w:after="50" w:line="360" w:lineRule="exact"/>
        <w:jc w:val="center"/>
        <w:rPr>
          <w:rFonts w:ascii="Arial" w:hAnsi="Arial" w:cs="Arial"/>
          <w:b/>
          <w:bCs/>
          <w:color w:val="auto"/>
          <w:sz w:val="44"/>
          <w:szCs w:val="44"/>
          <w:highlight w:val="none"/>
        </w:rPr>
      </w:pPr>
    </w:p>
    <w:p w14:paraId="4679279D">
      <w:pPr>
        <w:snapToGrid w:val="0"/>
        <w:spacing w:beforeLines="50" w:after="50" w:line="360" w:lineRule="exact"/>
        <w:jc w:val="center"/>
        <w:rPr>
          <w:rFonts w:ascii="Arial" w:hAnsi="Arial" w:cs="Arial"/>
          <w:b/>
          <w:bCs/>
          <w:color w:val="auto"/>
          <w:sz w:val="44"/>
          <w:szCs w:val="44"/>
          <w:highlight w:val="none"/>
        </w:rPr>
      </w:pPr>
    </w:p>
    <w:p w14:paraId="28B121B3">
      <w:pPr>
        <w:snapToGrid w:val="0"/>
        <w:spacing w:beforeLines="50" w:after="50" w:line="360" w:lineRule="exact"/>
        <w:jc w:val="center"/>
        <w:rPr>
          <w:rFonts w:ascii="Arial" w:hAnsi="Arial" w:cs="Arial"/>
          <w:b/>
          <w:bCs/>
          <w:color w:val="auto"/>
          <w:sz w:val="44"/>
          <w:szCs w:val="44"/>
          <w:highlight w:val="none"/>
        </w:rPr>
      </w:pPr>
      <w:r>
        <w:rPr>
          <w:rFonts w:ascii="Arial" w:hAnsi="Arial" w:cs="Arial"/>
          <w:b/>
          <w:bCs/>
          <w:color w:val="auto"/>
          <w:sz w:val="44"/>
          <w:szCs w:val="44"/>
          <w:highlight w:val="none"/>
        </w:rPr>
        <w:t>商务技术文件</w:t>
      </w:r>
    </w:p>
    <w:p w14:paraId="662F8F7B">
      <w:pPr>
        <w:snapToGrid w:val="0"/>
        <w:spacing w:beforeLines="50" w:after="50" w:line="360" w:lineRule="exact"/>
        <w:rPr>
          <w:rFonts w:ascii="Arial" w:hAnsi="Arial" w:cs="Arial"/>
          <w:bCs/>
          <w:color w:val="auto"/>
          <w:sz w:val="24"/>
          <w:highlight w:val="none"/>
        </w:rPr>
      </w:pPr>
    </w:p>
    <w:p w14:paraId="0509F310">
      <w:pPr>
        <w:snapToGrid w:val="0"/>
        <w:spacing w:beforeLines="50" w:after="50" w:line="360" w:lineRule="exact"/>
        <w:rPr>
          <w:rFonts w:ascii="Arial" w:hAnsi="Arial" w:cs="Arial"/>
          <w:bCs/>
          <w:color w:val="auto"/>
          <w:sz w:val="24"/>
          <w:highlight w:val="none"/>
        </w:rPr>
      </w:pPr>
    </w:p>
    <w:p w14:paraId="02B83ABF">
      <w:pPr>
        <w:snapToGrid w:val="0"/>
        <w:spacing w:beforeLines="50" w:after="50" w:line="360" w:lineRule="exact"/>
        <w:rPr>
          <w:rFonts w:ascii="Arial" w:hAnsi="Arial" w:cs="Arial"/>
          <w:bCs/>
          <w:color w:val="auto"/>
          <w:sz w:val="24"/>
          <w:highlight w:val="none"/>
        </w:rPr>
      </w:pPr>
    </w:p>
    <w:p w14:paraId="14E02F5C">
      <w:pPr>
        <w:snapToGrid w:val="0"/>
        <w:spacing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 xml:space="preserve">项目名称： </w:t>
      </w:r>
    </w:p>
    <w:p w14:paraId="47B567C3">
      <w:pPr>
        <w:snapToGrid w:val="0"/>
        <w:spacing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项目编号：</w:t>
      </w:r>
    </w:p>
    <w:p w14:paraId="5CFFC43E">
      <w:pPr>
        <w:snapToGrid w:val="0"/>
        <w:spacing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分标号：（若无留空或写“/”）</w:t>
      </w:r>
    </w:p>
    <w:p w14:paraId="0C9CC8E6">
      <w:pPr>
        <w:snapToGrid w:val="0"/>
        <w:spacing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供应商名称：</w:t>
      </w:r>
    </w:p>
    <w:p w14:paraId="7713551C">
      <w:pPr>
        <w:snapToGrid w:val="0"/>
        <w:spacing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供应商地址：</w:t>
      </w:r>
    </w:p>
    <w:p w14:paraId="7930E683">
      <w:pPr>
        <w:pStyle w:val="7"/>
        <w:snapToGrid w:val="0"/>
        <w:spacing w:before="50" w:after="50" w:line="360" w:lineRule="exact"/>
        <w:ind w:firstLine="960" w:firstLineChars="400"/>
        <w:rPr>
          <w:rFonts w:ascii="Arial" w:hAnsi="Arial" w:cs="Arial"/>
          <w:bCs/>
          <w:color w:val="auto"/>
          <w:sz w:val="24"/>
          <w:szCs w:val="24"/>
          <w:highlight w:val="none"/>
        </w:rPr>
      </w:pPr>
    </w:p>
    <w:p w14:paraId="6A7A93DE">
      <w:pPr>
        <w:snapToGrid w:val="0"/>
        <w:spacing w:beforeLines="50" w:after="50" w:line="360" w:lineRule="exact"/>
        <w:jc w:val="center"/>
        <w:rPr>
          <w:rFonts w:ascii="Arial" w:hAnsi="Arial" w:cs="Arial"/>
          <w:color w:val="auto"/>
          <w:sz w:val="24"/>
          <w:highlight w:val="none"/>
        </w:rPr>
      </w:pPr>
      <w:r>
        <w:rPr>
          <w:rFonts w:ascii="Arial" w:hAnsi="Arial" w:cs="Arial"/>
          <w:color w:val="auto"/>
          <w:sz w:val="24"/>
          <w:highlight w:val="none"/>
        </w:rPr>
        <w:t xml:space="preserve">                        年  月  日</w:t>
      </w:r>
    </w:p>
    <w:p w14:paraId="5D043A40">
      <w:pPr>
        <w:snapToGrid w:val="0"/>
        <w:spacing w:before="50" w:after="50" w:line="440" w:lineRule="exact"/>
        <w:ind w:firstLine="102" w:firstLineChars="49"/>
        <w:jc w:val="center"/>
        <w:rPr>
          <w:rFonts w:ascii="Arial" w:hAnsi="Arial" w:cs="Arial"/>
          <w:b/>
          <w:color w:val="auto"/>
          <w:sz w:val="28"/>
          <w:szCs w:val="28"/>
          <w:highlight w:val="none"/>
        </w:rPr>
      </w:pPr>
      <w:r>
        <w:rPr>
          <w:rFonts w:ascii="Arial" w:hAnsi="Arial" w:cs="Arial"/>
          <w:color w:val="auto"/>
          <w:highlight w:val="none"/>
        </w:rPr>
        <w:br w:type="page"/>
      </w:r>
      <w:r>
        <w:rPr>
          <w:rFonts w:ascii="Arial" w:hAnsi="Arial" w:cs="Arial"/>
          <w:b/>
          <w:color w:val="auto"/>
          <w:sz w:val="28"/>
          <w:szCs w:val="28"/>
          <w:highlight w:val="none"/>
        </w:rPr>
        <w:t>目录</w:t>
      </w:r>
    </w:p>
    <w:p w14:paraId="15C3AA4A">
      <w:pPr>
        <w:snapToGrid w:val="0"/>
        <w:spacing w:before="50" w:after="50" w:line="440" w:lineRule="exact"/>
        <w:ind w:firstLine="118" w:firstLineChars="49"/>
        <w:jc w:val="center"/>
        <w:rPr>
          <w:rFonts w:ascii="Arial" w:hAnsi="Arial" w:cs="Arial"/>
          <w:b/>
          <w:color w:val="auto"/>
          <w:sz w:val="24"/>
          <w:highlight w:val="none"/>
        </w:rPr>
      </w:pPr>
      <w:r>
        <w:rPr>
          <w:rFonts w:ascii="Arial" w:hAnsi="Arial" w:cs="Arial"/>
          <w:b/>
          <w:color w:val="auto"/>
          <w:sz w:val="24"/>
          <w:highlight w:val="none"/>
        </w:rPr>
        <w:t>（应有页码）</w:t>
      </w:r>
    </w:p>
    <w:p w14:paraId="0207783F">
      <w:pPr>
        <w:jc w:val="center"/>
        <w:rPr>
          <w:rFonts w:ascii="Arial" w:hAnsi="Arial" w:cs="Arial"/>
          <w:color w:val="auto"/>
          <w:highlight w:val="none"/>
        </w:rPr>
      </w:pPr>
      <w:r>
        <w:rPr>
          <w:rFonts w:ascii="Arial" w:hAnsi="Arial" w:cs="Arial"/>
          <w:color w:val="auto"/>
          <w:highlight w:val="none"/>
        </w:rPr>
        <w:br w:type="page"/>
      </w:r>
    </w:p>
    <w:p w14:paraId="37719EBF">
      <w:pPr>
        <w:rPr>
          <w:rFonts w:ascii="Arial" w:hAnsi="Arial" w:cs="Arial"/>
          <w:b/>
          <w:color w:val="auto"/>
          <w:szCs w:val="21"/>
          <w:highlight w:val="none"/>
        </w:rPr>
      </w:pPr>
      <w:bookmarkStart w:id="94" w:name="_Toc462223472"/>
      <w:bookmarkStart w:id="95" w:name="_Toc462320613"/>
      <w:bookmarkStart w:id="96" w:name="_Toc455309222"/>
      <w:r>
        <w:rPr>
          <w:rFonts w:ascii="Arial" w:hAnsi="Arial" w:cs="Arial"/>
          <w:color w:val="auto"/>
          <w:szCs w:val="21"/>
          <w:highlight w:val="none"/>
        </w:rPr>
        <w:t>1．法定代表人身份证明</w:t>
      </w:r>
      <w:r>
        <w:rPr>
          <w:rFonts w:ascii="Arial" w:hAnsi="Arial" w:cs="Arial"/>
          <w:b/>
          <w:color w:val="auto"/>
          <w:szCs w:val="21"/>
          <w:highlight w:val="none"/>
        </w:rPr>
        <w:t>（无授权代表时提供）：</w:t>
      </w:r>
    </w:p>
    <w:p w14:paraId="3F454575">
      <w:pPr>
        <w:jc w:val="center"/>
        <w:rPr>
          <w:rFonts w:ascii="Arial" w:hAnsi="Arial" w:cs="Arial"/>
          <w:color w:val="auto"/>
          <w:highlight w:val="none"/>
        </w:rPr>
      </w:pPr>
    </w:p>
    <w:bookmarkEnd w:id="94"/>
    <w:bookmarkEnd w:id="95"/>
    <w:bookmarkEnd w:id="96"/>
    <w:p w14:paraId="2BE93006">
      <w:pPr>
        <w:snapToGrid w:val="0"/>
        <w:spacing w:beforeLines="50" w:after="50" w:line="440" w:lineRule="exact"/>
        <w:jc w:val="center"/>
        <w:rPr>
          <w:rFonts w:ascii="Arial" w:hAnsi="Arial" w:cs="Arial"/>
          <w:b/>
          <w:color w:val="auto"/>
          <w:szCs w:val="21"/>
          <w:highlight w:val="none"/>
        </w:rPr>
      </w:pPr>
      <w:r>
        <w:rPr>
          <w:rFonts w:ascii="Arial" w:hAnsi="Arial" w:cs="Arial"/>
          <w:b/>
          <w:color w:val="auto"/>
          <w:szCs w:val="21"/>
          <w:highlight w:val="none"/>
        </w:rPr>
        <w:t>法定代表人身份证明</w:t>
      </w:r>
    </w:p>
    <w:p w14:paraId="78146D6D">
      <w:pPr>
        <w:spacing w:line="360" w:lineRule="auto"/>
        <w:rPr>
          <w:rFonts w:ascii="Arial" w:hAnsi="Arial" w:cs="Arial"/>
          <w:color w:val="auto"/>
          <w:highlight w:val="none"/>
        </w:rPr>
      </w:pPr>
    </w:p>
    <w:p w14:paraId="499F3567">
      <w:pPr>
        <w:spacing w:line="540" w:lineRule="exact"/>
        <w:rPr>
          <w:rFonts w:ascii="Arial" w:hAnsi="Arial" w:cs="Arial"/>
          <w:color w:val="auto"/>
          <w:szCs w:val="21"/>
          <w:highlight w:val="none"/>
        </w:rPr>
      </w:pPr>
      <w:r>
        <w:rPr>
          <w:rFonts w:ascii="Arial" w:hAnsi="Arial" w:cs="Arial"/>
          <w:color w:val="auto"/>
          <w:szCs w:val="21"/>
          <w:highlight w:val="none"/>
        </w:rPr>
        <w:t>供应商名称：</w:t>
      </w:r>
    </w:p>
    <w:p w14:paraId="42358180">
      <w:pPr>
        <w:spacing w:line="540" w:lineRule="exact"/>
        <w:rPr>
          <w:rFonts w:ascii="Arial" w:hAnsi="Arial" w:cs="Arial"/>
          <w:color w:val="auto"/>
          <w:szCs w:val="21"/>
          <w:highlight w:val="none"/>
        </w:rPr>
      </w:pPr>
      <w:r>
        <w:rPr>
          <w:rFonts w:ascii="Arial" w:hAnsi="Arial" w:cs="Arial"/>
          <w:color w:val="auto"/>
          <w:szCs w:val="21"/>
          <w:highlight w:val="none"/>
        </w:rPr>
        <w:t>单位性质：</w:t>
      </w:r>
    </w:p>
    <w:p w14:paraId="257128A0">
      <w:pPr>
        <w:spacing w:line="540" w:lineRule="exact"/>
        <w:rPr>
          <w:rFonts w:ascii="Arial" w:hAnsi="Arial" w:cs="Arial"/>
          <w:color w:val="auto"/>
          <w:szCs w:val="21"/>
          <w:highlight w:val="none"/>
        </w:rPr>
      </w:pPr>
      <w:r>
        <w:rPr>
          <w:rFonts w:ascii="Arial" w:hAnsi="Arial" w:cs="Arial"/>
          <w:color w:val="auto"/>
          <w:szCs w:val="21"/>
          <w:highlight w:val="none"/>
        </w:rPr>
        <w:t>地址：</w:t>
      </w:r>
    </w:p>
    <w:p w14:paraId="4B7DB26F">
      <w:pPr>
        <w:spacing w:line="540" w:lineRule="exact"/>
        <w:rPr>
          <w:rFonts w:ascii="Arial" w:hAnsi="Arial" w:cs="Arial"/>
          <w:color w:val="auto"/>
          <w:szCs w:val="21"/>
          <w:highlight w:val="none"/>
          <w:u w:val="single"/>
        </w:rPr>
      </w:pPr>
      <w:r>
        <w:rPr>
          <w:rFonts w:ascii="Arial" w:hAnsi="Arial" w:cs="Arial"/>
          <w:color w:val="auto"/>
          <w:szCs w:val="21"/>
          <w:highlight w:val="none"/>
        </w:rPr>
        <w:t>成立时间：</w:t>
      </w:r>
      <w:r>
        <w:rPr>
          <w:rFonts w:ascii="Arial" w:hAnsi="Arial" w:cs="Arial"/>
          <w:color w:val="auto"/>
          <w:szCs w:val="21"/>
          <w:highlight w:val="none"/>
          <w:u w:val="single"/>
        </w:rPr>
        <w:t xml:space="preserve">          年        月        日</w:t>
      </w:r>
    </w:p>
    <w:p w14:paraId="139AF131">
      <w:pPr>
        <w:spacing w:line="540" w:lineRule="exact"/>
        <w:rPr>
          <w:rFonts w:ascii="Arial" w:hAnsi="Arial" w:cs="Arial"/>
          <w:color w:val="auto"/>
          <w:szCs w:val="21"/>
          <w:highlight w:val="none"/>
        </w:rPr>
      </w:pPr>
      <w:r>
        <w:rPr>
          <w:rFonts w:ascii="Arial" w:hAnsi="Arial" w:cs="Arial"/>
          <w:color w:val="auto"/>
          <w:szCs w:val="21"/>
          <w:highlight w:val="none"/>
        </w:rPr>
        <w:t>经营期限：</w:t>
      </w:r>
    </w:p>
    <w:p w14:paraId="48F86E71">
      <w:pPr>
        <w:spacing w:line="540" w:lineRule="exact"/>
        <w:rPr>
          <w:rFonts w:ascii="Arial" w:hAnsi="Arial" w:cs="Arial"/>
          <w:color w:val="auto"/>
          <w:szCs w:val="21"/>
          <w:highlight w:val="none"/>
        </w:rPr>
      </w:pPr>
      <w:r>
        <w:rPr>
          <w:rFonts w:ascii="Arial" w:hAnsi="Arial" w:cs="Arial"/>
          <w:color w:val="auto"/>
          <w:szCs w:val="21"/>
          <w:highlight w:val="none"/>
        </w:rPr>
        <w:t>姓名：；性别：</w:t>
      </w:r>
    </w:p>
    <w:p w14:paraId="13DB5505">
      <w:pPr>
        <w:spacing w:line="540" w:lineRule="exact"/>
        <w:rPr>
          <w:rFonts w:ascii="Arial" w:hAnsi="Arial" w:cs="Arial"/>
          <w:color w:val="auto"/>
          <w:szCs w:val="21"/>
          <w:highlight w:val="none"/>
        </w:rPr>
      </w:pPr>
      <w:r>
        <w:rPr>
          <w:rFonts w:ascii="Arial" w:hAnsi="Arial" w:cs="Arial"/>
          <w:color w:val="auto"/>
          <w:szCs w:val="21"/>
          <w:highlight w:val="none"/>
        </w:rPr>
        <w:t>年龄：；职务：；身份证：</w:t>
      </w:r>
    </w:p>
    <w:p w14:paraId="3389526D">
      <w:pPr>
        <w:spacing w:line="540" w:lineRule="exact"/>
        <w:rPr>
          <w:rFonts w:ascii="Arial" w:hAnsi="Arial" w:cs="Arial"/>
          <w:color w:val="auto"/>
          <w:szCs w:val="21"/>
          <w:highlight w:val="none"/>
        </w:rPr>
      </w:pPr>
      <w:r>
        <w:rPr>
          <w:rFonts w:ascii="Arial" w:hAnsi="Arial" w:cs="Arial"/>
          <w:color w:val="auto"/>
          <w:szCs w:val="21"/>
          <w:highlight w:val="none"/>
        </w:rPr>
        <w:t>系</w:t>
      </w:r>
      <w:r>
        <w:rPr>
          <w:rFonts w:ascii="Arial" w:hAnsi="Arial" w:cs="Arial"/>
          <w:color w:val="auto"/>
          <w:szCs w:val="21"/>
          <w:highlight w:val="none"/>
          <w:u w:val="single"/>
        </w:rPr>
        <w:t xml:space="preserve">                                      （ 供应商名称）</w:t>
      </w:r>
      <w:r>
        <w:rPr>
          <w:rFonts w:ascii="Arial" w:hAnsi="Arial" w:cs="Arial"/>
          <w:color w:val="auto"/>
          <w:szCs w:val="21"/>
          <w:highlight w:val="none"/>
        </w:rPr>
        <w:t>的法定代表人。</w:t>
      </w:r>
    </w:p>
    <w:p w14:paraId="7094BB48">
      <w:pPr>
        <w:spacing w:line="540" w:lineRule="exact"/>
        <w:rPr>
          <w:rFonts w:ascii="Arial" w:hAnsi="Arial" w:cs="Arial"/>
          <w:color w:val="auto"/>
          <w:szCs w:val="21"/>
          <w:highlight w:val="none"/>
        </w:rPr>
      </w:pPr>
    </w:p>
    <w:p w14:paraId="008B961B">
      <w:pPr>
        <w:spacing w:line="540" w:lineRule="exact"/>
        <w:ind w:firstLine="420" w:firstLineChars="200"/>
        <w:rPr>
          <w:rFonts w:ascii="Arial" w:hAnsi="Arial" w:cs="Arial"/>
          <w:color w:val="auto"/>
          <w:szCs w:val="21"/>
          <w:highlight w:val="none"/>
        </w:rPr>
      </w:pPr>
      <w:r>
        <w:rPr>
          <w:rFonts w:ascii="Arial" w:hAnsi="Arial" w:cs="Arial"/>
          <w:color w:val="auto"/>
          <w:szCs w:val="21"/>
          <w:highlight w:val="none"/>
        </w:rPr>
        <w:t>特此证明。</w:t>
      </w:r>
    </w:p>
    <w:p w14:paraId="498000F5">
      <w:pPr>
        <w:spacing w:line="360" w:lineRule="auto"/>
        <w:ind w:firstLine="4830" w:firstLineChars="2300"/>
        <w:rPr>
          <w:rFonts w:ascii="Arial" w:hAnsi="Arial" w:cs="Arial"/>
          <w:color w:val="auto"/>
          <w:szCs w:val="21"/>
          <w:highlight w:val="none"/>
        </w:rPr>
      </w:pPr>
    </w:p>
    <w:p w14:paraId="12D2FA66">
      <w:pPr>
        <w:spacing w:line="360" w:lineRule="auto"/>
        <w:ind w:firstLine="4830" w:firstLineChars="2300"/>
        <w:rPr>
          <w:rFonts w:ascii="Arial" w:hAnsi="Arial" w:cs="Arial"/>
          <w:color w:val="auto"/>
          <w:szCs w:val="21"/>
          <w:highlight w:val="none"/>
        </w:rPr>
      </w:pPr>
    </w:p>
    <w:p w14:paraId="5ECAF442">
      <w:pPr>
        <w:spacing w:line="360" w:lineRule="auto"/>
        <w:ind w:firstLine="4830" w:firstLineChars="2300"/>
        <w:rPr>
          <w:rFonts w:ascii="Arial" w:hAnsi="Arial" w:cs="Arial"/>
          <w:color w:val="auto"/>
          <w:szCs w:val="21"/>
          <w:highlight w:val="none"/>
        </w:rPr>
      </w:pPr>
      <w:r>
        <w:rPr>
          <w:rFonts w:ascii="Arial" w:hAnsi="Arial" w:cs="Arial"/>
          <w:color w:val="auto"/>
          <w:szCs w:val="21"/>
          <w:highlight w:val="none"/>
        </w:rPr>
        <w:t>供应商名称(电子签章)：</w:t>
      </w:r>
    </w:p>
    <w:p w14:paraId="28FE55F5">
      <w:pPr>
        <w:spacing w:line="360" w:lineRule="auto"/>
        <w:jc w:val="right"/>
        <w:rPr>
          <w:rFonts w:ascii="Arial" w:hAnsi="Arial" w:cs="Arial"/>
          <w:color w:val="auto"/>
          <w:szCs w:val="21"/>
          <w:highlight w:val="none"/>
        </w:rPr>
      </w:pPr>
      <w:r>
        <w:rPr>
          <w:rFonts w:ascii="Arial" w:hAnsi="Arial" w:cs="Arial"/>
          <w:color w:val="auto"/>
          <w:szCs w:val="21"/>
          <w:highlight w:val="none"/>
        </w:rPr>
        <w:t xml:space="preserve">                                                                                              年       月       日 </w:t>
      </w:r>
    </w:p>
    <w:p w14:paraId="486F0A61">
      <w:pPr>
        <w:spacing w:line="360" w:lineRule="auto"/>
        <w:ind w:firstLine="420" w:firstLineChars="200"/>
        <w:rPr>
          <w:rFonts w:ascii="Arial" w:hAnsi="Arial" w:cs="Arial"/>
          <w:color w:val="auto"/>
          <w:szCs w:val="21"/>
          <w:highlight w:val="none"/>
        </w:rPr>
      </w:pPr>
    </w:p>
    <w:p w14:paraId="2A738724">
      <w:pPr>
        <w:spacing w:line="360" w:lineRule="auto"/>
        <w:rPr>
          <w:rFonts w:ascii="Arial" w:hAnsi="Arial" w:cs="Arial"/>
          <w:color w:val="auto"/>
          <w:szCs w:val="21"/>
          <w:highlight w:val="none"/>
        </w:rPr>
      </w:pPr>
      <w:r>
        <w:rPr>
          <w:rFonts w:ascii="Arial" w:hAnsi="Arial" w:cs="Arial"/>
          <w:color w:val="auto"/>
          <w:szCs w:val="21"/>
          <w:highlight w:val="none"/>
        </w:rPr>
        <w:t>附件：法定代表人身份证复印件</w:t>
      </w:r>
    </w:p>
    <w:p w14:paraId="53E1174A">
      <w:pPr>
        <w:spacing w:line="360" w:lineRule="auto"/>
        <w:rPr>
          <w:rFonts w:ascii="Arial" w:hAnsi="Arial" w:cs="Arial"/>
          <w:color w:val="auto"/>
          <w:szCs w:val="21"/>
          <w:highlight w:val="none"/>
        </w:rPr>
      </w:pPr>
    </w:p>
    <w:p w14:paraId="1D3A0099">
      <w:pPr>
        <w:snapToGrid w:val="0"/>
        <w:spacing w:beforeLines="50" w:after="50" w:line="360" w:lineRule="exact"/>
        <w:rPr>
          <w:rFonts w:ascii="Arial" w:hAnsi="Arial" w:cs="Arial"/>
          <w:b/>
          <w:color w:val="auto"/>
          <w:szCs w:val="21"/>
          <w:highlight w:val="none"/>
        </w:rPr>
      </w:pPr>
      <w:r>
        <w:rPr>
          <w:rFonts w:ascii="Arial" w:hAnsi="Arial" w:cs="Arial"/>
          <w:b/>
          <w:color w:val="auto"/>
          <w:szCs w:val="21"/>
          <w:highlight w:val="none"/>
        </w:rPr>
        <w:br w:type="page"/>
      </w:r>
      <w:r>
        <w:rPr>
          <w:rFonts w:ascii="Arial" w:hAnsi="Arial" w:cs="Arial"/>
          <w:b/>
          <w:color w:val="auto"/>
          <w:szCs w:val="21"/>
          <w:highlight w:val="none"/>
        </w:rPr>
        <w:t>1．授权委托书（有授权代表时提供）：</w:t>
      </w:r>
    </w:p>
    <w:p w14:paraId="4283C437">
      <w:pPr>
        <w:snapToGrid w:val="0"/>
        <w:spacing w:beforeLines="50" w:after="50" w:line="360" w:lineRule="exact"/>
        <w:rPr>
          <w:rFonts w:ascii="Arial" w:hAnsi="Arial" w:cs="Arial"/>
          <w:b/>
          <w:color w:val="auto"/>
          <w:szCs w:val="21"/>
          <w:highlight w:val="none"/>
        </w:rPr>
      </w:pPr>
    </w:p>
    <w:p w14:paraId="225BE378">
      <w:pPr>
        <w:snapToGrid w:val="0"/>
        <w:spacing w:beforeLines="50" w:after="50" w:line="440" w:lineRule="exact"/>
        <w:jc w:val="center"/>
        <w:rPr>
          <w:rFonts w:ascii="Arial" w:hAnsi="Arial" w:cs="Arial"/>
          <w:b/>
          <w:color w:val="auto"/>
          <w:szCs w:val="21"/>
          <w:highlight w:val="none"/>
        </w:rPr>
      </w:pPr>
      <w:r>
        <w:rPr>
          <w:rFonts w:ascii="Arial" w:hAnsi="Arial" w:cs="Arial"/>
          <w:b/>
          <w:color w:val="auto"/>
          <w:szCs w:val="21"/>
          <w:highlight w:val="none"/>
        </w:rPr>
        <w:t>法定代表人授权委托书</w:t>
      </w:r>
    </w:p>
    <w:p w14:paraId="17B9D47A">
      <w:pPr>
        <w:snapToGrid w:val="0"/>
        <w:spacing w:beforeLines="50" w:after="50" w:line="440" w:lineRule="exact"/>
        <w:rPr>
          <w:rFonts w:ascii="Arial" w:hAnsi="Arial" w:cs="Arial"/>
          <w:b/>
          <w:bCs/>
          <w:color w:val="auto"/>
          <w:szCs w:val="21"/>
          <w:highlight w:val="none"/>
        </w:rPr>
      </w:pPr>
      <w:r>
        <w:rPr>
          <w:rFonts w:ascii="Arial" w:hAnsi="Arial" w:cs="Arial"/>
          <w:bCs/>
          <w:color w:val="auto"/>
          <w:szCs w:val="21"/>
          <w:highlight w:val="none"/>
        </w:rPr>
        <w:t>致：</w:t>
      </w:r>
      <w:r>
        <w:rPr>
          <w:rFonts w:ascii="Arial" w:hAnsi="Arial" w:cs="Arial"/>
          <w:i/>
          <w:iCs/>
          <w:color w:val="auto"/>
          <w:szCs w:val="21"/>
          <w:highlight w:val="none"/>
          <w:u w:val="single"/>
        </w:rPr>
        <w:t>（采购人名称）</w:t>
      </w:r>
      <w:r>
        <w:rPr>
          <w:rFonts w:ascii="Arial" w:hAnsi="Arial" w:cs="Arial"/>
          <w:color w:val="auto"/>
          <w:szCs w:val="21"/>
          <w:highlight w:val="none"/>
        </w:rPr>
        <w:t>：</w:t>
      </w:r>
    </w:p>
    <w:p w14:paraId="027441DA">
      <w:pPr>
        <w:snapToGrid w:val="0"/>
        <w:spacing w:beforeLines="50" w:after="50" w:line="440" w:lineRule="exact"/>
        <w:ind w:firstLine="420" w:firstLineChars="200"/>
        <w:rPr>
          <w:rFonts w:ascii="Arial" w:hAnsi="Arial" w:cs="Arial"/>
          <w:color w:val="auto"/>
          <w:szCs w:val="21"/>
          <w:highlight w:val="none"/>
        </w:rPr>
      </w:pPr>
      <w:r>
        <w:rPr>
          <w:rFonts w:ascii="Arial" w:hAnsi="Arial" w:cs="Arial"/>
          <w:color w:val="auto"/>
          <w:szCs w:val="21"/>
          <w:highlight w:val="none"/>
        </w:rPr>
        <w:t>我__</w:t>
      </w:r>
      <w:r>
        <w:rPr>
          <w:rFonts w:ascii="Arial" w:hAnsi="Arial" w:cs="Arial"/>
          <w:i/>
          <w:iCs/>
          <w:color w:val="auto"/>
          <w:szCs w:val="21"/>
          <w:highlight w:val="none"/>
          <w:u w:val="single"/>
        </w:rPr>
        <w:t>（法定代表人姓名）</w:t>
      </w:r>
      <w:r>
        <w:rPr>
          <w:rFonts w:ascii="Arial" w:hAnsi="Arial" w:cs="Arial"/>
          <w:color w:val="auto"/>
          <w:szCs w:val="21"/>
          <w:highlight w:val="none"/>
        </w:rPr>
        <w:t>_系_</w:t>
      </w:r>
      <w:r>
        <w:rPr>
          <w:rFonts w:ascii="Arial" w:hAnsi="Arial" w:cs="Arial"/>
          <w:i/>
          <w:iCs/>
          <w:color w:val="auto"/>
          <w:szCs w:val="21"/>
          <w:highlight w:val="none"/>
          <w:u w:val="single"/>
        </w:rPr>
        <w:t>（供应商名称）</w:t>
      </w:r>
      <w:r>
        <w:rPr>
          <w:rFonts w:ascii="Arial" w:hAnsi="Arial" w:cs="Arial"/>
          <w:color w:val="auto"/>
          <w:szCs w:val="21"/>
          <w:highlight w:val="none"/>
        </w:rPr>
        <w:t>_的法定代表人，现授权委托本单位在职职工 （姓名）以我方的名义参加</w:t>
      </w:r>
      <w:r>
        <w:rPr>
          <w:rFonts w:ascii="Arial" w:hAnsi="Arial" w:cs="Arial"/>
          <w:i/>
          <w:iCs/>
          <w:color w:val="auto"/>
          <w:szCs w:val="21"/>
          <w:highlight w:val="none"/>
          <w:u w:val="single"/>
        </w:rPr>
        <w:t>（项目名称）</w:t>
      </w:r>
      <w:r>
        <w:rPr>
          <w:rFonts w:ascii="Arial" w:hAnsi="Arial" w:cs="Arial"/>
          <w:color w:val="auto"/>
          <w:szCs w:val="21"/>
          <w:highlight w:val="none"/>
        </w:rPr>
        <w:t>项目的投标活动，并代表我方全权办理针对上述项目的投标、开标、评审、签约等具体事务和签署相关文件。</w:t>
      </w:r>
    </w:p>
    <w:p w14:paraId="2F778757">
      <w:pPr>
        <w:snapToGrid w:val="0"/>
        <w:spacing w:beforeLines="50" w:after="50" w:line="440" w:lineRule="exact"/>
        <w:rPr>
          <w:rFonts w:ascii="Arial" w:hAnsi="Arial" w:cs="Arial"/>
          <w:color w:val="auto"/>
          <w:szCs w:val="21"/>
          <w:highlight w:val="none"/>
        </w:rPr>
      </w:pPr>
      <w:r>
        <w:rPr>
          <w:rFonts w:ascii="Arial" w:hAnsi="Arial" w:cs="Arial"/>
          <w:color w:val="auto"/>
          <w:szCs w:val="21"/>
          <w:highlight w:val="none"/>
        </w:rPr>
        <w:t xml:space="preserve">    我方对被授权人的签名事项负全部责任。</w:t>
      </w:r>
    </w:p>
    <w:p w14:paraId="0097A57F">
      <w:pPr>
        <w:snapToGrid w:val="0"/>
        <w:spacing w:beforeLines="50" w:after="50" w:line="440" w:lineRule="exact"/>
        <w:ind w:firstLine="480"/>
        <w:rPr>
          <w:rFonts w:ascii="Arial" w:hAnsi="Arial" w:cs="Arial"/>
          <w:color w:val="auto"/>
          <w:szCs w:val="21"/>
          <w:highlight w:val="none"/>
        </w:rPr>
      </w:pPr>
      <w:r>
        <w:rPr>
          <w:rFonts w:ascii="Arial" w:hAnsi="Arial" w:cs="Arial"/>
          <w:color w:val="auto"/>
          <w:szCs w:val="21"/>
          <w:highlight w:val="none"/>
        </w:rPr>
        <w:t>在撤销授权的书面通知以前，本授权书一直有效。被授权人在授权书有效期内签署的所有文件不因授权的撤销而失效。</w:t>
      </w:r>
    </w:p>
    <w:p w14:paraId="4B5DA51B">
      <w:pPr>
        <w:snapToGrid w:val="0"/>
        <w:spacing w:beforeLines="50" w:after="50" w:line="440" w:lineRule="exact"/>
        <w:ind w:firstLine="480"/>
        <w:rPr>
          <w:rFonts w:ascii="Arial" w:hAnsi="Arial" w:cs="Arial"/>
          <w:color w:val="auto"/>
          <w:szCs w:val="21"/>
          <w:highlight w:val="none"/>
        </w:rPr>
      </w:pPr>
      <w:r>
        <w:rPr>
          <w:rFonts w:ascii="Arial" w:hAnsi="Arial" w:cs="Arial"/>
          <w:color w:val="auto"/>
          <w:szCs w:val="21"/>
          <w:highlight w:val="none"/>
        </w:rPr>
        <w:t>被授权人无转委托权，特此委托。</w:t>
      </w:r>
    </w:p>
    <w:p w14:paraId="2C3486CE">
      <w:pPr>
        <w:snapToGrid w:val="0"/>
        <w:spacing w:beforeLines="50" w:after="50" w:line="440" w:lineRule="exact"/>
        <w:rPr>
          <w:rFonts w:ascii="Arial" w:hAnsi="Arial" w:cs="Arial"/>
          <w:color w:val="auto"/>
          <w:szCs w:val="21"/>
          <w:highlight w:val="none"/>
          <w:u w:val="single"/>
        </w:rPr>
      </w:pPr>
      <w:r>
        <w:rPr>
          <w:rFonts w:ascii="Arial" w:hAnsi="Arial" w:cs="Arial"/>
          <w:color w:val="auto"/>
          <w:szCs w:val="21"/>
          <w:highlight w:val="none"/>
        </w:rPr>
        <w:t>被授权人签字或签章：                     法定代表人签字或签章：</w:t>
      </w:r>
    </w:p>
    <w:p w14:paraId="64DA8B71">
      <w:pPr>
        <w:snapToGrid w:val="0"/>
        <w:spacing w:beforeLines="50" w:after="50" w:line="440" w:lineRule="exact"/>
        <w:rPr>
          <w:rFonts w:ascii="Arial" w:hAnsi="Arial" w:cs="Arial"/>
          <w:color w:val="auto"/>
          <w:szCs w:val="21"/>
          <w:highlight w:val="none"/>
        </w:rPr>
      </w:pPr>
      <w:r>
        <w:rPr>
          <w:rFonts w:ascii="Arial" w:hAnsi="Arial" w:cs="Arial"/>
          <w:color w:val="auto"/>
          <w:szCs w:val="21"/>
          <w:highlight w:val="none"/>
        </w:rPr>
        <w:t>职务：                                  职务：</w:t>
      </w:r>
    </w:p>
    <w:p w14:paraId="5855E46D">
      <w:pPr>
        <w:snapToGrid w:val="0"/>
        <w:spacing w:beforeLines="50" w:after="50" w:line="440" w:lineRule="exact"/>
        <w:rPr>
          <w:rFonts w:ascii="Arial" w:hAnsi="Arial" w:cs="Arial"/>
          <w:color w:val="auto"/>
          <w:szCs w:val="21"/>
          <w:highlight w:val="none"/>
        </w:rPr>
      </w:pPr>
      <w:r>
        <w:rPr>
          <w:rFonts w:ascii="Arial" w:hAnsi="Arial" w:cs="Arial"/>
          <w:color w:val="auto"/>
          <w:szCs w:val="21"/>
          <w:highlight w:val="none"/>
        </w:rPr>
        <w:t>被授权人身份证号码：            授权人身份证号码：</w:t>
      </w:r>
    </w:p>
    <w:p w14:paraId="3C89AAA2">
      <w:pPr>
        <w:snapToGrid w:val="0"/>
        <w:spacing w:beforeLines="50" w:after="50" w:line="440" w:lineRule="exact"/>
        <w:rPr>
          <w:rFonts w:ascii="Arial" w:hAnsi="Arial" w:cs="Arial"/>
          <w:color w:val="auto"/>
          <w:szCs w:val="21"/>
          <w:highlight w:val="none"/>
        </w:rPr>
      </w:pPr>
      <w:bookmarkStart w:id="97" w:name="_Hlk132880052"/>
      <w:r>
        <w:rPr>
          <w:rFonts w:ascii="Arial" w:hAnsi="Arial" w:cs="Arial"/>
          <w:color w:val="auto"/>
          <w:szCs w:val="21"/>
          <w:highlight w:val="none"/>
        </w:rPr>
        <w:t>被授权人手机号码及邮箱：</w:t>
      </w:r>
      <w:bookmarkEnd w:id="97"/>
    </w:p>
    <w:p w14:paraId="469874B7">
      <w:pPr>
        <w:snapToGrid w:val="0"/>
        <w:spacing w:beforeLines="50" w:after="50" w:line="440" w:lineRule="exact"/>
        <w:ind w:firstLine="5250" w:firstLineChars="2500"/>
        <w:rPr>
          <w:rFonts w:ascii="Arial" w:hAnsi="Arial" w:cs="Arial"/>
          <w:color w:val="auto"/>
          <w:szCs w:val="21"/>
          <w:highlight w:val="none"/>
        </w:rPr>
      </w:pPr>
    </w:p>
    <w:p w14:paraId="0F6EA59E">
      <w:pPr>
        <w:snapToGrid w:val="0"/>
        <w:spacing w:beforeLines="50" w:after="50" w:line="440" w:lineRule="exact"/>
        <w:ind w:firstLine="5250" w:firstLineChars="2500"/>
        <w:rPr>
          <w:rFonts w:ascii="Arial" w:hAnsi="Arial" w:cs="Arial"/>
          <w:color w:val="auto"/>
          <w:szCs w:val="21"/>
          <w:highlight w:val="none"/>
        </w:rPr>
      </w:pPr>
      <w:r>
        <w:rPr>
          <w:rFonts w:ascii="Arial" w:hAnsi="Arial" w:cs="Arial"/>
          <w:color w:val="auto"/>
          <w:szCs w:val="21"/>
          <w:highlight w:val="none"/>
        </w:rPr>
        <w:t>供应商名称(电子签章)：</w:t>
      </w:r>
    </w:p>
    <w:p w14:paraId="0CCAF584">
      <w:pPr>
        <w:snapToGrid w:val="0"/>
        <w:spacing w:beforeLines="50" w:after="50" w:line="440" w:lineRule="exact"/>
        <w:jc w:val="center"/>
        <w:rPr>
          <w:rFonts w:ascii="Arial" w:hAnsi="Arial" w:cs="Arial"/>
          <w:color w:val="auto"/>
          <w:szCs w:val="21"/>
          <w:highlight w:val="none"/>
        </w:rPr>
      </w:pPr>
      <w:r>
        <w:rPr>
          <w:rFonts w:ascii="Arial" w:hAnsi="Arial" w:cs="Arial"/>
          <w:color w:val="auto"/>
          <w:szCs w:val="21"/>
          <w:highlight w:val="none"/>
        </w:rPr>
        <w:t xml:space="preserve">                                        年    月    日</w:t>
      </w:r>
    </w:p>
    <w:p w14:paraId="7CE14EF7">
      <w:pPr>
        <w:spacing w:line="360" w:lineRule="auto"/>
        <w:rPr>
          <w:rFonts w:ascii="Arial" w:hAnsi="Arial" w:cs="Arial"/>
          <w:color w:val="auto"/>
          <w:szCs w:val="21"/>
          <w:highlight w:val="none"/>
        </w:rPr>
      </w:pPr>
    </w:p>
    <w:p w14:paraId="311BA146">
      <w:pPr>
        <w:spacing w:line="360" w:lineRule="auto"/>
        <w:rPr>
          <w:rFonts w:ascii="Arial" w:hAnsi="Arial" w:cs="Arial"/>
          <w:color w:val="auto"/>
          <w:szCs w:val="21"/>
          <w:highlight w:val="none"/>
        </w:rPr>
      </w:pPr>
    </w:p>
    <w:p w14:paraId="54656AD1">
      <w:pPr>
        <w:spacing w:line="360" w:lineRule="auto"/>
        <w:rPr>
          <w:rFonts w:ascii="Arial" w:hAnsi="Arial" w:cs="Arial"/>
          <w:color w:val="auto"/>
          <w:szCs w:val="21"/>
          <w:highlight w:val="none"/>
        </w:rPr>
      </w:pPr>
      <w:r>
        <w:rPr>
          <w:rFonts w:ascii="Arial" w:hAnsi="Arial" w:cs="Arial"/>
          <w:color w:val="auto"/>
          <w:szCs w:val="21"/>
          <w:highlight w:val="none"/>
        </w:rPr>
        <w:t>附件：法定代表人身份证复印件及授权代表身份证复印件</w:t>
      </w:r>
    </w:p>
    <w:p w14:paraId="6052D326">
      <w:pPr>
        <w:snapToGrid w:val="0"/>
        <w:spacing w:before="50" w:afterLines="50" w:line="440" w:lineRule="exact"/>
        <w:jc w:val="left"/>
        <w:rPr>
          <w:rFonts w:ascii="Arial" w:hAnsi="Arial" w:cs="Arial"/>
          <w:color w:val="auto"/>
          <w:szCs w:val="21"/>
          <w:highlight w:val="none"/>
        </w:rPr>
      </w:pPr>
      <w:r>
        <w:rPr>
          <w:rFonts w:ascii="Arial" w:hAnsi="Arial" w:cs="Arial"/>
          <w:color w:val="auto"/>
          <w:highlight w:val="none"/>
        </w:rPr>
        <w:br w:type="page"/>
      </w:r>
      <w:r>
        <w:rPr>
          <w:rFonts w:ascii="Arial" w:hAnsi="Arial" w:cs="Arial"/>
          <w:color w:val="auto"/>
          <w:szCs w:val="21"/>
          <w:highlight w:val="none"/>
        </w:rPr>
        <w:t>2．对本项目第二章《采购需求》的响应表：</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2110"/>
        <w:gridCol w:w="4890"/>
        <w:gridCol w:w="1082"/>
      </w:tblGrid>
      <w:tr w14:paraId="34FE27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65A30CD0">
            <w:pPr>
              <w:snapToGrid w:val="0"/>
              <w:spacing w:beforeLines="50"/>
              <w:jc w:val="center"/>
              <w:rPr>
                <w:rFonts w:ascii="Arial" w:hAnsi="Arial" w:cs="Arial"/>
                <w:color w:val="auto"/>
                <w:szCs w:val="21"/>
                <w:highlight w:val="none"/>
              </w:rPr>
            </w:pPr>
            <w:r>
              <w:rPr>
                <w:rFonts w:ascii="Arial" w:hAnsi="Arial" w:cs="Arial"/>
                <w:color w:val="auto"/>
                <w:szCs w:val="21"/>
                <w:highlight w:val="none"/>
              </w:rPr>
              <w:t>序号</w:t>
            </w:r>
          </w:p>
        </w:tc>
        <w:tc>
          <w:tcPr>
            <w:tcW w:w="2110" w:type="dxa"/>
            <w:tcBorders>
              <w:top w:val="single" w:color="auto" w:sz="4" w:space="0"/>
              <w:left w:val="single" w:color="auto" w:sz="4" w:space="0"/>
              <w:bottom w:val="single" w:color="auto" w:sz="4" w:space="0"/>
              <w:right w:val="single" w:color="auto" w:sz="4" w:space="0"/>
            </w:tcBorders>
            <w:vAlign w:val="center"/>
          </w:tcPr>
          <w:p w14:paraId="17945FA4">
            <w:pPr>
              <w:snapToGrid w:val="0"/>
              <w:spacing w:beforeLines="50"/>
              <w:jc w:val="center"/>
              <w:rPr>
                <w:rFonts w:ascii="Arial" w:hAnsi="Arial" w:cs="Arial"/>
                <w:color w:val="auto"/>
                <w:szCs w:val="21"/>
                <w:highlight w:val="none"/>
              </w:rPr>
            </w:pPr>
            <w:r>
              <w:rPr>
                <w:rFonts w:ascii="Arial" w:hAnsi="Arial" w:cs="Arial"/>
                <w:color w:val="auto"/>
                <w:szCs w:val="21"/>
                <w:highlight w:val="none"/>
              </w:rPr>
              <w:t>招标文件的要求</w:t>
            </w:r>
          </w:p>
        </w:tc>
        <w:tc>
          <w:tcPr>
            <w:tcW w:w="4890" w:type="dxa"/>
            <w:tcBorders>
              <w:top w:val="single" w:color="auto" w:sz="4" w:space="0"/>
              <w:left w:val="single" w:color="auto" w:sz="4" w:space="0"/>
              <w:bottom w:val="single" w:color="auto" w:sz="4" w:space="0"/>
              <w:right w:val="single" w:color="auto" w:sz="4" w:space="0"/>
            </w:tcBorders>
            <w:vAlign w:val="center"/>
          </w:tcPr>
          <w:p w14:paraId="1D9146B6">
            <w:pPr>
              <w:snapToGrid w:val="0"/>
              <w:spacing w:beforeLines="50"/>
              <w:jc w:val="center"/>
              <w:rPr>
                <w:rFonts w:ascii="Arial" w:hAnsi="Arial" w:cs="Arial"/>
                <w:color w:val="auto"/>
                <w:szCs w:val="21"/>
                <w:highlight w:val="none"/>
              </w:rPr>
            </w:pPr>
            <w:r>
              <w:rPr>
                <w:rFonts w:ascii="Arial" w:hAnsi="Arial" w:cs="Arial"/>
                <w:color w:val="auto"/>
                <w:szCs w:val="21"/>
                <w:highlight w:val="none"/>
              </w:rPr>
              <w:t>投标文件响应内容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5E34EB92">
            <w:pPr>
              <w:snapToGrid w:val="0"/>
              <w:spacing w:beforeLines="50"/>
              <w:jc w:val="center"/>
              <w:rPr>
                <w:rFonts w:ascii="Arial" w:hAnsi="Arial" w:cs="Arial"/>
                <w:color w:val="auto"/>
                <w:szCs w:val="21"/>
                <w:highlight w:val="none"/>
              </w:rPr>
            </w:pPr>
            <w:r>
              <w:rPr>
                <w:rFonts w:ascii="Arial" w:hAnsi="Arial" w:cs="Arial"/>
                <w:color w:val="auto"/>
                <w:highlight w:val="none"/>
              </w:rPr>
              <w:t>偏离</w:t>
            </w:r>
            <w:r>
              <w:rPr>
                <w:rFonts w:ascii="Arial" w:hAnsi="Arial" w:cs="Arial"/>
                <w:color w:val="auto"/>
                <w:szCs w:val="21"/>
                <w:highlight w:val="none"/>
              </w:rPr>
              <w:t>说明</w:t>
            </w:r>
          </w:p>
        </w:tc>
      </w:tr>
      <w:tr w14:paraId="32644C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05044FC0">
            <w:pPr>
              <w:snapToGrid w:val="0"/>
              <w:spacing w:beforeLines="50"/>
              <w:jc w:val="center"/>
              <w:rPr>
                <w:rFonts w:ascii="Arial" w:hAnsi="Arial" w:cs="Arial"/>
                <w:color w:val="auto"/>
                <w:szCs w:val="21"/>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14:paraId="2C10F417">
            <w:pPr>
              <w:snapToGrid w:val="0"/>
              <w:spacing w:beforeLines="50"/>
              <w:jc w:val="center"/>
              <w:rPr>
                <w:rFonts w:ascii="Arial" w:hAnsi="Arial" w:cs="Arial"/>
                <w:color w:val="auto"/>
                <w:szCs w:val="21"/>
                <w:highlight w:val="none"/>
              </w:rPr>
            </w:pPr>
          </w:p>
        </w:tc>
        <w:tc>
          <w:tcPr>
            <w:tcW w:w="4890" w:type="dxa"/>
            <w:tcBorders>
              <w:top w:val="single" w:color="auto" w:sz="4" w:space="0"/>
              <w:left w:val="single" w:color="auto" w:sz="4" w:space="0"/>
              <w:bottom w:val="single" w:color="auto" w:sz="4" w:space="0"/>
              <w:right w:val="single" w:color="auto" w:sz="4" w:space="0"/>
            </w:tcBorders>
            <w:vAlign w:val="center"/>
          </w:tcPr>
          <w:p w14:paraId="4FEB5602">
            <w:pPr>
              <w:snapToGrid w:val="0"/>
              <w:spacing w:beforeLines="50"/>
              <w:jc w:val="center"/>
              <w:rPr>
                <w:rFonts w:ascii="Arial" w:hAnsi="Arial" w:cs="Arial"/>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669750F5">
            <w:pPr>
              <w:snapToGrid w:val="0"/>
              <w:spacing w:beforeLines="50"/>
              <w:jc w:val="center"/>
              <w:rPr>
                <w:rFonts w:ascii="Arial" w:hAnsi="Arial" w:cs="Arial"/>
                <w:color w:val="auto"/>
                <w:szCs w:val="21"/>
                <w:highlight w:val="none"/>
              </w:rPr>
            </w:pPr>
          </w:p>
        </w:tc>
      </w:tr>
      <w:tr w14:paraId="232447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38439BA8">
            <w:pPr>
              <w:snapToGrid w:val="0"/>
              <w:spacing w:beforeLines="50"/>
              <w:jc w:val="center"/>
              <w:rPr>
                <w:rFonts w:ascii="Arial" w:hAnsi="Arial" w:cs="Arial"/>
                <w:color w:val="auto"/>
                <w:szCs w:val="21"/>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14:paraId="1FDC278D">
            <w:pPr>
              <w:spacing w:line="360" w:lineRule="exact"/>
              <w:jc w:val="center"/>
              <w:rPr>
                <w:rFonts w:ascii="Arial" w:hAnsi="Arial" w:cs="Arial"/>
                <w:color w:val="auto"/>
                <w:szCs w:val="21"/>
                <w:highlight w:val="none"/>
              </w:rPr>
            </w:pPr>
          </w:p>
        </w:tc>
        <w:tc>
          <w:tcPr>
            <w:tcW w:w="4890" w:type="dxa"/>
            <w:tcBorders>
              <w:top w:val="single" w:color="auto" w:sz="4" w:space="0"/>
              <w:left w:val="single" w:color="auto" w:sz="4" w:space="0"/>
              <w:bottom w:val="single" w:color="auto" w:sz="4" w:space="0"/>
              <w:right w:val="single" w:color="auto" w:sz="4" w:space="0"/>
            </w:tcBorders>
            <w:vAlign w:val="center"/>
          </w:tcPr>
          <w:p w14:paraId="4DAF2E8B">
            <w:pPr>
              <w:snapToGrid w:val="0"/>
              <w:spacing w:beforeLines="50"/>
              <w:jc w:val="center"/>
              <w:rPr>
                <w:rFonts w:ascii="Arial" w:hAnsi="Arial" w:cs="Arial"/>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316F3D1C">
            <w:pPr>
              <w:snapToGrid w:val="0"/>
              <w:spacing w:beforeLines="50"/>
              <w:jc w:val="center"/>
              <w:rPr>
                <w:rFonts w:ascii="Arial" w:hAnsi="Arial" w:cs="Arial"/>
                <w:color w:val="auto"/>
                <w:szCs w:val="21"/>
                <w:highlight w:val="none"/>
              </w:rPr>
            </w:pPr>
          </w:p>
        </w:tc>
      </w:tr>
      <w:tr w14:paraId="5E07E1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56D375FF">
            <w:pPr>
              <w:snapToGrid w:val="0"/>
              <w:spacing w:beforeLines="50"/>
              <w:jc w:val="center"/>
              <w:rPr>
                <w:rFonts w:ascii="Arial" w:hAnsi="Arial" w:cs="Arial"/>
                <w:color w:val="auto"/>
                <w:szCs w:val="21"/>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14:paraId="43AE5A36">
            <w:pPr>
              <w:spacing w:line="360" w:lineRule="exact"/>
              <w:jc w:val="center"/>
              <w:rPr>
                <w:rFonts w:ascii="Arial" w:hAnsi="Arial" w:cs="Arial"/>
                <w:color w:val="auto"/>
                <w:szCs w:val="21"/>
                <w:highlight w:val="none"/>
              </w:rPr>
            </w:pPr>
            <w:r>
              <w:rPr>
                <w:rFonts w:ascii="Arial" w:hAnsi="Arial" w:cs="Arial"/>
                <w:color w:val="auto"/>
                <w:szCs w:val="21"/>
                <w:highlight w:val="none"/>
              </w:rPr>
              <w:t>……</w:t>
            </w:r>
          </w:p>
        </w:tc>
        <w:tc>
          <w:tcPr>
            <w:tcW w:w="4890" w:type="dxa"/>
            <w:tcBorders>
              <w:top w:val="single" w:color="auto" w:sz="4" w:space="0"/>
              <w:left w:val="single" w:color="auto" w:sz="4" w:space="0"/>
              <w:bottom w:val="single" w:color="auto" w:sz="4" w:space="0"/>
              <w:right w:val="single" w:color="auto" w:sz="4" w:space="0"/>
            </w:tcBorders>
            <w:vAlign w:val="center"/>
          </w:tcPr>
          <w:p w14:paraId="44F710FF">
            <w:pPr>
              <w:snapToGrid w:val="0"/>
              <w:spacing w:beforeLines="50"/>
              <w:jc w:val="center"/>
              <w:rPr>
                <w:rFonts w:ascii="Arial" w:hAnsi="Arial" w:cs="Arial"/>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7D698AF2">
            <w:pPr>
              <w:snapToGrid w:val="0"/>
              <w:spacing w:beforeLines="50"/>
              <w:jc w:val="center"/>
              <w:rPr>
                <w:rFonts w:ascii="Arial" w:hAnsi="Arial" w:cs="Arial"/>
                <w:color w:val="auto"/>
                <w:szCs w:val="21"/>
                <w:highlight w:val="none"/>
              </w:rPr>
            </w:pPr>
          </w:p>
        </w:tc>
      </w:tr>
    </w:tbl>
    <w:p w14:paraId="2488342A">
      <w:pPr>
        <w:pStyle w:val="27"/>
        <w:tabs>
          <w:tab w:val="left" w:pos="2127"/>
        </w:tabs>
        <w:spacing w:line="340" w:lineRule="exact"/>
        <w:ind w:firstLine="420" w:firstLineChars="200"/>
        <w:jc w:val="left"/>
        <w:rPr>
          <w:rFonts w:ascii="Arial" w:hAnsi="Arial" w:cs="Arial"/>
          <w:color w:val="auto"/>
          <w:highlight w:val="none"/>
        </w:rPr>
      </w:pPr>
      <w:bookmarkStart w:id="98" w:name="_Hlk48144603"/>
      <w:bookmarkStart w:id="99" w:name="_Hlk88990584"/>
      <w:r>
        <w:rPr>
          <w:rFonts w:ascii="Arial" w:hAnsi="Arial" w:cs="Arial"/>
          <w:color w:val="auto"/>
          <w:highlight w:val="none"/>
        </w:rPr>
        <w:t>注：</w:t>
      </w:r>
      <w:bookmarkStart w:id="100" w:name="_Hlk19049081"/>
      <w:r>
        <w:rPr>
          <w:rFonts w:ascii="Arial" w:hAnsi="Arial" w:cs="Arial"/>
          <w:color w:val="auto"/>
          <w:highlight w:val="none"/>
        </w:rPr>
        <w:t>（1）本表应对招标文件第二章《采购需求》中所有要求进行响应，并根据响应情况在“偏离说明”栏填写正偏离或负偏离及原因，完全符合的填写“无偏离”。</w:t>
      </w:r>
    </w:p>
    <w:p w14:paraId="4F63D3AC">
      <w:pPr>
        <w:ind w:firstLine="420" w:firstLineChars="200"/>
        <w:rPr>
          <w:rFonts w:ascii="Arial" w:hAnsi="Arial" w:cs="Arial"/>
          <w:color w:val="auto"/>
          <w:highlight w:val="none"/>
        </w:rPr>
      </w:pPr>
      <w:r>
        <w:rPr>
          <w:rFonts w:ascii="Arial" w:hAnsi="Arial" w:cs="Arial"/>
          <w:color w:val="auto"/>
          <w:highlight w:val="none"/>
        </w:rPr>
        <w:t>（2）偏离认定说明详见评审方法及标准。</w:t>
      </w:r>
    </w:p>
    <w:bookmarkEnd w:id="100"/>
    <w:p w14:paraId="74D9F4CC">
      <w:pPr>
        <w:pStyle w:val="27"/>
        <w:tabs>
          <w:tab w:val="left" w:pos="2127"/>
        </w:tabs>
        <w:spacing w:line="340" w:lineRule="exact"/>
        <w:ind w:firstLine="420" w:firstLineChars="200"/>
        <w:jc w:val="left"/>
        <w:rPr>
          <w:rFonts w:ascii="Arial" w:hAnsi="Arial" w:cs="Arial"/>
          <w:color w:val="auto"/>
          <w:highlight w:val="none"/>
        </w:rPr>
      </w:pPr>
      <w:r>
        <w:rPr>
          <w:rFonts w:ascii="Arial" w:hAnsi="Arial" w:cs="Arial"/>
          <w:color w:val="auto"/>
          <w:highlight w:val="none"/>
        </w:rPr>
        <w:t>（3）本表可扩展。</w:t>
      </w:r>
    </w:p>
    <w:bookmarkEnd w:id="98"/>
    <w:p w14:paraId="59F4C26F">
      <w:pPr>
        <w:snapToGrid w:val="0"/>
        <w:spacing w:before="50" w:afterLines="50" w:line="440" w:lineRule="exact"/>
        <w:jc w:val="left"/>
        <w:rPr>
          <w:rFonts w:ascii="Arial" w:hAnsi="Arial" w:cs="Arial"/>
          <w:color w:val="auto"/>
          <w:spacing w:val="20"/>
          <w:szCs w:val="21"/>
          <w:highlight w:val="none"/>
          <w:u w:val="single"/>
        </w:rPr>
      </w:pPr>
      <w:r>
        <w:rPr>
          <w:rFonts w:ascii="Arial" w:hAnsi="Arial" w:cs="Arial"/>
          <w:color w:val="auto"/>
          <w:szCs w:val="21"/>
          <w:highlight w:val="none"/>
        </w:rPr>
        <w:t>供应商名称(电子签章)</w:t>
      </w:r>
      <w:r>
        <w:rPr>
          <w:rFonts w:ascii="Arial" w:hAnsi="Arial" w:cs="Arial"/>
          <w:color w:val="auto"/>
          <w:spacing w:val="20"/>
          <w:szCs w:val="21"/>
          <w:highlight w:val="none"/>
        </w:rPr>
        <w:t>：             日  期：</w:t>
      </w:r>
    </w:p>
    <w:bookmarkEnd w:id="99"/>
    <w:p w14:paraId="3F33541E">
      <w:pPr>
        <w:snapToGrid w:val="0"/>
        <w:spacing w:before="50" w:afterLines="50" w:line="440" w:lineRule="exact"/>
        <w:jc w:val="left"/>
        <w:rPr>
          <w:rFonts w:ascii="Arial" w:hAnsi="Arial" w:cs="Arial"/>
          <w:strike/>
          <w:color w:val="auto"/>
          <w:szCs w:val="21"/>
          <w:highlight w:val="none"/>
        </w:rPr>
      </w:pPr>
    </w:p>
    <w:p w14:paraId="62EC26E1">
      <w:pPr>
        <w:snapToGrid w:val="0"/>
        <w:spacing w:before="50" w:afterLines="50" w:line="440" w:lineRule="exact"/>
        <w:jc w:val="left"/>
        <w:rPr>
          <w:rFonts w:ascii="Arial" w:hAnsi="Arial" w:cs="Arial"/>
          <w:color w:val="auto"/>
          <w:szCs w:val="21"/>
          <w:highlight w:val="none"/>
        </w:rPr>
      </w:pPr>
      <w:r>
        <w:rPr>
          <w:rFonts w:ascii="Arial" w:hAnsi="Arial" w:cs="Arial"/>
          <w:color w:val="auto"/>
          <w:szCs w:val="21"/>
          <w:highlight w:val="none"/>
        </w:rPr>
        <w:t>3．售后服务机构概况</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30"/>
        <w:gridCol w:w="1422"/>
        <w:gridCol w:w="191"/>
        <w:gridCol w:w="1440"/>
        <w:gridCol w:w="889"/>
        <w:gridCol w:w="1436"/>
      </w:tblGrid>
      <w:tr w14:paraId="685D08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tcPr>
          <w:p w14:paraId="2E2744A4">
            <w:pPr>
              <w:snapToGrid w:val="0"/>
              <w:spacing w:before="50" w:afterLines="50" w:line="400" w:lineRule="exact"/>
              <w:jc w:val="left"/>
              <w:rPr>
                <w:rFonts w:ascii="Arial" w:hAnsi="Arial" w:cs="Arial"/>
                <w:color w:val="auto"/>
                <w:szCs w:val="21"/>
                <w:highlight w:val="none"/>
              </w:rPr>
            </w:pPr>
            <w:r>
              <w:rPr>
                <w:rFonts w:ascii="Arial" w:hAnsi="Arial" w:cs="Arial"/>
                <w:color w:val="auto"/>
                <w:szCs w:val="21"/>
                <w:highlight w:val="none"/>
              </w:rPr>
              <w:t>售后服务机构名称</w:t>
            </w:r>
          </w:p>
        </w:tc>
        <w:tc>
          <w:tcPr>
            <w:tcW w:w="5378" w:type="dxa"/>
            <w:gridSpan w:val="5"/>
            <w:tcBorders>
              <w:top w:val="single" w:color="auto" w:sz="4" w:space="0"/>
              <w:left w:val="single" w:color="auto" w:sz="4" w:space="0"/>
              <w:bottom w:val="single" w:color="auto" w:sz="4" w:space="0"/>
              <w:right w:val="single" w:color="auto" w:sz="4" w:space="0"/>
            </w:tcBorders>
          </w:tcPr>
          <w:p w14:paraId="1BF873B7">
            <w:pPr>
              <w:snapToGrid w:val="0"/>
              <w:spacing w:before="50" w:afterLines="50" w:line="400" w:lineRule="exact"/>
              <w:jc w:val="left"/>
              <w:rPr>
                <w:rFonts w:ascii="Arial" w:hAnsi="Arial" w:cs="Arial"/>
                <w:color w:val="auto"/>
                <w:szCs w:val="21"/>
                <w:highlight w:val="none"/>
              </w:rPr>
            </w:pPr>
          </w:p>
        </w:tc>
      </w:tr>
      <w:tr w14:paraId="2710BC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tcPr>
          <w:p w14:paraId="7D384700">
            <w:pPr>
              <w:snapToGrid w:val="0"/>
              <w:spacing w:before="50" w:afterLines="50" w:line="400" w:lineRule="exact"/>
              <w:jc w:val="left"/>
              <w:rPr>
                <w:rFonts w:ascii="Arial" w:hAnsi="Arial" w:cs="Arial"/>
                <w:color w:val="auto"/>
                <w:szCs w:val="21"/>
                <w:highlight w:val="none"/>
              </w:rPr>
            </w:pPr>
            <w:r>
              <w:rPr>
                <w:rFonts w:ascii="Arial" w:hAnsi="Arial" w:cs="Arial"/>
                <w:color w:val="auto"/>
                <w:szCs w:val="21"/>
                <w:highlight w:val="none"/>
              </w:rPr>
              <w:t>地址</w:t>
            </w:r>
          </w:p>
        </w:tc>
        <w:tc>
          <w:tcPr>
            <w:tcW w:w="5378" w:type="dxa"/>
            <w:gridSpan w:val="5"/>
            <w:tcBorders>
              <w:top w:val="single" w:color="auto" w:sz="4" w:space="0"/>
              <w:left w:val="single" w:color="auto" w:sz="4" w:space="0"/>
              <w:bottom w:val="single" w:color="auto" w:sz="4" w:space="0"/>
              <w:right w:val="single" w:color="auto" w:sz="4" w:space="0"/>
            </w:tcBorders>
          </w:tcPr>
          <w:p w14:paraId="4011D2BD">
            <w:pPr>
              <w:snapToGrid w:val="0"/>
              <w:spacing w:before="50" w:afterLines="50" w:line="400" w:lineRule="exact"/>
              <w:jc w:val="left"/>
              <w:rPr>
                <w:rFonts w:ascii="Arial" w:hAnsi="Arial" w:cs="Arial"/>
                <w:color w:val="auto"/>
                <w:szCs w:val="21"/>
                <w:highlight w:val="none"/>
              </w:rPr>
            </w:pPr>
          </w:p>
        </w:tc>
      </w:tr>
      <w:tr w14:paraId="49DB92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tcPr>
          <w:p w14:paraId="38217D8A">
            <w:pPr>
              <w:snapToGrid w:val="0"/>
              <w:spacing w:before="50" w:afterLines="50" w:line="400" w:lineRule="exact"/>
              <w:jc w:val="left"/>
              <w:rPr>
                <w:rFonts w:ascii="Arial" w:hAnsi="Arial" w:cs="Arial"/>
                <w:color w:val="auto"/>
                <w:szCs w:val="21"/>
                <w:highlight w:val="none"/>
              </w:rPr>
            </w:pPr>
            <w:r>
              <w:rPr>
                <w:rFonts w:ascii="Arial" w:hAnsi="Arial" w:cs="Arial"/>
                <w:color w:val="auto"/>
                <w:szCs w:val="21"/>
                <w:highlight w:val="none"/>
              </w:rPr>
              <w:t>注册资本金</w:t>
            </w:r>
          </w:p>
        </w:tc>
        <w:tc>
          <w:tcPr>
            <w:tcW w:w="1422" w:type="dxa"/>
            <w:tcBorders>
              <w:top w:val="single" w:color="auto" w:sz="4" w:space="0"/>
              <w:left w:val="single" w:color="auto" w:sz="4" w:space="0"/>
              <w:bottom w:val="single" w:color="auto" w:sz="4" w:space="0"/>
              <w:right w:val="single" w:color="auto" w:sz="4" w:space="0"/>
            </w:tcBorders>
          </w:tcPr>
          <w:p w14:paraId="7CF03306">
            <w:pPr>
              <w:snapToGrid w:val="0"/>
              <w:spacing w:before="50" w:afterLines="50" w:line="400" w:lineRule="exact"/>
              <w:jc w:val="left"/>
              <w:rPr>
                <w:rFonts w:ascii="Arial" w:hAnsi="Arial" w:cs="Arial"/>
                <w:color w:val="auto"/>
                <w:szCs w:val="21"/>
                <w:highlight w:val="none"/>
              </w:rPr>
            </w:pPr>
          </w:p>
        </w:tc>
        <w:tc>
          <w:tcPr>
            <w:tcW w:w="2520" w:type="dxa"/>
            <w:gridSpan w:val="3"/>
            <w:tcBorders>
              <w:top w:val="single" w:color="auto" w:sz="4" w:space="0"/>
              <w:left w:val="single" w:color="auto" w:sz="4" w:space="0"/>
              <w:bottom w:val="single" w:color="auto" w:sz="4" w:space="0"/>
              <w:right w:val="single" w:color="auto" w:sz="4" w:space="0"/>
            </w:tcBorders>
          </w:tcPr>
          <w:p w14:paraId="55F03AA0">
            <w:pPr>
              <w:snapToGrid w:val="0"/>
              <w:spacing w:before="50" w:afterLines="50" w:line="400" w:lineRule="exact"/>
              <w:jc w:val="left"/>
              <w:rPr>
                <w:rFonts w:ascii="Arial" w:hAnsi="Arial" w:cs="Arial"/>
                <w:color w:val="auto"/>
                <w:szCs w:val="21"/>
                <w:highlight w:val="none"/>
              </w:rPr>
            </w:pPr>
            <w:r>
              <w:rPr>
                <w:rFonts w:ascii="Arial" w:hAnsi="Arial" w:cs="Arial"/>
                <w:color w:val="auto"/>
                <w:szCs w:val="21"/>
                <w:highlight w:val="none"/>
              </w:rPr>
              <w:t>其中：供应商出资比例</w:t>
            </w:r>
          </w:p>
        </w:tc>
        <w:tc>
          <w:tcPr>
            <w:tcW w:w="1436" w:type="dxa"/>
            <w:tcBorders>
              <w:top w:val="single" w:color="auto" w:sz="4" w:space="0"/>
              <w:left w:val="single" w:color="auto" w:sz="4" w:space="0"/>
              <w:bottom w:val="single" w:color="auto" w:sz="4" w:space="0"/>
              <w:right w:val="single" w:color="auto" w:sz="4" w:space="0"/>
            </w:tcBorders>
          </w:tcPr>
          <w:p w14:paraId="3D27057F">
            <w:pPr>
              <w:snapToGrid w:val="0"/>
              <w:spacing w:before="50" w:afterLines="50" w:line="400" w:lineRule="exact"/>
              <w:jc w:val="left"/>
              <w:rPr>
                <w:rFonts w:ascii="Arial" w:hAnsi="Arial" w:cs="Arial"/>
                <w:color w:val="auto"/>
                <w:szCs w:val="21"/>
                <w:highlight w:val="none"/>
              </w:rPr>
            </w:pPr>
          </w:p>
        </w:tc>
      </w:tr>
      <w:tr w14:paraId="2397A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tcPr>
          <w:p w14:paraId="3F29F1A7">
            <w:pPr>
              <w:snapToGrid w:val="0"/>
              <w:spacing w:before="50" w:afterLines="50" w:line="400" w:lineRule="exact"/>
              <w:jc w:val="left"/>
              <w:rPr>
                <w:rFonts w:ascii="Arial" w:hAnsi="Arial" w:cs="Arial"/>
                <w:color w:val="auto"/>
                <w:szCs w:val="21"/>
                <w:highlight w:val="none"/>
              </w:rPr>
            </w:pPr>
            <w:r>
              <w:rPr>
                <w:rFonts w:ascii="Arial" w:hAnsi="Arial" w:cs="Arial"/>
                <w:color w:val="auto"/>
                <w:szCs w:val="21"/>
                <w:highlight w:val="none"/>
              </w:rPr>
              <w:t>员工总人数</w:t>
            </w:r>
          </w:p>
        </w:tc>
        <w:tc>
          <w:tcPr>
            <w:tcW w:w="1422" w:type="dxa"/>
            <w:tcBorders>
              <w:top w:val="single" w:color="auto" w:sz="4" w:space="0"/>
              <w:left w:val="single" w:color="auto" w:sz="4" w:space="0"/>
              <w:bottom w:val="single" w:color="auto" w:sz="4" w:space="0"/>
              <w:right w:val="single" w:color="auto" w:sz="4" w:space="0"/>
            </w:tcBorders>
          </w:tcPr>
          <w:p w14:paraId="520889AA">
            <w:pPr>
              <w:snapToGrid w:val="0"/>
              <w:spacing w:before="50" w:afterLines="50" w:line="400" w:lineRule="exact"/>
              <w:jc w:val="left"/>
              <w:rPr>
                <w:rFonts w:ascii="Arial" w:hAnsi="Arial" w:cs="Arial"/>
                <w:color w:val="auto"/>
                <w:szCs w:val="21"/>
                <w:highlight w:val="none"/>
              </w:rPr>
            </w:pPr>
          </w:p>
        </w:tc>
        <w:tc>
          <w:tcPr>
            <w:tcW w:w="2520" w:type="dxa"/>
            <w:gridSpan w:val="3"/>
            <w:tcBorders>
              <w:top w:val="single" w:color="auto" w:sz="4" w:space="0"/>
              <w:left w:val="single" w:color="auto" w:sz="4" w:space="0"/>
              <w:bottom w:val="single" w:color="auto" w:sz="4" w:space="0"/>
              <w:right w:val="single" w:color="auto" w:sz="4" w:space="0"/>
            </w:tcBorders>
          </w:tcPr>
          <w:p w14:paraId="6F7BC03C">
            <w:pPr>
              <w:snapToGrid w:val="0"/>
              <w:spacing w:before="50" w:afterLines="50" w:line="400" w:lineRule="exact"/>
              <w:ind w:left="60"/>
              <w:jc w:val="left"/>
              <w:rPr>
                <w:rFonts w:ascii="Arial" w:hAnsi="Arial" w:cs="Arial"/>
                <w:color w:val="auto"/>
                <w:szCs w:val="21"/>
                <w:highlight w:val="none"/>
              </w:rPr>
            </w:pPr>
            <w:r>
              <w:rPr>
                <w:rFonts w:ascii="Arial" w:hAnsi="Arial" w:cs="Arial"/>
                <w:color w:val="auto"/>
                <w:szCs w:val="21"/>
                <w:highlight w:val="none"/>
              </w:rPr>
              <w:t>其中：技术人员数</w:t>
            </w:r>
          </w:p>
        </w:tc>
        <w:tc>
          <w:tcPr>
            <w:tcW w:w="1436" w:type="dxa"/>
            <w:tcBorders>
              <w:top w:val="single" w:color="auto" w:sz="4" w:space="0"/>
              <w:left w:val="single" w:color="auto" w:sz="4" w:space="0"/>
              <w:bottom w:val="single" w:color="auto" w:sz="4" w:space="0"/>
              <w:right w:val="single" w:color="auto" w:sz="4" w:space="0"/>
            </w:tcBorders>
          </w:tcPr>
          <w:p w14:paraId="3BE2720A">
            <w:pPr>
              <w:snapToGrid w:val="0"/>
              <w:spacing w:before="50" w:afterLines="50" w:line="400" w:lineRule="exact"/>
              <w:jc w:val="left"/>
              <w:rPr>
                <w:rFonts w:ascii="Arial" w:hAnsi="Arial" w:cs="Arial"/>
                <w:color w:val="auto"/>
                <w:szCs w:val="21"/>
                <w:highlight w:val="none"/>
              </w:rPr>
            </w:pPr>
          </w:p>
        </w:tc>
      </w:tr>
      <w:tr w14:paraId="5834B1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tcPr>
          <w:p w14:paraId="60A24A23">
            <w:pPr>
              <w:snapToGrid w:val="0"/>
              <w:spacing w:before="50" w:afterLines="50" w:line="400" w:lineRule="exact"/>
              <w:jc w:val="left"/>
              <w:rPr>
                <w:rFonts w:ascii="Arial" w:hAnsi="Arial" w:cs="Arial"/>
                <w:color w:val="auto"/>
                <w:szCs w:val="21"/>
                <w:highlight w:val="none"/>
              </w:rPr>
            </w:pPr>
            <w:r>
              <w:rPr>
                <w:rFonts w:ascii="Arial" w:hAnsi="Arial" w:cs="Arial"/>
                <w:color w:val="auto"/>
                <w:szCs w:val="21"/>
                <w:highlight w:val="none"/>
              </w:rPr>
              <w:t>经营期限</w:t>
            </w:r>
          </w:p>
        </w:tc>
        <w:tc>
          <w:tcPr>
            <w:tcW w:w="5378" w:type="dxa"/>
            <w:gridSpan w:val="5"/>
            <w:tcBorders>
              <w:top w:val="single" w:color="auto" w:sz="4" w:space="0"/>
              <w:left w:val="single" w:color="auto" w:sz="4" w:space="0"/>
              <w:bottom w:val="single" w:color="auto" w:sz="4" w:space="0"/>
              <w:right w:val="single" w:color="auto" w:sz="4" w:space="0"/>
            </w:tcBorders>
          </w:tcPr>
          <w:p w14:paraId="6BDCA9F7">
            <w:pPr>
              <w:snapToGrid w:val="0"/>
              <w:spacing w:before="50" w:afterLines="50" w:line="400" w:lineRule="exact"/>
              <w:jc w:val="left"/>
              <w:rPr>
                <w:rFonts w:ascii="Arial" w:hAnsi="Arial" w:cs="Arial"/>
                <w:color w:val="auto"/>
                <w:szCs w:val="21"/>
                <w:highlight w:val="none"/>
              </w:rPr>
            </w:pPr>
          </w:p>
        </w:tc>
      </w:tr>
      <w:tr w14:paraId="14EF9D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tcPr>
          <w:p w14:paraId="71006DE2">
            <w:pPr>
              <w:snapToGrid w:val="0"/>
              <w:spacing w:before="50" w:afterLines="50" w:line="400" w:lineRule="exact"/>
              <w:jc w:val="left"/>
              <w:rPr>
                <w:rFonts w:ascii="Arial" w:hAnsi="Arial" w:cs="Arial"/>
                <w:color w:val="auto"/>
                <w:szCs w:val="21"/>
                <w:highlight w:val="none"/>
              </w:rPr>
            </w:pPr>
            <w:r>
              <w:rPr>
                <w:rFonts w:ascii="Arial" w:hAnsi="Arial" w:cs="Arial"/>
                <w:color w:val="auto"/>
                <w:szCs w:val="21"/>
                <w:highlight w:val="none"/>
              </w:rPr>
              <w:t>售后服务协议</w:t>
            </w:r>
          </w:p>
        </w:tc>
        <w:tc>
          <w:tcPr>
            <w:tcW w:w="5378" w:type="dxa"/>
            <w:gridSpan w:val="5"/>
            <w:tcBorders>
              <w:top w:val="single" w:color="auto" w:sz="4" w:space="0"/>
              <w:left w:val="single" w:color="auto" w:sz="4" w:space="0"/>
              <w:bottom w:val="single" w:color="auto" w:sz="4" w:space="0"/>
              <w:right w:val="single" w:color="auto" w:sz="4" w:space="0"/>
            </w:tcBorders>
          </w:tcPr>
          <w:p w14:paraId="69CA9907">
            <w:pPr>
              <w:snapToGrid w:val="0"/>
              <w:spacing w:before="50" w:afterLines="50" w:line="400" w:lineRule="exact"/>
              <w:jc w:val="left"/>
              <w:rPr>
                <w:rFonts w:ascii="Arial" w:hAnsi="Arial" w:cs="Arial"/>
                <w:color w:val="auto"/>
                <w:szCs w:val="21"/>
                <w:highlight w:val="none"/>
              </w:rPr>
            </w:pPr>
          </w:p>
        </w:tc>
      </w:tr>
      <w:tr w14:paraId="202D0C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tcPr>
          <w:p w14:paraId="00B21010">
            <w:pPr>
              <w:snapToGrid w:val="0"/>
              <w:spacing w:before="50" w:afterLines="50" w:line="400" w:lineRule="exact"/>
              <w:jc w:val="left"/>
              <w:rPr>
                <w:rFonts w:ascii="Arial" w:hAnsi="Arial" w:cs="Arial"/>
                <w:color w:val="auto"/>
                <w:szCs w:val="21"/>
                <w:highlight w:val="none"/>
              </w:rPr>
            </w:pPr>
            <w:r>
              <w:rPr>
                <w:rFonts w:ascii="Arial" w:hAnsi="Arial" w:cs="Arial"/>
                <w:color w:val="auto"/>
                <w:szCs w:val="21"/>
                <w:highlight w:val="none"/>
              </w:rPr>
              <w:t>售后服务内容</w:t>
            </w:r>
          </w:p>
        </w:tc>
        <w:tc>
          <w:tcPr>
            <w:tcW w:w="5378" w:type="dxa"/>
            <w:gridSpan w:val="5"/>
            <w:tcBorders>
              <w:top w:val="single" w:color="auto" w:sz="4" w:space="0"/>
              <w:left w:val="single" w:color="auto" w:sz="4" w:space="0"/>
              <w:bottom w:val="single" w:color="auto" w:sz="4" w:space="0"/>
              <w:right w:val="single" w:color="auto" w:sz="4" w:space="0"/>
            </w:tcBorders>
          </w:tcPr>
          <w:p w14:paraId="7630FC41">
            <w:pPr>
              <w:snapToGrid w:val="0"/>
              <w:spacing w:before="50" w:afterLines="50" w:line="400" w:lineRule="exact"/>
              <w:jc w:val="left"/>
              <w:rPr>
                <w:rFonts w:ascii="Arial" w:hAnsi="Arial" w:cs="Arial"/>
                <w:color w:val="auto"/>
                <w:szCs w:val="21"/>
                <w:highlight w:val="none"/>
              </w:rPr>
            </w:pPr>
          </w:p>
        </w:tc>
      </w:tr>
      <w:tr w14:paraId="3A20FC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tcPr>
          <w:p w14:paraId="7A625561">
            <w:pPr>
              <w:snapToGrid w:val="0"/>
              <w:spacing w:before="50" w:afterLines="50" w:line="400" w:lineRule="exact"/>
              <w:jc w:val="left"/>
              <w:rPr>
                <w:rFonts w:ascii="Arial" w:hAnsi="Arial" w:cs="Arial"/>
                <w:color w:val="auto"/>
                <w:szCs w:val="21"/>
                <w:highlight w:val="none"/>
              </w:rPr>
            </w:pPr>
            <w:r>
              <w:rPr>
                <w:rFonts w:ascii="Arial" w:hAnsi="Arial" w:cs="Arial"/>
                <w:color w:val="auto"/>
                <w:szCs w:val="21"/>
                <w:highlight w:val="none"/>
              </w:rPr>
              <w:t>工作业绩</w:t>
            </w:r>
          </w:p>
        </w:tc>
        <w:tc>
          <w:tcPr>
            <w:tcW w:w="5378" w:type="dxa"/>
            <w:gridSpan w:val="5"/>
            <w:tcBorders>
              <w:top w:val="single" w:color="auto" w:sz="4" w:space="0"/>
              <w:left w:val="single" w:color="auto" w:sz="4" w:space="0"/>
              <w:bottom w:val="single" w:color="auto" w:sz="4" w:space="0"/>
              <w:right w:val="single" w:color="auto" w:sz="4" w:space="0"/>
            </w:tcBorders>
          </w:tcPr>
          <w:p w14:paraId="43866C99">
            <w:pPr>
              <w:snapToGrid w:val="0"/>
              <w:spacing w:before="50" w:afterLines="50" w:line="400" w:lineRule="exact"/>
              <w:jc w:val="left"/>
              <w:rPr>
                <w:rFonts w:ascii="Arial" w:hAnsi="Arial" w:cs="Arial"/>
                <w:color w:val="auto"/>
                <w:szCs w:val="21"/>
                <w:highlight w:val="none"/>
              </w:rPr>
            </w:pPr>
          </w:p>
        </w:tc>
      </w:tr>
      <w:tr w14:paraId="389DE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tcPr>
          <w:p w14:paraId="454BB885">
            <w:pPr>
              <w:snapToGrid w:val="0"/>
              <w:spacing w:before="50" w:afterLines="50" w:line="400" w:lineRule="exact"/>
              <w:jc w:val="left"/>
              <w:rPr>
                <w:rFonts w:ascii="Arial" w:hAnsi="Arial" w:cs="Arial"/>
                <w:color w:val="auto"/>
                <w:szCs w:val="21"/>
                <w:highlight w:val="none"/>
              </w:rPr>
            </w:pPr>
            <w:r>
              <w:rPr>
                <w:rFonts w:ascii="Arial" w:hAnsi="Arial" w:cs="Arial"/>
                <w:color w:val="auto"/>
                <w:szCs w:val="21"/>
                <w:highlight w:val="none"/>
              </w:rPr>
              <w:t>服务承诺</w:t>
            </w:r>
          </w:p>
        </w:tc>
        <w:tc>
          <w:tcPr>
            <w:tcW w:w="5378" w:type="dxa"/>
            <w:gridSpan w:val="5"/>
            <w:tcBorders>
              <w:top w:val="single" w:color="auto" w:sz="4" w:space="0"/>
              <w:left w:val="single" w:color="auto" w:sz="4" w:space="0"/>
              <w:bottom w:val="single" w:color="auto" w:sz="4" w:space="0"/>
              <w:right w:val="single" w:color="auto" w:sz="4" w:space="0"/>
            </w:tcBorders>
          </w:tcPr>
          <w:p w14:paraId="22522DEB">
            <w:pPr>
              <w:snapToGrid w:val="0"/>
              <w:spacing w:before="50" w:afterLines="50" w:line="400" w:lineRule="exact"/>
              <w:jc w:val="left"/>
              <w:rPr>
                <w:rFonts w:ascii="Arial" w:hAnsi="Arial" w:cs="Arial"/>
                <w:color w:val="auto"/>
                <w:szCs w:val="21"/>
                <w:highlight w:val="none"/>
              </w:rPr>
            </w:pPr>
          </w:p>
        </w:tc>
      </w:tr>
      <w:tr w14:paraId="755E10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tcPr>
          <w:p w14:paraId="3AD15A20">
            <w:pPr>
              <w:snapToGrid w:val="0"/>
              <w:spacing w:before="50" w:afterLines="50" w:line="400" w:lineRule="exact"/>
              <w:jc w:val="left"/>
              <w:rPr>
                <w:rFonts w:ascii="Arial" w:hAnsi="Arial" w:cs="Arial"/>
                <w:color w:val="auto"/>
                <w:szCs w:val="21"/>
                <w:highlight w:val="none"/>
              </w:rPr>
            </w:pPr>
            <w:r>
              <w:rPr>
                <w:rFonts w:ascii="Arial" w:hAnsi="Arial" w:cs="Arial"/>
                <w:color w:val="auto"/>
                <w:szCs w:val="21"/>
                <w:highlight w:val="none"/>
              </w:rPr>
              <w:t>业务咨询电话</w:t>
            </w:r>
          </w:p>
        </w:tc>
        <w:tc>
          <w:tcPr>
            <w:tcW w:w="1613" w:type="dxa"/>
            <w:gridSpan w:val="2"/>
            <w:tcBorders>
              <w:top w:val="single" w:color="auto" w:sz="4" w:space="0"/>
              <w:left w:val="single" w:color="auto" w:sz="4" w:space="0"/>
              <w:bottom w:val="single" w:color="auto" w:sz="4" w:space="0"/>
              <w:right w:val="single" w:color="auto" w:sz="2" w:space="0"/>
            </w:tcBorders>
          </w:tcPr>
          <w:p w14:paraId="275B5212">
            <w:pPr>
              <w:snapToGrid w:val="0"/>
              <w:spacing w:before="50" w:afterLines="50" w:line="400" w:lineRule="exact"/>
              <w:jc w:val="left"/>
              <w:rPr>
                <w:rFonts w:ascii="Arial" w:hAnsi="Arial" w:cs="Arial"/>
                <w:color w:val="auto"/>
                <w:szCs w:val="21"/>
                <w:highlight w:val="none"/>
              </w:rPr>
            </w:pPr>
          </w:p>
        </w:tc>
        <w:tc>
          <w:tcPr>
            <w:tcW w:w="1440" w:type="dxa"/>
            <w:tcBorders>
              <w:top w:val="single" w:color="auto" w:sz="4" w:space="0"/>
              <w:left w:val="single" w:color="auto" w:sz="2" w:space="0"/>
              <w:bottom w:val="single" w:color="auto" w:sz="4" w:space="0"/>
              <w:right w:val="single" w:color="auto" w:sz="2" w:space="0"/>
            </w:tcBorders>
          </w:tcPr>
          <w:p w14:paraId="3AAC29BB">
            <w:pPr>
              <w:snapToGrid w:val="0"/>
              <w:spacing w:before="50" w:afterLines="50" w:line="400" w:lineRule="exact"/>
              <w:ind w:firstLine="210" w:firstLineChars="100"/>
              <w:jc w:val="left"/>
              <w:rPr>
                <w:rFonts w:ascii="Arial" w:hAnsi="Arial" w:cs="Arial"/>
                <w:color w:val="auto"/>
                <w:szCs w:val="21"/>
                <w:highlight w:val="none"/>
              </w:rPr>
            </w:pPr>
            <w:r>
              <w:rPr>
                <w:rFonts w:ascii="Arial" w:hAnsi="Arial" w:cs="Arial"/>
                <w:color w:val="auto"/>
                <w:szCs w:val="21"/>
                <w:highlight w:val="none"/>
              </w:rPr>
              <w:t>传 真</w:t>
            </w:r>
          </w:p>
        </w:tc>
        <w:tc>
          <w:tcPr>
            <w:tcW w:w="2325" w:type="dxa"/>
            <w:gridSpan w:val="2"/>
            <w:tcBorders>
              <w:top w:val="single" w:color="auto" w:sz="4" w:space="0"/>
              <w:left w:val="single" w:color="auto" w:sz="2" w:space="0"/>
              <w:bottom w:val="single" w:color="auto" w:sz="4" w:space="0"/>
              <w:right w:val="single" w:color="auto" w:sz="2" w:space="0"/>
            </w:tcBorders>
          </w:tcPr>
          <w:p w14:paraId="5889F939">
            <w:pPr>
              <w:snapToGrid w:val="0"/>
              <w:spacing w:before="50" w:afterLines="50" w:line="400" w:lineRule="exact"/>
              <w:jc w:val="left"/>
              <w:rPr>
                <w:rFonts w:ascii="Arial" w:hAnsi="Arial" w:cs="Arial"/>
                <w:color w:val="auto"/>
                <w:szCs w:val="21"/>
                <w:highlight w:val="none"/>
              </w:rPr>
            </w:pPr>
          </w:p>
        </w:tc>
      </w:tr>
      <w:tr w14:paraId="7DE489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tcPr>
          <w:p w14:paraId="54411234">
            <w:pPr>
              <w:snapToGrid w:val="0"/>
              <w:spacing w:before="50" w:afterLines="50" w:line="400" w:lineRule="exact"/>
              <w:jc w:val="left"/>
              <w:rPr>
                <w:rFonts w:ascii="Arial" w:hAnsi="Arial" w:cs="Arial"/>
                <w:color w:val="auto"/>
                <w:szCs w:val="21"/>
                <w:highlight w:val="none"/>
              </w:rPr>
            </w:pPr>
            <w:r>
              <w:rPr>
                <w:rFonts w:ascii="Arial" w:hAnsi="Arial" w:cs="Arial"/>
                <w:color w:val="auto"/>
                <w:szCs w:val="21"/>
                <w:highlight w:val="none"/>
              </w:rPr>
              <w:t>负责人</w:t>
            </w:r>
          </w:p>
        </w:tc>
        <w:tc>
          <w:tcPr>
            <w:tcW w:w="1613" w:type="dxa"/>
            <w:gridSpan w:val="2"/>
            <w:tcBorders>
              <w:top w:val="single" w:color="auto" w:sz="4" w:space="0"/>
              <w:left w:val="single" w:color="auto" w:sz="4" w:space="0"/>
              <w:bottom w:val="single" w:color="auto" w:sz="4" w:space="0"/>
              <w:right w:val="single" w:color="auto" w:sz="2" w:space="0"/>
            </w:tcBorders>
          </w:tcPr>
          <w:p w14:paraId="6B9A7E0A">
            <w:pPr>
              <w:snapToGrid w:val="0"/>
              <w:spacing w:before="50" w:afterLines="50" w:line="400" w:lineRule="exact"/>
              <w:jc w:val="left"/>
              <w:rPr>
                <w:rFonts w:ascii="Arial" w:hAnsi="Arial" w:cs="Arial"/>
                <w:color w:val="auto"/>
                <w:szCs w:val="21"/>
                <w:highlight w:val="none"/>
              </w:rPr>
            </w:pPr>
          </w:p>
        </w:tc>
        <w:tc>
          <w:tcPr>
            <w:tcW w:w="1440" w:type="dxa"/>
            <w:tcBorders>
              <w:top w:val="single" w:color="auto" w:sz="4" w:space="0"/>
              <w:left w:val="single" w:color="auto" w:sz="2" w:space="0"/>
              <w:bottom w:val="single" w:color="auto" w:sz="4" w:space="0"/>
              <w:right w:val="single" w:color="auto" w:sz="2" w:space="0"/>
            </w:tcBorders>
          </w:tcPr>
          <w:p w14:paraId="1BEE1EB0">
            <w:pPr>
              <w:snapToGrid w:val="0"/>
              <w:spacing w:before="50" w:afterLines="50" w:line="400" w:lineRule="exact"/>
              <w:jc w:val="left"/>
              <w:rPr>
                <w:rFonts w:ascii="Arial" w:hAnsi="Arial" w:cs="Arial"/>
                <w:color w:val="auto"/>
                <w:szCs w:val="21"/>
                <w:highlight w:val="none"/>
              </w:rPr>
            </w:pPr>
            <w:r>
              <w:rPr>
                <w:rFonts w:ascii="Arial" w:hAnsi="Arial" w:cs="Arial"/>
                <w:color w:val="auto"/>
                <w:szCs w:val="21"/>
                <w:highlight w:val="none"/>
              </w:rPr>
              <w:t>联系电话</w:t>
            </w:r>
          </w:p>
        </w:tc>
        <w:tc>
          <w:tcPr>
            <w:tcW w:w="2325" w:type="dxa"/>
            <w:gridSpan w:val="2"/>
            <w:tcBorders>
              <w:top w:val="single" w:color="auto" w:sz="4" w:space="0"/>
              <w:left w:val="single" w:color="auto" w:sz="2" w:space="0"/>
              <w:bottom w:val="single" w:color="auto" w:sz="4" w:space="0"/>
              <w:right w:val="single" w:color="auto" w:sz="4" w:space="0"/>
            </w:tcBorders>
          </w:tcPr>
          <w:p w14:paraId="0E01C6D1">
            <w:pPr>
              <w:snapToGrid w:val="0"/>
              <w:spacing w:before="50" w:afterLines="50" w:line="400" w:lineRule="exact"/>
              <w:jc w:val="left"/>
              <w:rPr>
                <w:rFonts w:ascii="Arial" w:hAnsi="Arial" w:cs="Arial"/>
                <w:color w:val="auto"/>
                <w:szCs w:val="21"/>
                <w:highlight w:val="none"/>
              </w:rPr>
            </w:pPr>
          </w:p>
        </w:tc>
      </w:tr>
    </w:tbl>
    <w:p w14:paraId="617E5B42">
      <w:pPr>
        <w:pStyle w:val="20"/>
        <w:snapToGrid w:val="0"/>
        <w:rPr>
          <w:rFonts w:ascii="Arial" w:hAnsi="Arial" w:cs="Arial"/>
          <w:color w:val="auto"/>
          <w:sz w:val="22"/>
          <w:szCs w:val="20"/>
          <w:highlight w:val="none"/>
        </w:rPr>
      </w:pPr>
    </w:p>
    <w:p w14:paraId="1BE6AAD0">
      <w:pPr>
        <w:pStyle w:val="20"/>
        <w:snapToGrid w:val="0"/>
        <w:rPr>
          <w:rFonts w:ascii="Arial" w:hAnsi="Arial" w:cs="Arial"/>
          <w:color w:val="auto"/>
          <w:sz w:val="21"/>
          <w:szCs w:val="21"/>
          <w:highlight w:val="none"/>
        </w:rPr>
      </w:pPr>
      <w:r>
        <w:rPr>
          <w:rFonts w:ascii="Arial" w:hAnsi="Arial" w:cs="Arial"/>
          <w:color w:val="auto"/>
          <w:sz w:val="22"/>
          <w:szCs w:val="20"/>
          <w:highlight w:val="none"/>
        </w:rPr>
        <w:t>供应商名称(电子签章)</w:t>
      </w:r>
      <w:r>
        <w:rPr>
          <w:rFonts w:ascii="Arial" w:hAnsi="Arial" w:cs="Arial"/>
          <w:color w:val="auto"/>
          <w:sz w:val="20"/>
          <w:szCs w:val="20"/>
          <w:highlight w:val="none"/>
        </w:rPr>
        <w:t>：</w:t>
      </w:r>
      <w:r>
        <w:rPr>
          <w:rFonts w:ascii="Arial" w:hAnsi="Arial" w:cs="Arial"/>
          <w:color w:val="auto"/>
          <w:sz w:val="21"/>
          <w:szCs w:val="21"/>
          <w:highlight w:val="none"/>
        </w:rPr>
        <w:t xml:space="preserve">                　 年    月　 日</w:t>
      </w:r>
    </w:p>
    <w:p w14:paraId="1C4B0E83">
      <w:pPr>
        <w:pStyle w:val="16"/>
        <w:snapToGrid w:val="0"/>
        <w:rPr>
          <w:rFonts w:eastAsia="宋体"/>
          <w:color w:val="auto"/>
          <w:sz w:val="21"/>
          <w:szCs w:val="21"/>
          <w:highlight w:val="none"/>
        </w:rPr>
      </w:pPr>
      <w:r>
        <w:rPr>
          <w:rFonts w:eastAsia="宋体"/>
          <w:color w:val="auto"/>
          <w:sz w:val="21"/>
          <w:szCs w:val="21"/>
          <w:highlight w:val="none"/>
        </w:rPr>
        <w:t>注：（1）应提供供应商或其分支机构或其售后服务机构的营业执照复印件；</w:t>
      </w:r>
    </w:p>
    <w:p w14:paraId="68E8EC78">
      <w:pPr>
        <w:pStyle w:val="16"/>
        <w:snapToGrid w:val="0"/>
        <w:rPr>
          <w:rFonts w:eastAsia="宋体"/>
          <w:color w:val="auto"/>
          <w:sz w:val="21"/>
          <w:szCs w:val="21"/>
          <w:highlight w:val="none"/>
        </w:rPr>
      </w:pPr>
      <w:r>
        <w:rPr>
          <w:rFonts w:eastAsia="宋体"/>
          <w:color w:val="auto"/>
          <w:sz w:val="21"/>
          <w:szCs w:val="21"/>
          <w:highlight w:val="none"/>
        </w:rPr>
        <w:t>（2）供应商授权本地服务机构的，须提供授权书或服务协议复印件。</w:t>
      </w:r>
    </w:p>
    <w:p w14:paraId="73EB0576">
      <w:pPr>
        <w:pStyle w:val="16"/>
        <w:snapToGrid w:val="0"/>
        <w:rPr>
          <w:rFonts w:eastAsia="宋体"/>
          <w:color w:val="auto"/>
          <w:sz w:val="21"/>
          <w:szCs w:val="21"/>
          <w:highlight w:val="none"/>
        </w:rPr>
      </w:pPr>
      <w:r>
        <w:rPr>
          <w:rFonts w:eastAsia="宋体"/>
          <w:color w:val="auto"/>
          <w:sz w:val="21"/>
          <w:szCs w:val="21"/>
          <w:highlight w:val="none"/>
        </w:rPr>
        <w:t>（3）售后服务机构人员应提供名单及学历、职称、社保等证明；装备应提供发票等证明。</w:t>
      </w:r>
    </w:p>
    <w:p w14:paraId="757B7ABC">
      <w:pPr>
        <w:snapToGrid w:val="0"/>
        <w:spacing w:before="50" w:afterLines="50" w:line="440" w:lineRule="exact"/>
        <w:jc w:val="left"/>
        <w:rPr>
          <w:rFonts w:ascii="Arial" w:hAnsi="Arial" w:cs="Arial"/>
          <w:color w:val="auto"/>
          <w:szCs w:val="21"/>
          <w:highlight w:val="none"/>
        </w:rPr>
      </w:pPr>
    </w:p>
    <w:p w14:paraId="00514DDE">
      <w:pPr>
        <w:snapToGrid w:val="0"/>
        <w:spacing w:before="50" w:afterLines="50" w:line="440" w:lineRule="exact"/>
        <w:jc w:val="left"/>
        <w:rPr>
          <w:rFonts w:ascii="Arial" w:hAnsi="Arial" w:cs="Arial"/>
          <w:color w:val="auto"/>
          <w:szCs w:val="21"/>
          <w:highlight w:val="none"/>
        </w:rPr>
      </w:pPr>
      <w:r>
        <w:rPr>
          <w:rFonts w:ascii="Arial" w:hAnsi="Arial" w:cs="Arial"/>
          <w:color w:val="auto"/>
          <w:szCs w:val="21"/>
          <w:highlight w:val="none"/>
        </w:rPr>
        <w:t>4．服务方案（如有，供应商自行编写）</w:t>
      </w:r>
    </w:p>
    <w:p w14:paraId="0888E032">
      <w:pPr>
        <w:snapToGrid w:val="0"/>
        <w:spacing w:before="50" w:afterLines="50" w:line="440" w:lineRule="exact"/>
        <w:jc w:val="left"/>
        <w:rPr>
          <w:rFonts w:ascii="Arial" w:hAnsi="Arial" w:cs="Arial"/>
          <w:color w:val="auto"/>
          <w:szCs w:val="21"/>
          <w:highlight w:val="none"/>
        </w:rPr>
      </w:pPr>
      <w:r>
        <w:rPr>
          <w:rFonts w:ascii="Arial" w:hAnsi="Arial" w:cs="Arial"/>
          <w:color w:val="auto"/>
          <w:szCs w:val="21"/>
          <w:highlight w:val="none"/>
        </w:rPr>
        <w:t>5.</w:t>
      </w:r>
      <w:r>
        <w:rPr>
          <w:rFonts w:hint="eastAsia" w:ascii="Arial" w:hAnsi="Arial" w:cs="Arial"/>
          <w:color w:val="auto"/>
          <w:szCs w:val="21"/>
          <w:highlight w:val="none"/>
        </w:rPr>
        <w:t>售后服务方案</w:t>
      </w:r>
      <w:r>
        <w:rPr>
          <w:rFonts w:ascii="Arial" w:hAnsi="Arial" w:cs="Arial"/>
          <w:color w:val="auto"/>
          <w:szCs w:val="21"/>
          <w:highlight w:val="none"/>
        </w:rPr>
        <w:t>（如有，供应商自行编写）</w:t>
      </w:r>
    </w:p>
    <w:p w14:paraId="657A6848">
      <w:pPr>
        <w:snapToGrid w:val="0"/>
        <w:spacing w:before="50" w:afterLines="50" w:line="440" w:lineRule="exact"/>
        <w:jc w:val="left"/>
        <w:rPr>
          <w:rFonts w:ascii="Arial" w:hAnsi="Arial" w:cs="Arial"/>
          <w:strike/>
          <w:color w:val="auto"/>
          <w:szCs w:val="21"/>
          <w:highlight w:val="none"/>
        </w:rPr>
      </w:pPr>
    </w:p>
    <w:p w14:paraId="5EDD1B6C">
      <w:pPr>
        <w:snapToGrid w:val="0"/>
        <w:spacing w:before="50" w:afterLines="50" w:line="440" w:lineRule="exact"/>
        <w:jc w:val="left"/>
        <w:rPr>
          <w:rFonts w:ascii="Arial" w:hAnsi="Arial" w:cs="Arial"/>
          <w:bCs/>
          <w:color w:val="auto"/>
          <w:szCs w:val="21"/>
          <w:highlight w:val="none"/>
        </w:rPr>
      </w:pPr>
      <w:r>
        <w:rPr>
          <w:rFonts w:ascii="Arial" w:hAnsi="Arial" w:cs="Arial"/>
          <w:bCs/>
          <w:color w:val="auto"/>
          <w:szCs w:val="21"/>
          <w:highlight w:val="none"/>
        </w:rPr>
        <w:t>6.</w:t>
      </w:r>
      <w:r>
        <w:rPr>
          <w:rFonts w:hint="eastAsia" w:ascii="Arial" w:hAnsi="Arial" w:cs="Arial"/>
          <w:bCs/>
          <w:color w:val="auto"/>
          <w:szCs w:val="21"/>
          <w:highlight w:val="none"/>
        </w:rPr>
        <w:t>拟投入本项目人员</w:t>
      </w:r>
      <w:r>
        <w:rPr>
          <w:rFonts w:ascii="Arial" w:hAnsi="Arial" w:cs="Arial"/>
          <w:color w:val="auto"/>
          <w:szCs w:val="21"/>
          <w:highlight w:val="none"/>
        </w:rPr>
        <w:t>（如有，供应商自行编写）</w:t>
      </w:r>
    </w:p>
    <w:p w14:paraId="126E2CFD">
      <w:pPr>
        <w:snapToGrid w:val="0"/>
        <w:spacing w:before="50" w:afterLines="50" w:line="440" w:lineRule="exact"/>
        <w:jc w:val="left"/>
        <w:rPr>
          <w:rFonts w:ascii="Arial" w:hAnsi="Arial" w:cs="Arial"/>
          <w:bCs/>
          <w:color w:val="auto"/>
          <w:szCs w:val="21"/>
          <w:highlight w:val="none"/>
        </w:rPr>
      </w:pPr>
    </w:p>
    <w:p w14:paraId="4EF113F3">
      <w:pPr>
        <w:snapToGrid w:val="0"/>
        <w:spacing w:before="50" w:afterLines="50" w:line="440" w:lineRule="exact"/>
        <w:jc w:val="left"/>
        <w:rPr>
          <w:rFonts w:ascii="Arial" w:hAnsi="Arial" w:cs="Arial"/>
          <w:bCs/>
          <w:color w:val="auto"/>
          <w:szCs w:val="21"/>
          <w:highlight w:val="none"/>
        </w:rPr>
      </w:pPr>
      <w:r>
        <w:rPr>
          <w:rFonts w:hint="eastAsia" w:ascii="Arial" w:hAnsi="Arial" w:cs="Arial"/>
          <w:bCs/>
          <w:color w:val="auto"/>
          <w:szCs w:val="21"/>
          <w:highlight w:val="none"/>
        </w:rPr>
        <w:t>7.企业实力</w:t>
      </w:r>
      <w:r>
        <w:rPr>
          <w:rFonts w:ascii="Arial" w:hAnsi="Arial" w:cs="Arial"/>
          <w:color w:val="auto"/>
          <w:szCs w:val="21"/>
          <w:highlight w:val="none"/>
        </w:rPr>
        <w:t>（如有，供应商自行编写）</w:t>
      </w:r>
    </w:p>
    <w:p w14:paraId="324E5830">
      <w:pPr>
        <w:snapToGrid w:val="0"/>
        <w:spacing w:before="50" w:afterLines="50" w:line="440" w:lineRule="exact"/>
        <w:jc w:val="left"/>
        <w:rPr>
          <w:rFonts w:ascii="Arial" w:hAnsi="Arial" w:cs="Arial"/>
          <w:bCs/>
          <w:color w:val="auto"/>
          <w:szCs w:val="21"/>
          <w:highlight w:val="none"/>
        </w:rPr>
      </w:pPr>
    </w:p>
    <w:p w14:paraId="762D68C2">
      <w:pPr>
        <w:snapToGrid w:val="0"/>
        <w:spacing w:before="50" w:afterLines="50" w:line="440" w:lineRule="exact"/>
        <w:jc w:val="left"/>
        <w:rPr>
          <w:rFonts w:ascii="Arial" w:hAnsi="Arial" w:cs="Arial"/>
          <w:color w:val="auto"/>
          <w:szCs w:val="21"/>
          <w:highlight w:val="none"/>
        </w:rPr>
      </w:pPr>
    </w:p>
    <w:p w14:paraId="22508EF6">
      <w:pPr>
        <w:snapToGrid w:val="0"/>
        <w:spacing w:before="50" w:afterLines="50" w:line="440" w:lineRule="exact"/>
        <w:jc w:val="left"/>
        <w:rPr>
          <w:rFonts w:ascii="Arial" w:hAnsi="Arial" w:cs="Arial"/>
          <w:strike/>
          <w:color w:val="auto"/>
          <w:szCs w:val="21"/>
          <w:highlight w:val="none"/>
        </w:rPr>
      </w:pPr>
    </w:p>
    <w:p w14:paraId="2346A77B">
      <w:pPr>
        <w:snapToGrid w:val="0"/>
        <w:spacing w:before="50" w:afterLines="50" w:line="440" w:lineRule="exact"/>
        <w:jc w:val="left"/>
        <w:rPr>
          <w:rFonts w:ascii="Arial" w:hAnsi="Arial" w:cs="Arial"/>
          <w:color w:val="auto"/>
          <w:szCs w:val="21"/>
          <w:highlight w:val="none"/>
        </w:rPr>
      </w:pPr>
    </w:p>
    <w:p w14:paraId="60B8332A">
      <w:pPr>
        <w:snapToGrid w:val="0"/>
        <w:spacing w:before="50" w:afterLines="50" w:line="440" w:lineRule="exact"/>
        <w:jc w:val="left"/>
        <w:rPr>
          <w:rFonts w:ascii="Arial" w:hAnsi="Arial" w:cs="Arial"/>
          <w:color w:val="auto"/>
          <w:szCs w:val="21"/>
          <w:highlight w:val="none"/>
        </w:rPr>
      </w:pPr>
    </w:p>
    <w:p w14:paraId="29218BB1">
      <w:pPr>
        <w:snapToGrid w:val="0"/>
        <w:spacing w:before="50" w:afterLines="50" w:line="440" w:lineRule="exact"/>
        <w:jc w:val="left"/>
        <w:rPr>
          <w:rFonts w:ascii="Arial" w:hAnsi="Arial" w:cs="Arial"/>
          <w:color w:val="auto"/>
          <w:szCs w:val="21"/>
          <w:highlight w:val="none"/>
        </w:rPr>
      </w:pPr>
    </w:p>
    <w:p w14:paraId="2F8321ED">
      <w:pPr>
        <w:snapToGrid w:val="0"/>
        <w:spacing w:before="50" w:afterLines="50" w:line="440" w:lineRule="exact"/>
        <w:jc w:val="left"/>
        <w:rPr>
          <w:rFonts w:ascii="Arial" w:hAnsi="Arial" w:cs="Arial"/>
          <w:color w:val="auto"/>
          <w:szCs w:val="21"/>
          <w:highlight w:val="none"/>
        </w:rPr>
      </w:pPr>
    </w:p>
    <w:p w14:paraId="6D68EEC7">
      <w:pPr>
        <w:snapToGrid w:val="0"/>
        <w:spacing w:before="50" w:afterLines="50" w:line="440" w:lineRule="exact"/>
        <w:jc w:val="left"/>
        <w:rPr>
          <w:rFonts w:ascii="Arial" w:hAnsi="Arial" w:cs="Arial"/>
          <w:color w:val="auto"/>
          <w:spacing w:val="20"/>
          <w:szCs w:val="21"/>
          <w:highlight w:val="none"/>
          <w:u w:val="single"/>
        </w:rPr>
      </w:pPr>
    </w:p>
    <w:p w14:paraId="101D22F9">
      <w:pPr>
        <w:snapToGrid w:val="0"/>
        <w:spacing w:before="50" w:afterLines="50" w:line="440" w:lineRule="exact"/>
        <w:jc w:val="left"/>
        <w:rPr>
          <w:rFonts w:ascii="Arial" w:hAnsi="Arial" w:cs="Arial"/>
          <w:color w:val="auto"/>
          <w:spacing w:val="20"/>
          <w:szCs w:val="21"/>
          <w:highlight w:val="none"/>
          <w:u w:val="single"/>
        </w:rPr>
        <w:sectPr>
          <w:pgSz w:w="11906" w:h="16838"/>
          <w:pgMar w:top="1418" w:right="1133" w:bottom="1246" w:left="1418" w:header="851" w:footer="992" w:gutter="0"/>
          <w:cols w:space="720" w:num="1"/>
          <w:docGrid w:linePitch="312" w:charSpace="0"/>
        </w:sectPr>
      </w:pPr>
    </w:p>
    <w:p w14:paraId="6C23E351">
      <w:pPr>
        <w:snapToGrid w:val="0"/>
        <w:spacing w:before="50" w:afterLines="50"/>
        <w:jc w:val="left"/>
        <w:rPr>
          <w:rFonts w:ascii="Arial" w:hAnsi="Arial" w:cs="Arial"/>
          <w:b/>
          <w:color w:val="auto"/>
          <w:szCs w:val="21"/>
          <w:highlight w:val="none"/>
        </w:rPr>
      </w:pPr>
      <w:r>
        <w:rPr>
          <w:rFonts w:hint="eastAsia" w:ascii="Arial" w:hAnsi="Arial" w:cs="Arial"/>
          <w:color w:val="auto"/>
          <w:szCs w:val="21"/>
          <w:highlight w:val="none"/>
        </w:rPr>
        <w:t>8</w:t>
      </w:r>
      <w:r>
        <w:rPr>
          <w:rFonts w:ascii="Arial" w:hAnsi="Arial" w:cs="Arial"/>
          <w:color w:val="auto"/>
          <w:szCs w:val="21"/>
          <w:highlight w:val="none"/>
        </w:rPr>
        <w:t>．近年供应商类似成功案例的业绩证明（附中标书或合同复印件）。</w:t>
      </w:r>
    </w:p>
    <w:p w14:paraId="0BEDBB15">
      <w:pPr>
        <w:snapToGrid w:val="0"/>
        <w:spacing w:before="50" w:afterLines="50"/>
        <w:jc w:val="center"/>
        <w:rPr>
          <w:rFonts w:ascii="Arial" w:hAnsi="Arial" w:cs="Arial"/>
          <w:color w:val="auto"/>
          <w:szCs w:val="21"/>
          <w:highlight w:val="none"/>
        </w:rPr>
      </w:pPr>
      <w:r>
        <w:rPr>
          <w:rFonts w:ascii="Arial" w:hAnsi="Arial" w:cs="Arial"/>
          <w:b/>
          <w:color w:val="auto"/>
          <w:szCs w:val="21"/>
          <w:highlight w:val="none"/>
        </w:rPr>
        <w:t>类似成功案例业绩一览表</w:t>
      </w:r>
    </w:p>
    <w:tbl>
      <w:tblPr>
        <w:tblStyle w:val="52"/>
        <w:tblW w:w="1469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6"/>
        <w:gridCol w:w="2820"/>
        <w:gridCol w:w="4095"/>
        <w:gridCol w:w="1965"/>
        <w:gridCol w:w="1200"/>
        <w:gridCol w:w="1335"/>
        <w:gridCol w:w="2790"/>
      </w:tblGrid>
      <w:tr w14:paraId="243ECB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09" w:hRule="atLeast"/>
        </w:trPr>
        <w:tc>
          <w:tcPr>
            <w:tcW w:w="486" w:type="dxa"/>
            <w:tcBorders>
              <w:top w:val="single" w:color="auto" w:sz="4" w:space="0"/>
              <w:left w:val="single" w:color="auto" w:sz="4" w:space="0"/>
              <w:bottom w:val="single" w:color="auto" w:sz="4" w:space="0"/>
              <w:right w:val="single" w:color="auto" w:sz="4" w:space="0"/>
            </w:tcBorders>
            <w:vAlign w:val="center"/>
          </w:tcPr>
          <w:p w14:paraId="1A91524B">
            <w:pPr>
              <w:snapToGrid w:val="0"/>
              <w:spacing w:line="240" w:lineRule="exact"/>
              <w:jc w:val="center"/>
              <w:rPr>
                <w:rFonts w:ascii="Arial" w:hAnsi="Arial" w:cs="Arial"/>
                <w:color w:val="auto"/>
                <w:szCs w:val="21"/>
                <w:highlight w:val="none"/>
              </w:rPr>
            </w:pPr>
            <w:r>
              <w:rPr>
                <w:rFonts w:ascii="Arial" w:hAnsi="Arial" w:cs="Arial"/>
                <w:color w:val="auto"/>
                <w:szCs w:val="21"/>
                <w:highlight w:val="none"/>
              </w:rPr>
              <w:t>序号</w:t>
            </w:r>
          </w:p>
        </w:tc>
        <w:tc>
          <w:tcPr>
            <w:tcW w:w="2820" w:type="dxa"/>
            <w:tcBorders>
              <w:top w:val="single" w:color="auto" w:sz="4" w:space="0"/>
              <w:left w:val="single" w:color="auto" w:sz="4" w:space="0"/>
              <w:bottom w:val="single" w:color="auto" w:sz="4" w:space="0"/>
              <w:right w:val="single" w:color="auto" w:sz="4" w:space="0"/>
            </w:tcBorders>
            <w:vAlign w:val="center"/>
          </w:tcPr>
          <w:p w14:paraId="4A558159">
            <w:pPr>
              <w:snapToGrid w:val="0"/>
              <w:spacing w:line="240" w:lineRule="exact"/>
              <w:jc w:val="center"/>
              <w:rPr>
                <w:rFonts w:ascii="Arial" w:hAnsi="Arial" w:cs="Arial"/>
                <w:color w:val="auto"/>
                <w:szCs w:val="21"/>
                <w:highlight w:val="none"/>
              </w:rPr>
            </w:pPr>
            <w:r>
              <w:rPr>
                <w:rFonts w:ascii="Arial" w:hAnsi="Arial" w:cs="Arial"/>
                <w:color w:val="auto"/>
                <w:szCs w:val="21"/>
                <w:highlight w:val="none"/>
              </w:rPr>
              <w:t>甲方单位名称</w:t>
            </w:r>
          </w:p>
        </w:tc>
        <w:tc>
          <w:tcPr>
            <w:tcW w:w="4095" w:type="dxa"/>
            <w:tcBorders>
              <w:top w:val="single" w:color="auto" w:sz="4" w:space="0"/>
              <w:left w:val="single" w:color="auto" w:sz="4" w:space="0"/>
              <w:bottom w:val="single" w:color="auto" w:sz="4" w:space="0"/>
              <w:right w:val="single" w:color="auto" w:sz="4" w:space="0"/>
            </w:tcBorders>
            <w:vAlign w:val="center"/>
          </w:tcPr>
          <w:p w14:paraId="0191DA4E">
            <w:pPr>
              <w:snapToGrid w:val="0"/>
              <w:spacing w:line="240" w:lineRule="exact"/>
              <w:jc w:val="center"/>
              <w:rPr>
                <w:rFonts w:ascii="Arial" w:hAnsi="Arial" w:cs="Arial"/>
                <w:color w:val="auto"/>
                <w:szCs w:val="21"/>
                <w:highlight w:val="none"/>
              </w:rPr>
            </w:pPr>
            <w:r>
              <w:rPr>
                <w:rFonts w:ascii="Arial" w:hAnsi="Arial" w:cs="Arial"/>
                <w:color w:val="auto"/>
                <w:szCs w:val="21"/>
                <w:highlight w:val="none"/>
              </w:rPr>
              <w:t>项目名称或服务内容</w:t>
            </w:r>
          </w:p>
        </w:tc>
        <w:tc>
          <w:tcPr>
            <w:tcW w:w="1965" w:type="dxa"/>
            <w:tcBorders>
              <w:top w:val="single" w:color="auto" w:sz="4" w:space="0"/>
              <w:left w:val="single" w:color="auto" w:sz="4" w:space="0"/>
              <w:bottom w:val="single" w:color="auto" w:sz="4" w:space="0"/>
              <w:right w:val="single" w:color="auto" w:sz="4" w:space="0"/>
            </w:tcBorders>
            <w:vAlign w:val="center"/>
          </w:tcPr>
          <w:p w14:paraId="0873E0DF">
            <w:pPr>
              <w:snapToGrid w:val="0"/>
              <w:spacing w:line="240" w:lineRule="exact"/>
              <w:jc w:val="center"/>
              <w:rPr>
                <w:rFonts w:ascii="Arial" w:hAnsi="Arial" w:cs="Arial"/>
                <w:color w:val="auto"/>
                <w:szCs w:val="21"/>
                <w:highlight w:val="none"/>
              </w:rPr>
            </w:pPr>
            <w:r>
              <w:rPr>
                <w:rFonts w:ascii="Arial" w:hAnsi="Arial" w:cs="Arial"/>
                <w:color w:val="auto"/>
                <w:szCs w:val="21"/>
                <w:highlight w:val="none"/>
              </w:rPr>
              <w:t>服务周期或时间（年/月）</w:t>
            </w:r>
          </w:p>
        </w:tc>
        <w:tc>
          <w:tcPr>
            <w:tcW w:w="1200" w:type="dxa"/>
            <w:tcBorders>
              <w:top w:val="single" w:color="auto" w:sz="4" w:space="0"/>
              <w:left w:val="single" w:color="auto" w:sz="4" w:space="0"/>
              <w:bottom w:val="single" w:color="auto" w:sz="4" w:space="0"/>
              <w:right w:val="single" w:color="auto" w:sz="4" w:space="0"/>
            </w:tcBorders>
            <w:vAlign w:val="center"/>
          </w:tcPr>
          <w:p w14:paraId="23748B12">
            <w:pPr>
              <w:snapToGrid w:val="0"/>
              <w:spacing w:line="240" w:lineRule="exact"/>
              <w:jc w:val="center"/>
              <w:rPr>
                <w:rFonts w:ascii="Arial" w:hAnsi="Arial" w:cs="Arial"/>
                <w:color w:val="auto"/>
                <w:szCs w:val="21"/>
                <w:highlight w:val="none"/>
              </w:rPr>
            </w:pPr>
            <w:r>
              <w:rPr>
                <w:rFonts w:ascii="Arial" w:hAnsi="Arial" w:cs="Arial"/>
                <w:color w:val="auto"/>
                <w:szCs w:val="21"/>
                <w:highlight w:val="none"/>
              </w:rPr>
              <w:t>团队人数</w:t>
            </w:r>
          </w:p>
        </w:tc>
        <w:tc>
          <w:tcPr>
            <w:tcW w:w="1335" w:type="dxa"/>
            <w:tcBorders>
              <w:top w:val="single" w:color="auto" w:sz="4" w:space="0"/>
              <w:left w:val="single" w:color="auto" w:sz="4" w:space="0"/>
              <w:bottom w:val="single" w:color="auto" w:sz="4" w:space="0"/>
              <w:right w:val="single" w:color="auto" w:sz="4" w:space="0"/>
            </w:tcBorders>
            <w:vAlign w:val="center"/>
          </w:tcPr>
          <w:p w14:paraId="7EC5E915">
            <w:pPr>
              <w:snapToGrid w:val="0"/>
              <w:spacing w:line="240" w:lineRule="exact"/>
              <w:jc w:val="center"/>
              <w:rPr>
                <w:rFonts w:ascii="Arial" w:hAnsi="Arial" w:cs="Arial"/>
                <w:color w:val="auto"/>
                <w:szCs w:val="21"/>
                <w:highlight w:val="none"/>
              </w:rPr>
            </w:pPr>
            <w:r>
              <w:rPr>
                <w:rFonts w:ascii="Arial" w:hAnsi="Arial" w:cs="Arial"/>
                <w:color w:val="auto"/>
                <w:szCs w:val="21"/>
                <w:highlight w:val="none"/>
              </w:rPr>
              <w:t>合同总价（元）</w:t>
            </w:r>
          </w:p>
        </w:tc>
        <w:tc>
          <w:tcPr>
            <w:tcW w:w="2790" w:type="dxa"/>
            <w:tcBorders>
              <w:top w:val="single" w:color="auto" w:sz="4" w:space="0"/>
              <w:left w:val="single" w:color="auto" w:sz="4" w:space="0"/>
              <w:bottom w:val="single" w:color="auto" w:sz="4" w:space="0"/>
              <w:right w:val="single" w:color="auto" w:sz="4" w:space="0"/>
            </w:tcBorders>
            <w:vAlign w:val="center"/>
          </w:tcPr>
          <w:p w14:paraId="4DE99629">
            <w:pPr>
              <w:jc w:val="center"/>
              <w:rPr>
                <w:rFonts w:ascii="Arial" w:hAnsi="Arial" w:cs="Arial"/>
                <w:color w:val="auto"/>
                <w:szCs w:val="21"/>
                <w:highlight w:val="none"/>
              </w:rPr>
            </w:pPr>
            <w:r>
              <w:rPr>
                <w:rFonts w:ascii="Arial" w:hAnsi="Arial" w:cs="Arial"/>
                <w:color w:val="auto"/>
                <w:szCs w:val="21"/>
                <w:highlight w:val="none"/>
              </w:rPr>
              <w:t>采购单位联系人及联系电话</w:t>
            </w:r>
          </w:p>
        </w:tc>
      </w:tr>
      <w:tr w14:paraId="396F7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486" w:type="dxa"/>
            <w:tcBorders>
              <w:top w:val="single" w:color="auto" w:sz="4" w:space="0"/>
              <w:left w:val="single" w:color="auto" w:sz="4" w:space="0"/>
              <w:bottom w:val="single" w:color="auto" w:sz="4" w:space="0"/>
              <w:right w:val="single" w:color="auto" w:sz="4" w:space="0"/>
            </w:tcBorders>
          </w:tcPr>
          <w:p w14:paraId="1E29265B">
            <w:pPr>
              <w:snapToGrid w:val="0"/>
              <w:spacing w:line="240" w:lineRule="exact"/>
              <w:jc w:val="left"/>
              <w:rPr>
                <w:rFonts w:ascii="Arial" w:hAnsi="Arial" w:cs="Arial"/>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tcPr>
          <w:p w14:paraId="2B7EC916">
            <w:pPr>
              <w:snapToGrid w:val="0"/>
              <w:spacing w:line="240" w:lineRule="exact"/>
              <w:jc w:val="left"/>
              <w:rPr>
                <w:rFonts w:ascii="Arial" w:hAnsi="Arial" w:cs="Arial"/>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tcPr>
          <w:p w14:paraId="2F63E73F">
            <w:pPr>
              <w:snapToGrid w:val="0"/>
              <w:spacing w:line="240" w:lineRule="exact"/>
              <w:jc w:val="left"/>
              <w:rPr>
                <w:rFonts w:ascii="Arial" w:hAnsi="Arial" w:cs="Arial"/>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tcPr>
          <w:p w14:paraId="2D660453">
            <w:pPr>
              <w:snapToGrid w:val="0"/>
              <w:spacing w:line="240" w:lineRule="exact"/>
              <w:jc w:val="left"/>
              <w:rPr>
                <w:rFonts w:ascii="Arial" w:hAnsi="Arial" w:cs="Arial"/>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tcPr>
          <w:p w14:paraId="1AAABB0B">
            <w:pPr>
              <w:snapToGrid w:val="0"/>
              <w:spacing w:line="240" w:lineRule="exact"/>
              <w:jc w:val="left"/>
              <w:rPr>
                <w:rFonts w:ascii="Arial" w:hAnsi="Arial" w:cs="Arial"/>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tcPr>
          <w:p w14:paraId="4ACA0C15">
            <w:pPr>
              <w:snapToGrid w:val="0"/>
              <w:spacing w:line="240" w:lineRule="exact"/>
              <w:jc w:val="left"/>
              <w:rPr>
                <w:rFonts w:ascii="Arial" w:hAnsi="Arial" w:cs="Arial"/>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tcPr>
          <w:p w14:paraId="0852A95B">
            <w:pPr>
              <w:snapToGrid w:val="0"/>
              <w:spacing w:line="240" w:lineRule="exact"/>
              <w:jc w:val="left"/>
              <w:rPr>
                <w:rFonts w:ascii="Arial" w:hAnsi="Arial" w:cs="Arial"/>
                <w:color w:val="auto"/>
                <w:szCs w:val="21"/>
                <w:highlight w:val="none"/>
              </w:rPr>
            </w:pPr>
          </w:p>
        </w:tc>
      </w:tr>
      <w:tr w14:paraId="419060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486" w:type="dxa"/>
            <w:tcBorders>
              <w:top w:val="single" w:color="auto" w:sz="4" w:space="0"/>
              <w:left w:val="single" w:color="auto" w:sz="4" w:space="0"/>
              <w:bottom w:val="single" w:color="auto" w:sz="4" w:space="0"/>
              <w:right w:val="single" w:color="auto" w:sz="4" w:space="0"/>
            </w:tcBorders>
          </w:tcPr>
          <w:p w14:paraId="78F7EE6C">
            <w:pPr>
              <w:snapToGrid w:val="0"/>
              <w:spacing w:before="50" w:afterLines="50" w:line="400" w:lineRule="exact"/>
              <w:jc w:val="left"/>
              <w:rPr>
                <w:rFonts w:ascii="Arial" w:hAnsi="Arial" w:cs="Arial"/>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tcPr>
          <w:p w14:paraId="29EEB0DE">
            <w:pPr>
              <w:snapToGrid w:val="0"/>
              <w:spacing w:before="50" w:afterLines="50" w:line="400" w:lineRule="exact"/>
              <w:jc w:val="left"/>
              <w:rPr>
                <w:rFonts w:ascii="Arial" w:hAnsi="Arial" w:cs="Arial"/>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tcPr>
          <w:p w14:paraId="4DA0A323">
            <w:pPr>
              <w:snapToGrid w:val="0"/>
              <w:spacing w:before="50" w:afterLines="50" w:line="400" w:lineRule="exact"/>
              <w:jc w:val="left"/>
              <w:rPr>
                <w:rFonts w:ascii="Arial" w:hAnsi="Arial" w:cs="Arial"/>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tcPr>
          <w:p w14:paraId="22D44210">
            <w:pPr>
              <w:snapToGrid w:val="0"/>
              <w:spacing w:before="50" w:afterLines="50" w:line="400" w:lineRule="exact"/>
              <w:jc w:val="left"/>
              <w:rPr>
                <w:rFonts w:ascii="Arial" w:hAnsi="Arial" w:cs="Arial"/>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tcPr>
          <w:p w14:paraId="6D777019">
            <w:pPr>
              <w:snapToGrid w:val="0"/>
              <w:spacing w:before="50" w:afterLines="50" w:line="400" w:lineRule="exact"/>
              <w:jc w:val="left"/>
              <w:rPr>
                <w:rFonts w:ascii="Arial" w:hAnsi="Arial" w:cs="Arial"/>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tcPr>
          <w:p w14:paraId="5180A95D">
            <w:pPr>
              <w:snapToGrid w:val="0"/>
              <w:spacing w:before="50" w:afterLines="50" w:line="400" w:lineRule="exact"/>
              <w:jc w:val="left"/>
              <w:rPr>
                <w:rFonts w:ascii="Arial" w:hAnsi="Arial" w:cs="Arial"/>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tcPr>
          <w:p w14:paraId="0A0CE93C">
            <w:pPr>
              <w:snapToGrid w:val="0"/>
              <w:spacing w:before="50" w:afterLines="50" w:line="400" w:lineRule="exact"/>
              <w:jc w:val="left"/>
              <w:rPr>
                <w:rFonts w:ascii="Arial" w:hAnsi="Arial" w:cs="Arial"/>
                <w:color w:val="auto"/>
                <w:szCs w:val="21"/>
                <w:highlight w:val="none"/>
              </w:rPr>
            </w:pPr>
          </w:p>
        </w:tc>
      </w:tr>
      <w:tr w14:paraId="45CC7D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486" w:type="dxa"/>
            <w:tcBorders>
              <w:top w:val="single" w:color="auto" w:sz="4" w:space="0"/>
              <w:left w:val="single" w:color="auto" w:sz="4" w:space="0"/>
              <w:bottom w:val="single" w:color="auto" w:sz="4" w:space="0"/>
              <w:right w:val="single" w:color="auto" w:sz="4" w:space="0"/>
            </w:tcBorders>
          </w:tcPr>
          <w:p w14:paraId="240732E3">
            <w:pPr>
              <w:snapToGrid w:val="0"/>
              <w:spacing w:before="50" w:afterLines="50" w:line="400" w:lineRule="exact"/>
              <w:jc w:val="left"/>
              <w:rPr>
                <w:rFonts w:ascii="Arial" w:hAnsi="Arial" w:cs="Arial"/>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tcPr>
          <w:p w14:paraId="186106F4">
            <w:pPr>
              <w:snapToGrid w:val="0"/>
              <w:spacing w:before="50" w:afterLines="50" w:line="400" w:lineRule="exact"/>
              <w:jc w:val="left"/>
              <w:rPr>
                <w:rFonts w:ascii="Arial" w:hAnsi="Arial" w:cs="Arial"/>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tcPr>
          <w:p w14:paraId="2EF45896">
            <w:pPr>
              <w:snapToGrid w:val="0"/>
              <w:spacing w:before="50" w:afterLines="50" w:line="400" w:lineRule="exact"/>
              <w:jc w:val="left"/>
              <w:rPr>
                <w:rFonts w:ascii="Arial" w:hAnsi="Arial" w:cs="Arial"/>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tcPr>
          <w:p w14:paraId="4AF7337D">
            <w:pPr>
              <w:snapToGrid w:val="0"/>
              <w:spacing w:before="50" w:afterLines="50" w:line="400" w:lineRule="exact"/>
              <w:jc w:val="left"/>
              <w:rPr>
                <w:rFonts w:ascii="Arial" w:hAnsi="Arial" w:cs="Arial"/>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tcPr>
          <w:p w14:paraId="75659FAD">
            <w:pPr>
              <w:snapToGrid w:val="0"/>
              <w:spacing w:before="50" w:afterLines="50" w:line="400" w:lineRule="exact"/>
              <w:jc w:val="left"/>
              <w:rPr>
                <w:rFonts w:ascii="Arial" w:hAnsi="Arial" w:cs="Arial"/>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tcPr>
          <w:p w14:paraId="12958604">
            <w:pPr>
              <w:snapToGrid w:val="0"/>
              <w:spacing w:before="50" w:afterLines="50" w:line="400" w:lineRule="exact"/>
              <w:jc w:val="left"/>
              <w:rPr>
                <w:rFonts w:ascii="Arial" w:hAnsi="Arial" w:cs="Arial"/>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tcPr>
          <w:p w14:paraId="51E851B8">
            <w:pPr>
              <w:snapToGrid w:val="0"/>
              <w:spacing w:before="50" w:afterLines="50" w:line="400" w:lineRule="exact"/>
              <w:jc w:val="left"/>
              <w:rPr>
                <w:rFonts w:ascii="Arial" w:hAnsi="Arial" w:cs="Arial"/>
                <w:color w:val="auto"/>
                <w:szCs w:val="21"/>
                <w:highlight w:val="none"/>
              </w:rPr>
            </w:pPr>
          </w:p>
        </w:tc>
      </w:tr>
      <w:tr w14:paraId="45FEF2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486" w:type="dxa"/>
            <w:tcBorders>
              <w:top w:val="single" w:color="auto" w:sz="4" w:space="0"/>
              <w:left w:val="single" w:color="auto" w:sz="4" w:space="0"/>
              <w:bottom w:val="single" w:color="auto" w:sz="4" w:space="0"/>
              <w:right w:val="single" w:color="auto" w:sz="4" w:space="0"/>
            </w:tcBorders>
          </w:tcPr>
          <w:p w14:paraId="22496FB4">
            <w:pPr>
              <w:snapToGrid w:val="0"/>
              <w:spacing w:before="50" w:afterLines="50" w:line="400" w:lineRule="exact"/>
              <w:jc w:val="left"/>
              <w:rPr>
                <w:rFonts w:ascii="Arial" w:hAnsi="Arial" w:cs="Arial"/>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tcPr>
          <w:p w14:paraId="343DA9E7">
            <w:pPr>
              <w:snapToGrid w:val="0"/>
              <w:spacing w:before="50" w:afterLines="50" w:line="400" w:lineRule="exact"/>
              <w:jc w:val="left"/>
              <w:rPr>
                <w:rFonts w:ascii="Arial" w:hAnsi="Arial" w:cs="Arial"/>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tcPr>
          <w:p w14:paraId="4BD0DEF7">
            <w:pPr>
              <w:snapToGrid w:val="0"/>
              <w:spacing w:before="50" w:afterLines="50" w:line="400" w:lineRule="exact"/>
              <w:jc w:val="left"/>
              <w:rPr>
                <w:rFonts w:ascii="Arial" w:hAnsi="Arial" w:cs="Arial"/>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tcPr>
          <w:p w14:paraId="09F1BE6C">
            <w:pPr>
              <w:snapToGrid w:val="0"/>
              <w:spacing w:before="50" w:afterLines="50" w:line="400" w:lineRule="exact"/>
              <w:jc w:val="left"/>
              <w:rPr>
                <w:rFonts w:ascii="Arial" w:hAnsi="Arial" w:cs="Arial"/>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tcPr>
          <w:p w14:paraId="2A07B55A">
            <w:pPr>
              <w:snapToGrid w:val="0"/>
              <w:spacing w:before="50" w:afterLines="50" w:line="400" w:lineRule="exact"/>
              <w:jc w:val="left"/>
              <w:rPr>
                <w:rFonts w:ascii="Arial" w:hAnsi="Arial" w:cs="Arial"/>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tcPr>
          <w:p w14:paraId="0234F037">
            <w:pPr>
              <w:snapToGrid w:val="0"/>
              <w:spacing w:before="50" w:afterLines="50" w:line="400" w:lineRule="exact"/>
              <w:jc w:val="left"/>
              <w:rPr>
                <w:rFonts w:ascii="Arial" w:hAnsi="Arial" w:cs="Arial"/>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tcPr>
          <w:p w14:paraId="73B0E561">
            <w:pPr>
              <w:snapToGrid w:val="0"/>
              <w:spacing w:before="50" w:afterLines="50" w:line="400" w:lineRule="exact"/>
              <w:jc w:val="left"/>
              <w:rPr>
                <w:rFonts w:ascii="Arial" w:hAnsi="Arial" w:cs="Arial"/>
                <w:color w:val="auto"/>
                <w:szCs w:val="21"/>
                <w:highlight w:val="none"/>
              </w:rPr>
            </w:pPr>
          </w:p>
        </w:tc>
      </w:tr>
      <w:tr w14:paraId="4311A8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486" w:type="dxa"/>
            <w:tcBorders>
              <w:top w:val="single" w:color="auto" w:sz="4" w:space="0"/>
              <w:left w:val="single" w:color="auto" w:sz="4" w:space="0"/>
              <w:bottom w:val="single" w:color="auto" w:sz="4" w:space="0"/>
              <w:right w:val="single" w:color="auto" w:sz="4" w:space="0"/>
            </w:tcBorders>
          </w:tcPr>
          <w:p w14:paraId="62A42987">
            <w:pPr>
              <w:snapToGrid w:val="0"/>
              <w:spacing w:before="50" w:afterLines="50" w:line="400" w:lineRule="exact"/>
              <w:jc w:val="left"/>
              <w:rPr>
                <w:rFonts w:ascii="Arial" w:hAnsi="Arial" w:cs="Arial"/>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tcPr>
          <w:p w14:paraId="4424A19D">
            <w:pPr>
              <w:snapToGrid w:val="0"/>
              <w:spacing w:before="50" w:afterLines="50" w:line="400" w:lineRule="exact"/>
              <w:jc w:val="left"/>
              <w:rPr>
                <w:rFonts w:ascii="Arial" w:hAnsi="Arial" w:cs="Arial"/>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tcPr>
          <w:p w14:paraId="45A767BE">
            <w:pPr>
              <w:snapToGrid w:val="0"/>
              <w:spacing w:before="50" w:afterLines="50" w:line="400" w:lineRule="exact"/>
              <w:jc w:val="left"/>
              <w:rPr>
                <w:rFonts w:ascii="Arial" w:hAnsi="Arial" w:cs="Arial"/>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tcPr>
          <w:p w14:paraId="11DDFBD1">
            <w:pPr>
              <w:snapToGrid w:val="0"/>
              <w:spacing w:before="50" w:afterLines="50" w:line="400" w:lineRule="exact"/>
              <w:jc w:val="left"/>
              <w:rPr>
                <w:rFonts w:ascii="Arial" w:hAnsi="Arial" w:cs="Arial"/>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tcPr>
          <w:p w14:paraId="7E8CA1E2">
            <w:pPr>
              <w:snapToGrid w:val="0"/>
              <w:spacing w:before="50" w:afterLines="50" w:line="400" w:lineRule="exact"/>
              <w:jc w:val="left"/>
              <w:rPr>
                <w:rFonts w:ascii="Arial" w:hAnsi="Arial" w:cs="Arial"/>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tcPr>
          <w:p w14:paraId="2FC84705">
            <w:pPr>
              <w:snapToGrid w:val="0"/>
              <w:spacing w:before="50" w:afterLines="50" w:line="400" w:lineRule="exact"/>
              <w:jc w:val="left"/>
              <w:rPr>
                <w:rFonts w:ascii="Arial" w:hAnsi="Arial" w:cs="Arial"/>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tcPr>
          <w:p w14:paraId="212B083F">
            <w:pPr>
              <w:snapToGrid w:val="0"/>
              <w:spacing w:before="50" w:afterLines="50" w:line="400" w:lineRule="exact"/>
              <w:jc w:val="left"/>
              <w:rPr>
                <w:rFonts w:ascii="Arial" w:hAnsi="Arial" w:cs="Arial"/>
                <w:color w:val="auto"/>
                <w:szCs w:val="21"/>
                <w:highlight w:val="none"/>
              </w:rPr>
            </w:pPr>
          </w:p>
        </w:tc>
      </w:tr>
    </w:tbl>
    <w:p w14:paraId="3B12C248">
      <w:pPr>
        <w:pStyle w:val="16"/>
        <w:snapToGrid w:val="0"/>
        <w:rPr>
          <w:rFonts w:eastAsia="宋体"/>
          <w:color w:val="auto"/>
          <w:sz w:val="21"/>
          <w:szCs w:val="21"/>
          <w:highlight w:val="none"/>
        </w:rPr>
      </w:pPr>
      <w:r>
        <w:rPr>
          <w:rFonts w:eastAsia="宋体"/>
          <w:color w:val="auto"/>
          <w:sz w:val="21"/>
          <w:szCs w:val="21"/>
          <w:highlight w:val="none"/>
        </w:rPr>
        <w:t>注：</w:t>
      </w:r>
    </w:p>
    <w:p w14:paraId="6AE72169">
      <w:pPr>
        <w:pStyle w:val="16"/>
        <w:snapToGrid w:val="0"/>
        <w:rPr>
          <w:rFonts w:eastAsia="宋体"/>
          <w:color w:val="auto"/>
          <w:sz w:val="21"/>
          <w:szCs w:val="21"/>
          <w:highlight w:val="none"/>
        </w:rPr>
      </w:pPr>
      <w:r>
        <w:rPr>
          <w:rFonts w:eastAsia="宋体"/>
          <w:color w:val="auto"/>
          <w:szCs w:val="21"/>
          <w:highlight w:val="none"/>
        </w:rPr>
        <w:t>（1）</w:t>
      </w:r>
      <w:r>
        <w:rPr>
          <w:rFonts w:eastAsia="宋体"/>
          <w:color w:val="auto"/>
          <w:sz w:val="21"/>
          <w:szCs w:val="21"/>
          <w:highlight w:val="none"/>
        </w:rPr>
        <w:t>未附证明材料的业绩无效，证明材料见第四章《评审方法及标准》规定</w:t>
      </w:r>
    </w:p>
    <w:p w14:paraId="20996E4B">
      <w:pPr>
        <w:pStyle w:val="16"/>
        <w:snapToGrid w:val="0"/>
        <w:rPr>
          <w:rFonts w:eastAsia="宋体"/>
          <w:color w:val="auto"/>
          <w:sz w:val="21"/>
          <w:szCs w:val="21"/>
          <w:highlight w:val="none"/>
        </w:rPr>
      </w:pPr>
      <w:r>
        <w:rPr>
          <w:rFonts w:eastAsia="宋体"/>
          <w:color w:val="auto"/>
          <w:szCs w:val="21"/>
          <w:highlight w:val="none"/>
        </w:rPr>
        <w:t>（2）</w:t>
      </w:r>
      <w:r>
        <w:rPr>
          <w:rFonts w:eastAsia="宋体"/>
          <w:color w:val="auto"/>
          <w:sz w:val="21"/>
          <w:szCs w:val="21"/>
          <w:highlight w:val="none"/>
        </w:rPr>
        <w:t>类似项目的定义见第四章《评审方法及标准》规定。</w:t>
      </w:r>
    </w:p>
    <w:p w14:paraId="016044E8">
      <w:pPr>
        <w:rPr>
          <w:rFonts w:ascii="Arial" w:hAnsi="Arial" w:cs="Arial"/>
          <w:color w:val="auto"/>
          <w:highlight w:val="none"/>
        </w:rPr>
      </w:pPr>
      <w:r>
        <w:rPr>
          <w:rFonts w:ascii="Arial" w:hAnsi="Arial" w:cs="Arial"/>
          <w:color w:val="auto"/>
          <w:szCs w:val="21"/>
          <w:highlight w:val="none"/>
        </w:rPr>
        <w:t>（3）</w:t>
      </w:r>
      <w:bookmarkStart w:id="101" w:name="_Hlk19049505"/>
      <w:r>
        <w:rPr>
          <w:rFonts w:ascii="Arial" w:hAnsi="Arial" w:cs="Arial"/>
          <w:color w:val="auto"/>
          <w:highlight w:val="none"/>
        </w:rPr>
        <w:t>本表可拓展。</w:t>
      </w:r>
      <w:bookmarkEnd w:id="101"/>
    </w:p>
    <w:p w14:paraId="086F64FA">
      <w:pPr>
        <w:snapToGrid w:val="0"/>
        <w:spacing w:before="50"/>
        <w:jc w:val="left"/>
        <w:rPr>
          <w:rFonts w:ascii="Arial" w:hAnsi="Arial" w:cs="Arial"/>
          <w:color w:val="auto"/>
          <w:szCs w:val="21"/>
          <w:highlight w:val="none"/>
        </w:rPr>
      </w:pPr>
      <w:bookmarkStart w:id="102" w:name="_Hlk88990617"/>
    </w:p>
    <w:p w14:paraId="554AE5A1">
      <w:pPr>
        <w:snapToGrid w:val="0"/>
        <w:spacing w:before="50"/>
        <w:jc w:val="left"/>
        <w:rPr>
          <w:rFonts w:ascii="Arial" w:hAnsi="Arial" w:cs="Arial"/>
          <w:color w:val="auto"/>
          <w:szCs w:val="21"/>
          <w:highlight w:val="none"/>
        </w:rPr>
      </w:pPr>
      <w:r>
        <w:rPr>
          <w:rFonts w:ascii="Arial" w:hAnsi="Arial" w:cs="Arial"/>
          <w:color w:val="auto"/>
          <w:szCs w:val="21"/>
          <w:highlight w:val="none"/>
        </w:rPr>
        <w:t>供应商名称(电子签章)：</w:t>
      </w:r>
      <w:bookmarkEnd w:id="102"/>
      <w:r>
        <w:rPr>
          <w:rFonts w:ascii="Arial" w:hAnsi="Arial" w:cs="Arial"/>
          <w:color w:val="auto"/>
          <w:szCs w:val="21"/>
          <w:highlight w:val="none"/>
        </w:rPr>
        <w:t xml:space="preserve">                                            年    月   日</w:t>
      </w:r>
    </w:p>
    <w:p w14:paraId="356CEF9F">
      <w:pPr>
        <w:snapToGrid w:val="0"/>
        <w:spacing w:before="50"/>
        <w:jc w:val="left"/>
        <w:rPr>
          <w:rFonts w:ascii="Arial" w:hAnsi="Arial" w:cs="Arial"/>
          <w:color w:val="auto"/>
          <w:szCs w:val="21"/>
          <w:highlight w:val="none"/>
        </w:rPr>
      </w:pPr>
    </w:p>
    <w:p w14:paraId="45E6BE9F">
      <w:pPr>
        <w:snapToGrid w:val="0"/>
        <w:spacing w:before="50" w:afterLines="50"/>
        <w:jc w:val="left"/>
        <w:rPr>
          <w:rFonts w:ascii="Arial" w:hAnsi="Arial" w:cs="Arial"/>
          <w:color w:val="auto"/>
          <w:szCs w:val="21"/>
          <w:highlight w:val="none"/>
        </w:rPr>
        <w:sectPr>
          <w:headerReference r:id="rId19" w:type="default"/>
          <w:pgSz w:w="16838" w:h="11906" w:orient="landscape"/>
          <w:pgMar w:top="1418" w:right="1304" w:bottom="1418" w:left="1304" w:header="851" w:footer="992" w:gutter="0"/>
          <w:cols w:space="720" w:num="1"/>
          <w:docGrid w:linePitch="312" w:charSpace="0"/>
        </w:sectPr>
      </w:pPr>
    </w:p>
    <w:p w14:paraId="49EED836">
      <w:pPr>
        <w:snapToGrid w:val="0"/>
        <w:spacing w:before="50" w:afterLines="50"/>
        <w:jc w:val="left"/>
        <w:outlineLvl w:val="1"/>
        <w:rPr>
          <w:rFonts w:ascii="Arial" w:hAnsi="Arial" w:cs="Arial"/>
          <w:color w:val="auto"/>
          <w:szCs w:val="21"/>
          <w:highlight w:val="none"/>
        </w:rPr>
      </w:pPr>
      <w:bookmarkStart w:id="103" w:name="_Hlk19050322"/>
      <w:r>
        <w:rPr>
          <w:rFonts w:hint="eastAsia" w:ascii="Arial" w:hAnsi="Arial" w:cs="Arial"/>
          <w:color w:val="auto"/>
          <w:szCs w:val="21"/>
          <w:highlight w:val="none"/>
        </w:rPr>
        <w:t>9</w:t>
      </w:r>
      <w:r>
        <w:rPr>
          <w:rFonts w:ascii="Arial" w:hAnsi="Arial" w:cs="Arial"/>
          <w:color w:val="auto"/>
          <w:szCs w:val="21"/>
          <w:highlight w:val="none"/>
        </w:rPr>
        <w:t>．符合政府采购政策的证明材料。</w:t>
      </w:r>
    </w:p>
    <w:p w14:paraId="4ED93FEE">
      <w:pPr>
        <w:rPr>
          <w:rFonts w:ascii="Arial" w:hAnsi="Arial" w:cs="Arial"/>
          <w:color w:val="auto"/>
          <w:szCs w:val="21"/>
          <w:highlight w:val="none"/>
        </w:rPr>
      </w:pPr>
      <w:r>
        <w:rPr>
          <w:rFonts w:hint="eastAsia" w:ascii="Arial" w:hAnsi="Arial" w:cs="Arial"/>
          <w:color w:val="auto"/>
          <w:szCs w:val="21"/>
          <w:highlight w:val="none"/>
        </w:rPr>
        <w:t>9</w:t>
      </w:r>
      <w:r>
        <w:rPr>
          <w:rFonts w:ascii="Arial" w:hAnsi="Arial" w:cs="Arial"/>
          <w:color w:val="auto"/>
          <w:szCs w:val="21"/>
          <w:highlight w:val="none"/>
        </w:rPr>
        <w:t>.1</w:t>
      </w:r>
      <w:r>
        <w:rPr>
          <w:rFonts w:ascii="Arial" w:hAnsi="Arial" w:cs="Arial"/>
          <w:bCs/>
          <w:color w:val="auto"/>
          <w:szCs w:val="21"/>
          <w:highlight w:val="none"/>
        </w:rPr>
        <w:t>中小企业声明函</w:t>
      </w:r>
      <w:r>
        <w:rPr>
          <w:rFonts w:ascii="Arial" w:hAnsi="Arial" w:cs="Arial"/>
          <w:color w:val="auto"/>
          <w:szCs w:val="21"/>
          <w:highlight w:val="none"/>
        </w:rPr>
        <w:t>。</w:t>
      </w:r>
    </w:p>
    <w:p w14:paraId="6E76F93A">
      <w:pPr>
        <w:spacing w:line="360" w:lineRule="auto"/>
        <w:ind w:firstLine="3584" w:firstLineChars="1700"/>
        <w:rPr>
          <w:rFonts w:ascii="Arial" w:hAnsi="Arial" w:cs="Arial"/>
          <w:b/>
          <w:color w:val="auto"/>
          <w:szCs w:val="21"/>
          <w:highlight w:val="none"/>
        </w:rPr>
      </w:pPr>
      <w:bookmarkStart w:id="104" w:name="_Hlk60649458"/>
    </w:p>
    <w:bookmarkEnd w:id="104"/>
    <w:p w14:paraId="0BC766A1">
      <w:pPr>
        <w:spacing w:line="360" w:lineRule="auto"/>
        <w:ind w:firstLine="3584" w:firstLineChars="1700"/>
        <w:rPr>
          <w:rFonts w:ascii="Arial" w:hAnsi="Arial" w:cs="Arial"/>
          <w:b/>
          <w:color w:val="auto"/>
          <w:szCs w:val="21"/>
          <w:highlight w:val="none"/>
        </w:rPr>
      </w:pPr>
      <w:r>
        <w:rPr>
          <w:rFonts w:ascii="Arial" w:hAnsi="Arial" w:cs="Arial"/>
          <w:b/>
          <w:color w:val="auto"/>
          <w:szCs w:val="21"/>
          <w:highlight w:val="none"/>
        </w:rPr>
        <w:t>中小企业声明函（服务）</w:t>
      </w:r>
    </w:p>
    <w:p w14:paraId="0EF8946A">
      <w:pPr>
        <w:spacing w:line="360" w:lineRule="auto"/>
        <w:ind w:firstLine="420"/>
        <w:rPr>
          <w:rFonts w:ascii="Arial" w:hAnsi="Arial" w:cs="Arial"/>
          <w:bCs/>
          <w:color w:val="auto"/>
          <w:szCs w:val="21"/>
          <w:highlight w:val="none"/>
        </w:rPr>
      </w:pPr>
      <w:r>
        <w:rPr>
          <w:rFonts w:ascii="Arial" w:hAnsi="Arial" w:cs="Arial"/>
          <w:bCs/>
          <w:color w:val="auto"/>
          <w:szCs w:val="21"/>
          <w:highlight w:val="none"/>
        </w:rPr>
        <w:t>本公司（联合体）郑重声明，根据《政府采购促进中小企业发展管理办法》（财库﹝2020﹞46 号）的规定，本公司（联合体）参加</w:t>
      </w:r>
      <w:r>
        <w:rPr>
          <w:rFonts w:ascii="Arial" w:hAnsi="Arial" w:cs="Arial"/>
          <w:bCs/>
          <w:color w:val="auto"/>
          <w:szCs w:val="21"/>
          <w:highlight w:val="none"/>
          <w:u w:val="single"/>
        </w:rPr>
        <w:t>（单位名称）</w:t>
      </w:r>
      <w:r>
        <w:rPr>
          <w:rFonts w:ascii="Arial" w:hAnsi="Arial" w:cs="Arial"/>
          <w:bCs/>
          <w:color w:val="auto"/>
          <w:szCs w:val="21"/>
          <w:highlight w:val="none"/>
        </w:rPr>
        <w:t>的</w:t>
      </w:r>
      <w:r>
        <w:rPr>
          <w:rFonts w:ascii="Arial" w:hAnsi="Arial" w:cs="Arial"/>
          <w:bCs/>
          <w:color w:val="auto"/>
          <w:szCs w:val="21"/>
          <w:highlight w:val="none"/>
          <w:u w:val="single"/>
        </w:rPr>
        <w:t>（项目名称）</w:t>
      </w:r>
      <w:r>
        <w:rPr>
          <w:rFonts w:ascii="Arial" w:hAnsi="Arial" w:cs="Arial"/>
          <w:bCs/>
          <w:color w:val="auto"/>
          <w:szCs w:val="21"/>
          <w:highlight w:val="none"/>
        </w:rPr>
        <w:t>采购活动，服务全部由符合政策要求的中小企业承接。相关企业（含联合体中的中小企业、签订分包意向协议的中小企业） 的具体情况如下：</w:t>
      </w:r>
    </w:p>
    <w:p w14:paraId="314E5EF8">
      <w:pPr>
        <w:spacing w:line="360" w:lineRule="auto"/>
        <w:ind w:firstLine="420"/>
        <w:rPr>
          <w:rFonts w:ascii="Arial" w:hAnsi="Arial" w:cs="Arial"/>
          <w:bCs/>
          <w:color w:val="auto"/>
          <w:szCs w:val="21"/>
          <w:highlight w:val="none"/>
        </w:rPr>
      </w:pPr>
      <w:r>
        <w:rPr>
          <w:rFonts w:ascii="Arial" w:hAnsi="Arial" w:cs="Arial"/>
          <w:bCs/>
          <w:color w:val="auto"/>
          <w:szCs w:val="21"/>
          <w:highlight w:val="none"/>
        </w:rPr>
        <w:t>1.</w:t>
      </w:r>
      <w:r>
        <w:rPr>
          <w:rFonts w:ascii="Arial" w:hAnsi="Arial" w:cs="Arial"/>
          <w:bCs/>
          <w:color w:val="auto"/>
          <w:szCs w:val="21"/>
          <w:highlight w:val="none"/>
          <w:u w:val="single"/>
        </w:rPr>
        <w:t>（标的名称）</w:t>
      </w:r>
      <w:r>
        <w:rPr>
          <w:rFonts w:ascii="Arial" w:hAnsi="Arial" w:cs="Arial"/>
          <w:bCs/>
          <w:color w:val="auto"/>
          <w:szCs w:val="21"/>
          <w:highlight w:val="none"/>
        </w:rPr>
        <w:t>，属于</w:t>
      </w:r>
      <w:r>
        <w:rPr>
          <w:rFonts w:ascii="Arial" w:hAnsi="Arial" w:cs="Arial"/>
          <w:bCs/>
          <w:color w:val="auto"/>
          <w:szCs w:val="21"/>
          <w:highlight w:val="none"/>
          <w:u w:val="single"/>
        </w:rPr>
        <w:t>（招标文件中明确的所属行业）</w:t>
      </w:r>
      <w:r>
        <w:rPr>
          <w:rFonts w:ascii="Arial" w:hAnsi="Arial" w:cs="Arial"/>
          <w:bCs/>
          <w:color w:val="auto"/>
          <w:szCs w:val="21"/>
          <w:highlight w:val="none"/>
        </w:rPr>
        <w:t>行业；承接企业为</w:t>
      </w:r>
      <w:r>
        <w:rPr>
          <w:rFonts w:ascii="Arial" w:hAnsi="Arial" w:cs="Arial"/>
          <w:bCs/>
          <w:color w:val="auto"/>
          <w:szCs w:val="21"/>
          <w:highlight w:val="none"/>
          <w:u w:val="single"/>
        </w:rPr>
        <w:t>（企业名称）</w:t>
      </w:r>
      <w:r>
        <w:rPr>
          <w:rFonts w:ascii="Arial" w:hAnsi="Arial" w:cs="Arial"/>
          <w:bCs/>
          <w:color w:val="auto"/>
          <w:szCs w:val="21"/>
          <w:highlight w:val="none"/>
        </w:rPr>
        <w:t>，从业人员人，营业收入为万元，资产总额为万元，属于</w:t>
      </w:r>
      <w:r>
        <w:rPr>
          <w:rFonts w:ascii="Arial" w:hAnsi="Arial" w:cs="Arial"/>
          <w:bCs/>
          <w:color w:val="auto"/>
          <w:szCs w:val="21"/>
          <w:highlight w:val="none"/>
          <w:u w:val="single"/>
        </w:rPr>
        <w:t>（中型企业、小型企业、微型企业）</w:t>
      </w:r>
      <w:r>
        <w:rPr>
          <w:rFonts w:ascii="Arial" w:hAnsi="Arial" w:cs="Arial"/>
          <w:bCs/>
          <w:color w:val="auto"/>
          <w:szCs w:val="21"/>
          <w:highlight w:val="none"/>
        </w:rPr>
        <w:t>；</w:t>
      </w:r>
    </w:p>
    <w:p w14:paraId="28F5B96C">
      <w:pPr>
        <w:spacing w:line="360" w:lineRule="auto"/>
        <w:ind w:firstLine="420"/>
        <w:rPr>
          <w:rFonts w:ascii="Arial" w:hAnsi="Arial" w:cs="Arial"/>
          <w:bCs/>
          <w:color w:val="auto"/>
          <w:szCs w:val="21"/>
          <w:highlight w:val="none"/>
        </w:rPr>
      </w:pPr>
      <w:r>
        <w:rPr>
          <w:rFonts w:ascii="Arial" w:hAnsi="Arial" w:cs="Arial"/>
          <w:bCs/>
          <w:color w:val="auto"/>
          <w:szCs w:val="21"/>
          <w:highlight w:val="none"/>
        </w:rPr>
        <w:t>2.</w:t>
      </w:r>
      <w:r>
        <w:rPr>
          <w:rFonts w:ascii="Arial" w:hAnsi="Arial" w:cs="Arial"/>
          <w:bCs/>
          <w:color w:val="auto"/>
          <w:szCs w:val="21"/>
          <w:highlight w:val="none"/>
          <w:u w:val="single"/>
        </w:rPr>
        <w:t>（标的名称）</w:t>
      </w:r>
      <w:r>
        <w:rPr>
          <w:rFonts w:ascii="Arial" w:hAnsi="Arial" w:cs="Arial"/>
          <w:bCs/>
          <w:color w:val="auto"/>
          <w:szCs w:val="21"/>
          <w:highlight w:val="none"/>
        </w:rPr>
        <w:t>，属于</w:t>
      </w:r>
      <w:r>
        <w:rPr>
          <w:rFonts w:ascii="Arial" w:hAnsi="Arial" w:cs="Arial"/>
          <w:bCs/>
          <w:color w:val="auto"/>
          <w:szCs w:val="21"/>
          <w:highlight w:val="none"/>
          <w:u w:val="single"/>
        </w:rPr>
        <w:t>（招标文件中明确的所属行业）</w:t>
      </w:r>
      <w:r>
        <w:rPr>
          <w:rFonts w:ascii="Arial" w:hAnsi="Arial" w:cs="Arial"/>
          <w:bCs/>
          <w:color w:val="auto"/>
          <w:szCs w:val="21"/>
          <w:highlight w:val="none"/>
        </w:rPr>
        <w:t>行业；承接企业为</w:t>
      </w:r>
      <w:r>
        <w:rPr>
          <w:rFonts w:ascii="Arial" w:hAnsi="Arial" w:cs="Arial"/>
          <w:bCs/>
          <w:color w:val="auto"/>
          <w:szCs w:val="21"/>
          <w:highlight w:val="none"/>
          <w:u w:val="single"/>
        </w:rPr>
        <w:t>（企业名称）</w:t>
      </w:r>
      <w:r>
        <w:rPr>
          <w:rFonts w:ascii="Arial" w:hAnsi="Arial" w:cs="Arial"/>
          <w:bCs/>
          <w:color w:val="auto"/>
          <w:szCs w:val="21"/>
          <w:highlight w:val="none"/>
        </w:rPr>
        <w:t>，从业人员人，营业收入为万元，资产总额为万元，属于</w:t>
      </w:r>
      <w:r>
        <w:rPr>
          <w:rFonts w:ascii="Arial" w:hAnsi="Arial" w:cs="Arial"/>
          <w:bCs/>
          <w:color w:val="auto"/>
          <w:szCs w:val="21"/>
          <w:highlight w:val="none"/>
          <w:u w:val="single"/>
        </w:rPr>
        <w:t>（中型企业、小型企业、微型企业）</w:t>
      </w:r>
      <w:r>
        <w:rPr>
          <w:rFonts w:ascii="Arial" w:hAnsi="Arial" w:cs="Arial"/>
          <w:bCs/>
          <w:color w:val="auto"/>
          <w:szCs w:val="21"/>
          <w:highlight w:val="none"/>
        </w:rPr>
        <w:t>；</w:t>
      </w:r>
    </w:p>
    <w:p w14:paraId="484FED30">
      <w:pPr>
        <w:spacing w:line="360" w:lineRule="auto"/>
        <w:ind w:firstLine="420"/>
        <w:rPr>
          <w:rFonts w:ascii="Arial" w:hAnsi="Arial" w:cs="Arial"/>
          <w:bCs/>
          <w:color w:val="auto"/>
          <w:szCs w:val="21"/>
          <w:highlight w:val="none"/>
        </w:rPr>
      </w:pPr>
      <w:r>
        <w:rPr>
          <w:rFonts w:ascii="Arial" w:hAnsi="Arial" w:cs="Arial"/>
          <w:bCs/>
          <w:color w:val="auto"/>
          <w:szCs w:val="21"/>
          <w:highlight w:val="none"/>
        </w:rPr>
        <w:t>……</w:t>
      </w:r>
    </w:p>
    <w:p w14:paraId="165A81C7">
      <w:pPr>
        <w:spacing w:line="360" w:lineRule="auto"/>
        <w:ind w:firstLine="420"/>
        <w:rPr>
          <w:rFonts w:ascii="Arial" w:hAnsi="Arial" w:cs="Arial"/>
          <w:bCs/>
          <w:color w:val="auto"/>
          <w:szCs w:val="21"/>
          <w:highlight w:val="none"/>
        </w:rPr>
      </w:pPr>
      <w:r>
        <w:rPr>
          <w:rFonts w:ascii="Arial" w:hAnsi="Arial" w:cs="Arial"/>
          <w:bCs/>
          <w:color w:val="auto"/>
          <w:szCs w:val="21"/>
          <w:highlight w:val="none"/>
        </w:rPr>
        <w:t>以上企业，不属于大企业的分支机构，不存在控股股东为大企业的情形，也不存在与大企业的负责人为同一人的情形。</w:t>
      </w:r>
    </w:p>
    <w:p w14:paraId="7ED0C54E">
      <w:pPr>
        <w:spacing w:line="360" w:lineRule="auto"/>
        <w:ind w:firstLine="420"/>
        <w:rPr>
          <w:rFonts w:ascii="Arial" w:hAnsi="Arial" w:cs="Arial"/>
          <w:bCs/>
          <w:color w:val="auto"/>
          <w:szCs w:val="21"/>
          <w:highlight w:val="none"/>
        </w:rPr>
      </w:pPr>
      <w:r>
        <w:rPr>
          <w:rFonts w:ascii="Arial" w:hAnsi="Arial" w:cs="Arial"/>
          <w:bCs/>
          <w:color w:val="auto"/>
          <w:szCs w:val="21"/>
          <w:highlight w:val="none"/>
        </w:rPr>
        <w:t>本企业对上述声明内容的真实性负责。如有虚假，将依法承担相应责任。</w:t>
      </w:r>
    </w:p>
    <w:p w14:paraId="40E70408">
      <w:pPr>
        <w:spacing w:line="360" w:lineRule="auto"/>
        <w:ind w:firstLine="3150" w:firstLineChars="1500"/>
        <w:rPr>
          <w:rFonts w:ascii="Arial" w:hAnsi="Arial" w:cs="Arial"/>
          <w:bCs/>
          <w:color w:val="auto"/>
          <w:szCs w:val="21"/>
          <w:highlight w:val="none"/>
        </w:rPr>
      </w:pPr>
      <w:r>
        <w:rPr>
          <w:rFonts w:ascii="Arial" w:hAnsi="Arial" w:cs="Arial"/>
          <w:bCs/>
          <w:color w:val="auto"/>
          <w:szCs w:val="21"/>
          <w:highlight w:val="none"/>
        </w:rPr>
        <w:t>企业名称（电子签章）：  日期：</w:t>
      </w:r>
    </w:p>
    <w:p w14:paraId="1AE179D4">
      <w:pPr>
        <w:spacing w:line="360" w:lineRule="auto"/>
        <w:jc w:val="left"/>
        <w:rPr>
          <w:rFonts w:ascii="Arial" w:hAnsi="Arial" w:cs="Arial"/>
          <w:bCs/>
          <w:color w:val="auto"/>
          <w:szCs w:val="21"/>
          <w:highlight w:val="none"/>
        </w:rPr>
      </w:pPr>
      <w:r>
        <w:rPr>
          <w:rFonts w:ascii="Arial" w:hAnsi="Arial" w:cs="Arial"/>
          <w:bCs/>
          <w:color w:val="auto"/>
          <w:szCs w:val="21"/>
          <w:highlight w:val="none"/>
        </w:rPr>
        <w:t>（1）标的名称按照第二章采购需求一览表中的名称填写，</w:t>
      </w:r>
      <w:r>
        <w:rPr>
          <w:rFonts w:ascii="Arial" w:hAnsi="Arial" w:cs="Arial"/>
          <w:color w:val="auto"/>
          <w:szCs w:val="21"/>
          <w:highlight w:val="none"/>
        </w:rPr>
        <w:t>所属行业标明“/”的</w:t>
      </w:r>
      <w:r>
        <w:rPr>
          <w:rFonts w:ascii="Arial" w:hAnsi="Arial" w:cs="Arial"/>
          <w:bCs/>
          <w:color w:val="auto"/>
          <w:szCs w:val="21"/>
          <w:highlight w:val="none"/>
        </w:rPr>
        <w:t>，无需在上表填写。</w:t>
      </w:r>
    </w:p>
    <w:p w14:paraId="710C0E5F">
      <w:pPr>
        <w:spacing w:line="360" w:lineRule="auto"/>
        <w:jc w:val="left"/>
        <w:rPr>
          <w:rFonts w:ascii="Arial" w:hAnsi="Arial" w:cs="Arial"/>
          <w:bCs/>
          <w:color w:val="auto"/>
          <w:szCs w:val="21"/>
          <w:highlight w:val="none"/>
        </w:rPr>
      </w:pPr>
      <w:r>
        <w:rPr>
          <w:rFonts w:ascii="Arial" w:hAnsi="Arial" w:cs="Arial"/>
          <w:bCs/>
          <w:color w:val="auto"/>
          <w:szCs w:val="21"/>
          <w:highlight w:val="none"/>
        </w:rPr>
        <w:t>（2）如供应商为联合体或分包的，声明函中“项目名称”应填写联合体中小微企业承担的具体内容或者小微企业具体分包内容。</w:t>
      </w:r>
    </w:p>
    <w:p w14:paraId="79225761">
      <w:pPr>
        <w:spacing w:line="360" w:lineRule="auto"/>
        <w:jc w:val="left"/>
        <w:rPr>
          <w:rFonts w:ascii="Arial" w:hAnsi="Arial" w:cs="Arial"/>
          <w:bCs/>
          <w:color w:val="auto"/>
          <w:szCs w:val="21"/>
          <w:highlight w:val="none"/>
        </w:rPr>
      </w:pPr>
      <w:r>
        <w:rPr>
          <w:rFonts w:ascii="Arial" w:hAnsi="Arial" w:cs="Arial"/>
          <w:bCs/>
          <w:color w:val="auto"/>
          <w:szCs w:val="21"/>
          <w:highlight w:val="none"/>
        </w:rPr>
        <w:t>（3）从业人员、营业收入、资产总额填报上一年度数据，无上一年度数据的新成立企业参照国务院批准的中小企业划分标准，根据企业自身情况如实判断。</w:t>
      </w:r>
    </w:p>
    <w:p w14:paraId="0E26E7E6">
      <w:pPr>
        <w:spacing w:line="360" w:lineRule="auto"/>
        <w:jc w:val="left"/>
        <w:rPr>
          <w:rFonts w:ascii="Arial" w:hAnsi="Arial" w:cs="Arial"/>
          <w:bCs/>
          <w:color w:val="auto"/>
          <w:szCs w:val="21"/>
          <w:highlight w:val="none"/>
        </w:rPr>
      </w:pPr>
      <w:r>
        <w:rPr>
          <w:rFonts w:ascii="Arial" w:hAnsi="Arial" w:cs="Arial"/>
          <w:bCs/>
          <w:color w:val="auto"/>
          <w:szCs w:val="21"/>
          <w:highlight w:val="none"/>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4F5793BA">
      <w:pPr>
        <w:spacing w:line="360" w:lineRule="auto"/>
        <w:jc w:val="left"/>
        <w:rPr>
          <w:rFonts w:ascii="Arial" w:hAnsi="Arial" w:cs="Arial"/>
          <w:bCs/>
          <w:color w:val="auto"/>
          <w:szCs w:val="21"/>
          <w:highlight w:val="none"/>
        </w:rPr>
      </w:pPr>
      <w:r>
        <w:rPr>
          <w:rFonts w:ascii="Arial" w:hAnsi="Arial" w:cs="Arial"/>
          <w:bCs/>
          <w:color w:val="auto"/>
          <w:szCs w:val="21"/>
          <w:highlight w:val="none"/>
        </w:rPr>
        <w:t>（5）根据</w:t>
      </w:r>
      <w:r>
        <w:rPr>
          <w:rFonts w:hint="eastAsia" w:ascii="Arial" w:hAnsi="Arial" w:cs="Arial"/>
          <w:bCs/>
          <w:color w:val="auto"/>
          <w:szCs w:val="21"/>
          <w:highlight w:val="none"/>
        </w:rPr>
        <w:t>国家</w:t>
      </w:r>
      <w:r>
        <w:rPr>
          <w:rFonts w:ascii="Arial" w:hAnsi="Arial" w:cs="Arial"/>
          <w:bCs/>
          <w:color w:val="auto"/>
          <w:szCs w:val="21"/>
          <w:highlight w:val="none"/>
        </w:rPr>
        <w:t>统计局《劳动工资统计报表制度》，从业人员数是指本单位工作，并取得工资</w:t>
      </w:r>
      <w:r>
        <w:rPr>
          <w:rFonts w:hint="eastAsia" w:ascii="Arial" w:hAnsi="Arial" w:cs="Arial"/>
          <w:bCs/>
          <w:color w:val="auto"/>
          <w:szCs w:val="21"/>
          <w:highlight w:val="none"/>
        </w:rPr>
        <w:t>或</w:t>
      </w:r>
      <w:r>
        <w:rPr>
          <w:rFonts w:ascii="Arial" w:hAnsi="Arial" w:cs="Arial"/>
          <w:bCs/>
          <w:color w:val="auto"/>
          <w:szCs w:val="21"/>
          <w:highlight w:val="none"/>
        </w:rPr>
        <w:t>其他形式劳动报酬的人员数，是在岗职工、劳务派遣人员及其他从业人员之和。</w:t>
      </w:r>
    </w:p>
    <w:p w14:paraId="7493C37B">
      <w:pPr>
        <w:spacing w:line="360" w:lineRule="auto"/>
        <w:jc w:val="left"/>
        <w:rPr>
          <w:rFonts w:ascii="Arial" w:hAnsi="Arial" w:cs="Arial"/>
          <w:bCs/>
          <w:color w:val="auto"/>
          <w:szCs w:val="21"/>
          <w:highlight w:val="none"/>
        </w:rPr>
      </w:pPr>
      <w:r>
        <w:rPr>
          <w:rFonts w:ascii="Arial" w:hAnsi="Arial" w:cs="Arial"/>
          <w:bCs/>
          <w:color w:val="auto"/>
          <w:szCs w:val="21"/>
          <w:highlight w:val="none"/>
        </w:rPr>
        <w:t>（6）本声明函由供应商填写，供应商应按中小企业划分标准《关于印发中小企业划型标准规定的通知》（工信部联企业〔2011〕300号</w:t>
      </w:r>
      <w:r>
        <w:rPr>
          <w:rFonts w:ascii="Arial" w:hAnsi="Arial" w:cs="Arial"/>
          <w:color w:val="auto"/>
          <w:szCs w:val="21"/>
          <w:highlight w:val="none"/>
        </w:rPr>
        <w:t>以及《金融业企业划型标准规定》（银发〔2015〕309号）</w:t>
      </w:r>
      <w:r>
        <w:rPr>
          <w:rFonts w:ascii="Arial" w:hAnsi="Arial" w:cs="Arial"/>
          <w:bCs/>
          <w:color w:val="auto"/>
          <w:szCs w:val="21"/>
          <w:highlight w:val="none"/>
        </w:rPr>
        <w:t>）判断是否为中小企业。</w:t>
      </w:r>
    </w:p>
    <w:p w14:paraId="2E65D72E">
      <w:pPr>
        <w:spacing w:line="360" w:lineRule="auto"/>
        <w:jc w:val="left"/>
        <w:rPr>
          <w:rFonts w:ascii="Arial" w:hAnsi="Arial" w:cs="Arial"/>
          <w:bCs/>
          <w:color w:val="auto"/>
          <w:szCs w:val="21"/>
          <w:highlight w:val="none"/>
        </w:rPr>
      </w:pPr>
      <w:r>
        <w:rPr>
          <w:rFonts w:ascii="Arial" w:hAnsi="Arial" w:cs="Arial"/>
          <w:bCs/>
          <w:color w:val="auto"/>
          <w:szCs w:val="21"/>
          <w:highlight w:val="none"/>
        </w:rPr>
        <w:t>（7）供应商对《中小企业声明函》的真实性负责，如有虚假则需承担不利后果。依法享受中小企业优惠政策的，采购人或采购代理机构在公告成交结果时，同时公告其《中小企业声明函》，接受社会监督。</w:t>
      </w:r>
    </w:p>
    <w:p w14:paraId="65B53423">
      <w:pPr>
        <w:spacing w:line="360" w:lineRule="auto"/>
        <w:jc w:val="left"/>
        <w:rPr>
          <w:rFonts w:ascii="Arial" w:hAnsi="Arial" w:cs="Arial"/>
          <w:bCs/>
          <w:color w:val="auto"/>
          <w:szCs w:val="21"/>
          <w:highlight w:val="none"/>
        </w:rPr>
      </w:pPr>
      <w:r>
        <w:rPr>
          <w:rFonts w:ascii="Arial" w:hAnsi="Arial" w:cs="Arial"/>
          <w:bCs/>
          <w:color w:val="auto"/>
          <w:szCs w:val="21"/>
          <w:highlight w:val="none"/>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48D81E57">
      <w:pPr>
        <w:snapToGrid w:val="0"/>
        <w:spacing w:before="50" w:afterLines="50"/>
        <w:jc w:val="left"/>
        <w:rPr>
          <w:rFonts w:ascii="Arial" w:hAnsi="Arial" w:cs="Arial"/>
          <w:color w:val="auto"/>
          <w:szCs w:val="21"/>
          <w:highlight w:val="none"/>
        </w:rPr>
      </w:pPr>
    </w:p>
    <w:p w14:paraId="6980C6E6">
      <w:pPr>
        <w:snapToGrid w:val="0"/>
        <w:spacing w:before="50" w:afterLines="50"/>
        <w:jc w:val="left"/>
        <w:rPr>
          <w:rFonts w:ascii="Arial" w:hAnsi="Arial" w:cs="Arial"/>
          <w:color w:val="auto"/>
          <w:szCs w:val="21"/>
          <w:highlight w:val="none"/>
        </w:rPr>
      </w:pPr>
      <w:r>
        <w:rPr>
          <w:rFonts w:hint="eastAsia" w:ascii="Arial" w:hAnsi="Arial" w:cs="Arial"/>
          <w:color w:val="auto"/>
          <w:szCs w:val="21"/>
          <w:highlight w:val="none"/>
        </w:rPr>
        <w:t>9</w:t>
      </w:r>
      <w:r>
        <w:rPr>
          <w:rFonts w:ascii="Arial" w:hAnsi="Arial" w:cs="Arial"/>
          <w:color w:val="auto"/>
          <w:szCs w:val="21"/>
          <w:highlight w:val="none"/>
        </w:rPr>
        <w:t>.2监狱企业须提供最新一期《XX省监狱企业产品目录》或其他监狱企业证明材料。（非监狱企业无需提供）</w:t>
      </w:r>
    </w:p>
    <w:p w14:paraId="42D7E0FE">
      <w:pPr>
        <w:snapToGrid w:val="0"/>
        <w:spacing w:before="50" w:afterLines="50"/>
        <w:jc w:val="left"/>
        <w:rPr>
          <w:rFonts w:ascii="Arial" w:hAnsi="Arial" w:cs="Arial"/>
          <w:color w:val="auto"/>
          <w:szCs w:val="21"/>
          <w:highlight w:val="none"/>
        </w:rPr>
      </w:pPr>
    </w:p>
    <w:p w14:paraId="494E1498">
      <w:pPr>
        <w:snapToGrid w:val="0"/>
        <w:spacing w:before="50" w:afterLines="50"/>
        <w:jc w:val="left"/>
        <w:rPr>
          <w:rFonts w:ascii="Arial" w:hAnsi="Arial" w:cs="Arial"/>
          <w:color w:val="auto"/>
          <w:highlight w:val="none"/>
        </w:rPr>
      </w:pPr>
      <w:r>
        <w:rPr>
          <w:rFonts w:hint="eastAsia" w:ascii="Arial" w:hAnsi="Arial" w:cs="Arial"/>
          <w:color w:val="auto"/>
          <w:szCs w:val="21"/>
          <w:highlight w:val="none"/>
        </w:rPr>
        <w:t>9</w:t>
      </w:r>
      <w:r>
        <w:rPr>
          <w:rFonts w:ascii="Arial" w:hAnsi="Arial" w:cs="Arial"/>
          <w:color w:val="auto"/>
          <w:szCs w:val="21"/>
          <w:highlight w:val="none"/>
        </w:rPr>
        <w:t>.3</w:t>
      </w:r>
      <w:bookmarkStart w:id="105" w:name="_Hlk19051624"/>
      <w:r>
        <w:rPr>
          <w:rFonts w:ascii="Arial" w:hAnsi="Arial" w:cs="Arial"/>
          <w:color w:val="auto"/>
          <w:highlight w:val="none"/>
        </w:rPr>
        <w:t>残疾人福利性单位须提供《残疾人福利性单位声明函》，格式如下。</w:t>
      </w:r>
      <w:r>
        <w:rPr>
          <w:rFonts w:ascii="Arial" w:hAnsi="Arial" w:cs="Arial"/>
          <w:color w:val="auto"/>
          <w:szCs w:val="21"/>
          <w:highlight w:val="none"/>
        </w:rPr>
        <w:t>（非残疾人福利性单位无需提供）</w:t>
      </w:r>
    </w:p>
    <w:bookmarkEnd w:id="105"/>
    <w:p w14:paraId="1B1F43FE">
      <w:pPr>
        <w:spacing w:line="360" w:lineRule="auto"/>
        <w:jc w:val="center"/>
        <w:rPr>
          <w:rFonts w:ascii="Arial" w:hAnsi="Arial" w:cs="Arial"/>
          <w:b/>
          <w:color w:val="auto"/>
          <w:szCs w:val="21"/>
          <w:highlight w:val="none"/>
        </w:rPr>
      </w:pPr>
      <w:bookmarkStart w:id="106" w:name="OLE_LINK13"/>
      <w:bookmarkStart w:id="107" w:name="OLE_LINK14"/>
      <w:r>
        <w:rPr>
          <w:rFonts w:ascii="Arial" w:hAnsi="Arial" w:cs="Arial"/>
          <w:b/>
          <w:color w:val="auto"/>
          <w:szCs w:val="21"/>
          <w:highlight w:val="none"/>
        </w:rPr>
        <w:t>残疾人福利性单位声明函</w:t>
      </w:r>
      <w:bookmarkEnd w:id="106"/>
      <w:bookmarkEnd w:id="107"/>
    </w:p>
    <w:p w14:paraId="65E0BAB0">
      <w:pPr>
        <w:spacing w:line="360" w:lineRule="auto"/>
        <w:ind w:firstLine="420"/>
        <w:jc w:val="left"/>
        <w:rPr>
          <w:rFonts w:ascii="Arial" w:hAnsi="Arial" w:cs="Arial"/>
          <w:color w:val="auto"/>
          <w:szCs w:val="21"/>
          <w:highlight w:val="none"/>
        </w:rPr>
      </w:pPr>
      <w:r>
        <w:rPr>
          <w:rFonts w:ascii="Arial" w:hAnsi="Arial" w:cs="Arial"/>
          <w:color w:val="auto"/>
          <w:szCs w:val="21"/>
          <w:highlight w:val="none"/>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C208675">
      <w:pPr>
        <w:spacing w:line="360" w:lineRule="auto"/>
        <w:ind w:firstLine="420"/>
        <w:rPr>
          <w:rFonts w:ascii="Arial" w:hAnsi="Arial" w:cs="Arial"/>
          <w:color w:val="auto"/>
          <w:szCs w:val="21"/>
          <w:highlight w:val="none"/>
        </w:rPr>
      </w:pPr>
      <w:r>
        <w:rPr>
          <w:rFonts w:ascii="Arial" w:hAnsi="Arial" w:cs="Arial"/>
          <w:color w:val="auto"/>
          <w:szCs w:val="21"/>
          <w:highlight w:val="none"/>
        </w:rPr>
        <w:t>本单位对上述声明的真实性负责。如有虚假，将依法承担相应责任。</w:t>
      </w:r>
    </w:p>
    <w:p w14:paraId="71DCD93A">
      <w:pPr>
        <w:spacing w:line="360" w:lineRule="auto"/>
        <w:ind w:firstLine="420"/>
        <w:rPr>
          <w:rFonts w:ascii="Arial" w:hAnsi="Arial" w:cs="Arial"/>
          <w:color w:val="auto"/>
          <w:spacing w:val="6"/>
          <w:szCs w:val="21"/>
          <w:highlight w:val="none"/>
        </w:rPr>
      </w:pPr>
    </w:p>
    <w:p w14:paraId="15EE791D">
      <w:pPr>
        <w:spacing w:line="360" w:lineRule="auto"/>
        <w:ind w:firstLine="420"/>
        <w:jc w:val="right"/>
        <w:rPr>
          <w:rFonts w:ascii="Arial" w:hAnsi="Arial" w:cs="Arial"/>
          <w:color w:val="auto"/>
          <w:spacing w:val="6"/>
          <w:szCs w:val="21"/>
          <w:highlight w:val="none"/>
        </w:rPr>
      </w:pPr>
      <w:r>
        <w:rPr>
          <w:rFonts w:ascii="Arial" w:hAnsi="Arial" w:cs="Arial"/>
          <w:color w:val="auto"/>
          <w:spacing w:val="6"/>
          <w:szCs w:val="21"/>
          <w:highlight w:val="none"/>
        </w:rPr>
        <w:t xml:space="preserve">单位名称（电子签章）：          </w:t>
      </w:r>
    </w:p>
    <w:p w14:paraId="1A5E9DE3">
      <w:pPr>
        <w:spacing w:line="360" w:lineRule="auto"/>
        <w:ind w:firstLine="420"/>
        <w:rPr>
          <w:rFonts w:ascii="Arial" w:hAnsi="Arial" w:cs="Arial"/>
          <w:color w:val="auto"/>
          <w:szCs w:val="21"/>
          <w:highlight w:val="none"/>
        </w:rPr>
      </w:pPr>
      <w:r>
        <w:rPr>
          <w:rFonts w:ascii="Arial" w:hAnsi="Arial" w:cs="Arial"/>
          <w:color w:val="auto"/>
          <w:spacing w:val="6"/>
          <w:szCs w:val="21"/>
          <w:highlight w:val="none"/>
        </w:rPr>
        <w:t xml:space="preserve">                                                       日  期：</w:t>
      </w:r>
    </w:p>
    <w:p w14:paraId="38E11206">
      <w:pPr>
        <w:snapToGrid w:val="0"/>
        <w:spacing w:before="50"/>
        <w:jc w:val="left"/>
        <w:rPr>
          <w:rFonts w:ascii="Arial" w:hAnsi="Arial" w:cs="Arial"/>
          <w:color w:val="auto"/>
          <w:szCs w:val="21"/>
          <w:highlight w:val="none"/>
        </w:rPr>
      </w:pPr>
    </w:p>
    <w:p w14:paraId="4396E0FF">
      <w:pPr>
        <w:snapToGrid w:val="0"/>
        <w:spacing w:before="50"/>
        <w:jc w:val="left"/>
        <w:rPr>
          <w:rFonts w:ascii="Arial" w:hAnsi="Arial" w:cs="Arial"/>
          <w:color w:val="auto"/>
          <w:szCs w:val="21"/>
          <w:highlight w:val="none"/>
        </w:rPr>
      </w:pPr>
    </w:p>
    <w:p w14:paraId="6C25A9FE">
      <w:pPr>
        <w:snapToGrid w:val="0"/>
        <w:spacing w:before="50"/>
        <w:jc w:val="left"/>
        <w:rPr>
          <w:rFonts w:ascii="Arial" w:hAnsi="Arial" w:cs="Arial"/>
          <w:color w:val="auto"/>
          <w:szCs w:val="21"/>
          <w:highlight w:val="none"/>
        </w:rPr>
      </w:pPr>
      <w:r>
        <w:rPr>
          <w:rFonts w:ascii="Arial" w:hAnsi="Arial" w:cs="Arial"/>
          <w:color w:val="auto"/>
          <w:szCs w:val="21"/>
          <w:highlight w:val="none"/>
        </w:rPr>
        <w:t>1</w:t>
      </w:r>
      <w:r>
        <w:rPr>
          <w:rFonts w:hint="eastAsia" w:ascii="Arial" w:hAnsi="Arial" w:cs="Arial"/>
          <w:color w:val="auto"/>
          <w:szCs w:val="21"/>
          <w:highlight w:val="none"/>
        </w:rPr>
        <w:t>0</w:t>
      </w:r>
      <w:r>
        <w:rPr>
          <w:rFonts w:ascii="Arial" w:hAnsi="Arial" w:cs="Arial"/>
          <w:color w:val="auto"/>
          <w:szCs w:val="21"/>
          <w:highlight w:val="none"/>
        </w:rPr>
        <w:t>．供应商认为需提供的其他材料（根据招标文件编写）</w:t>
      </w:r>
    </w:p>
    <w:p w14:paraId="4A6AB07E">
      <w:pPr>
        <w:snapToGrid w:val="0"/>
        <w:spacing w:before="50"/>
        <w:jc w:val="left"/>
        <w:rPr>
          <w:rFonts w:ascii="Arial" w:hAnsi="Arial" w:cs="Arial"/>
          <w:color w:val="auto"/>
          <w:szCs w:val="21"/>
          <w:highlight w:val="none"/>
        </w:rPr>
      </w:pPr>
    </w:p>
    <w:p w14:paraId="1AD96087">
      <w:pPr>
        <w:snapToGrid w:val="0"/>
        <w:spacing w:before="50"/>
        <w:jc w:val="left"/>
        <w:rPr>
          <w:rFonts w:ascii="Arial" w:hAnsi="Arial" w:cs="Arial"/>
          <w:color w:val="auto"/>
          <w:szCs w:val="21"/>
          <w:highlight w:val="none"/>
        </w:rPr>
      </w:pPr>
      <w:r>
        <w:rPr>
          <w:rFonts w:ascii="Arial" w:hAnsi="Arial" w:cs="Arial"/>
          <w:color w:val="auto"/>
          <w:szCs w:val="21"/>
          <w:highlight w:val="none"/>
        </w:rPr>
        <w:br w:type="page"/>
      </w:r>
      <w:r>
        <w:rPr>
          <w:rFonts w:ascii="Arial" w:hAnsi="Arial" w:cs="Arial"/>
          <w:color w:val="auto"/>
          <w:szCs w:val="21"/>
          <w:highlight w:val="none"/>
        </w:rPr>
        <w:t>1</w:t>
      </w:r>
      <w:r>
        <w:rPr>
          <w:rFonts w:hint="eastAsia" w:ascii="Arial" w:hAnsi="Arial" w:cs="Arial"/>
          <w:color w:val="auto"/>
          <w:szCs w:val="21"/>
          <w:highlight w:val="none"/>
        </w:rPr>
        <w:t>1</w:t>
      </w:r>
      <w:r>
        <w:rPr>
          <w:rFonts w:ascii="Arial" w:hAnsi="Arial" w:cs="Arial"/>
          <w:color w:val="auto"/>
          <w:szCs w:val="21"/>
          <w:highlight w:val="none"/>
        </w:rPr>
        <w:t>.无串标行为承诺函</w:t>
      </w:r>
    </w:p>
    <w:p w14:paraId="3000CE05">
      <w:pPr>
        <w:snapToGrid w:val="0"/>
        <w:spacing w:before="50" w:afterLines="50"/>
        <w:jc w:val="center"/>
        <w:rPr>
          <w:rFonts w:ascii="Arial" w:hAnsi="Arial" w:cs="Arial"/>
          <w:color w:val="auto"/>
          <w:szCs w:val="21"/>
          <w:highlight w:val="none"/>
        </w:rPr>
      </w:pPr>
    </w:p>
    <w:p w14:paraId="7F3C2798">
      <w:pPr>
        <w:snapToGrid w:val="0"/>
        <w:spacing w:before="50" w:afterLines="50"/>
        <w:jc w:val="center"/>
        <w:rPr>
          <w:rFonts w:ascii="Arial" w:hAnsi="Arial" w:cs="Arial"/>
          <w:color w:val="auto"/>
          <w:szCs w:val="21"/>
          <w:highlight w:val="none"/>
        </w:rPr>
      </w:pPr>
      <w:r>
        <w:rPr>
          <w:rFonts w:ascii="Arial" w:hAnsi="Arial" w:cs="Arial"/>
          <w:color w:val="auto"/>
          <w:szCs w:val="21"/>
          <w:highlight w:val="none"/>
        </w:rPr>
        <w:t>投标人参加本项目无围标串标行为的承诺函</w:t>
      </w:r>
    </w:p>
    <w:p w14:paraId="44C8AC9D">
      <w:pPr>
        <w:snapToGrid w:val="0"/>
        <w:spacing w:before="50" w:afterLines="50"/>
        <w:jc w:val="left"/>
        <w:rPr>
          <w:rFonts w:ascii="Arial" w:hAnsi="Arial" w:cs="Arial"/>
          <w:color w:val="auto"/>
          <w:szCs w:val="21"/>
          <w:highlight w:val="none"/>
        </w:rPr>
      </w:pPr>
    </w:p>
    <w:p w14:paraId="6D59BD0B">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一、我方承诺无下列相互串通投标的情形：</w:t>
      </w:r>
    </w:p>
    <w:p w14:paraId="274E8057">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1.不同投标人的投标文件由同一单位或者个人编制；或者不同投标人报名的IP地址一致的；</w:t>
      </w:r>
    </w:p>
    <w:p w14:paraId="622823FD">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2.不同投标人委托同一单位或者个人办理投标事宜；</w:t>
      </w:r>
    </w:p>
    <w:p w14:paraId="6CB23A6E">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3.不同的投标人的投标文件载明的项目管理员为同一个人；</w:t>
      </w:r>
    </w:p>
    <w:p w14:paraId="4C238483">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4.不同投标人的投标文件异常一致或者投标报价呈规律性差异；</w:t>
      </w:r>
    </w:p>
    <w:p w14:paraId="20A0BB53">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5.不同投标人的投标文件相互混装；</w:t>
      </w:r>
    </w:p>
    <w:p w14:paraId="36B64D67">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6.不同投标人的投标保证金从同一单位或者个人账户转出。</w:t>
      </w:r>
    </w:p>
    <w:p w14:paraId="0FCD27F5">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二、我方承诺无下列恶意串通的情形：</w:t>
      </w:r>
    </w:p>
    <w:p w14:paraId="7C0DDE22">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1.投标人直接或者间接从采购人或者采购代理机构处获得其他投标人的相关信息并修改其投标文件或者投标文件；</w:t>
      </w:r>
    </w:p>
    <w:p w14:paraId="5DDE6E03">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2.投标人按照采购人或者采购代理机构的授意撤换、修改投标文件或者投标文件；</w:t>
      </w:r>
    </w:p>
    <w:p w14:paraId="13AAE7A1">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3.投标人之间协商报价、技术方案等投标文件或者投标文件的实质性内容；</w:t>
      </w:r>
    </w:p>
    <w:p w14:paraId="3D8BA830">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4.属于同一集团、协会、商会等组织成员的投标人按照该组织要求协同参加政府采购活动；</w:t>
      </w:r>
    </w:p>
    <w:p w14:paraId="7A936C43">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0077CA9F">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6.投标人之间商定部分投标人放弃参加政府采购活动或者放弃中标；</w:t>
      </w:r>
    </w:p>
    <w:p w14:paraId="26D8C2AC">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7.投标人与采购人或者采购代理机构之间、投标人相互之间，为谋求特定投标人中标或者排斥其他投标人的其他串通行为。</w:t>
      </w:r>
    </w:p>
    <w:p w14:paraId="00360166">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以上情形一经核查属实，我方愿意承担一切后果，并不再寻求任何旨在减轻或者免除法律责任的辩解。</w:t>
      </w:r>
    </w:p>
    <w:p w14:paraId="3E3FAABD">
      <w:pPr>
        <w:snapToGrid w:val="0"/>
        <w:spacing w:before="50" w:afterLines="50"/>
        <w:jc w:val="center"/>
        <w:rPr>
          <w:rFonts w:ascii="Arial" w:hAnsi="Arial" w:cs="Arial"/>
          <w:color w:val="auto"/>
          <w:szCs w:val="21"/>
          <w:highlight w:val="none"/>
        </w:rPr>
      </w:pPr>
    </w:p>
    <w:p w14:paraId="085EE8F5">
      <w:pPr>
        <w:snapToGrid w:val="0"/>
        <w:spacing w:before="50" w:afterLines="50"/>
        <w:jc w:val="center"/>
        <w:rPr>
          <w:rFonts w:ascii="Arial" w:hAnsi="Arial" w:cs="Arial"/>
          <w:color w:val="auto"/>
          <w:szCs w:val="21"/>
          <w:highlight w:val="none"/>
        </w:rPr>
      </w:pPr>
    </w:p>
    <w:p w14:paraId="05EB4B4A">
      <w:pPr>
        <w:snapToGrid w:val="0"/>
        <w:spacing w:before="50" w:afterLines="50"/>
        <w:jc w:val="center"/>
        <w:rPr>
          <w:rFonts w:ascii="Arial" w:hAnsi="Arial" w:cs="Arial"/>
          <w:color w:val="auto"/>
          <w:szCs w:val="21"/>
          <w:highlight w:val="none"/>
        </w:rPr>
      </w:pPr>
    </w:p>
    <w:p w14:paraId="059384AF">
      <w:pPr>
        <w:snapToGrid w:val="0"/>
        <w:spacing w:before="50" w:afterLines="50"/>
        <w:jc w:val="center"/>
        <w:rPr>
          <w:rFonts w:ascii="Arial" w:hAnsi="Arial" w:cs="Arial"/>
          <w:color w:val="auto"/>
          <w:szCs w:val="21"/>
          <w:highlight w:val="none"/>
        </w:rPr>
      </w:pPr>
      <w:r>
        <w:rPr>
          <w:rFonts w:ascii="Arial" w:hAnsi="Arial" w:cs="Arial"/>
          <w:color w:val="auto"/>
          <w:szCs w:val="21"/>
          <w:highlight w:val="none"/>
        </w:rPr>
        <w:t>供应商名称(电子签章)：</w:t>
      </w:r>
    </w:p>
    <w:p w14:paraId="787E3EFD">
      <w:pPr>
        <w:snapToGrid w:val="0"/>
        <w:spacing w:before="50" w:afterLines="50"/>
        <w:jc w:val="center"/>
        <w:rPr>
          <w:rFonts w:ascii="Arial" w:hAnsi="Arial" w:cs="Arial"/>
          <w:color w:val="auto"/>
          <w:szCs w:val="21"/>
          <w:highlight w:val="none"/>
        </w:rPr>
      </w:pPr>
      <w:r>
        <w:rPr>
          <w:rFonts w:ascii="Arial" w:hAnsi="Arial" w:cs="Arial"/>
          <w:color w:val="auto"/>
          <w:szCs w:val="21"/>
          <w:highlight w:val="none"/>
        </w:rPr>
        <w:t>日期：  年  月   日</w:t>
      </w:r>
    </w:p>
    <w:p w14:paraId="0B34760B">
      <w:pPr>
        <w:ind w:firstLine="420" w:firstLineChars="200"/>
        <w:rPr>
          <w:rFonts w:ascii="Arial" w:hAnsi="Arial" w:cs="Arial"/>
          <w:color w:val="auto"/>
          <w:szCs w:val="21"/>
          <w:highlight w:val="none"/>
        </w:rPr>
        <w:sectPr>
          <w:headerReference r:id="rId20" w:type="default"/>
          <w:pgSz w:w="11906" w:h="16838"/>
          <w:pgMar w:top="1304" w:right="1418" w:bottom="1304" w:left="1418" w:header="851" w:footer="992" w:gutter="0"/>
          <w:cols w:space="720" w:num="1"/>
          <w:docGrid w:linePitch="312" w:charSpace="0"/>
        </w:sectPr>
      </w:pPr>
    </w:p>
    <w:bookmarkEnd w:id="103"/>
    <w:p w14:paraId="32C04FC4">
      <w:pPr>
        <w:snapToGrid w:val="0"/>
        <w:spacing w:beforeLines="50" w:after="50" w:line="440" w:lineRule="exact"/>
        <w:jc w:val="left"/>
        <w:outlineLvl w:val="1"/>
        <w:rPr>
          <w:rFonts w:ascii="Arial" w:hAnsi="Arial" w:cs="Arial"/>
          <w:bCs/>
          <w:color w:val="auto"/>
          <w:sz w:val="24"/>
          <w:highlight w:val="none"/>
        </w:rPr>
      </w:pPr>
      <w:r>
        <w:rPr>
          <w:rFonts w:ascii="Arial" w:hAnsi="Arial" w:cs="Arial"/>
          <w:bCs/>
          <w:color w:val="auto"/>
          <w:sz w:val="24"/>
          <w:highlight w:val="none"/>
        </w:rPr>
        <w:t xml:space="preserve">3．投标文件封面参考格式（报价文件）： </w:t>
      </w:r>
    </w:p>
    <w:p w14:paraId="70689756">
      <w:pPr>
        <w:snapToGrid w:val="0"/>
        <w:spacing w:before="50" w:afterLines="50" w:line="400" w:lineRule="exact"/>
        <w:jc w:val="left"/>
        <w:rPr>
          <w:rFonts w:ascii="Arial" w:hAnsi="Arial" w:cs="Arial"/>
          <w:bCs/>
          <w:color w:val="auto"/>
          <w:sz w:val="24"/>
          <w:highlight w:val="none"/>
        </w:rPr>
      </w:pPr>
    </w:p>
    <w:p w14:paraId="0054FC38">
      <w:pPr>
        <w:snapToGrid w:val="0"/>
        <w:spacing w:beforeLines="50" w:after="50" w:line="360" w:lineRule="exact"/>
        <w:rPr>
          <w:rFonts w:ascii="Arial" w:hAnsi="Arial" w:cs="Arial"/>
          <w:color w:val="auto"/>
          <w:sz w:val="24"/>
          <w:highlight w:val="none"/>
        </w:rPr>
      </w:pPr>
    </w:p>
    <w:p w14:paraId="2AC1F3C7">
      <w:pPr>
        <w:snapToGrid w:val="0"/>
        <w:spacing w:beforeLines="50" w:after="50" w:line="360" w:lineRule="exact"/>
        <w:jc w:val="center"/>
        <w:rPr>
          <w:rFonts w:ascii="Arial" w:hAnsi="Arial" w:cs="Arial"/>
          <w:bCs/>
          <w:color w:val="auto"/>
          <w:sz w:val="24"/>
          <w:highlight w:val="none"/>
        </w:rPr>
      </w:pPr>
    </w:p>
    <w:p w14:paraId="403F7FCE">
      <w:pPr>
        <w:snapToGrid w:val="0"/>
        <w:spacing w:beforeLines="50" w:after="50" w:line="360" w:lineRule="exact"/>
        <w:jc w:val="center"/>
        <w:rPr>
          <w:rFonts w:ascii="Arial" w:hAnsi="Arial" w:cs="Arial"/>
          <w:b/>
          <w:bCs/>
          <w:color w:val="auto"/>
          <w:sz w:val="44"/>
          <w:szCs w:val="44"/>
          <w:highlight w:val="none"/>
        </w:rPr>
      </w:pPr>
      <w:r>
        <w:rPr>
          <w:rFonts w:ascii="Arial" w:hAnsi="Arial" w:cs="Arial"/>
          <w:b/>
          <w:bCs/>
          <w:color w:val="auto"/>
          <w:sz w:val="44"/>
          <w:szCs w:val="44"/>
          <w:highlight w:val="none"/>
        </w:rPr>
        <w:t>电子投标文件</w:t>
      </w:r>
    </w:p>
    <w:p w14:paraId="55751535">
      <w:pPr>
        <w:snapToGrid w:val="0"/>
        <w:spacing w:beforeLines="50" w:after="50" w:line="360" w:lineRule="exact"/>
        <w:jc w:val="center"/>
        <w:rPr>
          <w:rFonts w:ascii="Arial" w:hAnsi="Arial" w:cs="Arial"/>
          <w:b/>
          <w:bCs/>
          <w:color w:val="auto"/>
          <w:sz w:val="44"/>
          <w:szCs w:val="44"/>
          <w:highlight w:val="none"/>
        </w:rPr>
      </w:pPr>
    </w:p>
    <w:p w14:paraId="3DF305D1">
      <w:pPr>
        <w:snapToGrid w:val="0"/>
        <w:spacing w:beforeLines="50" w:after="50" w:line="360" w:lineRule="exact"/>
        <w:jc w:val="center"/>
        <w:rPr>
          <w:rFonts w:ascii="Arial" w:hAnsi="Arial" w:cs="Arial"/>
          <w:b/>
          <w:bCs/>
          <w:color w:val="auto"/>
          <w:sz w:val="44"/>
          <w:szCs w:val="44"/>
          <w:highlight w:val="none"/>
        </w:rPr>
      </w:pPr>
    </w:p>
    <w:p w14:paraId="1E70CDAB">
      <w:pPr>
        <w:snapToGrid w:val="0"/>
        <w:spacing w:beforeLines="50" w:after="50" w:line="360" w:lineRule="exact"/>
        <w:jc w:val="center"/>
        <w:rPr>
          <w:rFonts w:ascii="Arial" w:hAnsi="Arial" w:cs="Arial"/>
          <w:b/>
          <w:bCs/>
          <w:color w:val="auto"/>
          <w:sz w:val="44"/>
          <w:szCs w:val="44"/>
          <w:highlight w:val="none"/>
        </w:rPr>
      </w:pPr>
      <w:r>
        <w:rPr>
          <w:rFonts w:ascii="Arial" w:hAnsi="Arial" w:cs="Arial"/>
          <w:b/>
          <w:bCs/>
          <w:color w:val="auto"/>
          <w:sz w:val="44"/>
          <w:szCs w:val="44"/>
          <w:highlight w:val="none"/>
        </w:rPr>
        <w:t>报价文件</w:t>
      </w:r>
    </w:p>
    <w:p w14:paraId="34657F4F">
      <w:pPr>
        <w:snapToGrid w:val="0"/>
        <w:spacing w:beforeLines="50" w:after="50" w:line="360" w:lineRule="exact"/>
        <w:rPr>
          <w:rFonts w:ascii="Arial" w:hAnsi="Arial" w:cs="Arial"/>
          <w:bCs/>
          <w:color w:val="auto"/>
          <w:sz w:val="24"/>
          <w:highlight w:val="none"/>
        </w:rPr>
      </w:pPr>
    </w:p>
    <w:p w14:paraId="345E1441">
      <w:pPr>
        <w:snapToGrid w:val="0"/>
        <w:spacing w:beforeLines="50" w:after="50" w:line="360" w:lineRule="exact"/>
        <w:rPr>
          <w:rFonts w:ascii="Arial" w:hAnsi="Arial" w:cs="Arial"/>
          <w:bCs/>
          <w:color w:val="auto"/>
          <w:sz w:val="24"/>
          <w:highlight w:val="none"/>
        </w:rPr>
      </w:pPr>
    </w:p>
    <w:p w14:paraId="001F8DDF">
      <w:pPr>
        <w:snapToGrid w:val="0"/>
        <w:spacing w:beforeLines="50" w:after="50" w:line="360" w:lineRule="exact"/>
        <w:rPr>
          <w:rFonts w:ascii="Arial" w:hAnsi="Arial" w:cs="Arial"/>
          <w:bCs/>
          <w:color w:val="auto"/>
          <w:sz w:val="24"/>
          <w:highlight w:val="none"/>
        </w:rPr>
      </w:pPr>
    </w:p>
    <w:p w14:paraId="3CBE21F4">
      <w:pPr>
        <w:snapToGrid w:val="0"/>
        <w:spacing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 xml:space="preserve">项目名称： </w:t>
      </w:r>
    </w:p>
    <w:p w14:paraId="54CFA323">
      <w:pPr>
        <w:snapToGrid w:val="0"/>
        <w:spacing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项目编号：</w:t>
      </w:r>
    </w:p>
    <w:p w14:paraId="7C04EC7B">
      <w:pPr>
        <w:snapToGrid w:val="0"/>
        <w:spacing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分标号：（若无留空或写“/”）</w:t>
      </w:r>
    </w:p>
    <w:p w14:paraId="0625F4C2">
      <w:pPr>
        <w:snapToGrid w:val="0"/>
        <w:spacing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供应商名称：</w:t>
      </w:r>
    </w:p>
    <w:p w14:paraId="0455F204">
      <w:pPr>
        <w:snapToGrid w:val="0"/>
        <w:spacing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供应商地址：</w:t>
      </w:r>
    </w:p>
    <w:p w14:paraId="43928F96">
      <w:pPr>
        <w:snapToGrid w:val="0"/>
        <w:spacing w:beforeLines="50" w:after="50" w:line="360" w:lineRule="exact"/>
        <w:ind w:firstLine="720" w:firstLineChars="300"/>
        <w:rPr>
          <w:rFonts w:ascii="Arial" w:hAnsi="Arial" w:cs="Arial"/>
          <w:bCs/>
          <w:color w:val="auto"/>
          <w:sz w:val="24"/>
          <w:highlight w:val="none"/>
        </w:rPr>
      </w:pPr>
    </w:p>
    <w:p w14:paraId="73AFA51D">
      <w:pPr>
        <w:pStyle w:val="7"/>
        <w:snapToGrid w:val="0"/>
        <w:spacing w:before="50" w:after="50" w:line="360" w:lineRule="exact"/>
        <w:ind w:firstLine="960" w:firstLineChars="400"/>
        <w:rPr>
          <w:rFonts w:ascii="Arial" w:hAnsi="Arial" w:cs="Arial"/>
          <w:bCs/>
          <w:color w:val="auto"/>
          <w:sz w:val="24"/>
          <w:szCs w:val="24"/>
          <w:highlight w:val="none"/>
        </w:rPr>
      </w:pPr>
    </w:p>
    <w:p w14:paraId="5ABF900B">
      <w:pPr>
        <w:snapToGrid w:val="0"/>
        <w:spacing w:beforeLines="50" w:after="50" w:line="360" w:lineRule="exact"/>
        <w:jc w:val="center"/>
        <w:rPr>
          <w:rFonts w:ascii="Arial" w:hAnsi="Arial" w:cs="Arial"/>
          <w:color w:val="auto"/>
          <w:sz w:val="24"/>
          <w:highlight w:val="none"/>
        </w:rPr>
      </w:pPr>
      <w:r>
        <w:rPr>
          <w:rFonts w:ascii="Arial" w:hAnsi="Arial" w:cs="Arial"/>
          <w:color w:val="auto"/>
          <w:sz w:val="24"/>
          <w:highlight w:val="none"/>
        </w:rPr>
        <w:t xml:space="preserve">                        年  月  日</w:t>
      </w:r>
    </w:p>
    <w:p w14:paraId="42B66C91">
      <w:pPr>
        <w:rPr>
          <w:rFonts w:ascii="Arial" w:hAnsi="Arial" w:cs="Arial"/>
          <w:color w:val="auto"/>
          <w:highlight w:val="none"/>
        </w:rPr>
      </w:pPr>
    </w:p>
    <w:p w14:paraId="43ACA3F6">
      <w:pPr>
        <w:jc w:val="center"/>
        <w:rPr>
          <w:rFonts w:ascii="Arial" w:hAnsi="Arial" w:cs="Arial"/>
          <w:b/>
          <w:bCs/>
          <w:color w:val="auto"/>
          <w:szCs w:val="21"/>
          <w:highlight w:val="none"/>
        </w:rPr>
      </w:pPr>
      <w:r>
        <w:rPr>
          <w:rFonts w:ascii="Arial" w:hAnsi="Arial" w:cs="Arial"/>
          <w:b/>
          <w:color w:val="auto"/>
          <w:szCs w:val="21"/>
          <w:highlight w:val="none"/>
        </w:rPr>
        <w:br w:type="page"/>
      </w:r>
    </w:p>
    <w:p w14:paraId="259693C8">
      <w:pPr>
        <w:snapToGrid w:val="0"/>
        <w:spacing w:beforeLines="50" w:after="50" w:line="440" w:lineRule="exact"/>
        <w:jc w:val="center"/>
        <w:outlineLvl w:val="1"/>
        <w:rPr>
          <w:rFonts w:ascii="Arial" w:hAnsi="Arial" w:cs="Arial"/>
          <w:bCs/>
          <w:color w:val="auto"/>
          <w:sz w:val="24"/>
          <w:highlight w:val="none"/>
        </w:rPr>
      </w:pPr>
      <w:r>
        <w:rPr>
          <w:rFonts w:ascii="Arial" w:hAnsi="Arial" w:cs="Arial"/>
          <w:bCs/>
          <w:color w:val="auto"/>
          <w:sz w:val="24"/>
          <w:highlight w:val="none"/>
        </w:rPr>
        <w:t xml:space="preserve"> 报价文件</w:t>
      </w:r>
    </w:p>
    <w:p w14:paraId="29CC09D9">
      <w:pPr>
        <w:jc w:val="center"/>
        <w:rPr>
          <w:rFonts w:ascii="Arial" w:hAnsi="Arial" w:cs="Arial"/>
          <w:b/>
          <w:bCs/>
          <w:color w:val="auto"/>
          <w:szCs w:val="21"/>
          <w:highlight w:val="none"/>
        </w:rPr>
      </w:pPr>
    </w:p>
    <w:p w14:paraId="256EA1C3">
      <w:pPr>
        <w:rPr>
          <w:rFonts w:ascii="Arial" w:hAnsi="Arial" w:cs="Arial"/>
          <w:color w:val="auto"/>
          <w:highlight w:val="none"/>
        </w:rPr>
      </w:pPr>
      <w:r>
        <w:rPr>
          <w:rFonts w:ascii="Arial" w:hAnsi="Arial" w:cs="Arial"/>
          <w:color w:val="auto"/>
          <w:highlight w:val="none"/>
        </w:rPr>
        <w:t>1．投标函格式：</w:t>
      </w:r>
    </w:p>
    <w:p w14:paraId="05D35949">
      <w:pPr>
        <w:rPr>
          <w:rFonts w:ascii="Arial" w:hAnsi="Arial" w:cs="Arial"/>
          <w:color w:val="auto"/>
          <w:highlight w:val="none"/>
        </w:rPr>
      </w:pPr>
    </w:p>
    <w:p w14:paraId="271E578D">
      <w:pPr>
        <w:jc w:val="center"/>
        <w:rPr>
          <w:rFonts w:ascii="Arial" w:hAnsi="Arial" w:cs="Arial"/>
          <w:b/>
          <w:color w:val="auto"/>
          <w:szCs w:val="21"/>
          <w:highlight w:val="none"/>
        </w:rPr>
      </w:pPr>
      <w:r>
        <w:rPr>
          <w:rFonts w:ascii="Arial" w:hAnsi="Arial" w:cs="Arial"/>
          <w:b/>
          <w:color w:val="auto"/>
          <w:szCs w:val="21"/>
          <w:highlight w:val="none"/>
        </w:rPr>
        <w:t>投 标 函</w:t>
      </w:r>
    </w:p>
    <w:p w14:paraId="5FE4F1D3">
      <w:pPr>
        <w:rPr>
          <w:rFonts w:ascii="Arial" w:hAnsi="Arial" w:cs="Arial"/>
          <w:b/>
          <w:color w:val="auto"/>
          <w:szCs w:val="21"/>
          <w:highlight w:val="none"/>
        </w:rPr>
      </w:pPr>
    </w:p>
    <w:p w14:paraId="7DE7302B">
      <w:pPr>
        <w:spacing w:line="360" w:lineRule="auto"/>
        <w:rPr>
          <w:rFonts w:ascii="Arial" w:hAnsi="Arial" w:cs="Arial"/>
          <w:color w:val="auto"/>
          <w:szCs w:val="21"/>
          <w:highlight w:val="none"/>
        </w:rPr>
      </w:pPr>
      <w:r>
        <w:rPr>
          <w:rFonts w:ascii="Arial" w:hAnsi="Arial" w:cs="Arial"/>
          <w:color w:val="auto"/>
          <w:szCs w:val="21"/>
          <w:highlight w:val="none"/>
        </w:rPr>
        <w:t>致：</w:t>
      </w:r>
      <w:bookmarkStart w:id="108" w:name="_Hlk19051378"/>
      <w:r>
        <w:rPr>
          <w:rFonts w:ascii="Arial" w:hAnsi="Arial" w:cs="Arial"/>
          <w:color w:val="auto"/>
          <w:szCs w:val="21"/>
          <w:highlight w:val="none"/>
        </w:rPr>
        <w:t>_</w:t>
      </w:r>
      <w:r>
        <w:rPr>
          <w:rFonts w:ascii="Arial" w:hAnsi="Arial" w:cs="Arial"/>
          <w:i/>
          <w:iCs/>
          <w:color w:val="auto"/>
          <w:szCs w:val="21"/>
          <w:highlight w:val="none"/>
          <w:u w:val="single"/>
        </w:rPr>
        <w:t>（采购人名称）</w:t>
      </w:r>
      <w:r>
        <w:rPr>
          <w:rFonts w:ascii="Arial" w:hAnsi="Arial" w:cs="Arial"/>
          <w:i/>
          <w:iCs/>
          <w:color w:val="auto"/>
          <w:szCs w:val="21"/>
          <w:highlight w:val="none"/>
        </w:rPr>
        <w:t>_</w:t>
      </w:r>
      <w:bookmarkEnd w:id="108"/>
      <w:r>
        <w:rPr>
          <w:rFonts w:ascii="Arial" w:hAnsi="Arial" w:cs="Arial"/>
          <w:color w:val="auto"/>
          <w:szCs w:val="21"/>
          <w:highlight w:val="none"/>
        </w:rPr>
        <w:t>：</w:t>
      </w:r>
    </w:p>
    <w:p w14:paraId="215466D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我方已仔细研究了</w:t>
      </w:r>
      <w:bookmarkStart w:id="109" w:name="_Hlk19051388"/>
      <w:r>
        <w:rPr>
          <w:rFonts w:ascii="Arial" w:hAnsi="Arial" w:cs="Arial"/>
          <w:i/>
          <w:iCs/>
          <w:color w:val="auto"/>
          <w:szCs w:val="21"/>
          <w:highlight w:val="none"/>
          <w:u w:val="single"/>
        </w:rPr>
        <w:t>（项目名称）</w:t>
      </w:r>
      <w:bookmarkEnd w:id="109"/>
      <w:r>
        <w:rPr>
          <w:rFonts w:ascii="Arial" w:hAnsi="Arial" w:cs="Arial"/>
          <w:color w:val="auto"/>
          <w:szCs w:val="21"/>
          <w:highlight w:val="none"/>
        </w:rPr>
        <w:t>的招标文件的全部内容。签字代表</w:t>
      </w:r>
      <w:bookmarkStart w:id="110" w:name="_Hlk19051393"/>
      <w:r>
        <w:rPr>
          <w:rFonts w:ascii="Arial" w:hAnsi="Arial" w:cs="Arial"/>
          <w:i/>
          <w:iCs/>
          <w:color w:val="auto"/>
          <w:szCs w:val="21"/>
          <w:highlight w:val="none"/>
          <w:u w:val="single"/>
        </w:rPr>
        <w:t>（授权代表姓名）</w:t>
      </w:r>
      <w:bookmarkEnd w:id="110"/>
      <w:r>
        <w:rPr>
          <w:rFonts w:ascii="Arial" w:hAnsi="Arial" w:cs="Arial"/>
          <w:color w:val="auto"/>
          <w:szCs w:val="21"/>
          <w:highlight w:val="none"/>
        </w:rPr>
        <w:t>经正式授权并代表供应商_</w:t>
      </w:r>
      <w:bookmarkStart w:id="111" w:name="_Hlk19051402"/>
      <w:r>
        <w:rPr>
          <w:rFonts w:ascii="Arial" w:hAnsi="Arial" w:cs="Arial"/>
          <w:i/>
          <w:iCs/>
          <w:color w:val="auto"/>
          <w:szCs w:val="21"/>
          <w:highlight w:val="none"/>
          <w:u w:val="single"/>
        </w:rPr>
        <w:t>（供应商名称）</w:t>
      </w:r>
      <w:bookmarkEnd w:id="111"/>
      <w:r>
        <w:rPr>
          <w:rFonts w:ascii="Arial" w:hAnsi="Arial" w:cs="Arial"/>
          <w:color w:val="auto"/>
          <w:szCs w:val="21"/>
          <w:highlight w:val="none"/>
        </w:rPr>
        <w:t>提交投标文件。</w:t>
      </w:r>
    </w:p>
    <w:p w14:paraId="52759974">
      <w:pPr>
        <w:spacing w:line="360" w:lineRule="auto"/>
        <w:rPr>
          <w:rFonts w:ascii="Arial" w:hAnsi="Arial" w:cs="Arial"/>
          <w:color w:val="auto"/>
          <w:szCs w:val="21"/>
          <w:highlight w:val="none"/>
        </w:rPr>
      </w:pPr>
      <w:r>
        <w:rPr>
          <w:rFonts w:ascii="Arial" w:hAnsi="Arial" w:cs="Arial"/>
          <w:color w:val="auto"/>
          <w:szCs w:val="21"/>
          <w:highlight w:val="none"/>
        </w:rPr>
        <w:t>据此函，签字代表宣布同意如下：</w:t>
      </w:r>
    </w:p>
    <w:p w14:paraId="2DCEB5F8">
      <w:pPr>
        <w:spacing w:line="360" w:lineRule="auto"/>
        <w:rPr>
          <w:rFonts w:ascii="Arial" w:hAnsi="Arial" w:cs="Arial"/>
          <w:color w:val="auto"/>
          <w:szCs w:val="21"/>
          <w:highlight w:val="none"/>
        </w:rPr>
      </w:pPr>
      <w:r>
        <w:rPr>
          <w:rFonts w:ascii="Arial" w:hAnsi="Arial" w:cs="Arial"/>
          <w:color w:val="auto"/>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48291783">
      <w:pPr>
        <w:spacing w:line="360" w:lineRule="auto"/>
        <w:rPr>
          <w:rFonts w:ascii="Arial" w:hAnsi="Arial" w:cs="Arial"/>
          <w:color w:val="auto"/>
          <w:szCs w:val="21"/>
          <w:highlight w:val="none"/>
        </w:rPr>
      </w:pPr>
      <w:r>
        <w:rPr>
          <w:rFonts w:ascii="Arial" w:hAnsi="Arial" w:cs="Arial"/>
          <w:color w:val="auto"/>
          <w:szCs w:val="21"/>
          <w:highlight w:val="none"/>
        </w:rPr>
        <w:t>（2）我方在投标之前已经与贵方进行了充分的沟通，完全理解并接受招标文件的各项规定和要求，对招标文件的合理性、合法性不再有异议。</w:t>
      </w:r>
    </w:p>
    <w:p w14:paraId="17E6766C">
      <w:pPr>
        <w:spacing w:line="360" w:lineRule="auto"/>
        <w:rPr>
          <w:rFonts w:ascii="Arial" w:hAnsi="Arial" w:cs="Arial"/>
          <w:color w:val="auto"/>
          <w:szCs w:val="21"/>
          <w:highlight w:val="none"/>
        </w:rPr>
      </w:pPr>
      <w:r>
        <w:rPr>
          <w:rFonts w:ascii="Arial" w:hAnsi="Arial" w:cs="Arial"/>
          <w:color w:val="auto"/>
          <w:szCs w:val="21"/>
          <w:highlight w:val="none"/>
        </w:rPr>
        <w:t>（3）我方承诺本投标有效期为第三章供应商须知规定的期限。</w:t>
      </w:r>
    </w:p>
    <w:p w14:paraId="30868952">
      <w:pPr>
        <w:spacing w:line="360" w:lineRule="auto"/>
        <w:rPr>
          <w:rFonts w:ascii="Arial" w:hAnsi="Arial" w:cs="Arial"/>
          <w:color w:val="auto"/>
          <w:szCs w:val="21"/>
          <w:highlight w:val="none"/>
        </w:rPr>
      </w:pPr>
      <w:r>
        <w:rPr>
          <w:rFonts w:ascii="Arial" w:hAnsi="Arial" w:cs="Arial"/>
          <w:color w:val="auto"/>
          <w:szCs w:val="21"/>
          <w:highlight w:val="none"/>
        </w:rPr>
        <w:t>（4）如中标，本投标文件至本项目合同履行完毕止均保持有效，我方将按“招标文件”及政府采购法律、法规的规定履行合同责任和义务，并承诺不分包及转包他人。</w:t>
      </w:r>
    </w:p>
    <w:p w14:paraId="152CFE1E">
      <w:pPr>
        <w:spacing w:line="360" w:lineRule="auto"/>
        <w:rPr>
          <w:rFonts w:ascii="Arial" w:hAnsi="Arial" w:cs="Arial"/>
          <w:color w:val="auto"/>
          <w:szCs w:val="21"/>
          <w:highlight w:val="none"/>
        </w:rPr>
      </w:pPr>
      <w:r>
        <w:rPr>
          <w:rFonts w:ascii="Arial" w:hAnsi="Arial" w:cs="Arial"/>
          <w:color w:val="auto"/>
          <w:szCs w:val="21"/>
          <w:highlight w:val="none"/>
        </w:rPr>
        <w:t>（5）我方同意按照贵方要求提供与投标有关的一切数据或资料。</w:t>
      </w:r>
    </w:p>
    <w:p w14:paraId="2427A5B9">
      <w:pPr>
        <w:spacing w:line="360" w:lineRule="auto"/>
        <w:rPr>
          <w:rFonts w:ascii="Arial" w:hAnsi="Arial" w:cs="Arial"/>
          <w:color w:val="auto"/>
          <w:szCs w:val="21"/>
          <w:highlight w:val="none"/>
        </w:rPr>
      </w:pPr>
      <w:r>
        <w:rPr>
          <w:rFonts w:ascii="Arial" w:hAnsi="Arial" w:cs="Arial"/>
          <w:color w:val="auto"/>
          <w:szCs w:val="21"/>
          <w:highlight w:val="none"/>
        </w:rPr>
        <w:t>（6）与本项目有关的一切正式往来信函请寄：</w:t>
      </w:r>
    </w:p>
    <w:p w14:paraId="43C18E7B">
      <w:pPr>
        <w:spacing w:line="360" w:lineRule="auto"/>
        <w:rPr>
          <w:rFonts w:ascii="Arial" w:hAnsi="Arial" w:cs="Arial"/>
          <w:color w:val="auto"/>
          <w:szCs w:val="21"/>
          <w:highlight w:val="none"/>
        </w:rPr>
      </w:pPr>
      <w:r>
        <w:rPr>
          <w:rFonts w:ascii="Arial" w:hAnsi="Arial" w:cs="Arial"/>
          <w:color w:val="auto"/>
          <w:szCs w:val="21"/>
          <w:highlight w:val="none"/>
        </w:rPr>
        <w:t>地址：邮编：  电话：</w:t>
      </w:r>
    </w:p>
    <w:p w14:paraId="2C50D2BC">
      <w:pPr>
        <w:spacing w:line="360" w:lineRule="auto"/>
        <w:rPr>
          <w:rFonts w:ascii="Arial" w:hAnsi="Arial" w:cs="Arial"/>
          <w:color w:val="auto"/>
          <w:szCs w:val="21"/>
          <w:highlight w:val="none"/>
        </w:rPr>
      </w:pPr>
      <w:r>
        <w:rPr>
          <w:rFonts w:ascii="Arial" w:hAnsi="Arial" w:cs="Arial"/>
          <w:color w:val="auto"/>
          <w:szCs w:val="21"/>
          <w:highlight w:val="none"/>
        </w:rPr>
        <w:t>传真：</w:t>
      </w:r>
    </w:p>
    <w:p w14:paraId="715994C2">
      <w:pPr>
        <w:spacing w:line="360" w:lineRule="auto"/>
        <w:rPr>
          <w:rFonts w:ascii="Arial" w:hAnsi="Arial" w:cs="Arial"/>
          <w:color w:val="auto"/>
          <w:szCs w:val="21"/>
          <w:highlight w:val="none"/>
        </w:rPr>
      </w:pPr>
      <w:r>
        <w:rPr>
          <w:rFonts w:ascii="Arial" w:hAnsi="Arial" w:cs="Arial"/>
          <w:color w:val="auto"/>
          <w:szCs w:val="21"/>
          <w:highlight w:val="none"/>
        </w:rPr>
        <w:t>供应商代表姓名  职务：邮箱：</w:t>
      </w:r>
    </w:p>
    <w:p w14:paraId="082B0287">
      <w:pPr>
        <w:spacing w:line="360" w:lineRule="auto"/>
        <w:rPr>
          <w:rFonts w:ascii="Arial" w:hAnsi="Arial" w:cs="Arial"/>
          <w:color w:val="auto"/>
          <w:szCs w:val="21"/>
          <w:highlight w:val="none"/>
        </w:rPr>
      </w:pPr>
    </w:p>
    <w:p w14:paraId="06B53168">
      <w:pPr>
        <w:spacing w:line="360" w:lineRule="auto"/>
        <w:rPr>
          <w:rFonts w:ascii="Arial" w:hAnsi="Arial" w:cs="Arial"/>
          <w:color w:val="auto"/>
          <w:szCs w:val="21"/>
          <w:highlight w:val="none"/>
        </w:rPr>
      </w:pPr>
    </w:p>
    <w:p w14:paraId="48F66D98">
      <w:pPr>
        <w:spacing w:line="360" w:lineRule="auto"/>
        <w:rPr>
          <w:rFonts w:ascii="Arial" w:hAnsi="Arial" w:cs="Arial"/>
          <w:color w:val="auto"/>
          <w:szCs w:val="21"/>
          <w:highlight w:val="none"/>
        </w:rPr>
      </w:pPr>
    </w:p>
    <w:p w14:paraId="0413CD77">
      <w:pPr>
        <w:spacing w:line="360" w:lineRule="auto"/>
        <w:rPr>
          <w:rFonts w:ascii="Arial" w:hAnsi="Arial" w:cs="Arial"/>
          <w:color w:val="auto"/>
          <w:szCs w:val="21"/>
          <w:highlight w:val="none"/>
        </w:rPr>
      </w:pPr>
      <w:r>
        <w:rPr>
          <w:rFonts w:ascii="Arial" w:hAnsi="Arial" w:cs="Arial"/>
          <w:color w:val="auto"/>
          <w:szCs w:val="21"/>
          <w:highlight w:val="none"/>
        </w:rPr>
        <w:t>供应商名称(电子签章)：</w:t>
      </w:r>
    </w:p>
    <w:p w14:paraId="08BFDE14">
      <w:pPr>
        <w:spacing w:line="360" w:lineRule="auto"/>
        <w:rPr>
          <w:rFonts w:ascii="Arial" w:hAnsi="Arial" w:cs="Arial"/>
          <w:color w:val="auto"/>
          <w:szCs w:val="21"/>
          <w:highlight w:val="none"/>
        </w:rPr>
      </w:pPr>
      <w:r>
        <w:rPr>
          <w:rFonts w:ascii="Arial" w:hAnsi="Arial" w:cs="Arial"/>
          <w:color w:val="auto"/>
          <w:szCs w:val="21"/>
          <w:highlight w:val="none"/>
        </w:rPr>
        <w:t>日期：年月日</w:t>
      </w:r>
    </w:p>
    <w:p w14:paraId="00EE8C47">
      <w:pPr>
        <w:rPr>
          <w:rFonts w:ascii="Arial" w:hAnsi="Arial" w:cs="Arial"/>
          <w:color w:val="auto"/>
          <w:highlight w:val="none"/>
        </w:rPr>
      </w:pPr>
      <w:r>
        <w:rPr>
          <w:rFonts w:ascii="Arial" w:hAnsi="Arial" w:cs="Arial"/>
          <w:b/>
          <w:color w:val="auto"/>
          <w:szCs w:val="21"/>
          <w:highlight w:val="none"/>
        </w:rPr>
        <w:br w:type="page"/>
      </w:r>
      <w:r>
        <w:rPr>
          <w:rFonts w:ascii="Arial" w:hAnsi="Arial" w:cs="Arial"/>
          <w:color w:val="auto"/>
          <w:highlight w:val="none"/>
        </w:rPr>
        <w:t>2．投标报价明细表格式：</w:t>
      </w:r>
    </w:p>
    <w:p w14:paraId="1691A6D6">
      <w:pPr>
        <w:jc w:val="center"/>
        <w:rPr>
          <w:rFonts w:ascii="Arial" w:hAnsi="Arial" w:cs="Arial"/>
          <w:b/>
          <w:color w:val="auto"/>
          <w:szCs w:val="21"/>
          <w:highlight w:val="none"/>
        </w:rPr>
      </w:pPr>
    </w:p>
    <w:p w14:paraId="6A8AFD74">
      <w:pPr>
        <w:widowControl/>
        <w:jc w:val="center"/>
        <w:outlineLvl w:val="1"/>
        <w:rPr>
          <w:rFonts w:ascii="Arial" w:hAnsi="Arial" w:cs="Arial"/>
          <w:color w:val="auto"/>
          <w:sz w:val="28"/>
          <w:szCs w:val="28"/>
          <w:highlight w:val="none"/>
        </w:rPr>
      </w:pPr>
      <w:r>
        <w:rPr>
          <w:rFonts w:ascii="Arial" w:hAnsi="Arial" w:cs="Arial"/>
          <w:color w:val="auto"/>
          <w:sz w:val="24"/>
          <w:highlight w:val="none"/>
        </w:rPr>
        <w:t>投标报价明细表</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42"/>
        <w:gridCol w:w="1984"/>
        <w:gridCol w:w="1189"/>
        <w:gridCol w:w="1783"/>
        <w:gridCol w:w="2972"/>
      </w:tblGrid>
      <w:tr w14:paraId="19EDE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1042" w:type="dxa"/>
            <w:tcBorders>
              <w:top w:val="single" w:color="auto" w:sz="4" w:space="0"/>
              <w:left w:val="single" w:color="auto" w:sz="4" w:space="0"/>
              <w:bottom w:val="single" w:color="auto" w:sz="4" w:space="0"/>
              <w:right w:val="single" w:color="auto" w:sz="4" w:space="0"/>
            </w:tcBorders>
            <w:vAlign w:val="center"/>
          </w:tcPr>
          <w:p w14:paraId="6811126E">
            <w:pPr>
              <w:jc w:val="center"/>
              <w:rPr>
                <w:rFonts w:ascii="Arial" w:hAnsi="Arial" w:cs="Arial"/>
                <w:color w:val="auto"/>
                <w:spacing w:val="20"/>
                <w:szCs w:val="21"/>
                <w:highlight w:val="none"/>
              </w:rPr>
            </w:pPr>
            <w:r>
              <w:rPr>
                <w:rFonts w:ascii="Arial" w:hAnsi="Arial" w:cs="Arial"/>
                <w:color w:val="auto"/>
                <w:szCs w:val="21"/>
                <w:highlight w:val="none"/>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61C4FE79">
            <w:pPr>
              <w:jc w:val="center"/>
              <w:rPr>
                <w:rFonts w:ascii="Arial" w:hAnsi="Arial" w:cs="Arial"/>
                <w:color w:val="auto"/>
                <w:szCs w:val="21"/>
                <w:highlight w:val="none"/>
              </w:rPr>
            </w:pPr>
            <w:r>
              <w:rPr>
                <w:rFonts w:ascii="Arial" w:hAnsi="Arial" w:cs="Arial"/>
                <w:color w:val="auto"/>
                <w:szCs w:val="21"/>
                <w:highlight w:val="none"/>
              </w:rPr>
              <w:t>服务名称</w:t>
            </w:r>
          </w:p>
        </w:tc>
        <w:tc>
          <w:tcPr>
            <w:tcW w:w="1189" w:type="dxa"/>
            <w:tcBorders>
              <w:top w:val="single" w:color="auto" w:sz="4" w:space="0"/>
              <w:left w:val="single" w:color="auto" w:sz="4" w:space="0"/>
              <w:bottom w:val="single" w:color="auto" w:sz="4" w:space="0"/>
              <w:right w:val="single" w:color="auto" w:sz="4" w:space="0"/>
            </w:tcBorders>
            <w:vAlign w:val="center"/>
          </w:tcPr>
          <w:p w14:paraId="4AFFC79C">
            <w:pPr>
              <w:jc w:val="center"/>
              <w:rPr>
                <w:rFonts w:ascii="Arial" w:hAnsi="Arial" w:cs="Arial"/>
                <w:color w:val="auto"/>
                <w:szCs w:val="21"/>
                <w:highlight w:val="none"/>
              </w:rPr>
            </w:pPr>
            <w:r>
              <w:rPr>
                <w:rFonts w:ascii="Arial" w:hAnsi="Arial" w:cs="Arial"/>
                <w:color w:val="auto"/>
                <w:szCs w:val="21"/>
                <w:highlight w:val="none"/>
              </w:rPr>
              <w:t>服务商</w:t>
            </w:r>
          </w:p>
        </w:tc>
        <w:tc>
          <w:tcPr>
            <w:tcW w:w="1783" w:type="dxa"/>
            <w:tcBorders>
              <w:top w:val="single" w:color="auto" w:sz="4" w:space="0"/>
              <w:left w:val="single" w:color="auto" w:sz="4" w:space="0"/>
              <w:bottom w:val="single" w:color="auto" w:sz="4" w:space="0"/>
              <w:right w:val="single" w:color="auto" w:sz="4" w:space="0"/>
            </w:tcBorders>
            <w:vAlign w:val="center"/>
          </w:tcPr>
          <w:p w14:paraId="26E65BE8">
            <w:pPr>
              <w:jc w:val="center"/>
              <w:rPr>
                <w:rFonts w:ascii="Arial" w:hAnsi="Arial" w:cs="Arial"/>
                <w:color w:val="auto"/>
                <w:szCs w:val="21"/>
                <w:highlight w:val="none"/>
              </w:rPr>
            </w:pPr>
            <w:r>
              <w:rPr>
                <w:rFonts w:ascii="Arial" w:hAnsi="Arial" w:cs="Arial"/>
                <w:color w:val="auto"/>
                <w:szCs w:val="21"/>
                <w:highlight w:val="none"/>
              </w:rPr>
              <w:t>单位及数量</w:t>
            </w:r>
          </w:p>
        </w:tc>
        <w:tc>
          <w:tcPr>
            <w:tcW w:w="2972" w:type="dxa"/>
            <w:tcBorders>
              <w:top w:val="single" w:color="auto" w:sz="4" w:space="0"/>
              <w:left w:val="single" w:color="auto" w:sz="4" w:space="0"/>
              <w:bottom w:val="single" w:color="auto" w:sz="4" w:space="0"/>
              <w:right w:val="single" w:color="auto" w:sz="4" w:space="0"/>
            </w:tcBorders>
            <w:vAlign w:val="center"/>
          </w:tcPr>
          <w:p w14:paraId="7B939F49">
            <w:pPr>
              <w:jc w:val="center"/>
              <w:rPr>
                <w:rFonts w:ascii="Arial" w:hAnsi="Arial" w:cs="Arial"/>
                <w:color w:val="auto"/>
                <w:szCs w:val="21"/>
                <w:highlight w:val="none"/>
              </w:rPr>
            </w:pPr>
            <w:r>
              <w:rPr>
                <w:rFonts w:ascii="Arial" w:hAnsi="Arial" w:cs="Arial"/>
                <w:color w:val="auto"/>
                <w:szCs w:val="21"/>
                <w:highlight w:val="none"/>
              </w:rPr>
              <w:t>总价</w:t>
            </w:r>
          </w:p>
        </w:tc>
      </w:tr>
      <w:tr w14:paraId="1EAE47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1042" w:type="dxa"/>
            <w:tcBorders>
              <w:top w:val="single" w:color="auto" w:sz="4" w:space="0"/>
              <w:left w:val="single" w:color="auto" w:sz="4" w:space="0"/>
              <w:bottom w:val="single" w:color="auto" w:sz="4" w:space="0"/>
              <w:right w:val="single" w:color="auto" w:sz="4" w:space="0"/>
            </w:tcBorders>
            <w:vAlign w:val="center"/>
          </w:tcPr>
          <w:p w14:paraId="1C334765">
            <w:pPr>
              <w:jc w:val="center"/>
              <w:rPr>
                <w:rFonts w:ascii="Arial" w:hAnsi="Arial" w:cs="Arial"/>
                <w:color w:val="auto"/>
                <w:spacing w:val="20"/>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4A7EF841">
            <w:pPr>
              <w:jc w:val="center"/>
              <w:rPr>
                <w:rFonts w:ascii="Arial" w:hAnsi="Arial" w:cs="Arial"/>
                <w:color w:val="auto"/>
                <w:spacing w:val="20"/>
                <w:szCs w:val="21"/>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79548B52">
            <w:pPr>
              <w:jc w:val="center"/>
              <w:rPr>
                <w:rFonts w:ascii="Arial" w:hAnsi="Arial" w:cs="Arial"/>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vAlign w:val="center"/>
          </w:tcPr>
          <w:p w14:paraId="2180DDE3">
            <w:pPr>
              <w:jc w:val="center"/>
              <w:rPr>
                <w:rFonts w:ascii="Arial" w:hAnsi="Arial" w:cs="Arial"/>
                <w:color w:val="auto"/>
                <w:spacing w:val="20"/>
                <w:szCs w:val="21"/>
                <w:highlight w:val="none"/>
              </w:rPr>
            </w:pPr>
          </w:p>
        </w:tc>
        <w:tc>
          <w:tcPr>
            <w:tcW w:w="2972" w:type="dxa"/>
            <w:tcBorders>
              <w:top w:val="single" w:color="auto" w:sz="4" w:space="0"/>
              <w:left w:val="single" w:color="auto" w:sz="4" w:space="0"/>
              <w:bottom w:val="single" w:color="auto" w:sz="4" w:space="0"/>
              <w:right w:val="single" w:color="auto" w:sz="4" w:space="0"/>
            </w:tcBorders>
            <w:vAlign w:val="center"/>
          </w:tcPr>
          <w:p w14:paraId="5B959595">
            <w:pPr>
              <w:jc w:val="center"/>
              <w:rPr>
                <w:rFonts w:ascii="Arial" w:hAnsi="Arial" w:cs="Arial"/>
                <w:color w:val="auto"/>
                <w:spacing w:val="20"/>
                <w:szCs w:val="21"/>
                <w:highlight w:val="none"/>
              </w:rPr>
            </w:pPr>
          </w:p>
        </w:tc>
      </w:tr>
      <w:tr w14:paraId="50D289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70" w:type="dxa"/>
            <w:gridSpan w:val="5"/>
            <w:tcBorders>
              <w:top w:val="single" w:color="auto" w:sz="4" w:space="0"/>
              <w:left w:val="single" w:color="auto" w:sz="4" w:space="0"/>
              <w:bottom w:val="single" w:color="auto" w:sz="4" w:space="0"/>
              <w:right w:val="single" w:color="auto" w:sz="4" w:space="0"/>
            </w:tcBorders>
            <w:vAlign w:val="center"/>
          </w:tcPr>
          <w:p w14:paraId="2A0FB637">
            <w:pPr>
              <w:jc w:val="left"/>
              <w:rPr>
                <w:rFonts w:ascii="Arial" w:hAnsi="Arial" w:cs="Arial"/>
                <w:color w:val="auto"/>
                <w:spacing w:val="20"/>
                <w:szCs w:val="21"/>
                <w:highlight w:val="none"/>
              </w:rPr>
            </w:pPr>
            <w:r>
              <w:rPr>
                <w:rFonts w:ascii="Arial" w:hAnsi="Arial" w:cs="Arial"/>
                <w:color w:val="auto"/>
                <w:spacing w:val="20"/>
                <w:szCs w:val="21"/>
                <w:highlight w:val="none"/>
              </w:rPr>
              <w:t>投标总价：大写                       小写</w:t>
            </w:r>
          </w:p>
        </w:tc>
      </w:tr>
    </w:tbl>
    <w:p w14:paraId="726004C5">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注：本表如与广西政府采购云平台不一致的，以广西政府采购云平台为准。</w:t>
      </w:r>
    </w:p>
    <w:p w14:paraId="42A2A8F6">
      <w:pPr>
        <w:snapToGrid w:val="0"/>
        <w:spacing w:before="50" w:afterLines="50"/>
        <w:jc w:val="left"/>
        <w:rPr>
          <w:rFonts w:ascii="Arial" w:hAnsi="Arial" w:cs="Arial"/>
          <w:color w:val="auto"/>
          <w:szCs w:val="21"/>
          <w:highlight w:val="none"/>
        </w:rPr>
      </w:pPr>
    </w:p>
    <w:p w14:paraId="256EAAEF">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 xml:space="preserve">供应商名称（电子签章）：                          </w:t>
      </w:r>
    </w:p>
    <w:p w14:paraId="3B29B412">
      <w:pPr>
        <w:snapToGrid w:val="0"/>
        <w:spacing w:before="50" w:afterLines="50"/>
        <w:jc w:val="left"/>
        <w:rPr>
          <w:rFonts w:ascii="Arial" w:hAnsi="Arial" w:cs="Arial"/>
          <w:color w:val="auto"/>
          <w:szCs w:val="21"/>
          <w:highlight w:val="none"/>
        </w:rPr>
      </w:pPr>
      <w:r>
        <w:rPr>
          <w:rFonts w:ascii="Arial" w:hAnsi="Arial" w:cs="Arial"/>
          <w:color w:val="auto"/>
          <w:szCs w:val="21"/>
          <w:highlight w:val="none"/>
        </w:rPr>
        <w:t xml:space="preserve">日  期：         年   月   日 </w:t>
      </w:r>
    </w:p>
    <w:p w14:paraId="73AC2CA1">
      <w:pPr>
        <w:snapToGrid w:val="0"/>
        <w:spacing w:before="50" w:afterLines="50"/>
        <w:jc w:val="left"/>
        <w:rPr>
          <w:color w:val="auto"/>
          <w:szCs w:val="21"/>
          <w:highlight w:val="none"/>
        </w:rPr>
      </w:pPr>
      <w:r>
        <w:rPr>
          <w:rFonts w:ascii="Arial" w:hAnsi="Arial" w:cs="Arial"/>
          <w:color w:val="auto"/>
          <w:szCs w:val="21"/>
          <w:highlight w:val="none"/>
        </w:rPr>
        <w:br w:type="page"/>
      </w:r>
      <w:r>
        <w:rPr>
          <w:rFonts w:hint="eastAsia" w:ascii="Arial" w:hAnsi="Arial" w:cs="Arial"/>
          <w:color w:val="auto"/>
          <w:szCs w:val="21"/>
          <w:highlight w:val="none"/>
        </w:rPr>
        <w:t>3</w:t>
      </w:r>
      <w:r>
        <w:rPr>
          <w:color w:val="auto"/>
          <w:szCs w:val="21"/>
          <w:highlight w:val="none"/>
        </w:rPr>
        <w:t>．过低报价合理性的说明。（如有）</w:t>
      </w:r>
    </w:p>
    <w:p w14:paraId="01ECC2A2">
      <w:pPr>
        <w:spacing w:line="360" w:lineRule="auto"/>
        <w:ind w:firstLine="420" w:firstLineChars="200"/>
        <w:rPr>
          <w:color w:val="auto"/>
          <w:szCs w:val="21"/>
          <w:highlight w:val="none"/>
        </w:rPr>
      </w:pPr>
      <w:r>
        <w:rPr>
          <w:color w:val="auto"/>
          <w:szCs w:val="21"/>
          <w:highlight w:val="none"/>
        </w:rPr>
        <w:t>评审委员会认为的报价</w:t>
      </w:r>
      <w:r>
        <w:rPr>
          <w:rFonts w:hint="eastAsia"/>
          <w:color w:val="auto"/>
          <w:szCs w:val="21"/>
          <w:highlight w:val="none"/>
        </w:rPr>
        <w:t>存在异常低价问题的情形</w:t>
      </w:r>
      <w:r>
        <w:rPr>
          <w:color w:val="auto"/>
          <w:szCs w:val="21"/>
          <w:highlight w:val="none"/>
        </w:rPr>
        <w:t>，供应商将被要求以书面方式提供</w:t>
      </w:r>
      <w:r>
        <w:rPr>
          <w:rFonts w:hint="eastAsia"/>
          <w:color w:val="auto"/>
          <w:szCs w:val="21"/>
          <w:highlight w:val="none"/>
        </w:rPr>
        <w:t>项目具体成本测算等与报价合理性相关的书面说明及必要的证明材料</w:t>
      </w:r>
      <w:r>
        <w:rPr>
          <w:color w:val="auto"/>
          <w:szCs w:val="21"/>
          <w:highlight w:val="none"/>
        </w:rPr>
        <w:t>。为避免在评审现场因未能及时提供说明而导致被评审委员会作为无效投标，供应商</w:t>
      </w:r>
      <w:r>
        <w:rPr>
          <w:rFonts w:hint="eastAsia"/>
          <w:color w:val="auto"/>
          <w:highlight w:val="none"/>
        </w:rPr>
        <w:t>自行决定是否</w:t>
      </w:r>
      <w:r>
        <w:rPr>
          <w:color w:val="auto"/>
          <w:kern w:val="1"/>
          <w:szCs w:val="21"/>
          <w:highlight w:val="none"/>
        </w:rPr>
        <w:t>直接在</w:t>
      </w:r>
      <w:r>
        <w:rPr>
          <w:color w:val="auto"/>
          <w:szCs w:val="21"/>
          <w:highlight w:val="none"/>
        </w:rPr>
        <w:t>此处</w:t>
      </w:r>
      <w:r>
        <w:rPr>
          <w:rFonts w:hint="eastAsia"/>
          <w:color w:val="auto"/>
          <w:szCs w:val="21"/>
          <w:highlight w:val="none"/>
        </w:rPr>
        <w:t>进行陈述</w:t>
      </w:r>
      <w:r>
        <w:rPr>
          <w:color w:val="auto"/>
          <w:szCs w:val="21"/>
          <w:highlight w:val="none"/>
        </w:rPr>
        <w:t>。格式自拟。</w:t>
      </w:r>
      <w:r>
        <w:rPr>
          <w:rFonts w:hint="eastAsia"/>
          <w:color w:val="auto"/>
          <w:szCs w:val="21"/>
          <w:highlight w:val="none"/>
        </w:rPr>
        <w:t>（</w:t>
      </w:r>
      <w:r>
        <w:rPr>
          <w:rFonts w:hint="eastAsia"/>
          <w:color w:val="auto"/>
          <w:kern w:val="1"/>
          <w:szCs w:val="21"/>
          <w:highlight w:val="none"/>
        </w:rPr>
        <w:t>具体要求详见第四章评审方法及标准“过低报价合理性的审查”</w:t>
      </w:r>
      <w:r>
        <w:rPr>
          <w:rFonts w:hint="eastAsia"/>
          <w:color w:val="auto"/>
          <w:szCs w:val="21"/>
          <w:highlight w:val="none"/>
        </w:rPr>
        <w:t>）</w:t>
      </w:r>
    </w:p>
    <w:p w14:paraId="010DA9BD">
      <w:pPr>
        <w:pStyle w:val="142"/>
        <w:jc w:val="center"/>
        <w:rPr>
          <w:b/>
          <w:bCs/>
          <w:color w:val="auto"/>
          <w:highlight w:val="none"/>
        </w:rPr>
      </w:pPr>
      <w:bookmarkStart w:id="112" w:name="_Hlk211331823"/>
    </w:p>
    <w:p w14:paraId="3D73D8D6">
      <w:pPr>
        <w:pStyle w:val="142"/>
        <w:jc w:val="center"/>
        <w:rPr>
          <w:color w:val="auto"/>
          <w:highlight w:val="none"/>
        </w:rPr>
      </w:pPr>
      <w:r>
        <w:rPr>
          <w:rFonts w:hint="eastAsia"/>
          <w:b/>
          <w:bCs/>
          <w:color w:val="auto"/>
          <w:highlight w:val="none"/>
        </w:rPr>
        <w:t>产品成本测算表（参考格式）</w:t>
      </w:r>
    </w:p>
    <w:p w14:paraId="18B896A5">
      <w:pPr>
        <w:spacing w:line="360" w:lineRule="auto"/>
        <w:rPr>
          <w:color w:val="auto"/>
          <w:highlight w:val="none"/>
        </w:rPr>
      </w:pPr>
    </w:p>
    <w:bookmarkEnd w:id="112"/>
    <w:tbl>
      <w:tblPr>
        <w:tblStyle w:val="52"/>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2A841E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7A92E42D">
            <w:pPr>
              <w:ind w:left="-105" w:leftChars="-50" w:right="-105" w:rightChars="-50"/>
              <w:jc w:val="center"/>
              <w:rPr>
                <w:rFonts w:cs="宋体"/>
                <w:b/>
                <w:color w:val="auto"/>
                <w:highlight w:val="none"/>
              </w:rPr>
            </w:pPr>
            <w:r>
              <w:rPr>
                <w:rFonts w:hint="eastAsia" w:cs="仿宋_GB2312"/>
                <w:b/>
                <w:color w:val="auto"/>
                <w:highlight w:val="none"/>
              </w:rPr>
              <w:t>序号</w:t>
            </w:r>
          </w:p>
        </w:tc>
        <w:tc>
          <w:tcPr>
            <w:tcW w:w="201" w:type="pct"/>
            <w:shd w:val="clear" w:color="C3BD96" w:themeColor="background2" w:themeShade="BF" w:fill="auto"/>
            <w:vAlign w:val="center"/>
          </w:tcPr>
          <w:p w14:paraId="4FB6AAFB">
            <w:pPr>
              <w:spacing w:line="360" w:lineRule="auto"/>
              <w:ind w:left="-48" w:leftChars="-23" w:right="-65" w:rightChars="-31"/>
              <w:jc w:val="center"/>
              <w:rPr>
                <w:rFonts w:cs="宋体"/>
                <w:b/>
                <w:color w:val="auto"/>
                <w:highlight w:val="none"/>
              </w:rPr>
            </w:pPr>
            <w:r>
              <w:rPr>
                <w:rFonts w:hint="eastAsia" w:cs="宋体"/>
                <w:b/>
                <w:color w:val="auto"/>
                <w:highlight w:val="none"/>
              </w:rPr>
              <w:t>名称</w:t>
            </w:r>
          </w:p>
        </w:tc>
        <w:tc>
          <w:tcPr>
            <w:tcW w:w="380" w:type="pct"/>
            <w:shd w:val="clear" w:color="C3BD96" w:themeColor="background2" w:themeShade="BF" w:fill="auto"/>
            <w:vAlign w:val="center"/>
          </w:tcPr>
          <w:p w14:paraId="7958CF7C">
            <w:pPr>
              <w:spacing w:line="360" w:lineRule="auto"/>
              <w:ind w:left="-48" w:leftChars="-23" w:right="-65" w:rightChars="-31"/>
              <w:jc w:val="center"/>
              <w:rPr>
                <w:rFonts w:cs="宋体"/>
                <w:b/>
                <w:color w:val="auto"/>
                <w:highlight w:val="none"/>
              </w:rPr>
            </w:pPr>
            <w:r>
              <w:rPr>
                <w:rFonts w:hint="eastAsia"/>
                <w:b/>
                <w:color w:val="auto"/>
                <w:highlight w:val="none"/>
              </w:rPr>
              <w:t>品牌规格型号</w:t>
            </w:r>
          </w:p>
        </w:tc>
        <w:tc>
          <w:tcPr>
            <w:tcW w:w="282" w:type="pct"/>
            <w:tcBorders>
              <w:left w:val="single" w:color="auto" w:sz="4" w:space="0"/>
            </w:tcBorders>
            <w:shd w:val="clear" w:color="C3BD96" w:themeColor="background2" w:themeShade="BF" w:fill="auto"/>
            <w:vAlign w:val="center"/>
          </w:tcPr>
          <w:p w14:paraId="1B3C0539">
            <w:pPr>
              <w:spacing w:line="360" w:lineRule="auto"/>
              <w:ind w:left="-48" w:leftChars="-23" w:right="-65" w:rightChars="-31"/>
              <w:jc w:val="center"/>
              <w:rPr>
                <w:rFonts w:cs="宋体"/>
                <w:b/>
                <w:color w:val="auto"/>
                <w:highlight w:val="none"/>
              </w:rPr>
            </w:pPr>
            <w:r>
              <w:rPr>
                <w:rFonts w:hint="eastAsia" w:cs="宋体"/>
                <w:b/>
                <w:color w:val="auto"/>
                <w:highlight w:val="none"/>
              </w:rPr>
              <w:t>单位</w:t>
            </w:r>
          </w:p>
        </w:tc>
        <w:tc>
          <w:tcPr>
            <w:tcW w:w="478" w:type="pct"/>
            <w:tcBorders>
              <w:right w:val="single" w:color="auto" w:sz="4" w:space="0"/>
            </w:tcBorders>
            <w:shd w:val="clear" w:color="C3BD96" w:themeColor="background2" w:themeShade="BF" w:fill="auto"/>
            <w:vAlign w:val="center"/>
          </w:tcPr>
          <w:p w14:paraId="19978F7B">
            <w:pPr>
              <w:spacing w:line="360" w:lineRule="auto"/>
              <w:ind w:left="-48" w:leftChars="-23" w:right="-65" w:rightChars="-31"/>
              <w:jc w:val="center"/>
              <w:rPr>
                <w:rFonts w:cs="宋体"/>
                <w:b/>
                <w:color w:val="auto"/>
                <w:highlight w:val="none"/>
              </w:rPr>
            </w:pPr>
            <w:r>
              <w:rPr>
                <w:rFonts w:hint="eastAsia" w:cs="宋体"/>
                <w:b/>
                <w:color w:val="auto"/>
                <w:highlight w:val="none"/>
              </w:rPr>
              <w:t>报价单价（</w:t>
            </w:r>
            <w:r>
              <w:rPr>
                <w:rFonts w:cs="宋体"/>
                <w:b/>
                <w:color w:val="auto"/>
                <w:highlight w:val="none"/>
              </w:rPr>
              <w:t>元）</w:t>
            </w:r>
          </w:p>
        </w:tc>
        <w:tc>
          <w:tcPr>
            <w:tcW w:w="692" w:type="pct"/>
            <w:shd w:val="clear" w:color="C3BD96" w:themeColor="background2" w:themeShade="BF" w:fill="auto"/>
            <w:vAlign w:val="center"/>
          </w:tcPr>
          <w:p w14:paraId="42945B44">
            <w:pPr>
              <w:spacing w:line="360" w:lineRule="auto"/>
              <w:ind w:left="-48" w:leftChars="-23" w:right="-65" w:rightChars="-31"/>
              <w:jc w:val="center"/>
              <w:rPr>
                <w:rFonts w:cs="宋体"/>
                <w:b/>
                <w:color w:val="auto"/>
                <w:highlight w:val="none"/>
              </w:rPr>
            </w:pPr>
            <w:r>
              <w:rPr>
                <w:rFonts w:hint="eastAsia" w:cs="宋体"/>
                <w:b/>
                <w:color w:val="auto"/>
                <w:highlight w:val="none"/>
              </w:rPr>
              <w:t>成本项目</w:t>
            </w:r>
          </w:p>
          <w:p w14:paraId="7828D1B9">
            <w:pPr>
              <w:spacing w:line="360" w:lineRule="auto"/>
              <w:ind w:right="-65" w:rightChars="-31"/>
              <w:rPr>
                <w:rFonts w:cs="宋体"/>
                <w:b/>
                <w:color w:val="auto"/>
                <w:highlight w:val="none"/>
              </w:rPr>
            </w:pPr>
          </w:p>
        </w:tc>
        <w:tc>
          <w:tcPr>
            <w:tcW w:w="560" w:type="pct"/>
            <w:shd w:val="clear" w:color="C3BD96" w:themeColor="background2" w:themeShade="BF" w:fill="auto"/>
            <w:vAlign w:val="center"/>
          </w:tcPr>
          <w:p w14:paraId="3F5F8133">
            <w:pPr>
              <w:spacing w:line="360" w:lineRule="auto"/>
              <w:ind w:left="-48" w:leftChars="-23" w:right="-65" w:rightChars="-31"/>
              <w:jc w:val="center"/>
              <w:rPr>
                <w:rFonts w:cs="宋体"/>
                <w:b/>
                <w:color w:val="auto"/>
                <w:highlight w:val="none"/>
              </w:rPr>
            </w:pPr>
            <w:r>
              <w:rPr>
                <w:rFonts w:hint="eastAsia" w:cs="宋体"/>
                <w:b/>
                <w:color w:val="auto"/>
                <w:highlight w:val="none"/>
              </w:rPr>
              <w:t>具体明细</w:t>
            </w:r>
          </w:p>
          <w:p w14:paraId="7B58CAA8">
            <w:pPr>
              <w:spacing w:line="360" w:lineRule="auto"/>
              <w:ind w:left="-48" w:leftChars="-23" w:right="-65" w:rightChars="-31"/>
              <w:jc w:val="center"/>
              <w:rPr>
                <w:rFonts w:cs="宋体"/>
                <w:b/>
                <w:color w:val="auto"/>
                <w:highlight w:val="none"/>
              </w:rPr>
            </w:pPr>
          </w:p>
        </w:tc>
        <w:tc>
          <w:tcPr>
            <w:tcW w:w="511" w:type="pct"/>
            <w:shd w:val="clear" w:color="C3BD96" w:themeColor="background2" w:themeShade="BF" w:fill="auto"/>
            <w:vAlign w:val="center"/>
          </w:tcPr>
          <w:p w14:paraId="4DC647C5">
            <w:pPr>
              <w:spacing w:line="360" w:lineRule="auto"/>
              <w:ind w:left="-48" w:leftChars="-23" w:right="-65" w:rightChars="-31"/>
              <w:jc w:val="center"/>
              <w:rPr>
                <w:rFonts w:cs="宋体"/>
                <w:b/>
                <w:color w:val="auto"/>
                <w:highlight w:val="none"/>
              </w:rPr>
            </w:pPr>
            <w:r>
              <w:rPr>
                <w:rFonts w:hint="eastAsia" w:cs="宋体"/>
                <w:b/>
                <w:color w:val="auto"/>
                <w:highlight w:val="none"/>
              </w:rPr>
              <w:t>单位产品用量</w:t>
            </w:r>
          </w:p>
          <w:p w14:paraId="0745890E">
            <w:pPr>
              <w:spacing w:line="360" w:lineRule="auto"/>
              <w:ind w:left="-48" w:leftChars="-23" w:right="-65" w:rightChars="-31"/>
              <w:jc w:val="center"/>
              <w:rPr>
                <w:rFonts w:cs="宋体"/>
                <w:b/>
                <w:color w:val="auto"/>
                <w:highlight w:val="none"/>
              </w:rPr>
            </w:pPr>
          </w:p>
        </w:tc>
        <w:tc>
          <w:tcPr>
            <w:tcW w:w="606" w:type="pct"/>
            <w:shd w:val="clear" w:color="C3BD96" w:themeColor="background2" w:themeShade="BF" w:fill="auto"/>
            <w:vAlign w:val="center"/>
          </w:tcPr>
          <w:p w14:paraId="3F186827">
            <w:pPr>
              <w:spacing w:line="360" w:lineRule="auto"/>
              <w:ind w:left="-48" w:leftChars="-23" w:right="-65" w:rightChars="-31"/>
              <w:jc w:val="center"/>
              <w:rPr>
                <w:rFonts w:cs="宋体"/>
                <w:b/>
                <w:color w:val="auto"/>
                <w:highlight w:val="none"/>
              </w:rPr>
            </w:pPr>
            <w:r>
              <w:rPr>
                <w:rFonts w:hint="eastAsia" w:cs="宋体"/>
                <w:b/>
                <w:color w:val="auto"/>
                <w:highlight w:val="none"/>
              </w:rPr>
              <w:t>单位成本（元）</w:t>
            </w:r>
          </w:p>
        </w:tc>
        <w:tc>
          <w:tcPr>
            <w:tcW w:w="449" w:type="pct"/>
            <w:tcBorders>
              <w:left w:val="single" w:color="auto" w:sz="4" w:space="0"/>
            </w:tcBorders>
            <w:shd w:val="clear" w:color="C3BD96" w:themeColor="background2" w:themeShade="BF" w:fill="auto"/>
            <w:vAlign w:val="center"/>
          </w:tcPr>
          <w:p w14:paraId="2FD5A52E">
            <w:pPr>
              <w:spacing w:line="360" w:lineRule="auto"/>
              <w:ind w:left="-48" w:leftChars="-23" w:right="-65" w:rightChars="-31"/>
              <w:jc w:val="center"/>
              <w:rPr>
                <w:rFonts w:cs="宋体"/>
                <w:b/>
                <w:color w:val="auto"/>
                <w:highlight w:val="none"/>
              </w:rPr>
            </w:pPr>
            <w:r>
              <w:rPr>
                <w:rFonts w:hint="eastAsia" w:cs="宋体"/>
                <w:b/>
                <w:color w:val="auto"/>
                <w:highlight w:val="none"/>
              </w:rPr>
              <w:t>成本</w:t>
            </w:r>
            <w:r>
              <w:rPr>
                <w:rFonts w:cs="宋体"/>
                <w:b/>
                <w:color w:val="auto"/>
                <w:highlight w:val="none"/>
              </w:rPr>
              <w:t>合计（元）</w:t>
            </w:r>
          </w:p>
        </w:tc>
        <w:tc>
          <w:tcPr>
            <w:tcW w:w="587" w:type="pct"/>
            <w:tcBorders>
              <w:left w:val="single" w:color="auto" w:sz="4" w:space="0"/>
            </w:tcBorders>
            <w:shd w:val="clear" w:color="C3BD96" w:themeColor="background2" w:themeShade="BF" w:fill="auto"/>
            <w:vAlign w:val="center"/>
          </w:tcPr>
          <w:p w14:paraId="6C4A61CF">
            <w:pPr>
              <w:spacing w:line="360" w:lineRule="auto"/>
              <w:ind w:left="-48" w:leftChars="-23" w:right="-65" w:rightChars="-31"/>
              <w:jc w:val="center"/>
              <w:rPr>
                <w:rFonts w:cs="宋体"/>
                <w:b/>
                <w:color w:val="auto"/>
                <w:highlight w:val="none"/>
              </w:rPr>
            </w:pPr>
            <w:r>
              <w:rPr>
                <w:rFonts w:hint="eastAsia" w:cs="宋体"/>
                <w:b/>
                <w:color w:val="auto"/>
                <w:highlight w:val="none"/>
              </w:rPr>
              <w:t>备注（测算依据/证明材料）</w:t>
            </w:r>
          </w:p>
        </w:tc>
      </w:tr>
      <w:tr w14:paraId="77A5F0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vAlign w:val="center"/>
          </w:tcPr>
          <w:p w14:paraId="371C522D">
            <w:pPr>
              <w:numPr>
                <w:ilvl w:val="0"/>
                <w:numId w:val="3"/>
              </w:numPr>
              <w:tabs>
                <w:tab w:val="left" w:pos="61"/>
              </w:tabs>
              <w:jc w:val="center"/>
              <w:rPr>
                <w:color w:val="auto"/>
                <w:highlight w:val="none"/>
              </w:rPr>
            </w:pPr>
          </w:p>
        </w:tc>
        <w:tc>
          <w:tcPr>
            <w:tcW w:w="201" w:type="pct"/>
            <w:vMerge w:val="restart"/>
            <w:vAlign w:val="center"/>
          </w:tcPr>
          <w:p w14:paraId="6A2E23F6">
            <w:pPr>
              <w:tabs>
                <w:tab w:val="left" w:pos="0"/>
                <w:tab w:val="left" w:pos="56"/>
              </w:tabs>
              <w:ind w:left="479" w:hanging="478" w:hangingChars="228"/>
              <w:jc w:val="center"/>
              <w:rPr>
                <w:color w:val="auto"/>
                <w:highlight w:val="none"/>
              </w:rPr>
            </w:pPr>
          </w:p>
        </w:tc>
        <w:tc>
          <w:tcPr>
            <w:tcW w:w="380" w:type="pct"/>
            <w:vMerge w:val="restart"/>
            <w:vAlign w:val="center"/>
          </w:tcPr>
          <w:p w14:paraId="752434F8">
            <w:pPr>
              <w:spacing w:line="240" w:lineRule="atLeast"/>
              <w:ind w:left="-48" w:leftChars="-23" w:right="-65" w:rightChars="-31"/>
              <w:jc w:val="left"/>
              <w:rPr>
                <w:rFonts w:cs="宋体"/>
                <w:color w:val="auto"/>
                <w:highlight w:val="none"/>
              </w:rPr>
            </w:pPr>
          </w:p>
        </w:tc>
        <w:tc>
          <w:tcPr>
            <w:tcW w:w="282" w:type="pct"/>
            <w:vMerge w:val="restart"/>
            <w:tcBorders>
              <w:left w:val="single" w:color="auto" w:sz="4" w:space="0"/>
            </w:tcBorders>
            <w:vAlign w:val="center"/>
          </w:tcPr>
          <w:p w14:paraId="0ABECA1C">
            <w:pPr>
              <w:spacing w:line="240" w:lineRule="atLeast"/>
              <w:ind w:left="-48" w:leftChars="-23" w:right="-65" w:rightChars="-31"/>
              <w:jc w:val="left"/>
              <w:rPr>
                <w:rFonts w:cs="宋体"/>
                <w:color w:val="auto"/>
                <w:highlight w:val="none"/>
              </w:rPr>
            </w:pPr>
          </w:p>
        </w:tc>
        <w:tc>
          <w:tcPr>
            <w:tcW w:w="478" w:type="pct"/>
            <w:vMerge w:val="restart"/>
            <w:tcBorders>
              <w:left w:val="single" w:color="auto" w:sz="4" w:space="0"/>
              <w:right w:val="single" w:color="auto" w:sz="4" w:space="0"/>
            </w:tcBorders>
            <w:vAlign w:val="center"/>
          </w:tcPr>
          <w:p w14:paraId="626C279B">
            <w:pPr>
              <w:spacing w:line="240" w:lineRule="atLeast"/>
              <w:ind w:left="-48" w:leftChars="-23" w:right="-65" w:rightChars="-31"/>
              <w:jc w:val="left"/>
              <w:rPr>
                <w:rFonts w:cs="宋体"/>
                <w:color w:val="auto"/>
                <w:highlight w:val="none"/>
              </w:rPr>
            </w:pPr>
          </w:p>
        </w:tc>
        <w:tc>
          <w:tcPr>
            <w:tcW w:w="692" w:type="pct"/>
            <w:vMerge w:val="restart"/>
            <w:tcBorders>
              <w:left w:val="single" w:color="auto" w:sz="4" w:space="0"/>
              <w:right w:val="single" w:color="auto" w:sz="4" w:space="0"/>
            </w:tcBorders>
            <w:vAlign w:val="center"/>
          </w:tcPr>
          <w:p w14:paraId="3A423E7A">
            <w:pPr>
              <w:spacing w:line="240" w:lineRule="atLeast"/>
              <w:ind w:left="-48" w:leftChars="-23" w:right="-65" w:rightChars="-31"/>
              <w:jc w:val="left"/>
              <w:rPr>
                <w:rFonts w:cs="宋体"/>
                <w:color w:val="auto"/>
                <w:highlight w:val="none"/>
              </w:rPr>
            </w:pPr>
            <w:r>
              <w:rPr>
                <w:rFonts w:hint="eastAsia" w:cs="宋体"/>
                <w:color w:val="auto"/>
                <w:highlight w:val="none"/>
              </w:rPr>
              <w:t>原材料成本</w:t>
            </w:r>
          </w:p>
        </w:tc>
        <w:tc>
          <w:tcPr>
            <w:tcW w:w="560" w:type="pct"/>
            <w:tcBorders>
              <w:left w:val="single" w:color="auto" w:sz="4" w:space="0"/>
            </w:tcBorders>
            <w:vAlign w:val="center"/>
          </w:tcPr>
          <w:p w14:paraId="53DA4A20">
            <w:pPr>
              <w:spacing w:line="240" w:lineRule="atLeast"/>
              <w:ind w:left="-48" w:leftChars="-23" w:right="-65" w:rightChars="-31"/>
              <w:jc w:val="left"/>
              <w:rPr>
                <w:rFonts w:cs="宋体"/>
                <w:color w:val="auto"/>
                <w:highlight w:val="none"/>
              </w:rPr>
            </w:pPr>
            <w:r>
              <w:rPr>
                <w:rFonts w:cs="宋体"/>
                <w:color w:val="auto"/>
                <w:highlight w:val="none"/>
              </w:rPr>
              <w:t>原材料1</w:t>
            </w:r>
          </w:p>
        </w:tc>
        <w:tc>
          <w:tcPr>
            <w:tcW w:w="511" w:type="pct"/>
            <w:tcBorders>
              <w:left w:val="single" w:color="auto" w:sz="4" w:space="0"/>
            </w:tcBorders>
            <w:vAlign w:val="center"/>
          </w:tcPr>
          <w:p w14:paraId="5E1EC4BD">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1EA90A3F">
            <w:pPr>
              <w:spacing w:line="240" w:lineRule="atLeast"/>
              <w:ind w:left="-48" w:leftChars="-23" w:right="-65" w:rightChars="-31"/>
              <w:jc w:val="left"/>
              <w:rPr>
                <w:rFonts w:cs="宋体"/>
                <w:color w:val="auto"/>
                <w:highlight w:val="none"/>
              </w:rPr>
            </w:pPr>
          </w:p>
        </w:tc>
        <w:tc>
          <w:tcPr>
            <w:tcW w:w="449" w:type="pct"/>
            <w:vMerge w:val="restart"/>
            <w:tcBorders>
              <w:left w:val="single" w:color="auto" w:sz="4" w:space="0"/>
            </w:tcBorders>
            <w:vAlign w:val="center"/>
          </w:tcPr>
          <w:p w14:paraId="454F9CA9">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4E19E28C">
            <w:pPr>
              <w:spacing w:line="240" w:lineRule="atLeast"/>
              <w:ind w:left="-48" w:leftChars="-23" w:right="-65" w:rightChars="-31"/>
              <w:jc w:val="left"/>
              <w:rPr>
                <w:rFonts w:cs="宋体"/>
                <w:color w:val="auto"/>
                <w:highlight w:val="none"/>
              </w:rPr>
            </w:pPr>
          </w:p>
        </w:tc>
      </w:tr>
      <w:tr w14:paraId="334AEC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334BA2A7">
            <w:pPr>
              <w:numPr>
                <w:ilvl w:val="0"/>
                <w:numId w:val="3"/>
              </w:numPr>
              <w:tabs>
                <w:tab w:val="left" w:pos="61"/>
              </w:tabs>
              <w:jc w:val="center"/>
              <w:rPr>
                <w:color w:val="auto"/>
                <w:highlight w:val="none"/>
              </w:rPr>
            </w:pPr>
          </w:p>
        </w:tc>
        <w:tc>
          <w:tcPr>
            <w:tcW w:w="201" w:type="pct"/>
            <w:vMerge w:val="continue"/>
            <w:vAlign w:val="center"/>
          </w:tcPr>
          <w:p w14:paraId="7EBB528B">
            <w:pPr>
              <w:tabs>
                <w:tab w:val="left" w:pos="0"/>
                <w:tab w:val="left" w:pos="56"/>
              </w:tabs>
              <w:ind w:left="479" w:hanging="478" w:hangingChars="228"/>
              <w:jc w:val="center"/>
              <w:rPr>
                <w:color w:val="auto"/>
                <w:highlight w:val="none"/>
              </w:rPr>
            </w:pPr>
          </w:p>
        </w:tc>
        <w:tc>
          <w:tcPr>
            <w:tcW w:w="380" w:type="pct"/>
            <w:vMerge w:val="continue"/>
            <w:vAlign w:val="center"/>
          </w:tcPr>
          <w:p w14:paraId="1BFB2ECE">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3D459E8E">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44782B53">
            <w:pPr>
              <w:spacing w:line="240" w:lineRule="atLeast"/>
              <w:ind w:left="-48" w:leftChars="-23" w:right="-65" w:rightChars="-31"/>
              <w:jc w:val="left"/>
              <w:rPr>
                <w:rFonts w:cs="宋体"/>
                <w:color w:val="auto"/>
                <w:highlight w:val="none"/>
              </w:rPr>
            </w:pPr>
          </w:p>
        </w:tc>
        <w:tc>
          <w:tcPr>
            <w:tcW w:w="692" w:type="pct"/>
            <w:vMerge w:val="continue"/>
            <w:tcBorders>
              <w:left w:val="single" w:color="auto" w:sz="4" w:space="0"/>
              <w:right w:val="single" w:color="auto" w:sz="4" w:space="0"/>
            </w:tcBorders>
            <w:vAlign w:val="center"/>
          </w:tcPr>
          <w:p w14:paraId="41F588E0">
            <w:pPr>
              <w:spacing w:line="240" w:lineRule="atLeast"/>
              <w:ind w:left="-48" w:leftChars="-23" w:right="-65" w:rightChars="-31"/>
              <w:jc w:val="left"/>
              <w:rPr>
                <w:rFonts w:cs="宋体"/>
                <w:color w:val="auto"/>
                <w:highlight w:val="none"/>
              </w:rPr>
            </w:pPr>
          </w:p>
        </w:tc>
        <w:tc>
          <w:tcPr>
            <w:tcW w:w="560" w:type="pct"/>
            <w:tcBorders>
              <w:left w:val="single" w:color="auto" w:sz="4" w:space="0"/>
            </w:tcBorders>
            <w:vAlign w:val="center"/>
          </w:tcPr>
          <w:p w14:paraId="3EF9F84E">
            <w:pP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511" w:type="pct"/>
            <w:tcBorders>
              <w:left w:val="single" w:color="auto" w:sz="4" w:space="0"/>
            </w:tcBorders>
            <w:vAlign w:val="center"/>
          </w:tcPr>
          <w:p w14:paraId="2F4FEF1A">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13FDCB43">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26E076BB">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3751FC14">
            <w:pPr>
              <w:spacing w:line="240" w:lineRule="atLeast"/>
              <w:ind w:left="-48" w:leftChars="-23" w:right="-65" w:rightChars="-31"/>
              <w:jc w:val="left"/>
              <w:rPr>
                <w:rFonts w:cs="宋体"/>
                <w:color w:val="auto"/>
                <w:highlight w:val="none"/>
              </w:rPr>
            </w:pPr>
          </w:p>
        </w:tc>
      </w:tr>
      <w:tr w14:paraId="0EB40F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6EA7076E">
            <w:pPr>
              <w:tabs>
                <w:tab w:val="left" w:pos="61"/>
              </w:tabs>
              <w:jc w:val="center"/>
              <w:rPr>
                <w:color w:val="auto"/>
                <w:highlight w:val="none"/>
              </w:rPr>
            </w:pPr>
          </w:p>
        </w:tc>
        <w:tc>
          <w:tcPr>
            <w:tcW w:w="201" w:type="pct"/>
            <w:vMerge w:val="continue"/>
            <w:vAlign w:val="center"/>
          </w:tcPr>
          <w:p w14:paraId="021A0603">
            <w:pPr>
              <w:tabs>
                <w:tab w:val="left" w:pos="0"/>
                <w:tab w:val="left" w:pos="56"/>
              </w:tabs>
              <w:ind w:left="479" w:hanging="478" w:hangingChars="228"/>
              <w:jc w:val="center"/>
              <w:rPr>
                <w:color w:val="auto"/>
                <w:highlight w:val="none"/>
              </w:rPr>
            </w:pPr>
          </w:p>
        </w:tc>
        <w:tc>
          <w:tcPr>
            <w:tcW w:w="380" w:type="pct"/>
            <w:vMerge w:val="continue"/>
            <w:vAlign w:val="center"/>
          </w:tcPr>
          <w:p w14:paraId="2BAC6955">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6FBBC128">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51F95426">
            <w:pPr>
              <w:spacing w:line="240" w:lineRule="atLeast"/>
              <w:ind w:left="-48" w:leftChars="-23" w:right="-65" w:rightChars="-31"/>
              <w:jc w:val="left"/>
              <w:rPr>
                <w:rFonts w:cs="宋体"/>
                <w:color w:val="auto"/>
                <w:highlight w:val="none"/>
              </w:rPr>
            </w:pPr>
          </w:p>
        </w:tc>
        <w:tc>
          <w:tcPr>
            <w:tcW w:w="692" w:type="pct"/>
            <w:vMerge w:val="restart"/>
            <w:tcBorders>
              <w:left w:val="single" w:color="auto" w:sz="4" w:space="0"/>
              <w:right w:val="single" w:color="auto" w:sz="4" w:space="0"/>
            </w:tcBorders>
            <w:vAlign w:val="center"/>
          </w:tcPr>
          <w:p w14:paraId="7F323941">
            <w:pPr>
              <w:spacing w:line="240" w:lineRule="atLeast"/>
              <w:ind w:left="-48" w:leftChars="-23" w:right="-65" w:rightChars="-31"/>
              <w:jc w:val="left"/>
              <w:rPr>
                <w:rFonts w:cs="宋体"/>
                <w:color w:val="auto"/>
                <w:highlight w:val="none"/>
              </w:rPr>
            </w:pPr>
            <w:r>
              <w:rPr>
                <w:rFonts w:hint="eastAsia" w:cs="宋体"/>
                <w:color w:val="auto"/>
                <w:highlight w:val="none"/>
              </w:rPr>
              <w:t>人工成本</w:t>
            </w:r>
          </w:p>
        </w:tc>
        <w:tc>
          <w:tcPr>
            <w:tcW w:w="560" w:type="pct"/>
            <w:tcBorders>
              <w:left w:val="single" w:color="auto" w:sz="4" w:space="0"/>
            </w:tcBorders>
            <w:vAlign w:val="center"/>
          </w:tcPr>
          <w:p w14:paraId="7F7AE930">
            <w:pPr>
              <w:spacing w:line="240" w:lineRule="atLeast"/>
              <w:ind w:left="-48" w:leftChars="-23" w:right="-65" w:rightChars="-31"/>
              <w:jc w:val="left"/>
              <w:rPr>
                <w:rFonts w:cs="宋体"/>
                <w:color w:val="auto"/>
                <w:highlight w:val="none"/>
              </w:rPr>
            </w:pPr>
            <w:r>
              <w:rPr>
                <w:rFonts w:cs="宋体"/>
                <w:color w:val="auto"/>
                <w:highlight w:val="none"/>
              </w:rPr>
              <w:t>生产工人工资</w:t>
            </w:r>
          </w:p>
        </w:tc>
        <w:tc>
          <w:tcPr>
            <w:tcW w:w="511" w:type="pct"/>
            <w:tcBorders>
              <w:left w:val="single" w:color="auto" w:sz="4" w:space="0"/>
            </w:tcBorders>
            <w:vAlign w:val="center"/>
          </w:tcPr>
          <w:p w14:paraId="39FE2FA0">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37C08D2A">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15030BF9">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3D85B59F">
            <w:pPr>
              <w:spacing w:line="240" w:lineRule="atLeast"/>
              <w:ind w:left="-48" w:leftChars="-23" w:right="-65" w:rightChars="-31"/>
              <w:jc w:val="left"/>
              <w:rPr>
                <w:rFonts w:cs="宋体"/>
                <w:color w:val="auto"/>
                <w:highlight w:val="none"/>
              </w:rPr>
            </w:pPr>
          </w:p>
        </w:tc>
      </w:tr>
      <w:tr w14:paraId="651D68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673EB48D">
            <w:pPr>
              <w:tabs>
                <w:tab w:val="left" w:pos="61"/>
              </w:tabs>
              <w:jc w:val="center"/>
              <w:rPr>
                <w:color w:val="auto"/>
                <w:highlight w:val="none"/>
              </w:rPr>
            </w:pPr>
          </w:p>
        </w:tc>
        <w:tc>
          <w:tcPr>
            <w:tcW w:w="201" w:type="pct"/>
            <w:vMerge w:val="continue"/>
            <w:vAlign w:val="center"/>
          </w:tcPr>
          <w:p w14:paraId="2232A7BD">
            <w:pPr>
              <w:tabs>
                <w:tab w:val="left" w:pos="0"/>
                <w:tab w:val="left" w:pos="56"/>
              </w:tabs>
              <w:ind w:left="479" w:hanging="478" w:hangingChars="228"/>
              <w:jc w:val="center"/>
              <w:rPr>
                <w:color w:val="auto"/>
                <w:highlight w:val="none"/>
              </w:rPr>
            </w:pPr>
          </w:p>
        </w:tc>
        <w:tc>
          <w:tcPr>
            <w:tcW w:w="380" w:type="pct"/>
            <w:vMerge w:val="continue"/>
            <w:vAlign w:val="center"/>
          </w:tcPr>
          <w:p w14:paraId="06F16F3B">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0985712A">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3A056213">
            <w:pPr>
              <w:spacing w:line="240" w:lineRule="atLeast"/>
              <w:ind w:left="-48" w:leftChars="-23" w:right="-65" w:rightChars="-31"/>
              <w:jc w:val="left"/>
              <w:rPr>
                <w:rFonts w:cs="宋体"/>
                <w:color w:val="auto"/>
                <w:highlight w:val="none"/>
              </w:rPr>
            </w:pPr>
          </w:p>
        </w:tc>
        <w:tc>
          <w:tcPr>
            <w:tcW w:w="692" w:type="pct"/>
            <w:vMerge w:val="continue"/>
            <w:tcBorders>
              <w:left w:val="single" w:color="auto" w:sz="4" w:space="0"/>
              <w:right w:val="single" w:color="auto" w:sz="4" w:space="0"/>
            </w:tcBorders>
            <w:vAlign w:val="center"/>
          </w:tcPr>
          <w:p w14:paraId="349C324D">
            <w:pPr>
              <w:spacing w:line="240" w:lineRule="atLeast"/>
              <w:ind w:left="-48" w:leftChars="-23" w:right="-65" w:rightChars="-31"/>
              <w:jc w:val="left"/>
              <w:rPr>
                <w:rFonts w:cs="宋体"/>
                <w:color w:val="auto"/>
                <w:highlight w:val="none"/>
              </w:rPr>
            </w:pPr>
          </w:p>
        </w:tc>
        <w:tc>
          <w:tcPr>
            <w:tcW w:w="560" w:type="pct"/>
            <w:tcBorders>
              <w:left w:val="single" w:color="auto" w:sz="4" w:space="0"/>
            </w:tcBorders>
            <w:vAlign w:val="center"/>
          </w:tcPr>
          <w:p w14:paraId="4286EDB8">
            <w:pP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511" w:type="pct"/>
            <w:tcBorders>
              <w:left w:val="single" w:color="auto" w:sz="4" w:space="0"/>
            </w:tcBorders>
            <w:vAlign w:val="center"/>
          </w:tcPr>
          <w:p w14:paraId="2B744404">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7BD26DAD">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40C86934">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5A5782B1">
            <w:pPr>
              <w:spacing w:line="240" w:lineRule="atLeast"/>
              <w:ind w:left="-48" w:leftChars="-23" w:right="-65" w:rightChars="-31"/>
              <w:jc w:val="left"/>
              <w:rPr>
                <w:rFonts w:cs="宋体"/>
                <w:color w:val="auto"/>
                <w:highlight w:val="none"/>
              </w:rPr>
            </w:pPr>
          </w:p>
        </w:tc>
      </w:tr>
      <w:tr w14:paraId="7C33FA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71429136">
            <w:pPr>
              <w:tabs>
                <w:tab w:val="left" w:pos="61"/>
              </w:tabs>
              <w:jc w:val="center"/>
              <w:rPr>
                <w:color w:val="auto"/>
                <w:highlight w:val="none"/>
              </w:rPr>
            </w:pPr>
          </w:p>
        </w:tc>
        <w:tc>
          <w:tcPr>
            <w:tcW w:w="201" w:type="pct"/>
            <w:vMerge w:val="continue"/>
            <w:vAlign w:val="center"/>
          </w:tcPr>
          <w:p w14:paraId="3C6096E7">
            <w:pPr>
              <w:tabs>
                <w:tab w:val="left" w:pos="0"/>
                <w:tab w:val="left" w:pos="56"/>
              </w:tabs>
              <w:ind w:left="479" w:hanging="478" w:hangingChars="228"/>
              <w:jc w:val="center"/>
              <w:rPr>
                <w:color w:val="auto"/>
                <w:highlight w:val="none"/>
              </w:rPr>
            </w:pPr>
          </w:p>
        </w:tc>
        <w:tc>
          <w:tcPr>
            <w:tcW w:w="380" w:type="pct"/>
            <w:vMerge w:val="continue"/>
            <w:vAlign w:val="center"/>
          </w:tcPr>
          <w:p w14:paraId="607DBD8F">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4609955A">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7AEF46C9">
            <w:pPr>
              <w:spacing w:line="240" w:lineRule="atLeast"/>
              <w:ind w:left="-48" w:leftChars="-23" w:right="-65" w:rightChars="-31"/>
              <w:jc w:val="left"/>
              <w:rPr>
                <w:rFonts w:cs="宋体"/>
                <w:color w:val="auto"/>
                <w:highlight w:val="none"/>
              </w:rPr>
            </w:pPr>
          </w:p>
        </w:tc>
        <w:tc>
          <w:tcPr>
            <w:tcW w:w="692" w:type="pct"/>
            <w:vMerge w:val="restart"/>
            <w:tcBorders>
              <w:left w:val="single" w:color="auto" w:sz="4" w:space="0"/>
              <w:right w:val="single" w:color="auto" w:sz="4" w:space="0"/>
            </w:tcBorders>
            <w:vAlign w:val="center"/>
          </w:tcPr>
          <w:p w14:paraId="184C4A70">
            <w:pPr>
              <w:spacing w:line="240" w:lineRule="atLeast"/>
              <w:ind w:left="-48" w:leftChars="-23" w:right="-65" w:rightChars="-31"/>
              <w:jc w:val="left"/>
              <w:rPr>
                <w:rFonts w:cs="宋体"/>
                <w:color w:val="auto"/>
                <w:highlight w:val="none"/>
              </w:rPr>
            </w:pPr>
            <w:r>
              <w:rPr>
                <w:rFonts w:hint="eastAsia" w:cs="宋体"/>
                <w:color w:val="auto"/>
                <w:highlight w:val="none"/>
              </w:rPr>
              <w:t>制造费用</w:t>
            </w:r>
          </w:p>
        </w:tc>
        <w:tc>
          <w:tcPr>
            <w:tcW w:w="560" w:type="pct"/>
            <w:tcBorders>
              <w:left w:val="single" w:color="auto" w:sz="4" w:space="0"/>
            </w:tcBorders>
            <w:vAlign w:val="center"/>
          </w:tcPr>
          <w:p w14:paraId="651C3A14">
            <w:pPr>
              <w:spacing w:line="240" w:lineRule="atLeast"/>
              <w:ind w:left="-48" w:leftChars="-23" w:right="-65" w:rightChars="-31"/>
              <w:jc w:val="left"/>
              <w:rPr>
                <w:rFonts w:cs="宋体"/>
                <w:color w:val="auto"/>
                <w:highlight w:val="none"/>
              </w:rPr>
            </w:pPr>
            <w:r>
              <w:rPr>
                <w:rFonts w:cs="宋体"/>
                <w:color w:val="auto"/>
                <w:highlight w:val="none"/>
              </w:rPr>
              <w:t>设备折旧费</w:t>
            </w:r>
          </w:p>
        </w:tc>
        <w:tc>
          <w:tcPr>
            <w:tcW w:w="511" w:type="pct"/>
            <w:tcBorders>
              <w:left w:val="single" w:color="auto" w:sz="4" w:space="0"/>
            </w:tcBorders>
            <w:vAlign w:val="center"/>
          </w:tcPr>
          <w:p w14:paraId="230634DE">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128BB904">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0DD768A5">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44D55FCF">
            <w:pPr>
              <w:spacing w:line="240" w:lineRule="atLeast"/>
              <w:ind w:left="-48" w:leftChars="-23" w:right="-65" w:rightChars="-31"/>
              <w:jc w:val="left"/>
              <w:rPr>
                <w:rFonts w:cs="宋体"/>
                <w:color w:val="auto"/>
                <w:highlight w:val="none"/>
              </w:rPr>
            </w:pPr>
          </w:p>
        </w:tc>
      </w:tr>
      <w:tr w14:paraId="6A5098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1451EA92">
            <w:pPr>
              <w:tabs>
                <w:tab w:val="left" w:pos="61"/>
              </w:tabs>
              <w:jc w:val="center"/>
              <w:rPr>
                <w:color w:val="auto"/>
                <w:highlight w:val="none"/>
              </w:rPr>
            </w:pPr>
          </w:p>
        </w:tc>
        <w:tc>
          <w:tcPr>
            <w:tcW w:w="201" w:type="pct"/>
            <w:vMerge w:val="continue"/>
            <w:vAlign w:val="center"/>
          </w:tcPr>
          <w:p w14:paraId="0EBA83FB">
            <w:pPr>
              <w:tabs>
                <w:tab w:val="left" w:pos="0"/>
                <w:tab w:val="left" w:pos="56"/>
              </w:tabs>
              <w:ind w:left="479" w:hanging="478" w:hangingChars="228"/>
              <w:jc w:val="center"/>
              <w:rPr>
                <w:color w:val="auto"/>
                <w:highlight w:val="none"/>
              </w:rPr>
            </w:pPr>
          </w:p>
        </w:tc>
        <w:tc>
          <w:tcPr>
            <w:tcW w:w="380" w:type="pct"/>
            <w:vMerge w:val="continue"/>
            <w:vAlign w:val="center"/>
          </w:tcPr>
          <w:p w14:paraId="0756B21C">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4969FB7F">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6131EE59">
            <w:pPr>
              <w:spacing w:line="240" w:lineRule="atLeast"/>
              <w:ind w:left="-48" w:leftChars="-23" w:right="-65" w:rightChars="-31"/>
              <w:jc w:val="left"/>
              <w:rPr>
                <w:rFonts w:cs="宋体"/>
                <w:color w:val="auto"/>
                <w:highlight w:val="none"/>
              </w:rPr>
            </w:pPr>
          </w:p>
        </w:tc>
        <w:tc>
          <w:tcPr>
            <w:tcW w:w="692" w:type="pct"/>
            <w:vMerge w:val="continue"/>
            <w:tcBorders>
              <w:left w:val="single" w:color="auto" w:sz="4" w:space="0"/>
              <w:right w:val="single" w:color="auto" w:sz="4" w:space="0"/>
            </w:tcBorders>
            <w:vAlign w:val="center"/>
          </w:tcPr>
          <w:p w14:paraId="77A638B6">
            <w:pPr>
              <w:spacing w:line="240" w:lineRule="atLeast"/>
              <w:ind w:left="-48" w:leftChars="-23" w:right="-65" w:rightChars="-31"/>
              <w:jc w:val="left"/>
              <w:rPr>
                <w:rFonts w:cs="宋体"/>
                <w:color w:val="auto"/>
                <w:highlight w:val="none"/>
              </w:rPr>
            </w:pPr>
          </w:p>
        </w:tc>
        <w:tc>
          <w:tcPr>
            <w:tcW w:w="560" w:type="pct"/>
            <w:tcBorders>
              <w:left w:val="single" w:color="auto" w:sz="4" w:space="0"/>
            </w:tcBorders>
            <w:vAlign w:val="center"/>
          </w:tcPr>
          <w:p w14:paraId="49D0A344">
            <w:pP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511" w:type="pct"/>
            <w:tcBorders>
              <w:left w:val="single" w:color="auto" w:sz="4" w:space="0"/>
            </w:tcBorders>
            <w:vAlign w:val="center"/>
          </w:tcPr>
          <w:p w14:paraId="2101B951">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7B647971">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1BE6768E">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250D19FC">
            <w:pPr>
              <w:spacing w:line="240" w:lineRule="atLeast"/>
              <w:ind w:left="-48" w:leftChars="-23" w:right="-65" w:rightChars="-31"/>
              <w:jc w:val="left"/>
              <w:rPr>
                <w:rFonts w:cs="宋体"/>
                <w:color w:val="auto"/>
                <w:highlight w:val="none"/>
              </w:rPr>
            </w:pPr>
          </w:p>
        </w:tc>
      </w:tr>
      <w:tr w14:paraId="47FBC2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0D4BBF00">
            <w:pPr>
              <w:tabs>
                <w:tab w:val="left" w:pos="61"/>
              </w:tabs>
              <w:jc w:val="center"/>
              <w:rPr>
                <w:color w:val="auto"/>
                <w:highlight w:val="none"/>
              </w:rPr>
            </w:pPr>
          </w:p>
        </w:tc>
        <w:tc>
          <w:tcPr>
            <w:tcW w:w="201" w:type="pct"/>
            <w:vMerge w:val="continue"/>
            <w:vAlign w:val="center"/>
          </w:tcPr>
          <w:p w14:paraId="41A271E5">
            <w:pPr>
              <w:tabs>
                <w:tab w:val="left" w:pos="0"/>
                <w:tab w:val="left" w:pos="56"/>
              </w:tabs>
              <w:ind w:left="479" w:hanging="478" w:hangingChars="228"/>
              <w:jc w:val="center"/>
              <w:rPr>
                <w:color w:val="auto"/>
                <w:highlight w:val="none"/>
              </w:rPr>
            </w:pPr>
          </w:p>
        </w:tc>
        <w:tc>
          <w:tcPr>
            <w:tcW w:w="380" w:type="pct"/>
            <w:vMerge w:val="continue"/>
            <w:vAlign w:val="center"/>
          </w:tcPr>
          <w:p w14:paraId="279DD61A">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296FEBE3">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2E5DFA04">
            <w:pPr>
              <w:spacing w:line="240" w:lineRule="atLeast"/>
              <w:ind w:left="-48" w:leftChars="-23" w:right="-65" w:rightChars="-31"/>
              <w:jc w:val="left"/>
              <w:rPr>
                <w:rFonts w:cs="宋体"/>
                <w:color w:val="auto"/>
                <w:highlight w:val="none"/>
              </w:rPr>
            </w:pPr>
          </w:p>
        </w:tc>
        <w:tc>
          <w:tcPr>
            <w:tcW w:w="692" w:type="pct"/>
            <w:tcBorders>
              <w:left w:val="single" w:color="auto" w:sz="4" w:space="0"/>
              <w:right w:val="single" w:color="auto" w:sz="4" w:space="0"/>
            </w:tcBorders>
            <w:vAlign w:val="center"/>
          </w:tcPr>
          <w:p w14:paraId="2AF1C1B2">
            <w:pPr>
              <w:spacing w:line="240" w:lineRule="atLeast"/>
              <w:ind w:left="-48" w:leftChars="-23" w:right="-65" w:rightChars="-31"/>
              <w:jc w:val="left"/>
              <w:rPr>
                <w:rFonts w:cs="宋体"/>
                <w:color w:val="auto"/>
                <w:highlight w:val="none"/>
              </w:rPr>
            </w:pPr>
            <w:r>
              <w:rPr>
                <w:rFonts w:hint="eastAsia" w:cs="宋体"/>
                <w:color w:val="auto"/>
                <w:highlight w:val="none"/>
              </w:rPr>
              <w:t>其他成本</w:t>
            </w:r>
          </w:p>
        </w:tc>
        <w:tc>
          <w:tcPr>
            <w:tcW w:w="560" w:type="pct"/>
            <w:tcBorders>
              <w:left w:val="single" w:color="auto" w:sz="4" w:space="0"/>
            </w:tcBorders>
            <w:vAlign w:val="center"/>
          </w:tcPr>
          <w:p w14:paraId="550740BE">
            <w:pPr>
              <w:spacing w:line="240" w:lineRule="atLeast"/>
              <w:ind w:left="-48" w:leftChars="-23" w:right="-65" w:rightChars="-31"/>
              <w:jc w:val="left"/>
              <w:rPr>
                <w:rFonts w:cs="宋体"/>
                <w:color w:val="auto"/>
                <w:highlight w:val="none"/>
              </w:rPr>
            </w:pPr>
          </w:p>
        </w:tc>
        <w:tc>
          <w:tcPr>
            <w:tcW w:w="511" w:type="pct"/>
            <w:tcBorders>
              <w:left w:val="single" w:color="auto" w:sz="4" w:space="0"/>
            </w:tcBorders>
            <w:vAlign w:val="center"/>
          </w:tcPr>
          <w:p w14:paraId="48347CBB">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4676C1C3">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1615C837">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545DC194">
            <w:pPr>
              <w:spacing w:line="240" w:lineRule="atLeast"/>
              <w:ind w:left="-48" w:leftChars="-23" w:right="-65" w:rightChars="-31"/>
              <w:jc w:val="left"/>
              <w:rPr>
                <w:rFonts w:cs="宋体"/>
                <w:color w:val="auto"/>
                <w:highlight w:val="none"/>
              </w:rPr>
            </w:pPr>
          </w:p>
        </w:tc>
      </w:tr>
      <w:tr w14:paraId="6FD539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Align w:val="center"/>
          </w:tcPr>
          <w:p w14:paraId="06C5E1CD">
            <w:pPr>
              <w:tabs>
                <w:tab w:val="left" w:pos="61"/>
              </w:tabs>
              <w:jc w:val="center"/>
              <w:rPr>
                <w:color w:val="auto"/>
                <w:highlight w:val="none"/>
              </w:rPr>
            </w:pPr>
            <w:r>
              <w:rPr>
                <w:rFonts w:hint="eastAsia"/>
                <w:color w:val="auto"/>
                <w:highlight w:val="none"/>
              </w:rPr>
              <w:t>2</w:t>
            </w:r>
          </w:p>
        </w:tc>
        <w:tc>
          <w:tcPr>
            <w:tcW w:w="201" w:type="pct"/>
            <w:vAlign w:val="center"/>
          </w:tcPr>
          <w:p w14:paraId="429ABF7E">
            <w:pPr>
              <w:tabs>
                <w:tab w:val="left" w:pos="0"/>
                <w:tab w:val="left" w:pos="56"/>
              </w:tabs>
              <w:ind w:left="479" w:hanging="478" w:hangingChars="228"/>
              <w:jc w:val="center"/>
              <w:rPr>
                <w:color w:val="auto"/>
                <w:highlight w:val="none"/>
              </w:rPr>
            </w:pPr>
          </w:p>
        </w:tc>
        <w:tc>
          <w:tcPr>
            <w:tcW w:w="380" w:type="pct"/>
            <w:vAlign w:val="center"/>
          </w:tcPr>
          <w:p w14:paraId="63CD57C6">
            <w:pPr>
              <w:spacing w:line="240" w:lineRule="atLeast"/>
              <w:ind w:left="-48" w:leftChars="-23" w:right="-65" w:rightChars="-31"/>
              <w:jc w:val="left"/>
              <w:rPr>
                <w:rFonts w:cs="宋体"/>
                <w:color w:val="auto"/>
                <w:highlight w:val="none"/>
              </w:rPr>
            </w:pPr>
          </w:p>
        </w:tc>
        <w:tc>
          <w:tcPr>
            <w:tcW w:w="282" w:type="pct"/>
            <w:tcBorders>
              <w:left w:val="single" w:color="auto" w:sz="4" w:space="0"/>
            </w:tcBorders>
            <w:vAlign w:val="center"/>
          </w:tcPr>
          <w:p w14:paraId="5D6115A0">
            <w:pPr>
              <w:spacing w:line="240" w:lineRule="atLeast"/>
              <w:ind w:left="-48" w:leftChars="-23" w:right="-65" w:rightChars="-31"/>
              <w:jc w:val="left"/>
              <w:rPr>
                <w:rFonts w:cs="宋体"/>
                <w:color w:val="auto"/>
                <w:highlight w:val="none"/>
              </w:rPr>
            </w:pPr>
          </w:p>
        </w:tc>
        <w:tc>
          <w:tcPr>
            <w:tcW w:w="478" w:type="pct"/>
            <w:tcBorders>
              <w:left w:val="single" w:color="auto" w:sz="4" w:space="0"/>
              <w:right w:val="single" w:color="auto" w:sz="4" w:space="0"/>
            </w:tcBorders>
            <w:vAlign w:val="center"/>
          </w:tcPr>
          <w:p w14:paraId="6C50BFDE">
            <w:pPr>
              <w:spacing w:line="240" w:lineRule="atLeast"/>
              <w:ind w:left="-48" w:leftChars="-23" w:right="-65" w:rightChars="-31"/>
              <w:jc w:val="left"/>
              <w:rPr>
                <w:rFonts w:cs="宋体"/>
                <w:color w:val="auto"/>
                <w:highlight w:val="none"/>
              </w:rPr>
            </w:pPr>
          </w:p>
        </w:tc>
        <w:tc>
          <w:tcPr>
            <w:tcW w:w="692" w:type="pct"/>
            <w:tcBorders>
              <w:left w:val="single" w:color="auto" w:sz="4" w:space="0"/>
              <w:right w:val="single" w:color="auto" w:sz="4" w:space="0"/>
            </w:tcBorders>
          </w:tcPr>
          <w:p w14:paraId="2F6608AE">
            <w:pPr>
              <w:spacing w:line="240" w:lineRule="atLeast"/>
              <w:ind w:left="-48" w:leftChars="-23" w:right="-65" w:rightChars="-31"/>
              <w:jc w:val="left"/>
              <w:rPr>
                <w:rFonts w:cs="宋体"/>
                <w:color w:val="auto"/>
                <w:highlight w:val="none"/>
              </w:rPr>
            </w:pPr>
          </w:p>
        </w:tc>
        <w:tc>
          <w:tcPr>
            <w:tcW w:w="560" w:type="pct"/>
            <w:tcBorders>
              <w:left w:val="single" w:color="auto" w:sz="4" w:space="0"/>
            </w:tcBorders>
            <w:vAlign w:val="center"/>
          </w:tcPr>
          <w:p w14:paraId="68BE1189">
            <w:pPr>
              <w:spacing w:line="240" w:lineRule="atLeast"/>
              <w:ind w:left="-48" w:leftChars="-23" w:right="-65" w:rightChars="-31"/>
              <w:jc w:val="left"/>
              <w:rPr>
                <w:rFonts w:cs="宋体"/>
                <w:color w:val="auto"/>
                <w:highlight w:val="none"/>
              </w:rPr>
            </w:pPr>
          </w:p>
        </w:tc>
        <w:tc>
          <w:tcPr>
            <w:tcW w:w="511" w:type="pct"/>
            <w:tcBorders>
              <w:left w:val="single" w:color="auto" w:sz="4" w:space="0"/>
            </w:tcBorders>
            <w:vAlign w:val="center"/>
          </w:tcPr>
          <w:p w14:paraId="202B97B5">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7F83C705">
            <w:pPr>
              <w:spacing w:line="240" w:lineRule="atLeast"/>
              <w:ind w:left="-48" w:leftChars="-23" w:right="-65" w:rightChars="-31"/>
              <w:jc w:val="left"/>
              <w:rPr>
                <w:rFonts w:cs="宋体"/>
                <w:color w:val="auto"/>
                <w:highlight w:val="none"/>
              </w:rPr>
            </w:pPr>
          </w:p>
        </w:tc>
        <w:tc>
          <w:tcPr>
            <w:tcW w:w="449" w:type="pct"/>
            <w:tcBorders>
              <w:left w:val="single" w:color="auto" w:sz="4" w:space="0"/>
            </w:tcBorders>
            <w:vAlign w:val="center"/>
          </w:tcPr>
          <w:p w14:paraId="23E8F94B">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5DE38781">
            <w:pPr>
              <w:spacing w:line="240" w:lineRule="atLeast"/>
              <w:ind w:left="-48" w:leftChars="-23" w:right="-65" w:rightChars="-31"/>
              <w:jc w:val="left"/>
              <w:rPr>
                <w:rFonts w:cs="宋体"/>
                <w:color w:val="auto"/>
                <w:highlight w:val="none"/>
              </w:rPr>
            </w:pPr>
          </w:p>
        </w:tc>
      </w:tr>
      <w:tr w14:paraId="78ACE7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vAlign w:val="center"/>
          </w:tcPr>
          <w:p w14:paraId="182F4A8A">
            <w:pPr>
              <w:tabs>
                <w:tab w:val="left" w:pos="82"/>
              </w:tabs>
              <w:jc w:val="center"/>
              <w:rPr>
                <w:color w:val="auto"/>
                <w:highlight w:val="none"/>
              </w:rPr>
            </w:pPr>
            <w:r>
              <w:rPr>
                <w:rFonts w:hint="eastAsia"/>
                <w:color w:val="auto"/>
                <w:highlight w:val="none"/>
              </w:rPr>
              <w:t>…</w:t>
            </w:r>
          </w:p>
        </w:tc>
        <w:tc>
          <w:tcPr>
            <w:tcW w:w="201" w:type="pct"/>
            <w:tcBorders>
              <w:bottom w:val="single" w:color="auto" w:sz="4" w:space="0"/>
            </w:tcBorders>
            <w:vAlign w:val="center"/>
          </w:tcPr>
          <w:p w14:paraId="2E5CF780">
            <w:pPr>
              <w:spacing w:line="240" w:lineRule="atLeast"/>
              <w:ind w:left="-48" w:leftChars="-23" w:right="-65" w:rightChars="-31"/>
              <w:jc w:val="left"/>
              <w:rPr>
                <w:rFonts w:cs="宋体"/>
                <w:color w:val="auto"/>
                <w:highlight w:val="none"/>
              </w:rPr>
            </w:pPr>
          </w:p>
        </w:tc>
        <w:tc>
          <w:tcPr>
            <w:tcW w:w="380" w:type="pct"/>
            <w:tcBorders>
              <w:bottom w:val="single" w:color="auto" w:sz="4" w:space="0"/>
            </w:tcBorders>
            <w:vAlign w:val="center"/>
          </w:tcPr>
          <w:p w14:paraId="255C0DEE">
            <w:pPr>
              <w:spacing w:line="240" w:lineRule="atLeast"/>
              <w:ind w:left="-48" w:leftChars="-23" w:right="-65" w:rightChars="-31"/>
              <w:jc w:val="left"/>
              <w:rPr>
                <w:rFonts w:cs="宋体"/>
                <w:color w:val="auto"/>
                <w:highlight w:val="none"/>
              </w:rPr>
            </w:pPr>
          </w:p>
        </w:tc>
        <w:tc>
          <w:tcPr>
            <w:tcW w:w="282" w:type="pct"/>
            <w:tcBorders>
              <w:left w:val="single" w:color="auto" w:sz="4" w:space="0"/>
              <w:bottom w:val="single" w:color="auto" w:sz="4" w:space="0"/>
            </w:tcBorders>
            <w:vAlign w:val="center"/>
          </w:tcPr>
          <w:p w14:paraId="403DD670">
            <w:pPr>
              <w:spacing w:line="240" w:lineRule="atLeast"/>
              <w:ind w:left="-48" w:leftChars="-23" w:right="-65" w:rightChars="-31"/>
              <w:jc w:val="left"/>
              <w:rPr>
                <w:rFonts w:cs="宋体"/>
                <w:color w:val="auto"/>
                <w:highlight w:val="none"/>
              </w:rPr>
            </w:pPr>
          </w:p>
        </w:tc>
        <w:tc>
          <w:tcPr>
            <w:tcW w:w="478" w:type="pct"/>
            <w:tcBorders>
              <w:left w:val="single" w:color="auto" w:sz="4" w:space="0"/>
              <w:bottom w:val="single" w:color="auto" w:sz="4" w:space="0"/>
              <w:right w:val="single" w:color="auto" w:sz="4" w:space="0"/>
            </w:tcBorders>
            <w:vAlign w:val="center"/>
          </w:tcPr>
          <w:p w14:paraId="334A3DC4">
            <w:pPr>
              <w:spacing w:line="240" w:lineRule="atLeast"/>
              <w:ind w:left="-48" w:leftChars="-23" w:right="-65" w:rightChars="-31"/>
              <w:jc w:val="left"/>
              <w:rPr>
                <w:rFonts w:cs="宋体"/>
                <w:color w:val="auto"/>
                <w:highlight w:val="none"/>
              </w:rPr>
            </w:pPr>
          </w:p>
        </w:tc>
        <w:tc>
          <w:tcPr>
            <w:tcW w:w="692" w:type="pct"/>
            <w:tcBorders>
              <w:left w:val="single" w:color="auto" w:sz="4" w:space="0"/>
              <w:bottom w:val="single" w:color="auto" w:sz="4" w:space="0"/>
              <w:right w:val="single" w:color="auto" w:sz="4" w:space="0"/>
            </w:tcBorders>
          </w:tcPr>
          <w:p w14:paraId="7D04FA71">
            <w:pPr>
              <w:spacing w:line="240" w:lineRule="atLeast"/>
              <w:ind w:left="-48" w:leftChars="-23" w:right="-65" w:rightChars="-31"/>
              <w:jc w:val="left"/>
              <w:rPr>
                <w:rFonts w:cs="宋体"/>
                <w:color w:val="auto"/>
                <w:highlight w:val="none"/>
              </w:rPr>
            </w:pPr>
          </w:p>
        </w:tc>
        <w:tc>
          <w:tcPr>
            <w:tcW w:w="560" w:type="pct"/>
            <w:tcBorders>
              <w:left w:val="single" w:color="auto" w:sz="4" w:space="0"/>
              <w:bottom w:val="single" w:color="auto" w:sz="4" w:space="0"/>
            </w:tcBorders>
            <w:vAlign w:val="center"/>
          </w:tcPr>
          <w:p w14:paraId="3533E151">
            <w:pPr>
              <w:spacing w:line="240" w:lineRule="atLeast"/>
              <w:ind w:left="-48" w:leftChars="-23" w:right="-65" w:rightChars="-31"/>
              <w:jc w:val="left"/>
              <w:rPr>
                <w:rFonts w:cs="宋体"/>
                <w:color w:val="auto"/>
                <w:highlight w:val="none"/>
              </w:rPr>
            </w:pPr>
          </w:p>
        </w:tc>
        <w:tc>
          <w:tcPr>
            <w:tcW w:w="511" w:type="pct"/>
            <w:tcBorders>
              <w:left w:val="single" w:color="auto" w:sz="4" w:space="0"/>
              <w:bottom w:val="single" w:color="auto" w:sz="4" w:space="0"/>
            </w:tcBorders>
            <w:vAlign w:val="center"/>
          </w:tcPr>
          <w:p w14:paraId="02846C61">
            <w:pPr>
              <w:spacing w:line="240" w:lineRule="atLeast"/>
              <w:ind w:left="-48" w:leftChars="-23" w:right="-65" w:rightChars="-31"/>
              <w:jc w:val="left"/>
              <w:rPr>
                <w:rFonts w:cs="宋体"/>
                <w:color w:val="auto"/>
                <w:highlight w:val="none"/>
              </w:rPr>
            </w:pPr>
          </w:p>
          <w:p w14:paraId="3BF6CC53">
            <w:pPr>
              <w:rPr>
                <w:color w:val="auto"/>
                <w:highlight w:val="none"/>
              </w:rPr>
            </w:pPr>
          </w:p>
        </w:tc>
        <w:tc>
          <w:tcPr>
            <w:tcW w:w="606" w:type="pct"/>
            <w:tcBorders>
              <w:left w:val="single" w:color="auto" w:sz="4" w:space="0"/>
              <w:bottom w:val="single" w:color="auto" w:sz="4" w:space="0"/>
            </w:tcBorders>
            <w:vAlign w:val="center"/>
          </w:tcPr>
          <w:p w14:paraId="16BEAD03">
            <w:pPr>
              <w:rPr>
                <w:color w:val="auto"/>
                <w:highlight w:val="none"/>
              </w:rPr>
            </w:pPr>
          </w:p>
        </w:tc>
        <w:tc>
          <w:tcPr>
            <w:tcW w:w="449" w:type="pct"/>
            <w:tcBorders>
              <w:left w:val="single" w:color="auto" w:sz="4" w:space="0"/>
              <w:bottom w:val="single" w:color="auto" w:sz="4" w:space="0"/>
            </w:tcBorders>
            <w:vAlign w:val="center"/>
          </w:tcPr>
          <w:p w14:paraId="485FAC37">
            <w:pPr>
              <w:spacing w:line="240" w:lineRule="atLeast"/>
              <w:ind w:left="-48" w:leftChars="-23" w:right="-65" w:rightChars="-31"/>
              <w:jc w:val="left"/>
              <w:rPr>
                <w:rFonts w:cs="宋体"/>
                <w:color w:val="auto"/>
                <w:highlight w:val="none"/>
              </w:rPr>
            </w:pPr>
          </w:p>
        </w:tc>
        <w:tc>
          <w:tcPr>
            <w:tcW w:w="587" w:type="pct"/>
            <w:tcBorders>
              <w:left w:val="single" w:color="auto" w:sz="4" w:space="0"/>
              <w:bottom w:val="single" w:color="auto" w:sz="4" w:space="0"/>
            </w:tcBorders>
            <w:vAlign w:val="center"/>
          </w:tcPr>
          <w:p w14:paraId="7828B2D6">
            <w:pPr>
              <w:spacing w:line="240" w:lineRule="atLeast"/>
              <w:ind w:left="-48" w:leftChars="-23" w:right="-65" w:rightChars="-31"/>
              <w:jc w:val="left"/>
              <w:rPr>
                <w:rFonts w:cs="宋体"/>
                <w:color w:val="auto"/>
                <w:highlight w:val="none"/>
              </w:rPr>
            </w:pPr>
          </w:p>
        </w:tc>
      </w:tr>
    </w:tbl>
    <w:p w14:paraId="1C2CE460">
      <w:pPr>
        <w:spacing w:line="360" w:lineRule="auto"/>
        <w:jc w:val="left"/>
        <w:rPr>
          <w:color w:val="auto"/>
          <w:szCs w:val="21"/>
          <w:highlight w:val="none"/>
        </w:rPr>
      </w:pPr>
    </w:p>
    <w:p w14:paraId="0E47CF5C">
      <w:pPr>
        <w:spacing w:line="360" w:lineRule="auto"/>
        <w:jc w:val="left"/>
        <w:rPr>
          <w:color w:val="auto"/>
          <w:szCs w:val="21"/>
          <w:highlight w:val="none"/>
        </w:rPr>
      </w:pPr>
      <w:r>
        <w:rPr>
          <w:rFonts w:hint="eastAsia"/>
          <w:color w:val="auto"/>
          <w:szCs w:val="21"/>
          <w:highlight w:val="none"/>
        </w:rPr>
        <w:t>说明：项目具体成本测算等与报价合理性相关的书面说明及必要的证明材料，包括但不限于原材料成本、人工成本、制造费用等</w:t>
      </w:r>
    </w:p>
    <w:p w14:paraId="21E7EBA5">
      <w:pPr>
        <w:spacing w:line="360" w:lineRule="auto"/>
        <w:ind w:firstLine="6090" w:firstLineChars="2900"/>
        <w:jc w:val="left"/>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p>
    <w:p w14:paraId="5C1E07DE">
      <w:pPr>
        <w:spacing w:line="360" w:lineRule="auto"/>
        <w:ind w:firstLine="6090" w:firstLineChars="2900"/>
        <w:jc w:val="left"/>
        <w:rPr>
          <w:color w:val="auto"/>
          <w:szCs w:val="21"/>
          <w:highlight w:val="none"/>
        </w:rPr>
        <w:sectPr>
          <w:pgSz w:w="11906" w:h="16838"/>
          <w:pgMar w:top="1418" w:right="1133" w:bottom="1246" w:left="1418" w:header="851" w:footer="992" w:gutter="0"/>
          <w:cols w:space="720" w:num="1"/>
          <w:docGrid w:linePitch="312" w:charSpace="0"/>
        </w:sectPr>
      </w:pPr>
      <w:r>
        <w:rPr>
          <w:color w:val="auto"/>
          <w:szCs w:val="21"/>
          <w:highlight w:val="none"/>
        </w:rPr>
        <w:t>日  期</w:t>
      </w:r>
      <w:r>
        <w:rPr>
          <w:rFonts w:hint="eastAsia"/>
          <w:color w:val="auto"/>
          <w:szCs w:val="21"/>
          <w:highlight w:val="none"/>
        </w:rPr>
        <w:t>：</w:t>
      </w:r>
      <w:r>
        <w:rPr>
          <w:color w:val="auto"/>
          <w:szCs w:val="21"/>
          <w:highlight w:val="none"/>
        </w:rPr>
        <w:t>年月日</w:t>
      </w:r>
    </w:p>
    <w:bookmarkEnd w:id="0"/>
    <w:bookmarkEnd w:id="1"/>
    <w:p w14:paraId="52B3DEBF">
      <w:pPr>
        <w:widowControl/>
        <w:jc w:val="left"/>
        <w:outlineLvl w:val="1"/>
        <w:rPr>
          <w:rFonts w:ascii="Arial" w:hAnsi="Arial" w:cs="Arial"/>
          <w:color w:val="auto"/>
          <w:szCs w:val="21"/>
          <w:highlight w:val="none"/>
        </w:rPr>
      </w:pPr>
      <w:bookmarkStart w:id="113" w:name="_Hlk88990880"/>
      <w:r>
        <w:rPr>
          <w:rFonts w:hint="eastAsia" w:ascii="Arial" w:hAnsi="Arial" w:cs="Arial"/>
          <w:color w:val="auto"/>
          <w:szCs w:val="21"/>
          <w:highlight w:val="none"/>
        </w:rPr>
        <w:t>4</w:t>
      </w:r>
      <w:r>
        <w:rPr>
          <w:rFonts w:ascii="Arial" w:hAnsi="Arial" w:cs="Arial"/>
          <w:color w:val="auto"/>
          <w:szCs w:val="21"/>
          <w:highlight w:val="none"/>
        </w:rPr>
        <w:t>．开标一览表</w:t>
      </w:r>
    </w:p>
    <w:p w14:paraId="3DF7E398">
      <w:pPr>
        <w:widowControl/>
        <w:jc w:val="left"/>
        <w:rPr>
          <w:rFonts w:ascii="Arial" w:hAnsi="Arial" w:cs="Arial"/>
          <w:color w:val="auto"/>
          <w:szCs w:val="21"/>
          <w:highlight w:val="none"/>
        </w:rPr>
      </w:pPr>
    </w:p>
    <w:p w14:paraId="56EED3A1">
      <w:pPr>
        <w:widowControl/>
        <w:jc w:val="left"/>
        <w:rPr>
          <w:rFonts w:ascii="Arial" w:hAnsi="Arial" w:cs="Arial"/>
          <w:color w:val="auto"/>
          <w:szCs w:val="21"/>
          <w:highlight w:val="none"/>
        </w:rPr>
      </w:pPr>
    </w:p>
    <w:p w14:paraId="382AECDC">
      <w:pPr>
        <w:widowControl/>
        <w:jc w:val="left"/>
        <w:rPr>
          <w:rFonts w:ascii="Arial" w:hAnsi="Arial" w:cs="Arial"/>
          <w:color w:val="auto"/>
          <w:szCs w:val="21"/>
          <w:highlight w:val="none"/>
        </w:rPr>
      </w:pPr>
    </w:p>
    <w:p w14:paraId="6EF60D49">
      <w:pPr>
        <w:rPr>
          <w:rFonts w:ascii="Arial" w:hAnsi="Arial" w:cs="Arial"/>
          <w:b/>
          <w:color w:val="auto"/>
          <w:szCs w:val="21"/>
          <w:highlight w:val="none"/>
        </w:rPr>
      </w:pPr>
    </w:p>
    <w:p w14:paraId="62BE5CCE">
      <w:pPr>
        <w:rPr>
          <w:rFonts w:ascii="Arial" w:hAnsi="Arial" w:cs="Arial"/>
          <w:b/>
          <w:color w:val="auto"/>
          <w:szCs w:val="21"/>
          <w:highlight w:val="none"/>
        </w:rPr>
      </w:pPr>
    </w:p>
    <w:p w14:paraId="3F044741">
      <w:pPr>
        <w:rPr>
          <w:rFonts w:ascii="Arial" w:hAnsi="Arial" w:cs="Arial"/>
          <w:b/>
          <w:color w:val="auto"/>
          <w:szCs w:val="21"/>
          <w:highlight w:val="none"/>
        </w:rPr>
      </w:pPr>
      <w:r>
        <w:rPr>
          <w:rFonts w:ascii="Arial" w:hAnsi="Arial" w:cs="Arial"/>
          <w:b/>
          <w:color w:val="auto"/>
          <w:szCs w:val="21"/>
          <w:highlight w:val="none"/>
        </w:rPr>
        <w:t>格式详见广西政府采购云平台，且仅在广西政府采购云平台填写即可。</w:t>
      </w:r>
    </w:p>
    <w:bookmarkEnd w:id="113"/>
    <w:p w14:paraId="314C67EE">
      <w:pPr>
        <w:snapToGrid w:val="0"/>
        <w:spacing w:beforeLines="50" w:after="50" w:line="440" w:lineRule="exact"/>
        <w:jc w:val="left"/>
        <w:outlineLvl w:val="1"/>
        <w:rPr>
          <w:rFonts w:ascii="Arial" w:hAnsi="Arial" w:cs="Arial"/>
          <w:bCs/>
          <w:color w:val="auto"/>
          <w:sz w:val="24"/>
          <w:highlight w:val="none"/>
        </w:rPr>
      </w:pPr>
    </w:p>
    <w:sectPr>
      <w:headerReference r:id="rId21" w:type="default"/>
      <w:pgSz w:w="11906" w:h="16838"/>
      <w:pgMar w:top="1418" w:right="1274"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A936D">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DDC80">
    <w:pPr>
      <w:pStyle w:val="32"/>
      <w:framePr w:wrap="around" w:vAnchor="text" w:hAnchor="margin" w:xAlign="center" w:y="1"/>
      <w:rPr>
        <w:rStyle w:val="56"/>
      </w:rPr>
    </w:pPr>
    <w:r>
      <w:fldChar w:fldCharType="begin"/>
    </w:r>
    <w:r>
      <w:rPr>
        <w:rStyle w:val="56"/>
      </w:rPr>
      <w:instrText xml:space="preserve">PAGE  </w:instrText>
    </w:r>
    <w:r>
      <w:fldChar w:fldCharType="end"/>
    </w:r>
  </w:p>
  <w:p w14:paraId="1E1FF11F">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75716">
    <w:pPr>
      <w:pStyle w:val="32"/>
      <w:ind w:right="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83869">
    <w:pPr>
      <w:pStyle w:val="32"/>
    </w:pPr>
    <w:r>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CIngssBAACcAwAADgAAAGRycy9lMm9Eb2MueG1srVPNjtMwEL4j8Q6W&#10;79RpB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mJ4xYHfvn+7fLj1+XnV7Ks&#10;Vq9y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AiJ4LLAQAAnAMAAA4AAAAAAAAAAQAgAAAAHgEAAGRycy9lMm9E&#10;b2MueG1sUEsFBgAAAAAGAAYAWQEAAFsFAAAAAA==&#10;">
          <v:path/>
          <v:fill on="f" focussize="0,0"/>
          <v:stroke on="f" joinstyle="miter"/>
          <v:imagedata o:title=""/>
          <o:lock v:ext="edit"/>
          <v:textbox inset="0mm,0mm,0mm,0mm" style="mso-fit-shape-to-text:t;">
            <w:txbxContent>
              <w:p w14:paraId="7200FBE5">
                <w:pPr>
                  <w:pStyle w:val="32"/>
                </w:pPr>
                <w:r>
                  <w:fldChar w:fldCharType="begin"/>
                </w:r>
                <w:r>
                  <w:instrText xml:space="preserve"> PAGE  \* MERGEFORMAT </w:instrText>
                </w:r>
                <w:r>
                  <w:fldChar w:fldCharType="separate"/>
                </w:r>
                <w:r>
                  <w:t>3</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AD7C3">
    <w:pPr>
      <w:pStyle w:val="32"/>
      <w:jc w:val="center"/>
    </w:pPr>
    <w:r>
      <w:fldChar w:fldCharType="begin"/>
    </w:r>
    <w:r>
      <w:instrText xml:space="preserve">PAGE   \* MERGEFORMAT</w:instrText>
    </w:r>
    <w:r>
      <w:fldChar w:fldCharType="separate"/>
    </w:r>
    <w:r>
      <w:rPr>
        <w:lang w:val="zh-CN"/>
      </w:rPr>
      <w:t>17</w:t>
    </w:r>
    <w:r>
      <w:rPr>
        <w:lang w:val="zh-CN"/>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913F9">
    <w:pPr>
      <w:pStyle w:val="32"/>
    </w:pPr>
    <w: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KUaAssBAACcAwAADgAAAGRycy9lMm9Eb2MueG1srVPNjtMwEL4j8Q6W&#10;79RpJ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GtKHLc48MuP75efvy+/vpFl&#10;tbrJHeoD1Jh4HzA1DW/9gHsz+wGdWfigos1flEQwjv09X/srh0REfrRerdcVhgTG5gvis4fnIUJ6&#10;J70l2WhoxAGWvvLTB0hj6pySqzl/p40pQzTuLwdiZg/L3EeO2UrDfpgE7X17Rj09zr6hDledEvPe&#10;YWvzmsxGnI39bBxD1IcOqS0LLwhvjglJFG65wgg7FcahFXXTguWteHwvWQ8/1f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ilGgLLAQAAnAMAAA4AAAAAAAAAAQAgAAAAHgEAAGRycy9lMm9E&#10;b2MueG1sUEsFBgAAAAAGAAYAWQEAAFsFAAAAAA==&#10;">
          <v:path/>
          <v:fill on="f" focussize="0,0"/>
          <v:stroke on="f" joinstyle="miter"/>
          <v:imagedata o:title=""/>
          <o:lock v:ext="edit"/>
          <v:textbox inset="0mm,0mm,0mm,0mm" style="mso-fit-shape-to-text:t;">
            <w:txbxContent>
              <w:p w14:paraId="24C2A559">
                <w:pPr>
                  <w:pStyle w:val="32"/>
                </w:pPr>
                <w:r>
                  <w:fldChar w:fldCharType="begin"/>
                </w:r>
                <w:r>
                  <w:instrText xml:space="preserve"> PAGE  \* MERGEFORMAT </w:instrText>
                </w:r>
                <w:r>
                  <w:fldChar w:fldCharType="separate"/>
                </w:r>
                <w:r>
                  <w:t>43</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88BFA">
    <w:pPr>
      <w:pStyle w:val="32"/>
    </w:pPr>
    <w:r>
      <w:pict>
        <v:shape id="文本框 1027" o:spid="_x0000_s3073"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U/YDTLAQAAnAMAAA4AAAAAAAAAAQAgAAAAHgEAAGRycy9lMm9E&#10;b2MueG1sUEsFBgAAAAAGAAYAWQEAAFsFAAAAAA==&#10;">
          <v:path/>
          <v:fill on="f" focussize="0,0"/>
          <v:stroke on="f" joinstyle="miter"/>
          <v:imagedata o:title=""/>
          <o:lock v:ext="edit"/>
          <v:textbox inset="0mm,0mm,0mm,0mm" style="mso-fit-shape-to-text:t;">
            <w:txbxContent>
              <w:p w14:paraId="0D0AEF02">
                <w:pPr>
                  <w:pStyle w:val="32"/>
                </w:pPr>
                <w:r>
                  <w:fldChar w:fldCharType="begin"/>
                </w:r>
                <w:r>
                  <w:instrText xml:space="preserve"> PAGE  \* MERGEFORMAT </w:instrText>
                </w:r>
                <w:r>
                  <w:fldChar w:fldCharType="separate"/>
                </w:r>
                <w:r>
                  <w:t>68</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7BC86">
    <w:pPr>
      <w:pStyle w:val="3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F55BE">
    <w:pPr>
      <w:pStyle w:val="33"/>
      <w:ind w:left="2790" w:hanging="2790" w:hangingChars="1550"/>
      <w:jc w:val="left"/>
    </w:pPr>
    <w:r>
      <w:rPr>
        <w:rFonts w:hint="eastAsia"/>
      </w:rPr>
      <w:t xml:space="preserve">广西机电设备招标有限公司招标文件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F7511">
    <w:pPr>
      <w:rPr>
        <w:sz w:val="18"/>
        <w:szCs w:val="18"/>
        <w:u w:val="single"/>
      </w:rPr>
    </w:pPr>
    <w:r>
      <w:rPr>
        <w:rFonts w:hint="eastAsia"/>
        <w:sz w:val="18"/>
        <w:szCs w:val="18"/>
        <w:u w:val="single"/>
      </w:rPr>
      <w:t xml:space="preserve">广西机电设备招标有限公司招标文件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899CC">
    <w:pPr>
      <w:rPr>
        <w:sz w:val="18"/>
        <w:szCs w:val="18"/>
        <w:u w:val="single"/>
      </w:rPr>
    </w:pPr>
    <w:r>
      <w:rPr>
        <w:rFonts w:hint="eastAsia"/>
        <w:sz w:val="18"/>
        <w:szCs w:val="18"/>
        <w:u w:val="single"/>
      </w:rPr>
      <w:t xml:space="preserve">广西机电设备招标有限公司招标文件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62941">
    <w:pPr>
      <w:pStyle w:val="3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00780">
    <w:pPr>
      <w:pStyle w:val="3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59B2C">
    <w:pPr>
      <w:pStyle w:val="33"/>
      <w:jc w:val="left"/>
    </w:pPr>
    <w:r>
      <w:rPr>
        <w:rFonts w:hint="eastAsia"/>
      </w:rPr>
      <w:t xml:space="preserve">广西机电设备招标有限公司招标文件                                                               </w:t>
    </w:r>
  </w:p>
  <w:p w14:paraId="1A5E9735">
    <w:pPr>
      <w:pStyle w:val="3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B6FF6">
    <w:pPr>
      <w:pStyle w:val="33"/>
      <w:jc w:val="left"/>
    </w:pPr>
    <w:r>
      <w:rPr>
        <w:rFonts w:hint="eastAsia"/>
      </w:rPr>
      <w:t xml:space="preserve">广西机电设备招标有限公司招标文件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AD1E5">
    <w:pPr>
      <w:pStyle w:val="33"/>
      <w:jc w:val="left"/>
    </w:pPr>
    <w:r>
      <w:rPr>
        <w:rFonts w:hint="eastAsia"/>
      </w:rPr>
      <w:t>广西机电设备招标有限公司招标文件                                                              招标公告</w:t>
    </w:r>
  </w:p>
  <w:p w14:paraId="53CD5267">
    <w:pPr>
      <w:pStyle w:val="33"/>
      <w:pBdr>
        <w:bottom w:val="none" w:color="auto"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6D4F5">
    <w:pPr>
      <w:pStyle w:val="33"/>
      <w:jc w:val="left"/>
    </w:pPr>
    <w:r>
      <w:rPr>
        <w:rFonts w:hint="eastAsia"/>
      </w:rPr>
      <w:t xml:space="preserve">广西机电设备招标有限公司招标文件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52635">
    <w:pPr>
      <w:pStyle w:val="33"/>
      <w:jc w:val="left"/>
    </w:pPr>
    <w:r>
      <w:rPr>
        <w:rFonts w:hint="eastAsia"/>
      </w:rPr>
      <w:t xml:space="preserve">广西机电设备招标有限公司招标文件                                                            </w:t>
    </w:r>
  </w:p>
  <w:p w14:paraId="7A52D193">
    <w:pPr>
      <w:pStyle w:val="33"/>
      <w:pBdr>
        <w:bottom w:val="none" w:color="auto" w:sz="0" w:space="0"/>
      </w:pBdr>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C761B">
    <w:pPr>
      <w:pStyle w:val="33"/>
      <w:jc w:val="left"/>
    </w:pPr>
    <w:r>
      <w:rPr>
        <w:rFonts w:hint="eastAsia"/>
      </w:rPr>
      <w:t xml:space="preserve">广西机电设备招标有限公司招标文件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D29B2"/>
    <w:multiLevelType w:val="singleLevel"/>
    <w:tmpl w:val="9A4D29B2"/>
    <w:lvl w:ilvl="0" w:tentative="0">
      <w:start w:val="1"/>
      <w:numFmt w:val="chineseCounting"/>
      <w:suff w:val="nothing"/>
      <w:lvlText w:val="%1、"/>
      <w:lvlJc w:val="left"/>
      <w:rPr>
        <w:rFonts w:hint="eastAsia"/>
      </w:rPr>
    </w:lvl>
  </w:abstractNum>
  <w:abstractNum w:abstractNumId="1">
    <w:nsid w:val="00000002"/>
    <w:multiLevelType w:val="multilevel"/>
    <w:tmpl w:val="00000002"/>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WIxMTY0MDhkMGY5ZmZmOTMwNmYxMmFlY2FmZTU0NTAifQ=="/>
  </w:docVars>
  <w:rsids>
    <w:rsidRoot w:val="00172A27"/>
    <w:rsid w:val="000001BC"/>
    <w:rsid w:val="000003EF"/>
    <w:rsid w:val="0000091B"/>
    <w:rsid w:val="00000D0A"/>
    <w:rsid w:val="00000D19"/>
    <w:rsid w:val="00000E1A"/>
    <w:rsid w:val="00001B3E"/>
    <w:rsid w:val="00001CD6"/>
    <w:rsid w:val="00002018"/>
    <w:rsid w:val="00002425"/>
    <w:rsid w:val="00002DDA"/>
    <w:rsid w:val="00003DAE"/>
    <w:rsid w:val="00003ED2"/>
    <w:rsid w:val="000049EF"/>
    <w:rsid w:val="000058D7"/>
    <w:rsid w:val="00005E55"/>
    <w:rsid w:val="00005E85"/>
    <w:rsid w:val="00006E2C"/>
    <w:rsid w:val="000079FF"/>
    <w:rsid w:val="00007B0D"/>
    <w:rsid w:val="000102A9"/>
    <w:rsid w:val="00010802"/>
    <w:rsid w:val="00010F49"/>
    <w:rsid w:val="00011D32"/>
    <w:rsid w:val="00011D72"/>
    <w:rsid w:val="00012078"/>
    <w:rsid w:val="000125A6"/>
    <w:rsid w:val="00013748"/>
    <w:rsid w:val="00013D41"/>
    <w:rsid w:val="000143A3"/>
    <w:rsid w:val="00014DD6"/>
    <w:rsid w:val="0001598C"/>
    <w:rsid w:val="00016C31"/>
    <w:rsid w:val="00020A87"/>
    <w:rsid w:val="00020BB1"/>
    <w:rsid w:val="00020BF0"/>
    <w:rsid w:val="000215B7"/>
    <w:rsid w:val="000217BF"/>
    <w:rsid w:val="00021C98"/>
    <w:rsid w:val="00021CCD"/>
    <w:rsid w:val="00021EE3"/>
    <w:rsid w:val="0002231A"/>
    <w:rsid w:val="0002246E"/>
    <w:rsid w:val="000226F2"/>
    <w:rsid w:val="000228AB"/>
    <w:rsid w:val="000233CA"/>
    <w:rsid w:val="00023652"/>
    <w:rsid w:val="00024633"/>
    <w:rsid w:val="000252C0"/>
    <w:rsid w:val="0002560A"/>
    <w:rsid w:val="00025DA0"/>
    <w:rsid w:val="0002696D"/>
    <w:rsid w:val="0002754D"/>
    <w:rsid w:val="00027666"/>
    <w:rsid w:val="000276B2"/>
    <w:rsid w:val="00027804"/>
    <w:rsid w:val="00027A46"/>
    <w:rsid w:val="00027AF3"/>
    <w:rsid w:val="00027B87"/>
    <w:rsid w:val="00030024"/>
    <w:rsid w:val="00030124"/>
    <w:rsid w:val="000305FD"/>
    <w:rsid w:val="0003084F"/>
    <w:rsid w:val="00030C2F"/>
    <w:rsid w:val="00030EF3"/>
    <w:rsid w:val="00031757"/>
    <w:rsid w:val="00031D96"/>
    <w:rsid w:val="00032686"/>
    <w:rsid w:val="000326DA"/>
    <w:rsid w:val="0003274B"/>
    <w:rsid w:val="00032AD8"/>
    <w:rsid w:val="000330D8"/>
    <w:rsid w:val="000331CC"/>
    <w:rsid w:val="0003322E"/>
    <w:rsid w:val="00033422"/>
    <w:rsid w:val="00033927"/>
    <w:rsid w:val="00035152"/>
    <w:rsid w:val="00035507"/>
    <w:rsid w:val="00035840"/>
    <w:rsid w:val="00035844"/>
    <w:rsid w:val="00036BAA"/>
    <w:rsid w:val="0003779D"/>
    <w:rsid w:val="00037B8B"/>
    <w:rsid w:val="00037C63"/>
    <w:rsid w:val="00037CE4"/>
    <w:rsid w:val="00037D6E"/>
    <w:rsid w:val="00040187"/>
    <w:rsid w:val="00040AC1"/>
    <w:rsid w:val="000418B1"/>
    <w:rsid w:val="00042BF9"/>
    <w:rsid w:val="00043295"/>
    <w:rsid w:val="000433F1"/>
    <w:rsid w:val="00045069"/>
    <w:rsid w:val="00045265"/>
    <w:rsid w:val="000457FE"/>
    <w:rsid w:val="00045947"/>
    <w:rsid w:val="000462A8"/>
    <w:rsid w:val="00046360"/>
    <w:rsid w:val="0004653D"/>
    <w:rsid w:val="000465AB"/>
    <w:rsid w:val="00046E59"/>
    <w:rsid w:val="00046FF5"/>
    <w:rsid w:val="000472E6"/>
    <w:rsid w:val="000479CD"/>
    <w:rsid w:val="000500E6"/>
    <w:rsid w:val="000504B1"/>
    <w:rsid w:val="000504FE"/>
    <w:rsid w:val="000505B5"/>
    <w:rsid w:val="00050B52"/>
    <w:rsid w:val="00050DAB"/>
    <w:rsid w:val="00051BF6"/>
    <w:rsid w:val="00053AAC"/>
    <w:rsid w:val="00053BFC"/>
    <w:rsid w:val="0005428F"/>
    <w:rsid w:val="00054870"/>
    <w:rsid w:val="00054ABD"/>
    <w:rsid w:val="00054F7D"/>
    <w:rsid w:val="00055230"/>
    <w:rsid w:val="00055557"/>
    <w:rsid w:val="00055A8A"/>
    <w:rsid w:val="00055BBB"/>
    <w:rsid w:val="00055E6D"/>
    <w:rsid w:val="0005625F"/>
    <w:rsid w:val="0005649E"/>
    <w:rsid w:val="0005700C"/>
    <w:rsid w:val="00057393"/>
    <w:rsid w:val="00057E45"/>
    <w:rsid w:val="000606B6"/>
    <w:rsid w:val="00060CE9"/>
    <w:rsid w:val="00062637"/>
    <w:rsid w:val="00063143"/>
    <w:rsid w:val="000631AC"/>
    <w:rsid w:val="000631B7"/>
    <w:rsid w:val="000639D4"/>
    <w:rsid w:val="00064A48"/>
    <w:rsid w:val="00064C80"/>
    <w:rsid w:val="00065749"/>
    <w:rsid w:val="00065AB7"/>
    <w:rsid w:val="00065AF3"/>
    <w:rsid w:val="00065B00"/>
    <w:rsid w:val="00065D71"/>
    <w:rsid w:val="0006676F"/>
    <w:rsid w:val="000673D8"/>
    <w:rsid w:val="00067DE7"/>
    <w:rsid w:val="000706AC"/>
    <w:rsid w:val="00070775"/>
    <w:rsid w:val="00070950"/>
    <w:rsid w:val="000709D3"/>
    <w:rsid w:val="000712F8"/>
    <w:rsid w:val="00071A6A"/>
    <w:rsid w:val="00071A79"/>
    <w:rsid w:val="00071C95"/>
    <w:rsid w:val="00072009"/>
    <w:rsid w:val="00072600"/>
    <w:rsid w:val="000729C9"/>
    <w:rsid w:val="00072A95"/>
    <w:rsid w:val="000736DF"/>
    <w:rsid w:val="00074923"/>
    <w:rsid w:val="000750EA"/>
    <w:rsid w:val="00075D8E"/>
    <w:rsid w:val="0007724C"/>
    <w:rsid w:val="00077698"/>
    <w:rsid w:val="00077891"/>
    <w:rsid w:val="0007797E"/>
    <w:rsid w:val="0008017C"/>
    <w:rsid w:val="00080462"/>
    <w:rsid w:val="000807A9"/>
    <w:rsid w:val="00080AA6"/>
    <w:rsid w:val="00081C1C"/>
    <w:rsid w:val="000822F0"/>
    <w:rsid w:val="00082611"/>
    <w:rsid w:val="0008264F"/>
    <w:rsid w:val="00082AC4"/>
    <w:rsid w:val="00082DF3"/>
    <w:rsid w:val="00082E71"/>
    <w:rsid w:val="00083194"/>
    <w:rsid w:val="0008372E"/>
    <w:rsid w:val="00083A64"/>
    <w:rsid w:val="00083B97"/>
    <w:rsid w:val="00084AFE"/>
    <w:rsid w:val="00085459"/>
    <w:rsid w:val="00085CBE"/>
    <w:rsid w:val="00085F23"/>
    <w:rsid w:val="0008619C"/>
    <w:rsid w:val="000866A9"/>
    <w:rsid w:val="000867B2"/>
    <w:rsid w:val="00086EC2"/>
    <w:rsid w:val="00087358"/>
    <w:rsid w:val="000873F5"/>
    <w:rsid w:val="00087EA5"/>
    <w:rsid w:val="000900DF"/>
    <w:rsid w:val="00090193"/>
    <w:rsid w:val="0009021F"/>
    <w:rsid w:val="00091D8D"/>
    <w:rsid w:val="000920E8"/>
    <w:rsid w:val="00093126"/>
    <w:rsid w:val="00093170"/>
    <w:rsid w:val="00093836"/>
    <w:rsid w:val="00093DF8"/>
    <w:rsid w:val="000941F6"/>
    <w:rsid w:val="00094460"/>
    <w:rsid w:val="00094505"/>
    <w:rsid w:val="000945C5"/>
    <w:rsid w:val="00094ECF"/>
    <w:rsid w:val="0009592E"/>
    <w:rsid w:val="00095F4B"/>
    <w:rsid w:val="0009606A"/>
    <w:rsid w:val="000968CD"/>
    <w:rsid w:val="0009715C"/>
    <w:rsid w:val="000973D7"/>
    <w:rsid w:val="000A10DB"/>
    <w:rsid w:val="000A10DE"/>
    <w:rsid w:val="000A1ECD"/>
    <w:rsid w:val="000A2968"/>
    <w:rsid w:val="000A3515"/>
    <w:rsid w:val="000A3518"/>
    <w:rsid w:val="000A4E45"/>
    <w:rsid w:val="000A6204"/>
    <w:rsid w:val="000A63AB"/>
    <w:rsid w:val="000A6BF2"/>
    <w:rsid w:val="000A6F1D"/>
    <w:rsid w:val="000A70C7"/>
    <w:rsid w:val="000A7238"/>
    <w:rsid w:val="000A791D"/>
    <w:rsid w:val="000B0504"/>
    <w:rsid w:val="000B09FE"/>
    <w:rsid w:val="000B15EF"/>
    <w:rsid w:val="000B26D6"/>
    <w:rsid w:val="000B316D"/>
    <w:rsid w:val="000B3194"/>
    <w:rsid w:val="000B3CFE"/>
    <w:rsid w:val="000B4451"/>
    <w:rsid w:val="000B474A"/>
    <w:rsid w:val="000B4EF3"/>
    <w:rsid w:val="000B554C"/>
    <w:rsid w:val="000B56AF"/>
    <w:rsid w:val="000B5A2B"/>
    <w:rsid w:val="000B5B3A"/>
    <w:rsid w:val="000B5D87"/>
    <w:rsid w:val="000B693E"/>
    <w:rsid w:val="000B6F18"/>
    <w:rsid w:val="000B7258"/>
    <w:rsid w:val="000B7ABB"/>
    <w:rsid w:val="000B7E6D"/>
    <w:rsid w:val="000C0DAB"/>
    <w:rsid w:val="000C0F92"/>
    <w:rsid w:val="000C214A"/>
    <w:rsid w:val="000C2157"/>
    <w:rsid w:val="000C23B5"/>
    <w:rsid w:val="000C24B3"/>
    <w:rsid w:val="000C2E3D"/>
    <w:rsid w:val="000C350A"/>
    <w:rsid w:val="000C4048"/>
    <w:rsid w:val="000C4988"/>
    <w:rsid w:val="000C5331"/>
    <w:rsid w:val="000C59D1"/>
    <w:rsid w:val="000C5F41"/>
    <w:rsid w:val="000C7045"/>
    <w:rsid w:val="000C757A"/>
    <w:rsid w:val="000C7654"/>
    <w:rsid w:val="000C7D9F"/>
    <w:rsid w:val="000C7E89"/>
    <w:rsid w:val="000C7FB2"/>
    <w:rsid w:val="000D2859"/>
    <w:rsid w:val="000D3C5A"/>
    <w:rsid w:val="000D3E1B"/>
    <w:rsid w:val="000D4061"/>
    <w:rsid w:val="000D481F"/>
    <w:rsid w:val="000D4860"/>
    <w:rsid w:val="000D48FB"/>
    <w:rsid w:val="000D4AB8"/>
    <w:rsid w:val="000D4B4F"/>
    <w:rsid w:val="000D4EC1"/>
    <w:rsid w:val="000D55FD"/>
    <w:rsid w:val="000D5C14"/>
    <w:rsid w:val="000D6EC7"/>
    <w:rsid w:val="000D71A3"/>
    <w:rsid w:val="000D75B1"/>
    <w:rsid w:val="000E01DF"/>
    <w:rsid w:val="000E1A80"/>
    <w:rsid w:val="000E1C04"/>
    <w:rsid w:val="000E2AD1"/>
    <w:rsid w:val="000E3215"/>
    <w:rsid w:val="000E3226"/>
    <w:rsid w:val="000E3D2F"/>
    <w:rsid w:val="000E4712"/>
    <w:rsid w:val="000E4E88"/>
    <w:rsid w:val="000E528E"/>
    <w:rsid w:val="000E6022"/>
    <w:rsid w:val="000E612C"/>
    <w:rsid w:val="000E6D38"/>
    <w:rsid w:val="000E72E7"/>
    <w:rsid w:val="000E72F6"/>
    <w:rsid w:val="000E742B"/>
    <w:rsid w:val="000E75B3"/>
    <w:rsid w:val="000E7CC8"/>
    <w:rsid w:val="000F04AE"/>
    <w:rsid w:val="000F107F"/>
    <w:rsid w:val="000F1B78"/>
    <w:rsid w:val="000F1F51"/>
    <w:rsid w:val="000F1FB0"/>
    <w:rsid w:val="000F2181"/>
    <w:rsid w:val="000F21CE"/>
    <w:rsid w:val="000F24AC"/>
    <w:rsid w:val="000F24D5"/>
    <w:rsid w:val="000F24E0"/>
    <w:rsid w:val="000F2F60"/>
    <w:rsid w:val="000F47D9"/>
    <w:rsid w:val="000F4B3A"/>
    <w:rsid w:val="000F5331"/>
    <w:rsid w:val="000F5356"/>
    <w:rsid w:val="000F55C9"/>
    <w:rsid w:val="000F59D6"/>
    <w:rsid w:val="000F6242"/>
    <w:rsid w:val="000F6F32"/>
    <w:rsid w:val="000F7276"/>
    <w:rsid w:val="000F75A8"/>
    <w:rsid w:val="000F76E0"/>
    <w:rsid w:val="00100331"/>
    <w:rsid w:val="00101255"/>
    <w:rsid w:val="001016BB"/>
    <w:rsid w:val="00101879"/>
    <w:rsid w:val="0010251A"/>
    <w:rsid w:val="00102768"/>
    <w:rsid w:val="00102BC3"/>
    <w:rsid w:val="00103458"/>
    <w:rsid w:val="0010425A"/>
    <w:rsid w:val="00104346"/>
    <w:rsid w:val="00104A86"/>
    <w:rsid w:val="00104AFF"/>
    <w:rsid w:val="00104FCC"/>
    <w:rsid w:val="00105991"/>
    <w:rsid w:val="00105A06"/>
    <w:rsid w:val="001078F4"/>
    <w:rsid w:val="00110797"/>
    <w:rsid w:val="00110F60"/>
    <w:rsid w:val="00111ECD"/>
    <w:rsid w:val="001120FF"/>
    <w:rsid w:val="001121DD"/>
    <w:rsid w:val="00112DBF"/>
    <w:rsid w:val="00113646"/>
    <w:rsid w:val="001143F3"/>
    <w:rsid w:val="0011487E"/>
    <w:rsid w:val="00115ABE"/>
    <w:rsid w:val="00116258"/>
    <w:rsid w:val="00116B23"/>
    <w:rsid w:val="0011783B"/>
    <w:rsid w:val="00120541"/>
    <w:rsid w:val="0012077F"/>
    <w:rsid w:val="00120813"/>
    <w:rsid w:val="0012099E"/>
    <w:rsid w:val="00120A8D"/>
    <w:rsid w:val="00120BF2"/>
    <w:rsid w:val="00120E60"/>
    <w:rsid w:val="0012130E"/>
    <w:rsid w:val="001213B0"/>
    <w:rsid w:val="00121741"/>
    <w:rsid w:val="00121832"/>
    <w:rsid w:val="00121EEE"/>
    <w:rsid w:val="001221FC"/>
    <w:rsid w:val="001222CD"/>
    <w:rsid w:val="0012235C"/>
    <w:rsid w:val="00122A75"/>
    <w:rsid w:val="001241D1"/>
    <w:rsid w:val="00124985"/>
    <w:rsid w:val="00124FF9"/>
    <w:rsid w:val="00125237"/>
    <w:rsid w:val="00125609"/>
    <w:rsid w:val="00125EC8"/>
    <w:rsid w:val="00126655"/>
    <w:rsid w:val="00126707"/>
    <w:rsid w:val="001267D3"/>
    <w:rsid w:val="001269E0"/>
    <w:rsid w:val="00126C9D"/>
    <w:rsid w:val="001271AC"/>
    <w:rsid w:val="001313CE"/>
    <w:rsid w:val="0013190A"/>
    <w:rsid w:val="00131C94"/>
    <w:rsid w:val="00131DE6"/>
    <w:rsid w:val="001326DF"/>
    <w:rsid w:val="00132AD8"/>
    <w:rsid w:val="00132CCE"/>
    <w:rsid w:val="00133D01"/>
    <w:rsid w:val="00134305"/>
    <w:rsid w:val="001343D3"/>
    <w:rsid w:val="00134510"/>
    <w:rsid w:val="00134EF1"/>
    <w:rsid w:val="00136073"/>
    <w:rsid w:val="001361F7"/>
    <w:rsid w:val="0013656A"/>
    <w:rsid w:val="00136606"/>
    <w:rsid w:val="00136806"/>
    <w:rsid w:val="001369A6"/>
    <w:rsid w:val="00136BD6"/>
    <w:rsid w:val="00136DBC"/>
    <w:rsid w:val="00136DDA"/>
    <w:rsid w:val="00136F77"/>
    <w:rsid w:val="00137856"/>
    <w:rsid w:val="00137BD8"/>
    <w:rsid w:val="00140291"/>
    <w:rsid w:val="001422D4"/>
    <w:rsid w:val="00142ED9"/>
    <w:rsid w:val="00143AE7"/>
    <w:rsid w:val="00143F8A"/>
    <w:rsid w:val="001442C2"/>
    <w:rsid w:val="001449E1"/>
    <w:rsid w:val="00144D5F"/>
    <w:rsid w:val="00145ABB"/>
    <w:rsid w:val="00145F5C"/>
    <w:rsid w:val="0014647C"/>
    <w:rsid w:val="0014694C"/>
    <w:rsid w:val="001475BF"/>
    <w:rsid w:val="0014764D"/>
    <w:rsid w:val="00147916"/>
    <w:rsid w:val="0014795D"/>
    <w:rsid w:val="001479AA"/>
    <w:rsid w:val="00147F00"/>
    <w:rsid w:val="00147F94"/>
    <w:rsid w:val="00150564"/>
    <w:rsid w:val="001506A7"/>
    <w:rsid w:val="00150882"/>
    <w:rsid w:val="001509F0"/>
    <w:rsid w:val="00150A4A"/>
    <w:rsid w:val="001518B5"/>
    <w:rsid w:val="00151BBA"/>
    <w:rsid w:val="0015252D"/>
    <w:rsid w:val="00152656"/>
    <w:rsid w:val="00152C00"/>
    <w:rsid w:val="00152C2B"/>
    <w:rsid w:val="00152E98"/>
    <w:rsid w:val="00153084"/>
    <w:rsid w:val="00153DEB"/>
    <w:rsid w:val="00154304"/>
    <w:rsid w:val="0015477A"/>
    <w:rsid w:val="001547DF"/>
    <w:rsid w:val="00154F0A"/>
    <w:rsid w:val="00156891"/>
    <w:rsid w:val="001569C0"/>
    <w:rsid w:val="00156BA3"/>
    <w:rsid w:val="00157060"/>
    <w:rsid w:val="001570A2"/>
    <w:rsid w:val="00157320"/>
    <w:rsid w:val="001579B9"/>
    <w:rsid w:val="0016010D"/>
    <w:rsid w:val="001602EB"/>
    <w:rsid w:val="00160DEA"/>
    <w:rsid w:val="00160E9E"/>
    <w:rsid w:val="001610EB"/>
    <w:rsid w:val="00161C1F"/>
    <w:rsid w:val="00161C2F"/>
    <w:rsid w:val="001620B6"/>
    <w:rsid w:val="00162664"/>
    <w:rsid w:val="00163194"/>
    <w:rsid w:val="00163DB9"/>
    <w:rsid w:val="00164F8F"/>
    <w:rsid w:val="0016529F"/>
    <w:rsid w:val="001658F5"/>
    <w:rsid w:val="00165D95"/>
    <w:rsid w:val="00165E39"/>
    <w:rsid w:val="00165F38"/>
    <w:rsid w:val="001661B8"/>
    <w:rsid w:val="00166237"/>
    <w:rsid w:val="0016644D"/>
    <w:rsid w:val="00166EE6"/>
    <w:rsid w:val="001672AF"/>
    <w:rsid w:val="00167F6F"/>
    <w:rsid w:val="00170A14"/>
    <w:rsid w:val="00170B6C"/>
    <w:rsid w:val="0017112B"/>
    <w:rsid w:val="001726CF"/>
    <w:rsid w:val="00172A27"/>
    <w:rsid w:val="00172BAF"/>
    <w:rsid w:val="00172EC0"/>
    <w:rsid w:val="00173191"/>
    <w:rsid w:val="001737FE"/>
    <w:rsid w:val="0017426E"/>
    <w:rsid w:val="001760DB"/>
    <w:rsid w:val="00176E50"/>
    <w:rsid w:val="00177106"/>
    <w:rsid w:val="0017723E"/>
    <w:rsid w:val="001775DA"/>
    <w:rsid w:val="0017787E"/>
    <w:rsid w:val="00177AD0"/>
    <w:rsid w:val="00181135"/>
    <w:rsid w:val="00181C0B"/>
    <w:rsid w:val="00182096"/>
    <w:rsid w:val="00182382"/>
    <w:rsid w:val="00182A92"/>
    <w:rsid w:val="00182DF8"/>
    <w:rsid w:val="001853D0"/>
    <w:rsid w:val="00185D6F"/>
    <w:rsid w:val="00185E0C"/>
    <w:rsid w:val="00186CEF"/>
    <w:rsid w:val="00187892"/>
    <w:rsid w:val="00187DFB"/>
    <w:rsid w:val="00190463"/>
    <w:rsid w:val="001904CF"/>
    <w:rsid w:val="00191435"/>
    <w:rsid w:val="00192213"/>
    <w:rsid w:val="001927A2"/>
    <w:rsid w:val="0019335B"/>
    <w:rsid w:val="0019423A"/>
    <w:rsid w:val="00194FA4"/>
    <w:rsid w:val="00195648"/>
    <w:rsid w:val="001959DC"/>
    <w:rsid w:val="00195F44"/>
    <w:rsid w:val="00196019"/>
    <w:rsid w:val="0019630F"/>
    <w:rsid w:val="00196C83"/>
    <w:rsid w:val="00196E92"/>
    <w:rsid w:val="00197469"/>
    <w:rsid w:val="001A0112"/>
    <w:rsid w:val="001A0896"/>
    <w:rsid w:val="001A29AC"/>
    <w:rsid w:val="001A315B"/>
    <w:rsid w:val="001A35FF"/>
    <w:rsid w:val="001A3856"/>
    <w:rsid w:val="001A3F6D"/>
    <w:rsid w:val="001A4664"/>
    <w:rsid w:val="001A4953"/>
    <w:rsid w:val="001A4C94"/>
    <w:rsid w:val="001A5DA1"/>
    <w:rsid w:val="001A68CE"/>
    <w:rsid w:val="001A775C"/>
    <w:rsid w:val="001A7CBA"/>
    <w:rsid w:val="001A7E72"/>
    <w:rsid w:val="001B069F"/>
    <w:rsid w:val="001B0ADB"/>
    <w:rsid w:val="001B1736"/>
    <w:rsid w:val="001B1AE6"/>
    <w:rsid w:val="001B1F92"/>
    <w:rsid w:val="001B21AC"/>
    <w:rsid w:val="001B2FCF"/>
    <w:rsid w:val="001B32D3"/>
    <w:rsid w:val="001B32E4"/>
    <w:rsid w:val="001B3778"/>
    <w:rsid w:val="001B3E30"/>
    <w:rsid w:val="001B4129"/>
    <w:rsid w:val="001B4ED3"/>
    <w:rsid w:val="001B50CC"/>
    <w:rsid w:val="001B51E8"/>
    <w:rsid w:val="001B5221"/>
    <w:rsid w:val="001B5355"/>
    <w:rsid w:val="001B6049"/>
    <w:rsid w:val="001B60D4"/>
    <w:rsid w:val="001B6482"/>
    <w:rsid w:val="001B65C5"/>
    <w:rsid w:val="001B7014"/>
    <w:rsid w:val="001B7C32"/>
    <w:rsid w:val="001B7CBF"/>
    <w:rsid w:val="001C0619"/>
    <w:rsid w:val="001C0E29"/>
    <w:rsid w:val="001C1344"/>
    <w:rsid w:val="001C13D0"/>
    <w:rsid w:val="001C148A"/>
    <w:rsid w:val="001C15DB"/>
    <w:rsid w:val="001C1814"/>
    <w:rsid w:val="001C1968"/>
    <w:rsid w:val="001C1DD6"/>
    <w:rsid w:val="001C2082"/>
    <w:rsid w:val="001C3B70"/>
    <w:rsid w:val="001C3D80"/>
    <w:rsid w:val="001C4361"/>
    <w:rsid w:val="001C505B"/>
    <w:rsid w:val="001C51A3"/>
    <w:rsid w:val="001C5358"/>
    <w:rsid w:val="001C56D1"/>
    <w:rsid w:val="001C5AD3"/>
    <w:rsid w:val="001C6B01"/>
    <w:rsid w:val="001C7990"/>
    <w:rsid w:val="001C7A8C"/>
    <w:rsid w:val="001D0AA9"/>
    <w:rsid w:val="001D15D9"/>
    <w:rsid w:val="001D23EF"/>
    <w:rsid w:val="001D3262"/>
    <w:rsid w:val="001D3534"/>
    <w:rsid w:val="001D3E6D"/>
    <w:rsid w:val="001D537F"/>
    <w:rsid w:val="001D55D2"/>
    <w:rsid w:val="001D55F2"/>
    <w:rsid w:val="001D629D"/>
    <w:rsid w:val="001D723E"/>
    <w:rsid w:val="001D7681"/>
    <w:rsid w:val="001D7892"/>
    <w:rsid w:val="001E131D"/>
    <w:rsid w:val="001E15A7"/>
    <w:rsid w:val="001E1FA3"/>
    <w:rsid w:val="001E21AC"/>
    <w:rsid w:val="001E24A4"/>
    <w:rsid w:val="001E28CC"/>
    <w:rsid w:val="001E321D"/>
    <w:rsid w:val="001E38B1"/>
    <w:rsid w:val="001E3AC5"/>
    <w:rsid w:val="001E478C"/>
    <w:rsid w:val="001E4C00"/>
    <w:rsid w:val="001E4D12"/>
    <w:rsid w:val="001E4D56"/>
    <w:rsid w:val="001E631E"/>
    <w:rsid w:val="001E6CE0"/>
    <w:rsid w:val="001E6E30"/>
    <w:rsid w:val="001E6EC8"/>
    <w:rsid w:val="001E72E0"/>
    <w:rsid w:val="001F0064"/>
    <w:rsid w:val="001F05D5"/>
    <w:rsid w:val="001F16DF"/>
    <w:rsid w:val="001F1960"/>
    <w:rsid w:val="001F3603"/>
    <w:rsid w:val="001F3DAE"/>
    <w:rsid w:val="001F4A98"/>
    <w:rsid w:val="001F5294"/>
    <w:rsid w:val="001F6078"/>
    <w:rsid w:val="001F6159"/>
    <w:rsid w:val="001F6680"/>
    <w:rsid w:val="001F6E82"/>
    <w:rsid w:val="001F6FB6"/>
    <w:rsid w:val="001F740D"/>
    <w:rsid w:val="001F792F"/>
    <w:rsid w:val="001F7AC9"/>
    <w:rsid w:val="001F7B9E"/>
    <w:rsid w:val="001F7BE1"/>
    <w:rsid w:val="001F7C97"/>
    <w:rsid w:val="00200A84"/>
    <w:rsid w:val="00200BED"/>
    <w:rsid w:val="002014F7"/>
    <w:rsid w:val="00202576"/>
    <w:rsid w:val="00202B50"/>
    <w:rsid w:val="00202EF9"/>
    <w:rsid w:val="00202F93"/>
    <w:rsid w:val="00203204"/>
    <w:rsid w:val="00203236"/>
    <w:rsid w:val="002036E8"/>
    <w:rsid w:val="00203752"/>
    <w:rsid w:val="00203B3F"/>
    <w:rsid w:val="002048AD"/>
    <w:rsid w:val="00204B5C"/>
    <w:rsid w:val="002051F7"/>
    <w:rsid w:val="0020531C"/>
    <w:rsid w:val="0020614B"/>
    <w:rsid w:val="002067D2"/>
    <w:rsid w:val="00206F81"/>
    <w:rsid w:val="0020708A"/>
    <w:rsid w:val="0020738E"/>
    <w:rsid w:val="00207642"/>
    <w:rsid w:val="00207838"/>
    <w:rsid w:val="00207F6A"/>
    <w:rsid w:val="00210256"/>
    <w:rsid w:val="00210394"/>
    <w:rsid w:val="0021076E"/>
    <w:rsid w:val="00211180"/>
    <w:rsid w:val="00211EC3"/>
    <w:rsid w:val="002124DD"/>
    <w:rsid w:val="00212B08"/>
    <w:rsid w:val="00213289"/>
    <w:rsid w:val="00213825"/>
    <w:rsid w:val="00214189"/>
    <w:rsid w:val="00214ADD"/>
    <w:rsid w:val="00214DBB"/>
    <w:rsid w:val="00214DF9"/>
    <w:rsid w:val="0021525B"/>
    <w:rsid w:val="00215D73"/>
    <w:rsid w:val="00216B19"/>
    <w:rsid w:val="00216CCC"/>
    <w:rsid w:val="00216E16"/>
    <w:rsid w:val="0021738B"/>
    <w:rsid w:val="00220082"/>
    <w:rsid w:val="002203BD"/>
    <w:rsid w:val="00220776"/>
    <w:rsid w:val="002207D0"/>
    <w:rsid w:val="002221C3"/>
    <w:rsid w:val="0022299A"/>
    <w:rsid w:val="00222B91"/>
    <w:rsid w:val="002230FD"/>
    <w:rsid w:val="002232B3"/>
    <w:rsid w:val="00224756"/>
    <w:rsid w:val="00224878"/>
    <w:rsid w:val="0022514D"/>
    <w:rsid w:val="002256C2"/>
    <w:rsid w:val="00225CEE"/>
    <w:rsid w:val="00226447"/>
    <w:rsid w:val="002266DB"/>
    <w:rsid w:val="00226894"/>
    <w:rsid w:val="002268B0"/>
    <w:rsid w:val="0022701D"/>
    <w:rsid w:val="00227577"/>
    <w:rsid w:val="002277E9"/>
    <w:rsid w:val="002303A6"/>
    <w:rsid w:val="00230894"/>
    <w:rsid w:val="002308E9"/>
    <w:rsid w:val="00230C61"/>
    <w:rsid w:val="00231584"/>
    <w:rsid w:val="00231B36"/>
    <w:rsid w:val="00231CFD"/>
    <w:rsid w:val="00231F9E"/>
    <w:rsid w:val="00232498"/>
    <w:rsid w:val="0023254E"/>
    <w:rsid w:val="00232918"/>
    <w:rsid w:val="00232B2D"/>
    <w:rsid w:val="0023350C"/>
    <w:rsid w:val="00233E70"/>
    <w:rsid w:val="00234281"/>
    <w:rsid w:val="00234FD3"/>
    <w:rsid w:val="00235B1B"/>
    <w:rsid w:val="00236B90"/>
    <w:rsid w:val="002371BF"/>
    <w:rsid w:val="00237A87"/>
    <w:rsid w:val="00240310"/>
    <w:rsid w:val="002404C3"/>
    <w:rsid w:val="002409B5"/>
    <w:rsid w:val="00241129"/>
    <w:rsid w:val="00241840"/>
    <w:rsid w:val="00241C36"/>
    <w:rsid w:val="00241F9B"/>
    <w:rsid w:val="00242608"/>
    <w:rsid w:val="002427EB"/>
    <w:rsid w:val="002427F0"/>
    <w:rsid w:val="002428BD"/>
    <w:rsid w:val="00242E09"/>
    <w:rsid w:val="002432B7"/>
    <w:rsid w:val="00243A92"/>
    <w:rsid w:val="00243C06"/>
    <w:rsid w:val="002440B2"/>
    <w:rsid w:val="0024551D"/>
    <w:rsid w:val="002458CE"/>
    <w:rsid w:val="00246513"/>
    <w:rsid w:val="00246B1D"/>
    <w:rsid w:val="00247BDE"/>
    <w:rsid w:val="00247EE8"/>
    <w:rsid w:val="00250B11"/>
    <w:rsid w:val="00251C98"/>
    <w:rsid w:val="00251EB3"/>
    <w:rsid w:val="0025329B"/>
    <w:rsid w:val="00253375"/>
    <w:rsid w:val="002538BA"/>
    <w:rsid w:val="00253EC4"/>
    <w:rsid w:val="0025418A"/>
    <w:rsid w:val="00254240"/>
    <w:rsid w:val="002557AE"/>
    <w:rsid w:val="00255BC2"/>
    <w:rsid w:val="00256539"/>
    <w:rsid w:val="00256DEA"/>
    <w:rsid w:val="002572BD"/>
    <w:rsid w:val="002579EC"/>
    <w:rsid w:val="00257C49"/>
    <w:rsid w:val="0026072F"/>
    <w:rsid w:val="00260952"/>
    <w:rsid w:val="00261192"/>
    <w:rsid w:val="00261A11"/>
    <w:rsid w:val="00261CB5"/>
    <w:rsid w:val="002625F2"/>
    <w:rsid w:val="00263413"/>
    <w:rsid w:val="0026431A"/>
    <w:rsid w:val="002644A4"/>
    <w:rsid w:val="00265066"/>
    <w:rsid w:val="00265599"/>
    <w:rsid w:val="00265C93"/>
    <w:rsid w:val="00266300"/>
    <w:rsid w:val="00271150"/>
    <w:rsid w:val="00274075"/>
    <w:rsid w:val="002747CC"/>
    <w:rsid w:val="00274830"/>
    <w:rsid w:val="00274DF9"/>
    <w:rsid w:val="00275170"/>
    <w:rsid w:val="00275D77"/>
    <w:rsid w:val="00275F0A"/>
    <w:rsid w:val="002778F2"/>
    <w:rsid w:val="00277EA0"/>
    <w:rsid w:val="00277F0D"/>
    <w:rsid w:val="00277F52"/>
    <w:rsid w:val="002809A3"/>
    <w:rsid w:val="00280BF2"/>
    <w:rsid w:val="00281780"/>
    <w:rsid w:val="00281979"/>
    <w:rsid w:val="00281E85"/>
    <w:rsid w:val="00282113"/>
    <w:rsid w:val="002837F8"/>
    <w:rsid w:val="00283844"/>
    <w:rsid w:val="002838FA"/>
    <w:rsid w:val="00283ACF"/>
    <w:rsid w:val="00283C99"/>
    <w:rsid w:val="0028473D"/>
    <w:rsid w:val="00284824"/>
    <w:rsid w:val="00284850"/>
    <w:rsid w:val="00284D22"/>
    <w:rsid w:val="00285326"/>
    <w:rsid w:val="002854BE"/>
    <w:rsid w:val="00285DE8"/>
    <w:rsid w:val="00285F07"/>
    <w:rsid w:val="002863F2"/>
    <w:rsid w:val="00286F15"/>
    <w:rsid w:val="0028735F"/>
    <w:rsid w:val="00290283"/>
    <w:rsid w:val="00290891"/>
    <w:rsid w:val="00291326"/>
    <w:rsid w:val="0029166A"/>
    <w:rsid w:val="00291DA9"/>
    <w:rsid w:val="00292773"/>
    <w:rsid w:val="002927AC"/>
    <w:rsid w:val="002927F9"/>
    <w:rsid w:val="0029469F"/>
    <w:rsid w:val="002946E9"/>
    <w:rsid w:val="00294A07"/>
    <w:rsid w:val="00295405"/>
    <w:rsid w:val="002954FB"/>
    <w:rsid w:val="002955F0"/>
    <w:rsid w:val="0029618D"/>
    <w:rsid w:val="002963FB"/>
    <w:rsid w:val="002965BA"/>
    <w:rsid w:val="00296814"/>
    <w:rsid w:val="002969CD"/>
    <w:rsid w:val="0029716C"/>
    <w:rsid w:val="00297CC2"/>
    <w:rsid w:val="002A00F4"/>
    <w:rsid w:val="002A0DD4"/>
    <w:rsid w:val="002A1D02"/>
    <w:rsid w:val="002A1E21"/>
    <w:rsid w:val="002A2537"/>
    <w:rsid w:val="002A2AB8"/>
    <w:rsid w:val="002A2B8E"/>
    <w:rsid w:val="002A5126"/>
    <w:rsid w:val="002A53C9"/>
    <w:rsid w:val="002A5948"/>
    <w:rsid w:val="002A64F2"/>
    <w:rsid w:val="002A6590"/>
    <w:rsid w:val="002A6AEB"/>
    <w:rsid w:val="002A7478"/>
    <w:rsid w:val="002A7AEB"/>
    <w:rsid w:val="002A7B26"/>
    <w:rsid w:val="002B01AD"/>
    <w:rsid w:val="002B047F"/>
    <w:rsid w:val="002B2D78"/>
    <w:rsid w:val="002B32B5"/>
    <w:rsid w:val="002B32C9"/>
    <w:rsid w:val="002B3736"/>
    <w:rsid w:val="002B3C0E"/>
    <w:rsid w:val="002B4054"/>
    <w:rsid w:val="002B41B4"/>
    <w:rsid w:val="002B46FF"/>
    <w:rsid w:val="002B497D"/>
    <w:rsid w:val="002B4D0E"/>
    <w:rsid w:val="002B51E2"/>
    <w:rsid w:val="002B542A"/>
    <w:rsid w:val="002B5495"/>
    <w:rsid w:val="002B54C5"/>
    <w:rsid w:val="002B55E5"/>
    <w:rsid w:val="002B653E"/>
    <w:rsid w:val="002B6703"/>
    <w:rsid w:val="002B6A46"/>
    <w:rsid w:val="002B6D69"/>
    <w:rsid w:val="002B6F67"/>
    <w:rsid w:val="002B7411"/>
    <w:rsid w:val="002B7F1B"/>
    <w:rsid w:val="002C0083"/>
    <w:rsid w:val="002C032E"/>
    <w:rsid w:val="002C081A"/>
    <w:rsid w:val="002C108A"/>
    <w:rsid w:val="002C1446"/>
    <w:rsid w:val="002C1553"/>
    <w:rsid w:val="002C2B35"/>
    <w:rsid w:val="002C2CCD"/>
    <w:rsid w:val="002C2F7F"/>
    <w:rsid w:val="002C2FB4"/>
    <w:rsid w:val="002C2FD3"/>
    <w:rsid w:val="002C3683"/>
    <w:rsid w:val="002C4177"/>
    <w:rsid w:val="002C433A"/>
    <w:rsid w:val="002C5B8D"/>
    <w:rsid w:val="002C682C"/>
    <w:rsid w:val="002C6DC2"/>
    <w:rsid w:val="002C6DDA"/>
    <w:rsid w:val="002C713E"/>
    <w:rsid w:val="002D04C8"/>
    <w:rsid w:val="002D053D"/>
    <w:rsid w:val="002D0B99"/>
    <w:rsid w:val="002D0F9E"/>
    <w:rsid w:val="002D1936"/>
    <w:rsid w:val="002D1CE8"/>
    <w:rsid w:val="002D2129"/>
    <w:rsid w:val="002D2FB2"/>
    <w:rsid w:val="002D3782"/>
    <w:rsid w:val="002D4896"/>
    <w:rsid w:val="002D48E6"/>
    <w:rsid w:val="002D53A7"/>
    <w:rsid w:val="002D5B16"/>
    <w:rsid w:val="002D769A"/>
    <w:rsid w:val="002D7789"/>
    <w:rsid w:val="002D77B7"/>
    <w:rsid w:val="002D7CC4"/>
    <w:rsid w:val="002D7DBC"/>
    <w:rsid w:val="002E02B6"/>
    <w:rsid w:val="002E0C21"/>
    <w:rsid w:val="002E1812"/>
    <w:rsid w:val="002E192A"/>
    <w:rsid w:val="002E2378"/>
    <w:rsid w:val="002E2471"/>
    <w:rsid w:val="002E2A80"/>
    <w:rsid w:val="002E2B84"/>
    <w:rsid w:val="002E300A"/>
    <w:rsid w:val="002E3543"/>
    <w:rsid w:val="002E3B82"/>
    <w:rsid w:val="002E3C95"/>
    <w:rsid w:val="002E40D7"/>
    <w:rsid w:val="002E48E1"/>
    <w:rsid w:val="002E4CCE"/>
    <w:rsid w:val="002E5554"/>
    <w:rsid w:val="002E58D2"/>
    <w:rsid w:val="002E5E11"/>
    <w:rsid w:val="002E5F0D"/>
    <w:rsid w:val="002E6262"/>
    <w:rsid w:val="002E6EE7"/>
    <w:rsid w:val="002F05FB"/>
    <w:rsid w:val="002F0C24"/>
    <w:rsid w:val="002F0C6B"/>
    <w:rsid w:val="002F0F9E"/>
    <w:rsid w:val="002F119A"/>
    <w:rsid w:val="002F1CD0"/>
    <w:rsid w:val="002F1D5C"/>
    <w:rsid w:val="002F207F"/>
    <w:rsid w:val="002F24AF"/>
    <w:rsid w:val="002F2902"/>
    <w:rsid w:val="002F32ED"/>
    <w:rsid w:val="002F3799"/>
    <w:rsid w:val="002F3FF3"/>
    <w:rsid w:val="002F43B6"/>
    <w:rsid w:val="002F45B2"/>
    <w:rsid w:val="002F4803"/>
    <w:rsid w:val="002F49F9"/>
    <w:rsid w:val="002F515D"/>
    <w:rsid w:val="002F537A"/>
    <w:rsid w:val="002F5F8A"/>
    <w:rsid w:val="002F6058"/>
    <w:rsid w:val="002F6673"/>
    <w:rsid w:val="002F66DB"/>
    <w:rsid w:val="002F6CCF"/>
    <w:rsid w:val="002F760C"/>
    <w:rsid w:val="002F7EB8"/>
    <w:rsid w:val="0030086D"/>
    <w:rsid w:val="00300D86"/>
    <w:rsid w:val="003017E1"/>
    <w:rsid w:val="00302891"/>
    <w:rsid w:val="00302F6A"/>
    <w:rsid w:val="00303AEB"/>
    <w:rsid w:val="003040C0"/>
    <w:rsid w:val="003048B5"/>
    <w:rsid w:val="00304DAF"/>
    <w:rsid w:val="00305989"/>
    <w:rsid w:val="00305CC7"/>
    <w:rsid w:val="00305F62"/>
    <w:rsid w:val="003061C9"/>
    <w:rsid w:val="0030688B"/>
    <w:rsid w:val="00306B1E"/>
    <w:rsid w:val="003074FD"/>
    <w:rsid w:val="00307A2D"/>
    <w:rsid w:val="00310204"/>
    <w:rsid w:val="00310272"/>
    <w:rsid w:val="0031041F"/>
    <w:rsid w:val="00310991"/>
    <w:rsid w:val="00310D86"/>
    <w:rsid w:val="00310F34"/>
    <w:rsid w:val="003111D7"/>
    <w:rsid w:val="00312AF6"/>
    <w:rsid w:val="00312CB7"/>
    <w:rsid w:val="00312E68"/>
    <w:rsid w:val="0031351A"/>
    <w:rsid w:val="00314AFF"/>
    <w:rsid w:val="00315A7B"/>
    <w:rsid w:val="00315BD4"/>
    <w:rsid w:val="00315F67"/>
    <w:rsid w:val="003161E5"/>
    <w:rsid w:val="00316C18"/>
    <w:rsid w:val="00316EDC"/>
    <w:rsid w:val="00317071"/>
    <w:rsid w:val="003170F2"/>
    <w:rsid w:val="00320168"/>
    <w:rsid w:val="003204DA"/>
    <w:rsid w:val="00320582"/>
    <w:rsid w:val="00321282"/>
    <w:rsid w:val="0032130E"/>
    <w:rsid w:val="0032187E"/>
    <w:rsid w:val="003218EA"/>
    <w:rsid w:val="00321F93"/>
    <w:rsid w:val="00322489"/>
    <w:rsid w:val="0032278A"/>
    <w:rsid w:val="0032279E"/>
    <w:rsid w:val="00322A25"/>
    <w:rsid w:val="00322C47"/>
    <w:rsid w:val="0032318E"/>
    <w:rsid w:val="00323A57"/>
    <w:rsid w:val="00324289"/>
    <w:rsid w:val="00324A14"/>
    <w:rsid w:val="00325668"/>
    <w:rsid w:val="003262AB"/>
    <w:rsid w:val="0032659C"/>
    <w:rsid w:val="003271D5"/>
    <w:rsid w:val="00327292"/>
    <w:rsid w:val="003272FD"/>
    <w:rsid w:val="0032744E"/>
    <w:rsid w:val="00327480"/>
    <w:rsid w:val="003275C7"/>
    <w:rsid w:val="00327C92"/>
    <w:rsid w:val="003307FF"/>
    <w:rsid w:val="00330A37"/>
    <w:rsid w:val="00330B81"/>
    <w:rsid w:val="00331424"/>
    <w:rsid w:val="00332A38"/>
    <w:rsid w:val="00333471"/>
    <w:rsid w:val="003334DE"/>
    <w:rsid w:val="00333A15"/>
    <w:rsid w:val="00333A6D"/>
    <w:rsid w:val="00333F1D"/>
    <w:rsid w:val="0033545E"/>
    <w:rsid w:val="00335776"/>
    <w:rsid w:val="00335E25"/>
    <w:rsid w:val="00336075"/>
    <w:rsid w:val="003370B4"/>
    <w:rsid w:val="003374B9"/>
    <w:rsid w:val="003375AB"/>
    <w:rsid w:val="003378B1"/>
    <w:rsid w:val="003408E2"/>
    <w:rsid w:val="003415A2"/>
    <w:rsid w:val="00341999"/>
    <w:rsid w:val="00341C6F"/>
    <w:rsid w:val="00342CB4"/>
    <w:rsid w:val="0034312D"/>
    <w:rsid w:val="0034330F"/>
    <w:rsid w:val="0034362E"/>
    <w:rsid w:val="00343669"/>
    <w:rsid w:val="00343732"/>
    <w:rsid w:val="003438E5"/>
    <w:rsid w:val="00343C67"/>
    <w:rsid w:val="00343E03"/>
    <w:rsid w:val="0034413A"/>
    <w:rsid w:val="00344BA3"/>
    <w:rsid w:val="00344BDC"/>
    <w:rsid w:val="00344D5E"/>
    <w:rsid w:val="003451C1"/>
    <w:rsid w:val="00345475"/>
    <w:rsid w:val="00346455"/>
    <w:rsid w:val="00346481"/>
    <w:rsid w:val="00346AE5"/>
    <w:rsid w:val="00346C56"/>
    <w:rsid w:val="00347782"/>
    <w:rsid w:val="00347D51"/>
    <w:rsid w:val="00347E11"/>
    <w:rsid w:val="00350268"/>
    <w:rsid w:val="00350594"/>
    <w:rsid w:val="003518DC"/>
    <w:rsid w:val="00352542"/>
    <w:rsid w:val="003527CE"/>
    <w:rsid w:val="0035326A"/>
    <w:rsid w:val="0035327A"/>
    <w:rsid w:val="003534CB"/>
    <w:rsid w:val="00353FC5"/>
    <w:rsid w:val="00354407"/>
    <w:rsid w:val="00354730"/>
    <w:rsid w:val="00354CC2"/>
    <w:rsid w:val="00354E45"/>
    <w:rsid w:val="003555CF"/>
    <w:rsid w:val="00355B59"/>
    <w:rsid w:val="00356164"/>
    <w:rsid w:val="0035620E"/>
    <w:rsid w:val="00356219"/>
    <w:rsid w:val="003564B6"/>
    <w:rsid w:val="0035669E"/>
    <w:rsid w:val="0035672B"/>
    <w:rsid w:val="00356991"/>
    <w:rsid w:val="003571AF"/>
    <w:rsid w:val="003574FA"/>
    <w:rsid w:val="00357C05"/>
    <w:rsid w:val="00357DE5"/>
    <w:rsid w:val="0036071E"/>
    <w:rsid w:val="00363B12"/>
    <w:rsid w:val="00363CA5"/>
    <w:rsid w:val="00363DA1"/>
    <w:rsid w:val="00364206"/>
    <w:rsid w:val="0036423C"/>
    <w:rsid w:val="003648BB"/>
    <w:rsid w:val="00364D59"/>
    <w:rsid w:val="003654BE"/>
    <w:rsid w:val="003654DD"/>
    <w:rsid w:val="00365572"/>
    <w:rsid w:val="00365D2E"/>
    <w:rsid w:val="00365DBB"/>
    <w:rsid w:val="003672E3"/>
    <w:rsid w:val="003673E6"/>
    <w:rsid w:val="003675F0"/>
    <w:rsid w:val="00367A90"/>
    <w:rsid w:val="00367E42"/>
    <w:rsid w:val="0037006D"/>
    <w:rsid w:val="00370115"/>
    <w:rsid w:val="003703EC"/>
    <w:rsid w:val="00370963"/>
    <w:rsid w:val="00371009"/>
    <w:rsid w:val="00371BC4"/>
    <w:rsid w:val="003722E8"/>
    <w:rsid w:val="003725FF"/>
    <w:rsid w:val="00372733"/>
    <w:rsid w:val="0037280D"/>
    <w:rsid w:val="003728E1"/>
    <w:rsid w:val="00372C4C"/>
    <w:rsid w:val="00373B8C"/>
    <w:rsid w:val="00373B9D"/>
    <w:rsid w:val="00373F9A"/>
    <w:rsid w:val="00374294"/>
    <w:rsid w:val="003745D0"/>
    <w:rsid w:val="00375B8A"/>
    <w:rsid w:val="00375D31"/>
    <w:rsid w:val="00375E04"/>
    <w:rsid w:val="003760E4"/>
    <w:rsid w:val="0037642E"/>
    <w:rsid w:val="003777F9"/>
    <w:rsid w:val="00377D45"/>
    <w:rsid w:val="003801DC"/>
    <w:rsid w:val="00380C74"/>
    <w:rsid w:val="00380CF1"/>
    <w:rsid w:val="00380E15"/>
    <w:rsid w:val="00380F51"/>
    <w:rsid w:val="00381993"/>
    <w:rsid w:val="00381B3A"/>
    <w:rsid w:val="00381D4A"/>
    <w:rsid w:val="00381F38"/>
    <w:rsid w:val="00381F75"/>
    <w:rsid w:val="0038248C"/>
    <w:rsid w:val="00383E24"/>
    <w:rsid w:val="00384837"/>
    <w:rsid w:val="00384976"/>
    <w:rsid w:val="00384B51"/>
    <w:rsid w:val="003856C6"/>
    <w:rsid w:val="00385E50"/>
    <w:rsid w:val="0038685F"/>
    <w:rsid w:val="00386B43"/>
    <w:rsid w:val="00386CBA"/>
    <w:rsid w:val="00386FC4"/>
    <w:rsid w:val="00387B59"/>
    <w:rsid w:val="00390AA4"/>
    <w:rsid w:val="003912E4"/>
    <w:rsid w:val="003914F2"/>
    <w:rsid w:val="00391901"/>
    <w:rsid w:val="0039192C"/>
    <w:rsid w:val="00391AC1"/>
    <w:rsid w:val="00391B2B"/>
    <w:rsid w:val="00392361"/>
    <w:rsid w:val="003923E6"/>
    <w:rsid w:val="0039240B"/>
    <w:rsid w:val="00393129"/>
    <w:rsid w:val="00393FE9"/>
    <w:rsid w:val="003941B4"/>
    <w:rsid w:val="003943FE"/>
    <w:rsid w:val="0039476B"/>
    <w:rsid w:val="00394F4C"/>
    <w:rsid w:val="00395BDA"/>
    <w:rsid w:val="00396113"/>
    <w:rsid w:val="00396BF6"/>
    <w:rsid w:val="00396F26"/>
    <w:rsid w:val="003973FD"/>
    <w:rsid w:val="00397413"/>
    <w:rsid w:val="00397418"/>
    <w:rsid w:val="003976E4"/>
    <w:rsid w:val="00397E21"/>
    <w:rsid w:val="00397FDC"/>
    <w:rsid w:val="003A04AE"/>
    <w:rsid w:val="003A0667"/>
    <w:rsid w:val="003A19D6"/>
    <w:rsid w:val="003A2D4E"/>
    <w:rsid w:val="003A2E4A"/>
    <w:rsid w:val="003A2E89"/>
    <w:rsid w:val="003A3999"/>
    <w:rsid w:val="003A4462"/>
    <w:rsid w:val="003A4663"/>
    <w:rsid w:val="003A4BFF"/>
    <w:rsid w:val="003A4F4E"/>
    <w:rsid w:val="003A5D90"/>
    <w:rsid w:val="003A62DA"/>
    <w:rsid w:val="003A6F24"/>
    <w:rsid w:val="003A7B14"/>
    <w:rsid w:val="003A7B7B"/>
    <w:rsid w:val="003A7D2A"/>
    <w:rsid w:val="003A7D38"/>
    <w:rsid w:val="003B08CD"/>
    <w:rsid w:val="003B14FD"/>
    <w:rsid w:val="003B2427"/>
    <w:rsid w:val="003B2D7D"/>
    <w:rsid w:val="003B3E12"/>
    <w:rsid w:val="003B4279"/>
    <w:rsid w:val="003B4696"/>
    <w:rsid w:val="003B489E"/>
    <w:rsid w:val="003B4E65"/>
    <w:rsid w:val="003B4EB6"/>
    <w:rsid w:val="003B51E6"/>
    <w:rsid w:val="003B6031"/>
    <w:rsid w:val="003B6E81"/>
    <w:rsid w:val="003B6FA1"/>
    <w:rsid w:val="003B707F"/>
    <w:rsid w:val="003B7821"/>
    <w:rsid w:val="003B7E05"/>
    <w:rsid w:val="003C052A"/>
    <w:rsid w:val="003C131E"/>
    <w:rsid w:val="003C1730"/>
    <w:rsid w:val="003C19A5"/>
    <w:rsid w:val="003C1C85"/>
    <w:rsid w:val="003C1D19"/>
    <w:rsid w:val="003C1F69"/>
    <w:rsid w:val="003C2A5C"/>
    <w:rsid w:val="003C3A2A"/>
    <w:rsid w:val="003C3E7F"/>
    <w:rsid w:val="003C4482"/>
    <w:rsid w:val="003C5260"/>
    <w:rsid w:val="003C5EA1"/>
    <w:rsid w:val="003C612F"/>
    <w:rsid w:val="003C6468"/>
    <w:rsid w:val="003D0AF6"/>
    <w:rsid w:val="003D0BFD"/>
    <w:rsid w:val="003D11D9"/>
    <w:rsid w:val="003D1B68"/>
    <w:rsid w:val="003D1E5A"/>
    <w:rsid w:val="003D35FD"/>
    <w:rsid w:val="003D3990"/>
    <w:rsid w:val="003D42CB"/>
    <w:rsid w:val="003D43E2"/>
    <w:rsid w:val="003D4B62"/>
    <w:rsid w:val="003D4E9A"/>
    <w:rsid w:val="003D51F4"/>
    <w:rsid w:val="003D5811"/>
    <w:rsid w:val="003D58C5"/>
    <w:rsid w:val="003D6638"/>
    <w:rsid w:val="003D67D4"/>
    <w:rsid w:val="003D7786"/>
    <w:rsid w:val="003D7CE5"/>
    <w:rsid w:val="003D7FC4"/>
    <w:rsid w:val="003E0354"/>
    <w:rsid w:val="003E08DC"/>
    <w:rsid w:val="003E184A"/>
    <w:rsid w:val="003E1887"/>
    <w:rsid w:val="003E18C9"/>
    <w:rsid w:val="003E19E2"/>
    <w:rsid w:val="003E2014"/>
    <w:rsid w:val="003E2538"/>
    <w:rsid w:val="003E278F"/>
    <w:rsid w:val="003E2E55"/>
    <w:rsid w:val="003E3642"/>
    <w:rsid w:val="003E4296"/>
    <w:rsid w:val="003E43C8"/>
    <w:rsid w:val="003E4918"/>
    <w:rsid w:val="003E4B5F"/>
    <w:rsid w:val="003E530F"/>
    <w:rsid w:val="003E550A"/>
    <w:rsid w:val="003E5A33"/>
    <w:rsid w:val="003E5E89"/>
    <w:rsid w:val="003E6457"/>
    <w:rsid w:val="003E65FD"/>
    <w:rsid w:val="003E69CF"/>
    <w:rsid w:val="003E6BEE"/>
    <w:rsid w:val="003E6DA0"/>
    <w:rsid w:val="003E72DA"/>
    <w:rsid w:val="003F031C"/>
    <w:rsid w:val="003F1622"/>
    <w:rsid w:val="003F1AA3"/>
    <w:rsid w:val="003F25EF"/>
    <w:rsid w:val="003F3000"/>
    <w:rsid w:val="003F3277"/>
    <w:rsid w:val="003F3A1A"/>
    <w:rsid w:val="003F43D1"/>
    <w:rsid w:val="003F46CF"/>
    <w:rsid w:val="003F4C79"/>
    <w:rsid w:val="003F4E06"/>
    <w:rsid w:val="003F5322"/>
    <w:rsid w:val="003F5590"/>
    <w:rsid w:val="003F5E3F"/>
    <w:rsid w:val="003F5EB7"/>
    <w:rsid w:val="003F6496"/>
    <w:rsid w:val="003F67CB"/>
    <w:rsid w:val="003F7133"/>
    <w:rsid w:val="003F759C"/>
    <w:rsid w:val="00401ABA"/>
    <w:rsid w:val="00401CD0"/>
    <w:rsid w:val="00402608"/>
    <w:rsid w:val="00402E6B"/>
    <w:rsid w:val="00403542"/>
    <w:rsid w:val="00403A15"/>
    <w:rsid w:val="00403FA5"/>
    <w:rsid w:val="0040544F"/>
    <w:rsid w:val="00405461"/>
    <w:rsid w:val="00405477"/>
    <w:rsid w:val="0040566B"/>
    <w:rsid w:val="004067F1"/>
    <w:rsid w:val="00406C6B"/>
    <w:rsid w:val="00406C91"/>
    <w:rsid w:val="00406ECC"/>
    <w:rsid w:val="00407F34"/>
    <w:rsid w:val="004103EB"/>
    <w:rsid w:val="00410441"/>
    <w:rsid w:val="0041078F"/>
    <w:rsid w:val="00410B02"/>
    <w:rsid w:val="00410B78"/>
    <w:rsid w:val="0041102C"/>
    <w:rsid w:val="00411154"/>
    <w:rsid w:val="00411468"/>
    <w:rsid w:val="00412BDE"/>
    <w:rsid w:val="004146E5"/>
    <w:rsid w:val="00414937"/>
    <w:rsid w:val="00414DE0"/>
    <w:rsid w:val="004150FE"/>
    <w:rsid w:val="004158A0"/>
    <w:rsid w:val="00415D69"/>
    <w:rsid w:val="00415FAD"/>
    <w:rsid w:val="0041619C"/>
    <w:rsid w:val="0041747C"/>
    <w:rsid w:val="00417701"/>
    <w:rsid w:val="00417988"/>
    <w:rsid w:val="00417C68"/>
    <w:rsid w:val="00417D7A"/>
    <w:rsid w:val="004203AA"/>
    <w:rsid w:val="00420BA6"/>
    <w:rsid w:val="0042121D"/>
    <w:rsid w:val="0042181C"/>
    <w:rsid w:val="00422508"/>
    <w:rsid w:val="0042267A"/>
    <w:rsid w:val="00422C59"/>
    <w:rsid w:val="00422CFC"/>
    <w:rsid w:val="0042412E"/>
    <w:rsid w:val="0042472D"/>
    <w:rsid w:val="00424897"/>
    <w:rsid w:val="00424ABD"/>
    <w:rsid w:val="0042505E"/>
    <w:rsid w:val="004257A7"/>
    <w:rsid w:val="00425EF9"/>
    <w:rsid w:val="00427FEE"/>
    <w:rsid w:val="0043011A"/>
    <w:rsid w:val="0043040E"/>
    <w:rsid w:val="004305C5"/>
    <w:rsid w:val="00430C70"/>
    <w:rsid w:val="004318F9"/>
    <w:rsid w:val="00432B9E"/>
    <w:rsid w:val="00434374"/>
    <w:rsid w:val="00435012"/>
    <w:rsid w:val="00435197"/>
    <w:rsid w:val="0043678E"/>
    <w:rsid w:val="004377D6"/>
    <w:rsid w:val="00437B57"/>
    <w:rsid w:val="00440AFD"/>
    <w:rsid w:val="00440FD6"/>
    <w:rsid w:val="004410BC"/>
    <w:rsid w:val="00441164"/>
    <w:rsid w:val="004414D3"/>
    <w:rsid w:val="00441A6C"/>
    <w:rsid w:val="004420F9"/>
    <w:rsid w:val="00442CCD"/>
    <w:rsid w:val="00442DC9"/>
    <w:rsid w:val="004435D7"/>
    <w:rsid w:val="00443E2F"/>
    <w:rsid w:val="00444188"/>
    <w:rsid w:val="00444473"/>
    <w:rsid w:val="0044482D"/>
    <w:rsid w:val="00444927"/>
    <w:rsid w:val="00444FEA"/>
    <w:rsid w:val="004458AB"/>
    <w:rsid w:val="00445C9F"/>
    <w:rsid w:val="00446D64"/>
    <w:rsid w:val="004475D5"/>
    <w:rsid w:val="00450347"/>
    <w:rsid w:val="004503A1"/>
    <w:rsid w:val="00450674"/>
    <w:rsid w:val="00451846"/>
    <w:rsid w:val="00451E7F"/>
    <w:rsid w:val="0045201A"/>
    <w:rsid w:val="004536EF"/>
    <w:rsid w:val="00453DB3"/>
    <w:rsid w:val="00454800"/>
    <w:rsid w:val="00454858"/>
    <w:rsid w:val="00454B8F"/>
    <w:rsid w:val="00454C20"/>
    <w:rsid w:val="00454F7D"/>
    <w:rsid w:val="0045535F"/>
    <w:rsid w:val="004557BD"/>
    <w:rsid w:val="004558FA"/>
    <w:rsid w:val="00455CAE"/>
    <w:rsid w:val="00455D96"/>
    <w:rsid w:val="00455E9B"/>
    <w:rsid w:val="00455EA7"/>
    <w:rsid w:val="004566DC"/>
    <w:rsid w:val="00456D15"/>
    <w:rsid w:val="004578E3"/>
    <w:rsid w:val="00460181"/>
    <w:rsid w:val="004602D4"/>
    <w:rsid w:val="00460A4B"/>
    <w:rsid w:val="00461252"/>
    <w:rsid w:val="004613B8"/>
    <w:rsid w:val="0046159B"/>
    <w:rsid w:val="00461A84"/>
    <w:rsid w:val="0046215E"/>
    <w:rsid w:val="00462286"/>
    <w:rsid w:val="00462F25"/>
    <w:rsid w:val="004631A1"/>
    <w:rsid w:val="0046330C"/>
    <w:rsid w:val="00463717"/>
    <w:rsid w:val="00463754"/>
    <w:rsid w:val="004637CD"/>
    <w:rsid w:val="0046405D"/>
    <w:rsid w:val="0046427F"/>
    <w:rsid w:val="004653AD"/>
    <w:rsid w:val="00465498"/>
    <w:rsid w:val="00465A3C"/>
    <w:rsid w:val="00465F55"/>
    <w:rsid w:val="0046615C"/>
    <w:rsid w:val="004665C7"/>
    <w:rsid w:val="00466742"/>
    <w:rsid w:val="00466AE4"/>
    <w:rsid w:val="0046756D"/>
    <w:rsid w:val="00467B68"/>
    <w:rsid w:val="00470883"/>
    <w:rsid w:val="00470A80"/>
    <w:rsid w:val="00471361"/>
    <w:rsid w:val="0047140D"/>
    <w:rsid w:val="0047240C"/>
    <w:rsid w:val="00472834"/>
    <w:rsid w:val="00472ADA"/>
    <w:rsid w:val="00472AF9"/>
    <w:rsid w:val="00472E87"/>
    <w:rsid w:val="00472FD2"/>
    <w:rsid w:val="00473F72"/>
    <w:rsid w:val="00474322"/>
    <w:rsid w:val="00474620"/>
    <w:rsid w:val="004746DF"/>
    <w:rsid w:val="004751F6"/>
    <w:rsid w:val="0047548C"/>
    <w:rsid w:val="00475DC2"/>
    <w:rsid w:val="00476446"/>
    <w:rsid w:val="004778F1"/>
    <w:rsid w:val="004779AB"/>
    <w:rsid w:val="00477FA2"/>
    <w:rsid w:val="004801BA"/>
    <w:rsid w:val="0048028B"/>
    <w:rsid w:val="00481C87"/>
    <w:rsid w:val="004828B4"/>
    <w:rsid w:val="00482B8F"/>
    <w:rsid w:val="00482F94"/>
    <w:rsid w:val="004836EF"/>
    <w:rsid w:val="004840B7"/>
    <w:rsid w:val="00484F5A"/>
    <w:rsid w:val="00485352"/>
    <w:rsid w:val="0048639E"/>
    <w:rsid w:val="004876C2"/>
    <w:rsid w:val="004878B6"/>
    <w:rsid w:val="00490831"/>
    <w:rsid w:val="00491095"/>
    <w:rsid w:val="004918B1"/>
    <w:rsid w:val="00491A2E"/>
    <w:rsid w:val="00491AA2"/>
    <w:rsid w:val="00492C56"/>
    <w:rsid w:val="00492E49"/>
    <w:rsid w:val="00492F1A"/>
    <w:rsid w:val="00493419"/>
    <w:rsid w:val="00493782"/>
    <w:rsid w:val="00493B66"/>
    <w:rsid w:val="00493CF5"/>
    <w:rsid w:val="00493E2D"/>
    <w:rsid w:val="00494AD0"/>
    <w:rsid w:val="00494B2E"/>
    <w:rsid w:val="004952A2"/>
    <w:rsid w:val="0049590C"/>
    <w:rsid w:val="00495D9A"/>
    <w:rsid w:val="00496562"/>
    <w:rsid w:val="004966E0"/>
    <w:rsid w:val="00496B70"/>
    <w:rsid w:val="00497775"/>
    <w:rsid w:val="004A0ECC"/>
    <w:rsid w:val="004A103A"/>
    <w:rsid w:val="004A1246"/>
    <w:rsid w:val="004A17D3"/>
    <w:rsid w:val="004A17FA"/>
    <w:rsid w:val="004A25D9"/>
    <w:rsid w:val="004A37BC"/>
    <w:rsid w:val="004A3F18"/>
    <w:rsid w:val="004A43C8"/>
    <w:rsid w:val="004A4C54"/>
    <w:rsid w:val="004A4D06"/>
    <w:rsid w:val="004A4FC8"/>
    <w:rsid w:val="004A5232"/>
    <w:rsid w:val="004A76F0"/>
    <w:rsid w:val="004B000C"/>
    <w:rsid w:val="004B078E"/>
    <w:rsid w:val="004B0A5F"/>
    <w:rsid w:val="004B11AD"/>
    <w:rsid w:val="004B157C"/>
    <w:rsid w:val="004B15CE"/>
    <w:rsid w:val="004B2630"/>
    <w:rsid w:val="004B4A7F"/>
    <w:rsid w:val="004B51A3"/>
    <w:rsid w:val="004B534E"/>
    <w:rsid w:val="004B59CB"/>
    <w:rsid w:val="004B6901"/>
    <w:rsid w:val="004B6F05"/>
    <w:rsid w:val="004C0712"/>
    <w:rsid w:val="004C0F0D"/>
    <w:rsid w:val="004C1062"/>
    <w:rsid w:val="004C1208"/>
    <w:rsid w:val="004C1838"/>
    <w:rsid w:val="004C1C11"/>
    <w:rsid w:val="004C1CE3"/>
    <w:rsid w:val="004C1E63"/>
    <w:rsid w:val="004C2D28"/>
    <w:rsid w:val="004C3FD7"/>
    <w:rsid w:val="004C49A0"/>
    <w:rsid w:val="004C4F85"/>
    <w:rsid w:val="004C5164"/>
    <w:rsid w:val="004C5AA1"/>
    <w:rsid w:val="004C600D"/>
    <w:rsid w:val="004C6374"/>
    <w:rsid w:val="004C64D0"/>
    <w:rsid w:val="004C683A"/>
    <w:rsid w:val="004C6979"/>
    <w:rsid w:val="004C6B4F"/>
    <w:rsid w:val="004C6D63"/>
    <w:rsid w:val="004C6DF5"/>
    <w:rsid w:val="004C79D9"/>
    <w:rsid w:val="004D00CF"/>
    <w:rsid w:val="004D1865"/>
    <w:rsid w:val="004D25E2"/>
    <w:rsid w:val="004D394A"/>
    <w:rsid w:val="004D3A17"/>
    <w:rsid w:val="004D4685"/>
    <w:rsid w:val="004D4AC2"/>
    <w:rsid w:val="004D5038"/>
    <w:rsid w:val="004D566B"/>
    <w:rsid w:val="004D5C26"/>
    <w:rsid w:val="004D5EBD"/>
    <w:rsid w:val="004D61E5"/>
    <w:rsid w:val="004D6314"/>
    <w:rsid w:val="004D676F"/>
    <w:rsid w:val="004D6A67"/>
    <w:rsid w:val="004D6D81"/>
    <w:rsid w:val="004D7312"/>
    <w:rsid w:val="004D7420"/>
    <w:rsid w:val="004D76A6"/>
    <w:rsid w:val="004E001F"/>
    <w:rsid w:val="004E054D"/>
    <w:rsid w:val="004E07DA"/>
    <w:rsid w:val="004E1454"/>
    <w:rsid w:val="004E2921"/>
    <w:rsid w:val="004E2BC5"/>
    <w:rsid w:val="004E305F"/>
    <w:rsid w:val="004E325F"/>
    <w:rsid w:val="004E3C85"/>
    <w:rsid w:val="004E3FB6"/>
    <w:rsid w:val="004E41AF"/>
    <w:rsid w:val="004E4277"/>
    <w:rsid w:val="004E4F95"/>
    <w:rsid w:val="004E53FC"/>
    <w:rsid w:val="004E578F"/>
    <w:rsid w:val="004E5CF5"/>
    <w:rsid w:val="004E62BD"/>
    <w:rsid w:val="004E7540"/>
    <w:rsid w:val="004E7A4B"/>
    <w:rsid w:val="004E7FC0"/>
    <w:rsid w:val="004F05B8"/>
    <w:rsid w:val="004F0657"/>
    <w:rsid w:val="004F1A7E"/>
    <w:rsid w:val="004F2F35"/>
    <w:rsid w:val="004F3786"/>
    <w:rsid w:val="004F3BE6"/>
    <w:rsid w:val="004F3D20"/>
    <w:rsid w:val="004F4978"/>
    <w:rsid w:val="004F4CE3"/>
    <w:rsid w:val="004F4ED1"/>
    <w:rsid w:val="004F4F47"/>
    <w:rsid w:val="004F56ED"/>
    <w:rsid w:val="004F5D56"/>
    <w:rsid w:val="004F5FA0"/>
    <w:rsid w:val="004F6045"/>
    <w:rsid w:val="004F6147"/>
    <w:rsid w:val="004F614F"/>
    <w:rsid w:val="004F69FE"/>
    <w:rsid w:val="004F752A"/>
    <w:rsid w:val="004F781C"/>
    <w:rsid w:val="004F7918"/>
    <w:rsid w:val="0050098F"/>
    <w:rsid w:val="00500AE6"/>
    <w:rsid w:val="00500B30"/>
    <w:rsid w:val="00500CC6"/>
    <w:rsid w:val="005014B2"/>
    <w:rsid w:val="00503797"/>
    <w:rsid w:val="0050398F"/>
    <w:rsid w:val="00503F6D"/>
    <w:rsid w:val="00505B35"/>
    <w:rsid w:val="005067EB"/>
    <w:rsid w:val="00506B64"/>
    <w:rsid w:val="005111E1"/>
    <w:rsid w:val="00511308"/>
    <w:rsid w:val="00511D96"/>
    <w:rsid w:val="0051227C"/>
    <w:rsid w:val="0051254F"/>
    <w:rsid w:val="005130A1"/>
    <w:rsid w:val="00513E25"/>
    <w:rsid w:val="0051430B"/>
    <w:rsid w:val="005144B5"/>
    <w:rsid w:val="00514710"/>
    <w:rsid w:val="005162F1"/>
    <w:rsid w:val="00516603"/>
    <w:rsid w:val="0051788F"/>
    <w:rsid w:val="00520D07"/>
    <w:rsid w:val="005219BF"/>
    <w:rsid w:val="005219D0"/>
    <w:rsid w:val="005234BC"/>
    <w:rsid w:val="00523A99"/>
    <w:rsid w:val="00523D53"/>
    <w:rsid w:val="00523F12"/>
    <w:rsid w:val="00523FCF"/>
    <w:rsid w:val="00525285"/>
    <w:rsid w:val="0052553B"/>
    <w:rsid w:val="00525BBB"/>
    <w:rsid w:val="00526118"/>
    <w:rsid w:val="005263EB"/>
    <w:rsid w:val="0052699C"/>
    <w:rsid w:val="00526F84"/>
    <w:rsid w:val="0052700A"/>
    <w:rsid w:val="00527A3A"/>
    <w:rsid w:val="00527A5E"/>
    <w:rsid w:val="00527BA9"/>
    <w:rsid w:val="00530166"/>
    <w:rsid w:val="00530771"/>
    <w:rsid w:val="00530783"/>
    <w:rsid w:val="00530833"/>
    <w:rsid w:val="00530DE9"/>
    <w:rsid w:val="005320EA"/>
    <w:rsid w:val="005327DB"/>
    <w:rsid w:val="0053516D"/>
    <w:rsid w:val="00535681"/>
    <w:rsid w:val="005359C4"/>
    <w:rsid w:val="0053625D"/>
    <w:rsid w:val="00536895"/>
    <w:rsid w:val="00536F59"/>
    <w:rsid w:val="00537507"/>
    <w:rsid w:val="00537A32"/>
    <w:rsid w:val="00537D1F"/>
    <w:rsid w:val="00537D7C"/>
    <w:rsid w:val="0054077E"/>
    <w:rsid w:val="00540889"/>
    <w:rsid w:val="00540997"/>
    <w:rsid w:val="00540FAC"/>
    <w:rsid w:val="005412F3"/>
    <w:rsid w:val="00541413"/>
    <w:rsid w:val="00542264"/>
    <w:rsid w:val="00542BA4"/>
    <w:rsid w:val="00542D58"/>
    <w:rsid w:val="005431F0"/>
    <w:rsid w:val="005431FC"/>
    <w:rsid w:val="005434FF"/>
    <w:rsid w:val="00543D2C"/>
    <w:rsid w:val="00544329"/>
    <w:rsid w:val="00544453"/>
    <w:rsid w:val="005446AA"/>
    <w:rsid w:val="005449A3"/>
    <w:rsid w:val="00545125"/>
    <w:rsid w:val="00545C3B"/>
    <w:rsid w:val="00545DC1"/>
    <w:rsid w:val="0054766B"/>
    <w:rsid w:val="005477A8"/>
    <w:rsid w:val="00547AFA"/>
    <w:rsid w:val="00547D11"/>
    <w:rsid w:val="00547D87"/>
    <w:rsid w:val="005503D4"/>
    <w:rsid w:val="00550AA6"/>
    <w:rsid w:val="005516BD"/>
    <w:rsid w:val="00552061"/>
    <w:rsid w:val="00552A9A"/>
    <w:rsid w:val="005530E3"/>
    <w:rsid w:val="00553457"/>
    <w:rsid w:val="005539EC"/>
    <w:rsid w:val="00553A0B"/>
    <w:rsid w:val="00554607"/>
    <w:rsid w:val="00554627"/>
    <w:rsid w:val="005547FF"/>
    <w:rsid w:val="0055582F"/>
    <w:rsid w:val="00555E12"/>
    <w:rsid w:val="005560BF"/>
    <w:rsid w:val="005563C9"/>
    <w:rsid w:val="005574F9"/>
    <w:rsid w:val="0055764E"/>
    <w:rsid w:val="00557E4A"/>
    <w:rsid w:val="00560026"/>
    <w:rsid w:val="00560031"/>
    <w:rsid w:val="0056023C"/>
    <w:rsid w:val="00560381"/>
    <w:rsid w:val="00560624"/>
    <w:rsid w:val="00560C38"/>
    <w:rsid w:val="00560DE2"/>
    <w:rsid w:val="00560FAC"/>
    <w:rsid w:val="005612D4"/>
    <w:rsid w:val="005613A3"/>
    <w:rsid w:val="005613A7"/>
    <w:rsid w:val="005619B7"/>
    <w:rsid w:val="00561C1C"/>
    <w:rsid w:val="00562E3D"/>
    <w:rsid w:val="00563ADB"/>
    <w:rsid w:val="00563F75"/>
    <w:rsid w:val="005640EB"/>
    <w:rsid w:val="00564129"/>
    <w:rsid w:val="00564671"/>
    <w:rsid w:val="00565514"/>
    <w:rsid w:val="00566803"/>
    <w:rsid w:val="00566845"/>
    <w:rsid w:val="00567EC7"/>
    <w:rsid w:val="00570499"/>
    <w:rsid w:val="00570584"/>
    <w:rsid w:val="005712D6"/>
    <w:rsid w:val="00571812"/>
    <w:rsid w:val="00571DCD"/>
    <w:rsid w:val="0057218C"/>
    <w:rsid w:val="0057272D"/>
    <w:rsid w:val="00572C81"/>
    <w:rsid w:val="00572E70"/>
    <w:rsid w:val="00573369"/>
    <w:rsid w:val="00573814"/>
    <w:rsid w:val="00573C20"/>
    <w:rsid w:val="00573DD9"/>
    <w:rsid w:val="00574120"/>
    <w:rsid w:val="0057418A"/>
    <w:rsid w:val="0057483B"/>
    <w:rsid w:val="00574923"/>
    <w:rsid w:val="00574D59"/>
    <w:rsid w:val="00575C24"/>
    <w:rsid w:val="00576226"/>
    <w:rsid w:val="005762EA"/>
    <w:rsid w:val="005767AE"/>
    <w:rsid w:val="00576B97"/>
    <w:rsid w:val="00576FDE"/>
    <w:rsid w:val="00580390"/>
    <w:rsid w:val="005817B2"/>
    <w:rsid w:val="005819F7"/>
    <w:rsid w:val="00581C35"/>
    <w:rsid w:val="00582004"/>
    <w:rsid w:val="005824C6"/>
    <w:rsid w:val="00582674"/>
    <w:rsid w:val="0058271E"/>
    <w:rsid w:val="0058283F"/>
    <w:rsid w:val="005829C1"/>
    <w:rsid w:val="00583930"/>
    <w:rsid w:val="00583BAF"/>
    <w:rsid w:val="00583BFE"/>
    <w:rsid w:val="00583D8A"/>
    <w:rsid w:val="005840EF"/>
    <w:rsid w:val="00584272"/>
    <w:rsid w:val="00584356"/>
    <w:rsid w:val="005845A3"/>
    <w:rsid w:val="005848F8"/>
    <w:rsid w:val="00584B72"/>
    <w:rsid w:val="00584D14"/>
    <w:rsid w:val="00584E2F"/>
    <w:rsid w:val="00585151"/>
    <w:rsid w:val="0058525B"/>
    <w:rsid w:val="00585C03"/>
    <w:rsid w:val="00586637"/>
    <w:rsid w:val="00587A2A"/>
    <w:rsid w:val="00587C46"/>
    <w:rsid w:val="00587F56"/>
    <w:rsid w:val="00587FD9"/>
    <w:rsid w:val="005906A9"/>
    <w:rsid w:val="005908B9"/>
    <w:rsid w:val="00591265"/>
    <w:rsid w:val="00591283"/>
    <w:rsid w:val="005915A4"/>
    <w:rsid w:val="005922D3"/>
    <w:rsid w:val="005924D3"/>
    <w:rsid w:val="005924F1"/>
    <w:rsid w:val="005925E3"/>
    <w:rsid w:val="0059304D"/>
    <w:rsid w:val="005933AE"/>
    <w:rsid w:val="00593431"/>
    <w:rsid w:val="00593D8F"/>
    <w:rsid w:val="00594318"/>
    <w:rsid w:val="00594710"/>
    <w:rsid w:val="00594CD1"/>
    <w:rsid w:val="00595156"/>
    <w:rsid w:val="00595A58"/>
    <w:rsid w:val="00595CE4"/>
    <w:rsid w:val="00596832"/>
    <w:rsid w:val="00596CCB"/>
    <w:rsid w:val="00596DB6"/>
    <w:rsid w:val="00596FD6"/>
    <w:rsid w:val="00597753"/>
    <w:rsid w:val="00597E6F"/>
    <w:rsid w:val="005A01D5"/>
    <w:rsid w:val="005A0203"/>
    <w:rsid w:val="005A052F"/>
    <w:rsid w:val="005A0EFC"/>
    <w:rsid w:val="005A1018"/>
    <w:rsid w:val="005A1099"/>
    <w:rsid w:val="005A12EF"/>
    <w:rsid w:val="005A1980"/>
    <w:rsid w:val="005A1A26"/>
    <w:rsid w:val="005A1F74"/>
    <w:rsid w:val="005A2130"/>
    <w:rsid w:val="005A2593"/>
    <w:rsid w:val="005A27E6"/>
    <w:rsid w:val="005A3196"/>
    <w:rsid w:val="005A339E"/>
    <w:rsid w:val="005A3CA4"/>
    <w:rsid w:val="005A408B"/>
    <w:rsid w:val="005A4F9C"/>
    <w:rsid w:val="005A5908"/>
    <w:rsid w:val="005A6F80"/>
    <w:rsid w:val="005A7215"/>
    <w:rsid w:val="005A726F"/>
    <w:rsid w:val="005A782E"/>
    <w:rsid w:val="005A793B"/>
    <w:rsid w:val="005A79AE"/>
    <w:rsid w:val="005B0084"/>
    <w:rsid w:val="005B1592"/>
    <w:rsid w:val="005B2054"/>
    <w:rsid w:val="005B2607"/>
    <w:rsid w:val="005B26FD"/>
    <w:rsid w:val="005B274E"/>
    <w:rsid w:val="005B2DE2"/>
    <w:rsid w:val="005B31CD"/>
    <w:rsid w:val="005B429E"/>
    <w:rsid w:val="005B44D0"/>
    <w:rsid w:val="005B4B13"/>
    <w:rsid w:val="005B4CD8"/>
    <w:rsid w:val="005B5B11"/>
    <w:rsid w:val="005B60BD"/>
    <w:rsid w:val="005B6837"/>
    <w:rsid w:val="005C0607"/>
    <w:rsid w:val="005C0A76"/>
    <w:rsid w:val="005C0F51"/>
    <w:rsid w:val="005C11E6"/>
    <w:rsid w:val="005C1F3B"/>
    <w:rsid w:val="005C208C"/>
    <w:rsid w:val="005C2E67"/>
    <w:rsid w:val="005C35ED"/>
    <w:rsid w:val="005C35FA"/>
    <w:rsid w:val="005C47AB"/>
    <w:rsid w:val="005C4D24"/>
    <w:rsid w:val="005C4DD7"/>
    <w:rsid w:val="005C539A"/>
    <w:rsid w:val="005C60BE"/>
    <w:rsid w:val="005C641A"/>
    <w:rsid w:val="005C75F9"/>
    <w:rsid w:val="005C778A"/>
    <w:rsid w:val="005C784B"/>
    <w:rsid w:val="005C794A"/>
    <w:rsid w:val="005C7B1F"/>
    <w:rsid w:val="005C7F78"/>
    <w:rsid w:val="005D12BF"/>
    <w:rsid w:val="005D130E"/>
    <w:rsid w:val="005D14E9"/>
    <w:rsid w:val="005D1947"/>
    <w:rsid w:val="005D1B75"/>
    <w:rsid w:val="005D1C71"/>
    <w:rsid w:val="005D21A6"/>
    <w:rsid w:val="005D29D5"/>
    <w:rsid w:val="005D37A5"/>
    <w:rsid w:val="005D3CD9"/>
    <w:rsid w:val="005D3E97"/>
    <w:rsid w:val="005D3F76"/>
    <w:rsid w:val="005D4095"/>
    <w:rsid w:val="005D4641"/>
    <w:rsid w:val="005D49FF"/>
    <w:rsid w:val="005D4D0A"/>
    <w:rsid w:val="005D52E7"/>
    <w:rsid w:val="005D5695"/>
    <w:rsid w:val="005D63D6"/>
    <w:rsid w:val="005D76D8"/>
    <w:rsid w:val="005D7ED3"/>
    <w:rsid w:val="005E0862"/>
    <w:rsid w:val="005E0AE1"/>
    <w:rsid w:val="005E1375"/>
    <w:rsid w:val="005E147F"/>
    <w:rsid w:val="005E1CEB"/>
    <w:rsid w:val="005E2A30"/>
    <w:rsid w:val="005E2FF1"/>
    <w:rsid w:val="005E357E"/>
    <w:rsid w:val="005E3850"/>
    <w:rsid w:val="005E3DEF"/>
    <w:rsid w:val="005E4418"/>
    <w:rsid w:val="005E4E97"/>
    <w:rsid w:val="005E5006"/>
    <w:rsid w:val="005E5C65"/>
    <w:rsid w:val="005E5DFA"/>
    <w:rsid w:val="005E682E"/>
    <w:rsid w:val="005E6F86"/>
    <w:rsid w:val="005E7479"/>
    <w:rsid w:val="005E7892"/>
    <w:rsid w:val="005E7DE8"/>
    <w:rsid w:val="005F0245"/>
    <w:rsid w:val="005F0652"/>
    <w:rsid w:val="005F0719"/>
    <w:rsid w:val="005F07BE"/>
    <w:rsid w:val="005F1146"/>
    <w:rsid w:val="005F2E56"/>
    <w:rsid w:val="005F36BE"/>
    <w:rsid w:val="005F37A6"/>
    <w:rsid w:val="005F3CEA"/>
    <w:rsid w:val="005F4065"/>
    <w:rsid w:val="005F43D6"/>
    <w:rsid w:val="005F448F"/>
    <w:rsid w:val="005F46E8"/>
    <w:rsid w:val="005F4A97"/>
    <w:rsid w:val="005F4E85"/>
    <w:rsid w:val="005F4F56"/>
    <w:rsid w:val="005F537C"/>
    <w:rsid w:val="005F546F"/>
    <w:rsid w:val="005F5479"/>
    <w:rsid w:val="005F5B32"/>
    <w:rsid w:val="005F66DC"/>
    <w:rsid w:val="005F6754"/>
    <w:rsid w:val="005F6E00"/>
    <w:rsid w:val="005F731B"/>
    <w:rsid w:val="005F790D"/>
    <w:rsid w:val="005F7CEC"/>
    <w:rsid w:val="00600184"/>
    <w:rsid w:val="00601229"/>
    <w:rsid w:val="006012B7"/>
    <w:rsid w:val="006013FB"/>
    <w:rsid w:val="0060162F"/>
    <w:rsid w:val="00601CF8"/>
    <w:rsid w:val="00601F1A"/>
    <w:rsid w:val="00602191"/>
    <w:rsid w:val="00602746"/>
    <w:rsid w:val="0060294C"/>
    <w:rsid w:val="00603073"/>
    <w:rsid w:val="0060307F"/>
    <w:rsid w:val="00603128"/>
    <w:rsid w:val="006033B0"/>
    <w:rsid w:val="006036E2"/>
    <w:rsid w:val="006037C5"/>
    <w:rsid w:val="00604F87"/>
    <w:rsid w:val="006052B9"/>
    <w:rsid w:val="00605607"/>
    <w:rsid w:val="00605E4D"/>
    <w:rsid w:val="00606458"/>
    <w:rsid w:val="0060684C"/>
    <w:rsid w:val="00606B63"/>
    <w:rsid w:val="00606CC5"/>
    <w:rsid w:val="006070F5"/>
    <w:rsid w:val="00607141"/>
    <w:rsid w:val="00607B23"/>
    <w:rsid w:val="00607C47"/>
    <w:rsid w:val="00611189"/>
    <w:rsid w:val="006125C5"/>
    <w:rsid w:val="0061278B"/>
    <w:rsid w:val="006139FC"/>
    <w:rsid w:val="006144BB"/>
    <w:rsid w:val="00616900"/>
    <w:rsid w:val="00616ACC"/>
    <w:rsid w:val="00616B2A"/>
    <w:rsid w:val="00616C2F"/>
    <w:rsid w:val="006172C6"/>
    <w:rsid w:val="0061744E"/>
    <w:rsid w:val="006176AA"/>
    <w:rsid w:val="0061799E"/>
    <w:rsid w:val="00617CDA"/>
    <w:rsid w:val="00617D13"/>
    <w:rsid w:val="0062014C"/>
    <w:rsid w:val="006204D9"/>
    <w:rsid w:val="006205AD"/>
    <w:rsid w:val="00620B83"/>
    <w:rsid w:val="00620F8E"/>
    <w:rsid w:val="00621934"/>
    <w:rsid w:val="00622007"/>
    <w:rsid w:val="006220CD"/>
    <w:rsid w:val="00623A9C"/>
    <w:rsid w:val="00623D94"/>
    <w:rsid w:val="00623F1D"/>
    <w:rsid w:val="00624174"/>
    <w:rsid w:val="00624D93"/>
    <w:rsid w:val="00625248"/>
    <w:rsid w:val="006254B1"/>
    <w:rsid w:val="00625577"/>
    <w:rsid w:val="00630007"/>
    <w:rsid w:val="006300AB"/>
    <w:rsid w:val="006305AE"/>
    <w:rsid w:val="0063063C"/>
    <w:rsid w:val="00630909"/>
    <w:rsid w:val="00630940"/>
    <w:rsid w:val="00630B6A"/>
    <w:rsid w:val="006312F7"/>
    <w:rsid w:val="006320CB"/>
    <w:rsid w:val="00632656"/>
    <w:rsid w:val="00632996"/>
    <w:rsid w:val="00632F67"/>
    <w:rsid w:val="00634182"/>
    <w:rsid w:val="006345ED"/>
    <w:rsid w:val="006345EE"/>
    <w:rsid w:val="006346B6"/>
    <w:rsid w:val="00636B32"/>
    <w:rsid w:val="00636C33"/>
    <w:rsid w:val="00637F8D"/>
    <w:rsid w:val="00640005"/>
    <w:rsid w:val="0064043A"/>
    <w:rsid w:val="0064099A"/>
    <w:rsid w:val="00641758"/>
    <w:rsid w:val="00641B2C"/>
    <w:rsid w:val="00641DF1"/>
    <w:rsid w:val="00642B83"/>
    <w:rsid w:val="0064341D"/>
    <w:rsid w:val="0064406E"/>
    <w:rsid w:val="00644143"/>
    <w:rsid w:val="00644462"/>
    <w:rsid w:val="00644C00"/>
    <w:rsid w:val="00645164"/>
    <w:rsid w:val="006456E3"/>
    <w:rsid w:val="00645969"/>
    <w:rsid w:val="00646006"/>
    <w:rsid w:val="00646600"/>
    <w:rsid w:val="006469A2"/>
    <w:rsid w:val="00646AB8"/>
    <w:rsid w:val="00646D0D"/>
    <w:rsid w:val="006471F9"/>
    <w:rsid w:val="0064782E"/>
    <w:rsid w:val="00650606"/>
    <w:rsid w:val="006507E9"/>
    <w:rsid w:val="00650822"/>
    <w:rsid w:val="00650A98"/>
    <w:rsid w:val="00651164"/>
    <w:rsid w:val="00652863"/>
    <w:rsid w:val="0065290E"/>
    <w:rsid w:val="00652921"/>
    <w:rsid w:val="00653631"/>
    <w:rsid w:val="006539BF"/>
    <w:rsid w:val="00653C4B"/>
    <w:rsid w:val="00653D6D"/>
    <w:rsid w:val="00654978"/>
    <w:rsid w:val="0065520B"/>
    <w:rsid w:val="006560A2"/>
    <w:rsid w:val="00656401"/>
    <w:rsid w:val="0065683B"/>
    <w:rsid w:val="00656989"/>
    <w:rsid w:val="006572C7"/>
    <w:rsid w:val="006578FA"/>
    <w:rsid w:val="00657C7D"/>
    <w:rsid w:val="00657D38"/>
    <w:rsid w:val="0066011E"/>
    <w:rsid w:val="0066025F"/>
    <w:rsid w:val="0066047B"/>
    <w:rsid w:val="00660CA0"/>
    <w:rsid w:val="00660E13"/>
    <w:rsid w:val="00660EE7"/>
    <w:rsid w:val="0066141F"/>
    <w:rsid w:val="00661B9D"/>
    <w:rsid w:val="00662356"/>
    <w:rsid w:val="00662E8A"/>
    <w:rsid w:val="0066303D"/>
    <w:rsid w:val="00663040"/>
    <w:rsid w:val="00663136"/>
    <w:rsid w:val="00663BB8"/>
    <w:rsid w:val="00663CFC"/>
    <w:rsid w:val="0066419D"/>
    <w:rsid w:val="0066434A"/>
    <w:rsid w:val="00664F27"/>
    <w:rsid w:val="006655C3"/>
    <w:rsid w:val="006661AE"/>
    <w:rsid w:val="006661E7"/>
    <w:rsid w:val="00666ECC"/>
    <w:rsid w:val="0066711D"/>
    <w:rsid w:val="006674AF"/>
    <w:rsid w:val="00667861"/>
    <w:rsid w:val="00667EF3"/>
    <w:rsid w:val="00667FEE"/>
    <w:rsid w:val="006701A1"/>
    <w:rsid w:val="006707CC"/>
    <w:rsid w:val="00670E7B"/>
    <w:rsid w:val="00670ECD"/>
    <w:rsid w:val="00671A8F"/>
    <w:rsid w:val="00673173"/>
    <w:rsid w:val="006735DF"/>
    <w:rsid w:val="006738F4"/>
    <w:rsid w:val="00673BEE"/>
    <w:rsid w:val="006740EF"/>
    <w:rsid w:val="006746D0"/>
    <w:rsid w:val="00675115"/>
    <w:rsid w:val="006756AB"/>
    <w:rsid w:val="00675FA0"/>
    <w:rsid w:val="006773C2"/>
    <w:rsid w:val="00677B79"/>
    <w:rsid w:val="00677FAC"/>
    <w:rsid w:val="0068036D"/>
    <w:rsid w:val="00680B1F"/>
    <w:rsid w:val="00680E20"/>
    <w:rsid w:val="00681D97"/>
    <w:rsid w:val="00681F24"/>
    <w:rsid w:val="006826D6"/>
    <w:rsid w:val="00682E7A"/>
    <w:rsid w:val="00682F49"/>
    <w:rsid w:val="006831B5"/>
    <w:rsid w:val="006838FF"/>
    <w:rsid w:val="00683FCA"/>
    <w:rsid w:val="006840C7"/>
    <w:rsid w:val="0068441B"/>
    <w:rsid w:val="0068476F"/>
    <w:rsid w:val="00684923"/>
    <w:rsid w:val="00684C89"/>
    <w:rsid w:val="00684FB5"/>
    <w:rsid w:val="0068553C"/>
    <w:rsid w:val="006865B6"/>
    <w:rsid w:val="00686A01"/>
    <w:rsid w:val="00686F72"/>
    <w:rsid w:val="0068744E"/>
    <w:rsid w:val="00687644"/>
    <w:rsid w:val="00687A58"/>
    <w:rsid w:val="00687CF6"/>
    <w:rsid w:val="00687D00"/>
    <w:rsid w:val="0069098B"/>
    <w:rsid w:val="006909D5"/>
    <w:rsid w:val="006914F0"/>
    <w:rsid w:val="006914F5"/>
    <w:rsid w:val="00691C8C"/>
    <w:rsid w:val="00692264"/>
    <w:rsid w:val="00692D39"/>
    <w:rsid w:val="006930F8"/>
    <w:rsid w:val="006937B2"/>
    <w:rsid w:val="00693912"/>
    <w:rsid w:val="00693BDB"/>
    <w:rsid w:val="006940D3"/>
    <w:rsid w:val="006940F0"/>
    <w:rsid w:val="00694113"/>
    <w:rsid w:val="00694776"/>
    <w:rsid w:val="006949CD"/>
    <w:rsid w:val="00694EC2"/>
    <w:rsid w:val="006951E2"/>
    <w:rsid w:val="00695C9D"/>
    <w:rsid w:val="006966DF"/>
    <w:rsid w:val="00697663"/>
    <w:rsid w:val="006A04A4"/>
    <w:rsid w:val="006A0747"/>
    <w:rsid w:val="006A18E6"/>
    <w:rsid w:val="006A1DBF"/>
    <w:rsid w:val="006A29F8"/>
    <w:rsid w:val="006A4C31"/>
    <w:rsid w:val="006A55B0"/>
    <w:rsid w:val="006A6C1F"/>
    <w:rsid w:val="006A7621"/>
    <w:rsid w:val="006A77AB"/>
    <w:rsid w:val="006A7D09"/>
    <w:rsid w:val="006B03E3"/>
    <w:rsid w:val="006B05BB"/>
    <w:rsid w:val="006B0723"/>
    <w:rsid w:val="006B0794"/>
    <w:rsid w:val="006B14B4"/>
    <w:rsid w:val="006B1692"/>
    <w:rsid w:val="006B2071"/>
    <w:rsid w:val="006B25B8"/>
    <w:rsid w:val="006B316F"/>
    <w:rsid w:val="006B37CB"/>
    <w:rsid w:val="006B38DF"/>
    <w:rsid w:val="006B3A35"/>
    <w:rsid w:val="006B3B20"/>
    <w:rsid w:val="006B3E1A"/>
    <w:rsid w:val="006B3F37"/>
    <w:rsid w:val="006B51B9"/>
    <w:rsid w:val="006B75B6"/>
    <w:rsid w:val="006B7772"/>
    <w:rsid w:val="006C0484"/>
    <w:rsid w:val="006C05A9"/>
    <w:rsid w:val="006C081C"/>
    <w:rsid w:val="006C09CC"/>
    <w:rsid w:val="006C179E"/>
    <w:rsid w:val="006C1850"/>
    <w:rsid w:val="006C198A"/>
    <w:rsid w:val="006C3AB5"/>
    <w:rsid w:val="006C562C"/>
    <w:rsid w:val="006C61A8"/>
    <w:rsid w:val="006C65A0"/>
    <w:rsid w:val="006C6E7A"/>
    <w:rsid w:val="006C76C7"/>
    <w:rsid w:val="006C7EC3"/>
    <w:rsid w:val="006D0793"/>
    <w:rsid w:val="006D0F97"/>
    <w:rsid w:val="006D1987"/>
    <w:rsid w:val="006D1DBE"/>
    <w:rsid w:val="006D2384"/>
    <w:rsid w:val="006D25D6"/>
    <w:rsid w:val="006D2889"/>
    <w:rsid w:val="006D348B"/>
    <w:rsid w:val="006D3522"/>
    <w:rsid w:val="006D3530"/>
    <w:rsid w:val="006D3751"/>
    <w:rsid w:val="006D4415"/>
    <w:rsid w:val="006D47F4"/>
    <w:rsid w:val="006D4CB5"/>
    <w:rsid w:val="006D4E6C"/>
    <w:rsid w:val="006D5683"/>
    <w:rsid w:val="006D5F98"/>
    <w:rsid w:val="006D60C9"/>
    <w:rsid w:val="006D7CC4"/>
    <w:rsid w:val="006D7EAC"/>
    <w:rsid w:val="006E17E8"/>
    <w:rsid w:val="006E1A47"/>
    <w:rsid w:val="006E3984"/>
    <w:rsid w:val="006E566E"/>
    <w:rsid w:val="006E5E9D"/>
    <w:rsid w:val="006E737E"/>
    <w:rsid w:val="006E7A3D"/>
    <w:rsid w:val="006E7CBD"/>
    <w:rsid w:val="006F003B"/>
    <w:rsid w:val="006F27E3"/>
    <w:rsid w:val="006F28FB"/>
    <w:rsid w:val="006F316D"/>
    <w:rsid w:val="006F39CD"/>
    <w:rsid w:val="006F3DAA"/>
    <w:rsid w:val="006F3E73"/>
    <w:rsid w:val="006F4017"/>
    <w:rsid w:val="006F4C1E"/>
    <w:rsid w:val="006F67CD"/>
    <w:rsid w:val="006F7DDF"/>
    <w:rsid w:val="00700123"/>
    <w:rsid w:val="007004A0"/>
    <w:rsid w:val="007004BE"/>
    <w:rsid w:val="00700583"/>
    <w:rsid w:val="0070109F"/>
    <w:rsid w:val="00701447"/>
    <w:rsid w:val="007016D3"/>
    <w:rsid w:val="00701979"/>
    <w:rsid w:val="00701C8A"/>
    <w:rsid w:val="00701F65"/>
    <w:rsid w:val="007023A5"/>
    <w:rsid w:val="007023D0"/>
    <w:rsid w:val="00702F78"/>
    <w:rsid w:val="00702F7F"/>
    <w:rsid w:val="00703C9A"/>
    <w:rsid w:val="00703DFD"/>
    <w:rsid w:val="00703E2E"/>
    <w:rsid w:val="00703FAC"/>
    <w:rsid w:val="00704449"/>
    <w:rsid w:val="00704A0E"/>
    <w:rsid w:val="00705495"/>
    <w:rsid w:val="007055DE"/>
    <w:rsid w:val="007056E8"/>
    <w:rsid w:val="0070698D"/>
    <w:rsid w:val="00706F45"/>
    <w:rsid w:val="00706FCE"/>
    <w:rsid w:val="0070742B"/>
    <w:rsid w:val="00707892"/>
    <w:rsid w:val="00707BBD"/>
    <w:rsid w:val="007104DD"/>
    <w:rsid w:val="0071089D"/>
    <w:rsid w:val="00711057"/>
    <w:rsid w:val="00711196"/>
    <w:rsid w:val="00711B3F"/>
    <w:rsid w:val="007121B4"/>
    <w:rsid w:val="00712886"/>
    <w:rsid w:val="0071337F"/>
    <w:rsid w:val="00714306"/>
    <w:rsid w:val="00714553"/>
    <w:rsid w:val="007150D4"/>
    <w:rsid w:val="007161A2"/>
    <w:rsid w:val="007171B2"/>
    <w:rsid w:val="00717B75"/>
    <w:rsid w:val="00717ECB"/>
    <w:rsid w:val="00717FE8"/>
    <w:rsid w:val="007203E3"/>
    <w:rsid w:val="00720C72"/>
    <w:rsid w:val="0072133A"/>
    <w:rsid w:val="007213E4"/>
    <w:rsid w:val="007214FD"/>
    <w:rsid w:val="0072163E"/>
    <w:rsid w:val="00722F33"/>
    <w:rsid w:val="00723F70"/>
    <w:rsid w:val="00723F99"/>
    <w:rsid w:val="0072578A"/>
    <w:rsid w:val="0072662E"/>
    <w:rsid w:val="00727D35"/>
    <w:rsid w:val="00730355"/>
    <w:rsid w:val="0073114A"/>
    <w:rsid w:val="0073158E"/>
    <w:rsid w:val="0073172A"/>
    <w:rsid w:val="0073213C"/>
    <w:rsid w:val="00732773"/>
    <w:rsid w:val="00732E04"/>
    <w:rsid w:val="00732EBC"/>
    <w:rsid w:val="00733672"/>
    <w:rsid w:val="0073379C"/>
    <w:rsid w:val="00733FFC"/>
    <w:rsid w:val="0073414D"/>
    <w:rsid w:val="00734289"/>
    <w:rsid w:val="007345C7"/>
    <w:rsid w:val="00734FA0"/>
    <w:rsid w:val="00735231"/>
    <w:rsid w:val="00735263"/>
    <w:rsid w:val="00735626"/>
    <w:rsid w:val="00735944"/>
    <w:rsid w:val="00735977"/>
    <w:rsid w:val="00735C2D"/>
    <w:rsid w:val="00736137"/>
    <w:rsid w:val="00736733"/>
    <w:rsid w:val="007369A5"/>
    <w:rsid w:val="00736BB2"/>
    <w:rsid w:val="007371A6"/>
    <w:rsid w:val="00737221"/>
    <w:rsid w:val="00737264"/>
    <w:rsid w:val="007375D8"/>
    <w:rsid w:val="0073782C"/>
    <w:rsid w:val="007378B7"/>
    <w:rsid w:val="00737BA6"/>
    <w:rsid w:val="0074044B"/>
    <w:rsid w:val="00740908"/>
    <w:rsid w:val="007409B2"/>
    <w:rsid w:val="00741510"/>
    <w:rsid w:val="00742935"/>
    <w:rsid w:val="00743871"/>
    <w:rsid w:val="00743ADC"/>
    <w:rsid w:val="00743EB0"/>
    <w:rsid w:val="007442D2"/>
    <w:rsid w:val="00744416"/>
    <w:rsid w:val="0074446F"/>
    <w:rsid w:val="00744493"/>
    <w:rsid w:val="00744C97"/>
    <w:rsid w:val="00745849"/>
    <w:rsid w:val="00745907"/>
    <w:rsid w:val="007462EC"/>
    <w:rsid w:val="00746589"/>
    <w:rsid w:val="0074663B"/>
    <w:rsid w:val="007466C6"/>
    <w:rsid w:val="00746FCF"/>
    <w:rsid w:val="00747547"/>
    <w:rsid w:val="0075090A"/>
    <w:rsid w:val="00750B94"/>
    <w:rsid w:val="00751195"/>
    <w:rsid w:val="0075156B"/>
    <w:rsid w:val="007522AF"/>
    <w:rsid w:val="00752B81"/>
    <w:rsid w:val="0075320A"/>
    <w:rsid w:val="007533C9"/>
    <w:rsid w:val="007539CB"/>
    <w:rsid w:val="007544A9"/>
    <w:rsid w:val="00754A8C"/>
    <w:rsid w:val="007550AB"/>
    <w:rsid w:val="00755D9A"/>
    <w:rsid w:val="00756934"/>
    <w:rsid w:val="00756B31"/>
    <w:rsid w:val="00757425"/>
    <w:rsid w:val="00760417"/>
    <w:rsid w:val="00761147"/>
    <w:rsid w:val="0076148D"/>
    <w:rsid w:val="007619B5"/>
    <w:rsid w:val="00761AC8"/>
    <w:rsid w:val="0076206F"/>
    <w:rsid w:val="00762CF0"/>
    <w:rsid w:val="007632E0"/>
    <w:rsid w:val="00764453"/>
    <w:rsid w:val="00764801"/>
    <w:rsid w:val="00764926"/>
    <w:rsid w:val="00764C4A"/>
    <w:rsid w:val="00764FFA"/>
    <w:rsid w:val="0076515D"/>
    <w:rsid w:val="0076519D"/>
    <w:rsid w:val="007655FA"/>
    <w:rsid w:val="007658E5"/>
    <w:rsid w:val="00765AA7"/>
    <w:rsid w:val="00766FC0"/>
    <w:rsid w:val="007679EB"/>
    <w:rsid w:val="00770D94"/>
    <w:rsid w:val="00771631"/>
    <w:rsid w:val="00771D33"/>
    <w:rsid w:val="00771F9B"/>
    <w:rsid w:val="0077261D"/>
    <w:rsid w:val="0077271B"/>
    <w:rsid w:val="00772ADE"/>
    <w:rsid w:val="00773E22"/>
    <w:rsid w:val="00774761"/>
    <w:rsid w:val="00774B06"/>
    <w:rsid w:val="00774C2B"/>
    <w:rsid w:val="00775DBF"/>
    <w:rsid w:val="007762CD"/>
    <w:rsid w:val="0077645A"/>
    <w:rsid w:val="00777290"/>
    <w:rsid w:val="007774E8"/>
    <w:rsid w:val="00780273"/>
    <w:rsid w:val="00780482"/>
    <w:rsid w:val="007808C2"/>
    <w:rsid w:val="00780956"/>
    <w:rsid w:val="007809D2"/>
    <w:rsid w:val="00780D18"/>
    <w:rsid w:val="0078233F"/>
    <w:rsid w:val="00782D8F"/>
    <w:rsid w:val="00782F00"/>
    <w:rsid w:val="00782FC5"/>
    <w:rsid w:val="00783533"/>
    <w:rsid w:val="0078357E"/>
    <w:rsid w:val="0078385A"/>
    <w:rsid w:val="007839E7"/>
    <w:rsid w:val="00783C90"/>
    <w:rsid w:val="007841FF"/>
    <w:rsid w:val="00785009"/>
    <w:rsid w:val="00785E26"/>
    <w:rsid w:val="00785EFF"/>
    <w:rsid w:val="00786824"/>
    <w:rsid w:val="0078724C"/>
    <w:rsid w:val="00787769"/>
    <w:rsid w:val="00787C9D"/>
    <w:rsid w:val="007906CA"/>
    <w:rsid w:val="00791503"/>
    <w:rsid w:val="0079226C"/>
    <w:rsid w:val="0079255B"/>
    <w:rsid w:val="007934D4"/>
    <w:rsid w:val="007939BD"/>
    <w:rsid w:val="00793C16"/>
    <w:rsid w:val="00793FBD"/>
    <w:rsid w:val="007948B9"/>
    <w:rsid w:val="00795610"/>
    <w:rsid w:val="00795792"/>
    <w:rsid w:val="00795B14"/>
    <w:rsid w:val="00796619"/>
    <w:rsid w:val="00796985"/>
    <w:rsid w:val="00796AC3"/>
    <w:rsid w:val="00796C5E"/>
    <w:rsid w:val="0079775B"/>
    <w:rsid w:val="007A0692"/>
    <w:rsid w:val="007A0B62"/>
    <w:rsid w:val="007A11B0"/>
    <w:rsid w:val="007A1236"/>
    <w:rsid w:val="007A1A9E"/>
    <w:rsid w:val="007A1D32"/>
    <w:rsid w:val="007A1FF1"/>
    <w:rsid w:val="007A21A0"/>
    <w:rsid w:val="007A2445"/>
    <w:rsid w:val="007A2A69"/>
    <w:rsid w:val="007A2A6F"/>
    <w:rsid w:val="007A3827"/>
    <w:rsid w:val="007A39D3"/>
    <w:rsid w:val="007A3BDD"/>
    <w:rsid w:val="007A3E4D"/>
    <w:rsid w:val="007A4436"/>
    <w:rsid w:val="007A4506"/>
    <w:rsid w:val="007A4A78"/>
    <w:rsid w:val="007A4F19"/>
    <w:rsid w:val="007A57AE"/>
    <w:rsid w:val="007A66E6"/>
    <w:rsid w:val="007A6E20"/>
    <w:rsid w:val="007A73DA"/>
    <w:rsid w:val="007A74B2"/>
    <w:rsid w:val="007A7E06"/>
    <w:rsid w:val="007B07C4"/>
    <w:rsid w:val="007B0B94"/>
    <w:rsid w:val="007B11EC"/>
    <w:rsid w:val="007B1F57"/>
    <w:rsid w:val="007B1FE7"/>
    <w:rsid w:val="007B3766"/>
    <w:rsid w:val="007B3EE8"/>
    <w:rsid w:val="007B4597"/>
    <w:rsid w:val="007B47A0"/>
    <w:rsid w:val="007B5174"/>
    <w:rsid w:val="007B5336"/>
    <w:rsid w:val="007B55C5"/>
    <w:rsid w:val="007B57D2"/>
    <w:rsid w:val="007B5912"/>
    <w:rsid w:val="007B5E43"/>
    <w:rsid w:val="007B61F9"/>
    <w:rsid w:val="007B6F00"/>
    <w:rsid w:val="007B6FDF"/>
    <w:rsid w:val="007B70FB"/>
    <w:rsid w:val="007B74DB"/>
    <w:rsid w:val="007B75D7"/>
    <w:rsid w:val="007C0482"/>
    <w:rsid w:val="007C0A60"/>
    <w:rsid w:val="007C123C"/>
    <w:rsid w:val="007C1DC9"/>
    <w:rsid w:val="007C20FE"/>
    <w:rsid w:val="007C2678"/>
    <w:rsid w:val="007C2A9A"/>
    <w:rsid w:val="007C3435"/>
    <w:rsid w:val="007C35BC"/>
    <w:rsid w:val="007C376A"/>
    <w:rsid w:val="007C4A77"/>
    <w:rsid w:val="007C55BE"/>
    <w:rsid w:val="007C5AB5"/>
    <w:rsid w:val="007C766F"/>
    <w:rsid w:val="007C7AD6"/>
    <w:rsid w:val="007C7C59"/>
    <w:rsid w:val="007C7DC7"/>
    <w:rsid w:val="007D0D0A"/>
    <w:rsid w:val="007D1767"/>
    <w:rsid w:val="007D1AAA"/>
    <w:rsid w:val="007D3F77"/>
    <w:rsid w:val="007D40F5"/>
    <w:rsid w:val="007D45BD"/>
    <w:rsid w:val="007D46D8"/>
    <w:rsid w:val="007D4892"/>
    <w:rsid w:val="007D48E9"/>
    <w:rsid w:val="007D53CB"/>
    <w:rsid w:val="007D5857"/>
    <w:rsid w:val="007D6F86"/>
    <w:rsid w:val="007D72EB"/>
    <w:rsid w:val="007D7FC2"/>
    <w:rsid w:val="007E03B3"/>
    <w:rsid w:val="007E060F"/>
    <w:rsid w:val="007E0F8F"/>
    <w:rsid w:val="007E192F"/>
    <w:rsid w:val="007E317C"/>
    <w:rsid w:val="007E340C"/>
    <w:rsid w:val="007E3E82"/>
    <w:rsid w:val="007E4101"/>
    <w:rsid w:val="007E44F9"/>
    <w:rsid w:val="007E4860"/>
    <w:rsid w:val="007E5ED9"/>
    <w:rsid w:val="007E5EDC"/>
    <w:rsid w:val="007E6646"/>
    <w:rsid w:val="007E6A26"/>
    <w:rsid w:val="007E6B40"/>
    <w:rsid w:val="007E6B67"/>
    <w:rsid w:val="007E6C51"/>
    <w:rsid w:val="007E7232"/>
    <w:rsid w:val="007E72AB"/>
    <w:rsid w:val="007E730A"/>
    <w:rsid w:val="007E7A7D"/>
    <w:rsid w:val="007F0378"/>
    <w:rsid w:val="007F0684"/>
    <w:rsid w:val="007F06B6"/>
    <w:rsid w:val="007F06E8"/>
    <w:rsid w:val="007F0AF8"/>
    <w:rsid w:val="007F1C60"/>
    <w:rsid w:val="007F219A"/>
    <w:rsid w:val="007F31BC"/>
    <w:rsid w:val="007F3F16"/>
    <w:rsid w:val="007F4981"/>
    <w:rsid w:val="007F556F"/>
    <w:rsid w:val="007F65DB"/>
    <w:rsid w:val="007F6761"/>
    <w:rsid w:val="007F6BC4"/>
    <w:rsid w:val="007F6D1D"/>
    <w:rsid w:val="007F7023"/>
    <w:rsid w:val="007F7095"/>
    <w:rsid w:val="007F70D4"/>
    <w:rsid w:val="007F76B6"/>
    <w:rsid w:val="007F79F3"/>
    <w:rsid w:val="0080030C"/>
    <w:rsid w:val="0080073F"/>
    <w:rsid w:val="008013B2"/>
    <w:rsid w:val="00801CB1"/>
    <w:rsid w:val="008025D9"/>
    <w:rsid w:val="00802AA7"/>
    <w:rsid w:val="00802B6F"/>
    <w:rsid w:val="00802C00"/>
    <w:rsid w:val="008038FF"/>
    <w:rsid w:val="00803ACE"/>
    <w:rsid w:val="00803B8E"/>
    <w:rsid w:val="00805B99"/>
    <w:rsid w:val="00806CC9"/>
    <w:rsid w:val="00806E16"/>
    <w:rsid w:val="00806E9B"/>
    <w:rsid w:val="00807090"/>
    <w:rsid w:val="00807926"/>
    <w:rsid w:val="00807A15"/>
    <w:rsid w:val="00807AB5"/>
    <w:rsid w:val="00807C32"/>
    <w:rsid w:val="008100A2"/>
    <w:rsid w:val="00810357"/>
    <w:rsid w:val="008107F5"/>
    <w:rsid w:val="00810E30"/>
    <w:rsid w:val="00810ED7"/>
    <w:rsid w:val="00811973"/>
    <w:rsid w:val="008129D1"/>
    <w:rsid w:val="00813AEB"/>
    <w:rsid w:val="00814CAD"/>
    <w:rsid w:val="00816FBA"/>
    <w:rsid w:val="00817D96"/>
    <w:rsid w:val="00817F9A"/>
    <w:rsid w:val="008219FB"/>
    <w:rsid w:val="008227FA"/>
    <w:rsid w:val="008229A2"/>
    <w:rsid w:val="00822B56"/>
    <w:rsid w:val="00823BBB"/>
    <w:rsid w:val="0082443D"/>
    <w:rsid w:val="00824A9E"/>
    <w:rsid w:val="00825A66"/>
    <w:rsid w:val="00825F58"/>
    <w:rsid w:val="008268CF"/>
    <w:rsid w:val="008270EE"/>
    <w:rsid w:val="00827497"/>
    <w:rsid w:val="00827615"/>
    <w:rsid w:val="0083026B"/>
    <w:rsid w:val="00831472"/>
    <w:rsid w:val="008329FF"/>
    <w:rsid w:val="00832ECB"/>
    <w:rsid w:val="00833526"/>
    <w:rsid w:val="00833D24"/>
    <w:rsid w:val="008340EC"/>
    <w:rsid w:val="00834B47"/>
    <w:rsid w:val="00835459"/>
    <w:rsid w:val="0083553C"/>
    <w:rsid w:val="008374E1"/>
    <w:rsid w:val="00837C92"/>
    <w:rsid w:val="00837F0F"/>
    <w:rsid w:val="00837FA4"/>
    <w:rsid w:val="008414CC"/>
    <w:rsid w:val="008416E5"/>
    <w:rsid w:val="0084188C"/>
    <w:rsid w:val="0084210C"/>
    <w:rsid w:val="008423BD"/>
    <w:rsid w:val="00842BBA"/>
    <w:rsid w:val="00842D41"/>
    <w:rsid w:val="00843029"/>
    <w:rsid w:val="00843420"/>
    <w:rsid w:val="00843B5D"/>
    <w:rsid w:val="008447D4"/>
    <w:rsid w:val="0084506C"/>
    <w:rsid w:val="008454BD"/>
    <w:rsid w:val="00845A22"/>
    <w:rsid w:val="00845A8C"/>
    <w:rsid w:val="00845A8E"/>
    <w:rsid w:val="008463F3"/>
    <w:rsid w:val="008469FE"/>
    <w:rsid w:val="00846D76"/>
    <w:rsid w:val="0085005F"/>
    <w:rsid w:val="0085062F"/>
    <w:rsid w:val="0085112A"/>
    <w:rsid w:val="00851307"/>
    <w:rsid w:val="008515B1"/>
    <w:rsid w:val="0085201C"/>
    <w:rsid w:val="00852508"/>
    <w:rsid w:val="00852E5B"/>
    <w:rsid w:val="00853677"/>
    <w:rsid w:val="00853ACD"/>
    <w:rsid w:val="00853ACF"/>
    <w:rsid w:val="00853F1F"/>
    <w:rsid w:val="008544D3"/>
    <w:rsid w:val="0085457E"/>
    <w:rsid w:val="00855461"/>
    <w:rsid w:val="008558A1"/>
    <w:rsid w:val="0085642F"/>
    <w:rsid w:val="00857076"/>
    <w:rsid w:val="008573AF"/>
    <w:rsid w:val="00857645"/>
    <w:rsid w:val="00857D80"/>
    <w:rsid w:val="008602FC"/>
    <w:rsid w:val="00860989"/>
    <w:rsid w:val="00860CF9"/>
    <w:rsid w:val="00860DF0"/>
    <w:rsid w:val="00860E53"/>
    <w:rsid w:val="008622D3"/>
    <w:rsid w:val="0086268A"/>
    <w:rsid w:val="0086375F"/>
    <w:rsid w:val="008639A2"/>
    <w:rsid w:val="00863BBB"/>
    <w:rsid w:val="008640FD"/>
    <w:rsid w:val="0086426C"/>
    <w:rsid w:val="008653D4"/>
    <w:rsid w:val="0086564F"/>
    <w:rsid w:val="00865681"/>
    <w:rsid w:val="00866618"/>
    <w:rsid w:val="00866E73"/>
    <w:rsid w:val="0086709E"/>
    <w:rsid w:val="00867B6B"/>
    <w:rsid w:val="00867CDA"/>
    <w:rsid w:val="00870A79"/>
    <w:rsid w:val="00870AFC"/>
    <w:rsid w:val="008715CC"/>
    <w:rsid w:val="00872589"/>
    <w:rsid w:val="00872770"/>
    <w:rsid w:val="00873410"/>
    <w:rsid w:val="008736AF"/>
    <w:rsid w:val="00873754"/>
    <w:rsid w:val="00874394"/>
    <w:rsid w:val="008752FC"/>
    <w:rsid w:val="00875FA4"/>
    <w:rsid w:val="008763B9"/>
    <w:rsid w:val="008763C8"/>
    <w:rsid w:val="008766C0"/>
    <w:rsid w:val="00877492"/>
    <w:rsid w:val="00877922"/>
    <w:rsid w:val="00877D6E"/>
    <w:rsid w:val="00877E35"/>
    <w:rsid w:val="0088014E"/>
    <w:rsid w:val="00880BAB"/>
    <w:rsid w:val="0088143E"/>
    <w:rsid w:val="00881769"/>
    <w:rsid w:val="008817FF"/>
    <w:rsid w:val="0088239C"/>
    <w:rsid w:val="00882745"/>
    <w:rsid w:val="008828F7"/>
    <w:rsid w:val="00882A65"/>
    <w:rsid w:val="00882E58"/>
    <w:rsid w:val="0088323D"/>
    <w:rsid w:val="008835B1"/>
    <w:rsid w:val="0088377B"/>
    <w:rsid w:val="00883B3F"/>
    <w:rsid w:val="00884491"/>
    <w:rsid w:val="00884DE2"/>
    <w:rsid w:val="008851BE"/>
    <w:rsid w:val="00885538"/>
    <w:rsid w:val="00885D3C"/>
    <w:rsid w:val="00886188"/>
    <w:rsid w:val="00886C33"/>
    <w:rsid w:val="00887063"/>
    <w:rsid w:val="00887F1B"/>
    <w:rsid w:val="008900CF"/>
    <w:rsid w:val="00890E19"/>
    <w:rsid w:val="00891A88"/>
    <w:rsid w:val="00891C0B"/>
    <w:rsid w:val="00892153"/>
    <w:rsid w:val="008922CF"/>
    <w:rsid w:val="008923D1"/>
    <w:rsid w:val="008925B9"/>
    <w:rsid w:val="00892C63"/>
    <w:rsid w:val="00893202"/>
    <w:rsid w:val="008937CB"/>
    <w:rsid w:val="0089427B"/>
    <w:rsid w:val="00894669"/>
    <w:rsid w:val="0089483C"/>
    <w:rsid w:val="00894A6B"/>
    <w:rsid w:val="00894A7F"/>
    <w:rsid w:val="00894EEF"/>
    <w:rsid w:val="00895573"/>
    <w:rsid w:val="00895E5A"/>
    <w:rsid w:val="00897502"/>
    <w:rsid w:val="00897855"/>
    <w:rsid w:val="008A0E63"/>
    <w:rsid w:val="008A1088"/>
    <w:rsid w:val="008A1438"/>
    <w:rsid w:val="008A173F"/>
    <w:rsid w:val="008A1EFD"/>
    <w:rsid w:val="008A25C3"/>
    <w:rsid w:val="008A2790"/>
    <w:rsid w:val="008A2C5D"/>
    <w:rsid w:val="008A3C32"/>
    <w:rsid w:val="008A4F57"/>
    <w:rsid w:val="008A52CE"/>
    <w:rsid w:val="008A574C"/>
    <w:rsid w:val="008A5B73"/>
    <w:rsid w:val="008A68A0"/>
    <w:rsid w:val="008A6A25"/>
    <w:rsid w:val="008A6CE6"/>
    <w:rsid w:val="008A6D28"/>
    <w:rsid w:val="008B0182"/>
    <w:rsid w:val="008B069A"/>
    <w:rsid w:val="008B0707"/>
    <w:rsid w:val="008B07AF"/>
    <w:rsid w:val="008B091D"/>
    <w:rsid w:val="008B0BA7"/>
    <w:rsid w:val="008B1DF8"/>
    <w:rsid w:val="008B1E06"/>
    <w:rsid w:val="008B20A4"/>
    <w:rsid w:val="008B2BD9"/>
    <w:rsid w:val="008B2DE5"/>
    <w:rsid w:val="008B2F1A"/>
    <w:rsid w:val="008B31AD"/>
    <w:rsid w:val="008B32E4"/>
    <w:rsid w:val="008B331F"/>
    <w:rsid w:val="008B3A87"/>
    <w:rsid w:val="008B3C1F"/>
    <w:rsid w:val="008B3D67"/>
    <w:rsid w:val="008B4243"/>
    <w:rsid w:val="008B4953"/>
    <w:rsid w:val="008B4E19"/>
    <w:rsid w:val="008B4F72"/>
    <w:rsid w:val="008B5F58"/>
    <w:rsid w:val="008B6367"/>
    <w:rsid w:val="008B63AD"/>
    <w:rsid w:val="008B6E1E"/>
    <w:rsid w:val="008B7546"/>
    <w:rsid w:val="008C0557"/>
    <w:rsid w:val="008C0771"/>
    <w:rsid w:val="008C0845"/>
    <w:rsid w:val="008C111C"/>
    <w:rsid w:val="008C1779"/>
    <w:rsid w:val="008C1DC1"/>
    <w:rsid w:val="008C28B3"/>
    <w:rsid w:val="008C3591"/>
    <w:rsid w:val="008C35DB"/>
    <w:rsid w:val="008C3A88"/>
    <w:rsid w:val="008C3AC1"/>
    <w:rsid w:val="008C4B69"/>
    <w:rsid w:val="008C4EB8"/>
    <w:rsid w:val="008C61B0"/>
    <w:rsid w:val="008C6FD3"/>
    <w:rsid w:val="008C70EB"/>
    <w:rsid w:val="008C7EFC"/>
    <w:rsid w:val="008C7FA7"/>
    <w:rsid w:val="008D04B6"/>
    <w:rsid w:val="008D057C"/>
    <w:rsid w:val="008D1545"/>
    <w:rsid w:val="008D155D"/>
    <w:rsid w:val="008D15E6"/>
    <w:rsid w:val="008D1AED"/>
    <w:rsid w:val="008D1C9A"/>
    <w:rsid w:val="008D229E"/>
    <w:rsid w:val="008D24C5"/>
    <w:rsid w:val="008D35A9"/>
    <w:rsid w:val="008D36D2"/>
    <w:rsid w:val="008D3FE4"/>
    <w:rsid w:val="008D415F"/>
    <w:rsid w:val="008D5506"/>
    <w:rsid w:val="008D5B6F"/>
    <w:rsid w:val="008D5DAB"/>
    <w:rsid w:val="008D6641"/>
    <w:rsid w:val="008D6847"/>
    <w:rsid w:val="008D6968"/>
    <w:rsid w:val="008D6C68"/>
    <w:rsid w:val="008D71F3"/>
    <w:rsid w:val="008D7AFD"/>
    <w:rsid w:val="008D7E3E"/>
    <w:rsid w:val="008D7EA6"/>
    <w:rsid w:val="008E0029"/>
    <w:rsid w:val="008E01BA"/>
    <w:rsid w:val="008E0219"/>
    <w:rsid w:val="008E0DE2"/>
    <w:rsid w:val="008E1CA4"/>
    <w:rsid w:val="008E2BCC"/>
    <w:rsid w:val="008E3AAA"/>
    <w:rsid w:val="008E3F1C"/>
    <w:rsid w:val="008E46B7"/>
    <w:rsid w:val="008E5A4E"/>
    <w:rsid w:val="008E5E7E"/>
    <w:rsid w:val="008E6D37"/>
    <w:rsid w:val="008E6F6B"/>
    <w:rsid w:val="008E7155"/>
    <w:rsid w:val="008E71FB"/>
    <w:rsid w:val="008E7365"/>
    <w:rsid w:val="008F0248"/>
    <w:rsid w:val="008F07B8"/>
    <w:rsid w:val="008F0932"/>
    <w:rsid w:val="008F0EF5"/>
    <w:rsid w:val="008F1238"/>
    <w:rsid w:val="008F1F94"/>
    <w:rsid w:val="008F257A"/>
    <w:rsid w:val="008F301E"/>
    <w:rsid w:val="008F3225"/>
    <w:rsid w:val="008F35D9"/>
    <w:rsid w:val="008F3793"/>
    <w:rsid w:val="008F438C"/>
    <w:rsid w:val="008F4CB8"/>
    <w:rsid w:val="008F525C"/>
    <w:rsid w:val="008F533A"/>
    <w:rsid w:val="008F540C"/>
    <w:rsid w:val="008F6060"/>
    <w:rsid w:val="008F6426"/>
    <w:rsid w:val="008F6B8B"/>
    <w:rsid w:val="008F752E"/>
    <w:rsid w:val="0090146E"/>
    <w:rsid w:val="00901A3E"/>
    <w:rsid w:val="00901E4D"/>
    <w:rsid w:val="009020DE"/>
    <w:rsid w:val="00903424"/>
    <w:rsid w:val="00904010"/>
    <w:rsid w:val="00904206"/>
    <w:rsid w:val="00905456"/>
    <w:rsid w:val="0090621C"/>
    <w:rsid w:val="00906618"/>
    <w:rsid w:val="00906C4A"/>
    <w:rsid w:val="0090736C"/>
    <w:rsid w:val="0090751B"/>
    <w:rsid w:val="00910400"/>
    <w:rsid w:val="00910451"/>
    <w:rsid w:val="00910629"/>
    <w:rsid w:val="0091071F"/>
    <w:rsid w:val="00910866"/>
    <w:rsid w:val="009110AD"/>
    <w:rsid w:val="009111CC"/>
    <w:rsid w:val="009114FF"/>
    <w:rsid w:val="00911A79"/>
    <w:rsid w:val="00911C55"/>
    <w:rsid w:val="00911D8B"/>
    <w:rsid w:val="00912025"/>
    <w:rsid w:val="009127CC"/>
    <w:rsid w:val="00913EBD"/>
    <w:rsid w:val="00914573"/>
    <w:rsid w:val="00914B78"/>
    <w:rsid w:val="009158B9"/>
    <w:rsid w:val="00915B61"/>
    <w:rsid w:val="00915DC8"/>
    <w:rsid w:val="0091620A"/>
    <w:rsid w:val="00916863"/>
    <w:rsid w:val="009168F0"/>
    <w:rsid w:val="009172A6"/>
    <w:rsid w:val="00917458"/>
    <w:rsid w:val="00917A98"/>
    <w:rsid w:val="0092096D"/>
    <w:rsid w:val="00921E56"/>
    <w:rsid w:val="00922166"/>
    <w:rsid w:val="009221ED"/>
    <w:rsid w:val="0092259C"/>
    <w:rsid w:val="00922AAE"/>
    <w:rsid w:val="00922C63"/>
    <w:rsid w:val="00923201"/>
    <w:rsid w:val="00926F09"/>
    <w:rsid w:val="00926F12"/>
    <w:rsid w:val="00927DE3"/>
    <w:rsid w:val="009301E0"/>
    <w:rsid w:val="00930372"/>
    <w:rsid w:val="00930591"/>
    <w:rsid w:val="00930609"/>
    <w:rsid w:val="00930B72"/>
    <w:rsid w:val="009312F0"/>
    <w:rsid w:val="0093196E"/>
    <w:rsid w:val="00931A58"/>
    <w:rsid w:val="00932113"/>
    <w:rsid w:val="009324E6"/>
    <w:rsid w:val="00932AD7"/>
    <w:rsid w:val="00932E71"/>
    <w:rsid w:val="00932ED3"/>
    <w:rsid w:val="0093312B"/>
    <w:rsid w:val="009341B7"/>
    <w:rsid w:val="009352C5"/>
    <w:rsid w:val="00935534"/>
    <w:rsid w:val="0093562F"/>
    <w:rsid w:val="00935F61"/>
    <w:rsid w:val="009360BB"/>
    <w:rsid w:val="00936772"/>
    <w:rsid w:val="00936B1F"/>
    <w:rsid w:val="009370A4"/>
    <w:rsid w:val="009378CF"/>
    <w:rsid w:val="009379F0"/>
    <w:rsid w:val="00937A67"/>
    <w:rsid w:val="00940820"/>
    <w:rsid w:val="00940CAF"/>
    <w:rsid w:val="00941946"/>
    <w:rsid w:val="009425E7"/>
    <w:rsid w:val="00942B2E"/>
    <w:rsid w:val="009431A8"/>
    <w:rsid w:val="00943238"/>
    <w:rsid w:val="00943CFE"/>
    <w:rsid w:val="00943F96"/>
    <w:rsid w:val="00943FA2"/>
    <w:rsid w:val="00944115"/>
    <w:rsid w:val="0094494D"/>
    <w:rsid w:val="00944E59"/>
    <w:rsid w:val="00944E95"/>
    <w:rsid w:val="00945401"/>
    <w:rsid w:val="00945648"/>
    <w:rsid w:val="009459F4"/>
    <w:rsid w:val="00945ABE"/>
    <w:rsid w:val="00945E58"/>
    <w:rsid w:val="00946127"/>
    <w:rsid w:val="00946907"/>
    <w:rsid w:val="00946DB0"/>
    <w:rsid w:val="009477C7"/>
    <w:rsid w:val="00950CAE"/>
    <w:rsid w:val="009512EC"/>
    <w:rsid w:val="009523F9"/>
    <w:rsid w:val="009526CD"/>
    <w:rsid w:val="0095315A"/>
    <w:rsid w:val="009534DD"/>
    <w:rsid w:val="009535C2"/>
    <w:rsid w:val="00953A73"/>
    <w:rsid w:val="00954D5A"/>
    <w:rsid w:val="009551A8"/>
    <w:rsid w:val="00956B6C"/>
    <w:rsid w:val="00957383"/>
    <w:rsid w:val="00957B5B"/>
    <w:rsid w:val="00957E69"/>
    <w:rsid w:val="009601CB"/>
    <w:rsid w:val="0096059A"/>
    <w:rsid w:val="0096081E"/>
    <w:rsid w:val="00960D39"/>
    <w:rsid w:val="00960F7E"/>
    <w:rsid w:val="009611A5"/>
    <w:rsid w:val="0096193B"/>
    <w:rsid w:val="00961C02"/>
    <w:rsid w:val="009628D6"/>
    <w:rsid w:val="00963188"/>
    <w:rsid w:val="00963240"/>
    <w:rsid w:val="00963A0E"/>
    <w:rsid w:val="00963B82"/>
    <w:rsid w:val="00964475"/>
    <w:rsid w:val="00964A6E"/>
    <w:rsid w:val="00964FB4"/>
    <w:rsid w:val="00965327"/>
    <w:rsid w:val="00965C61"/>
    <w:rsid w:val="009666BD"/>
    <w:rsid w:val="00966BE4"/>
    <w:rsid w:val="00966BFB"/>
    <w:rsid w:val="00967CDA"/>
    <w:rsid w:val="00970048"/>
    <w:rsid w:val="00970960"/>
    <w:rsid w:val="009709D4"/>
    <w:rsid w:val="00970A77"/>
    <w:rsid w:val="00970EF9"/>
    <w:rsid w:val="00971145"/>
    <w:rsid w:val="00971831"/>
    <w:rsid w:val="00971940"/>
    <w:rsid w:val="00972113"/>
    <w:rsid w:val="0097216D"/>
    <w:rsid w:val="00972CB8"/>
    <w:rsid w:val="00972D8F"/>
    <w:rsid w:val="00973299"/>
    <w:rsid w:val="00973C2B"/>
    <w:rsid w:val="0097437B"/>
    <w:rsid w:val="0097441E"/>
    <w:rsid w:val="00975394"/>
    <w:rsid w:val="00975E7D"/>
    <w:rsid w:val="00975F87"/>
    <w:rsid w:val="00975FB0"/>
    <w:rsid w:val="009762C7"/>
    <w:rsid w:val="009766CB"/>
    <w:rsid w:val="0097670F"/>
    <w:rsid w:val="00976C32"/>
    <w:rsid w:val="00976C61"/>
    <w:rsid w:val="009803EC"/>
    <w:rsid w:val="00981215"/>
    <w:rsid w:val="009812FC"/>
    <w:rsid w:val="009813BF"/>
    <w:rsid w:val="009819CD"/>
    <w:rsid w:val="00981B60"/>
    <w:rsid w:val="00982582"/>
    <w:rsid w:val="0098284A"/>
    <w:rsid w:val="00982C0D"/>
    <w:rsid w:val="00982DAE"/>
    <w:rsid w:val="00983D98"/>
    <w:rsid w:val="00984367"/>
    <w:rsid w:val="009844B4"/>
    <w:rsid w:val="0098453B"/>
    <w:rsid w:val="00984D82"/>
    <w:rsid w:val="00984EC5"/>
    <w:rsid w:val="0098572B"/>
    <w:rsid w:val="00985CDA"/>
    <w:rsid w:val="00985E82"/>
    <w:rsid w:val="0098603A"/>
    <w:rsid w:val="00986137"/>
    <w:rsid w:val="00986339"/>
    <w:rsid w:val="00986B96"/>
    <w:rsid w:val="00987351"/>
    <w:rsid w:val="0098740B"/>
    <w:rsid w:val="00987C6F"/>
    <w:rsid w:val="0099018C"/>
    <w:rsid w:val="00990708"/>
    <w:rsid w:val="00990AA8"/>
    <w:rsid w:val="00990C3D"/>
    <w:rsid w:val="0099199D"/>
    <w:rsid w:val="00991B9A"/>
    <w:rsid w:val="00991BF9"/>
    <w:rsid w:val="0099214E"/>
    <w:rsid w:val="009923C3"/>
    <w:rsid w:val="00993499"/>
    <w:rsid w:val="009934DB"/>
    <w:rsid w:val="009939C7"/>
    <w:rsid w:val="009939CB"/>
    <w:rsid w:val="00993D95"/>
    <w:rsid w:val="009948FE"/>
    <w:rsid w:val="00995756"/>
    <w:rsid w:val="00997125"/>
    <w:rsid w:val="00997960"/>
    <w:rsid w:val="009A002D"/>
    <w:rsid w:val="009A01EB"/>
    <w:rsid w:val="009A0208"/>
    <w:rsid w:val="009A0B05"/>
    <w:rsid w:val="009A11A6"/>
    <w:rsid w:val="009A1B80"/>
    <w:rsid w:val="009A21EE"/>
    <w:rsid w:val="009A253B"/>
    <w:rsid w:val="009A3C6E"/>
    <w:rsid w:val="009A42AB"/>
    <w:rsid w:val="009A4472"/>
    <w:rsid w:val="009A552D"/>
    <w:rsid w:val="009A5566"/>
    <w:rsid w:val="009A63C5"/>
    <w:rsid w:val="009A640C"/>
    <w:rsid w:val="009A6722"/>
    <w:rsid w:val="009A6A04"/>
    <w:rsid w:val="009A6A34"/>
    <w:rsid w:val="009A6F26"/>
    <w:rsid w:val="009A78A6"/>
    <w:rsid w:val="009B01AE"/>
    <w:rsid w:val="009B04F2"/>
    <w:rsid w:val="009B0763"/>
    <w:rsid w:val="009B076D"/>
    <w:rsid w:val="009B0A43"/>
    <w:rsid w:val="009B0A66"/>
    <w:rsid w:val="009B123D"/>
    <w:rsid w:val="009B1C1B"/>
    <w:rsid w:val="009B1E55"/>
    <w:rsid w:val="009B35BF"/>
    <w:rsid w:val="009B4194"/>
    <w:rsid w:val="009B4C3E"/>
    <w:rsid w:val="009B4D2F"/>
    <w:rsid w:val="009B5038"/>
    <w:rsid w:val="009B5121"/>
    <w:rsid w:val="009B56BE"/>
    <w:rsid w:val="009B573C"/>
    <w:rsid w:val="009B5B0B"/>
    <w:rsid w:val="009B6E08"/>
    <w:rsid w:val="009B6E0F"/>
    <w:rsid w:val="009B7356"/>
    <w:rsid w:val="009B7A8A"/>
    <w:rsid w:val="009C04DE"/>
    <w:rsid w:val="009C099B"/>
    <w:rsid w:val="009C0B86"/>
    <w:rsid w:val="009C0D9A"/>
    <w:rsid w:val="009C1219"/>
    <w:rsid w:val="009C1470"/>
    <w:rsid w:val="009C19F1"/>
    <w:rsid w:val="009C1ADB"/>
    <w:rsid w:val="009C37BF"/>
    <w:rsid w:val="009C398A"/>
    <w:rsid w:val="009C40BF"/>
    <w:rsid w:val="009C4676"/>
    <w:rsid w:val="009C5C27"/>
    <w:rsid w:val="009C5FC3"/>
    <w:rsid w:val="009C60E9"/>
    <w:rsid w:val="009C61F4"/>
    <w:rsid w:val="009C6629"/>
    <w:rsid w:val="009C6B64"/>
    <w:rsid w:val="009C7896"/>
    <w:rsid w:val="009C7D0B"/>
    <w:rsid w:val="009D010B"/>
    <w:rsid w:val="009D0530"/>
    <w:rsid w:val="009D056C"/>
    <w:rsid w:val="009D0596"/>
    <w:rsid w:val="009D0C23"/>
    <w:rsid w:val="009D0CF4"/>
    <w:rsid w:val="009D0D52"/>
    <w:rsid w:val="009D140A"/>
    <w:rsid w:val="009D1A74"/>
    <w:rsid w:val="009D2B26"/>
    <w:rsid w:val="009D2B87"/>
    <w:rsid w:val="009D36C8"/>
    <w:rsid w:val="009D39E1"/>
    <w:rsid w:val="009D3B6A"/>
    <w:rsid w:val="009D3D90"/>
    <w:rsid w:val="009D43C4"/>
    <w:rsid w:val="009D44A1"/>
    <w:rsid w:val="009D4C5D"/>
    <w:rsid w:val="009D5B6D"/>
    <w:rsid w:val="009D6019"/>
    <w:rsid w:val="009D645F"/>
    <w:rsid w:val="009D6D3F"/>
    <w:rsid w:val="009D6F87"/>
    <w:rsid w:val="009D7067"/>
    <w:rsid w:val="009D70A2"/>
    <w:rsid w:val="009D7203"/>
    <w:rsid w:val="009D7410"/>
    <w:rsid w:val="009D7601"/>
    <w:rsid w:val="009D7622"/>
    <w:rsid w:val="009E05A2"/>
    <w:rsid w:val="009E1377"/>
    <w:rsid w:val="009E1908"/>
    <w:rsid w:val="009E2463"/>
    <w:rsid w:val="009E2B4C"/>
    <w:rsid w:val="009E2C55"/>
    <w:rsid w:val="009E2E3F"/>
    <w:rsid w:val="009E2FAC"/>
    <w:rsid w:val="009E37B0"/>
    <w:rsid w:val="009E3F94"/>
    <w:rsid w:val="009E44A4"/>
    <w:rsid w:val="009E486C"/>
    <w:rsid w:val="009E4A34"/>
    <w:rsid w:val="009E4A5F"/>
    <w:rsid w:val="009E4E3B"/>
    <w:rsid w:val="009E59F4"/>
    <w:rsid w:val="009E61B0"/>
    <w:rsid w:val="009E63F0"/>
    <w:rsid w:val="009E7BCD"/>
    <w:rsid w:val="009F012F"/>
    <w:rsid w:val="009F046E"/>
    <w:rsid w:val="009F05AC"/>
    <w:rsid w:val="009F086C"/>
    <w:rsid w:val="009F0971"/>
    <w:rsid w:val="009F1443"/>
    <w:rsid w:val="009F1778"/>
    <w:rsid w:val="009F1EEE"/>
    <w:rsid w:val="009F236B"/>
    <w:rsid w:val="009F239C"/>
    <w:rsid w:val="009F2B35"/>
    <w:rsid w:val="009F2E88"/>
    <w:rsid w:val="009F4220"/>
    <w:rsid w:val="009F4825"/>
    <w:rsid w:val="009F49FF"/>
    <w:rsid w:val="009F50FA"/>
    <w:rsid w:val="009F52E0"/>
    <w:rsid w:val="009F5CE6"/>
    <w:rsid w:val="009F60E0"/>
    <w:rsid w:val="009F667D"/>
    <w:rsid w:val="009F68A3"/>
    <w:rsid w:val="009F6B75"/>
    <w:rsid w:val="009F7007"/>
    <w:rsid w:val="009F74DB"/>
    <w:rsid w:val="009F77DF"/>
    <w:rsid w:val="009F7813"/>
    <w:rsid w:val="00A00221"/>
    <w:rsid w:val="00A00437"/>
    <w:rsid w:val="00A00BE9"/>
    <w:rsid w:val="00A00DDA"/>
    <w:rsid w:val="00A01385"/>
    <w:rsid w:val="00A01B9D"/>
    <w:rsid w:val="00A02C0A"/>
    <w:rsid w:val="00A031CE"/>
    <w:rsid w:val="00A03652"/>
    <w:rsid w:val="00A03A2A"/>
    <w:rsid w:val="00A047FA"/>
    <w:rsid w:val="00A0480E"/>
    <w:rsid w:val="00A04844"/>
    <w:rsid w:val="00A04BF3"/>
    <w:rsid w:val="00A054CA"/>
    <w:rsid w:val="00A06ED8"/>
    <w:rsid w:val="00A07570"/>
    <w:rsid w:val="00A10103"/>
    <w:rsid w:val="00A10D64"/>
    <w:rsid w:val="00A11137"/>
    <w:rsid w:val="00A111EA"/>
    <w:rsid w:val="00A1135E"/>
    <w:rsid w:val="00A11447"/>
    <w:rsid w:val="00A11B67"/>
    <w:rsid w:val="00A11DEE"/>
    <w:rsid w:val="00A12195"/>
    <w:rsid w:val="00A123D5"/>
    <w:rsid w:val="00A12B28"/>
    <w:rsid w:val="00A135AE"/>
    <w:rsid w:val="00A13A38"/>
    <w:rsid w:val="00A13EAB"/>
    <w:rsid w:val="00A1423C"/>
    <w:rsid w:val="00A1538B"/>
    <w:rsid w:val="00A15AB8"/>
    <w:rsid w:val="00A162DF"/>
    <w:rsid w:val="00A16324"/>
    <w:rsid w:val="00A16DCB"/>
    <w:rsid w:val="00A17013"/>
    <w:rsid w:val="00A176A3"/>
    <w:rsid w:val="00A17AF1"/>
    <w:rsid w:val="00A17B4D"/>
    <w:rsid w:val="00A17B91"/>
    <w:rsid w:val="00A20220"/>
    <w:rsid w:val="00A20CAE"/>
    <w:rsid w:val="00A21A7C"/>
    <w:rsid w:val="00A21C7C"/>
    <w:rsid w:val="00A21E7F"/>
    <w:rsid w:val="00A23269"/>
    <w:rsid w:val="00A23F95"/>
    <w:rsid w:val="00A25E6E"/>
    <w:rsid w:val="00A2610D"/>
    <w:rsid w:val="00A26462"/>
    <w:rsid w:val="00A26700"/>
    <w:rsid w:val="00A26A0F"/>
    <w:rsid w:val="00A26B21"/>
    <w:rsid w:val="00A27323"/>
    <w:rsid w:val="00A274E2"/>
    <w:rsid w:val="00A27727"/>
    <w:rsid w:val="00A27F30"/>
    <w:rsid w:val="00A30562"/>
    <w:rsid w:val="00A307DF"/>
    <w:rsid w:val="00A30B97"/>
    <w:rsid w:val="00A31193"/>
    <w:rsid w:val="00A312AD"/>
    <w:rsid w:val="00A312FC"/>
    <w:rsid w:val="00A31909"/>
    <w:rsid w:val="00A31A9F"/>
    <w:rsid w:val="00A31F9A"/>
    <w:rsid w:val="00A32237"/>
    <w:rsid w:val="00A3288D"/>
    <w:rsid w:val="00A3307A"/>
    <w:rsid w:val="00A34BDA"/>
    <w:rsid w:val="00A358DC"/>
    <w:rsid w:val="00A35A09"/>
    <w:rsid w:val="00A362FE"/>
    <w:rsid w:val="00A36969"/>
    <w:rsid w:val="00A36979"/>
    <w:rsid w:val="00A36BED"/>
    <w:rsid w:val="00A37640"/>
    <w:rsid w:val="00A37789"/>
    <w:rsid w:val="00A37B75"/>
    <w:rsid w:val="00A40079"/>
    <w:rsid w:val="00A40C15"/>
    <w:rsid w:val="00A4164A"/>
    <w:rsid w:val="00A41C3D"/>
    <w:rsid w:val="00A41F2E"/>
    <w:rsid w:val="00A42822"/>
    <w:rsid w:val="00A42BB2"/>
    <w:rsid w:val="00A432A0"/>
    <w:rsid w:val="00A4354B"/>
    <w:rsid w:val="00A43BFD"/>
    <w:rsid w:val="00A43F0A"/>
    <w:rsid w:val="00A43FF9"/>
    <w:rsid w:val="00A44220"/>
    <w:rsid w:val="00A452DB"/>
    <w:rsid w:val="00A465E9"/>
    <w:rsid w:val="00A46A4B"/>
    <w:rsid w:val="00A4752A"/>
    <w:rsid w:val="00A47774"/>
    <w:rsid w:val="00A4783E"/>
    <w:rsid w:val="00A47BC1"/>
    <w:rsid w:val="00A47D25"/>
    <w:rsid w:val="00A50899"/>
    <w:rsid w:val="00A50F8C"/>
    <w:rsid w:val="00A510CD"/>
    <w:rsid w:val="00A512A2"/>
    <w:rsid w:val="00A5216F"/>
    <w:rsid w:val="00A52254"/>
    <w:rsid w:val="00A522FD"/>
    <w:rsid w:val="00A52401"/>
    <w:rsid w:val="00A5287D"/>
    <w:rsid w:val="00A534A7"/>
    <w:rsid w:val="00A550F7"/>
    <w:rsid w:val="00A55474"/>
    <w:rsid w:val="00A562BE"/>
    <w:rsid w:val="00A56A4F"/>
    <w:rsid w:val="00A56B72"/>
    <w:rsid w:val="00A56DDE"/>
    <w:rsid w:val="00A56FEE"/>
    <w:rsid w:val="00A5787F"/>
    <w:rsid w:val="00A57E73"/>
    <w:rsid w:val="00A60436"/>
    <w:rsid w:val="00A607D9"/>
    <w:rsid w:val="00A60A8B"/>
    <w:rsid w:val="00A60C3A"/>
    <w:rsid w:val="00A6124D"/>
    <w:rsid w:val="00A62199"/>
    <w:rsid w:val="00A621B7"/>
    <w:rsid w:val="00A63037"/>
    <w:rsid w:val="00A6323E"/>
    <w:rsid w:val="00A63575"/>
    <w:rsid w:val="00A63AF3"/>
    <w:rsid w:val="00A6419E"/>
    <w:rsid w:val="00A64A06"/>
    <w:rsid w:val="00A64E8C"/>
    <w:rsid w:val="00A64EF8"/>
    <w:rsid w:val="00A65A63"/>
    <w:rsid w:val="00A65CC9"/>
    <w:rsid w:val="00A65E01"/>
    <w:rsid w:val="00A66413"/>
    <w:rsid w:val="00A664B6"/>
    <w:rsid w:val="00A6677B"/>
    <w:rsid w:val="00A67A3C"/>
    <w:rsid w:val="00A67D1C"/>
    <w:rsid w:val="00A67D72"/>
    <w:rsid w:val="00A710AC"/>
    <w:rsid w:val="00A717AD"/>
    <w:rsid w:val="00A7186E"/>
    <w:rsid w:val="00A719E2"/>
    <w:rsid w:val="00A71FC9"/>
    <w:rsid w:val="00A7220A"/>
    <w:rsid w:val="00A725DB"/>
    <w:rsid w:val="00A72751"/>
    <w:rsid w:val="00A73655"/>
    <w:rsid w:val="00A73667"/>
    <w:rsid w:val="00A73738"/>
    <w:rsid w:val="00A73D7C"/>
    <w:rsid w:val="00A73E8F"/>
    <w:rsid w:val="00A747DC"/>
    <w:rsid w:val="00A74D4E"/>
    <w:rsid w:val="00A753BD"/>
    <w:rsid w:val="00A7616A"/>
    <w:rsid w:val="00A761EE"/>
    <w:rsid w:val="00A762FD"/>
    <w:rsid w:val="00A76B33"/>
    <w:rsid w:val="00A77933"/>
    <w:rsid w:val="00A77F98"/>
    <w:rsid w:val="00A80813"/>
    <w:rsid w:val="00A80EA4"/>
    <w:rsid w:val="00A819DD"/>
    <w:rsid w:val="00A81C95"/>
    <w:rsid w:val="00A8316D"/>
    <w:rsid w:val="00A83509"/>
    <w:rsid w:val="00A83903"/>
    <w:rsid w:val="00A83A16"/>
    <w:rsid w:val="00A83CA5"/>
    <w:rsid w:val="00A84336"/>
    <w:rsid w:val="00A84863"/>
    <w:rsid w:val="00A84EBD"/>
    <w:rsid w:val="00A84EDD"/>
    <w:rsid w:val="00A84F34"/>
    <w:rsid w:val="00A854BC"/>
    <w:rsid w:val="00A85B89"/>
    <w:rsid w:val="00A8620E"/>
    <w:rsid w:val="00A864E9"/>
    <w:rsid w:val="00A86CC9"/>
    <w:rsid w:val="00A87906"/>
    <w:rsid w:val="00A87958"/>
    <w:rsid w:val="00A87E9E"/>
    <w:rsid w:val="00A901BE"/>
    <w:rsid w:val="00A904E2"/>
    <w:rsid w:val="00A908FF"/>
    <w:rsid w:val="00A90D2E"/>
    <w:rsid w:val="00A90F25"/>
    <w:rsid w:val="00A912E7"/>
    <w:rsid w:val="00A91A2C"/>
    <w:rsid w:val="00A91E97"/>
    <w:rsid w:val="00A92BCF"/>
    <w:rsid w:val="00A93095"/>
    <w:rsid w:val="00A93A32"/>
    <w:rsid w:val="00A93E6F"/>
    <w:rsid w:val="00A96085"/>
    <w:rsid w:val="00A9628F"/>
    <w:rsid w:val="00A96424"/>
    <w:rsid w:val="00A969D8"/>
    <w:rsid w:val="00A96BEA"/>
    <w:rsid w:val="00AA19A6"/>
    <w:rsid w:val="00AA1AED"/>
    <w:rsid w:val="00AA20B1"/>
    <w:rsid w:val="00AA262E"/>
    <w:rsid w:val="00AA2C89"/>
    <w:rsid w:val="00AA3451"/>
    <w:rsid w:val="00AA43BD"/>
    <w:rsid w:val="00AA46E6"/>
    <w:rsid w:val="00AA48C1"/>
    <w:rsid w:val="00AA4945"/>
    <w:rsid w:val="00AA4FC0"/>
    <w:rsid w:val="00AA5889"/>
    <w:rsid w:val="00AA60A4"/>
    <w:rsid w:val="00AA64DE"/>
    <w:rsid w:val="00AA6D8A"/>
    <w:rsid w:val="00AA73A8"/>
    <w:rsid w:val="00AB006F"/>
    <w:rsid w:val="00AB106B"/>
    <w:rsid w:val="00AB114C"/>
    <w:rsid w:val="00AB1685"/>
    <w:rsid w:val="00AB1A9F"/>
    <w:rsid w:val="00AB2A38"/>
    <w:rsid w:val="00AB2A74"/>
    <w:rsid w:val="00AB3037"/>
    <w:rsid w:val="00AB3184"/>
    <w:rsid w:val="00AB33F9"/>
    <w:rsid w:val="00AB3CEC"/>
    <w:rsid w:val="00AB3D70"/>
    <w:rsid w:val="00AB3E8B"/>
    <w:rsid w:val="00AB43F5"/>
    <w:rsid w:val="00AB4AFF"/>
    <w:rsid w:val="00AB537C"/>
    <w:rsid w:val="00AB5887"/>
    <w:rsid w:val="00AB5B81"/>
    <w:rsid w:val="00AB5C13"/>
    <w:rsid w:val="00AB5D24"/>
    <w:rsid w:val="00AB64E5"/>
    <w:rsid w:val="00AB6C31"/>
    <w:rsid w:val="00AB7213"/>
    <w:rsid w:val="00AB73F4"/>
    <w:rsid w:val="00AB7442"/>
    <w:rsid w:val="00AB7D4B"/>
    <w:rsid w:val="00AB7D75"/>
    <w:rsid w:val="00AB7FA0"/>
    <w:rsid w:val="00AC0478"/>
    <w:rsid w:val="00AC1226"/>
    <w:rsid w:val="00AC14E0"/>
    <w:rsid w:val="00AC1686"/>
    <w:rsid w:val="00AC179A"/>
    <w:rsid w:val="00AC24F6"/>
    <w:rsid w:val="00AC299E"/>
    <w:rsid w:val="00AC3834"/>
    <w:rsid w:val="00AC55C1"/>
    <w:rsid w:val="00AC5774"/>
    <w:rsid w:val="00AC5C6A"/>
    <w:rsid w:val="00AC5EA2"/>
    <w:rsid w:val="00AC5F59"/>
    <w:rsid w:val="00AC60DA"/>
    <w:rsid w:val="00AC65AF"/>
    <w:rsid w:val="00AC6DA9"/>
    <w:rsid w:val="00AC7052"/>
    <w:rsid w:val="00AC739C"/>
    <w:rsid w:val="00AC7672"/>
    <w:rsid w:val="00AC7703"/>
    <w:rsid w:val="00AC7E57"/>
    <w:rsid w:val="00AD0558"/>
    <w:rsid w:val="00AD0C0E"/>
    <w:rsid w:val="00AD10E5"/>
    <w:rsid w:val="00AD150C"/>
    <w:rsid w:val="00AD1F44"/>
    <w:rsid w:val="00AD1FF4"/>
    <w:rsid w:val="00AD23CC"/>
    <w:rsid w:val="00AD31EC"/>
    <w:rsid w:val="00AD35A4"/>
    <w:rsid w:val="00AD37E4"/>
    <w:rsid w:val="00AD37F0"/>
    <w:rsid w:val="00AD3C2A"/>
    <w:rsid w:val="00AD3E6B"/>
    <w:rsid w:val="00AD4379"/>
    <w:rsid w:val="00AD5D9A"/>
    <w:rsid w:val="00AD6676"/>
    <w:rsid w:val="00AD6769"/>
    <w:rsid w:val="00AD6833"/>
    <w:rsid w:val="00AD715B"/>
    <w:rsid w:val="00AD77FA"/>
    <w:rsid w:val="00AE156A"/>
    <w:rsid w:val="00AE1923"/>
    <w:rsid w:val="00AE1C81"/>
    <w:rsid w:val="00AE1D4C"/>
    <w:rsid w:val="00AE252A"/>
    <w:rsid w:val="00AE35BF"/>
    <w:rsid w:val="00AE39A6"/>
    <w:rsid w:val="00AE4199"/>
    <w:rsid w:val="00AE4207"/>
    <w:rsid w:val="00AE486A"/>
    <w:rsid w:val="00AE48A4"/>
    <w:rsid w:val="00AE4C70"/>
    <w:rsid w:val="00AE4F38"/>
    <w:rsid w:val="00AE507F"/>
    <w:rsid w:val="00AE6068"/>
    <w:rsid w:val="00AE6873"/>
    <w:rsid w:val="00AE6D21"/>
    <w:rsid w:val="00AE78CF"/>
    <w:rsid w:val="00AE7F9B"/>
    <w:rsid w:val="00AF0016"/>
    <w:rsid w:val="00AF0F7F"/>
    <w:rsid w:val="00AF1DE2"/>
    <w:rsid w:val="00AF24F2"/>
    <w:rsid w:val="00AF2806"/>
    <w:rsid w:val="00AF3A91"/>
    <w:rsid w:val="00AF3BDB"/>
    <w:rsid w:val="00AF406C"/>
    <w:rsid w:val="00AF40A9"/>
    <w:rsid w:val="00AF40E0"/>
    <w:rsid w:val="00AF41B6"/>
    <w:rsid w:val="00AF428A"/>
    <w:rsid w:val="00AF45AF"/>
    <w:rsid w:val="00AF498E"/>
    <w:rsid w:val="00AF4AF0"/>
    <w:rsid w:val="00AF4E90"/>
    <w:rsid w:val="00AF5912"/>
    <w:rsid w:val="00AF5D8B"/>
    <w:rsid w:val="00AF7341"/>
    <w:rsid w:val="00B0063B"/>
    <w:rsid w:val="00B00F17"/>
    <w:rsid w:val="00B01C0B"/>
    <w:rsid w:val="00B01DB9"/>
    <w:rsid w:val="00B01E36"/>
    <w:rsid w:val="00B03388"/>
    <w:rsid w:val="00B03DEF"/>
    <w:rsid w:val="00B043FA"/>
    <w:rsid w:val="00B04C10"/>
    <w:rsid w:val="00B05579"/>
    <w:rsid w:val="00B0575B"/>
    <w:rsid w:val="00B0581C"/>
    <w:rsid w:val="00B0588C"/>
    <w:rsid w:val="00B068E4"/>
    <w:rsid w:val="00B068FF"/>
    <w:rsid w:val="00B1114A"/>
    <w:rsid w:val="00B115ED"/>
    <w:rsid w:val="00B117CB"/>
    <w:rsid w:val="00B117D7"/>
    <w:rsid w:val="00B12425"/>
    <w:rsid w:val="00B12732"/>
    <w:rsid w:val="00B13785"/>
    <w:rsid w:val="00B13B8E"/>
    <w:rsid w:val="00B13F9C"/>
    <w:rsid w:val="00B142E0"/>
    <w:rsid w:val="00B15237"/>
    <w:rsid w:val="00B16610"/>
    <w:rsid w:val="00B16817"/>
    <w:rsid w:val="00B20497"/>
    <w:rsid w:val="00B2128C"/>
    <w:rsid w:val="00B21406"/>
    <w:rsid w:val="00B2238D"/>
    <w:rsid w:val="00B229A1"/>
    <w:rsid w:val="00B23034"/>
    <w:rsid w:val="00B231BC"/>
    <w:rsid w:val="00B23573"/>
    <w:rsid w:val="00B23ABE"/>
    <w:rsid w:val="00B23B67"/>
    <w:rsid w:val="00B24B78"/>
    <w:rsid w:val="00B24C03"/>
    <w:rsid w:val="00B254C0"/>
    <w:rsid w:val="00B266F1"/>
    <w:rsid w:val="00B26797"/>
    <w:rsid w:val="00B26C98"/>
    <w:rsid w:val="00B26E4F"/>
    <w:rsid w:val="00B271E8"/>
    <w:rsid w:val="00B27548"/>
    <w:rsid w:val="00B275D8"/>
    <w:rsid w:val="00B27C62"/>
    <w:rsid w:val="00B313F6"/>
    <w:rsid w:val="00B318E3"/>
    <w:rsid w:val="00B32506"/>
    <w:rsid w:val="00B32F66"/>
    <w:rsid w:val="00B33678"/>
    <w:rsid w:val="00B33850"/>
    <w:rsid w:val="00B338BA"/>
    <w:rsid w:val="00B33F6F"/>
    <w:rsid w:val="00B33FD6"/>
    <w:rsid w:val="00B34AFD"/>
    <w:rsid w:val="00B3512D"/>
    <w:rsid w:val="00B354E2"/>
    <w:rsid w:val="00B358C1"/>
    <w:rsid w:val="00B36705"/>
    <w:rsid w:val="00B36A7A"/>
    <w:rsid w:val="00B37073"/>
    <w:rsid w:val="00B37C50"/>
    <w:rsid w:val="00B40037"/>
    <w:rsid w:val="00B4055F"/>
    <w:rsid w:val="00B40572"/>
    <w:rsid w:val="00B4108E"/>
    <w:rsid w:val="00B41314"/>
    <w:rsid w:val="00B413D2"/>
    <w:rsid w:val="00B41861"/>
    <w:rsid w:val="00B41A1A"/>
    <w:rsid w:val="00B42107"/>
    <w:rsid w:val="00B425D2"/>
    <w:rsid w:val="00B42F63"/>
    <w:rsid w:val="00B431AD"/>
    <w:rsid w:val="00B4365C"/>
    <w:rsid w:val="00B436E2"/>
    <w:rsid w:val="00B439B0"/>
    <w:rsid w:val="00B439E5"/>
    <w:rsid w:val="00B440D1"/>
    <w:rsid w:val="00B44A28"/>
    <w:rsid w:val="00B453BC"/>
    <w:rsid w:val="00B457F9"/>
    <w:rsid w:val="00B45BBA"/>
    <w:rsid w:val="00B45FDC"/>
    <w:rsid w:val="00B462D8"/>
    <w:rsid w:val="00B46347"/>
    <w:rsid w:val="00B46444"/>
    <w:rsid w:val="00B46A16"/>
    <w:rsid w:val="00B472E3"/>
    <w:rsid w:val="00B4762E"/>
    <w:rsid w:val="00B507E3"/>
    <w:rsid w:val="00B512C2"/>
    <w:rsid w:val="00B5139C"/>
    <w:rsid w:val="00B51D8B"/>
    <w:rsid w:val="00B52EAD"/>
    <w:rsid w:val="00B52F36"/>
    <w:rsid w:val="00B535DF"/>
    <w:rsid w:val="00B536F9"/>
    <w:rsid w:val="00B5463E"/>
    <w:rsid w:val="00B5474A"/>
    <w:rsid w:val="00B54B97"/>
    <w:rsid w:val="00B5505C"/>
    <w:rsid w:val="00B55825"/>
    <w:rsid w:val="00B55E9E"/>
    <w:rsid w:val="00B56101"/>
    <w:rsid w:val="00B57320"/>
    <w:rsid w:val="00B574FC"/>
    <w:rsid w:val="00B60E24"/>
    <w:rsid w:val="00B61068"/>
    <w:rsid w:val="00B6118D"/>
    <w:rsid w:val="00B629F8"/>
    <w:rsid w:val="00B62AB3"/>
    <w:rsid w:val="00B62AF2"/>
    <w:rsid w:val="00B63B4B"/>
    <w:rsid w:val="00B656D5"/>
    <w:rsid w:val="00B65EAD"/>
    <w:rsid w:val="00B6699A"/>
    <w:rsid w:val="00B66F41"/>
    <w:rsid w:val="00B674BE"/>
    <w:rsid w:val="00B67A5D"/>
    <w:rsid w:val="00B67BF5"/>
    <w:rsid w:val="00B70240"/>
    <w:rsid w:val="00B706E0"/>
    <w:rsid w:val="00B70E68"/>
    <w:rsid w:val="00B7115C"/>
    <w:rsid w:val="00B71267"/>
    <w:rsid w:val="00B71802"/>
    <w:rsid w:val="00B71BEA"/>
    <w:rsid w:val="00B71D0E"/>
    <w:rsid w:val="00B71D57"/>
    <w:rsid w:val="00B71F1E"/>
    <w:rsid w:val="00B72616"/>
    <w:rsid w:val="00B727C3"/>
    <w:rsid w:val="00B7351F"/>
    <w:rsid w:val="00B743DF"/>
    <w:rsid w:val="00B74B6F"/>
    <w:rsid w:val="00B74BD5"/>
    <w:rsid w:val="00B752A3"/>
    <w:rsid w:val="00B75640"/>
    <w:rsid w:val="00B75690"/>
    <w:rsid w:val="00B75BF1"/>
    <w:rsid w:val="00B76A80"/>
    <w:rsid w:val="00B76E86"/>
    <w:rsid w:val="00B77355"/>
    <w:rsid w:val="00B779BE"/>
    <w:rsid w:val="00B77E94"/>
    <w:rsid w:val="00B77EC0"/>
    <w:rsid w:val="00B80321"/>
    <w:rsid w:val="00B80C2F"/>
    <w:rsid w:val="00B81895"/>
    <w:rsid w:val="00B83B02"/>
    <w:rsid w:val="00B83BE8"/>
    <w:rsid w:val="00B8562C"/>
    <w:rsid w:val="00B862F5"/>
    <w:rsid w:val="00B863E7"/>
    <w:rsid w:val="00B875FA"/>
    <w:rsid w:val="00B8778B"/>
    <w:rsid w:val="00B87A0E"/>
    <w:rsid w:val="00B90076"/>
    <w:rsid w:val="00B9029E"/>
    <w:rsid w:val="00B9031C"/>
    <w:rsid w:val="00B90653"/>
    <w:rsid w:val="00B90BB1"/>
    <w:rsid w:val="00B925DB"/>
    <w:rsid w:val="00B92B1F"/>
    <w:rsid w:val="00B92BCA"/>
    <w:rsid w:val="00B92CDD"/>
    <w:rsid w:val="00B9333B"/>
    <w:rsid w:val="00B938E4"/>
    <w:rsid w:val="00B947BF"/>
    <w:rsid w:val="00B9490A"/>
    <w:rsid w:val="00B94E55"/>
    <w:rsid w:val="00B94F87"/>
    <w:rsid w:val="00B951C1"/>
    <w:rsid w:val="00B9550F"/>
    <w:rsid w:val="00B9556E"/>
    <w:rsid w:val="00B95AB0"/>
    <w:rsid w:val="00B95DC7"/>
    <w:rsid w:val="00B95FFF"/>
    <w:rsid w:val="00B9691F"/>
    <w:rsid w:val="00B96C53"/>
    <w:rsid w:val="00B975CF"/>
    <w:rsid w:val="00BA0218"/>
    <w:rsid w:val="00BA07B1"/>
    <w:rsid w:val="00BA0F89"/>
    <w:rsid w:val="00BA1049"/>
    <w:rsid w:val="00BA179D"/>
    <w:rsid w:val="00BA1AFD"/>
    <w:rsid w:val="00BA1FE9"/>
    <w:rsid w:val="00BA217B"/>
    <w:rsid w:val="00BA2898"/>
    <w:rsid w:val="00BA2A85"/>
    <w:rsid w:val="00BA2D16"/>
    <w:rsid w:val="00BA4525"/>
    <w:rsid w:val="00BA4BFB"/>
    <w:rsid w:val="00BA51F6"/>
    <w:rsid w:val="00BA5B47"/>
    <w:rsid w:val="00BA5D22"/>
    <w:rsid w:val="00BA5ED6"/>
    <w:rsid w:val="00BA5FEB"/>
    <w:rsid w:val="00BA648B"/>
    <w:rsid w:val="00BA65B4"/>
    <w:rsid w:val="00BA6818"/>
    <w:rsid w:val="00BA6F75"/>
    <w:rsid w:val="00BA77DE"/>
    <w:rsid w:val="00BA782E"/>
    <w:rsid w:val="00BA7A25"/>
    <w:rsid w:val="00BA7AFF"/>
    <w:rsid w:val="00BB04EB"/>
    <w:rsid w:val="00BB05F4"/>
    <w:rsid w:val="00BB0630"/>
    <w:rsid w:val="00BB0BEC"/>
    <w:rsid w:val="00BB12F6"/>
    <w:rsid w:val="00BB13AC"/>
    <w:rsid w:val="00BB155B"/>
    <w:rsid w:val="00BB3436"/>
    <w:rsid w:val="00BB3A7C"/>
    <w:rsid w:val="00BB3D9E"/>
    <w:rsid w:val="00BB3F3D"/>
    <w:rsid w:val="00BB48F9"/>
    <w:rsid w:val="00BB4EEE"/>
    <w:rsid w:val="00BB51DC"/>
    <w:rsid w:val="00BB5776"/>
    <w:rsid w:val="00BB588D"/>
    <w:rsid w:val="00BB5B56"/>
    <w:rsid w:val="00BB6172"/>
    <w:rsid w:val="00BB6853"/>
    <w:rsid w:val="00BB6B0B"/>
    <w:rsid w:val="00BB6C0B"/>
    <w:rsid w:val="00BB6DEB"/>
    <w:rsid w:val="00BB6F1C"/>
    <w:rsid w:val="00BB772D"/>
    <w:rsid w:val="00BB7FFA"/>
    <w:rsid w:val="00BC091B"/>
    <w:rsid w:val="00BC13E1"/>
    <w:rsid w:val="00BC23C0"/>
    <w:rsid w:val="00BC265E"/>
    <w:rsid w:val="00BC2978"/>
    <w:rsid w:val="00BC2C40"/>
    <w:rsid w:val="00BC2C7A"/>
    <w:rsid w:val="00BC3288"/>
    <w:rsid w:val="00BC3563"/>
    <w:rsid w:val="00BC3677"/>
    <w:rsid w:val="00BC4B99"/>
    <w:rsid w:val="00BC6794"/>
    <w:rsid w:val="00BC6F8F"/>
    <w:rsid w:val="00BC730B"/>
    <w:rsid w:val="00BC7AB1"/>
    <w:rsid w:val="00BC7ACD"/>
    <w:rsid w:val="00BC7C23"/>
    <w:rsid w:val="00BD0750"/>
    <w:rsid w:val="00BD0CA0"/>
    <w:rsid w:val="00BD0E33"/>
    <w:rsid w:val="00BD1D83"/>
    <w:rsid w:val="00BD29E2"/>
    <w:rsid w:val="00BD35F1"/>
    <w:rsid w:val="00BD37BA"/>
    <w:rsid w:val="00BD383C"/>
    <w:rsid w:val="00BD4CCC"/>
    <w:rsid w:val="00BD5EB2"/>
    <w:rsid w:val="00BD601C"/>
    <w:rsid w:val="00BD609B"/>
    <w:rsid w:val="00BD68FA"/>
    <w:rsid w:val="00BD6B3D"/>
    <w:rsid w:val="00BD70AE"/>
    <w:rsid w:val="00BD734C"/>
    <w:rsid w:val="00BE0DCB"/>
    <w:rsid w:val="00BE1227"/>
    <w:rsid w:val="00BE1859"/>
    <w:rsid w:val="00BE1A96"/>
    <w:rsid w:val="00BE213C"/>
    <w:rsid w:val="00BE24E9"/>
    <w:rsid w:val="00BE28C7"/>
    <w:rsid w:val="00BE2D0C"/>
    <w:rsid w:val="00BE2F05"/>
    <w:rsid w:val="00BE35F6"/>
    <w:rsid w:val="00BE396B"/>
    <w:rsid w:val="00BE4180"/>
    <w:rsid w:val="00BE4695"/>
    <w:rsid w:val="00BE499A"/>
    <w:rsid w:val="00BE4A14"/>
    <w:rsid w:val="00BE538C"/>
    <w:rsid w:val="00BE63D8"/>
    <w:rsid w:val="00BE6738"/>
    <w:rsid w:val="00BE756C"/>
    <w:rsid w:val="00BE7822"/>
    <w:rsid w:val="00BE7934"/>
    <w:rsid w:val="00BE7AC2"/>
    <w:rsid w:val="00BF01F1"/>
    <w:rsid w:val="00BF04AD"/>
    <w:rsid w:val="00BF07D6"/>
    <w:rsid w:val="00BF0D2C"/>
    <w:rsid w:val="00BF1740"/>
    <w:rsid w:val="00BF175C"/>
    <w:rsid w:val="00BF1BFC"/>
    <w:rsid w:val="00BF2184"/>
    <w:rsid w:val="00BF2F85"/>
    <w:rsid w:val="00BF35E4"/>
    <w:rsid w:val="00BF381C"/>
    <w:rsid w:val="00BF3B26"/>
    <w:rsid w:val="00BF41D3"/>
    <w:rsid w:val="00BF4733"/>
    <w:rsid w:val="00BF498B"/>
    <w:rsid w:val="00BF4E26"/>
    <w:rsid w:val="00BF4EB8"/>
    <w:rsid w:val="00BF5D42"/>
    <w:rsid w:val="00BF6690"/>
    <w:rsid w:val="00BF75F5"/>
    <w:rsid w:val="00BF7E99"/>
    <w:rsid w:val="00C002F0"/>
    <w:rsid w:val="00C00469"/>
    <w:rsid w:val="00C0047B"/>
    <w:rsid w:val="00C010FA"/>
    <w:rsid w:val="00C016D5"/>
    <w:rsid w:val="00C01BB0"/>
    <w:rsid w:val="00C03FC3"/>
    <w:rsid w:val="00C042FB"/>
    <w:rsid w:val="00C05075"/>
    <w:rsid w:val="00C05422"/>
    <w:rsid w:val="00C05541"/>
    <w:rsid w:val="00C0591B"/>
    <w:rsid w:val="00C0643E"/>
    <w:rsid w:val="00C06515"/>
    <w:rsid w:val="00C06FD8"/>
    <w:rsid w:val="00C076A5"/>
    <w:rsid w:val="00C07AE4"/>
    <w:rsid w:val="00C10107"/>
    <w:rsid w:val="00C107DD"/>
    <w:rsid w:val="00C10E4A"/>
    <w:rsid w:val="00C10F84"/>
    <w:rsid w:val="00C11958"/>
    <w:rsid w:val="00C11D58"/>
    <w:rsid w:val="00C11E76"/>
    <w:rsid w:val="00C129C1"/>
    <w:rsid w:val="00C13EC6"/>
    <w:rsid w:val="00C14145"/>
    <w:rsid w:val="00C1428D"/>
    <w:rsid w:val="00C14872"/>
    <w:rsid w:val="00C14D49"/>
    <w:rsid w:val="00C15346"/>
    <w:rsid w:val="00C15E18"/>
    <w:rsid w:val="00C16712"/>
    <w:rsid w:val="00C16DA8"/>
    <w:rsid w:val="00C17D16"/>
    <w:rsid w:val="00C202DC"/>
    <w:rsid w:val="00C20431"/>
    <w:rsid w:val="00C20D32"/>
    <w:rsid w:val="00C20DA8"/>
    <w:rsid w:val="00C20DF3"/>
    <w:rsid w:val="00C20E3D"/>
    <w:rsid w:val="00C21563"/>
    <w:rsid w:val="00C21792"/>
    <w:rsid w:val="00C21910"/>
    <w:rsid w:val="00C2200C"/>
    <w:rsid w:val="00C224D0"/>
    <w:rsid w:val="00C22E4B"/>
    <w:rsid w:val="00C22EF9"/>
    <w:rsid w:val="00C23BC5"/>
    <w:rsid w:val="00C23E65"/>
    <w:rsid w:val="00C240D2"/>
    <w:rsid w:val="00C24886"/>
    <w:rsid w:val="00C24960"/>
    <w:rsid w:val="00C24A19"/>
    <w:rsid w:val="00C24A20"/>
    <w:rsid w:val="00C25770"/>
    <w:rsid w:val="00C2607D"/>
    <w:rsid w:val="00C2636E"/>
    <w:rsid w:val="00C268C6"/>
    <w:rsid w:val="00C27F83"/>
    <w:rsid w:val="00C3055A"/>
    <w:rsid w:val="00C3074B"/>
    <w:rsid w:val="00C30904"/>
    <w:rsid w:val="00C3121C"/>
    <w:rsid w:val="00C3156C"/>
    <w:rsid w:val="00C3188A"/>
    <w:rsid w:val="00C318AF"/>
    <w:rsid w:val="00C321FC"/>
    <w:rsid w:val="00C324F0"/>
    <w:rsid w:val="00C3267E"/>
    <w:rsid w:val="00C327BC"/>
    <w:rsid w:val="00C33824"/>
    <w:rsid w:val="00C3385B"/>
    <w:rsid w:val="00C34193"/>
    <w:rsid w:val="00C35323"/>
    <w:rsid w:val="00C35747"/>
    <w:rsid w:val="00C35A2D"/>
    <w:rsid w:val="00C3671C"/>
    <w:rsid w:val="00C368B2"/>
    <w:rsid w:val="00C36FB7"/>
    <w:rsid w:val="00C37102"/>
    <w:rsid w:val="00C37A49"/>
    <w:rsid w:val="00C40D09"/>
    <w:rsid w:val="00C418AB"/>
    <w:rsid w:val="00C4227F"/>
    <w:rsid w:val="00C42FB1"/>
    <w:rsid w:val="00C43770"/>
    <w:rsid w:val="00C43AD5"/>
    <w:rsid w:val="00C43DB2"/>
    <w:rsid w:val="00C43F3C"/>
    <w:rsid w:val="00C44B2F"/>
    <w:rsid w:val="00C4508E"/>
    <w:rsid w:val="00C45EA1"/>
    <w:rsid w:val="00C46905"/>
    <w:rsid w:val="00C4786D"/>
    <w:rsid w:val="00C47DE2"/>
    <w:rsid w:val="00C50543"/>
    <w:rsid w:val="00C505BA"/>
    <w:rsid w:val="00C5157D"/>
    <w:rsid w:val="00C52CEE"/>
    <w:rsid w:val="00C52F9A"/>
    <w:rsid w:val="00C530B7"/>
    <w:rsid w:val="00C53C97"/>
    <w:rsid w:val="00C54C3C"/>
    <w:rsid w:val="00C55C52"/>
    <w:rsid w:val="00C56DA7"/>
    <w:rsid w:val="00C56EA1"/>
    <w:rsid w:val="00C57439"/>
    <w:rsid w:val="00C5752E"/>
    <w:rsid w:val="00C57A01"/>
    <w:rsid w:val="00C57A60"/>
    <w:rsid w:val="00C57C31"/>
    <w:rsid w:val="00C60065"/>
    <w:rsid w:val="00C61102"/>
    <w:rsid w:val="00C620C3"/>
    <w:rsid w:val="00C624A9"/>
    <w:rsid w:val="00C6290A"/>
    <w:rsid w:val="00C62B22"/>
    <w:rsid w:val="00C63304"/>
    <w:rsid w:val="00C63BC0"/>
    <w:rsid w:val="00C63D7F"/>
    <w:rsid w:val="00C64D09"/>
    <w:rsid w:val="00C65AE0"/>
    <w:rsid w:val="00C661CD"/>
    <w:rsid w:val="00C666AD"/>
    <w:rsid w:val="00C66925"/>
    <w:rsid w:val="00C66F8A"/>
    <w:rsid w:val="00C66FFA"/>
    <w:rsid w:val="00C670B9"/>
    <w:rsid w:val="00C6779C"/>
    <w:rsid w:val="00C67BA4"/>
    <w:rsid w:val="00C70746"/>
    <w:rsid w:val="00C7112E"/>
    <w:rsid w:val="00C71A7E"/>
    <w:rsid w:val="00C71C06"/>
    <w:rsid w:val="00C72540"/>
    <w:rsid w:val="00C7346A"/>
    <w:rsid w:val="00C736A6"/>
    <w:rsid w:val="00C737D4"/>
    <w:rsid w:val="00C73BEB"/>
    <w:rsid w:val="00C73F09"/>
    <w:rsid w:val="00C74BE6"/>
    <w:rsid w:val="00C7524C"/>
    <w:rsid w:val="00C75D57"/>
    <w:rsid w:val="00C766FC"/>
    <w:rsid w:val="00C76C34"/>
    <w:rsid w:val="00C76D6D"/>
    <w:rsid w:val="00C771A9"/>
    <w:rsid w:val="00C7724A"/>
    <w:rsid w:val="00C776FD"/>
    <w:rsid w:val="00C80033"/>
    <w:rsid w:val="00C8020F"/>
    <w:rsid w:val="00C804E2"/>
    <w:rsid w:val="00C811C0"/>
    <w:rsid w:val="00C81555"/>
    <w:rsid w:val="00C81842"/>
    <w:rsid w:val="00C8225E"/>
    <w:rsid w:val="00C82E09"/>
    <w:rsid w:val="00C8345E"/>
    <w:rsid w:val="00C83948"/>
    <w:rsid w:val="00C83FC0"/>
    <w:rsid w:val="00C84351"/>
    <w:rsid w:val="00C845DF"/>
    <w:rsid w:val="00C848BA"/>
    <w:rsid w:val="00C84F98"/>
    <w:rsid w:val="00C852CD"/>
    <w:rsid w:val="00C85392"/>
    <w:rsid w:val="00C85810"/>
    <w:rsid w:val="00C85A6D"/>
    <w:rsid w:val="00C85C14"/>
    <w:rsid w:val="00C8625A"/>
    <w:rsid w:val="00C863E3"/>
    <w:rsid w:val="00C86576"/>
    <w:rsid w:val="00C867A0"/>
    <w:rsid w:val="00C86A07"/>
    <w:rsid w:val="00C871C2"/>
    <w:rsid w:val="00C8799A"/>
    <w:rsid w:val="00C903B9"/>
    <w:rsid w:val="00C9086C"/>
    <w:rsid w:val="00C90D16"/>
    <w:rsid w:val="00C91B89"/>
    <w:rsid w:val="00C91C46"/>
    <w:rsid w:val="00C925B9"/>
    <w:rsid w:val="00C93087"/>
    <w:rsid w:val="00C93944"/>
    <w:rsid w:val="00C9424C"/>
    <w:rsid w:val="00C94660"/>
    <w:rsid w:val="00C94796"/>
    <w:rsid w:val="00C94C8D"/>
    <w:rsid w:val="00C955D7"/>
    <w:rsid w:val="00C95F4E"/>
    <w:rsid w:val="00C9623E"/>
    <w:rsid w:val="00C96502"/>
    <w:rsid w:val="00C971AB"/>
    <w:rsid w:val="00C9724C"/>
    <w:rsid w:val="00C97CB1"/>
    <w:rsid w:val="00CA043B"/>
    <w:rsid w:val="00CA062B"/>
    <w:rsid w:val="00CA0CFC"/>
    <w:rsid w:val="00CA1D40"/>
    <w:rsid w:val="00CA2076"/>
    <w:rsid w:val="00CA2207"/>
    <w:rsid w:val="00CA2E6A"/>
    <w:rsid w:val="00CA301A"/>
    <w:rsid w:val="00CA3970"/>
    <w:rsid w:val="00CA3981"/>
    <w:rsid w:val="00CA3BBD"/>
    <w:rsid w:val="00CA46A4"/>
    <w:rsid w:val="00CA476E"/>
    <w:rsid w:val="00CA4B8E"/>
    <w:rsid w:val="00CA4CB1"/>
    <w:rsid w:val="00CA5A78"/>
    <w:rsid w:val="00CA689A"/>
    <w:rsid w:val="00CA68D4"/>
    <w:rsid w:val="00CB0479"/>
    <w:rsid w:val="00CB08BD"/>
    <w:rsid w:val="00CB0A16"/>
    <w:rsid w:val="00CB0B62"/>
    <w:rsid w:val="00CB1696"/>
    <w:rsid w:val="00CB1852"/>
    <w:rsid w:val="00CB1DCD"/>
    <w:rsid w:val="00CB22FC"/>
    <w:rsid w:val="00CB2774"/>
    <w:rsid w:val="00CB2A32"/>
    <w:rsid w:val="00CB2F96"/>
    <w:rsid w:val="00CB32CE"/>
    <w:rsid w:val="00CB3AE4"/>
    <w:rsid w:val="00CB4562"/>
    <w:rsid w:val="00CB47F9"/>
    <w:rsid w:val="00CB4CD7"/>
    <w:rsid w:val="00CB5679"/>
    <w:rsid w:val="00CB5713"/>
    <w:rsid w:val="00CB60AD"/>
    <w:rsid w:val="00CB68A2"/>
    <w:rsid w:val="00CB731B"/>
    <w:rsid w:val="00CB73FA"/>
    <w:rsid w:val="00CB75D1"/>
    <w:rsid w:val="00CB77D5"/>
    <w:rsid w:val="00CB7F3B"/>
    <w:rsid w:val="00CC01EB"/>
    <w:rsid w:val="00CC02A5"/>
    <w:rsid w:val="00CC03BF"/>
    <w:rsid w:val="00CC06A8"/>
    <w:rsid w:val="00CC0A7F"/>
    <w:rsid w:val="00CC150E"/>
    <w:rsid w:val="00CC25FD"/>
    <w:rsid w:val="00CC2CA2"/>
    <w:rsid w:val="00CC327F"/>
    <w:rsid w:val="00CC474A"/>
    <w:rsid w:val="00CC4785"/>
    <w:rsid w:val="00CC4C03"/>
    <w:rsid w:val="00CC4E6E"/>
    <w:rsid w:val="00CC4FB3"/>
    <w:rsid w:val="00CC5B01"/>
    <w:rsid w:val="00CC61AA"/>
    <w:rsid w:val="00CC71A0"/>
    <w:rsid w:val="00CC75C2"/>
    <w:rsid w:val="00CC778A"/>
    <w:rsid w:val="00CC7F41"/>
    <w:rsid w:val="00CD0246"/>
    <w:rsid w:val="00CD0842"/>
    <w:rsid w:val="00CD0D42"/>
    <w:rsid w:val="00CD157B"/>
    <w:rsid w:val="00CD1836"/>
    <w:rsid w:val="00CD20D5"/>
    <w:rsid w:val="00CD23D6"/>
    <w:rsid w:val="00CD2421"/>
    <w:rsid w:val="00CD2656"/>
    <w:rsid w:val="00CD2DCD"/>
    <w:rsid w:val="00CD2E5F"/>
    <w:rsid w:val="00CD31A5"/>
    <w:rsid w:val="00CD365A"/>
    <w:rsid w:val="00CD3F18"/>
    <w:rsid w:val="00CD45E3"/>
    <w:rsid w:val="00CD4B8D"/>
    <w:rsid w:val="00CD4ECA"/>
    <w:rsid w:val="00CD51D2"/>
    <w:rsid w:val="00CD5857"/>
    <w:rsid w:val="00CD5FFD"/>
    <w:rsid w:val="00CD688F"/>
    <w:rsid w:val="00CD75DE"/>
    <w:rsid w:val="00CD7B0A"/>
    <w:rsid w:val="00CD7CC3"/>
    <w:rsid w:val="00CE02E6"/>
    <w:rsid w:val="00CE1043"/>
    <w:rsid w:val="00CE1AC9"/>
    <w:rsid w:val="00CE1F54"/>
    <w:rsid w:val="00CE31E5"/>
    <w:rsid w:val="00CE3214"/>
    <w:rsid w:val="00CE3564"/>
    <w:rsid w:val="00CE42A1"/>
    <w:rsid w:val="00CE488E"/>
    <w:rsid w:val="00CE4E08"/>
    <w:rsid w:val="00CE528E"/>
    <w:rsid w:val="00CE6528"/>
    <w:rsid w:val="00CE6B16"/>
    <w:rsid w:val="00CE6BB0"/>
    <w:rsid w:val="00CE6F27"/>
    <w:rsid w:val="00CE79FE"/>
    <w:rsid w:val="00CE7E16"/>
    <w:rsid w:val="00CF010F"/>
    <w:rsid w:val="00CF027F"/>
    <w:rsid w:val="00CF072B"/>
    <w:rsid w:val="00CF0ADD"/>
    <w:rsid w:val="00CF0AFE"/>
    <w:rsid w:val="00CF0D20"/>
    <w:rsid w:val="00CF0DE7"/>
    <w:rsid w:val="00CF28EE"/>
    <w:rsid w:val="00CF3159"/>
    <w:rsid w:val="00CF3488"/>
    <w:rsid w:val="00CF402D"/>
    <w:rsid w:val="00CF431B"/>
    <w:rsid w:val="00CF49E3"/>
    <w:rsid w:val="00CF4CD4"/>
    <w:rsid w:val="00CF5577"/>
    <w:rsid w:val="00CF5BF6"/>
    <w:rsid w:val="00CF62A8"/>
    <w:rsid w:val="00CF6DF4"/>
    <w:rsid w:val="00CF6EA7"/>
    <w:rsid w:val="00CF7684"/>
    <w:rsid w:val="00D0093A"/>
    <w:rsid w:val="00D011F0"/>
    <w:rsid w:val="00D01731"/>
    <w:rsid w:val="00D0212E"/>
    <w:rsid w:val="00D04F7B"/>
    <w:rsid w:val="00D0512C"/>
    <w:rsid w:val="00D058AF"/>
    <w:rsid w:val="00D06211"/>
    <w:rsid w:val="00D06E9F"/>
    <w:rsid w:val="00D06FFF"/>
    <w:rsid w:val="00D0795F"/>
    <w:rsid w:val="00D07B7D"/>
    <w:rsid w:val="00D07CAD"/>
    <w:rsid w:val="00D07D59"/>
    <w:rsid w:val="00D113E7"/>
    <w:rsid w:val="00D116F0"/>
    <w:rsid w:val="00D119B8"/>
    <w:rsid w:val="00D11B26"/>
    <w:rsid w:val="00D11E6A"/>
    <w:rsid w:val="00D122BD"/>
    <w:rsid w:val="00D12A77"/>
    <w:rsid w:val="00D12E24"/>
    <w:rsid w:val="00D1347B"/>
    <w:rsid w:val="00D13ADD"/>
    <w:rsid w:val="00D13CD4"/>
    <w:rsid w:val="00D14332"/>
    <w:rsid w:val="00D148FB"/>
    <w:rsid w:val="00D15178"/>
    <w:rsid w:val="00D15B0C"/>
    <w:rsid w:val="00D167E6"/>
    <w:rsid w:val="00D169DA"/>
    <w:rsid w:val="00D16F9B"/>
    <w:rsid w:val="00D17611"/>
    <w:rsid w:val="00D17E36"/>
    <w:rsid w:val="00D21A5A"/>
    <w:rsid w:val="00D22863"/>
    <w:rsid w:val="00D22A36"/>
    <w:rsid w:val="00D23502"/>
    <w:rsid w:val="00D24778"/>
    <w:rsid w:val="00D24D4F"/>
    <w:rsid w:val="00D25ADF"/>
    <w:rsid w:val="00D25BE6"/>
    <w:rsid w:val="00D25C2E"/>
    <w:rsid w:val="00D25FFA"/>
    <w:rsid w:val="00D264A4"/>
    <w:rsid w:val="00D26727"/>
    <w:rsid w:val="00D268A9"/>
    <w:rsid w:val="00D26E87"/>
    <w:rsid w:val="00D27086"/>
    <w:rsid w:val="00D27CDB"/>
    <w:rsid w:val="00D3012A"/>
    <w:rsid w:val="00D30458"/>
    <w:rsid w:val="00D30B67"/>
    <w:rsid w:val="00D30D2F"/>
    <w:rsid w:val="00D31529"/>
    <w:rsid w:val="00D3190D"/>
    <w:rsid w:val="00D31A06"/>
    <w:rsid w:val="00D31B78"/>
    <w:rsid w:val="00D3345B"/>
    <w:rsid w:val="00D33974"/>
    <w:rsid w:val="00D346EB"/>
    <w:rsid w:val="00D35DEF"/>
    <w:rsid w:val="00D362D1"/>
    <w:rsid w:val="00D36FEC"/>
    <w:rsid w:val="00D370B0"/>
    <w:rsid w:val="00D3723B"/>
    <w:rsid w:val="00D377B1"/>
    <w:rsid w:val="00D37996"/>
    <w:rsid w:val="00D37AF6"/>
    <w:rsid w:val="00D37D43"/>
    <w:rsid w:val="00D37DF7"/>
    <w:rsid w:val="00D37E01"/>
    <w:rsid w:val="00D37FEF"/>
    <w:rsid w:val="00D405B2"/>
    <w:rsid w:val="00D4101C"/>
    <w:rsid w:val="00D411AB"/>
    <w:rsid w:val="00D41BD7"/>
    <w:rsid w:val="00D41C9A"/>
    <w:rsid w:val="00D41E32"/>
    <w:rsid w:val="00D42078"/>
    <w:rsid w:val="00D4227E"/>
    <w:rsid w:val="00D42CC1"/>
    <w:rsid w:val="00D42F6C"/>
    <w:rsid w:val="00D43A1F"/>
    <w:rsid w:val="00D43E29"/>
    <w:rsid w:val="00D44755"/>
    <w:rsid w:val="00D447B7"/>
    <w:rsid w:val="00D452CD"/>
    <w:rsid w:val="00D45EDA"/>
    <w:rsid w:val="00D46126"/>
    <w:rsid w:val="00D464AF"/>
    <w:rsid w:val="00D5020B"/>
    <w:rsid w:val="00D5095D"/>
    <w:rsid w:val="00D50BB5"/>
    <w:rsid w:val="00D50DFF"/>
    <w:rsid w:val="00D512A4"/>
    <w:rsid w:val="00D5138A"/>
    <w:rsid w:val="00D51A7A"/>
    <w:rsid w:val="00D521C2"/>
    <w:rsid w:val="00D52CA1"/>
    <w:rsid w:val="00D53401"/>
    <w:rsid w:val="00D5370C"/>
    <w:rsid w:val="00D53A72"/>
    <w:rsid w:val="00D54213"/>
    <w:rsid w:val="00D54510"/>
    <w:rsid w:val="00D54E5C"/>
    <w:rsid w:val="00D54F96"/>
    <w:rsid w:val="00D5509A"/>
    <w:rsid w:val="00D55302"/>
    <w:rsid w:val="00D57027"/>
    <w:rsid w:val="00D578DF"/>
    <w:rsid w:val="00D579C3"/>
    <w:rsid w:val="00D60147"/>
    <w:rsid w:val="00D60DEF"/>
    <w:rsid w:val="00D6114F"/>
    <w:rsid w:val="00D6142F"/>
    <w:rsid w:val="00D614D6"/>
    <w:rsid w:val="00D61D9D"/>
    <w:rsid w:val="00D62056"/>
    <w:rsid w:val="00D6217D"/>
    <w:rsid w:val="00D6231B"/>
    <w:rsid w:val="00D62D22"/>
    <w:rsid w:val="00D62DFA"/>
    <w:rsid w:val="00D63142"/>
    <w:rsid w:val="00D63ACC"/>
    <w:rsid w:val="00D64AE6"/>
    <w:rsid w:val="00D654E1"/>
    <w:rsid w:val="00D65603"/>
    <w:rsid w:val="00D66949"/>
    <w:rsid w:val="00D67077"/>
    <w:rsid w:val="00D67217"/>
    <w:rsid w:val="00D67A60"/>
    <w:rsid w:val="00D70016"/>
    <w:rsid w:val="00D70178"/>
    <w:rsid w:val="00D701D4"/>
    <w:rsid w:val="00D7100B"/>
    <w:rsid w:val="00D7105D"/>
    <w:rsid w:val="00D71336"/>
    <w:rsid w:val="00D71461"/>
    <w:rsid w:val="00D71471"/>
    <w:rsid w:val="00D71C56"/>
    <w:rsid w:val="00D73C72"/>
    <w:rsid w:val="00D73DDB"/>
    <w:rsid w:val="00D7519D"/>
    <w:rsid w:val="00D75281"/>
    <w:rsid w:val="00D75B25"/>
    <w:rsid w:val="00D760D5"/>
    <w:rsid w:val="00D7657C"/>
    <w:rsid w:val="00D76BAD"/>
    <w:rsid w:val="00D76E8B"/>
    <w:rsid w:val="00D7706C"/>
    <w:rsid w:val="00D77433"/>
    <w:rsid w:val="00D77966"/>
    <w:rsid w:val="00D80347"/>
    <w:rsid w:val="00D80517"/>
    <w:rsid w:val="00D80F0E"/>
    <w:rsid w:val="00D810BB"/>
    <w:rsid w:val="00D81801"/>
    <w:rsid w:val="00D8205D"/>
    <w:rsid w:val="00D82A69"/>
    <w:rsid w:val="00D82D66"/>
    <w:rsid w:val="00D83023"/>
    <w:rsid w:val="00D83237"/>
    <w:rsid w:val="00D839FC"/>
    <w:rsid w:val="00D844C1"/>
    <w:rsid w:val="00D845C6"/>
    <w:rsid w:val="00D846FB"/>
    <w:rsid w:val="00D84E58"/>
    <w:rsid w:val="00D8567A"/>
    <w:rsid w:val="00D86512"/>
    <w:rsid w:val="00D86695"/>
    <w:rsid w:val="00D867A8"/>
    <w:rsid w:val="00D86A06"/>
    <w:rsid w:val="00D86ABB"/>
    <w:rsid w:val="00D86AD8"/>
    <w:rsid w:val="00D86C54"/>
    <w:rsid w:val="00D87080"/>
    <w:rsid w:val="00D87110"/>
    <w:rsid w:val="00D87115"/>
    <w:rsid w:val="00D879C1"/>
    <w:rsid w:val="00D90803"/>
    <w:rsid w:val="00D90A77"/>
    <w:rsid w:val="00D90BA1"/>
    <w:rsid w:val="00D912D6"/>
    <w:rsid w:val="00D91911"/>
    <w:rsid w:val="00D91B8A"/>
    <w:rsid w:val="00D921F7"/>
    <w:rsid w:val="00D92633"/>
    <w:rsid w:val="00D92EB3"/>
    <w:rsid w:val="00D9376B"/>
    <w:rsid w:val="00D93E53"/>
    <w:rsid w:val="00D9449B"/>
    <w:rsid w:val="00D94A33"/>
    <w:rsid w:val="00D9543D"/>
    <w:rsid w:val="00D958D0"/>
    <w:rsid w:val="00D97110"/>
    <w:rsid w:val="00D97CB3"/>
    <w:rsid w:val="00DA037D"/>
    <w:rsid w:val="00DA182E"/>
    <w:rsid w:val="00DA1E23"/>
    <w:rsid w:val="00DA32AF"/>
    <w:rsid w:val="00DA33EF"/>
    <w:rsid w:val="00DA35AD"/>
    <w:rsid w:val="00DA3EAD"/>
    <w:rsid w:val="00DA4370"/>
    <w:rsid w:val="00DA477A"/>
    <w:rsid w:val="00DA4973"/>
    <w:rsid w:val="00DA5172"/>
    <w:rsid w:val="00DA5259"/>
    <w:rsid w:val="00DA545B"/>
    <w:rsid w:val="00DA67B4"/>
    <w:rsid w:val="00DA6B61"/>
    <w:rsid w:val="00DA6CF4"/>
    <w:rsid w:val="00DA70E8"/>
    <w:rsid w:val="00DA73AF"/>
    <w:rsid w:val="00DA7CFE"/>
    <w:rsid w:val="00DB0056"/>
    <w:rsid w:val="00DB016D"/>
    <w:rsid w:val="00DB0DD9"/>
    <w:rsid w:val="00DB152B"/>
    <w:rsid w:val="00DB30F4"/>
    <w:rsid w:val="00DB3A12"/>
    <w:rsid w:val="00DB3D95"/>
    <w:rsid w:val="00DB40C6"/>
    <w:rsid w:val="00DB49CD"/>
    <w:rsid w:val="00DB59FC"/>
    <w:rsid w:val="00DB6E07"/>
    <w:rsid w:val="00DB7113"/>
    <w:rsid w:val="00DB73D7"/>
    <w:rsid w:val="00DB7ED2"/>
    <w:rsid w:val="00DC0138"/>
    <w:rsid w:val="00DC0D2B"/>
    <w:rsid w:val="00DC1926"/>
    <w:rsid w:val="00DC1937"/>
    <w:rsid w:val="00DC1A8F"/>
    <w:rsid w:val="00DC1A98"/>
    <w:rsid w:val="00DC1C01"/>
    <w:rsid w:val="00DC1E36"/>
    <w:rsid w:val="00DC1FFA"/>
    <w:rsid w:val="00DC2886"/>
    <w:rsid w:val="00DC2BBB"/>
    <w:rsid w:val="00DC3012"/>
    <w:rsid w:val="00DC390F"/>
    <w:rsid w:val="00DC3A85"/>
    <w:rsid w:val="00DC4BC8"/>
    <w:rsid w:val="00DC55EF"/>
    <w:rsid w:val="00DC5DB6"/>
    <w:rsid w:val="00DC6C74"/>
    <w:rsid w:val="00DC7C54"/>
    <w:rsid w:val="00DD2301"/>
    <w:rsid w:val="00DD2520"/>
    <w:rsid w:val="00DD26EB"/>
    <w:rsid w:val="00DD2863"/>
    <w:rsid w:val="00DD28FB"/>
    <w:rsid w:val="00DD30CB"/>
    <w:rsid w:val="00DD3791"/>
    <w:rsid w:val="00DD3A1E"/>
    <w:rsid w:val="00DD4752"/>
    <w:rsid w:val="00DD488F"/>
    <w:rsid w:val="00DD4D46"/>
    <w:rsid w:val="00DD4DAF"/>
    <w:rsid w:val="00DD5948"/>
    <w:rsid w:val="00DD6294"/>
    <w:rsid w:val="00DD67E5"/>
    <w:rsid w:val="00DD6A57"/>
    <w:rsid w:val="00DD6DE4"/>
    <w:rsid w:val="00DD7215"/>
    <w:rsid w:val="00DD733A"/>
    <w:rsid w:val="00DD7848"/>
    <w:rsid w:val="00DD7EAF"/>
    <w:rsid w:val="00DD7F81"/>
    <w:rsid w:val="00DE0FBE"/>
    <w:rsid w:val="00DE1343"/>
    <w:rsid w:val="00DE1A30"/>
    <w:rsid w:val="00DE1B18"/>
    <w:rsid w:val="00DE1D5F"/>
    <w:rsid w:val="00DE1DCD"/>
    <w:rsid w:val="00DE20F1"/>
    <w:rsid w:val="00DE21F5"/>
    <w:rsid w:val="00DE2445"/>
    <w:rsid w:val="00DE2792"/>
    <w:rsid w:val="00DE2EB4"/>
    <w:rsid w:val="00DE34E7"/>
    <w:rsid w:val="00DE357C"/>
    <w:rsid w:val="00DE37A4"/>
    <w:rsid w:val="00DE38E9"/>
    <w:rsid w:val="00DE3A21"/>
    <w:rsid w:val="00DE3CE5"/>
    <w:rsid w:val="00DE4063"/>
    <w:rsid w:val="00DE408F"/>
    <w:rsid w:val="00DE43C1"/>
    <w:rsid w:val="00DE472C"/>
    <w:rsid w:val="00DE5F1B"/>
    <w:rsid w:val="00DE6D7A"/>
    <w:rsid w:val="00DE6EB9"/>
    <w:rsid w:val="00DE7B6E"/>
    <w:rsid w:val="00DF074F"/>
    <w:rsid w:val="00DF0BAD"/>
    <w:rsid w:val="00DF12B3"/>
    <w:rsid w:val="00DF1613"/>
    <w:rsid w:val="00DF1A16"/>
    <w:rsid w:val="00DF1C08"/>
    <w:rsid w:val="00DF21F4"/>
    <w:rsid w:val="00DF2583"/>
    <w:rsid w:val="00DF26B1"/>
    <w:rsid w:val="00DF2AF3"/>
    <w:rsid w:val="00DF2CE5"/>
    <w:rsid w:val="00DF2E7F"/>
    <w:rsid w:val="00DF3158"/>
    <w:rsid w:val="00DF3219"/>
    <w:rsid w:val="00DF3CC5"/>
    <w:rsid w:val="00DF3DA5"/>
    <w:rsid w:val="00DF4506"/>
    <w:rsid w:val="00DF4FB9"/>
    <w:rsid w:val="00DF6037"/>
    <w:rsid w:val="00DF6B4D"/>
    <w:rsid w:val="00DF72B0"/>
    <w:rsid w:val="00DF781D"/>
    <w:rsid w:val="00E0085F"/>
    <w:rsid w:val="00E00C25"/>
    <w:rsid w:val="00E01A40"/>
    <w:rsid w:val="00E01CA7"/>
    <w:rsid w:val="00E029D7"/>
    <w:rsid w:val="00E02E95"/>
    <w:rsid w:val="00E033BA"/>
    <w:rsid w:val="00E03692"/>
    <w:rsid w:val="00E0382F"/>
    <w:rsid w:val="00E03980"/>
    <w:rsid w:val="00E041EC"/>
    <w:rsid w:val="00E047AD"/>
    <w:rsid w:val="00E05696"/>
    <w:rsid w:val="00E058EE"/>
    <w:rsid w:val="00E06676"/>
    <w:rsid w:val="00E06A0D"/>
    <w:rsid w:val="00E075BD"/>
    <w:rsid w:val="00E075DE"/>
    <w:rsid w:val="00E07761"/>
    <w:rsid w:val="00E07AA3"/>
    <w:rsid w:val="00E07AB5"/>
    <w:rsid w:val="00E105F3"/>
    <w:rsid w:val="00E10F2D"/>
    <w:rsid w:val="00E11BF2"/>
    <w:rsid w:val="00E11DB0"/>
    <w:rsid w:val="00E1213E"/>
    <w:rsid w:val="00E12CBB"/>
    <w:rsid w:val="00E12CC4"/>
    <w:rsid w:val="00E12D6C"/>
    <w:rsid w:val="00E12EDF"/>
    <w:rsid w:val="00E13509"/>
    <w:rsid w:val="00E13597"/>
    <w:rsid w:val="00E1448C"/>
    <w:rsid w:val="00E14610"/>
    <w:rsid w:val="00E14B7B"/>
    <w:rsid w:val="00E14D04"/>
    <w:rsid w:val="00E15B76"/>
    <w:rsid w:val="00E16067"/>
    <w:rsid w:val="00E163C6"/>
    <w:rsid w:val="00E164F4"/>
    <w:rsid w:val="00E16B28"/>
    <w:rsid w:val="00E16D2F"/>
    <w:rsid w:val="00E16F51"/>
    <w:rsid w:val="00E17B40"/>
    <w:rsid w:val="00E17D6E"/>
    <w:rsid w:val="00E17F71"/>
    <w:rsid w:val="00E21224"/>
    <w:rsid w:val="00E21351"/>
    <w:rsid w:val="00E224A9"/>
    <w:rsid w:val="00E229FE"/>
    <w:rsid w:val="00E22E57"/>
    <w:rsid w:val="00E22E87"/>
    <w:rsid w:val="00E2360B"/>
    <w:rsid w:val="00E2361F"/>
    <w:rsid w:val="00E23C52"/>
    <w:rsid w:val="00E23C67"/>
    <w:rsid w:val="00E23CEF"/>
    <w:rsid w:val="00E23D0D"/>
    <w:rsid w:val="00E25459"/>
    <w:rsid w:val="00E25A89"/>
    <w:rsid w:val="00E2631F"/>
    <w:rsid w:val="00E26A6B"/>
    <w:rsid w:val="00E27665"/>
    <w:rsid w:val="00E278AC"/>
    <w:rsid w:val="00E27BEE"/>
    <w:rsid w:val="00E30324"/>
    <w:rsid w:val="00E3046D"/>
    <w:rsid w:val="00E3052B"/>
    <w:rsid w:val="00E30544"/>
    <w:rsid w:val="00E30E0B"/>
    <w:rsid w:val="00E31710"/>
    <w:rsid w:val="00E3180D"/>
    <w:rsid w:val="00E31A16"/>
    <w:rsid w:val="00E32188"/>
    <w:rsid w:val="00E327EE"/>
    <w:rsid w:val="00E328D8"/>
    <w:rsid w:val="00E32CE2"/>
    <w:rsid w:val="00E32D37"/>
    <w:rsid w:val="00E33C12"/>
    <w:rsid w:val="00E33F65"/>
    <w:rsid w:val="00E34142"/>
    <w:rsid w:val="00E3495E"/>
    <w:rsid w:val="00E35C74"/>
    <w:rsid w:val="00E37289"/>
    <w:rsid w:val="00E3750A"/>
    <w:rsid w:val="00E37667"/>
    <w:rsid w:val="00E378C0"/>
    <w:rsid w:val="00E406DA"/>
    <w:rsid w:val="00E40ADA"/>
    <w:rsid w:val="00E415FC"/>
    <w:rsid w:val="00E4170E"/>
    <w:rsid w:val="00E43398"/>
    <w:rsid w:val="00E43C5A"/>
    <w:rsid w:val="00E43FB8"/>
    <w:rsid w:val="00E44028"/>
    <w:rsid w:val="00E44214"/>
    <w:rsid w:val="00E44A83"/>
    <w:rsid w:val="00E44B43"/>
    <w:rsid w:val="00E44BFF"/>
    <w:rsid w:val="00E44C59"/>
    <w:rsid w:val="00E44EBC"/>
    <w:rsid w:val="00E4549D"/>
    <w:rsid w:val="00E45634"/>
    <w:rsid w:val="00E45BF2"/>
    <w:rsid w:val="00E45DEA"/>
    <w:rsid w:val="00E45FB4"/>
    <w:rsid w:val="00E47684"/>
    <w:rsid w:val="00E50C4C"/>
    <w:rsid w:val="00E51829"/>
    <w:rsid w:val="00E52439"/>
    <w:rsid w:val="00E526A3"/>
    <w:rsid w:val="00E52A46"/>
    <w:rsid w:val="00E5350C"/>
    <w:rsid w:val="00E54291"/>
    <w:rsid w:val="00E5459C"/>
    <w:rsid w:val="00E549C2"/>
    <w:rsid w:val="00E54C6D"/>
    <w:rsid w:val="00E557B5"/>
    <w:rsid w:val="00E56BD8"/>
    <w:rsid w:val="00E56F3C"/>
    <w:rsid w:val="00E57B6A"/>
    <w:rsid w:val="00E60952"/>
    <w:rsid w:val="00E60A48"/>
    <w:rsid w:val="00E61098"/>
    <w:rsid w:val="00E61AA0"/>
    <w:rsid w:val="00E61E23"/>
    <w:rsid w:val="00E620A6"/>
    <w:rsid w:val="00E6210D"/>
    <w:rsid w:val="00E62171"/>
    <w:rsid w:val="00E62768"/>
    <w:rsid w:val="00E629C4"/>
    <w:rsid w:val="00E632F9"/>
    <w:rsid w:val="00E6369F"/>
    <w:rsid w:val="00E6462C"/>
    <w:rsid w:val="00E65BCA"/>
    <w:rsid w:val="00E66365"/>
    <w:rsid w:val="00E668A0"/>
    <w:rsid w:val="00E70BF0"/>
    <w:rsid w:val="00E70D4D"/>
    <w:rsid w:val="00E71702"/>
    <w:rsid w:val="00E7174E"/>
    <w:rsid w:val="00E719D3"/>
    <w:rsid w:val="00E720D0"/>
    <w:rsid w:val="00E720FE"/>
    <w:rsid w:val="00E72A86"/>
    <w:rsid w:val="00E72C29"/>
    <w:rsid w:val="00E73583"/>
    <w:rsid w:val="00E74C89"/>
    <w:rsid w:val="00E74EE7"/>
    <w:rsid w:val="00E76782"/>
    <w:rsid w:val="00E76956"/>
    <w:rsid w:val="00E76FD7"/>
    <w:rsid w:val="00E77030"/>
    <w:rsid w:val="00E779CB"/>
    <w:rsid w:val="00E80193"/>
    <w:rsid w:val="00E80B80"/>
    <w:rsid w:val="00E80F03"/>
    <w:rsid w:val="00E814BC"/>
    <w:rsid w:val="00E81603"/>
    <w:rsid w:val="00E81A4E"/>
    <w:rsid w:val="00E83D1B"/>
    <w:rsid w:val="00E84AB4"/>
    <w:rsid w:val="00E84B48"/>
    <w:rsid w:val="00E84EBF"/>
    <w:rsid w:val="00E856F6"/>
    <w:rsid w:val="00E8590A"/>
    <w:rsid w:val="00E85F38"/>
    <w:rsid w:val="00E861A8"/>
    <w:rsid w:val="00E86ED2"/>
    <w:rsid w:val="00E87629"/>
    <w:rsid w:val="00E87846"/>
    <w:rsid w:val="00E87853"/>
    <w:rsid w:val="00E90423"/>
    <w:rsid w:val="00E9047F"/>
    <w:rsid w:val="00E90602"/>
    <w:rsid w:val="00E90630"/>
    <w:rsid w:val="00E91273"/>
    <w:rsid w:val="00E91621"/>
    <w:rsid w:val="00E917E3"/>
    <w:rsid w:val="00E91C47"/>
    <w:rsid w:val="00E91D47"/>
    <w:rsid w:val="00E92935"/>
    <w:rsid w:val="00E92D6D"/>
    <w:rsid w:val="00E94323"/>
    <w:rsid w:val="00E949D3"/>
    <w:rsid w:val="00E950B7"/>
    <w:rsid w:val="00E96473"/>
    <w:rsid w:val="00E9686D"/>
    <w:rsid w:val="00E96A08"/>
    <w:rsid w:val="00E97928"/>
    <w:rsid w:val="00E97A5E"/>
    <w:rsid w:val="00E97B27"/>
    <w:rsid w:val="00EA01C2"/>
    <w:rsid w:val="00EA060C"/>
    <w:rsid w:val="00EA0D57"/>
    <w:rsid w:val="00EA0E45"/>
    <w:rsid w:val="00EA1EAD"/>
    <w:rsid w:val="00EA205B"/>
    <w:rsid w:val="00EA20FA"/>
    <w:rsid w:val="00EA4582"/>
    <w:rsid w:val="00EA4907"/>
    <w:rsid w:val="00EA4974"/>
    <w:rsid w:val="00EA4A2E"/>
    <w:rsid w:val="00EA5618"/>
    <w:rsid w:val="00EA56B3"/>
    <w:rsid w:val="00EA6303"/>
    <w:rsid w:val="00EA66CD"/>
    <w:rsid w:val="00EA6872"/>
    <w:rsid w:val="00EA6B90"/>
    <w:rsid w:val="00EA6EA1"/>
    <w:rsid w:val="00EA7A0F"/>
    <w:rsid w:val="00EB04B5"/>
    <w:rsid w:val="00EB0F0D"/>
    <w:rsid w:val="00EB1073"/>
    <w:rsid w:val="00EB199B"/>
    <w:rsid w:val="00EB210B"/>
    <w:rsid w:val="00EB269D"/>
    <w:rsid w:val="00EB2979"/>
    <w:rsid w:val="00EB39F9"/>
    <w:rsid w:val="00EB3BCE"/>
    <w:rsid w:val="00EB3C82"/>
    <w:rsid w:val="00EB3E3A"/>
    <w:rsid w:val="00EB47E5"/>
    <w:rsid w:val="00EB537C"/>
    <w:rsid w:val="00EB53A3"/>
    <w:rsid w:val="00EB5877"/>
    <w:rsid w:val="00EB5BA4"/>
    <w:rsid w:val="00EB5CAD"/>
    <w:rsid w:val="00EB621E"/>
    <w:rsid w:val="00EB65A1"/>
    <w:rsid w:val="00EB6633"/>
    <w:rsid w:val="00EB684B"/>
    <w:rsid w:val="00EB6AA5"/>
    <w:rsid w:val="00EB7939"/>
    <w:rsid w:val="00EB7C89"/>
    <w:rsid w:val="00EC0DD2"/>
    <w:rsid w:val="00EC0E73"/>
    <w:rsid w:val="00EC0F63"/>
    <w:rsid w:val="00EC1543"/>
    <w:rsid w:val="00EC23B5"/>
    <w:rsid w:val="00EC2C2F"/>
    <w:rsid w:val="00EC2CF2"/>
    <w:rsid w:val="00EC3159"/>
    <w:rsid w:val="00EC323A"/>
    <w:rsid w:val="00EC34E3"/>
    <w:rsid w:val="00EC3D4A"/>
    <w:rsid w:val="00EC4820"/>
    <w:rsid w:val="00EC5DD1"/>
    <w:rsid w:val="00EC6830"/>
    <w:rsid w:val="00EC70F7"/>
    <w:rsid w:val="00EC7C78"/>
    <w:rsid w:val="00EC7EB7"/>
    <w:rsid w:val="00ED053F"/>
    <w:rsid w:val="00ED0DE8"/>
    <w:rsid w:val="00ED1925"/>
    <w:rsid w:val="00ED1A2D"/>
    <w:rsid w:val="00ED241C"/>
    <w:rsid w:val="00ED28D4"/>
    <w:rsid w:val="00ED2F2E"/>
    <w:rsid w:val="00ED2F32"/>
    <w:rsid w:val="00ED3319"/>
    <w:rsid w:val="00ED3A50"/>
    <w:rsid w:val="00ED3CFE"/>
    <w:rsid w:val="00ED3E46"/>
    <w:rsid w:val="00ED456E"/>
    <w:rsid w:val="00ED46D7"/>
    <w:rsid w:val="00ED4E9D"/>
    <w:rsid w:val="00ED542F"/>
    <w:rsid w:val="00ED6A8D"/>
    <w:rsid w:val="00ED6B2E"/>
    <w:rsid w:val="00ED710B"/>
    <w:rsid w:val="00ED7133"/>
    <w:rsid w:val="00EE11F8"/>
    <w:rsid w:val="00EE224B"/>
    <w:rsid w:val="00EE27E2"/>
    <w:rsid w:val="00EE2819"/>
    <w:rsid w:val="00EE2C81"/>
    <w:rsid w:val="00EE2EC4"/>
    <w:rsid w:val="00EE38B4"/>
    <w:rsid w:val="00EE392A"/>
    <w:rsid w:val="00EE3F23"/>
    <w:rsid w:val="00EE5921"/>
    <w:rsid w:val="00EE59ED"/>
    <w:rsid w:val="00EE6168"/>
    <w:rsid w:val="00EE6853"/>
    <w:rsid w:val="00EE6BD8"/>
    <w:rsid w:val="00EE6C9F"/>
    <w:rsid w:val="00EE710C"/>
    <w:rsid w:val="00EE79BC"/>
    <w:rsid w:val="00EE7E5F"/>
    <w:rsid w:val="00EF00D9"/>
    <w:rsid w:val="00EF02B0"/>
    <w:rsid w:val="00EF04B9"/>
    <w:rsid w:val="00EF067D"/>
    <w:rsid w:val="00EF105D"/>
    <w:rsid w:val="00EF16C3"/>
    <w:rsid w:val="00EF1824"/>
    <w:rsid w:val="00EF201C"/>
    <w:rsid w:val="00EF24F5"/>
    <w:rsid w:val="00EF251D"/>
    <w:rsid w:val="00EF2565"/>
    <w:rsid w:val="00EF27D0"/>
    <w:rsid w:val="00EF28B1"/>
    <w:rsid w:val="00EF2D88"/>
    <w:rsid w:val="00EF2DE8"/>
    <w:rsid w:val="00EF32F6"/>
    <w:rsid w:val="00EF4580"/>
    <w:rsid w:val="00EF539F"/>
    <w:rsid w:val="00EF5C32"/>
    <w:rsid w:val="00EF6600"/>
    <w:rsid w:val="00EF662C"/>
    <w:rsid w:val="00EF6928"/>
    <w:rsid w:val="00EF7AE2"/>
    <w:rsid w:val="00F016E4"/>
    <w:rsid w:val="00F01B75"/>
    <w:rsid w:val="00F0245D"/>
    <w:rsid w:val="00F0268A"/>
    <w:rsid w:val="00F03C06"/>
    <w:rsid w:val="00F04097"/>
    <w:rsid w:val="00F045E2"/>
    <w:rsid w:val="00F05409"/>
    <w:rsid w:val="00F059B9"/>
    <w:rsid w:val="00F06448"/>
    <w:rsid w:val="00F0689B"/>
    <w:rsid w:val="00F06C5A"/>
    <w:rsid w:val="00F06E52"/>
    <w:rsid w:val="00F06F62"/>
    <w:rsid w:val="00F07EC3"/>
    <w:rsid w:val="00F100E0"/>
    <w:rsid w:val="00F10625"/>
    <w:rsid w:val="00F1079D"/>
    <w:rsid w:val="00F11209"/>
    <w:rsid w:val="00F11C39"/>
    <w:rsid w:val="00F11CEB"/>
    <w:rsid w:val="00F1248F"/>
    <w:rsid w:val="00F1264C"/>
    <w:rsid w:val="00F1327D"/>
    <w:rsid w:val="00F13573"/>
    <w:rsid w:val="00F13B7A"/>
    <w:rsid w:val="00F14060"/>
    <w:rsid w:val="00F14673"/>
    <w:rsid w:val="00F1469A"/>
    <w:rsid w:val="00F1480E"/>
    <w:rsid w:val="00F149A3"/>
    <w:rsid w:val="00F15443"/>
    <w:rsid w:val="00F1575F"/>
    <w:rsid w:val="00F15BD1"/>
    <w:rsid w:val="00F161F9"/>
    <w:rsid w:val="00F1677E"/>
    <w:rsid w:val="00F16E82"/>
    <w:rsid w:val="00F1767B"/>
    <w:rsid w:val="00F1784C"/>
    <w:rsid w:val="00F17CF5"/>
    <w:rsid w:val="00F200EA"/>
    <w:rsid w:val="00F20E6E"/>
    <w:rsid w:val="00F211C1"/>
    <w:rsid w:val="00F21EEB"/>
    <w:rsid w:val="00F2227D"/>
    <w:rsid w:val="00F22A44"/>
    <w:rsid w:val="00F23077"/>
    <w:rsid w:val="00F234F2"/>
    <w:rsid w:val="00F25592"/>
    <w:rsid w:val="00F25F15"/>
    <w:rsid w:val="00F26877"/>
    <w:rsid w:val="00F27BD9"/>
    <w:rsid w:val="00F30013"/>
    <w:rsid w:val="00F30562"/>
    <w:rsid w:val="00F30CB3"/>
    <w:rsid w:val="00F30E40"/>
    <w:rsid w:val="00F3163A"/>
    <w:rsid w:val="00F31A97"/>
    <w:rsid w:val="00F320EB"/>
    <w:rsid w:val="00F3231E"/>
    <w:rsid w:val="00F32530"/>
    <w:rsid w:val="00F32E30"/>
    <w:rsid w:val="00F3312F"/>
    <w:rsid w:val="00F3344A"/>
    <w:rsid w:val="00F335B5"/>
    <w:rsid w:val="00F3372C"/>
    <w:rsid w:val="00F33FEC"/>
    <w:rsid w:val="00F345BB"/>
    <w:rsid w:val="00F35842"/>
    <w:rsid w:val="00F36501"/>
    <w:rsid w:val="00F3664B"/>
    <w:rsid w:val="00F36694"/>
    <w:rsid w:val="00F36CD4"/>
    <w:rsid w:val="00F3767D"/>
    <w:rsid w:val="00F40360"/>
    <w:rsid w:val="00F4093E"/>
    <w:rsid w:val="00F40C8A"/>
    <w:rsid w:val="00F4170C"/>
    <w:rsid w:val="00F41879"/>
    <w:rsid w:val="00F419B1"/>
    <w:rsid w:val="00F41CFF"/>
    <w:rsid w:val="00F42010"/>
    <w:rsid w:val="00F4243B"/>
    <w:rsid w:val="00F42646"/>
    <w:rsid w:val="00F42EA6"/>
    <w:rsid w:val="00F43598"/>
    <w:rsid w:val="00F43A0D"/>
    <w:rsid w:val="00F44038"/>
    <w:rsid w:val="00F45BBF"/>
    <w:rsid w:val="00F4667C"/>
    <w:rsid w:val="00F46963"/>
    <w:rsid w:val="00F47047"/>
    <w:rsid w:val="00F50392"/>
    <w:rsid w:val="00F50828"/>
    <w:rsid w:val="00F50906"/>
    <w:rsid w:val="00F50AA7"/>
    <w:rsid w:val="00F5101E"/>
    <w:rsid w:val="00F52798"/>
    <w:rsid w:val="00F53002"/>
    <w:rsid w:val="00F53C02"/>
    <w:rsid w:val="00F54714"/>
    <w:rsid w:val="00F54B91"/>
    <w:rsid w:val="00F54BA2"/>
    <w:rsid w:val="00F55175"/>
    <w:rsid w:val="00F558D4"/>
    <w:rsid w:val="00F55FFC"/>
    <w:rsid w:val="00F56F60"/>
    <w:rsid w:val="00F577C6"/>
    <w:rsid w:val="00F57800"/>
    <w:rsid w:val="00F603F5"/>
    <w:rsid w:val="00F6185D"/>
    <w:rsid w:val="00F61E12"/>
    <w:rsid w:val="00F62238"/>
    <w:rsid w:val="00F62391"/>
    <w:rsid w:val="00F62A2D"/>
    <w:rsid w:val="00F63A0E"/>
    <w:rsid w:val="00F642E8"/>
    <w:rsid w:val="00F6463A"/>
    <w:rsid w:val="00F64954"/>
    <w:rsid w:val="00F64B72"/>
    <w:rsid w:val="00F64FC3"/>
    <w:rsid w:val="00F65A96"/>
    <w:rsid w:val="00F65B4B"/>
    <w:rsid w:val="00F66F43"/>
    <w:rsid w:val="00F7113A"/>
    <w:rsid w:val="00F7132A"/>
    <w:rsid w:val="00F721EA"/>
    <w:rsid w:val="00F72B0E"/>
    <w:rsid w:val="00F72BF8"/>
    <w:rsid w:val="00F72D40"/>
    <w:rsid w:val="00F72F42"/>
    <w:rsid w:val="00F731D2"/>
    <w:rsid w:val="00F736AF"/>
    <w:rsid w:val="00F736F8"/>
    <w:rsid w:val="00F73A5D"/>
    <w:rsid w:val="00F73C9D"/>
    <w:rsid w:val="00F73E94"/>
    <w:rsid w:val="00F74D09"/>
    <w:rsid w:val="00F74FA0"/>
    <w:rsid w:val="00F75320"/>
    <w:rsid w:val="00F756F1"/>
    <w:rsid w:val="00F757DF"/>
    <w:rsid w:val="00F75913"/>
    <w:rsid w:val="00F76030"/>
    <w:rsid w:val="00F76222"/>
    <w:rsid w:val="00F76D63"/>
    <w:rsid w:val="00F77748"/>
    <w:rsid w:val="00F77E2A"/>
    <w:rsid w:val="00F8050A"/>
    <w:rsid w:val="00F80C8A"/>
    <w:rsid w:val="00F81169"/>
    <w:rsid w:val="00F81852"/>
    <w:rsid w:val="00F819D7"/>
    <w:rsid w:val="00F82251"/>
    <w:rsid w:val="00F82588"/>
    <w:rsid w:val="00F83339"/>
    <w:rsid w:val="00F83651"/>
    <w:rsid w:val="00F83660"/>
    <w:rsid w:val="00F847D1"/>
    <w:rsid w:val="00F84CA9"/>
    <w:rsid w:val="00F85A8A"/>
    <w:rsid w:val="00F85E5F"/>
    <w:rsid w:val="00F8681C"/>
    <w:rsid w:val="00F8690B"/>
    <w:rsid w:val="00F86C07"/>
    <w:rsid w:val="00F8714E"/>
    <w:rsid w:val="00F87671"/>
    <w:rsid w:val="00F87A7C"/>
    <w:rsid w:val="00F90A06"/>
    <w:rsid w:val="00F912FF"/>
    <w:rsid w:val="00F92E4A"/>
    <w:rsid w:val="00F93C2D"/>
    <w:rsid w:val="00F9431A"/>
    <w:rsid w:val="00F94CF3"/>
    <w:rsid w:val="00F957C9"/>
    <w:rsid w:val="00F96182"/>
    <w:rsid w:val="00F963DA"/>
    <w:rsid w:val="00F9643D"/>
    <w:rsid w:val="00F9658B"/>
    <w:rsid w:val="00F967F7"/>
    <w:rsid w:val="00FA0D6C"/>
    <w:rsid w:val="00FA106A"/>
    <w:rsid w:val="00FA1F78"/>
    <w:rsid w:val="00FA2038"/>
    <w:rsid w:val="00FA20B1"/>
    <w:rsid w:val="00FA2240"/>
    <w:rsid w:val="00FA27B3"/>
    <w:rsid w:val="00FA343C"/>
    <w:rsid w:val="00FA4C0A"/>
    <w:rsid w:val="00FA5B44"/>
    <w:rsid w:val="00FA6220"/>
    <w:rsid w:val="00FA68B5"/>
    <w:rsid w:val="00FA6E3B"/>
    <w:rsid w:val="00FA7753"/>
    <w:rsid w:val="00FA77BD"/>
    <w:rsid w:val="00FA7D8F"/>
    <w:rsid w:val="00FB06B8"/>
    <w:rsid w:val="00FB0D75"/>
    <w:rsid w:val="00FB13CA"/>
    <w:rsid w:val="00FB188E"/>
    <w:rsid w:val="00FB20FB"/>
    <w:rsid w:val="00FB21C9"/>
    <w:rsid w:val="00FB240E"/>
    <w:rsid w:val="00FB280F"/>
    <w:rsid w:val="00FB3415"/>
    <w:rsid w:val="00FB35FD"/>
    <w:rsid w:val="00FB44B4"/>
    <w:rsid w:val="00FB5AF6"/>
    <w:rsid w:val="00FB5E5B"/>
    <w:rsid w:val="00FB674F"/>
    <w:rsid w:val="00FB791F"/>
    <w:rsid w:val="00FB7943"/>
    <w:rsid w:val="00FB7C6D"/>
    <w:rsid w:val="00FB7F47"/>
    <w:rsid w:val="00FC197D"/>
    <w:rsid w:val="00FC1A59"/>
    <w:rsid w:val="00FC1B2C"/>
    <w:rsid w:val="00FC2034"/>
    <w:rsid w:val="00FC247E"/>
    <w:rsid w:val="00FC2DF9"/>
    <w:rsid w:val="00FC317E"/>
    <w:rsid w:val="00FC3FA0"/>
    <w:rsid w:val="00FC49E2"/>
    <w:rsid w:val="00FC503A"/>
    <w:rsid w:val="00FC58F4"/>
    <w:rsid w:val="00FC630C"/>
    <w:rsid w:val="00FC6452"/>
    <w:rsid w:val="00FC6D9B"/>
    <w:rsid w:val="00FC6FB3"/>
    <w:rsid w:val="00FC7517"/>
    <w:rsid w:val="00FC7661"/>
    <w:rsid w:val="00FC77EA"/>
    <w:rsid w:val="00FC799F"/>
    <w:rsid w:val="00FD0020"/>
    <w:rsid w:val="00FD0637"/>
    <w:rsid w:val="00FD11D9"/>
    <w:rsid w:val="00FD11F8"/>
    <w:rsid w:val="00FD1613"/>
    <w:rsid w:val="00FD16AB"/>
    <w:rsid w:val="00FD2229"/>
    <w:rsid w:val="00FD2812"/>
    <w:rsid w:val="00FD36F8"/>
    <w:rsid w:val="00FD4326"/>
    <w:rsid w:val="00FD4BC6"/>
    <w:rsid w:val="00FD5C7D"/>
    <w:rsid w:val="00FD6A99"/>
    <w:rsid w:val="00FD733E"/>
    <w:rsid w:val="00FD798A"/>
    <w:rsid w:val="00FE03F1"/>
    <w:rsid w:val="00FE098C"/>
    <w:rsid w:val="00FE0AF5"/>
    <w:rsid w:val="00FE0D21"/>
    <w:rsid w:val="00FE162B"/>
    <w:rsid w:val="00FE21E9"/>
    <w:rsid w:val="00FE25D9"/>
    <w:rsid w:val="00FE2952"/>
    <w:rsid w:val="00FE2D16"/>
    <w:rsid w:val="00FE2F77"/>
    <w:rsid w:val="00FE31B2"/>
    <w:rsid w:val="00FE3480"/>
    <w:rsid w:val="00FE3716"/>
    <w:rsid w:val="00FE3ABE"/>
    <w:rsid w:val="00FE3BFE"/>
    <w:rsid w:val="00FE4D74"/>
    <w:rsid w:val="00FE4D95"/>
    <w:rsid w:val="00FE559F"/>
    <w:rsid w:val="00FE5CD6"/>
    <w:rsid w:val="00FE7473"/>
    <w:rsid w:val="00FE779B"/>
    <w:rsid w:val="00FF0CD1"/>
    <w:rsid w:val="00FF14A6"/>
    <w:rsid w:val="00FF33A9"/>
    <w:rsid w:val="00FF3582"/>
    <w:rsid w:val="00FF380B"/>
    <w:rsid w:val="00FF3907"/>
    <w:rsid w:val="00FF3BC9"/>
    <w:rsid w:val="00FF4F68"/>
    <w:rsid w:val="00FF5044"/>
    <w:rsid w:val="00FF52A9"/>
    <w:rsid w:val="00FF52DE"/>
    <w:rsid w:val="00FF565C"/>
    <w:rsid w:val="00FF58A0"/>
    <w:rsid w:val="00FF5F0C"/>
    <w:rsid w:val="00FF601C"/>
    <w:rsid w:val="00FF64BE"/>
    <w:rsid w:val="00FF6E2B"/>
    <w:rsid w:val="00FF70B5"/>
    <w:rsid w:val="00FF7189"/>
    <w:rsid w:val="00FF7721"/>
    <w:rsid w:val="00FF7F30"/>
    <w:rsid w:val="0118A860"/>
    <w:rsid w:val="011A11A4"/>
    <w:rsid w:val="014B5B44"/>
    <w:rsid w:val="01732FF7"/>
    <w:rsid w:val="018C5F7F"/>
    <w:rsid w:val="01AD3593"/>
    <w:rsid w:val="01BE4069"/>
    <w:rsid w:val="01BE5800"/>
    <w:rsid w:val="01E46F65"/>
    <w:rsid w:val="025973D7"/>
    <w:rsid w:val="0271BFDE"/>
    <w:rsid w:val="028B3562"/>
    <w:rsid w:val="02E536DD"/>
    <w:rsid w:val="03F06C42"/>
    <w:rsid w:val="040079AE"/>
    <w:rsid w:val="041B3357"/>
    <w:rsid w:val="042229AA"/>
    <w:rsid w:val="049517D7"/>
    <w:rsid w:val="04C34346"/>
    <w:rsid w:val="04E30437"/>
    <w:rsid w:val="04FADE03"/>
    <w:rsid w:val="0529E1D9"/>
    <w:rsid w:val="05F41FAA"/>
    <w:rsid w:val="063B78DC"/>
    <w:rsid w:val="0677AF97"/>
    <w:rsid w:val="06D304F5"/>
    <w:rsid w:val="06DA21BD"/>
    <w:rsid w:val="076E0F6D"/>
    <w:rsid w:val="07C32D66"/>
    <w:rsid w:val="07E84F31"/>
    <w:rsid w:val="08042CA2"/>
    <w:rsid w:val="0839529D"/>
    <w:rsid w:val="09104908"/>
    <w:rsid w:val="09974C33"/>
    <w:rsid w:val="09B82947"/>
    <w:rsid w:val="0A1E3833"/>
    <w:rsid w:val="0BF958C7"/>
    <w:rsid w:val="0C3F3332"/>
    <w:rsid w:val="0C5A09A9"/>
    <w:rsid w:val="0CA74AB3"/>
    <w:rsid w:val="0CDB719E"/>
    <w:rsid w:val="0D8E7515"/>
    <w:rsid w:val="0E0812B7"/>
    <w:rsid w:val="0E101224"/>
    <w:rsid w:val="0EAB6A73"/>
    <w:rsid w:val="0F1B27AD"/>
    <w:rsid w:val="0F43D5C0"/>
    <w:rsid w:val="0F4D0707"/>
    <w:rsid w:val="0FBA2A45"/>
    <w:rsid w:val="0FC41654"/>
    <w:rsid w:val="0FDE7285"/>
    <w:rsid w:val="10237ED5"/>
    <w:rsid w:val="102D5D9F"/>
    <w:rsid w:val="10625788"/>
    <w:rsid w:val="107178D3"/>
    <w:rsid w:val="10780DAA"/>
    <w:rsid w:val="10A275BE"/>
    <w:rsid w:val="10C3457E"/>
    <w:rsid w:val="11001AA9"/>
    <w:rsid w:val="110F1949"/>
    <w:rsid w:val="118C2ED5"/>
    <w:rsid w:val="11B83D31"/>
    <w:rsid w:val="121C431D"/>
    <w:rsid w:val="12243AF9"/>
    <w:rsid w:val="12335798"/>
    <w:rsid w:val="1254303F"/>
    <w:rsid w:val="12795B29"/>
    <w:rsid w:val="12AF0CEE"/>
    <w:rsid w:val="12F62B63"/>
    <w:rsid w:val="12F65FB9"/>
    <w:rsid w:val="131608FE"/>
    <w:rsid w:val="13696837"/>
    <w:rsid w:val="138F005F"/>
    <w:rsid w:val="13B31AEC"/>
    <w:rsid w:val="13EC1DBC"/>
    <w:rsid w:val="13FE3FBA"/>
    <w:rsid w:val="140E1568"/>
    <w:rsid w:val="1426F396"/>
    <w:rsid w:val="14404369"/>
    <w:rsid w:val="14537573"/>
    <w:rsid w:val="145B52BE"/>
    <w:rsid w:val="14C41433"/>
    <w:rsid w:val="14D9243A"/>
    <w:rsid w:val="15596D76"/>
    <w:rsid w:val="155A07E5"/>
    <w:rsid w:val="156F3647"/>
    <w:rsid w:val="158847C9"/>
    <w:rsid w:val="15FCE6AF"/>
    <w:rsid w:val="16AF5EF2"/>
    <w:rsid w:val="16DC407B"/>
    <w:rsid w:val="16DF1825"/>
    <w:rsid w:val="174D30E3"/>
    <w:rsid w:val="175D674F"/>
    <w:rsid w:val="17722FCA"/>
    <w:rsid w:val="17CC5555"/>
    <w:rsid w:val="17CD2550"/>
    <w:rsid w:val="17DF655D"/>
    <w:rsid w:val="18070DCC"/>
    <w:rsid w:val="18114189"/>
    <w:rsid w:val="183E3BAB"/>
    <w:rsid w:val="18784728"/>
    <w:rsid w:val="18F043F5"/>
    <w:rsid w:val="18F06F2D"/>
    <w:rsid w:val="191B1D19"/>
    <w:rsid w:val="19A54F18"/>
    <w:rsid w:val="19A93E34"/>
    <w:rsid w:val="19AD7F51"/>
    <w:rsid w:val="19C8201F"/>
    <w:rsid w:val="1BA50D14"/>
    <w:rsid w:val="1BA677E7"/>
    <w:rsid w:val="1C0748A3"/>
    <w:rsid w:val="1C0EE26A"/>
    <w:rsid w:val="1C0F5E7D"/>
    <w:rsid w:val="1C106C8E"/>
    <w:rsid w:val="1C625D30"/>
    <w:rsid w:val="1C7671E3"/>
    <w:rsid w:val="1C777601"/>
    <w:rsid w:val="1C7C1B1A"/>
    <w:rsid w:val="1C8A493E"/>
    <w:rsid w:val="1CCB6998"/>
    <w:rsid w:val="1CD6623F"/>
    <w:rsid w:val="1CEA0C42"/>
    <w:rsid w:val="1CF90898"/>
    <w:rsid w:val="1CFA0FE7"/>
    <w:rsid w:val="1D8C69C4"/>
    <w:rsid w:val="1DA04F9C"/>
    <w:rsid w:val="1E1C7C6C"/>
    <w:rsid w:val="1E4A2A2F"/>
    <w:rsid w:val="1E786F00"/>
    <w:rsid w:val="1EBB34DD"/>
    <w:rsid w:val="1F1F65F5"/>
    <w:rsid w:val="1F343C02"/>
    <w:rsid w:val="1FAC7E53"/>
    <w:rsid w:val="20200378"/>
    <w:rsid w:val="203167D9"/>
    <w:rsid w:val="20517FE3"/>
    <w:rsid w:val="20A416ED"/>
    <w:rsid w:val="20A52531"/>
    <w:rsid w:val="20CE2C18"/>
    <w:rsid w:val="2127760C"/>
    <w:rsid w:val="215E7D2E"/>
    <w:rsid w:val="217C1DAF"/>
    <w:rsid w:val="218220DE"/>
    <w:rsid w:val="21DC5D53"/>
    <w:rsid w:val="222C76C6"/>
    <w:rsid w:val="22397A5A"/>
    <w:rsid w:val="22466CF3"/>
    <w:rsid w:val="22A344E7"/>
    <w:rsid w:val="22DE3197"/>
    <w:rsid w:val="22F92C47"/>
    <w:rsid w:val="230E0741"/>
    <w:rsid w:val="23392656"/>
    <w:rsid w:val="239F6FB1"/>
    <w:rsid w:val="23F63E16"/>
    <w:rsid w:val="24016243"/>
    <w:rsid w:val="243A32C2"/>
    <w:rsid w:val="245D4E8B"/>
    <w:rsid w:val="24702E0C"/>
    <w:rsid w:val="24FD478C"/>
    <w:rsid w:val="24FD656E"/>
    <w:rsid w:val="25093A3B"/>
    <w:rsid w:val="25236D0D"/>
    <w:rsid w:val="252F645D"/>
    <w:rsid w:val="258858A9"/>
    <w:rsid w:val="25AF38E8"/>
    <w:rsid w:val="264B4D7A"/>
    <w:rsid w:val="26550B6D"/>
    <w:rsid w:val="2662075D"/>
    <w:rsid w:val="26757E2C"/>
    <w:rsid w:val="26790701"/>
    <w:rsid w:val="26B24DF9"/>
    <w:rsid w:val="26CF2207"/>
    <w:rsid w:val="273508EE"/>
    <w:rsid w:val="27405073"/>
    <w:rsid w:val="27483692"/>
    <w:rsid w:val="276F6E45"/>
    <w:rsid w:val="278066D7"/>
    <w:rsid w:val="27827B0F"/>
    <w:rsid w:val="27886287"/>
    <w:rsid w:val="27F53526"/>
    <w:rsid w:val="27FA5E76"/>
    <w:rsid w:val="282E5DFB"/>
    <w:rsid w:val="28690FE5"/>
    <w:rsid w:val="288E2BD2"/>
    <w:rsid w:val="28911B25"/>
    <w:rsid w:val="28CF2F29"/>
    <w:rsid w:val="28DC50AB"/>
    <w:rsid w:val="28E55271"/>
    <w:rsid w:val="28E73FBA"/>
    <w:rsid w:val="2918129A"/>
    <w:rsid w:val="2923374B"/>
    <w:rsid w:val="292F2731"/>
    <w:rsid w:val="2947EB30"/>
    <w:rsid w:val="296C2B2B"/>
    <w:rsid w:val="29BD796F"/>
    <w:rsid w:val="29E560E7"/>
    <w:rsid w:val="2A776EBC"/>
    <w:rsid w:val="2AAC3644"/>
    <w:rsid w:val="2B2646C8"/>
    <w:rsid w:val="2B8946FF"/>
    <w:rsid w:val="2C0A4741"/>
    <w:rsid w:val="2C10BD6F"/>
    <w:rsid w:val="2C3D75C7"/>
    <w:rsid w:val="2CC71E7D"/>
    <w:rsid w:val="2CE66FD2"/>
    <w:rsid w:val="2CE77A69"/>
    <w:rsid w:val="2CF86E08"/>
    <w:rsid w:val="2D4D5DF5"/>
    <w:rsid w:val="2D9B15EF"/>
    <w:rsid w:val="2DCB2065"/>
    <w:rsid w:val="2E304308"/>
    <w:rsid w:val="2E4B52EA"/>
    <w:rsid w:val="2E601012"/>
    <w:rsid w:val="2E7413E7"/>
    <w:rsid w:val="2EB15D11"/>
    <w:rsid w:val="2EB26D79"/>
    <w:rsid w:val="2F576681"/>
    <w:rsid w:val="2F6C2033"/>
    <w:rsid w:val="2F6F49DA"/>
    <w:rsid w:val="2F7145F4"/>
    <w:rsid w:val="2FEC3DC6"/>
    <w:rsid w:val="30580298"/>
    <w:rsid w:val="30646F90"/>
    <w:rsid w:val="30CB0402"/>
    <w:rsid w:val="310B3A83"/>
    <w:rsid w:val="315B4F78"/>
    <w:rsid w:val="31E34E68"/>
    <w:rsid w:val="321F1798"/>
    <w:rsid w:val="324D2681"/>
    <w:rsid w:val="328A6C2A"/>
    <w:rsid w:val="328B5CE3"/>
    <w:rsid w:val="32963820"/>
    <w:rsid w:val="329704B3"/>
    <w:rsid w:val="32E367A8"/>
    <w:rsid w:val="32F51DE3"/>
    <w:rsid w:val="342972D8"/>
    <w:rsid w:val="34457450"/>
    <w:rsid w:val="349C4646"/>
    <w:rsid w:val="34E55995"/>
    <w:rsid w:val="35373F98"/>
    <w:rsid w:val="35CB7B32"/>
    <w:rsid w:val="363B7932"/>
    <w:rsid w:val="36D15C2A"/>
    <w:rsid w:val="36FA4BBC"/>
    <w:rsid w:val="371D61FE"/>
    <w:rsid w:val="374B5AC3"/>
    <w:rsid w:val="377F7586"/>
    <w:rsid w:val="37C94E00"/>
    <w:rsid w:val="37D15DD6"/>
    <w:rsid w:val="37EB4622"/>
    <w:rsid w:val="38187E4F"/>
    <w:rsid w:val="3820445B"/>
    <w:rsid w:val="38210467"/>
    <w:rsid w:val="38401B73"/>
    <w:rsid w:val="384B1D2A"/>
    <w:rsid w:val="38526D02"/>
    <w:rsid w:val="38682CDF"/>
    <w:rsid w:val="39780BBB"/>
    <w:rsid w:val="39A87210"/>
    <w:rsid w:val="39C8752D"/>
    <w:rsid w:val="39D617F2"/>
    <w:rsid w:val="3A294FE0"/>
    <w:rsid w:val="3AD15E18"/>
    <w:rsid w:val="3B731AB5"/>
    <w:rsid w:val="3B833738"/>
    <w:rsid w:val="3B874762"/>
    <w:rsid w:val="3C0C55DD"/>
    <w:rsid w:val="3C100CA3"/>
    <w:rsid w:val="3C2527C5"/>
    <w:rsid w:val="3C276692"/>
    <w:rsid w:val="3CBC3E20"/>
    <w:rsid w:val="3CD992A1"/>
    <w:rsid w:val="3D421B01"/>
    <w:rsid w:val="3D6F75C9"/>
    <w:rsid w:val="3DE90F01"/>
    <w:rsid w:val="3DEF050D"/>
    <w:rsid w:val="3E266E35"/>
    <w:rsid w:val="3E3B7662"/>
    <w:rsid w:val="3E722D1D"/>
    <w:rsid w:val="3E9426DD"/>
    <w:rsid w:val="3E994478"/>
    <w:rsid w:val="3EB750E8"/>
    <w:rsid w:val="3F10F889"/>
    <w:rsid w:val="3F4A39C9"/>
    <w:rsid w:val="3F50360E"/>
    <w:rsid w:val="3F7F04D5"/>
    <w:rsid w:val="407613E8"/>
    <w:rsid w:val="407E5AB6"/>
    <w:rsid w:val="40A005F0"/>
    <w:rsid w:val="40B21825"/>
    <w:rsid w:val="417E1386"/>
    <w:rsid w:val="422B6BF4"/>
    <w:rsid w:val="42347713"/>
    <w:rsid w:val="42996E2D"/>
    <w:rsid w:val="438871FD"/>
    <w:rsid w:val="438F729E"/>
    <w:rsid w:val="43B00A8F"/>
    <w:rsid w:val="44004073"/>
    <w:rsid w:val="4402033D"/>
    <w:rsid w:val="442619BB"/>
    <w:rsid w:val="442E5667"/>
    <w:rsid w:val="44525AF5"/>
    <w:rsid w:val="44E7409E"/>
    <w:rsid w:val="45511B47"/>
    <w:rsid w:val="45A15DDB"/>
    <w:rsid w:val="45B22926"/>
    <w:rsid w:val="45E86EAF"/>
    <w:rsid w:val="461C191B"/>
    <w:rsid w:val="46324FF4"/>
    <w:rsid w:val="4681712C"/>
    <w:rsid w:val="468B6718"/>
    <w:rsid w:val="473B23EB"/>
    <w:rsid w:val="475B5179"/>
    <w:rsid w:val="476C53A1"/>
    <w:rsid w:val="47B32EAB"/>
    <w:rsid w:val="47C40E8C"/>
    <w:rsid w:val="47CD234C"/>
    <w:rsid w:val="47FF0510"/>
    <w:rsid w:val="487D4E99"/>
    <w:rsid w:val="48B1218F"/>
    <w:rsid w:val="48B14AB0"/>
    <w:rsid w:val="48D6123C"/>
    <w:rsid w:val="49150F51"/>
    <w:rsid w:val="4939BEF4"/>
    <w:rsid w:val="49480BD4"/>
    <w:rsid w:val="49646A41"/>
    <w:rsid w:val="49901EC0"/>
    <w:rsid w:val="499F04DF"/>
    <w:rsid w:val="49CB3BFF"/>
    <w:rsid w:val="49F13145"/>
    <w:rsid w:val="49F34BEF"/>
    <w:rsid w:val="4A56432B"/>
    <w:rsid w:val="4A9D0607"/>
    <w:rsid w:val="4AA4619B"/>
    <w:rsid w:val="4AF235D2"/>
    <w:rsid w:val="4B0E369D"/>
    <w:rsid w:val="4B229D24"/>
    <w:rsid w:val="4B284D77"/>
    <w:rsid w:val="4B8F1F03"/>
    <w:rsid w:val="4BEC1507"/>
    <w:rsid w:val="4C1650A1"/>
    <w:rsid w:val="4C3850B5"/>
    <w:rsid w:val="4C617CD5"/>
    <w:rsid w:val="4C7E06ED"/>
    <w:rsid w:val="4CD363C9"/>
    <w:rsid w:val="4D2A5E42"/>
    <w:rsid w:val="4D3A18F3"/>
    <w:rsid w:val="4D7F6702"/>
    <w:rsid w:val="4DD6798F"/>
    <w:rsid w:val="4DEE0D8B"/>
    <w:rsid w:val="4E0604A5"/>
    <w:rsid w:val="4E3C33F9"/>
    <w:rsid w:val="4E7E6F42"/>
    <w:rsid w:val="4F123950"/>
    <w:rsid w:val="4F134C73"/>
    <w:rsid w:val="4FBE0C86"/>
    <w:rsid w:val="500DF6B3"/>
    <w:rsid w:val="507519D9"/>
    <w:rsid w:val="50B45146"/>
    <w:rsid w:val="50CD0916"/>
    <w:rsid w:val="50EC442B"/>
    <w:rsid w:val="50F352A5"/>
    <w:rsid w:val="52127D7D"/>
    <w:rsid w:val="522008F8"/>
    <w:rsid w:val="52412A63"/>
    <w:rsid w:val="531A62AE"/>
    <w:rsid w:val="53763D4D"/>
    <w:rsid w:val="54135280"/>
    <w:rsid w:val="541A41F1"/>
    <w:rsid w:val="548B75D1"/>
    <w:rsid w:val="54F523A5"/>
    <w:rsid w:val="5526139C"/>
    <w:rsid w:val="552B2D26"/>
    <w:rsid w:val="554E1470"/>
    <w:rsid w:val="556E61F7"/>
    <w:rsid w:val="55986D51"/>
    <w:rsid w:val="55D42624"/>
    <w:rsid w:val="55F24FE9"/>
    <w:rsid w:val="56133CA0"/>
    <w:rsid w:val="563A7E9B"/>
    <w:rsid w:val="5669B808"/>
    <w:rsid w:val="56DD4ABD"/>
    <w:rsid w:val="56E30533"/>
    <w:rsid w:val="5703231E"/>
    <w:rsid w:val="57116442"/>
    <w:rsid w:val="572C6A2C"/>
    <w:rsid w:val="573533D4"/>
    <w:rsid w:val="578D3493"/>
    <w:rsid w:val="57A4ABA2"/>
    <w:rsid w:val="57A676B1"/>
    <w:rsid w:val="57C57F93"/>
    <w:rsid w:val="57CA2B9C"/>
    <w:rsid w:val="582F1556"/>
    <w:rsid w:val="586A7A45"/>
    <w:rsid w:val="58914C8B"/>
    <w:rsid w:val="58E0ED01"/>
    <w:rsid w:val="58E3423E"/>
    <w:rsid w:val="58F23ED5"/>
    <w:rsid w:val="590B393D"/>
    <w:rsid w:val="5956205C"/>
    <w:rsid w:val="599E6CB8"/>
    <w:rsid w:val="59CA7788"/>
    <w:rsid w:val="59E031E2"/>
    <w:rsid w:val="5A0C6D35"/>
    <w:rsid w:val="5A185AC5"/>
    <w:rsid w:val="5A535EFA"/>
    <w:rsid w:val="5A5A3CC3"/>
    <w:rsid w:val="5AA974E8"/>
    <w:rsid w:val="5AEA1A4F"/>
    <w:rsid w:val="5B265683"/>
    <w:rsid w:val="5B703490"/>
    <w:rsid w:val="5B8340E7"/>
    <w:rsid w:val="5B8D0599"/>
    <w:rsid w:val="5B937814"/>
    <w:rsid w:val="5BA627EA"/>
    <w:rsid w:val="5BAA125C"/>
    <w:rsid w:val="5BCB6560"/>
    <w:rsid w:val="5C383C7A"/>
    <w:rsid w:val="5C6E79F1"/>
    <w:rsid w:val="5C713B4F"/>
    <w:rsid w:val="5C8657B1"/>
    <w:rsid w:val="5C9EF719"/>
    <w:rsid w:val="5CA73484"/>
    <w:rsid w:val="5CC01C6F"/>
    <w:rsid w:val="5CE5499C"/>
    <w:rsid w:val="5D77243C"/>
    <w:rsid w:val="5D83481E"/>
    <w:rsid w:val="5D8508FD"/>
    <w:rsid w:val="5DDC3385"/>
    <w:rsid w:val="5E193F22"/>
    <w:rsid w:val="5E2F13E4"/>
    <w:rsid w:val="5E7A8441"/>
    <w:rsid w:val="5EC546B7"/>
    <w:rsid w:val="5EE01513"/>
    <w:rsid w:val="5F2430B6"/>
    <w:rsid w:val="5F3961E5"/>
    <w:rsid w:val="5F41046B"/>
    <w:rsid w:val="5F5F691A"/>
    <w:rsid w:val="5F61759D"/>
    <w:rsid w:val="5FA9036D"/>
    <w:rsid w:val="5FB10815"/>
    <w:rsid w:val="5FB21A3E"/>
    <w:rsid w:val="5FE20A6A"/>
    <w:rsid w:val="5FE80DF1"/>
    <w:rsid w:val="60177949"/>
    <w:rsid w:val="602DD77D"/>
    <w:rsid w:val="60394F33"/>
    <w:rsid w:val="60593614"/>
    <w:rsid w:val="607A028C"/>
    <w:rsid w:val="60963254"/>
    <w:rsid w:val="60A9073B"/>
    <w:rsid w:val="60D86C2E"/>
    <w:rsid w:val="61055F69"/>
    <w:rsid w:val="614C3178"/>
    <w:rsid w:val="61904268"/>
    <w:rsid w:val="61922827"/>
    <w:rsid w:val="61985AAE"/>
    <w:rsid w:val="619B21A0"/>
    <w:rsid w:val="61A6252D"/>
    <w:rsid w:val="61BE26BF"/>
    <w:rsid w:val="61C95215"/>
    <w:rsid w:val="620863D2"/>
    <w:rsid w:val="620A442A"/>
    <w:rsid w:val="62130016"/>
    <w:rsid w:val="6217188D"/>
    <w:rsid w:val="622313C8"/>
    <w:rsid w:val="62507AF9"/>
    <w:rsid w:val="625DB8A5"/>
    <w:rsid w:val="626058BD"/>
    <w:rsid w:val="62B13E15"/>
    <w:rsid w:val="62D638A3"/>
    <w:rsid w:val="62D70238"/>
    <w:rsid w:val="634E5810"/>
    <w:rsid w:val="636320B5"/>
    <w:rsid w:val="639A2C3A"/>
    <w:rsid w:val="63A81226"/>
    <w:rsid w:val="63E039FE"/>
    <w:rsid w:val="63F40F38"/>
    <w:rsid w:val="640E2510"/>
    <w:rsid w:val="647B3664"/>
    <w:rsid w:val="64B54DC9"/>
    <w:rsid w:val="650A079C"/>
    <w:rsid w:val="651450B4"/>
    <w:rsid w:val="652F2B95"/>
    <w:rsid w:val="657D1C40"/>
    <w:rsid w:val="659538A5"/>
    <w:rsid w:val="65BF7EAD"/>
    <w:rsid w:val="65C8DBE2"/>
    <w:rsid w:val="65E5355A"/>
    <w:rsid w:val="661F76AB"/>
    <w:rsid w:val="66CD3247"/>
    <w:rsid w:val="66D33403"/>
    <w:rsid w:val="674A3D4F"/>
    <w:rsid w:val="67681701"/>
    <w:rsid w:val="679006E0"/>
    <w:rsid w:val="67D26B96"/>
    <w:rsid w:val="67EE0A7D"/>
    <w:rsid w:val="67FD6434"/>
    <w:rsid w:val="68434906"/>
    <w:rsid w:val="6864772D"/>
    <w:rsid w:val="689A644A"/>
    <w:rsid w:val="68B95A28"/>
    <w:rsid w:val="68BC6A3B"/>
    <w:rsid w:val="68D06DB5"/>
    <w:rsid w:val="68DD7469"/>
    <w:rsid w:val="69C534B4"/>
    <w:rsid w:val="6A121AD7"/>
    <w:rsid w:val="6A3C248C"/>
    <w:rsid w:val="6A7E5E1C"/>
    <w:rsid w:val="6AD23B35"/>
    <w:rsid w:val="6B125161"/>
    <w:rsid w:val="6B221653"/>
    <w:rsid w:val="6B8A7183"/>
    <w:rsid w:val="6BB02758"/>
    <w:rsid w:val="6BD85DF2"/>
    <w:rsid w:val="6BE779E4"/>
    <w:rsid w:val="6BE809DA"/>
    <w:rsid w:val="6C0B2BA2"/>
    <w:rsid w:val="6C281883"/>
    <w:rsid w:val="6C3226C6"/>
    <w:rsid w:val="6C545FF5"/>
    <w:rsid w:val="6C591BE2"/>
    <w:rsid w:val="6C6972D4"/>
    <w:rsid w:val="6D6A4DBE"/>
    <w:rsid w:val="6E0A4A26"/>
    <w:rsid w:val="6E44004E"/>
    <w:rsid w:val="6E46599C"/>
    <w:rsid w:val="6E5E1B6C"/>
    <w:rsid w:val="6EEF71D1"/>
    <w:rsid w:val="6F021A16"/>
    <w:rsid w:val="6F1D40CE"/>
    <w:rsid w:val="6FB940CF"/>
    <w:rsid w:val="6FE64E10"/>
    <w:rsid w:val="7051517A"/>
    <w:rsid w:val="706D97BC"/>
    <w:rsid w:val="70D85BD1"/>
    <w:rsid w:val="70F47C69"/>
    <w:rsid w:val="70FBDAD8"/>
    <w:rsid w:val="712E476F"/>
    <w:rsid w:val="713D1149"/>
    <w:rsid w:val="715B338A"/>
    <w:rsid w:val="716A7ADC"/>
    <w:rsid w:val="717D2A77"/>
    <w:rsid w:val="71DE2E53"/>
    <w:rsid w:val="721F39FF"/>
    <w:rsid w:val="72880B34"/>
    <w:rsid w:val="729E121E"/>
    <w:rsid w:val="72B069AF"/>
    <w:rsid w:val="72E23A7A"/>
    <w:rsid w:val="72F6179B"/>
    <w:rsid w:val="731A9D24"/>
    <w:rsid w:val="738003CA"/>
    <w:rsid w:val="73C56EED"/>
    <w:rsid w:val="73E252F5"/>
    <w:rsid w:val="74424DF9"/>
    <w:rsid w:val="75803EF0"/>
    <w:rsid w:val="758831F5"/>
    <w:rsid w:val="758D4AB4"/>
    <w:rsid w:val="75AB031A"/>
    <w:rsid w:val="75D12961"/>
    <w:rsid w:val="760C6508"/>
    <w:rsid w:val="765941C5"/>
    <w:rsid w:val="76E03BDC"/>
    <w:rsid w:val="76E41A31"/>
    <w:rsid w:val="77095D96"/>
    <w:rsid w:val="770D55F7"/>
    <w:rsid w:val="773232B6"/>
    <w:rsid w:val="773B6CD4"/>
    <w:rsid w:val="77D61CCD"/>
    <w:rsid w:val="77E30949"/>
    <w:rsid w:val="77F16A53"/>
    <w:rsid w:val="77F46DFD"/>
    <w:rsid w:val="783525A0"/>
    <w:rsid w:val="786F12BD"/>
    <w:rsid w:val="786F1AA9"/>
    <w:rsid w:val="7872551D"/>
    <w:rsid w:val="78880832"/>
    <w:rsid w:val="78EA2FFB"/>
    <w:rsid w:val="7920071D"/>
    <w:rsid w:val="797E290B"/>
    <w:rsid w:val="79C52BC7"/>
    <w:rsid w:val="79C747F6"/>
    <w:rsid w:val="79EA231F"/>
    <w:rsid w:val="7A36659D"/>
    <w:rsid w:val="7A6027C1"/>
    <w:rsid w:val="7A8219BF"/>
    <w:rsid w:val="7A854A12"/>
    <w:rsid w:val="7AD779F8"/>
    <w:rsid w:val="7B237820"/>
    <w:rsid w:val="7B2A3DF1"/>
    <w:rsid w:val="7B974622"/>
    <w:rsid w:val="7D3419B2"/>
    <w:rsid w:val="7D490472"/>
    <w:rsid w:val="7D4E72F0"/>
    <w:rsid w:val="7D5462A6"/>
    <w:rsid w:val="7D6B63CB"/>
    <w:rsid w:val="7E024496"/>
    <w:rsid w:val="7E0D0622"/>
    <w:rsid w:val="7E9219F9"/>
    <w:rsid w:val="7EF87B3E"/>
    <w:rsid w:val="7EFE1042"/>
    <w:rsid w:val="7F2C3082"/>
    <w:rsid w:val="7F437511"/>
    <w:rsid w:val="7F460DAF"/>
    <w:rsid w:val="7F924DA0"/>
    <w:rsid w:val="7FAA57E2"/>
    <w:rsid w:val="7FCA0C9B"/>
    <w:rsid w:val="82866C9E"/>
    <w:rsid w:val="833DBBF7"/>
    <w:rsid w:val="848871A7"/>
    <w:rsid w:val="86355A24"/>
    <w:rsid w:val="86C219DA"/>
    <w:rsid w:val="88A5D28D"/>
    <w:rsid w:val="8A6C63AA"/>
    <w:rsid w:val="8CB4C497"/>
    <w:rsid w:val="8CBBC58C"/>
    <w:rsid w:val="8D13FF40"/>
    <w:rsid w:val="911404D2"/>
    <w:rsid w:val="9163CBA0"/>
    <w:rsid w:val="92CD2DE9"/>
    <w:rsid w:val="950B67F8"/>
    <w:rsid w:val="96724927"/>
    <w:rsid w:val="9EE970D8"/>
    <w:rsid w:val="A23E4046"/>
    <w:rsid w:val="ACEAB850"/>
    <w:rsid w:val="AD53C39C"/>
    <w:rsid w:val="AF615FA4"/>
    <w:rsid w:val="AFBBC8CA"/>
    <w:rsid w:val="B8B3C483"/>
    <w:rsid w:val="BEC273EE"/>
    <w:rsid w:val="C387228B"/>
    <w:rsid w:val="C4DF7731"/>
    <w:rsid w:val="C568175F"/>
    <w:rsid w:val="C57506C3"/>
    <w:rsid w:val="C66C2B4A"/>
    <w:rsid w:val="C6705136"/>
    <w:rsid w:val="C7A4361E"/>
    <w:rsid w:val="C8A471C1"/>
    <w:rsid w:val="C915B36A"/>
    <w:rsid w:val="C9B09A32"/>
    <w:rsid w:val="CA69352C"/>
    <w:rsid w:val="CB13B316"/>
    <w:rsid w:val="CD156AD0"/>
    <w:rsid w:val="CDBCDA4D"/>
    <w:rsid w:val="CEE45121"/>
    <w:rsid w:val="CFA7CA92"/>
    <w:rsid w:val="D04435A1"/>
    <w:rsid w:val="D8C0657E"/>
    <w:rsid w:val="DA633BBA"/>
    <w:rsid w:val="DBE5FCB1"/>
    <w:rsid w:val="DF75F32A"/>
    <w:rsid w:val="E1D302EF"/>
    <w:rsid w:val="EC17E028"/>
    <w:rsid w:val="ECD77CFF"/>
    <w:rsid w:val="F0EDB359"/>
    <w:rsid w:val="F3687866"/>
    <w:rsid w:val="F3889702"/>
    <w:rsid w:val="F40E7D66"/>
    <w:rsid w:val="F4253CE2"/>
    <w:rsid w:val="F8801357"/>
    <w:rsid w:val="F93698FA"/>
    <w:rsid w:val="FAA2BD6F"/>
    <w:rsid w:val="FAAEFC34"/>
    <w:rsid w:val="FB6585F4"/>
    <w:rsid w:val="FEC9F5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autoRedefine/>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autoRedefine/>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65"/>
    <w:autoRedefine/>
    <w:qFormat/>
    <w:uiPriority w:val="0"/>
    <w:pPr>
      <w:keepNext/>
      <w:keepLines/>
      <w:spacing w:before="260" w:after="260" w:line="413" w:lineRule="auto"/>
      <w:outlineLvl w:val="2"/>
    </w:pPr>
    <w:rPr>
      <w:b/>
      <w:bCs/>
      <w:sz w:val="32"/>
      <w:szCs w:val="32"/>
    </w:rPr>
  </w:style>
  <w:style w:type="paragraph" w:styleId="5">
    <w:name w:val="heading 4"/>
    <w:basedOn w:val="1"/>
    <w:next w:val="1"/>
    <w:link w:val="66"/>
    <w:autoRedefine/>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67"/>
    <w:autoRedefine/>
    <w:qFormat/>
    <w:uiPriority w:val="0"/>
    <w:pPr>
      <w:keepNext/>
      <w:keepLines/>
      <w:spacing w:before="280" w:after="290" w:line="372" w:lineRule="auto"/>
      <w:outlineLvl w:val="4"/>
    </w:pPr>
    <w:rPr>
      <w:b/>
      <w:sz w:val="28"/>
    </w:rPr>
  </w:style>
  <w:style w:type="paragraph" w:styleId="8">
    <w:name w:val="heading 6"/>
    <w:basedOn w:val="1"/>
    <w:next w:val="7"/>
    <w:link w:val="68"/>
    <w:autoRedefine/>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69"/>
    <w:autoRedefine/>
    <w:qFormat/>
    <w:uiPriority w:val="0"/>
    <w:pPr>
      <w:keepNext/>
      <w:keepLines/>
      <w:spacing w:before="240" w:after="64" w:line="317" w:lineRule="auto"/>
      <w:outlineLvl w:val="6"/>
    </w:pPr>
    <w:rPr>
      <w:b/>
      <w:sz w:val="24"/>
    </w:rPr>
  </w:style>
  <w:style w:type="paragraph" w:styleId="10">
    <w:name w:val="heading 8"/>
    <w:basedOn w:val="1"/>
    <w:next w:val="7"/>
    <w:link w:val="70"/>
    <w:autoRedefine/>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71"/>
    <w:autoRedefine/>
    <w:qFormat/>
    <w:uiPriority w:val="0"/>
    <w:pPr>
      <w:keepNext/>
      <w:keepLines/>
      <w:spacing w:before="240" w:after="64" w:line="317" w:lineRule="auto"/>
      <w:outlineLvl w:val="8"/>
    </w:pPr>
    <w:rPr>
      <w:rFonts w:ascii="Arial" w:hAnsi="Arial" w:eastAsia="黑体"/>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0"/>
    </w:pPr>
    <w:rPr>
      <w:szCs w:val="20"/>
    </w:rPr>
  </w:style>
  <w:style w:type="paragraph" w:styleId="12">
    <w:name w:val="List 3"/>
    <w:basedOn w:val="1"/>
    <w:autoRedefine/>
    <w:qFormat/>
    <w:uiPriority w:val="0"/>
    <w:pPr>
      <w:ind w:left="100" w:leftChars="400" w:hanging="200" w:hangingChars="200"/>
    </w:pPr>
  </w:style>
  <w:style w:type="paragraph" w:styleId="13">
    <w:name w:val="toc 7"/>
    <w:basedOn w:val="1"/>
    <w:next w:val="1"/>
    <w:autoRedefine/>
    <w:qFormat/>
    <w:uiPriority w:val="0"/>
    <w:pPr>
      <w:tabs>
        <w:tab w:val="right" w:leader="dot" w:pos="9185"/>
      </w:tabs>
      <w:adjustRightInd w:val="0"/>
      <w:spacing w:line="312" w:lineRule="atLeast"/>
      <w:ind w:left="2520"/>
      <w:textAlignment w:val="baseline"/>
    </w:pPr>
    <w:rPr>
      <w:kern w:val="0"/>
      <w:szCs w:val="20"/>
    </w:rPr>
  </w:style>
  <w:style w:type="paragraph" w:styleId="14">
    <w:name w:val="index 8"/>
    <w:basedOn w:val="1"/>
    <w:next w:val="1"/>
    <w:autoRedefine/>
    <w:qFormat/>
    <w:uiPriority w:val="0"/>
    <w:pPr>
      <w:ind w:left="1400" w:leftChars="1400"/>
    </w:pPr>
  </w:style>
  <w:style w:type="paragraph" w:styleId="15">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autoRedefine/>
    <w:qFormat/>
    <w:uiPriority w:val="0"/>
    <w:pPr>
      <w:spacing w:before="152" w:after="160"/>
    </w:pPr>
    <w:rPr>
      <w:rFonts w:ascii="Arial" w:hAnsi="Arial" w:eastAsia="黑体" w:cs="Arial"/>
      <w:sz w:val="20"/>
      <w:szCs w:val="20"/>
    </w:rPr>
  </w:style>
  <w:style w:type="paragraph" w:styleId="17">
    <w:name w:val="Document Map"/>
    <w:basedOn w:val="1"/>
    <w:link w:val="72"/>
    <w:autoRedefine/>
    <w:qFormat/>
    <w:uiPriority w:val="0"/>
    <w:pPr>
      <w:shd w:val="clear" w:color="auto" w:fill="000080"/>
      <w:adjustRightInd w:val="0"/>
      <w:spacing w:line="312" w:lineRule="atLeast"/>
      <w:textAlignment w:val="baseline"/>
    </w:pPr>
    <w:rPr>
      <w:kern w:val="0"/>
      <w:szCs w:val="20"/>
    </w:rPr>
  </w:style>
  <w:style w:type="paragraph" w:styleId="18">
    <w:name w:val="annotation text"/>
    <w:basedOn w:val="1"/>
    <w:link w:val="73"/>
    <w:autoRedefine/>
    <w:qFormat/>
    <w:uiPriority w:val="0"/>
    <w:pPr>
      <w:jc w:val="left"/>
    </w:pPr>
  </w:style>
  <w:style w:type="paragraph" w:styleId="19">
    <w:name w:val="Body Text 3"/>
    <w:basedOn w:val="1"/>
    <w:link w:val="74"/>
    <w:autoRedefine/>
    <w:qFormat/>
    <w:uiPriority w:val="0"/>
    <w:pPr>
      <w:spacing w:line="500" w:lineRule="exact"/>
    </w:pPr>
    <w:rPr>
      <w:b/>
      <w:bCs/>
      <w:sz w:val="24"/>
    </w:rPr>
  </w:style>
  <w:style w:type="paragraph" w:styleId="20">
    <w:name w:val="Body Text"/>
    <w:basedOn w:val="1"/>
    <w:link w:val="75"/>
    <w:autoRedefine/>
    <w:qFormat/>
    <w:uiPriority w:val="0"/>
    <w:pPr>
      <w:spacing w:line="380" w:lineRule="exact"/>
    </w:pPr>
    <w:rPr>
      <w:sz w:val="24"/>
    </w:rPr>
  </w:style>
  <w:style w:type="paragraph" w:styleId="21">
    <w:name w:val="Body Text Indent"/>
    <w:basedOn w:val="1"/>
    <w:link w:val="61"/>
    <w:autoRedefine/>
    <w:qFormat/>
    <w:uiPriority w:val="0"/>
    <w:pPr>
      <w:ind w:firstLine="830" w:firstLineChars="352"/>
    </w:pPr>
    <w:rPr>
      <w:rFonts w:ascii="仿宋_GB2312" w:eastAsia="仿宋_GB2312"/>
      <w:sz w:val="32"/>
      <w:szCs w:val="20"/>
    </w:rPr>
  </w:style>
  <w:style w:type="paragraph" w:styleId="22">
    <w:name w:val="List Number 3"/>
    <w:basedOn w:val="1"/>
    <w:autoRedefine/>
    <w:qFormat/>
    <w:uiPriority w:val="0"/>
    <w:pPr>
      <w:tabs>
        <w:tab w:val="left" w:pos="1200"/>
      </w:tabs>
      <w:ind w:left="1200" w:leftChars="400" w:hanging="360" w:hangingChars="200"/>
    </w:pPr>
  </w:style>
  <w:style w:type="paragraph" w:styleId="23">
    <w:name w:val="List 2"/>
    <w:basedOn w:val="1"/>
    <w:autoRedefine/>
    <w:qFormat/>
    <w:uiPriority w:val="0"/>
    <w:pPr>
      <w:ind w:left="100" w:leftChars="200" w:hanging="200" w:hangingChars="200"/>
    </w:pPr>
    <w:rPr>
      <w:sz w:val="28"/>
    </w:rPr>
  </w:style>
  <w:style w:type="paragraph" w:styleId="24">
    <w:name w:val="Block Text"/>
    <w:basedOn w:val="1"/>
    <w:autoRedefine/>
    <w:qFormat/>
    <w:uiPriority w:val="0"/>
    <w:pPr>
      <w:adjustRightInd w:val="0"/>
      <w:ind w:left="420" w:right="33"/>
      <w:jc w:val="left"/>
      <w:textAlignment w:val="baseline"/>
    </w:pPr>
    <w:rPr>
      <w:kern w:val="0"/>
      <w:sz w:val="24"/>
      <w:szCs w:val="20"/>
    </w:rPr>
  </w:style>
  <w:style w:type="paragraph" w:styleId="25">
    <w:name w:val="toc 5"/>
    <w:basedOn w:val="1"/>
    <w:next w:val="1"/>
    <w:autoRedefine/>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autoRedefine/>
    <w:qFormat/>
    <w:uiPriority w:val="0"/>
    <w:pPr>
      <w:ind w:left="840" w:leftChars="400"/>
    </w:pPr>
  </w:style>
  <w:style w:type="paragraph" w:styleId="27">
    <w:name w:val="Plain Text"/>
    <w:basedOn w:val="1"/>
    <w:next w:val="1"/>
    <w:link w:val="76"/>
    <w:autoRedefine/>
    <w:qFormat/>
    <w:uiPriority w:val="0"/>
    <w:rPr>
      <w:rFonts w:ascii="宋体" w:hAnsi="Courier New" w:cs="Courier New"/>
      <w:szCs w:val="21"/>
    </w:rPr>
  </w:style>
  <w:style w:type="paragraph" w:styleId="28">
    <w:name w:val="toc 8"/>
    <w:basedOn w:val="1"/>
    <w:next w:val="1"/>
    <w:autoRedefine/>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77"/>
    <w:autoRedefine/>
    <w:qFormat/>
    <w:uiPriority w:val="0"/>
    <w:pPr>
      <w:ind w:left="100" w:leftChars="2500"/>
    </w:pPr>
    <w:rPr>
      <w:rFonts w:ascii="宋体" w:hAnsi="Courier New"/>
      <w:szCs w:val="21"/>
    </w:rPr>
  </w:style>
  <w:style w:type="paragraph" w:styleId="30">
    <w:name w:val="Body Text Indent 2"/>
    <w:basedOn w:val="1"/>
    <w:link w:val="78"/>
    <w:autoRedefine/>
    <w:qFormat/>
    <w:uiPriority w:val="0"/>
    <w:pPr>
      <w:ind w:firstLine="630"/>
    </w:pPr>
    <w:rPr>
      <w:sz w:val="32"/>
      <w:szCs w:val="20"/>
    </w:rPr>
  </w:style>
  <w:style w:type="paragraph" w:styleId="31">
    <w:name w:val="Balloon Text"/>
    <w:basedOn w:val="1"/>
    <w:link w:val="79"/>
    <w:autoRedefine/>
    <w:qFormat/>
    <w:uiPriority w:val="0"/>
    <w:rPr>
      <w:sz w:val="18"/>
      <w:szCs w:val="18"/>
    </w:rPr>
  </w:style>
  <w:style w:type="paragraph" w:styleId="32">
    <w:name w:val="footer"/>
    <w:basedOn w:val="1"/>
    <w:link w:val="80"/>
    <w:autoRedefine/>
    <w:qFormat/>
    <w:uiPriority w:val="0"/>
    <w:pPr>
      <w:tabs>
        <w:tab w:val="center" w:pos="4153"/>
        <w:tab w:val="right" w:pos="8306"/>
      </w:tabs>
      <w:snapToGrid w:val="0"/>
      <w:jc w:val="left"/>
    </w:pPr>
    <w:rPr>
      <w:sz w:val="18"/>
      <w:szCs w:val="18"/>
    </w:rPr>
  </w:style>
  <w:style w:type="paragraph" w:styleId="33">
    <w:name w:val="header"/>
    <w:basedOn w:val="1"/>
    <w:link w:val="81"/>
    <w:autoRedefine/>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autoRedefine/>
    <w:qFormat/>
    <w:uiPriority w:val="0"/>
    <w:pPr>
      <w:tabs>
        <w:tab w:val="right" w:leader="dot" w:pos="8398"/>
      </w:tabs>
      <w:spacing w:before="120" w:after="120"/>
      <w:ind w:firstLine="240" w:firstLineChars="100"/>
      <w:jc w:val="left"/>
    </w:pPr>
    <w:rPr>
      <w:rFonts w:ascii="宋体" w:hAnsi="宋体"/>
      <w:b/>
      <w:bCs/>
      <w:caps/>
      <w:sz w:val="24"/>
    </w:rPr>
  </w:style>
  <w:style w:type="paragraph" w:styleId="35">
    <w:name w:val="toc 4"/>
    <w:basedOn w:val="1"/>
    <w:next w:val="1"/>
    <w:autoRedefine/>
    <w:qFormat/>
    <w:uiPriority w:val="0"/>
    <w:pPr>
      <w:tabs>
        <w:tab w:val="right" w:leader="dot" w:pos="9185"/>
      </w:tabs>
      <w:adjustRightInd w:val="0"/>
      <w:spacing w:line="312" w:lineRule="atLeast"/>
      <w:ind w:left="1260"/>
      <w:textAlignment w:val="baseline"/>
    </w:pPr>
    <w:rPr>
      <w:kern w:val="0"/>
      <w:szCs w:val="20"/>
    </w:rPr>
  </w:style>
  <w:style w:type="paragraph" w:styleId="36">
    <w:name w:val="List"/>
    <w:basedOn w:val="1"/>
    <w:autoRedefine/>
    <w:qFormat/>
    <w:uiPriority w:val="0"/>
    <w:pPr>
      <w:ind w:left="200" w:hanging="200" w:hangingChars="200"/>
    </w:pPr>
    <w:rPr>
      <w:sz w:val="28"/>
    </w:rPr>
  </w:style>
  <w:style w:type="paragraph" w:styleId="37">
    <w:name w:val="toc 6"/>
    <w:basedOn w:val="1"/>
    <w:next w:val="1"/>
    <w:autoRedefine/>
    <w:qFormat/>
    <w:uiPriority w:val="0"/>
    <w:pPr>
      <w:tabs>
        <w:tab w:val="right" w:leader="dot" w:pos="9185"/>
      </w:tabs>
      <w:adjustRightInd w:val="0"/>
      <w:spacing w:line="312" w:lineRule="atLeast"/>
      <w:ind w:left="2100"/>
      <w:textAlignment w:val="baseline"/>
    </w:pPr>
    <w:rPr>
      <w:kern w:val="0"/>
      <w:szCs w:val="20"/>
    </w:rPr>
  </w:style>
  <w:style w:type="paragraph" w:styleId="38">
    <w:name w:val="List 5"/>
    <w:basedOn w:val="1"/>
    <w:autoRedefine/>
    <w:qFormat/>
    <w:uiPriority w:val="0"/>
    <w:pPr>
      <w:ind w:left="2100" w:hanging="420"/>
    </w:pPr>
    <w:rPr>
      <w:szCs w:val="20"/>
    </w:rPr>
  </w:style>
  <w:style w:type="paragraph" w:styleId="39">
    <w:name w:val="Body Text Indent 3"/>
    <w:basedOn w:val="1"/>
    <w:link w:val="82"/>
    <w:autoRedefine/>
    <w:qFormat/>
    <w:uiPriority w:val="0"/>
    <w:pPr>
      <w:spacing w:after="120"/>
      <w:ind w:left="420" w:leftChars="200"/>
    </w:pPr>
    <w:rPr>
      <w:sz w:val="16"/>
      <w:szCs w:val="16"/>
    </w:rPr>
  </w:style>
  <w:style w:type="paragraph" w:styleId="40">
    <w:name w:val="toc 2"/>
    <w:basedOn w:val="1"/>
    <w:next w:val="1"/>
    <w:autoRedefine/>
    <w:qFormat/>
    <w:uiPriority w:val="0"/>
    <w:pPr>
      <w:ind w:left="420" w:leftChars="200"/>
    </w:pPr>
  </w:style>
  <w:style w:type="paragraph" w:styleId="41">
    <w:name w:val="toc 9"/>
    <w:basedOn w:val="1"/>
    <w:next w:val="1"/>
    <w:autoRedefine/>
    <w:qFormat/>
    <w:uiPriority w:val="0"/>
    <w:pPr>
      <w:tabs>
        <w:tab w:val="right" w:leader="dot" w:pos="9185"/>
      </w:tabs>
      <w:adjustRightInd w:val="0"/>
      <w:spacing w:line="312" w:lineRule="atLeast"/>
      <w:ind w:left="3360"/>
      <w:textAlignment w:val="baseline"/>
    </w:pPr>
    <w:rPr>
      <w:kern w:val="0"/>
      <w:szCs w:val="20"/>
    </w:rPr>
  </w:style>
  <w:style w:type="paragraph" w:styleId="42">
    <w:name w:val="Body Text 2"/>
    <w:basedOn w:val="1"/>
    <w:link w:val="83"/>
    <w:autoRedefine/>
    <w:qFormat/>
    <w:uiPriority w:val="0"/>
    <w:pPr>
      <w:spacing w:after="120" w:line="480" w:lineRule="auto"/>
    </w:pPr>
  </w:style>
  <w:style w:type="paragraph" w:styleId="43">
    <w:name w:val="List 4"/>
    <w:basedOn w:val="1"/>
    <w:autoRedefine/>
    <w:qFormat/>
    <w:uiPriority w:val="0"/>
    <w:pPr>
      <w:ind w:left="100" w:leftChars="600" w:hanging="200" w:hangingChars="200"/>
    </w:pPr>
  </w:style>
  <w:style w:type="paragraph" w:styleId="44">
    <w:name w:val="List Continue 2"/>
    <w:basedOn w:val="1"/>
    <w:autoRedefine/>
    <w:qFormat/>
    <w:uiPriority w:val="0"/>
    <w:pPr>
      <w:spacing w:after="120"/>
      <w:ind w:left="840" w:leftChars="400"/>
    </w:pPr>
  </w:style>
  <w:style w:type="paragraph" w:styleId="45">
    <w:name w:val="HTML Preformatted"/>
    <w:basedOn w:val="1"/>
    <w:link w:val="8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6">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47">
    <w:name w:val="index 1"/>
    <w:basedOn w:val="1"/>
    <w:next w:val="1"/>
    <w:autoRedefine/>
    <w:qFormat/>
    <w:uiPriority w:val="0"/>
    <w:pPr>
      <w:spacing w:line="400" w:lineRule="exact"/>
      <w:ind w:firstLine="420" w:firstLineChars="200"/>
    </w:pPr>
    <w:rPr>
      <w:rFonts w:ascii="宋体" w:hAnsi="Courier New"/>
      <w:b/>
      <w:szCs w:val="20"/>
    </w:rPr>
  </w:style>
  <w:style w:type="paragraph" w:styleId="48">
    <w:name w:val="Title"/>
    <w:basedOn w:val="1"/>
    <w:next w:val="1"/>
    <w:link w:val="85"/>
    <w:autoRedefine/>
    <w:qFormat/>
    <w:uiPriority w:val="0"/>
    <w:pPr>
      <w:jc w:val="center"/>
    </w:pPr>
    <w:rPr>
      <w:sz w:val="30"/>
    </w:rPr>
  </w:style>
  <w:style w:type="paragraph" w:styleId="49">
    <w:name w:val="annotation subject"/>
    <w:basedOn w:val="18"/>
    <w:next w:val="18"/>
    <w:link w:val="86"/>
    <w:autoRedefine/>
    <w:qFormat/>
    <w:uiPriority w:val="0"/>
    <w:rPr>
      <w:b/>
      <w:bCs/>
    </w:rPr>
  </w:style>
  <w:style w:type="paragraph" w:styleId="50">
    <w:name w:val="Body Text First Indent"/>
    <w:basedOn w:val="20"/>
    <w:link w:val="87"/>
    <w:autoRedefine/>
    <w:qFormat/>
    <w:uiPriority w:val="0"/>
    <w:pPr>
      <w:spacing w:after="120" w:line="240" w:lineRule="auto"/>
      <w:ind w:firstLine="420" w:firstLineChars="100"/>
    </w:pPr>
    <w:rPr>
      <w:sz w:val="21"/>
    </w:rPr>
  </w:style>
  <w:style w:type="paragraph" w:styleId="51">
    <w:name w:val="Body Text First Indent 2"/>
    <w:basedOn w:val="21"/>
    <w:link w:val="62"/>
    <w:autoRedefine/>
    <w:qFormat/>
    <w:uiPriority w:val="0"/>
    <w:pPr>
      <w:spacing w:after="120"/>
      <w:ind w:left="420" w:leftChars="200" w:firstLine="420" w:firstLineChars="200"/>
    </w:pPr>
    <w:rPr>
      <w:rFonts w:ascii="Times New Roman" w:eastAsia="宋体"/>
      <w:sz w:val="21"/>
      <w:szCs w:val="24"/>
    </w:rPr>
  </w:style>
  <w:style w:type="table" w:styleId="53">
    <w:name w:val="Table Grid"/>
    <w:basedOn w:val="5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5">
    <w:name w:val="Strong"/>
    <w:autoRedefine/>
    <w:qFormat/>
    <w:uiPriority w:val="0"/>
    <w:rPr>
      <w:rFonts w:ascii="Times New Roman" w:hAnsi="Times New Roman" w:eastAsia="宋体" w:cs="Times New Roman"/>
      <w:b/>
      <w:bCs/>
    </w:rPr>
  </w:style>
  <w:style w:type="character" w:styleId="56">
    <w:name w:val="page number"/>
    <w:autoRedefine/>
    <w:qFormat/>
    <w:uiPriority w:val="0"/>
    <w:rPr>
      <w:rFonts w:ascii="Times New Roman" w:hAnsi="Times New Roman" w:eastAsia="宋体" w:cs="Times New Roman"/>
    </w:rPr>
  </w:style>
  <w:style w:type="character" w:styleId="57">
    <w:name w:val="FollowedHyperlink"/>
    <w:autoRedefine/>
    <w:qFormat/>
    <w:uiPriority w:val="0"/>
    <w:rPr>
      <w:rFonts w:ascii="Times New Roman" w:hAnsi="Times New Roman" w:eastAsia="宋体" w:cs="Times New Roman"/>
      <w:color w:val="800080"/>
      <w:u w:val="single"/>
    </w:rPr>
  </w:style>
  <w:style w:type="character" w:styleId="58">
    <w:name w:val="Hyperlink"/>
    <w:autoRedefine/>
    <w:qFormat/>
    <w:uiPriority w:val="0"/>
    <w:rPr>
      <w:rFonts w:ascii="Times New Roman" w:hAnsi="Times New Roman" w:eastAsia="宋体" w:cs="Times New Roman"/>
      <w:color w:val="0000FF"/>
      <w:u w:val="single"/>
    </w:rPr>
  </w:style>
  <w:style w:type="character" w:styleId="59">
    <w:name w:val="annotation reference"/>
    <w:autoRedefine/>
    <w:qFormat/>
    <w:uiPriority w:val="0"/>
    <w:rPr>
      <w:rFonts w:ascii="Times New Roman" w:hAnsi="Times New Roman" w:eastAsia="宋体" w:cs="Times New Roman"/>
      <w:sz w:val="21"/>
      <w:szCs w:val="21"/>
    </w:rPr>
  </w:style>
  <w:style w:type="paragraph" w:customStyle="1" w:styleId="60">
    <w:name w:val="TOC 标题2"/>
    <w:next w:val="1"/>
    <w:autoRedefine/>
    <w:qFormat/>
    <w:uiPriority w:val="99"/>
    <w:pPr>
      <w:wordWrap w:val="0"/>
    </w:pPr>
    <w:rPr>
      <w:rFonts w:ascii="Calibri" w:hAnsi="Calibri" w:eastAsia="宋体" w:cs="Times New Roman"/>
      <w:sz w:val="32"/>
      <w:lang w:val="en-US" w:eastAsia="zh-CN" w:bidi="ar-SA"/>
    </w:rPr>
  </w:style>
  <w:style w:type="character" w:customStyle="1" w:styleId="61">
    <w:name w:val="正文文本缩进 Char"/>
    <w:link w:val="21"/>
    <w:autoRedefine/>
    <w:qFormat/>
    <w:uiPriority w:val="0"/>
    <w:rPr>
      <w:rFonts w:ascii="仿宋_GB2312" w:hAnsi="Times New Roman" w:eastAsia="仿宋_GB2312" w:cs="Times New Roman"/>
      <w:kern w:val="2"/>
      <w:sz w:val="32"/>
    </w:rPr>
  </w:style>
  <w:style w:type="character" w:customStyle="1" w:styleId="62">
    <w:name w:val="正文首行缩进 2 Char"/>
    <w:link w:val="51"/>
    <w:autoRedefine/>
    <w:qFormat/>
    <w:uiPriority w:val="0"/>
    <w:rPr>
      <w:rFonts w:ascii="Times New Roman" w:hAnsi="Times New Roman" w:eastAsia="宋体" w:cs="Times New Roman"/>
      <w:kern w:val="2"/>
      <w:sz w:val="21"/>
      <w:szCs w:val="24"/>
    </w:rPr>
  </w:style>
  <w:style w:type="character" w:customStyle="1" w:styleId="63">
    <w:name w:val="标题 1 Char"/>
    <w:link w:val="2"/>
    <w:autoRedefine/>
    <w:qFormat/>
    <w:uiPriority w:val="0"/>
    <w:rPr>
      <w:rFonts w:ascii="Times New Roman" w:hAnsi="Times New Roman" w:eastAsia="宋体" w:cs="Times New Roman"/>
      <w:b/>
      <w:bCs/>
      <w:kern w:val="44"/>
      <w:sz w:val="44"/>
      <w:szCs w:val="44"/>
      <w:lang w:val="en-US" w:eastAsia="zh-CN" w:bidi="ar-SA"/>
    </w:rPr>
  </w:style>
  <w:style w:type="character" w:customStyle="1" w:styleId="64">
    <w:name w:val="标题 2 Char"/>
    <w:link w:val="3"/>
    <w:autoRedefine/>
    <w:qFormat/>
    <w:uiPriority w:val="0"/>
    <w:rPr>
      <w:rFonts w:ascii="Arial" w:hAnsi="Arial" w:eastAsia="黑体" w:cs="Times New Roman"/>
      <w:b/>
      <w:bCs/>
      <w:kern w:val="2"/>
      <w:sz w:val="32"/>
      <w:szCs w:val="32"/>
    </w:rPr>
  </w:style>
  <w:style w:type="character" w:customStyle="1" w:styleId="65">
    <w:name w:val="标题 3 Char"/>
    <w:link w:val="4"/>
    <w:autoRedefine/>
    <w:qFormat/>
    <w:uiPriority w:val="0"/>
    <w:rPr>
      <w:rFonts w:ascii="Times New Roman" w:hAnsi="Times New Roman" w:eastAsia="宋体" w:cs="Times New Roman"/>
      <w:b/>
      <w:bCs/>
      <w:kern w:val="2"/>
      <w:sz w:val="32"/>
      <w:szCs w:val="32"/>
    </w:rPr>
  </w:style>
  <w:style w:type="character" w:customStyle="1" w:styleId="66">
    <w:name w:val="标题 4 Char"/>
    <w:link w:val="5"/>
    <w:autoRedefine/>
    <w:qFormat/>
    <w:uiPriority w:val="0"/>
    <w:rPr>
      <w:rFonts w:ascii="Arial" w:hAnsi="Arial" w:eastAsia="黑体" w:cs="Times New Roman"/>
      <w:sz w:val="28"/>
    </w:rPr>
  </w:style>
  <w:style w:type="character" w:customStyle="1" w:styleId="67">
    <w:name w:val="标题 5 Char"/>
    <w:link w:val="6"/>
    <w:autoRedefine/>
    <w:qFormat/>
    <w:uiPriority w:val="0"/>
    <w:rPr>
      <w:rFonts w:ascii="Times New Roman" w:hAnsi="Times New Roman" w:eastAsia="宋体" w:cs="Times New Roman"/>
      <w:b/>
      <w:kern w:val="2"/>
      <w:sz w:val="28"/>
      <w:szCs w:val="24"/>
    </w:rPr>
  </w:style>
  <w:style w:type="character" w:customStyle="1" w:styleId="68">
    <w:name w:val="标题 6 Char"/>
    <w:link w:val="8"/>
    <w:autoRedefine/>
    <w:qFormat/>
    <w:uiPriority w:val="0"/>
    <w:rPr>
      <w:rFonts w:ascii="Arial" w:hAnsi="Arial" w:eastAsia="黑体" w:cs="Times New Roman"/>
      <w:b/>
      <w:kern w:val="2"/>
      <w:sz w:val="24"/>
      <w:szCs w:val="24"/>
    </w:rPr>
  </w:style>
  <w:style w:type="character" w:customStyle="1" w:styleId="69">
    <w:name w:val="标题 7 Char"/>
    <w:link w:val="9"/>
    <w:autoRedefine/>
    <w:qFormat/>
    <w:uiPriority w:val="0"/>
    <w:rPr>
      <w:rFonts w:ascii="Times New Roman" w:hAnsi="Times New Roman" w:eastAsia="宋体" w:cs="Times New Roman"/>
      <w:b/>
      <w:kern w:val="2"/>
      <w:sz w:val="24"/>
      <w:szCs w:val="24"/>
    </w:rPr>
  </w:style>
  <w:style w:type="character" w:customStyle="1" w:styleId="70">
    <w:name w:val="标题 8 Char"/>
    <w:link w:val="10"/>
    <w:autoRedefine/>
    <w:qFormat/>
    <w:uiPriority w:val="0"/>
    <w:rPr>
      <w:rFonts w:ascii="Arial" w:hAnsi="Arial" w:eastAsia="黑体" w:cs="Times New Roman"/>
      <w:kern w:val="2"/>
      <w:sz w:val="24"/>
      <w:szCs w:val="24"/>
    </w:rPr>
  </w:style>
  <w:style w:type="character" w:customStyle="1" w:styleId="71">
    <w:name w:val="标题 9 Char"/>
    <w:link w:val="11"/>
    <w:autoRedefine/>
    <w:qFormat/>
    <w:uiPriority w:val="0"/>
    <w:rPr>
      <w:rFonts w:ascii="Arial" w:hAnsi="Arial" w:eastAsia="黑体" w:cs="Times New Roman"/>
      <w:kern w:val="2"/>
      <w:sz w:val="21"/>
      <w:szCs w:val="24"/>
    </w:rPr>
  </w:style>
  <w:style w:type="character" w:customStyle="1" w:styleId="72">
    <w:name w:val="文档结构图 Char"/>
    <w:link w:val="17"/>
    <w:autoRedefine/>
    <w:qFormat/>
    <w:uiPriority w:val="0"/>
    <w:rPr>
      <w:rFonts w:ascii="Times New Roman" w:hAnsi="Times New Roman" w:eastAsia="宋体" w:cs="Times New Roman"/>
      <w:sz w:val="21"/>
      <w:shd w:val="clear" w:color="auto" w:fill="000080"/>
    </w:rPr>
  </w:style>
  <w:style w:type="character" w:customStyle="1" w:styleId="73">
    <w:name w:val="批注文字 Char"/>
    <w:link w:val="18"/>
    <w:autoRedefine/>
    <w:qFormat/>
    <w:uiPriority w:val="0"/>
    <w:rPr>
      <w:rFonts w:ascii="Times New Roman" w:hAnsi="Times New Roman" w:eastAsia="宋体" w:cs="Times New Roman"/>
      <w:kern w:val="2"/>
      <w:sz w:val="21"/>
      <w:szCs w:val="24"/>
    </w:rPr>
  </w:style>
  <w:style w:type="character" w:customStyle="1" w:styleId="74">
    <w:name w:val="正文文本 3 Char"/>
    <w:link w:val="19"/>
    <w:autoRedefine/>
    <w:qFormat/>
    <w:uiPriority w:val="0"/>
    <w:rPr>
      <w:rFonts w:ascii="Times New Roman" w:hAnsi="Times New Roman" w:eastAsia="宋体" w:cs="Times New Roman"/>
      <w:b/>
      <w:bCs/>
      <w:kern w:val="2"/>
      <w:sz w:val="24"/>
      <w:szCs w:val="24"/>
    </w:rPr>
  </w:style>
  <w:style w:type="character" w:customStyle="1" w:styleId="75">
    <w:name w:val="正文文本 Char"/>
    <w:link w:val="20"/>
    <w:autoRedefine/>
    <w:qFormat/>
    <w:uiPriority w:val="0"/>
    <w:rPr>
      <w:rFonts w:ascii="Times New Roman" w:hAnsi="Times New Roman" w:eastAsia="宋体" w:cs="Times New Roman"/>
      <w:kern w:val="2"/>
      <w:sz w:val="24"/>
      <w:szCs w:val="24"/>
    </w:rPr>
  </w:style>
  <w:style w:type="character" w:customStyle="1" w:styleId="76">
    <w:name w:val="纯文本 Char"/>
    <w:link w:val="27"/>
    <w:autoRedefine/>
    <w:qFormat/>
    <w:uiPriority w:val="0"/>
    <w:rPr>
      <w:rFonts w:ascii="宋体" w:hAnsi="Courier New" w:eastAsia="宋体" w:cs="Courier New"/>
      <w:kern w:val="2"/>
      <w:sz w:val="21"/>
      <w:szCs w:val="21"/>
      <w:lang w:val="en-US" w:eastAsia="zh-CN" w:bidi="ar-SA"/>
    </w:rPr>
  </w:style>
  <w:style w:type="character" w:customStyle="1" w:styleId="77">
    <w:name w:val="日期 Char"/>
    <w:link w:val="29"/>
    <w:autoRedefine/>
    <w:qFormat/>
    <w:uiPriority w:val="0"/>
    <w:rPr>
      <w:rFonts w:ascii="宋体" w:hAnsi="Courier New" w:eastAsia="宋体" w:cs="Courier New"/>
      <w:kern w:val="2"/>
      <w:sz w:val="21"/>
      <w:szCs w:val="21"/>
    </w:rPr>
  </w:style>
  <w:style w:type="character" w:customStyle="1" w:styleId="78">
    <w:name w:val="正文文本缩进 2 Char"/>
    <w:link w:val="30"/>
    <w:autoRedefine/>
    <w:qFormat/>
    <w:uiPriority w:val="0"/>
    <w:rPr>
      <w:rFonts w:ascii="Times New Roman" w:hAnsi="Times New Roman" w:eastAsia="宋体" w:cs="Times New Roman"/>
      <w:kern w:val="2"/>
      <w:sz w:val="32"/>
    </w:rPr>
  </w:style>
  <w:style w:type="character" w:customStyle="1" w:styleId="79">
    <w:name w:val="批注框文本 Char"/>
    <w:link w:val="31"/>
    <w:autoRedefine/>
    <w:qFormat/>
    <w:uiPriority w:val="0"/>
    <w:rPr>
      <w:rFonts w:ascii="Times New Roman" w:hAnsi="Times New Roman" w:eastAsia="宋体" w:cs="Times New Roman"/>
      <w:kern w:val="2"/>
      <w:sz w:val="18"/>
      <w:szCs w:val="18"/>
    </w:rPr>
  </w:style>
  <w:style w:type="character" w:customStyle="1" w:styleId="80">
    <w:name w:val="页脚 Char"/>
    <w:link w:val="32"/>
    <w:autoRedefine/>
    <w:qFormat/>
    <w:uiPriority w:val="0"/>
    <w:rPr>
      <w:rFonts w:ascii="Times New Roman" w:hAnsi="Times New Roman" w:eastAsia="宋体" w:cs="Times New Roman"/>
      <w:kern w:val="2"/>
      <w:sz w:val="18"/>
      <w:szCs w:val="18"/>
    </w:rPr>
  </w:style>
  <w:style w:type="character" w:customStyle="1" w:styleId="81">
    <w:name w:val="页眉 Char"/>
    <w:link w:val="33"/>
    <w:autoRedefine/>
    <w:qFormat/>
    <w:uiPriority w:val="0"/>
    <w:rPr>
      <w:rFonts w:ascii="Times New Roman" w:hAnsi="Times New Roman" w:eastAsia="宋体" w:cs="Times New Roman"/>
      <w:kern w:val="2"/>
      <w:sz w:val="18"/>
      <w:szCs w:val="18"/>
    </w:rPr>
  </w:style>
  <w:style w:type="character" w:customStyle="1" w:styleId="82">
    <w:name w:val="正文文本缩进 3 Char"/>
    <w:link w:val="39"/>
    <w:autoRedefine/>
    <w:qFormat/>
    <w:uiPriority w:val="0"/>
    <w:rPr>
      <w:rFonts w:ascii="Times New Roman" w:hAnsi="Times New Roman" w:eastAsia="宋体" w:cs="Times New Roman"/>
      <w:kern w:val="2"/>
      <w:sz w:val="16"/>
      <w:szCs w:val="16"/>
    </w:rPr>
  </w:style>
  <w:style w:type="character" w:customStyle="1" w:styleId="83">
    <w:name w:val="正文文本 2 Char"/>
    <w:link w:val="42"/>
    <w:autoRedefine/>
    <w:qFormat/>
    <w:uiPriority w:val="0"/>
    <w:rPr>
      <w:rFonts w:ascii="Times New Roman" w:hAnsi="Times New Roman" w:eastAsia="宋体" w:cs="Times New Roman"/>
      <w:kern w:val="2"/>
      <w:sz w:val="21"/>
      <w:szCs w:val="24"/>
    </w:rPr>
  </w:style>
  <w:style w:type="character" w:customStyle="1" w:styleId="84">
    <w:name w:val="HTML 预设格式 Char"/>
    <w:link w:val="45"/>
    <w:autoRedefine/>
    <w:qFormat/>
    <w:uiPriority w:val="0"/>
    <w:rPr>
      <w:rFonts w:ascii="黑体" w:hAnsi="Courier New" w:eastAsia="黑体" w:cs="Courier New"/>
    </w:rPr>
  </w:style>
  <w:style w:type="character" w:customStyle="1" w:styleId="85">
    <w:name w:val="标题 Char"/>
    <w:link w:val="48"/>
    <w:autoRedefine/>
    <w:qFormat/>
    <w:uiPriority w:val="0"/>
    <w:rPr>
      <w:rFonts w:ascii="Times New Roman" w:hAnsi="Times New Roman" w:eastAsia="宋体" w:cs="Times New Roman"/>
      <w:kern w:val="2"/>
      <w:sz w:val="30"/>
      <w:szCs w:val="24"/>
    </w:rPr>
  </w:style>
  <w:style w:type="character" w:customStyle="1" w:styleId="86">
    <w:name w:val="批注主题 Char"/>
    <w:link w:val="49"/>
    <w:autoRedefine/>
    <w:qFormat/>
    <w:uiPriority w:val="0"/>
    <w:rPr>
      <w:rFonts w:ascii="Times New Roman" w:hAnsi="Times New Roman" w:eastAsia="宋体" w:cs="Times New Roman"/>
      <w:b/>
      <w:bCs/>
      <w:kern w:val="2"/>
      <w:sz w:val="21"/>
      <w:szCs w:val="24"/>
    </w:rPr>
  </w:style>
  <w:style w:type="character" w:customStyle="1" w:styleId="87">
    <w:name w:val="正文首行缩进 Char"/>
    <w:link w:val="50"/>
    <w:autoRedefine/>
    <w:qFormat/>
    <w:uiPriority w:val="0"/>
    <w:rPr>
      <w:rFonts w:ascii="Times New Roman" w:hAnsi="Times New Roman" w:eastAsia="宋体" w:cs="Times New Roman"/>
      <w:kern w:val="2"/>
      <w:sz w:val="21"/>
      <w:szCs w:val="24"/>
    </w:rPr>
  </w:style>
  <w:style w:type="character" w:customStyle="1" w:styleId="88">
    <w:name w:val="标题3 Char"/>
    <w:link w:val="89"/>
    <w:autoRedefine/>
    <w:qFormat/>
    <w:uiPriority w:val="0"/>
    <w:rPr>
      <w:rFonts w:ascii="宋体" w:hAnsi="宋体" w:eastAsia="宋体" w:cs="Times New Roman"/>
      <w:b/>
      <w:bCs/>
      <w:kern w:val="44"/>
      <w:sz w:val="24"/>
      <w:szCs w:val="24"/>
    </w:rPr>
  </w:style>
  <w:style w:type="paragraph" w:customStyle="1" w:styleId="89">
    <w:name w:val="标题3"/>
    <w:basedOn w:val="2"/>
    <w:link w:val="88"/>
    <w:autoRedefine/>
    <w:qFormat/>
    <w:uiPriority w:val="0"/>
    <w:pPr>
      <w:spacing w:beforeLines="50" w:afterLines="50" w:line="400" w:lineRule="exact"/>
    </w:pPr>
    <w:rPr>
      <w:rFonts w:ascii="宋体" w:hAnsi="宋体"/>
      <w:sz w:val="24"/>
      <w:szCs w:val="24"/>
    </w:rPr>
  </w:style>
  <w:style w:type="character" w:customStyle="1" w:styleId="90">
    <w:name w:val="style21"/>
    <w:autoRedefine/>
    <w:qFormat/>
    <w:uiPriority w:val="0"/>
    <w:rPr>
      <w:rFonts w:ascii="Times New Roman" w:hAnsi="Times New Roman" w:eastAsia="宋体" w:cs="Times New Roman"/>
      <w:sz w:val="17"/>
      <w:szCs w:val="17"/>
    </w:rPr>
  </w:style>
  <w:style w:type="character" w:customStyle="1" w:styleId="91">
    <w:name w:val="content2"/>
    <w:autoRedefine/>
    <w:qFormat/>
    <w:uiPriority w:val="0"/>
    <w:rPr>
      <w:rFonts w:ascii="Times New Roman" w:hAnsi="Times New Roman" w:eastAsia="宋体" w:cs="Times New Roman"/>
    </w:rPr>
  </w:style>
  <w:style w:type="character" w:customStyle="1" w:styleId="92">
    <w:name w:val="small"/>
    <w:autoRedefine/>
    <w:qFormat/>
    <w:uiPriority w:val="0"/>
    <w:rPr>
      <w:rFonts w:ascii="Times New Roman" w:hAnsi="Times New Roman" w:eastAsia="宋体" w:cs="Times New Roman"/>
    </w:rPr>
  </w:style>
  <w:style w:type="character" w:customStyle="1" w:styleId="93">
    <w:name w:val="纯文本 字符1"/>
    <w:autoRedefine/>
    <w:qFormat/>
    <w:uiPriority w:val="0"/>
    <w:rPr>
      <w:rFonts w:ascii="宋体" w:hAnsi="Courier New" w:eastAsia="宋体" w:cs="Courier New"/>
      <w:kern w:val="2"/>
      <w:sz w:val="21"/>
      <w:szCs w:val="21"/>
      <w:lang w:val="en-US" w:eastAsia="zh-CN" w:bidi="ar-SA"/>
    </w:rPr>
  </w:style>
  <w:style w:type="character" w:customStyle="1" w:styleId="94">
    <w:name w:val="_Style 93"/>
    <w:autoRedefine/>
    <w:qFormat/>
    <w:uiPriority w:val="0"/>
    <w:rPr>
      <w:rFonts w:ascii="Times New Roman" w:hAnsi="Times New Roman" w:eastAsia="宋体" w:cs="Times New Roman"/>
      <w:color w:val="605E5C"/>
      <w:shd w:val="clear" w:color="auto" w:fill="E1DFDD"/>
    </w:rPr>
  </w:style>
  <w:style w:type="character" w:customStyle="1" w:styleId="95">
    <w:name w:val="unnamed3"/>
    <w:autoRedefine/>
    <w:qFormat/>
    <w:uiPriority w:val="0"/>
    <w:rPr>
      <w:rFonts w:ascii="Times New Roman" w:hAnsi="Times New Roman" w:eastAsia="宋体" w:cs="Times New Roman"/>
    </w:rPr>
  </w:style>
  <w:style w:type="character" w:customStyle="1" w:styleId="96">
    <w:name w:val="正文文本 字符1"/>
    <w:autoRedefine/>
    <w:qFormat/>
    <w:uiPriority w:val="0"/>
    <w:rPr>
      <w:rFonts w:ascii="Times New Roman" w:hAnsi="Times New Roman" w:eastAsia="宋体" w:cs="Times New Roman"/>
      <w:kern w:val="2"/>
      <w:sz w:val="24"/>
      <w:szCs w:val="24"/>
    </w:rPr>
  </w:style>
  <w:style w:type="character" w:customStyle="1" w:styleId="97">
    <w:name w:val="apple-converted-space"/>
    <w:autoRedefine/>
    <w:qFormat/>
    <w:uiPriority w:val="0"/>
    <w:rPr>
      <w:rFonts w:ascii="Times New Roman" w:hAnsi="Times New Roman" w:eastAsia="宋体" w:cs="Times New Roman"/>
    </w:rPr>
  </w:style>
  <w:style w:type="character" w:customStyle="1" w:styleId="98">
    <w:name w:val="批注文字 Char2"/>
    <w:autoRedefine/>
    <w:qFormat/>
    <w:uiPriority w:val="0"/>
    <w:rPr>
      <w:rFonts w:ascii="Times New Roman" w:hAnsi="Times New Roman" w:eastAsia="宋体" w:cs="Times New Roman"/>
      <w:kern w:val="2"/>
      <w:sz w:val="21"/>
      <w:szCs w:val="24"/>
      <w:lang w:bidi="ar-SA"/>
    </w:rPr>
  </w:style>
  <w:style w:type="character" w:customStyle="1" w:styleId="99">
    <w:name w:val="1051"/>
    <w:autoRedefine/>
    <w:qFormat/>
    <w:uiPriority w:val="0"/>
    <w:rPr>
      <w:rFonts w:ascii="Times New Roman" w:hAnsi="Times New Roman" w:eastAsia="宋体" w:cs="Times New Roman"/>
      <w:sz w:val="21"/>
      <w:szCs w:val="21"/>
    </w:rPr>
  </w:style>
  <w:style w:type="character" w:customStyle="1" w:styleId="100">
    <w:name w:val="font51"/>
    <w:autoRedefine/>
    <w:qFormat/>
    <w:uiPriority w:val="0"/>
    <w:rPr>
      <w:rFonts w:hint="eastAsia" w:ascii="微软雅黑" w:hAnsi="微软雅黑" w:eastAsia="微软雅黑" w:cs="微软雅黑"/>
      <w:color w:val="000000"/>
      <w:sz w:val="22"/>
      <w:szCs w:val="22"/>
      <w:u w:val="none"/>
    </w:rPr>
  </w:style>
  <w:style w:type="character" w:customStyle="1" w:styleId="101">
    <w:name w:val="case31"/>
    <w:autoRedefine/>
    <w:qFormat/>
    <w:uiPriority w:val="0"/>
    <w:rPr>
      <w:rFonts w:hint="default" w:ascii="_x000B__x000C_" w:hAnsi="_x000B__x000C_" w:eastAsia="宋体" w:cs="Times New Roman"/>
      <w:sz w:val="21"/>
      <w:szCs w:val="21"/>
    </w:rPr>
  </w:style>
  <w:style w:type="character" w:customStyle="1" w:styleId="102">
    <w:name w:val="正文-2字符首行缩进 Char"/>
    <w:link w:val="103"/>
    <w:autoRedefine/>
    <w:qFormat/>
    <w:uiPriority w:val="0"/>
    <w:rPr>
      <w:rFonts w:ascii="仿宋_GB2312" w:hAnsi="Calibri" w:eastAsia="仿宋_GB2312" w:cs="Times New Roman"/>
      <w:sz w:val="28"/>
      <w:szCs w:val="22"/>
    </w:rPr>
  </w:style>
  <w:style w:type="paragraph" w:customStyle="1" w:styleId="103">
    <w:name w:val="正文-2字符首行缩进"/>
    <w:basedOn w:val="1"/>
    <w:link w:val="102"/>
    <w:autoRedefine/>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04">
    <w:name w:val="short_text1"/>
    <w:autoRedefine/>
    <w:qFormat/>
    <w:uiPriority w:val="0"/>
    <w:rPr>
      <w:rFonts w:ascii="Times New Roman" w:hAnsi="Times New Roman" w:eastAsia="宋体" w:cs="Times New Roman"/>
      <w:sz w:val="26"/>
    </w:rPr>
  </w:style>
  <w:style w:type="character" w:customStyle="1" w:styleId="105">
    <w:name w:val="font71"/>
    <w:autoRedefine/>
    <w:qFormat/>
    <w:uiPriority w:val="0"/>
    <w:rPr>
      <w:rFonts w:hint="default" w:ascii="Times New Roman" w:hAnsi="Times New Roman" w:eastAsia="宋体" w:cs="Times New Roman"/>
      <w:color w:val="000000"/>
      <w:sz w:val="22"/>
      <w:szCs w:val="22"/>
      <w:u w:val="none"/>
    </w:rPr>
  </w:style>
  <w:style w:type="character" w:customStyle="1" w:styleId="106">
    <w:name w:val="font81"/>
    <w:autoRedefine/>
    <w:qFormat/>
    <w:uiPriority w:val="0"/>
    <w:rPr>
      <w:rFonts w:ascii="Arial" w:hAnsi="Arial" w:eastAsia="宋体" w:cs="Arial"/>
      <w:color w:val="000000"/>
      <w:sz w:val="22"/>
      <w:szCs w:val="22"/>
      <w:u w:val="none"/>
    </w:rPr>
  </w:style>
  <w:style w:type="character" w:customStyle="1" w:styleId="107">
    <w:name w:val="graytext1"/>
    <w:autoRedefine/>
    <w:qFormat/>
    <w:uiPriority w:val="0"/>
    <w:rPr>
      <w:rFonts w:ascii="Times New Roman" w:hAnsi="Times New Roman" w:eastAsia="宋体" w:cs="Times New Roman"/>
      <w:color w:val="666666"/>
    </w:rPr>
  </w:style>
  <w:style w:type="character" w:customStyle="1" w:styleId="108">
    <w:name w:val="批注文字 字符1"/>
    <w:autoRedefine/>
    <w:qFormat/>
    <w:uiPriority w:val="0"/>
    <w:rPr>
      <w:rFonts w:ascii="Times New Roman" w:hAnsi="Times New Roman" w:eastAsia="宋体" w:cs="Times New Roman"/>
      <w:kern w:val="2"/>
      <w:sz w:val="21"/>
      <w:szCs w:val="24"/>
    </w:rPr>
  </w:style>
  <w:style w:type="character" w:customStyle="1" w:styleId="109">
    <w:name w:val="mark8"/>
    <w:autoRedefine/>
    <w:qFormat/>
    <w:uiPriority w:val="0"/>
    <w:rPr>
      <w:rFonts w:ascii="Times New Roman" w:hAnsi="Times New Roman" w:eastAsia="宋体" w:cs="Times New Roman"/>
      <w:b/>
      <w:bCs/>
      <w:sz w:val="21"/>
      <w:szCs w:val="21"/>
    </w:rPr>
  </w:style>
  <w:style w:type="character" w:customStyle="1" w:styleId="110">
    <w:name w:val="纯文本 Char1"/>
    <w:autoRedefine/>
    <w:qFormat/>
    <w:uiPriority w:val="0"/>
    <w:rPr>
      <w:rFonts w:ascii="宋体" w:hAnsi="Courier New" w:eastAsia="宋体" w:cs="Courier New"/>
      <w:kern w:val="2"/>
      <w:sz w:val="21"/>
      <w:szCs w:val="21"/>
      <w:lang w:val="en-US" w:eastAsia="zh-CN" w:bidi="ar-SA"/>
    </w:rPr>
  </w:style>
  <w:style w:type="character" w:customStyle="1" w:styleId="111">
    <w:name w:val="style11"/>
    <w:autoRedefine/>
    <w:qFormat/>
    <w:uiPriority w:val="0"/>
    <w:rPr>
      <w:rFonts w:hint="default" w:ascii="Arial" w:hAnsi="Arial" w:eastAsia="宋体" w:cs="Arial"/>
    </w:rPr>
  </w:style>
  <w:style w:type="character" w:customStyle="1" w:styleId="112">
    <w:name w:val="062"/>
    <w:autoRedefine/>
    <w:qFormat/>
    <w:uiPriority w:val="0"/>
    <w:rPr>
      <w:rFonts w:ascii="宋体" w:hAnsi="宋体" w:eastAsia="宋体" w:cs="Times New Roman"/>
      <w:b/>
      <w:bCs/>
      <w:sz w:val="32"/>
    </w:rPr>
  </w:style>
  <w:style w:type="character" w:customStyle="1" w:styleId="113">
    <w:name w:val="f151"/>
    <w:autoRedefine/>
    <w:qFormat/>
    <w:uiPriority w:val="0"/>
    <w:rPr>
      <w:rFonts w:ascii="Times New Roman" w:hAnsi="Times New Roman" w:eastAsia="宋体" w:cs="Times New Roman"/>
      <w:sz w:val="23"/>
      <w:szCs w:val="23"/>
    </w:rPr>
  </w:style>
  <w:style w:type="character" w:customStyle="1" w:styleId="114">
    <w:name w:val="text11"/>
    <w:autoRedefine/>
    <w:qFormat/>
    <w:uiPriority w:val="0"/>
    <w:rPr>
      <w:rFonts w:hint="default" w:ascii="Verdana" w:hAnsi="Verdana" w:eastAsia="宋体" w:cs="Times New Roman"/>
      <w:color w:val="4E4E4E"/>
      <w:sz w:val="18"/>
      <w:szCs w:val="18"/>
    </w:rPr>
  </w:style>
  <w:style w:type="character" w:customStyle="1" w:styleId="115">
    <w:name w:val="z-窗体顶端 字符"/>
    <w:link w:val="116"/>
    <w:autoRedefine/>
    <w:qFormat/>
    <w:uiPriority w:val="0"/>
    <w:rPr>
      <w:rFonts w:ascii="Arial" w:hAnsi="Times New Roman" w:eastAsia="宋体" w:cs="Times New Roman"/>
      <w:vanish/>
      <w:kern w:val="2"/>
      <w:sz w:val="16"/>
      <w:szCs w:val="24"/>
    </w:rPr>
  </w:style>
  <w:style w:type="paragraph" w:customStyle="1" w:styleId="116">
    <w:name w:val="_Style 115"/>
    <w:basedOn w:val="1"/>
    <w:next w:val="1"/>
    <w:link w:val="115"/>
    <w:autoRedefine/>
    <w:qFormat/>
    <w:uiPriority w:val="0"/>
    <w:pPr>
      <w:pBdr>
        <w:bottom w:val="single" w:color="auto" w:sz="6" w:space="1"/>
      </w:pBdr>
      <w:jc w:val="center"/>
    </w:pPr>
    <w:rPr>
      <w:rFonts w:ascii="Arial"/>
      <w:vanish/>
      <w:sz w:val="16"/>
    </w:rPr>
  </w:style>
  <w:style w:type="character" w:customStyle="1" w:styleId="117">
    <w:name w:val="1ji Char"/>
    <w:link w:val="118"/>
    <w:autoRedefine/>
    <w:qFormat/>
    <w:uiPriority w:val="0"/>
    <w:rPr>
      <w:rFonts w:ascii="宋体" w:hAnsi="宋体" w:eastAsia="宋体" w:cs="Times New Roman"/>
      <w:b/>
      <w:bCs/>
      <w:kern w:val="44"/>
      <w:sz w:val="36"/>
      <w:szCs w:val="44"/>
      <w:lang w:val="en-US" w:eastAsia="zh-CN" w:bidi="ar-SA"/>
    </w:rPr>
  </w:style>
  <w:style w:type="paragraph" w:customStyle="1" w:styleId="118">
    <w:name w:val="1ji"/>
    <w:basedOn w:val="2"/>
    <w:link w:val="117"/>
    <w:autoRedefine/>
    <w:qFormat/>
    <w:uiPriority w:val="0"/>
    <w:pPr>
      <w:keepLines w:val="0"/>
      <w:widowControl/>
      <w:spacing w:before="0" w:after="0" w:line="240" w:lineRule="auto"/>
      <w:jc w:val="center"/>
    </w:pPr>
    <w:rPr>
      <w:rFonts w:ascii="宋体" w:hAnsi="宋体"/>
      <w:sz w:val="36"/>
    </w:rPr>
  </w:style>
  <w:style w:type="character" w:customStyle="1" w:styleId="119">
    <w:name w:val="white"/>
    <w:autoRedefine/>
    <w:qFormat/>
    <w:uiPriority w:val="0"/>
    <w:rPr>
      <w:rFonts w:ascii="Times New Roman" w:hAnsi="Times New Roman" w:eastAsia="宋体" w:cs="Times New Roman"/>
    </w:rPr>
  </w:style>
  <w:style w:type="character" w:customStyle="1" w:styleId="120">
    <w:name w:val="gray12"/>
    <w:autoRedefine/>
    <w:qFormat/>
    <w:uiPriority w:val="0"/>
    <w:rPr>
      <w:rFonts w:ascii="Times New Roman" w:hAnsi="Times New Roman" w:eastAsia="宋体" w:cs="Times New Roman"/>
    </w:rPr>
  </w:style>
  <w:style w:type="character" w:customStyle="1" w:styleId="121">
    <w:name w:val="font41"/>
    <w:autoRedefine/>
    <w:qFormat/>
    <w:uiPriority w:val="0"/>
    <w:rPr>
      <w:rFonts w:hint="eastAsia" w:ascii="宋体" w:hAnsi="宋体" w:eastAsia="宋体" w:cs="宋体"/>
      <w:color w:val="000000"/>
      <w:sz w:val="22"/>
      <w:szCs w:val="22"/>
      <w:u w:val="none"/>
    </w:rPr>
  </w:style>
  <w:style w:type="character" w:customStyle="1" w:styleId="122">
    <w:name w:val="font01"/>
    <w:autoRedefine/>
    <w:qFormat/>
    <w:uiPriority w:val="0"/>
    <w:rPr>
      <w:rFonts w:hint="eastAsia" w:ascii="宋体" w:hAnsi="宋体" w:eastAsia="宋体" w:cs="Times New Roman"/>
      <w:color w:val="000000"/>
      <w:sz w:val="22"/>
      <w:szCs w:val="22"/>
      <w:u w:val="none"/>
    </w:rPr>
  </w:style>
  <w:style w:type="paragraph" w:customStyle="1" w:styleId="123">
    <w:name w:val="Char Char Char Char Char Char1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24">
    <w:name w:val="xl2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25">
    <w:name w:val="默认段落字体 Para Char1"/>
    <w:next w:val="1"/>
    <w:autoRedefine/>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26">
    <w:name w:val="Char Char Char Char Char Char Char"/>
    <w:basedOn w:val="1"/>
    <w:autoRedefine/>
    <w:qFormat/>
    <w:uiPriority w:val="0"/>
  </w:style>
  <w:style w:type="paragraph" w:customStyle="1" w:styleId="127">
    <w:name w:val="Char Char Char Char Char Char Char Char Char Char Char Char Char"/>
    <w:basedOn w:val="17"/>
    <w:autoRedefine/>
    <w:qFormat/>
    <w:uiPriority w:val="0"/>
    <w:pPr>
      <w:adjustRightInd/>
      <w:spacing w:line="240" w:lineRule="auto"/>
      <w:textAlignment w:val="auto"/>
    </w:pPr>
    <w:rPr>
      <w:rFonts w:ascii="Tahoma" w:hAnsi="Tahoma"/>
      <w:kern w:val="2"/>
      <w:sz w:val="24"/>
      <w:szCs w:val="24"/>
    </w:rPr>
  </w:style>
  <w:style w:type="paragraph" w:customStyle="1" w:styleId="128">
    <w:name w:val="正文首行缩进两字符"/>
    <w:basedOn w:val="1"/>
    <w:autoRedefine/>
    <w:qFormat/>
    <w:uiPriority w:val="0"/>
    <w:pPr>
      <w:spacing w:line="360" w:lineRule="auto"/>
      <w:ind w:firstLine="200" w:firstLineChars="200"/>
    </w:pPr>
  </w:style>
  <w:style w:type="paragraph" w:customStyle="1" w:styleId="129">
    <w:name w:val="xl3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30">
    <w:name w:val="Char1"/>
    <w:basedOn w:val="1"/>
    <w:autoRedefine/>
    <w:qFormat/>
    <w:uiPriority w:val="0"/>
    <w:rPr>
      <w:szCs w:val="21"/>
    </w:rPr>
  </w:style>
  <w:style w:type="paragraph" w:customStyle="1" w:styleId="131">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132">
    <w:name w:val="Char"/>
    <w:basedOn w:val="1"/>
    <w:autoRedefine/>
    <w:qFormat/>
    <w:uiPriority w:val="0"/>
    <w:pPr>
      <w:tabs>
        <w:tab w:val="left" w:pos="360"/>
      </w:tabs>
      <w:ind w:left="252" w:hanging="252" w:hangingChars="140"/>
    </w:pPr>
    <w:rPr>
      <w:rFonts w:ascii="宋体"/>
      <w:sz w:val="18"/>
      <w:szCs w:val="18"/>
    </w:rPr>
  </w:style>
  <w:style w:type="paragraph" w:customStyle="1" w:styleId="133">
    <w:name w:val="444"/>
    <w:basedOn w:val="1"/>
    <w:autoRedefine/>
    <w:qFormat/>
    <w:uiPriority w:val="0"/>
    <w:pPr>
      <w:adjustRightInd w:val="0"/>
      <w:spacing w:line="312" w:lineRule="atLeast"/>
      <w:jc w:val="center"/>
      <w:textAlignment w:val="baseline"/>
    </w:pPr>
    <w:rPr>
      <w:b/>
      <w:kern w:val="0"/>
      <w:sz w:val="36"/>
      <w:szCs w:val="36"/>
    </w:rPr>
  </w:style>
  <w:style w:type="paragraph" w:customStyle="1" w:styleId="134">
    <w:name w:val="Char Char Char Char Char Char1 Char1"/>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35">
    <w:name w:val="图"/>
    <w:basedOn w:val="1"/>
    <w:autoRedefine/>
    <w:qFormat/>
    <w:uiPriority w:val="0"/>
    <w:pPr>
      <w:keepNext/>
      <w:adjustRightInd w:val="0"/>
      <w:snapToGrid w:val="0"/>
      <w:spacing w:before="60" w:after="60" w:line="300" w:lineRule="auto"/>
      <w:jc w:val="center"/>
    </w:pPr>
    <w:rPr>
      <w:spacing w:val="20"/>
      <w:kern w:val="0"/>
      <w:sz w:val="24"/>
      <w:szCs w:val="20"/>
    </w:rPr>
  </w:style>
  <w:style w:type="paragraph" w:customStyle="1" w:styleId="136">
    <w:name w:val="Char Char Char"/>
    <w:basedOn w:val="1"/>
    <w:autoRedefine/>
    <w:qFormat/>
    <w:uiPriority w:val="0"/>
    <w:rPr>
      <w:rFonts w:ascii="Tahoma" w:hAnsi="Tahoma"/>
      <w:sz w:val="24"/>
      <w:szCs w:val="20"/>
    </w:rPr>
  </w:style>
  <w:style w:type="paragraph" w:customStyle="1" w:styleId="137">
    <w:name w:val="Char2"/>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38">
    <w:name w:val="样式1"/>
    <w:basedOn w:val="1"/>
    <w:autoRedefine/>
    <w:qFormat/>
    <w:uiPriority w:val="0"/>
    <w:pPr>
      <w:spacing w:before="120" w:after="120" w:line="300" w:lineRule="auto"/>
    </w:pPr>
    <w:rPr>
      <w:rFonts w:ascii="宋体" w:hAnsi="宋体"/>
      <w:b/>
      <w:sz w:val="24"/>
      <w:szCs w:val="20"/>
    </w:rPr>
  </w:style>
  <w:style w:type="paragraph" w:customStyle="1" w:styleId="139">
    <w:name w:val="表格"/>
    <w:basedOn w:val="1"/>
    <w:autoRedefine/>
    <w:qFormat/>
    <w:uiPriority w:val="0"/>
    <w:pPr>
      <w:spacing w:line="400" w:lineRule="exact"/>
    </w:pPr>
    <w:rPr>
      <w:sz w:val="24"/>
    </w:rPr>
  </w:style>
  <w:style w:type="paragraph" w:customStyle="1" w:styleId="140">
    <w:name w:val="Char Char Char Char Char Char Char1"/>
    <w:basedOn w:val="1"/>
    <w:autoRedefine/>
    <w:qFormat/>
    <w:uiPriority w:val="0"/>
  </w:style>
  <w:style w:type="paragraph" w:customStyle="1" w:styleId="141">
    <w:name w:val="Char2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42">
    <w:name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
    <w:name w:val="样式 首行缩进:  2 字符"/>
    <w:basedOn w:val="1"/>
    <w:autoRedefine/>
    <w:qFormat/>
    <w:uiPriority w:val="0"/>
    <w:pPr>
      <w:spacing w:line="400" w:lineRule="exact"/>
      <w:ind w:firstLine="200" w:firstLineChars="200"/>
    </w:pPr>
    <w:rPr>
      <w:rFonts w:cs="宋体"/>
      <w:sz w:val="24"/>
    </w:rPr>
  </w:style>
  <w:style w:type="paragraph" w:customStyle="1" w:styleId="144">
    <w:name w:val="五号正文（标准）"/>
    <w:basedOn w:val="1"/>
    <w:autoRedefine/>
    <w:qFormat/>
    <w:uiPriority w:val="0"/>
    <w:pPr>
      <w:spacing w:line="360" w:lineRule="auto"/>
      <w:ind w:right="55" w:firstLine="560" w:firstLineChars="200"/>
    </w:pPr>
    <w:rPr>
      <w:rFonts w:eastAsia="仿宋_GB2312"/>
      <w:sz w:val="28"/>
      <w:szCs w:val="20"/>
    </w:rPr>
  </w:style>
  <w:style w:type="paragraph" w:customStyle="1" w:styleId="145">
    <w:name w:val="_Style 144"/>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46">
    <w:name w:val="F2"/>
    <w:basedOn w:val="1"/>
    <w:autoRedefine/>
    <w:qFormat/>
    <w:uiPriority w:val="0"/>
    <w:pPr>
      <w:autoSpaceDE w:val="0"/>
      <w:autoSpaceDN w:val="0"/>
      <w:adjustRightInd w:val="0"/>
      <w:ind w:firstLine="601"/>
      <w:textAlignment w:val="baseline"/>
    </w:pPr>
    <w:rPr>
      <w:kern w:val="0"/>
      <w:sz w:val="24"/>
      <w:szCs w:val="20"/>
    </w:rPr>
  </w:style>
  <w:style w:type="paragraph" w:customStyle="1" w:styleId="147">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8">
    <w:name w:val="表格文字"/>
    <w:basedOn w:val="1"/>
    <w:autoRedefine/>
    <w:qFormat/>
    <w:uiPriority w:val="0"/>
    <w:pPr>
      <w:spacing w:before="25" w:after="25"/>
      <w:jc w:val="left"/>
    </w:pPr>
    <w:rPr>
      <w:bCs/>
      <w:spacing w:val="10"/>
      <w:kern w:val="0"/>
      <w:sz w:val="24"/>
    </w:rPr>
  </w:style>
  <w:style w:type="paragraph" w:customStyle="1" w:styleId="149">
    <w:name w:val="Default Paragraph Font Para Char"/>
    <w:basedOn w:val="1"/>
    <w:autoRedefine/>
    <w:qFormat/>
    <w:uiPriority w:val="0"/>
    <w:pPr>
      <w:widowControl/>
      <w:spacing w:after="160" w:line="240" w:lineRule="exact"/>
      <w:jc w:val="left"/>
    </w:pPr>
    <w:rPr>
      <w:rFonts w:ascii="Verdana" w:hAnsi="Verdana"/>
      <w:kern w:val="0"/>
      <w:sz w:val="20"/>
      <w:szCs w:val="20"/>
      <w:lang w:eastAsia="en-US"/>
    </w:rPr>
  </w:style>
  <w:style w:type="paragraph" w:styleId="150">
    <w:name w:val="List Paragraph"/>
    <w:basedOn w:val="1"/>
    <w:autoRedefine/>
    <w:qFormat/>
    <w:uiPriority w:val="0"/>
    <w:pPr>
      <w:ind w:firstLine="420" w:firstLineChars="200"/>
    </w:pPr>
    <w:rPr>
      <w:rFonts w:ascii="Calibri" w:hAnsi="Calibri"/>
      <w:szCs w:val="22"/>
    </w:rPr>
  </w:style>
  <w:style w:type="paragraph" w:customStyle="1" w:styleId="151">
    <w:name w:val="默认段落字体 Para Char"/>
    <w:basedOn w:val="1"/>
    <w:autoRedefine/>
    <w:qFormat/>
    <w:uiPriority w:val="0"/>
    <w:pPr>
      <w:adjustRightInd w:val="0"/>
      <w:spacing w:line="360" w:lineRule="auto"/>
    </w:pPr>
    <w:rPr>
      <w:kern w:val="0"/>
      <w:sz w:val="24"/>
      <w:szCs w:val="20"/>
    </w:rPr>
  </w:style>
  <w:style w:type="paragraph" w:customStyle="1" w:styleId="152">
    <w:name w:val="Char31"/>
    <w:basedOn w:val="1"/>
    <w:autoRedefine/>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53">
    <w:name w:val="普通 (Web)"/>
    <w:basedOn w:val="1"/>
    <w:autoRedefine/>
    <w:qFormat/>
    <w:uiPriority w:val="0"/>
    <w:pPr>
      <w:widowControl/>
      <w:spacing w:before="100" w:beforeAutospacing="1" w:after="100" w:afterAutospacing="1"/>
      <w:jc w:val="left"/>
    </w:pPr>
    <w:rPr>
      <w:rFonts w:ascii="宋体" w:hAnsi="宋体"/>
      <w:kern w:val="0"/>
      <w:sz w:val="24"/>
    </w:rPr>
  </w:style>
  <w:style w:type="paragraph" w:customStyle="1" w:styleId="154">
    <w:name w:val="次小点说明 Char"/>
    <w:basedOn w:val="7"/>
    <w:autoRedefine/>
    <w:qFormat/>
    <w:uiPriority w:val="0"/>
    <w:pPr>
      <w:ind w:firstLine="0"/>
    </w:pPr>
    <w:rPr>
      <w:sz w:val="24"/>
      <w:szCs w:val="24"/>
    </w:rPr>
  </w:style>
  <w:style w:type="paragraph" w:customStyle="1" w:styleId="155">
    <w:name w:val="List Paragraph1"/>
    <w:basedOn w:val="1"/>
    <w:autoRedefine/>
    <w:qFormat/>
    <w:uiPriority w:val="0"/>
    <w:pPr>
      <w:ind w:firstLine="420" w:firstLineChars="200"/>
    </w:pPr>
    <w:rPr>
      <w:rFonts w:ascii="Calibri" w:hAnsi="Calibri"/>
      <w:szCs w:val="22"/>
    </w:rPr>
  </w:style>
  <w:style w:type="paragraph" w:customStyle="1" w:styleId="156">
    <w:name w:val="a9"/>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57">
    <w:name w:val="_Style 156"/>
    <w:autoRedefine/>
    <w:qFormat/>
    <w:uiPriority w:val="0"/>
    <w:rPr>
      <w:rFonts w:ascii="Times New Roman" w:hAnsi="Times New Roman" w:eastAsia="宋体" w:cs="Times New Roman"/>
      <w:kern w:val="2"/>
      <w:sz w:val="21"/>
      <w:szCs w:val="24"/>
      <w:lang w:val="en-US" w:eastAsia="zh-CN" w:bidi="ar-SA"/>
    </w:rPr>
  </w:style>
  <w:style w:type="paragraph" w:customStyle="1" w:styleId="158">
    <w:name w:val="列出段落1"/>
    <w:basedOn w:val="1"/>
    <w:autoRedefine/>
    <w:qFormat/>
    <w:uiPriority w:val="0"/>
    <w:pPr>
      <w:adjustRightInd w:val="0"/>
      <w:spacing w:line="360" w:lineRule="atLeast"/>
      <w:ind w:firstLine="420" w:firstLineChars="200"/>
      <w:jc w:val="left"/>
      <w:textAlignment w:val="baseline"/>
    </w:pPr>
    <w:rPr>
      <w:rFonts w:ascii="Calibri" w:hAnsi="Calibri"/>
      <w:kern w:val="0"/>
      <w:sz w:val="24"/>
      <w:szCs w:val="22"/>
    </w:rPr>
  </w:style>
  <w:style w:type="paragraph" w:customStyle="1" w:styleId="159">
    <w:name w:val="默认段落字体 Para Char Char Char Char Char Char Char Char Char1 Char Char Char Char"/>
    <w:basedOn w:val="1"/>
    <w:autoRedefine/>
    <w:qFormat/>
    <w:uiPriority w:val="0"/>
    <w:rPr>
      <w:rFonts w:ascii="Tahoma" w:hAnsi="Tahoma"/>
      <w:sz w:val="24"/>
      <w:szCs w:val="20"/>
    </w:rPr>
  </w:style>
  <w:style w:type="paragraph" w:customStyle="1" w:styleId="160">
    <w:name w:val="2ji"/>
    <w:basedOn w:val="3"/>
    <w:autoRedefine/>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61">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2">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宋体" w:cs="宋体"/>
      <w:b w:val="0"/>
      <w:bCs w:val="0"/>
      <w:sz w:val="28"/>
      <w:szCs w:val="20"/>
    </w:rPr>
  </w:style>
  <w:style w:type="paragraph" w:customStyle="1" w:styleId="163">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64">
    <w:name w:val="tgt1"/>
    <w:basedOn w:val="1"/>
    <w:autoRedefine/>
    <w:qFormat/>
    <w:uiPriority w:val="0"/>
    <w:pPr>
      <w:widowControl/>
      <w:spacing w:after="150"/>
      <w:jc w:val="left"/>
    </w:pPr>
    <w:rPr>
      <w:rFonts w:ascii="宋体" w:hAnsi="宋体" w:cs="宋体"/>
      <w:kern w:val="0"/>
      <w:sz w:val="24"/>
    </w:rPr>
  </w:style>
  <w:style w:type="paragraph" w:customStyle="1" w:styleId="165">
    <w:name w:val="列表段落1"/>
    <w:basedOn w:val="1"/>
    <w:autoRedefine/>
    <w:qFormat/>
    <w:uiPriority w:val="0"/>
    <w:pPr>
      <w:ind w:firstLine="420" w:firstLineChars="200"/>
    </w:pPr>
  </w:style>
  <w:style w:type="paragraph" w:customStyle="1" w:styleId="166">
    <w:name w:val="缺省文本"/>
    <w:basedOn w:val="1"/>
    <w:autoRedefine/>
    <w:qFormat/>
    <w:uiPriority w:val="0"/>
    <w:pPr>
      <w:autoSpaceDE w:val="0"/>
      <w:autoSpaceDN w:val="0"/>
      <w:adjustRightInd w:val="0"/>
      <w:spacing w:line="360" w:lineRule="auto"/>
      <w:jc w:val="left"/>
    </w:pPr>
    <w:rPr>
      <w:kern w:val="0"/>
      <w:sz w:val="24"/>
      <w:szCs w:val="20"/>
    </w:rPr>
  </w:style>
  <w:style w:type="paragraph" w:customStyle="1" w:styleId="167">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8">
    <w:name w:val="Char Char Char11"/>
    <w:basedOn w:val="17"/>
    <w:autoRedefine/>
    <w:qFormat/>
    <w:uiPriority w:val="0"/>
    <w:pPr>
      <w:adjustRightInd/>
      <w:spacing w:line="240" w:lineRule="auto"/>
      <w:textAlignment w:val="auto"/>
    </w:pPr>
    <w:rPr>
      <w:rFonts w:ascii="Tahoma" w:hAnsi="Tahoma"/>
      <w:kern w:val="2"/>
      <w:sz w:val="24"/>
      <w:szCs w:val="24"/>
    </w:rPr>
  </w:style>
  <w:style w:type="paragraph" w:customStyle="1" w:styleId="169">
    <w:name w:val="Char Char Char Char Char Char Char Char Char Char Char Char Char1"/>
    <w:basedOn w:val="17"/>
    <w:autoRedefine/>
    <w:qFormat/>
    <w:uiPriority w:val="0"/>
    <w:pPr>
      <w:adjustRightInd/>
      <w:spacing w:line="240" w:lineRule="auto"/>
      <w:textAlignment w:val="auto"/>
    </w:pPr>
    <w:rPr>
      <w:rFonts w:ascii="Tahoma" w:hAnsi="Tahoma"/>
      <w:kern w:val="2"/>
      <w:sz w:val="24"/>
      <w:szCs w:val="24"/>
    </w:rPr>
  </w:style>
  <w:style w:type="paragraph" w:customStyle="1" w:styleId="17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71">
    <w:name w:val="1"/>
    <w:basedOn w:val="1"/>
    <w:next w:val="27"/>
    <w:autoRedefine/>
    <w:qFormat/>
    <w:uiPriority w:val="0"/>
    <w:rPr>
      <w:rFonts w:ascii="宋体" w:hAnsi="Courier New"/>
      <w:szCs w:val="20"/>
    </w:rPr>
  </w:style>
  <w:style w:type="paragraph" w:customStyle="1" w:styleId="172">
    <w:name w:val="xl2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173">
    <w:name w:val="2-2ji"/>
    <w:basedOn w:val="3"/>
    <w:autoRedefine/>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74">
    <w:name w:val="Char3"/>
    <w:basedOn w:val="1"/>
    <w:autoRedefine/>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5">
    <w:name w:val="Char Char Char Char Char Char Char Char Char Char Char Char Char Char Char Char"/>
    <w:basedOn w:val="1"/>
    <w:autoRedefine/>
    <w:qFormat/>
    <w:uiPriority w:val="0"/>
    <w:pPr>
      <w:tabs>
        <w:tab w:val="left" w:pos="360"/>
      </w:tabs>
      <w:spacing w:line="360" w:lineRule="auto"/>
      <w:ind w:left="482" w:firstLine="200" w:firstLineChars="200"/>
    </w:pPr>
    <w:rPr>
      <w:rFonts w:ascii="宋体"/>
      <w:sz w:val="24"/>
    </w:rPr>
  </w:style>
  <w:style w:type="paragraph" w:customStyle="1" w:styleId="176">
    <w:name w:val="xl31"/>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77">
    <w:name w:val="正文段"/>
    <w:basedOn w:val="1"/>
    <w:autoRedefine/>
    <w:qFormat/>
    <w:uiPriority w:val="0"/>
    <w:pPr>
      <w:widowControl/>
      <w:snapToGrid w:val="0"/>
      <w:spacing w:afterLines="50"/>
      <w:ind w:firstLine="200" w:firstLineChars="200"/>
    </w:pPr>
    <w:rPr>
      <w:kern w:val="0"/>
      <w:sz w:val="24"/>
      <w:szCs w:val="20"/>
    </w:rPr>
  </w:style>
  <w:style w:type="paragraph" w:customStyle="1" w:styleId="178">
    <w:name w:val="Char Char Char Char Char Char Char Char Char Char Char Char Char Char Char Char1"/>
    <w:basedOn w:val="1"/>
    <w:autoRedefine/>
    <w:qFormat/>
    <w:uiPriority w:val="0"/>
    <w:pPr>
      <w:tabs>
        <w:tab w:val="left" w:pos="360"/>
      </w:tabs>
      <w:spacing w:line="360" w:lineRule="auto"/>
      <w:ind w:left="482" w:firstLine="200" w:firstLineChars="200"/>
    </w:pPr>
    <w:rPr>
      <w:rFonts w:ascii="宋体"/>
      <w:sz w:val="24"/>
    </w:rPr>
  </w:style>
  <w:style w:type="paragraph" w:customStyle="1" w:styleId="179">
    <w:name w:val="Char Char Char1"/>
    <w:basedOn w:val="17"/>
    <w:autoRedefine/>
    <w:qFormat/>
    <w:uiPriority w:val="0"/>
    <w:pPr>
      <w:adjustRightInd/>
      <w:spacing w:line="240" w:lineRule="auto"/>
      <w:textAlignment w:val="auto"/>
    </w:pPr>
    <w:rPr>
      <w:rFonts w:ascii="Tahoma" w:hAnsi="Tahoma"/>
      <w:kern w:val="2"/>
      <w:sz w:val="24"/>
      <w:szCs w:val="24"/>
    </w:rPr>
  </w:style>
  <w:style w:type="paragraph" w:customStyle="1" w:styleId="180">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181">
    <w:name w:val="p16"/>
    <w:basedOn w:val="1"/>
    <w:qFormat/>
    <w:uiPriority w:val="0"/>
    <w:pPr>
      <w:widowControl/>
      <w:ind w:firstLine="420"/>
    </w:pPr>
    <w:rPr>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3.emf"/><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header" Target="header12.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Info spid="_x0000_s3074"/>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72</Pages>
  <Words>2027</Words>
  <Characters>2440</Characters>
  <Lines>382</Lines>
  <Paragraphs>107</Paragraphs>
  <TotalTime>23</TotalTime>
  <ScaleCrop>false</ScaleCrop>
  <LinksUpToDate>false</LinksUpToDate>
  <CharactersWithSpaces>2489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2024-08-01T20:50:00Z</dcterms:created>
  <dc:creator>微软用户</dc:creator>
  <cp:lastModifiedBy>广西机电</cp:lastModifiedBy>
  <cp:lastPrinted>2016-03-22T07:52:00Z</cp:lastPrinted>
  <dcterms:modified xsi:type="dcterms:W3CDTF">2026-06-29T04:17:13Z</dcterms:modified>
  <dc:title>桂财采〔2009〕 号</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69658175F5A14388A7D52F5555B0A41A_13</vt:lpwstr>
  </property>
  <property fmtid="{D5CDD505-2E9C-101B-9397-08002B2CF9AE}" pid="14" name="KSOTemplateDocerSaveRecord">
    <vt:lpwstr>eyJoZGlkIjoiODYzNWM5MTY2MmJmODAwNzZjOWIxMzE0Yjg0YTQyMTIiLCJ1c2VySWQiOiIxNjUxNjQ0NjMyIn0=</vt:lpwstr>
  </property>
</Properties>
</file>