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7F3F91F">
      <w:pPr>
        <w:pStyle w:val="20"/>
        <w:kinsoku w:val="0"/>
        <w:overflowPunct w:val="0"/>
        <w:rPr>
          <w:rFonts w:ascii="Arial" w:hAnsi="Arial" w:cs="Arial"/>
          <w:color w:val="auto"/>
          <w:highlight w:val="none"/>
        </w:rPr>
      </w:pPr>
      <w:bookmarkStart w:id="0" w:name="_Toc183682338"/>
      <w:bookmarkStart w:id="1" w:name="_Toc217446030"/>
      <w:r>
        <w:rPr>
          <w:rFonts w:hint="default" w:ascii="Arial" w:hAnsi="Arial" w:cs="Arial"/>
          <w:color w:val="auto"/>
          <w:highlight w:val="none"/>
        </w:rPr>
        <w:drawing>
          <wp:anchor distT="0" distB="0" distL="114300" distR="114300" simplePos="0" relativeHeight="251663360" behindDoc="0" locked="0" layoutInCell="1" allowOverlap="1">
            <wp:simplePos x="0" y="0"/>
            <wp:positionH relativeFrom="column">
              <wp:posOffset>533400</wp:posOffset>
            </wp:positionH>
            <wp:positionV relativeFrom="paragraph">
              <wp:posOffset>-179705</wp:posOffset>
            </wp:positionV>
            <wp:extent cx="4654550" cy="584200"/>
            <wp:effectExtent l="0" t="0" r="12700" b="6350"/>
            <wp:wrapNone/>
            <wp:docPr id="3"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1-2-1LOGO中英文全称横式"/>
                    <pic:cNvPicPr>
                      <a:picLocks noChangeAspect="1"/>
                    </pic:cNvPicPr>
                  </pic:nvPicPr>
                  <pic:blipFill>
                    <a:blip r:embed="rId20"/>
                    <a:stretch>
                      <a:fillRect/>
                    </a:stretch>
                  </pic:blipFill>
                  <pic:spPr>
                    <a:xfrm>
                      <a:off x="1433830" y="720725"/>
                      <a:ext cx="4654550" cy="584200"/>
                    </a:xfrm>
                    <a:prstGeom prst="rect">
                      <a:avLst/>
                    </a:prstGeom>
                    <a:noFill/>
                    <a:ln>
                      <a:noFill/>
                    </a:ln>
                  </pic:spPr>
                </pic:pic>
              </a:graphicData>
            </a:graphic>
          </wp:anchor>
        </w:drawing>
      </w:r>
      <w:r>
        <w:rPr>
          <w:rFonts w:hint="default" w:ascii="Arial" w:hAnsi="Arial" w:cs="Arial"/>
          <w:color w:val="auto"/>
          <w:highlight w:val="none"/>
        </w:rPr>
        <w:drawing>
          <wp:anchor distT="0" distB="0" distL="114300" distR="114300" simplePos="0" relativeHeight="251662336" behindDoc="1" locked="0" layoutInCell="1" allowOverlap="1">
            <wp:simplePos x="0" y="0"/>
            <wp:positionH relativeFrom="column">
              <wp:posOffset>-901700</wp:posOffset>
            </wp:positionH>
            <wp:positionV relativeFrom="paragraph">
              <wp:posOffset>-883285</wp:posOffset>
            </wp:positionV>
            <wp:extent cx="7752715" cy="10779760"/>
            <wp:effectExtent l="0" t="0" r="635" b="2540"/>
            <wp:wrapNone/>
            <wp:docPr id="2" name="图片 6"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2-2-3辅助图形3白底"/>
                    <pic:cNvPicPr>
                      <a:picLocks noChangeAspect="1"/>
                    </pic:cNvPicPr>
                  </pic:nvPicPr>
                  <pic:blipFill>
                    <a:blip r:embed="rId21"/>
                    <a:stretch>
                      <a:fillRect/>
                    </a:stretch>
                  </pic:blipFill>
                  <pic:spPr>
                    <a:xfrm>
                      <a:off x="-1270" y="17145"/>
                      <a:ext cx="7752715" cy="10779760"/>
                    </a:xfrm>
                    <a:prstGeom prst="rect">
                      <a:avLst/>
                    </a:prstGeom>
                    <a:noFill/>
                    <a:ln>
                      <a:noFill/>
                    </a:ln>
                  </pic:spPr>
                </pic:pic>
              </a:graphicData>
            </a:graphic>
          </wp:anchor>
        </w:drawing>
      </w:r>
    </w:p>
    <w:p w14:paraId="3AEE08A4">
      <w:pPr>
        <w:tabs>
          <w:tab w:val="left" w:pos="1710"/>
        </w:tabs>
        <w:rPr>
          <w:rFonts w:ascii="Arial" w:hAnsi="Arial" w:cs="Arial"/>
          <w:color w:val="auto"/>
          <w:highlight w:val="none"/>
        </w:rPr>
      </w:pPr>
    </w:p>
    <w:p w14:paraId="74036E1D">
      <w:pPr>
        <w:tabs>
          <w:tab w:val="left" w:pos="1710"/>
        </w:tabs>
        <w:rPr>
          <w:rFonts w:ascii="Arial" w:hAnsi="Arial" w:cs="Arial"/>
          <w:color w:val="auto"/>
          <w:highlight w:val="none"/>
        </w:rPr>
      </w:pPr>
    </w:p>
    <w:p w14:paraId="61D6D28B">
      <w:pPr>
        <w:tabs>
          <w:tab w:val="left" w:pos="1710"/>
        </w:tabs>
        <w:rPr>
          <w:rFonts w:ascii="Arial" w:hAnsi="Arial" w:cs="Arial"/>
          <w:color w:val="auto"/>
          <w:highlight w:val="none"/>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7A09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noWrap w:val="0"/>
            <w:vAlign w:val="top"/>
          </w:tcPr>
          <w:p w14:paraId="7B651E60">
            <w:pPr>
              <w:snapToGrid w:val="0"/>
              <w:spacing w:line="240" w:lineRule="atLeast"/>
              <w:jc w:val="center"/>
              <w:rPr>
                <w:rFonts w:ascii="Arial" w:hAnsi="Arial" w:eastAsia="宋体" w:cs="Arial"/>
                <w:b/>
                <w:color w:val="auto"/>
                <w:sz w:val="60"/>
                <w:szCs w:val="60"/>
                <w:highlight w:val="none"/>
              </w:rPr>
            </w:pPr>
            <w:r>
              <w:rPr>
                <w:rFonts w:ascii="Arial" w:hAnsi="Arial" w:eastAsia="宋体" w:cs="Arial"/>
                <w:b/>
                <w:color w:val="auto"/>
                <w:sz w:val="60"/>
                <w:szCs w:val="60"/>
                <w:highlight w:val="none"/>
              </w:rPr>
              <w:t>招  标  文  件</w:t>
            </w:r>
          </w:p>
        </w:tc>
      </w:tr>
      <w:tr w14:paraId="745F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exact"/>
          <w:jc w:val="center"/>
        </w:trPr>
        <w:tc>
          <w:tcPr>
            <w:tcW w:w="1764" w:type="dxa"/>
            <w:noWrap w:val="0"/>
            <w:vAlign w:val="center"/>
          </w:tcPr>
          <w:p w14:paraId="534D65C6">
            <w:pPr>
              <w:rPr>
                <w:rFonts w:ascii="Arial" w:hAnsi="Arial" w:eastAsia="宋体" w:cs="Arial"/>
                <w:b/>
                <w:color w:val="auto"/>
                <w:sz w:val="32"/>
                <w:szCs w:val="32"/>
                <w:highlight w:val="none"/>
              </w:rPr>
            </w:pPr>
            <w:r>
              <w:rPr>
                <w:rFonts w:ascii="Arial" w:hAnsi="Arial" w:eastAsia="宋体" w:cs="Arial"/>
                <w:b/>
                <w:color w:val="auto"/>
                <w:sz w:val="32"/>
                <w:szCs w:val="32"/>
                <w:highlight w:val="none"/>
              </w:rPr>
              <w:t>项目名称：</w:t>
            </w:r>
          </w:p>
        </w:tc>
        <w:tc>
          <w:tcPr>
            <w:tcW w:w="5433" w:type="dxa"/>
            <w:noWrap w:val="0"/>
            <w:vAlign w:val="center"/>
          </w:tcPr>
          <w:p w14:paraId="5574C936">
            <w:pPr>
              <w:rPr>
                <w:rFonts w:hint="eastAsia" w:ascii="Arial" w:hAnsi="Arial" w:eastAsia="宋体" w:cs="Arial"/>
                <w:b/>
                <w:color w:val="auto"/>
                <w:sz w:val="32"/>
                <w:szCs w:val="32"/>
                <w:highlight w:val="none"/>
                <w:lang w:eastAsia="zh-CN"/>
              </w:rPr>
            </w:pPr>
            <w:r>
              <w:rPr>
                <w:rFonts w:hint="eastAsia" w:ascii="Arial" w:hAnsi="Arial" w:eastAsia="宋体" w:cs="Arial"/>
                <w:b/>
                <w:color w:val="auto"/>
                <w:sz w:val="32"/>
                <w:szCs w:val="32"/>
                <w:highlight w:val="none"/>
                <w:lang w:eastAsia="zh-CN"/>
              </w:rPr>
              <w:t>外送检验、病理诊断等检测项目供应服务</w:t>
            </w:r>
          </w:p>
        </w:tc>
      </w:tr>
      <w:tr w14:paraId="78F6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14AD8820">
            <w:pPr>
              <w:rPr>
                <w:rFonts w:ascii="Arial" w:hAnsi="Arial" w:eastAsia="宋体" w:cs="Arial"/>
                <w:b/>
                <w:color w:val="auto"/>
                <w:sz w:val="32"/>
                <w:szCs w:val="32"/>
                <w:highlight w:val="none"/>
              </w:rPr>
            </w:pPr>
            <w:r>
              <w:rPr>
                <w:rFonts w:ascii="Arial" w:hAnsi="Arial" w:eastAsia="宋体" w:cs="Arial"/>
                <w:b/>
                <w:color w:val="auto"/>
                <w:sz w:val="32"/>
                <w:szCs w:val="32"/>
                <w:highlight w:val="none"/>
              </w:rPr>
              <w:t>项目编号：</w:t>
            </w:r>
          </w:p>
        </w:tc>
        <w:tc>
          <w:tcPr>
            <w:tcW w:w="5433" w:type="dxa"/>
            <w:noWrap w:val="0"/>
            <w:vAlign w:val="center"/>
          </w:tcPr>
          <w:p w14:paraId="66454282">
            <w:pPr>
              <w:rPr>
                <w:rFonts w:hint="eastAsia" w:ascii="Arial" w:hAnsi="Arial" w:eastAsia="宋体" w:cs="Arial"/>
                <w:b/>
                <w:color w:val="auto"/>
                <w:sz w:val="32"/>
                <w:szCs w:val="32"/>
                <w:highlight w:val="none"/>
                <w:lang w:eastAsia="zh-CN"/>
              </w:rPr>
            </w:pPr>
            <w:r>
              <w:rPr>
                <w:rFonts w:hint="eastAsia" w:ascii="Arial" w:hAnsi="Arial" w:cs="Arial"/>
                <w:b/>
                <w:color w:val="auto"/>
                <w:sz w:val="32"/>
                <w:szCs w:val="32"/>
                <w:highlight w:val="none"/>
                <w:lang w:eastAsia="zh-CN"/>
              </w:rPr>
              <w:t>GXZC2026-G3-002388-JDZB</w:t>
            </w:r>
          </w:p>
        </w:tc>
      </w:tr>
      <w:tr w14:paraId="65F9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1E02CC05">
            <w:pPr>
              <w:rPr>
                <w:rFonts w:ascii="Arial" w:hAnsi="Arial" w:eastAsia="宋体" w:cs="Arial"/>
                <w:b/>
                <w:color w:val="auto"/>
                <w:sz w:val="32"/>
                <w:szCs w:val="32"/>
                <w:highlight w:val="none"/>
              </w:rPr>
            </w:pPr>
            <w:r>
              <w:rPr>
                <w:rFonts w:ascii="Arial" w:hAnsi="Arial" w:eastAsia="宋体" w:cs="Arial"/>
                <w:b/>
                <w:color w:val="auto"/>
                <w:sz w:val="32"/>
                <w:szCs w:val="32"/>
                <w:highlight w:val="none"/>
              </w:rPr>
              <w:t>联系电话：</w:t>
            </w:r>
          </w:p>
        </w:tc>
        <w:tc>
          <w:tcPr>
            <w:tcW w:w="5433" w:type="dxa"/>
            <w:noWrap w:val="0"/>
            <w:vAlign w:val="center"/>
          </w:tcPr>
          <w:p w14:paraId="5639E9AA">
            <w:pPr>
              <w:rPr>
                <w:rFonts w:ascii="Arial" w:hAnsi="Arial" w:eastAsia="宋体" w:cs="Arial"/>
                <w:b/>
                <w:color w:val="auto"/>
                <w:sz w:val="32"/>
                <w:szCs w:val="32"/>
                <w:highlight w:val="none"/>
              </w:rPr>
            </w:pPr>
            <w:r>
              <w:rPr>
                <w:rFonts w:ascii="Arial" w:hAnsi="Arial" w:eastAsia="宋体" w:cs="Arial"/>
                <w:b/>
                <w:color w:val="auto"/>
                <w:sz w:val="32"/>
                <w:szCs w:val="32"/>
                <w:highlight w:val="none"/>
              </w:rPr>
              <w:t>0773-3696789转2</w:t>
            </w:r>
          </w:p>
        </w:tc>
      </w:tr>
    </w:tbl>
    <w:p w14:paraId="3BE24BE5">
      <w:pPr>
        <w:tabs>
          <w:tab w:val="left" w:pos="1710"/>
        </w:tabs>
        <w:rPr>
          <w:rFonts w:ascii="Arial" w:hAnsi="Arial" w:cs="Arial"/>
          <w:color w:val="auto"/>
          <w:highlight w:val="none"/>
        </w:rPr>
      </w:pPr>
    </w:p>
    <w:p w14:paraId="7EFC668B">
      <w:pPr>
        <w:rPr>
          <w:rFonts w:ascii="Arial" w:hAnsi="Arial" w:cs="Arial"/>
          <w:color w:val="auto"/>
          <w:highlight w:val="none"/>
        </w:rPr>
      </w:pPr>
    </w:p>
    <w:p w14:paraId="70E14830">
      <w:pPr>
        <w:rPr>
          <w:rFonts w:ascii="Arial" w:hAnsi="Arial" w:cs="Arial"/>
          <w:color w:val="auto"/>
          <w:highlight w:val="none"/>
        </w:rPr>
      </w:pPr>
    </w:p>
    <w:p w14:paraId="3CE30D3D">
      <w:pPr>
        <w:rPr>
          <w:rFonts w:ascii="Arial" w:hAnsi="Arial" w:cs="Arial"/>
          <w:color w:val="auto"/>
          <w:highlight w:val="none"/>
        </w:rPr>
      </w:pPr>
    </w:p>
    <w:p w14:paraId="40019134">
      <w:pPr>
        <w:rPr>
          <w:rFonts w:ascii="Arial" w:hAnsi="Arial" w:cs="Arial"/>
          <w:color w:val="auto"/>
          <w:highlight w:val="none"/>
        </w:rPr>
      </w:pPr>
    </w:p>
    <w:p w14:paraId="284BA909">
      <w:pPr>
        <w:rPr>
          <w:rFonts w:ascii="Arial" w:hAnsi="Arial" w:cs="Arial"/>
          <w:color w:val="auto"/>
          <w:highlight w:val="none"/>
        </w:rPr>
      </w:pPr>
    </w:p>
    <w:p w14:paraId="2AFF67DD">
      <w:pPr>
        <w:rPr>
          <w:rFonts w:ascii="Arial" w:hAnsi="Arial" w:cs="Arial"/>
          <w:color w:val="auto"/>
          <w:highlight w:val="none"/>
        </w:rPr>
      </w:pPr>
    </w:p>
    <w:p w14:paraId="18484F8A">
      <w:pPr>
        <w:rPr>
          <w:rFonts w:ascii="Arial" w:hAnsi="Arial" w:cs="Arial"/>
          <w:color w:val="auto"/>
          <w:highlight w:val="none"/>
        </w:rPr>
      </w:pPr>
    </w:p>
    <w:p w14:paraId="798A3E3A">
      <w:pPr>
        <w:rPr>
          <w:rFonts w:ascii="Arial" w:hAnsi="Arial" w:cs="Arial"/>
          <w:color w:val="auto"/>
          <w:highlight w:val="none"/>
        </w:rPr>
      </w:pPr>
    </w:p>
    <w:p w14:paraId="3B88A7F6">
      <w:pPr>
        <w:rPr>
          <w:rFonts w:ascii="Arial" w:hAnsi="Arial" w:cs="Arial"/>
          <w:color w:val="auto"/>
          <w:highlight w:val="none"/>
        </w:rPr>
      </w:pPr>
    </w:p>
    <w:p w14:paraId="7BCA729C">
      <w:pPr>
        <w:rPr>
          <w:rFonts w:ascii="Arial" w:hAnsi="Arial" w:cs="Arial"/>
          <w:color w:val="auto"/>
          <w:highlight w:val="none"/>
        </w:rPr>
      </w:pPr>
    </w:p>
    <w:p w14:paraId="5E693FD7">
      <w:pPr>
        <w:rPr>
          <w:rFonts w:ascii="Arial" w:hAnsi="Arial" w:cs="Arial"/>
          <w:color w:val="auto"/>
          <w:highlight w:val="none"/>
        </w:rPr>
      </w:pPr>
    </w:p>
    <w:p w14:paraId="306F4307">
      <w:pPr>
        <w:rPr>
          <w:rFonts w:ascii="Arial" w:hAnsi="Arial" w:cs="Arial"/>
          <w:color w:val="auto"/>
          <w:highlight w:val="none"/>
        </w:rPr>
      </w:pPr>
    </w:p>
    <w:p w14:paraId="421D5538">
      <w:pPr>
        <w:rPr>
          <w:rFonts w:ascii="Arial" w:hAnsi="Arial" w:cs="Arial"/>
          <w:color w:val="auto"/>
          <w:highlight w:val="none"/>
        </w:rPr>
      </w:pPr>
    </w:p>
    <w:p w14:paraId="19796CB3">
      <w:pPr>
        <w:rPr>
          <w:rFonts w:ascii="Arial" w:hAnsi="Arial" w:cs="Arial"/>
          <w:color w:val="auto"/>
          <w:highlight w:val="none"/>
        </w:rPr>
      </w:pPr>
    </w:p>
    <w:tbl>
      <w:tblPr>
        <w:tblStyle w:val="52"/>
        <w:tblW w:w="0" w:type="auto"/>
        <w:jc w:val="center"/>
        <w:tblLayout w:type="fixed"/>
        <w:tblCellMar>
          <w:top w:w="0" w:type="dxa"/>
          <w:left w:w="108" w:type="dxa"/>
          <w:bottom w:w="0" w:type="dxa"/>
          <w:right w:w="108" w:type="dxa"/>
        </w:tblCellMar>
      </w:tblPr>
      <w:tblGrid>
        <w:gridCol w:w="2707"/>
        <w:gridCol w:w="6"/>
        <w:gridCol w:w="5571"/>
      </w:tblGrid>
      <w:tr w14:paraId="3C50F854">
        <w:trPr>
          <w:trHeight w:val="703" w:hRule="atLeast"/>
          <w:jc w:val="center"/>
        </w:trPr>
        <w:tc>
          <w:tcPr>
            <w:tcW w:w="2707" w:type="dxa"/>
            <w:noWrap w:val="0"/>
            <w:vAlign w:val="center"/>
          </w:tcPr>
          <w:p w14:paraId="3A61365C">
            <w:pPr>
              <w:autoSpaceDE w:val="0"/>
              <w:autoSpaceDN w:val="0"/>
              <w:adjustRightInd w:val="0"/>
              <w:jc w:val="right"/>
              <w:rPr>
                <w:rFonts w:ascii="Arial" w:hAnsi="Arial" w:eastAsia="宋体" w:cs="Arial"/>
                <w:b/>
                <w:color w:val="auto"/>
                <w:sz w:val="32"/>
                <w:szCs w:val="32"/>
                <w:highlight w:val="none"/>
              </w:rPr>
            </w:pPr>
            <w:r>
              <w:rPr>
                <w:rFonts w:ascii="Arial" w:hAnsi="Arial" w:eastAsia="宋体" w:cs="Arial"/>
                <w:b/>
                <w:color w:val="auto"/>
                <w:sz w:val="32"/>
                <w:szCs w:val="32"/>
                <w:highlight w:val="none"/>
              </w:rPr>
              <w:t xml:space="preserve">  采购人：</w:t>
            </w:r>
          </w:p>
        </w:tc>
        <w:tc>
          <w:tcPr>
            <w:tcW w:w="5577" w:type="dxa"/>
            <w:gridSpan w:val="2"/>
            <w:noWrap w:val="0"/>
            <w:vAlign w:val="center"/>
          </w:tcPr>
          <w:p w14:paraId="7B37F8CE">
            <w:pPr>
              <w:autoSpaceDE w:val="0"/>
              <w:autoSpaceDN w:val="0"/>
              <w:adjustRightInd w:val="0"/>
              <w:jc w:val="left"/>
              <w:rPr>
                <w:rFonts w:hint="eastAsia" w:ascii="Arial" w:hAnsi="Arial" w:eastAsia="宋体" w:cs="Arial"/>
                <w:b/>
                <w:color w:val="auto"/>
                <w:sz w:val="32"/>
                <w:szCs w:val="32"/>
                <w:highlight w:val="none"/>
                <w:lang w:eastAsia="zh-CN"/>
              </w:rPr>
            </w:pPr>
            <w:r>
              <w:rPr>
                <w:rFonts w:hint="eastAsia" w:ascii="Arial" w:hAnsi="Arial" w:eastAsia="宋体" w:cs="Arial"/>
                <w:b/>
                <w:color w:val="auto"/>
                <w:sz w:val="32"/>
                <w:szCs w:val="32"/>
                <w:highlight w:val="none"/>
                <w:lang w:eastAsia="zh-CN"/>
              </w:rPr>
              <w:t>桂林医科大学第一附属医院</w:t>
            </w:r>
          </w:p>
        </w:tc>
      </w:tr>
      <w:tr w14:paraId="28B566E3">
        <w:tblPrEx>
          <w:tblCellMar>
            <w:top w:w="0" w:type="dxa"/>
            <w:left w:w="108" w:type="dxa"/>
            <w:bottom w:w="0" w:type="dxa"/>
            <w:right w:w="108" w:type="dxa"/>
          </w:tblCellMar>
        </w:tblPrEx>
        <w:trPr>
          <w:trHeight w:val="703" w:hRule="atLeast"/>
          <w:jc w:val="center"/>
        </w:trPr>
        <w:tc>
          <w:tcPr>
            <w:tcW w:w="2713" w:type="dxa"/>
            <w:gridSpan w:val="2"/>
            <w:noWrap w:val="0"/>
            <w:vAlign w:val="top"/>
          </w:tcPr>
          <w:p w14:paraId="1B65E5F0">
            <w:pPr>
              <w:autoSpaceDE w:val="0"/>
              <w:autoSpaceDN w:val="0"/>
              <w:adjustRightInd w:val="0"/>
              <w:jc w:val="right"/>
              <w:rPr>
                <w:rFonts w:ascii="Arial" w:hAnsi="Arial" w:eastAsia="宋体" w:cs="Arial"/>
                <w:b/>
                <w:color w:val="auto"/>
                <w:sz w:val="32"/>
                <w:szCs w:val="32"/>
                <w:highlight w:val="none"/>
              </w:rPr>
            </w:pPr>
            <w:r>
              <w:rPr>
                <w:rFonts w:ascii="Arial" w:hAnsi="Arial" w:eastAsia="宋体" w:cs="Arial"/>
                <w:b/>
                <w:color w:val="auto"/>
                <w:sz w:val="32"/>
                <w:szCs w:val="32"/>
                <w:highlight w:val="none"/>
              </w:rPr>
              <w:t>采购代理机构：</w:t>
            </w:r>
          </w:p>
        </w:tc>
        <w:tc>
          <w:tcPr>
            <w:tcW w:w="5571" w:type="dxa"/>
            <w:noWrap w:val="0"/>
            <w:vAlign w:val="top"/>
          </w:tcPr>
          <w:p w14:paraId="1DDF638C">
            <w:pPr>
              <w:autoSpaceDE w:val="0"/>
              <w:autoSpaceDN w:val="0"/>
              <w:adjustRightInd w:val="0"/>
              <w:rPr>
                <w:rFonts w:ascii="Arial" w:hAnsi="Arial" w:eastAsia="宋体" w:cs="Arial"/>
                <w:b/>
                <w:color w:val="auto"/>
                <w:sz w:val="32"/>
                <w:szCs w:val="32"/>
                <w:highlight w:val="none"/>
                <w:u w:val="single"/>
              </w:rPr>
            </w:pPr>
            <w:r>
              <w:rPr>
                <w:rFonts w:ascii="Arial" w:hAnsi="Arial" w:eastAsia="宋体" w:cs="Arial"/>
                <w:b/>
                <w:color w:val="auto"/>
                <w:sz w:val="32"/>
                <w:szCs w:val="32"/>
                <w:highlight w:val="none"/>
              </w:rPr>
              <w:t>广西机电设备招标有限公司</w:t>
            </w:r>
          </w:p>
        </w:tc>
      </w:tr>
    </w:tbl>
    <w:p w14:paraId="2A9C5F44">
      <w:pPr>
        <w:rPr>
          <w:rFonts w:ascii="Arial" w:hAnsi="Arial" w:cs="Arial"/>
          <w:color w:val="auto"/>
          <w:highlight w:val="none"/>
        </w:rPr>
      </w:pPr>
    </w:p>
    <w:p w14:paraId="6A0193B6">
      <w:pPr>
        <w:ind w:firstLine="321" w:firstLineChars="100"/>
        <w:jc w:val="center"/>
        <w:rPr>
          <w:rFonts w:ascii="Arial" w:hAnsi="Arial" w:cs="Arial"/>
          <w:b/>
          <w:color w:val="auto"/>
          <w:sz w:val="32"/>
          <w:szCs w:val="32"/>
          <w:highlight w:val="none"/>
        </w:rPr>
        <w:sectPr>
          <w:headerReference r:id="rId3" w:type="first"/>
          <w:footerReference r:id="rId5" w:type="first"/>
          <w:footerReference r:id="rId4" w:type="even"/>
          <w:type w:val="nextColumn"/>
          <w:pgSz w:w="11906" w:h="16838"/>
          <w:pgMar w:top="1418" w:right="1418" w:bottom="1246" w:left="1418" w:header="851" w:footer="992" w:gutter="0"/>
          <w:pgNumType w:start="0"/>
          <w:cols w:space="720" w:num="1"/>
          <w:titlePg/>
          <w:docGrid w:linePitch="312" w:charSpace="0"/>
        </w:sectPr>
      </w:pPr>
      <w:bookmarkStart w:id="2" w:name="_Toc32587"/>
      <w:r>
        <w:rPr>
          <w:rFonts w:ascii="Arial" w:hAnsi="Arial" w:cs="Arial"/>
          <w:b/>
          <w:color w:val="auto"/>
          <w:sz w:val="32"/>
          <w:szCs w:val="32"/>
          <w:highlight w:val="none"/>
        </w:rPr>
        <w:t>202</w:t>
      </w:r>
      <w:r>
        <w:rPr>
          <w:rFonts w:hint="eastAsia" w:ascii="Arial" w:hAnsi="Arial" w:cs="Arial"/>
          <w:b/>
          <w:color w:val="auto"/>
          <w:sz w:val="32"/>
          <w:szCs w:val="32"/>
          <w:highlight w:val="none"/>
          <w:lang w:val="en-US" w:eastAsia="zh-CN"/>
        </w:rPr>
        <w:t>6</w:t>
      </w:r>
      <w:r>
        <w:rPr>
          <w:rFonts w:ascii="Arial" w:hAnsi="Arial" w:cs="Arial"/>
          <w:b/>
          <w:color w:val="auto"/>
          <w:sz w:val="32"/>
          <w:szCs w:val="32"/>
          <w:highlight w:val="none"/>
        </w:rPr>
        <w:t>年</w:t>
      </w:r>
      <w:r>
        <w:rPr>
          <w:rFonts w:hint="eastAsia" w:ascii="Arial" w:hAnsi="Arial" w:cs="Arial"/>
          <w:b/>
          <w:color w:val="auto"/>
          <w:sz w:val="32"/>
          <w:szCs w:val="32"/>
          <w:highlight w:val="none"/>
          <w:lang w:val="en-US" w:eastAsia="zh-CN"/>
        </w:rPr>
        <w:t>7</w:t>
      </w:r>
      <w:r>
        <w:rPr>
          <w:rFonts w:ascii="Arial" w:hAnsi="Arial" w:cs="Arial"/>
          <w:b/>
          <w:color w:val="auto"/>
          <w:sz w:val="32"/>
          <w:szCs w:val="32"/>
          <w:highlight w:val="none"/>
        </w:rPr>
        <w:t>月</w:t>
      </w:r>
    </w:p>
    <w:p w14:paraId="5A52D5C5">
      <w:pPr>
        <w:pStyle w:val="27"/>
        <w:snapToGrid w:val="0"/>
        <w:spacing w:before="120" w:after="120"/>
        <w:jc w:val="center"/>
        <w:outlineLvl w:val="0"/>
        <w:rPr>
          <w:rFonts w:ascii="Arial" w:hAnsi="Arial" w:cs="Arial"/>
          <w:color w:val="auto"/>
          <w:sz w:val="40"/>
          <w:szCs w:val="40"/>
          <w:highlight w:val="none"/>
        </w:rPr>
      </w:pPr>
      <w:bookmarkStart w:id="3" w:name="_Toc3821"/>
      <w:bookmarkStart w:id="4" w:name="_Toc23480"/>
      <w:bookmarkStart w:id="5" w:name="_Toc26041"/>
      <w:r>
        <w:rPr>
          <w:rFonts w:ascii="Arial" w:hAnsi="Arial" w:cs="Arial"/>
          <w:color w:val="auto"/>
          <w:sz w:val="40"/>
          <w:szCs w:val="40"/>
          <w:highlight w:val="none"/>
        </w:rPr>
        <w:t>目    录</w:t>
      </w:r>
      <w:bookmarkEnd w:id="2"/>
      <w:bookmarkEnd w:id="3"/>
      <w:bookmarkEnd w:id="4"/>
      <w:bookmarkEnd w:id="5"/>
    </w:p>
    <w:p w14:paraId="40C5FB46">
      <w:pPr>
        <w:pStyle w:val="34"/>
        <w:tabs>
          <w:tab w:val="right" w:leader="dot" w:pos="9070"/>
          <w:tab w:val="clear" w:pos="8398"/>
        </w:tabs>
        <w:spacing w:line="360" w:lineRule="auto"/>
        <w:ind w:firstLine="241"/>
        <w:rPr>
          <w:color w:val="auto"/>
          <w:highlight w:val="none"/>
        </w:rPr>
      </w:pPr>
      <w:r>
        <w:rPr>
          <w:rFonts w:ascii="Arial" w:hAnsi="Arial" w:cs="Arial"/>
          <w:color w:val="auto"/>
          <w:highlight w:val="none"/>
        </w:rPr>
        <w:fldChar w:fldCharType="begin"/>
      </w:r>
      <w:r>
        <w:rPr>
          <w:rStyle w:val="58"/>
          <w:rFonts w:ascii="Arial" w:hAnsi="Arial" w:cs="Arial"/>
          <w:color w:val="auto"/>
          <w:highlight w:val="none"/>
        </w:rPr>
        <w:instrText xml:space="preserve"> TOC \o "1-1" \h \z \u </w:instrText>
      </w:r>
      <w:r>
        <w:rPr>
          <w:rFonts w:ascii="Arial" w:hAnsi="Arial" w:cs="Arial"/>
          <w:color w:val="auto"/>
          <w:highlight w:val="none"/>
        </w:rPr>
        <w:fldChar w:fldCharType="separate"/>
      </w: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_Toc23612 </w:instrText>
      </w:r>
      <w:r>
        <w:rPr>
          <w:rFonts w:ascii="Arial" w:hAnsi="Arial" w:cs="Arial"/>
          <w:color w:val="auto"/>
          <w:szCs w:val="28"/>
          <w:highlight w:val="none"/>
        </w:rPr>
        <w:fldChar w:fldCharType="separate"/>
      </w:r>
      <w:r>
        <w:rPr>
          <w:rFonts w:ascii="Arial" w:hAnsi="Arial" w:cs="Arial"/>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_Toc23612 </w:instrText>
      </w:r>
      <w:r>
        <w:rPr>
          <w:color w:val="auto"/>
          <w:highlight w:val="none"/>
        </w:rPr>
        <w:fldChar w:fldCharType="separate"/>
      </w:r>
      <w:r>
        <w:rPr>
          <w:color w:val="auto"/>
          <w:highlight w:val="none"/>
        </w:rPr>
        <w:t>1</w:t>
      </w:r>
      <w:r>
        <w:rPr>
          <w:color w:val="auto"/>
          <w:highlight w:val="none"/>
        </w:rPr>
        <w:fldChar w:fldCharType="end"/>
      </w:r>
      <w:r>
        <w:rPr>
          <w:rFonts w:ascii="Arial" w:hAnsi="Arial" w:cs="Arial"/>
          <w:color w:val="auto"/>
          <w:szCs w:val="28"/>
          <w:highlight w:val="none"/>
        </w:rPr>
        <w:fldChar w:fldCharType="end"/>
      </w:r>
    </w:p>
    <w:p w14:paraId="6C6C6CE0">
      <w:pPr>
        <w:pStyle w:val="34"/>
        <w:tabs>
          <w:tab w:val="right" w:leader="dot" w:pos="9070"/>
          <w:tab w:val="clear" w:pos="8398"/>
        </w:tabs>
        <w:spacing w:line="360" w:lineRule="auto"/>
        <w:ind w:firstLine="241"/>
        <w:rPr>
          <w:color w:val="auto"/>
          <w:highlight w:val="none"/>
        </w:rPr>
      </w:pP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_Toc13382 </w:instrText>
      </w:r>
      <w:r>
        <w:rPr>
          <w:rFonts w:ascii="Arial" w:hAnsi="Arial" w:cs="Arial"/>
          <w:color w:val="auto"/>
          <w:szCs w:val="28"/>
          <w:highlight w:val="none"/>
        </w:rPr>
        <w:fldChar w:fldCharType="separate"/>
      </w:r>
      <w:r>
        <w:rPr>
          <w:rFonts w:ascii="Arial" w:hAnsi="Arial" w:cs="Arial"/>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_Toc13382 </w:instrText>
      </w:r>
      <w:r>
        <w:rPr>
          <w:color w:val="auto"/>
          <w:highlight w:val="none"/>
        </w:rPr>
        <w:fldChar w:fldCharType="separate"/>
      </w:r>
      <w:r>
        <w:rPr>
          <w:color w:val="auto"/>
          <w:highlight w:val="none"/>
        </w:rPr>
        <w:t>4</w:t>
      </w:r>
      <w:r>
        <w:rPr>
          <w:color w:val="auto"/>
          <w:highlight w:val="none"/>
        </w:rPr>
        <w:fldChar w:fldCharType="end"/>
      </w:r>
      <w:r>
        <w:rPr>
          <w:rFonts w:ascii="Arial" w:hAnsi="Arial" w:cs="Arial"/>
          <w:color w:val="auto"/>
          <w:szCs w:val="28"/>
          <w:highlight w:val="none"/>
        </w:rPr>
        <w:fldChar w:fldCharType="end"/>
      </w:r>
    </w:p>
    <w:p w14:paraId="35603B9D">
      <w:pPr>
        <w:pStyle w:val="34"/>
        <w:tabs>
          <w:tab w:val="right" w:leader="dot" w:pos="9070"/>
          <w:tab w:val="clear" w:pos="8398"/>
        </w:tabs>
        <w:spacing w:line="360" w:lineRule="auto"/>
        <w:ind w:firstLine="241"/>
        <w:rPr>
          <w:color w:val="auto"/>
          <w:highlight w:val="none"/>
        </w:rPr>
      </w:pP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_Toc10516 </w:instrText>
      </w:r>
      <w:r>
        <w:rPr>
          <w:rFonts w:ascii="Arial" w:hAnsi="Arial" w:cs="Arial"/>
          <w:color w:val="auto"/>
          <w:szCs w:val="28"/>
          <w:highlight w:val="none"/>
        </w:rPr>
        <w:fldChar w:fldCharType="separate"/>
      </w:r>
      <w:r>
        <w:rPr>
          <w:rFonts w:ascii="Arial" w:hAnsi="Arial" w:cs="Arial"/>
          <w:color w:val="auto"/>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_Toc10516 </w:instrText>
      </w:r>
      <w:r>
        <w:rPr>
          <w:color w:val="auto"/>
          <w:highlight w:val="none"/>
        </w:rPr>
        <w:fldChar w:fldCharType="separate"/>
      </w:r>
      <w:r>
        <w:rPr>
          <w:color w:val="auto"/>
          <w:highlight w:val="none"/>
        </w:rPr>
        <w:t>22</w:t>
      </w:r>
      <w:r>
        <w:rPr>
          <w:color w:val="auto"/>
          <w:highlight w:val="none"/>
        </w:rPr>
        <w:fldChar w:fldCharType="end"/>
      </w:r>
      <w:r>
        <w:rPr>
          <w:rFonts w:ascii="Arial" w:hAnsi="Arial" w:cs="Arial"/>
          <w:color w:val="auto"/>
          <w:szCs w:val="28"/>
          <w:highlight w:val="none"/>
        </w:rPr>
        <w:fldChar w:fldCharType="end"/>
      </w:r>
    </w:p>
    <w:p w14:paraId="24636449">
      <w:pPr>
        <w:pStyle w:val="34"/>
        <w:tabs>
          <w:tab w:val="right" w:leader="dot" w:pos="9070"/>
          <w:tab w:val="clear" w:pos="8398"/>
        </w:tabs>
        <w:spacing w:line="360" w:lineRule="auto"/>
        <w:ind w:firstLine="241"/>
        <w:rPr>
          <w:color w:val="auto"/>
          <w:highlight w:val="none"/>
        </w:rPr>
      </w:pP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_Toc30422 </w:instrText>
      </w:r>
      <w:r>
        <w:rPr>
          <w:rFonts w:ascii="Arial" w:hAnsi="Arial" w:cs="Arial"/>
          <w:color w:val="auto"/>
          <w:szCs w:val="28"/>
          <w:highlight w:val="none"/>
        </w:rPr>
        <w:fldChar w:fldCharType="separate"/>
      </w:r>
      <w:r>
        <w:rPr>
          <w:rFonts w:ascii="Arial" w:hAnsi="Arial" w:cs="Arial"/>
          <w:color w:val="auto"/>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_Toc30422 </w:instrText>
      </w:r>
      <w:r>
        <w:rPr>
          <w:color w:val="auto"/>
          <w:highlight w:val="none"/>
        </w:rPr>
        <w:fldChar w:fldCharType="separate"/>
      </w:r>
      <w:r>
        <w:rPr>
          <w:color w:val="auto"/>
          <w:highlight w:val="none"/>
        </w:rPr>
        <w:t>42</w:t>
      </w:r>
      <w:r>
        <w:rPr>
          <w:color w:val="auto"/>
          <w:highlight w:val="none"/>
        </w:rPr>
        <w:fldChar w:fldCharType="end"/>
      </w:r>
      <w:r>
        <w:rPr>
          <w:rFonts w:ascii="Arial" w:hAnsi="Arial" w:cs="Arial"/>
          <w:color w:val="auto"/>
          <w:szCs w:val="28"/>
          <w:highlight w:val="none"/>
        </w:rPr>
        <w:fldChar w:fldCharType="end"/>
      </w:r>
    </w:p>
    <w:p w14:paraId="769653A8">
      <w:pPr>
        <w:pStyle w:val="34"/>
        <w:tabs>
          <w:tab w:val="right" w:leader="dot" w:pos="9070"/>
          <w:tab w:val="clear" w:pos="8398"/>
        </w:tabs>
        <w:spacing w:line="360" w:lineRule="auto"/>
        <w:ind w:firstLine="241"/>
        <w:rPr>
          <w:color w:val="auto"/>
          <w:highlight w:val="none"/>
        </w:rPr>
      </w:pP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_Toc24637 </w:instrText>
      </w:r>
      <w:r>
        <w:rPr>
          <w:rFonts w:ascii="Arial" w:hAnsi="Arial" w:cs="Arial"/>
          <w:color w:val="auto"/>
          <w:szCs w:val="28"/>
          <w:highlight w:val="none"/>
        </w:rPr>
        <w:fldChar w:fldCharType="separate"/>
      </w:r>
      <w:r>
        <w:rPr>
          <w:rFonts w:ascii="Arial" w:hAnsi="Arial" w:cs="Arial"/>
          <w:color w:val="auto"/>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_Toc24637 </w:instrText>
      </w:r>
      <w:r>
        <w:rPr>
          <w:color w:val="auto"/>
          <w:highlight w:val="none"/>
        </w:rPr>
        <w:fldChar w:fldCharType="separate"/>
      </w:r>
      <w:r>
        <w:rPr>
          <w:color w:val="auto"/>
          <w:highlight w:val="none"/>
        </w:rPr>
        <w:t>53</w:t>
      </w:r>
      <w:r>
        <w:rPr>
          <w:color w:val="auto"/>
          <w:highlight w:val="none"/>
        </w:rPr>
        <w:fldChar w:fldCharType="end"/>
      </w:r>
      <w:r>
        <w:rPr>
          <w:rFonts w:ascii="Arial" w:hAnsi="Arial" w:cs="Arial"/>
          <w:color w:val="auto"/>
          <w:szCs w:val="28"/>
          <w:highlight w:val="none"/>
        </w:rPr>
        <w:fldChar w:fldCharType="end"/>
      </w:r>
    </w:p>
    <w:p w14:paraId="314A2044">
      <w:pPr>
        <w:pStyle w:val="34"/>
        <w:tabs>
          <w:tab w:val="right" w:leader="dot" w:pos="9070"/>
          <w:tab w:val="clear" w:pos="8398"/>
        </w:tabs>
        <w:spacing w:line="360" w:lineRule="auto"/>
        <w:ind w:firstLine="241"/>
        <w:rPr>
          <w:color w:val="auto"/>
          <w:highlight w:val="none"/>
        </w:rPr>
      </w:pPr>
      <w:r>
        <w:rPr>
          <w:rFonts w:ascii="Arial" w:hAnsi="Arial" w:cs="Arial"/>
          <w:color w:val="auto"/>
          <w:szCs w:val="28"/>
          <w:highlight w:val="none"/>
        </w:rPr>
        <w:fldChar w:fldCharType="begin"/>
      </w:r>
      <w:r>
        <w:rPr>
          <w:rFonts w:ascii="Arial" w:hAnsi="Arial" w:cs="Arial"/>
          <w:color w:val="auto"/>
          <w:szCs w:val="28"/>
          <w:highlight w:val="none"/>
        </w:rPr>
        <w:instrText xml:space="preserve"> HYPERLINK \l _Toc412 </w:instrText>
      </w:r>
      <w:r>
        <w:rPr>
          <w:rFonts w:ascii="Arial" w:hAnsi="Arial" w:cs="Arial"/>
          <w:color w:val="auto"/>
          <w:szCs w:val="28"/>
          <w:highlight w:val="none"/>
        </w:rPr>
        <w:fldChar w:fldCharType="separate"/>
      </w:r>
      <w:r>
        <w:rPr>
          <w:rFonts w:ascii="Arial" w:hAnsi="Arial" w:cs="Arial"/>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_Toc412 </w:instrText>
      </w:r>
      <w:r>
        <w:rPr>
          <w:color w:val="auto"/>
          <w:highlight w:val="none"/>
        </w:rPr>
        <w:fldChar w:fldCharType="separate"/>
      </w:r>
      <w:r>
        <w:rPr>
          <w:color w:val="auto"/>
          <w:highlight w:val="none"/>
        </w:rPr>
        <w:t>63</w:t>
      </w:r>
      <w:r>
        <w:rPr>
          <w:color w:val="auto"/>
          <w:highlight w:val="none"/>
        </w:rPr>
        <w:fldChar w:fldCharType="end"/>
      </w:r>
      <w:r>
        <w:rPr>
          <w:rFonts w:ascii="Arial" w:hAnsi="Arial" w:cs="Arial"/>
          <w:color w:val="auto"/>
          <w:szCs w:val="28"/>
          <w:highlight w:val="none"/>
        </w:rPr>
        <w:fldChar w:fldCharType="end"/>
      </w:r>
    </w:p>
    <w:p w14:paraId="64F0333A">
      <w:pPr>
        <w:pStyle w:val="34"/>
        <w:ind w:firstLine="241"/>
        <w:rPr>
          <w:rFonts w:ascii="Arial" w:hAnsi="Arial" w:cs="Arial"/>
          <w:color w:val="auto"/>
          <w:sz w:val="28"/>
          <w:szCs w:val="28"/>
          <w:highlight w:val="none"/>
        </w:rPr>
      </w:pPr>
      <w:r>
        <w:rPr>
          <w:rFonts w:ascii="Arial" w:hAnsi="Arial" w:cs="Arial"/>
          <w:color w:val="auto"/>
          <w:szCs w:val="28"/>
          <w:highlight w:val="none"/>
        </w:rPr>
        <w:fldChar w:fldCharType="end"/>
      </w:r>
    </w:p>
    <w:p w14:paraId="7745B85E">
      <w:pPr>
        <w:spacing w:before="120" w:beforeLines="50" w:line="480" w:lineRule="exact"/>
        <w:rPr>
          <w:rFonts w:ascii="Arial" w:hAnsi="Arial" w:cs="Arial"/>
          <w:color w:val="auto"/>
          <w:sz w:val="28"/>
          <w:szCs w:val="28"/>
          <w:highlight w:val="none"/>
        </w:rPr>
      </w:pPr>
    </w:p>
    <w:p w14:paraId="616F260A">
      <w:pPr>
        <w:spacing w:before="120" w:beforeLines="50" w:line="480" w:lineRule="exact"/>
        <w:rPr>
          <w:rFonts w:ascii="Arial" w:hAnsi="Arial" w:cs="Arial"/>
          <w:color w:val="auto"/>
          <w:sz w:val="30"/>
          <w:highlight w:val="none"/>
        </w:rPr>
        <w:sectPr>
          <w:headerReference r:id="rId6" w:type="first"/>
          <w:pgSz w:w="11906" w:h="16838"/>
          <w:pgMar w:top="1418" w:right="1418" w:bottom="1246" w:left="1418" w:header="851" w:footer="992" w:gutter="0"/>
          <w:pgNumType w:start="0"/>
          <w:cols w:space="720" w:num="1"/>
          <w:titlePg/>
          <w:docGrid w:linePitch="312" w:charSpace="0"/>
        </w:sectPr>
      </w:pPr>
    </w:p>
    <w:p w14:paraId="20D528F1">
      <w:pPr>
        <w:pStyle w:val="2"/>
        <w:snapToGrid w:val="0"/>
        <w:spacing w:before="0" w:after="0" w:line="240" w:lineRule="auto"/>
        <w:jc w:val="center"/>
        <w:rPr>
          <w:rFonts w:ascii="Arial" w:hAnsi="Arial" w:cs="Arial"/>
          <w:color w:val="auto"/>
          <w:highlight w:val="none"/>
        </w:rPr>
      </w:pPr>
      <w:bookmarkStart w:id="6" w:name="_Toc254970489"/>
      <w:bookmarkStart w:id="7" w:name="_Toc254970630"/>
      <w:bookmarkStart w:id="8" w:name="_Toc23612"/>
      <w:r>
        <w:rPr>
          <w:rFonts w:ascii="Arial" w:hAnsi="Arial" w:cs="Arial"/>
          <w:color w:val="auto"/>
          <w:highlight w:val="none"/>
        </w:rPr>
        <w:t xml:space="preserve">第一章  </w:t>
      </w:r>
      <w:bookmarkEnd w:id="6"/>
      <w:bookmarkEnd w:id="7"/>
      <w:r>
        <w:rPr>
          <w:rFonts w:ascii="Arial" w:hAnsi="Arial" w:cs="Arial"/>
          <w:color w:val="auto"/>
          <w:highlight w:val="none"/>
        </w:rPr>
        <w:t>招标公告</w:t>
      </w:r>
      <w:bookmarkEnd w:id="8"/>
    </w:p>
    <w:p w14:paraId="3EF3163E">
      <w:pPr>
        <w:spacing w:line="400" w:lineRule="exact"/>
        <w:jc w:val="center"/>
        <w:rPr>
          <w:rFonts w:ascii="Arial" w:hAnsi="Arial" w:cs="Arial"/>
          <w:b/>
          <w:color w:val="auto"/>
          <w:sz w:val="24"/>
          <w:highlight w:val="none"/>
        </w:rPr>
      </w:pPr>
      <w:r>
        <w:rPr>
          <w:rFonts w:ascii="Arial" w:hAnsi="Arial" w:cs="Arial"/>
          <w:color w:val="auto"/>
          <w:kern w:val="0"/>
          <w:sz w:val="24"/>
          <w:highlight w:val="none"/>
        </w:rPr>
        <w:t>广西机电设备招标有限公司关于</w:t>
      </w:r>
      <w:r>
        <w:rPr>
          <w:rFonts w:hint="eastAsia" w:ascii="Arial" w:hAnsi="Arial" w:cs="Arial"/>
          <w:color w:val="auto"/>
          <w:kern w:val="0"/>
          <w:sz w:val="24"/>
          <w:highlight w:val="none"/>
          <w:lang w:eastAsia="zh-CN"/>
        </w:rPr>
        <w:t>外送检验、病理诊断等检测项目供应服务</w:t>
      </w:r>
      <w:r>
        <w:rPr>
          <w:rFonts w:ascii="Arial" w:hAnsi="Arial" w:cs="Arial"/>
          <w:color w:val="auto"/>
          <w:sz w:val="24"/>
          <w:highlight w:val="none"/>
        </w:rPr>
        <w:t xml:space="preserve"> (</w:t>
      </w:r>
      <w:r>
        <w:rPr>
          <w:rFonts w:hint="eastAsia" w:ascii="Arial" w:hAnsi="Arial" w:cs="Arial"/>
          <w:color w:val="auto"/>
          <w:sz w:val="24"/>
          <w:highlight w:val="none"/>
          <w:lang w:eastAsia="zh-CN"/>
        </w:rPr>
        <w:t>GXZC2026-G3-002388-JDZB</w:t>
      </w:r>
      <w:r>
        <w:rPr>
          <w:rFonts w:ascii="Arial" w:hAnsi="Arial" w:cs="Arial"/>
          <w:color w:val="auto"/>
          <w:sz w:val="24"/>
          <w:highlight w:val="none"/>
        </w:rPr>
        <w:t>)</w:t>
      </w:r>
      <w:r>
        <w:rPr>
          <w:rFonts w:ascii="Arial" w:hAnsi="Arial" w:cs="Arial"/>
          <w:color w:val="auto"/>
          <w:kern w:val="0"/>
          <w:sz w:val="24"/>
          <w:highlight w:val="none"/>
        </w:rPr>
        <w:t>公开招标公告</w:t>
      </w:r>
    </w:p>
    <w:p w14:paraId="30E2B81F">
      <w:pPr>
        <w:ind w:firstLine="409" w:firstLineChars="195"/>
        <w:jc w:val="left"/>
        <w:rPr>
          <w:rFonts w:ascii="Arial" w:hAnsi="Arial" w:cs="Arial"/>
          <w:color w:val="auto"/>
          <w:kern w:val="0"/>
          <w:szCs w:val="21"/>
          <w:highlight w:val="none"/>
        </w:rPr>
      </w:pPr>
    </w:p>
    <w:p w14:paraId="4213095E">
      <w:pPr>
        <w:spacing w:line="312" w:lineRule="auto"/>
        <w:ind w:firstLine="420" w:firstLineChars="200"/>
        <w:jc w:val="left"/>
        <w:rPr>
          <w:rFonts w:ascii="Arial" w:hAnsi="Arial" w:cs="Arial"/>
          <w:b/>
          <w:bCs/>
          <w:color w:val="auto"/>
          <w:kern w:val="0"/>
          <w:sz w:val="22"/>
          <w:szCs w:val="22"/>
          <w:highlight w:val="none"/>
        </w:rPr>
      </w:pPr>
      <w:bookmarkStart w:id="9" w:name="_Hlk132795121"/>
      <w:bookmarkStart w:id="10" w:name="_Hlk132877709"/>
      <w:r>
        <w:rPr>
          <w:rFonts w:ascii="Arial" w:hAnsi="Arial" w:cs="Arial"/>
          <w:color w:val="auto"/>
          <w:szCs w:val="21"/>
          <w:highlight w:val="none"/>
        </w:rPr>
        <w:t>项目概况：</w:t>
      </w:r>
      <w:r>
        <w:rPr>
          <w:rFonts w:hint="eastAsia" w:ascii="Arial" w:hAnsi="Arial" w:cs="Arial"/>
          <w:color w:val="auto"/>
          <w:kern w:val="0"/>
          <w:szCs w:val="21"/>
          <w:highlight w:val="none"/>
          <w:lang w:eastAsia="zh-CN"/>
        </w:rPr>
        <w:t>外送检验、病理诊断等检测项目供应服务</w:t>
      </w:r>
      <w:r>
        <w:rPr>
          <w:rFonts w:ascii="Arial" w:hAnsi="Arial" w:cs="Arial"/>
          <w:color w:val="auto"/>
          <w:szCs w:val="21"/>
          <w:highlight w:val="none"/>
        </w:rPr>
        <w:t>招标项目的潜在投标人应在广西政府采购云平台（https://www.gcy.zfcg.gxzf.gov.cn/）获取招标文件，并于202</w:t>
      </w:r>
      <w:r>
        <w:rPr>
          <w:rFonts w:hint="eastAsia" w:ascii="Arial" w:hAnsi="Arial" w:cs="Arial"/>
          <w:color w:val="auto"/>
          <w:szCs w:val="21"/>
          <w:highlight w:val="none"/>
          <w:lang w:val="en-US" w:eastAsia="zh-CN"/>
        </w:rPr>
        <w:t>6</w:t>
      </w:r>
      <w:r>
        <w:rPr>
          <w:rFonts w:ascii="Arial" w:hAnsi="Arial" w:cs="Arial"/>
          <w:color w:val="auto"/>
          <w:szCs w:val="21"/>
          <w:highlight w:val="none"/>
        </w:rPr>
        <w:t>年</w:t>
      </w:r>
      <w:r>
        <w:rPr>
          <w:rFonts w:hint="eastAsia" w:ascii="Arial" w:hAnsi="Arial" w:cs="Arial"/>
          <w:color w:val="auto"/>
          <w:szCs w:val="21"/>
          <w:highlight w:val="none"/>
          <w:lang w:val="en-US" w:eastAsia="zh-CN"/>
        </w:rPr>
        <w:t>8月19日</w:t>
      </w:r>
      <w:r>
        <w:rPr>
          <w:rFonts w:ascii="Arial" w:hAnsi="Arial" w:cs="Arial"/>
          <w:color w:val="auto"/>
          <w:szCs w:val="21"/>
          <w:highlight w:val="none"/>
        </w:rPr>
        <w:t>9点30分（北京时间）前递交投标文件。</w:t>
      </w:r>
      <w:bookmarkEnd w:id="9"/>
    </w:p>
    <w:bookmarkEnd w:id="10"/>
    <w:p w14:paraId="20BB79D5">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一、项目基本情况</w:t>
      </w:r>
    </w:p>
    <w:p w14:paraId="3148F08C">
      <w:pPr>
        <w:spacing w:line="312" w:lineRule="auto"/>
        <w:ind w:firstLine="420" w:firstLineChars="200"/>
        <w:jc w:val="left"/>
        <w:rPr>
          <w:rFonts w:hint="eastAsia" w:ascii="Arial" w:hAnsi="Arial" w:eastAsia="宋体" w:cs="Arial"/>
          <w:color w:val="auto"/>
          <w:kern w:val="0"/>
          <w:szCs w:val="21"/>
          <w:highlight w:val="none"/>
          <w:lang w:eastAsia="zh-CN"/>
        </w:rPr>
      </w:pPr>
      <w:r>
        <w:rPr>
          <w:rFonts w:ascii="Arial" w:hAnsi="Arial" w:cs="Arial"/>
          <w:color w:val="auto"/>
          <w:kern w:val="0"/>
          <w:szCs w:val="21"/>
          <w:highlight w:val="none"/>
        </w:rPr>
        <w:t>项目编号：</w:t>
      </w:r>
      <w:r>
        <w:rPr>
          <w:rFonts w:hint="eastAsia" w:ascii="Arial" w:hAnsi="Arial" w:cs="Arial"/>
          <w:color w:val="auto"/>
          <w:kern w:val="0"/>
          <w:szCs w:val="21"/>
          <w:highlight w:val="none"/>
          <w:lang w:eastAsia="zh-CN"/>
        </w:rPr>
        <w:t>GXZC2026-G3-002388-JDZB</w:t>
      </w:r>
    </w:p>
    <w:p w14:paraId="2FA2B74B">
      <w:pPr>
        <w:spacing w:line="312" w:lineRule="auto"/>
        <w:ind w:firstLine="420" w:firstLineChars="200"/>
        <w:jc w:val="left"/>
        <w:rPr>
          <w:rFonts w:hint="eastAsia" w:ascii="Arial" w:hAnsi="Arial" w:eastAsia="宋体" w:cs="Arial"/>
          <w:color w:val="auto"/>
          <w:kern w:val="0"/>
          <w:szCs w:val="21"/>
          <w:highlight w:val="none"/>
          <w:lang w:eastAsia="zh-CN"/>
        </w:rPr>
      </w:pPr>
      <w:r>
        <w:rPr>
          <w:rFonts w:ascii="Arial" w:hAnsi="Arial" w:cs="Arial"/>
          <w:color w:val="auto"/>
          <w:kern w:val="0"/>
          <w:szCs w:val="21"/>
          <w:highlight w:val="none"/>
        </w:rPr>
        <w:t>项目名称：</w:t>
      </w:r>
      <w:r>
        <w:rPr>
          <w:rFonts w:hint="eastAsia" w:ascii="Arial" w:hAnsi="Arial" w:cs="Arial"/>
          <w:color w:val="auto"/>
          <w:kern w:val="0"/>
          <w:szCs w:val="21"/>
          <w:highlight w:val="none"/>
          <w:lang w:eastAsia="zh-CN"/>
        </w:rPr>
        <w:t>外送检验、病理诊断等检测项目供应服务</w:t>
      </w:r>
    </w:p>
    <w:p w14:paraId="26F2277F">
      <w:pPr>
        <w:spacing w:line="312" w:lineRule="auto"/>
        <w:ind w:firstLine="420" w:firstLineChars="200"/>
        <w:jc w:val="left"/>
        <w:rPr>
          <w:rFonts w:hint="default" w:ascii="Arial" w:hAnsi="Arial" w:eastAsia="宋体" w:cs="Arial"/>
          <w:color w:val="auto"/>
          <w:kern w:val="0"/>
          <w:szCs w:val="21"/>
          <w:highlight w:val="none"/>
          <w:lang w:val="en-US" w:eastAsia="zh-CN"/>
        </w:rPr>
      </w:pPr>
      <w:r>
        <w:rPr>
          <w:rFonts w:ascii="Arial" w:hAnsi="Arial" w:cs="Arial"/>
          <w:color w:val="auto"/>
          <w:kern w:val="0"/>
          <w:szCs w:val="21"/>
          <w:highlight w:val="none"/>
        </w:rPr>
        <w:t>预算总金额（元）：</w:t>
      </w:r>
      <w:r>
        <w:rPr>
          <w:rFonts w:hint="eastAsia" w:ascii="Arial" w:hAnsi="Arial" w:cs="Arial"/>
          <w:color w:val="auto"/>
          <w:kern w:val="0"/>
          <w:szCs w:val="21"/>
          <w:highlight w:val="none"/>
          <w:lang w:val="en-US" w:eastAsia="zh-CN"/>
        </w:rPr>
        <w:t>11400000</w:t>
      </w:r>
    </w:p>
    <w:p w14:paraId="579AB292">
      <w:pPr>
        <w:tabs>
          <w:tab w:val="left" w:pos="3150"/>
        </w:tabs>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采购需求：</w:t>
      </w:r>
    </w:p>
    <w:p w14:paraId="41C1DC92">
      <w:pPr>
        <w:tabs>
          <w:tab w:val="left" w:pos="3150"/>
        </w:tabs>
        <w:spacing w:line="312" w:lineRule="auto"/>
        <w:ind w:firstLine="420" w:firstLineChars="200"/>
        <w:jc w:val="left"/>
        <w:rPr>
          <w:rFonts w:hint="eastAsia" w:ascii="Arial" w:hAnsi="Arial" w:cs="Arial"/>
          <w:color w:val="auto"/>
          <w:kern w:val="0"/>
          <w:szCs w:val="21"/>
          <w:highlight w:val="none"/>
        </w:rPr>
      </w:pPr>
      <w:r>
        <w:rPr>
          <w:rFonts w:ascii="Arial" w:hAnsi="Arial" w:cs="Arial"/>
          <w:color w:val="auto"/>
          <w:kern w:val="0"/>
          <w:szCs w:val="21"/>
          <w:highlight w:val="none"/>
        </w:rPr>
        <w:t>标项</w:t>
      </w:r>
      <w:r>
        <w:rPr>
          <w:rFonts w:hint="eastAsia" w:ascii="Arial" w:hAnsi="Arial" w:cs="Arial"/>
          <w:color w:val="auto"/>
          <w:kern w:val="0"/>
          <w:szCs w:val="21"/>
          <w:highlight w:val="none"/>
        </w:rPr>
        <w:t>名称：</w:t>
      </w:r>
      <w:r>
        <w:rPr>
          <w:rFonts w:hint="eastAsia" w:ascii="Arial" w:hAnsi="Arial" w:cs="Arial"/>
          <w:color w:val="auto"/>
          <w:kern w:val="0"/>
          <w:szCs w:val="21"/>
          <w:highlight w:val="none"/>
          <w:lang w:eastAsia="zh-CN"/>
        </w:rPr>
        <w:t>外送检验、病理诊断等检测项目供应服务</w:t>
      </w:r>
    </w:p>
    <w:p w14:paraId="005E20DF">
      <w:pPr>
        <w:tabs>
          <w:tab w:val="left" w:pos="3150"/>
        </w:tabs>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数量：1</w:t>
      </w:r>
    </w:p>
    <w:p w14:paraId="0388F852">
      <w:pPr>
        <w:tabs>
          <w:tab w:val="left" w:pos="3150"/>
        </w:tabs>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预算金额（元）：</w:t>
      </w:r>
      <w:r>
        <w:rPr>
          <w:rFonts w:hint="eastAsia" w:ascii="Arial" w:hAnsi="Arial" w:cs="Arial"/>
          <w:color w:val="auto"/>
          <w:kern w:val="0"/>
          <w:szCs w:val="21"/>
          <w:highlight w:val="none"/>
          <w:lang w:val="en-US" w:eastAsia="zh-CN"/>
        </w:rPr>
        <w:t>11400000</w:t>
      </w:r>
    </w:p>
    <w:p w14:paraId="6FB9C233">
      <w:pPr>
        <w:tabs>
          <w:tab w:val="left" w:pos="3150"/>
        </w:tabs>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简要规格描述或项目基本概况介绍、用途：</w:t>
      </w:r>
      <w:r>
        <w:rPr>
          <w:rFonts w:hint="eastAsia" w:ascii="Arial" w:hAnsi="Arial" w:cs="Arial"/>
          <w:color w:val="auto"/>
          <w:kern w:val="0"/>
          <w:szCs w:val="21"/>
          <w:highlight w:val="none"/>
          <w:lang w:eastAsia="zh-CN"/>
        </w:rPr>
        <w:t>外送检验、病理诊断等检测项目供应服务</w:t>
      </w:r>
      <w:r>
        <w:rPr>
          <w:rFonts w:hint="eastAsia" w:ascii="Arial" w:hAnsi="Arial" w:cs="Arial"/>
          <w:color w:val="auto"/>
          <w:kern w:val="0"/>
          <w:szCs w:val="21"/>
          <w:highlight w:val="none"/>
          <w:lang w:val="en-US" w:eastAsia="zh-CN"/>
        </w:rPr>
        <w:t>1项</w:t>
      </w:r>
      <w:r>
        <w:rPr>
          <w:rFonts w:ascii="Arial" w:hAnsi="Arial" w:cs="Arial"/>
          <w:color w:val="auto"/>
          <w:kern w:val="0"/>
          <w:szCs w:val="21"/>
          <w:highlight w:val="none"/>
        </w:rPr>
        <w:t>。如需</w:t>
      </w:r>
      <w:r>
        <w:rPr>
          <w:rFonts w:ascii="Arial" w:hAnsi="Arial" w:cs="Arial"/>
          <w:color w:val="auto"/>
          <w:szCs w:val="21"/>
          <w:highlight w:val="none"/>
        </w:rPr>
        <w:t>进一步</w:t>
      </w:r>
      <w:r>
        <w:rPr>
          <w:rFonts w:ascii="Arial" w:hAnsi="Arial" w:cs="Arial"/>
          <w:color w:val="auto"/>
          <w:kern w:val="0"/>
          <w:szCs w:val="21"/>
          <w:highlight w:val="none"/>
        </w:rPr>
        <w:t>了解详细内容，详见招标文件。</w:t>
      </w:r>
    </w:p>
    <w:p w14:paraId="3B1373AF">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最高限价（元）：</w:t>
      </w:r>
      <w:r>
        <w:rPr>
          <w:rFonts w:hint="eastAsia" w:ascii="Arial" w:hAnsi="Arial" w:cs="Arial"/>
          <w:color w:val="auto"/>
          <w:kern w:val="0"/>
          <w:szCs w:val="21"/>
          <w:highlight w:val="none"/>
          <w:lang w:val="en-US" w:eastAsia="zh-CN"/>
        </w:rPr>
        <w:t>11400000</w:t>
      </w:r>
      <w:r>
        <w:rPr>
          <w:rFonts w:ascii="Arial" w:hAnsi="Arial" w:cs="Arial"/>
          <w:color w:val="auto"/>
          <w:kern w:val="0"/>
          <w:szCs w:val="21"/>
          <w:highlight w:val="none"/>
        </w:rPr>
        <w:t xml:space="preserve"> </w:t>
      </w:r>
    </w:p>
    <w:p w14:paraId="7F1B449C">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合同履行期限：自合同签订之日起</w:t>
      </w:r>
      <w:r>
        <w:rPr>
          <w:rFonts w:hint="eastAsia" w:ascii="Arial" w:hAnsi="Arial" w:cs="Arial"/>
          <w:color w:val="auto"/>
          <w:kern w:val="0"/>
          <w:szCs w:val="21"/>
          <w:highlight w:val="none"/>
          <w:lang w:val="en-US" w:eastAsia="zh-CN"/>
        </w:rPr>
        <w:t>2</w:t>
      </w:r>
      <w:r>
        <w:rPr>
          <w:rFonts w:ascii="Arial" w:hAnsi="Arial" w:cs="Arial"/>
          <w:color w:val="auto"/>
          <w:kern w:val="0"/>
          <w:szCs w:val="21"/>
          <w:highlight w:val="none"/>
        </w:rPr>
        <w:t>年。</w:t>
      </w:r>
    </w:p>
    <w:p w14:paraId="6564672E">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本标项（</w:t>
      </w:r>
      <w:r>
        <w:rPr>
          <w:rFonts w:hint="eastAsia" w:ascii="Arial" w:hAnsi="Arial" w:cs="Arial"/>
          <w:color w:val="auto"/>
          <w:kern w:val="0"/>
          <w:szCs w:val="21"/>
          <w:highlight w:val="none"/>
          <w:lang w:val="en-US" w:eastAsia="zh-CN"/>
        </w:rPr>
        <w:t>否</w:t>
      </w:r>
      <w:r>
        <w:rPr>
          <w:rFonts w:ascii="Arial" w:hAnsi="Arial" w:cs="Arial"/>
          <w:color w:val="auto"/>
          <w:kern w:val="0"/>
          <w:szCs w:val="21"/>
          <w:highlight w:val="none"/>
        </w:rPr>
        <w:t>）接受联合体投标</w:t>
      </w:r>
    </w:p>
    <w:p w14:paraId="01D15BCF">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备注：</w:t>
      </w:r>
    </w:p>
    <w:p w14:paraId="7A00D095">
      <w:pPr>
        <w:tabs>
          <w:tab w:val="left" w:pos="3150"/>
        </w:tabs>
        <w:spacing w:line="312" w:lineRule="auto"/>
        <w:ind w:firstLine="420" w:firstLineChars="200"/>
        <w:jc w:val="left"/>
        <w:rPr>
          <w:rFonts w:ascii="Arial" w:hAnsi="Arial" w:cs="Arial"/>
          <w:color w:val="auto"/>
          <w:kern w:val="0"/>
          <w:szCs w:val="21"/>
          <w:highlight w:val="none"/>
        </w:rPr>
      </w:pPr>
    </w:p>
    <w:p w14:paraId="5BEC7343">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二、申请人的资格要求</w:t>
      </w:r>
    </w:p>
    <w:p w14:paraId="3B40DFE1">
      <w:pPr>
        <w:spacing w:line="312" w:lineRule="auto"/>
        <w:ind w:firstLine="420" w:firstLineChars="200"/>
        <w:jc w:val="left"/>
        <w:rPr>
          <w:rFonts w:ascii="Arial" w:hAnsi="Arial" w:cs="Arial"/>
          <w:color w:val="auto"/>
          <w:szCs w:val="21"/>
          <w:highlight w:val="none"/>
        </w:rPr>
      </w:pPr>
      <w:r>
        <w:rPr>
          <w:rFonts w:ascii="Arial" w:hAnsi="Arial" w:cs="Arial"/>
          <w:color w:val="auto"/>
          <w:kern w:val="0"/>
          <w:szCs w:val="21"/>
          <w:highlight w:val="none"/>
        </w:rPr>
        <w:t>1.满足《中华人民共和国政府采购法》第二十二条规定；</w:t>
      </w:r>
      <w:r>
        <w:rPr>
          <w:rFonts w:ascii="Arial" w:hAnsi="Arial" w:cs="Arial"/>
          <w:color w:val="auto"/>
          <w:szCs w:val="21"/>
          <w:highlight w:val="none"/>
        </w:rPr>
        <w:t xml:space="preserve"> </w:t>
      </w:r>
    </w:p>
    <w:p w14:paraId="43733069">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2.落实政府采购政策需满足的资格要求：</w:t>
      </w:r>
      <w:bookmarkStart w:id="11" w:name="_Hlk132878088"/>
      <w:bookmarkStart w:id="12" w:name="_Hlk132880574"/>
      <w:r>
        <w:rPr>
          <w:rFonts w:ascii="Arial" w:hAnsi="Arial" w:cs="Arial"/>
          <w:color w:val="auto"/>
          <w:kern w:val="0"/>
          <w:szCs w:val="21"/>
          <w:highlight w:val="none"/>
        </w:rPr>
        <w:t>本项目非专门面向中小微企业采购</w:t>
      </w:r>
    </w:p>
    <w:bookmarkEnd w:id="11"/>
    <w:bookmarkEnd w:id="12"/>
    <w:p w14:paraId="5A9A2E29">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3.本项目的特定资格要求</w:t>
      </w:r>
    </w:p>
    <w:p w14:paraId="591E0E2E">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（1）资质要求：</w:t>
      </w:r>
    </w:p>
    <w:p w14:paraId="5E4E9698">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①取得《医疗机构执业许可证》的临床检验检测中心、医学检验实验室（医学检验所）、病理诊断中心等。</w:t>
      </w:r>
    </w:p>
    <w:p w14:paraId="14DE3DA4">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②</w:t>
      </w:r>
      <w:r>
        <w:rPr>
          <w:rFonts w:hint="eastAsia" w:ascii="Arial" w:hAnsi="Arial" w:cs="Arial"/>
          <w:color w:val="auto"/>
          <w:kern w:val="0"/>
          <w:szCs w:val="21"/>
          <w:highlight w:val="none"/>
          <w:lang w:eastAsia="zh-CN"/>
        </w:rPr>
        <w:t>应有参加省级及以上临床检验中心组织的室间质量评价，且室间质量评价成绩合格</w:t>
      </w:r>
      <w:r>
        <w:rPr>
          <w:rFonts w:ascii="Arial" w:hAnsi="Arial" w:cs="Arial"/>
          <w:color w:val="auto"/>
          <w:kern w:val="0"/>
          <w:szCs w:val="21"/>
          <w:highlight w:val="none"/>
        </w:rPr>
        <w:t>。</w:t>
      </w:r>
    </w:p>
    <w:p w14:paraId="6BF8DEA2">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③</w:t>
      </w:r>
      <w:r>
        <w:rPr>
          <w:rFonts w:hint="eastAsia" w:ascii="Arial" w:hAnsi="Arial" w:cs="Arial"/>
          <w:color w:val="auto"/>
          <w:kern w:val="0"/>
          <w:szCs w:val="21"/>
          <w:highlight w:val="none"/>
          <w:lang w:eastAsia="zh-CN"/>
        </w:rPr>
        <w:t>涉及PCR检测项目的该机构需获得省级及以上《医疗机构临床基因扩增检验实验室技术审核合格证书》或其他有效证明资料</w:t>
      </w:r>
      <w:r>
        <w:rPr>
          <w:rFonts w:ascii="Arial" w:hAnsi="Arial" w:cs="Arial"/>
          <w:color w:val="auto"/>
          <w:kern w:val="0"/>
          <w:szCs w:val="21"/>
          <w:highlight w:val="none"/>
        </w:rPr>
        <w:t>。</w:t>
      </w:r>
    </w:p>
    <w:p w14:paraId="3CDBCC61">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（2）业绩要求：无。</w:t>
      </w:r>
    </w:p>
    <w:p w14:paraId="2AFE80B7">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（3）其他要求：无。</w:t>
      </w:r>
    </w:p>
    <w:p w14:paraId="7875C51C">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67907F7C">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（5）未被列入失信被执行人、重大税收违法失信主体、政府采购严重违法失信行为记录名单。</w:t>
      </w:r>
    </w:p>
    <w:p w14:paraId="043BCC43">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（6）</w:t>
      </w:r>
      <w:r>
        <w:rPr>
          <w:rFonts w:hint="eastAsia" w:ascii="Arial" w:hAnsi="Arial" w:cs="Arial"/>
          <w:color w:val="auto"/>
          <w:kern w:val="0"/>
          <w:szCs w:val="21"/>
          <w:highlight w:val="none"/>
        </w:rPr>
        <w:t>本项目允许中标后分包，且需经招标人书面同意后方可分包，分包指标数量不超过招标数量的7%（即本次招标拟送检项共76项，分包项数不得超过5项），主体单位须明确各方承担的检验项内容，分包承担主体应当具备相应资质条件且不得再次分包。</w:t>
      </w:r>
    </w:p>
    <w:p w14:paraId="42383EF3">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（7）</w:t>
      </w:r>
      <w:r>
        <w:rPr>
          <w:rFonts w:hint="eastAsia" w:ascii="Arial" w:hAnsi="Arial" w:cs="Arial"/>
          <w:color w:val="auto"/>
          <w:kern w:val="0"/>
          <w:szCs w:val="21"/>
          <w:highlight w:val="none"/>
        </w:rPr>
        <w:t>本</w:t>
      </w:r>
      <w:r>
        <w:rPr>
          <w:rFonts w:hint="eastAsia" w:ascii="Arial" w:hAnsi="Arial" w:cs="Arial"/>
          <w:color w:val="auto"/>
          <w:kern w:val="0"/>
          <w:szCs w:val="21"/>
          <w:highlight w:val="none"/>
          <w:lang w:val="en-US" w:eastAsia="zh-CN"/>
        </w:rPr>
        <w:t>项目不</w:t>
      </w:r>
      <w:r>
        <w:rPr>
          <w:rFonts w:hint="eastAsia" w:ascii="Arial" w:hAnsi="Arial" w:cs="Arial"/>
          <w:color w:val="auto"/>
          <w:kern w:val="0"/>
          <w:szCs w:val="21"/>
          <w:highlight w:val="none"/>
        </w:rPr>
        <w:t>接受联合体投标。</w:t>
      </w:r>
    </w:p>
    <w:p w14:paraId="2A8DBB41">
      <w:pPr>
        <w:adjustRightInd w:val="0"/>
        <w:snapToGrid w:val="0"/>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（8）按照招标公告规定获得招标文件。</w:t>
      </w:r>
    </w:p>
    <w:p w14:paraId="225E47B0">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三、获取招标文件</w:t>
      </w:r>
    </w:p>
    <w:p w14:paraId="46025C25">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时间：202</w:t>
      </w:r>
      <w:r>
        <w:rPr>
          <w:rFonts w:hint="eastAsia" w:ascii="Arial" w:hAnsi="Arial" w:cs="Arial"/>
          <w:color w:val="auto"/>
          <w:szCs w:val="21"/>
          <w:highlight w:val="none"/>
          <w:lang w:val="en-US" w:eastAsia="zh-CN"/>
        </w:rPr>
        <w:t>6</w:t>
      </w:r>
      <w:r>
        <w:rPr>
          <w:rFonts w:ascii="Arial" w:hAnsi="Arial" w:cs="Arial"/>
          <w:color w:val="auto"/>
          <w:szCs w:val="21"/>
          <w:highlight w:val="none"/>
        </w:rPr>
        <w:t>年</w:t>
      </w:r>
      <w:r>
        <w:rPr>
          <w:rFonts w:hint="eastAsia" w:ascii="Arial" w:hAnsi="Arial" w:cs="Arial"/>
          <w:color w:val="auto"/>
          <w:szCs w:val="21"/>
          <w:highlight w:val="none"/>
          <w:lang w:val="en-US" w:eastAsia="zh-CN"/>
        </w:rPr>
        <w:t>7</w:t>
      </w:r>
      <w:r>
        <w:rPr>
          <w:rFonts w:ascii="Arial" w:hAnsi="Arial" w:cs="Arial"/>
          <w:color w:val="auto"/>
          <w:szCs w:val="21"/>
          <w:highlight w:val="none"/>
        </w:rPr>
        <w:t>月</w:t>
      </w:r>
      <w:r>
        <w:rPr>
          <w:rFonts w:hint="eastAsia" w:ascii="Arial" w:hAnsi="Arial" w:cs="Arial"/>
          <w:color w:val="auto"/>
          <w:szCs w:val="21"/>
          <w:highlight w:val="none"/>
          <w:lang w:val="en-US" w:eastAsia="zh-CN"/>
        </w:rPr>
        <w:t xml:space="preserve">28 </w:t>
      </w:r>
      <w:r>
        <w:rPr>
          <w:rFonts w:ascii="Arial" w:hAnsi="Arial" w:cs="Arial"/>
          <w:color w:val="auto"/>
          <w:szCs w:val="21"/>
          <w:highlight w:val="none"/>
        </w:rPr>
        <w:t>日至202</w:t>
      </w:r>
      <w:r>
        <w:rPr>
          <w:rFonts w:hint="eastAsia" w:ascii="Arial" w:hAnsi="Arial" w:cs="Arial"/>
          <w:color w:val="auto"/>
          <w:szCs w:val="21"/>
          <w:highlight w:val="none"/>
          <w:lang w:val="en-US" w:eastAsia="zh-CN"/>
        </w:rPr>
        <w:t>6</w:t>
      </w:r>
      <w:r>
        <w:rPr>
          <w:rFonts w:ascii="Arial" w:hAnsi="Arial" w:cs="Arial"/>
          <w:color w:val="auto"/>
          <w:szCs w:val="21"/>
          <w:highlight w:val="none"/>
        </w:rPr>
        <w:t>年</w:t>
      </w:r>
      <w:r>
        <w:rPr>
          <w:rFonts w:hint="eastAsia" w:ascii="Arial" w:hAnsi="Arial" w:cs="Arial"/>
          <w:color w:val="auto"/>
          <w:szCs w:val="21"/>
          <w:highlight w:val="none"/>
          <w:lang w:val="en-US" w:eastAsia="zh-CN"/>
        </w:rPr>
        <w:t>8</w:t>
      </w:r>
      <w:r>
        <w:rPr>
          <w:rFonts w:hint="eastAsia" w:ascii="Arial" w:hAnsi="Arial" w:cs="Arial"/>
          <w:color w:val="auto"/>
          <w:szCs w:val="21"/>
          <w:highlight w:val="none"/>
        </w:rPr>
        <w:t>月</w:t>
      </w:r>
      <w:r>
        <w:rPr>
          <w:rFonts w:hint="eastAsia" w:ascii="Arial" w:hAnsi="Arial" w:cs="Arial"/>
          <w:color w:val="auto"/>
          <w:szCs w:val="21"/>
          <w:highlight w:val="none"/>
          <w:lang w:val="en-US" w:eastAsia="zh-CN"/>
        </w:rPr>
        <w:t>4</w:t>
      </w:r>
      <w:r>
        <w:rPr>
          <w:rFonts w:hint="eastAsia" w:ascii="Arial" w:hAnsi="Arial" w:cs="Arial"/>
          <w:color w:val="auto"/>
          <w:szCs w:val="21"/>
          <w:highlight w:val="none"/>
        </w:rPr>
        <w:t>日</w:t>
      </w:r>
      <w:r>
        <w:rPr>
          <w:rFonts w:ascii="Arial" w:hAnsi="Arial" w:cs="Arial"/>
          <w:color w:val="auto"/>
          <w:szCs w:val="21"/>
          <w:highlight w:val="none"/>
        </w:rPr>
        <w:t xml:space="preserve"> ，每天上午00:00至12:00，下午12:00至23:59（北京时间，法定节假日除外）</w:t>
      </w:r>
    </w:p>
    <w:p w14:paraId="6B66A74A">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地点（网址）：广西政府采购云平台 （https://www.gcy.zfcg.gxzf.gov.cn/） </w:t>
      </w:r>
    </w:p>
    <w:p w14:paraId="2F01D289">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方式：供应商登录广西政府采购云平台https://www.gcy.zfcg.gxzf.gov.cn/在线申请获取采购文件（进入“项目采购”应用，在获取采购文件菜单中选择项目，申请获取采购文件）</w:t>
      </w:r>
    </w:p>
    <w:p w14:paraId="11E2C325">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售价（元）：0  </w:t>
      </w:r>
    </w:p>
    <w:p w14:paraId="41C71E6B">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四、提交投标文件截止时间、开标时间和地点</w:t>
      </w:r>
    </w:p>
    <w:p w14:paraId="26ABC808">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提交投标文件截止时间：202</w:t>
      </w:r>
      <w:r>
        <w:rPr>
          <w:rFonts w:hint="eastAsia" w:ascii="Arial" w:hAnsi="Arial" w:cs="Arial"/>
          <w:color w:val="auto"/>
          <w:szCs w:val="21"/>
          <w:highlight w:val="none"/>
          <w:lang w:val="en-US" w:eastAsia="zh-CN"/>
        </w:rPr>
        <w:t>6</w:t>
      </w:r>
      <w:r>
        <w:rPr>
          <w:rFonts w:ascii="Arial" w:hAnsi="Arial" w:cs="Arial"/>
          <w:color w:val="auto"/>
          <w:szCs w:val="21"/>
          <w:highlight w:val="none"/>
        </w:rPr>
        <w:t>年</w:t>
      </w:r>
      <w:r>
        <w:rPr>
          <w:rFonts w:hint="eastAsia" w:ascii="Arial" w:hAnsi="Arial" w:cs="Arial"/>
          <w:color w:val="auto"/>
          <w:szCs w:val="21"/>
          <w:highlight w:val="none"/>
          <w:lang w:val="en-US" w:eastAsia="zh-CN"/>
        </w:rPr>
        <w:t>8</w:t>
      </w:r>
      <w:r>
        <w:rPr>
          <w:rFonts w:hint="eastAsia" w:ascii="Arial" w:hAnsi="Arial" w:cs="Arial"/>
          <w:color w:val="auto"/>
          <w:szCs w:val="21"/>
          <w:highlight w:val="none"/>
        </w:rPr>
        <w:t>月</w:t>
      </w:r>
      <w:r>
        <w:rPr>
          <w:rFonts w:hint="eastAsia" w:ascii="Arial" w:hAnsi="Arial" w:cs="Arial"/>
          <w:color w:val="auto"/>
          <w:szCs w:val="21"/>
          <w:highlight w:val="none"/>
          <w:lang w:val="en-US" w:eastAsia="zh-CN"/>
        </w:rPr>
        <w:t>19</w:t>
      </w:r>
      <w:r>
        <w:rPr>
          <w:rFonts w:hint="eastAsia" w:ascii="Arial" w:hAnsi="Arial" w:cs="Arial"/>
          <w:color w:val="auto"/>
          <w:szCs w:val="21"/>
          <w:highlight w:val="none"/>
        </w:rPr>
        <w:t>日</w:t>
      </w:r>
      <w:r>
        <w:rPr>
          <w:rFonts w:ascii="Arial" w:hAnsi="Arial" w:cs="Arial"/>
          <w:color w:val="auto"/>
          <w:szCs w:val="21"/>
          <w:highlight w:val="none"/>
        </w:rPr>
        <w:t>09:30（北京时间）</w:t>
      </w:r>
    </w:p>
    <w:p w14:paraId="1EF8BDD0">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地点（网址）：</w:t>
      </w:r>
      <w:r>
        <w:rPr>
          <w:rFonts w:hint="eastAsia" w:ascii="Arial" w:hAnsi="Arial" w:cs="Arial"/>
          <w:color w:val="auto"/>
          <w:szCs w:val="21"/>
          <w:highlight w:val="none"/>
        </w:rPr>
        <w:t>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 广西政府采购云平台，供应商在广西政府采购云平台提交电子版投标文件时，请填写参加远程开标活动经办人联系方式。</w:t>
      </w:r>
    </w:p>
    <w:p w14:paraId="1BF72335">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开标时间：202</w:t>
      </w:r>
      <w:r>
        <w:rPr>
          <w:rFonts w:hint="eastAsia" w:ascii="Arial" w:hAnsi="Arial" w:cs="Arial"/>
          <w:color w:val="auto"/>
          <w:szCs w:val="21"/>
          <w:highlight w:val="none"/>
          <w:lang w:val="en-US" w:eastAsia="zh-CN"/>
        </w:rPr>
        <w:t>6</w:t>
      </w:r>
      <w:r>
        <w:rPr>
          <w:rFonts w:ascii="Arial" w:hAnsi="Arial" w:cs="Arial"/>
          <w:color w:val="auto"/>
          <w:szCs w:val="21"/>
          <w:highlight w:val="none"/>
        </w:rPr>
        <w:t>年</w:t>
      </w:r>
      <w:r>
        <w:rPr>
          <w:rFonts w:hint="eastAsia" w:ascii="Arial" w:hAnsi="Arial" w:cs="Arial"/>
          <w:color w:val="auto"/>
          <w:szCs w:val="21"/>
          <w:highlight w:val="none"/>
          <w:lang w:val="en-US" w:eastAsia="zh-CN"/>
        </w:rPr>
        <w:t>8</w:t>
      </w:r>
      <w:r>
        <w:rPr>
          <w:rFonts w:hint="eastAsia" w:ascii="Arial" w:hAnsi="Arial" w:cs="Arial"/>
          <w:color w:val="auto"/>
          <w:szCs w:val="21"/>
          <w:highlight w:val="none"/>
        </w:rPr>
        <w:t>月</w:t>
      </w:r>
      <w:r>
        <w:rPr>
          <w:rFonts w:hint="eastAsia" w:ascii="Arial" w:hAnsi="Arial" w:cs="Arial"/>
          <w:color w:val="auto"/>
          <w:szCs w:val="21"/>
          <w:highlight w:val="none"/>
          <w:lang w:val="en-US" w:eastAsia="zh-CN"/>
        </w:rPr>
        <w:t>19</w:t>
      </w:r>
      <w:r>
        <w:rPr>
          <w:rFonts w:hint="eastAsia" w:ascii="Arial" w:hAnsi="Arial" w:cs="Arial"/>
          <w:color w:val="auto"/>
          <w:szCs w:val="21"/>
          <w:highlight w:val="none"/>
        </w:rPr>
        <w:t>日</w:t>
      </w:r>
      <w:r>
        <w:rPr>
          <w:rFonts w:ascii="Arial" w:hAnsi="Arial" w:cs="Arial"/>
          <w:color w:val="auto"/>
          <w:szCs w:val="21"/>
          <w:highlight w:val="none"/>
        </w:rPr>
        <w:t xml:space="preserve">09:30 </w:t>
      </w:r>
    </w:p>
    <w:p w14:paraId="2C4FD6F5">
      <w:pPr>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开标地点：通过广西政府采购云平台实行在线解密开启。</w:t>
      </w:r>
    </w:p>
    <w:p w14:paraId="0D4A18D2">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五、公告期限</w:t>
      </w:r>
    </w:p>
    <w:p w14:paraId="071EE806">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自本公告发布之日起5个工作日。</w:t>
      </w:r>
    </w:p>
    <w:p w14:paraId="712A0837">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六、其他补充事宜</w:t>
      </w:r>
    </w:p>
    <w:p w14:paraId="36332999">
      <w:pPr>
        <w:snapToGrid w:val="0"/>
        <w:spacing w:line="300"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1.公告发布媒体：广西政府采购网、中国政府采购网 </w:t>
      </w:r>
    </w:p>
    <w:p w14:paraId="50E23253">
      <w:pPr>
        <w:snapToGrid w:val="0"/>
        <w:spacing w:line="300" w:lineRule="auto"/>
        <w:ind w:firstLine="420" w:firstLineChars="200"/>
        <w:jc w:val="left"/>
        <w:rPr>
          <w:rFonts w:ascii="Arial" w:hAnsi="Arial" w:cs="Arial"/>
          <w:color w:val="auto"/>
          <w:szCs w:val="21"/>
          <w:highlight w:val="none"/>
        </w:rPr>
      </w:pPr>
      <w:r>
        <w:rPr>
          <w:rFonts w:ascii="Arial" w:hAnsi="Arial" w:cs="Arial"/>
          <w:color w:val="auto"/>
          <w:szCs w:val="21"/>
          <w:highlight w:val="none"/>
        </w:rPr>
        <w:t>2.需落实的政府采购政策：本项目适用政府采购促进中小企业、监狱企业发展、促进残疾人就业、</w:t>
      </w:r>
      <w:r>
        <w:rPr>
          <w:rFonts w:ascii="Arial" w:hAnsi="Arial" w:cs="Arial"/>
          <w:color w:val="auto"/>
          <w:highlight w:val="none"/>
        </w:rPr>
        <w:t>节能环保</w:t>
      </w:r>
      <w:r>
        <w:rPr>
          <w:rFonts w:hint="eastAsia" w:ascii="Arial" w:hAnsi="Arial" w:cs="Arial"/>
          <w:color w:val="auto"/>
          <w:highlight w:val="none"/>
          <w:lang w:eastAsia="zh-CN"/>
        </w:rPr>
        <w:t>、对本国产品的支持</w:t>
      </w:r>
      <w:r>
        <w:rPr>
          <w:rFonts w:ascii="Arial" w:hAnsi="Arial" w:cs="Arial"/>
          <w:color w:val="auto"/>
          <w:szCs w:val="21"/>
          <w:highlight w:val="none"/>
        </w:rPr>
        <w:t>等有关政策，具体详见招标文件。</w:t>
      </w:r>
    </w:p>
    <w:p w14:paraId="1182F97D">
      <w:pPr>
        <w:snapToGrid w:val="0"/>
        <w:spacing w:line="300" w:lineRule="auto"/>
        <w:ind w:firstLine="420" w:firstLineChars="200"/>
        <w:jc w:val="left"/>
        <w:rPr>
          <w:rFonts w:ascii="Arial" w:hAnsi="Arial" w:cs="Arial"/>
          <w:color w:val="auto"/>
          <w:szCs w:val="21"/>
          <w:highlight w:val="none"/>
        </w:rPr>
      </w:pPr>
      <w:bookmarkStart w:id="13" w:name="_Hlk88997182"/>
      <w:r>
        <w:rPr>
          <w:rFonts w:ascii="Arial" w:hAnsi="Arial" w:cs="Arial"/>
          <w:color w:val="auto"/>
          <w:szCs w:val="21"/>
          <w:highlight w:val="none"/>
        </w:rPr>
        <w:t>3.投标文件解密时间：截标时间后30分钟内（</w:t>
      </w:r>
      <w:r>
        <w:rPr>
          <w:rFonts w:hint="eastAsia" w:ascii="Arial" w:hAnsi="Arial" w:cs="Arial"/>
          <w:color w:val="auto"/>
          <w:szCs w:val="21"/>
          <w:highlight w:val="none"/>
          <w:lang w:eastAsia="zh-CN"/>
        </w:rPr>
        <w:t>202</w:t>
      </w:r>
      <w:r>
        <w:rPr>
          <w:rFonts w:hint="eastAsia" w:ascii="Arial" w:hAnsi="Arial" w:cs="Arial"/>
          <w:color w:val="auto"/>
          <w:szCs w:val="21"/>
          <w:highlight w:val="none"/>
          <w:lang w:val="en-US" w:eastAsia="zh-CN"/>
        </w:rPr>
        <w:t>6</w:t>
      </w:r>
      <w:r>
        <w:rPr>
          <w:rFonts w:hint="eastAsia" w:ascii="Arial" w:hAnsi="Arial" w:cs="Arial"/>
          <w:color w:val="auto"/>
          <w:szCs w:val="21"/>
          <w:highlight w:val="none"/>
          <w:lang w:eastAsia="zh-CN"/>
        </w:rPr>
        <w:t>年</w:t>
      </w:r>
      <w:r>
        <w:rPr>
          <w:rFonts w:hint="eastAsia" w:ascii="Arial" w:hAnsi="Arial" w:cs="Arial"/>
          <w:color w:val="auto"/>
          <w:szCs w:val="21"/>
          <w:highlight w:val="none"/>
          <w:lang w:val="en-US" w:eastAsia="zh-CN"/>
        </w:rPr>
        <w:t>8</w:t>
      </w:r>
      <w:r>
        <w:rPr>
          <w:rFonts w:hint="eastAsia" w:ascii="Arial" w:hAnsi="Arial" w:cs="Arial"/>
          <w:color w:val="auto"/>
          <w:szCs w:val="21"/>
          <w:highlight w:val="none"/>
          <w:lang w:eastAsia="zh-CN"/>
        </w:rPr>
        <w:t>月</w:t>
      </w:r>
      <w:r>
        <w:rPr>
          <w:rFonts w:hint="eastAsia" w:ascii="Arial" w:hAnsi="Arial" w:cs="Arial"/>
          <w:color w:val="auto"/>
          <w:szCs w:val="21"/>
          <w:highlight w:val="none"/>
          <w:lang w:val="en-US" w:eastAsia="zh-CN"/>
        </w:rPr>
        <w:t>19</w:t>
      </w:r>
      <w:r>
        <w:rPr>
          <w:rFonts w:hint="eastAsia" w:ascii="Arial" w:hAnsi="Arial" w:cs="Arial"/>
          <w:color w:val="auto"/>
          <w:szCs w:val="21"/>
          <w:highlight w:val="none"/>
          <w:lang w:eastAsia="zh-CN"/>
        </w:rPr>
        <w:t>日</w:t>
      </w:r>
      <w:r>
        <w:rPr>
          <w:rFonts w:ascii="Arial" w:hAnsi="Arial" w:cs="Arial"/>
          <w:color w:val="auto"/>
          <w:szCs w:val="21"/>
          <w:highlight w:val="none"/>
        </w:rPr>
        <w:t>上午9时30分至10时00分）供应商可以登录政采云平台，用“项目采购-开标评标”功能进行解密投标文件。</w:t>
      </w:r>
      <w:r>
        <w:rPr>
          <w:rFonts w:hint="eastAsia" w:ascii="Arial" w:hAnsi="Arial" w:cs="Arial"/>
          <w:color w:val="auto"/>
          <w:szCs w:val="21"/>
          <w:highlight w:val="none"/>
        </w:rPr>
        <w:t>若供应商在规定时间内无法解密或解密失败，可以以电子备份投标文件作为依据【在接到无法解密或解密失败的通知后，供应商可根据自身实际情况按通知时要求的时间提交电子备份投标文件】，若供应商在规定时间内无法解密或解密失败且未提供电子备份投标文件的（包含提供的电子备份文件无效或无法解密的情况），视为投标无效。</w:t>
      </w:r>
    </w:p>
    <w:bookmarkEnd w:id="13"/>
    <w:p w14:paraId="5EABD8B0">
      <w:pPr>
        <w:snapToGrid w:val="0"/>
        <w:spacing w:line="300" w:lineRule="auto"/>
        <w:ind w:firstLine="420" w:firstLineChars="200"/>
        <w:rPr>
          <w:rFonts w:ascii="Arial" w:hAnsi="Arial" w:cs="Arial"/>
          <w:color w:val="auto"/>
          <w:szCs w:val="21"/>
          <w:highlight w:val="none"/>
        </w:rPr>
      </w:pPr>
      <w:r>
        <w:rPr>
          <w:rFonts w:ascii="Arial" w:hAnsi="Arial" w:cs="Arial"/>
          <w:color w:val="auto"/>
          <w:szCs w:val="21"/>
          <w:highlight w:val="none"/>
        </w:rPr>
        <w:t>4.“政采云”平台电子投标相关事宜：</w:t>
      </w:r>
    </w:p>
    <w:p w14:paraId="5FF19CCD">
      <w:pPr>
        <w:snapToGrid w:val="0"/>
        <w:spacing w:line="300" w:lineRule="auto"/>
        <w:ind w:firstLine="420" w:firstLineChars="200"/>
        <w:rPr>
          <w:rFonts w:ascii="Arial" w:hAnsi="Arial" w:cs="Arial"/>
          <w:color w:val="auto"/>
          <w:szCs w:val="21"/>
          <w:highlight w:val="none"/>
        </w:rPr>
      </w:pPr>
      <w:r>
        <w:rPr>
          <w:rFonts w:ascii="Arial" w:hAnsi="Arial" w:cs="Arial"/>
          <w:color w:val="auto"/>
          <w:kern w:val="0"/>
          <w:szCs w:val="21"/>
          <w:highlight w:val="none"/>
        </w:rPr>
        <w:t>（1）</w:t>
      </w:r>
      <w:r>
        <w:rPr>
          <w:rFonts w:ascii="Arial" w:hAnsi="Arial" w:cs="Arial"/>
          <w:color w:val="auto"/>
          <w:szCs w:val="21"/>
          <w:highlight w:val="none"/>
        </w:rPr>
        <w:t>未进行网上注册并办理数字证书（CA认证）的供应商将无法参与本项目政府采购活动，潜在供应商应当在响应截止时间前，完成广西政府采购云平台上的CA数字证书办理及投标文件的提交。完成CA数字证书办理预计7日左右，建议各供应商抓紧时间办理。</w:t>
      </w:r>
    </w:p>
    <w:p w14:paraId="228C627E">
      <w:pPr>
        <w:snapToGrid w:val="0"/>
        <w:spacing w:line="300" w:lineRule="auto"/>
        <w:ind w:firstLine="420" w:firstLineChars="200"/>
        <w:rPr>
          <w:rFonts w:ascii="Arial" w:hAnsi="Arial" w:cs="Arial"/>
          <w:color w:val="auto"/>
          <w:kern w:val="0"/>
          <w:szCs w:val="21"/>
          <w:highlight w:val="none"/>
        </w:rPr>
      </w:pPr>
      <w:r>
        <w:rPr>
          <w:rFonts w:ascii="Arial" w:hAnsi="Arial" w:cs="Arial"/>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7A870ECA">
      <w:pPr>
        <w:snapToGrid w:val="0"/>
        <w:spacing w:line="30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若对项目采购电子交易系统操作有疑问，可登录“政采云”平台（https://www.gcy.zfcg.gxzf.gov.cn/），点击右侧咨询小采获取采小蜜智能服务管家帮助或点击右侧帮助文档查看供应商指南或拨打政采云服务热线95763获取热线服务帮助。</w:t>
      </w:r>
    </w:p>
    <w:p w14:paraId="12921142">
      <w:pPr>
        <w:adjustRightInd w:val="0"/>
        <w:snapToGrid w:val="0"/>
        <w:spacing w:line="360" w:lineRule="exact"/>
        <w:ind w:firstLine="422" w:firstLineChars="200"/>
        <w:rPr>
          <w:rFonts w:ascii="Arial" w:hAnsi="Arial" w:cs="Arial"/>
          <w:color w:val="auto"/>
          <w:szCs w:val="21"/>
          <w:highlight w:val="none"/>
        </w:rPr>
      </w:pPr>
      <w:r>
        <w:rPr>
          <w:rFonts w:hint="eastAsia" w:ascii="Arial" w:hAnsi="Arial" w:cs="Arial"/>
          <w:b/>
          <w:bCs/>
          <w:color w:val="auto"/>
          <w:szCs w:val="21"/>
          <w:highlight w:val="none"/>
        </w:rPr>
        <w:t>5.</w:t>
      </w:r>
      <w:r>
        <w:rPr>
          <w:rFonts w:hint="eastAsia" w:ascii="Arial" w:hAnsi="Arial" w:cs="Arial"/>
          <w:b/>
          <w:bCs/>
          <w:color w:val="auto"/>
          <w:kern w:val="0"/>
          <w:szCs w:val="21"/>
          <w:highlight w:val="none"/>
          <w:lang w:val="en-US" w:eastAsia="zh-CN"/>
        </w:rPr>
        <w:t>本项目</w:t>
      </w:r>
      <w:r>
        <w:rPr>
          <w:rFonts w:hint="eastAsia" w:ascii="Arial" w:hAnsi="Arial" w:cs="Arial"/>
          <w:b/>
          <w:bCs/>
          <w:color w:val="auto"/>
          <w:kern w:val="0"/>
          <w:szCs w:val="21"/>
          <w:highlight w:val="none"/>
        </w:rPr>
        <w:t>采购预算不等于实际采购金额，服务期限内</w:t>
      </w:r>
      <w:r>
        <w:rPr>
          <w:rFonts w:hint="eastAsia" w:ascii="Arial" w:hAnsi="Arial" w:cs="Arial"/>
          <w:b/>
          <w:bCs/>
          <w:color w:val="auto"/>
          <w:kern w:val="0"/>
          <w:szCs w:val="21"/>
          <w:highlight w:val="none"/>
          <w:lang w:val="en-US" w:eastAsia="zh-CN"/>
        </w:rPr>
        <w:t>本项目</w:t>
      </w:r>
      <w:r>
        <w:rPr>
          <w:rFonts w:hint="eastAsia" w:ascii="Arial" w:hAnsi="Arial" w:cs="Arial"/>
          <w:b/>
          <w:bCs/>
          <w:color w:val="auto"/>
          <w:kern w:val="0"/>
          <w:szCs w:val="21"/>
          <w:highlight w:val="none"/>
        </w:rPr>
        <w:t>实际采购金额按采购人实际完成采购量进行结算</w:t>
      </w:r>
      <w:r>
        <w:rPr>
          <w:rFonts w:hint="eastAsia" w:ascii="Arial" w:hAnsi="Arial" w:cs="Arial"/>
          <w:b/>
          <w:bCs/>
          <w:color w:val="auto"/>
          <w:kern w:val="0"/>
          <w:szCs w:val="21"/>
          <w:highlight w:val="none"/>
          <w:lang w:eastAsia="zh-CN"/>
        </w:rPr>
        <w:t>，</w:t>
      </w:r>
      <w:r>
        <w:rPr>
          <w:rFonts w:hint="eastAsia" w:ascii="Arial" w:hAnsi="Arial" w:cs="Arial"/>
          <w:b/>
          <w:bCs/>
          <w:color w:val="auto"/>
          <w:kern w:val="0"/>
          <w:szCs w:val="21"/>
          <w:highlight w:val="none"/>
          <w:lang w:val="en-US" w:eastAsia="zh-CN"/>
        </w:rPr>
        <w:t>原则上结算金额不超过项目采购预算金额</w:t>
      </w:r>
      <w:r>
        <w:rPr>
          <w:rFonts w:hint="eastAsia" w:ascii="Arial" w:hAnsi="Arial" w:cs="Arial"/>
          <w:b/>
          <w:bCs/>
          <w:color w:val="auto"/>
          <w:kern w:val="0"/>
          <w:szCs w:val="21"/>
          <w:highlight w:val="none"/>
        </w:rPr>
        <w:t>。</w:t>
      </w:r>
    </w:p>
    <w:p w14:paraId="5AEDEC29">
      <w:pPr>
        <w:spacing w:line="312" w:lineRule="auto"/>
        <w:ind w:firstLine="442" w:firstLineChars="200"/>
        <w:jc w:val="left"/>
        <w:rPr>
          <w:rFonts w:hint="default" w:ascii="Arial" w:hAnsi="Arial" w:eastAsia="宋体" w:cs="Arial"/>
          <w:b/>
          <w:bCs/>
          <w:color w:val="auto"/>
          <w:kern w:val="0"/>
          <w:sz w:val="22"/>
          <w:szCs w:val="22"/>
          <w:highlight w:val="none"/>
          <w:lang w:val="en-US" w:eastAsia="zh-CN"/>
        </w:rPr>
      </w:pPr>
      <w:r>
        <w:rPr>
          <w:rFonts w:hint="eastAsia" w:ascii="Arial" w:hAnsi="Arial" w:cs="Arial"/>
          <w:b/>
          <w:bCs/>
          <w:color w:val="auto"/>
          <w:kern w:val="0"/>
          <w:sz w:val="22"/>
          <w:szCs w:val="22"/>
          <w:highlight w:val="none"/>
          <w:lang w:val="en-US" w:eastAsia="zh-CN"/>
        </w:rPr>
        <w:t>6.本项目采用远程异地评审。</w:t>
      </w:r>
    </w:p>
    <w:p w14:paraId="53EA7FA5">
      <w:pPr>
        <w:spacing w:line="312" w:lineRule="auto"/>
        <w:ind w:firstLine="442" w:firstLineChars="200"/>
        <w:jc w:val="left"/>
        <w:rPr>
          <w:rFonts w:ascii="Arial" w:hAnsi="Arial" w:cs="Arial"/>
          <w:b/>
          <w:bCs/>
          <w:color w:val="auto"/>
          <w:kern w:val="0"/>
          <w:sz w:val="22"/>
          <w:szCs w:val="22"/>
          <w:highlight w:val="none"/>
        </w:rPr>
      </w:pPr>
      <w:r>
        <w:rPr>
          <w:rFonts w:ascii="Arial" w:hAnsi="Arial" w:cs="Arial"/>
          <w:b/>
          <w:bCs/>
          <w:color w:val="auto"/>
          <w:kern w:val="0"/>
          <w:sz w:val="22"/>
          <w:szCs w:val="22"/>
          <w:highlight w:val="none"/>
        </w:rPr>
        <w:t>七、对本次招标提出询问，请按以下方式联系</w:t>
      </w:r>
    </w:p>
    <w:p w14:paraId="24D45692">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1.采购人信息</w:t>
      </w:r>
    </w:p>
    <w:p w14:paraId="7480D5F2">
      <w:pPr>
        <w:spacing w:line="312" w:lineRule="auto"/>
        <w:ind w:firstLine="420" w:firstLineChars="200"/>
        <w:jc w:val="left"/>
        <w:rPr>
          <w:rFonts w:hint="eastAsia" w:ascii="Arial" w:hAnsi="Arial" w:eastAsia="宋体" w:cs="Arial"/>
          <w:color w:val="auto"/>
          <w:kern w:val="0"/>
          <w:szCs w:val="21"/>
          <w:highlight w:val="none"/>
          <w:u w:val="single"/>
          <w:lang w:eastAsia="zh-CN"/>
        </w:rPr>
      </w:pPr>
      <w:r>
        <w:rPr>
          <w:rFonts w:ascii="Arial" w:hAnsi="Arial" w:cs="Arial"/>
          <w:color w:val="auto"/>
          <w:kern w:val="0"/>
          <w:szCs w:val="21"/>
          <w:highlight w:val="none"/>
        </w:rPr>
        <w:t>名称：</w:t>
      </w:r>
      <w:r>
        <w:rPr>
          <w:rFonts w:hint="eastAsia" w:ascii="Arial" w:hAnsi="Arial" w:cs="Arial"/>
          <w:color w:val="auto"/>
          <w:kern w:val="0"/>
          <w:szCs w:val="21"/>
          <w:highlight w:val="none"/>
          <w:u w:val="single"/>
          <w:lang w:eastAsia="zh-CN"/>
        </w:rPr>
        <w:t>桂林医科大学第一附属医院</w:t>
      </w:r>
    </w:p>
    <w:p w14:paraId="7ABFF50E">
      <w:pPr>
        <w:widowControl/>
        <w:spacing w:line="288" w:lineRule="auto"/>
        <w:ind w:left="420" w:leftChars="200"/>
        <w:jc w:val="left"/>
        <w:rPr>
          <w:rFonts w:ascii="Arial" w:hAnsi="Arial" w:cs="Arial"/>
          <w:color w:val="auto"/>
          <w:kern w:val="0"/>
          <w:szCs w:val="21"/>
          <w:highlight w:val="none"/>
        </w:rPr>
      </w:pPr>
      <w:r>
        <w:rPr>
          <w:rFonts w:ascii="Arial" w:hAnsi="Arial" w:cs="Arial"/>
          <w:color w:val="auto"/>
          <w:kern w:val="0"/>
          <w:szCs w:val="21"/>
          <w:highlight w:val="none"/>
        </w:rPr>
        <w:t>地址：</w:t>
      </w:r>
      <w:r>
        <w:rPr>
          <w:rFonts w:ascii="Arial" w:hAnsi="Arial" w:cs="Arial"/>
          <w:color w:val="auto"/>
          <w:kern w:val="0"/>
          <w:szCs w:val="21"/>
          <w:highlight w:val="none"/>
          <w:u w:val="single"/>
        </w:rPr>
        <w:t>桂林市秀峰区乐群路15号</w:t>
      </w:r>
    </w:p>
    <w:p w14:paraId="64095DB0">
      <w:pPr>
        <w:widowControl/>
        <w:spacing w:line="288" w:lineRule="auto"/>
        <w:ind w:left="420" w:leftChars="200"/>
        <w:jc w:val="left"/>
        <w:rPr>
          <w:rFonts w:hint="eastAsia" w:ascii="Arial" w:hAnsi="Arial" w:eastAsia="宋体" w:cs="Arial"/>
          <w:color w:val="auto"/>
          <w:kern w:val="0"/>
          <w:szCs w:val="21"/>
          <w:highlight w:val="none"/>
          <w:lang w:eastAsia="zh-CN"/>
        </w:rPr>
      </w:pPr>
      <w:r>
        <w:rPr>
          <w:rFonts w:ascii="Arial" w:hAnsi="Arial" w:cs="Arial"/>
          <w:color w:val="auto"/>
          <w:kern w:val="0"/>
          <w:szCs w:val="21"/>
          <w:highlight w:val="none"/>
        </w:rPr>
        <w:t>项目联系人：</w:t>
      </w:r>
      <w:r>
        <w:rPr>
          <w:rFonts w:hint="eastAsia" w:ascii="Arial" w:hAnsi="Arial" w:cs="Arial"/>
          <w:color w:val="auto"/>
          <w:kern w:val="0"/>
          <w:szCs w:val="21"/>
          <w:highlight w:val="none"/>
          <w:u w:val="single"/>
          <w:lang w:eastAsia="zh-CN"/>
        </w:rPr>
        <w:t>唐老师</w:t>
      </w:r>
    </w:p>
    <w:p w14:paraId="1A775BD8">
      <w:pPr>
        <w:widowControl/>
        <w:spacing w:line="288" w:lineRule="auto"/>
        <w:ind w:left="420" w:leftChars="200"/>
        <w:jc w:val="left"/>
        <w:rPr>
          <w:rFonts w:ascii="Arial" w:hAnsi="Arial" w:cs="Arial"/>
          <w:color w:val="auto"/>
          <w:kern w:val="0"/>
          <w:szCs w:val="21"/>
          <w:highlight w:val="none"/>
          <w:u w:val="single"/>
        </w:rPr>
      </w:pPr>
      <w:r>
        <w:rPr>
          <w:rFonts w:ascii="Arial" w:hAnsi="Arial" w:cs="Arial"/>
          <w:color w:val="auto"/>
          <w:kern w:val="0"/>
          <w:szCs w:val="21"/>
          <w:highlight w:val="none"/>
        </w:rPr>
        <w:t>项目联系方式：</w:t>
      </w:r>
      <w:r>
        <w:rPr>
          <w:rFonts w:ascii="Arial" w:hAnsi="Arial" w:cs="Arial"/>
          <w:color w:val="auto"/>
          <w:kern w:val="0"/>
          <w:szCs w:val="21"/>
          <w:highlight w:val="none"/>
          <w:u w:val="single"/>
        </w:rPr>
        <w:t>0773-2802050</w:t>
      </w:r>
    </w:p>
    <w:p w14:paraId="5788240D">
      <w:pPr>
        <w:widowControl/>
        <w:spacing w:line="288" w:lineRule="auto"/>
        <w:ind w:left="420" w:leftChars="200"/>
        <w:jc w:val="left"/>
        <w:rPr>
          <w:rFonts w:ascii="Arial" w:hAnsi="Arial" w:cs="Arial"/>
          <w:color w:val="auto"/>
          <w:kern w:val="0"/>
          <w:szCs w:val="21"/>
          <w:highlight w:val="none"/>
        </w:rPr>
      </w:pPr>
      <w:r>
        <w:rPr>
          <w:rFonts w:ascii="Arial" w:hAnsi="Arial" w:cs="Arial"/>
          <w:color w:val="auto"/>
          <w:kern w:val="0"/>
          <w:szCs w:val="21"/>
          <w:highlight w:val="none"/>
        </w:rPr>
        <w:t>邮箱：gyzbcg@163.com</w:t>
      </w:r>
    </w:p>
    <w:p w14:paraId="60C970C5">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2、采购代理机构信息</w:t>
      </w:r>
    </w:p>
    <w:p w14:paraId="6DF18308">
      <w:pPr>
        <w:spacing w:line="312" w:lineRule="auto"/>
        <w:ind w:firstLine="420" w:firstLineChars="200"/>
        <w:jc w:val="left"/>
        <w:rPr>
          <w:rFonts w:ascii="Arial" w:hAnsi="Arial" w:cs="Arial"/>
          <w:color w:val="auto"/>
          <w:kern w:val="0"/>
          <w:szCs w:val="21"/>
          <w:highlight w:val="none"/>
          <w:u w:val="single"/>
        </w:rPr>
      </w:pPr>
      <w:r>
        <w:rPr>
          <w:rFonts w:ascii="Arial" w:hAnsi="Arial" w:cs="Arial"/>
          <w:color w:val="auto"/>
          <w:kern w:val="0"/>
          <w:szCs w:val="21"/>
          <w:highlight w:val="none"/>
        </w:rPr>
        <w:t>名称：</w:t>
      </w:r>
      <w:r>
        <w:rPr>
          <w:rFonts w:ascii="Arial" w:hAnsi="Arial" w:cs="Arial"/>
          <w:color w:val="auto"/>
          <w:kern w:val="0"/>
          <w:szCs w:val="21"/>
          <w:highlight w:val="none"/>
          <w:u w:val="single"/>
        </w:rPr>
        <w:t>广西机电设备招标有限公司</w:t>
      </w:r>
    </w:p>
    <w:p w14:paraId="2E3B89B0">
      <w:pPr>
        <w:spacing w:line="312" w:lineRule="auto"/>
        <w:ind w:firstLine="420" w:firstLineChars="200"/>
        <w:jc w:val="left"/>
        <w:rPr>
          <w:rFonts w:ascii="Arial" w:hAnsi="Arial" w:cs="Arial"/>
          <w:color w:val="auto"/>
          <w:kern w:val="0"/>
          <w:szCs w:val="21"/>
          <w:highlight w:val="none"/>
          <w:u w:val="single"/>
        </w:rPr>
      </w:pPr>
      <w:r>
        <w:rPr>
          <w:rFonts w:ascii="Arial" w:hAnsi="Arial" w:cs="Arial"/>
          <w:color w:val="auto"/>
          <w:kern w:val="0"/>
          <w:szCs w:val="21"/>
          <w:highlight w:val="none"/>
        </w:rPr>
        <w:t>地址：</w:t>
      </w:r>
      <w:r>
        <w:rPr>
          <w:rFonts w:ascii="Arial" w:hAnsi="Arial" w:cs="Arial"/>
          <w:color w:val="auto"/>
          <w:kern w:val="0"/>
          <w:szCs w:val="21"/>
          <w:highlight w:val="none"/>
          <w:u w:val="single"/>
        </w:rPr>
        <w:t>桂林市骖鸾路31号湘商大厦6楼603（桂林分公司）</w:t>
      </w:r>
    </w:p>
    <w:p w14:paraId="4EC21B16">
      <w:pPr>
        <w:spacing w:line="312" w:lineRule="auto"/>
        <w:ind w:firstLine="420" w:firstLineChars="200"/>
        <w:jc w:val="left"/>
        <w:rPr>
          <w:rFonts w:hint="default" w:ascii="Arial" w:hAnsi="Arial" w:eastAsia="宋体" w:cs="Arial"/>
          <w:color w:val="auto"/>
          <w:kern w:val="0"/>
          <w:szCs w:val="21"/>
          <w:highlight w:val="none"/>
          <w:u w:val="single"/>
          <w:lang w:val="en-US" w:eastAsia="zh-CN"/>
        </w:rPr>
      </w:pPr>
      <w:r>
        <w:rPr>
          <w:rFonts w:ascii="Arial" w:hAnsi="Arial" w:cs="Arial"/>
          <w:color w:val="auto"/>
          <w:kern w:val="0"/>
          <w:szCs w:val="21"/>
          <w:highlight w:val="none"/>
        </w:rPr>
        <w:t>项目联系人：</w:t>
      </w:r>
      <w:r>
        <w:rPr>
          <w:rFonts w:ascii="Arial" w:hAnsi="Arial" w:cs="Arial"/>
          <w:color w:val="auto"/>
          <w:kern w:val="0"/>
          <w:szCs w:val="21"/>
          <w:highlight w:val="none"/>
          <w:u w:val="single"/>
        </w:rPr>
        <w:t>曾昭卉</w:t>
      </w:r>
      <w:r>
        <w:rPr>
          <w:rFonts w:hint="eastAsia" w:ascii="Arial" w:hAnsi="Arial" w:cs="Arial"/>
          <w:color w:val="auto"/>
          <w:kern w:val="0"/>
          <w:szCs w:val="21"/>
          <w:highlight w:val="none"/>
          <w:u w:val="single"/>
          <w:lang w:eastAsia="zh-CN"/>
        </w:rPr>
        <w:t>、</w:t>
      </w:r>
      <w:r>
        <w:rPr>
          <w:rFonts w:hint="eastAsia" w:ascii="Arial" w:hAnsi="Arial" w:cs="Arial"/>
          <w:color w:val="auto"/>
          <w:kern w:val="0"/>
          <w:szCs w:val="21"/>
          <w:highlight w:val="none"/>
          <w:u w:val="single"/>
          <w:lang w:val="en-US" w:eastAsia="zh-CN"/>
        </w:rPr>
        <w:t>栗晓奇</w:t>
      </w:r>
    </w:p>
    <w:p w14:paraId="54023301">
      <w:pPr>
        <w:spacing w:line="312" w:lineRule="auto"/>
        <w:ind w:firstLine="420" w:firstLineChars="200"/>
        <w:jc w:val="left"/>
        <w:rPr>
          <w:rFonts w:ascii="Arial" w:hAnsi="Arial" w:cs="Arial"/>
          <w:b/>
          <w:bCs/>
          <w:color w:val="auto"/>
          <w:kern w:val="0"/>
          <w:szCs w:val="21"/>
          <w:highlight w:val="none"/>
        </w:rPr>
      </w:pPr>
      <w:r>
        <w:rPr>
          <w:rFonts w:ascii="Arial" w:hAnsi="Arial" w:cs="Arial"/>
          <w:color w:val="auto"/>
          <w:kern w:val="0"/>
          <w:szCs w:val="21"/>
          <w:highlight w:val="none"/>
        </w:rPr>
        <w:t>联系方式：</w:t>
      </w:r>
      <w:r>
        <w:rPr>
          <w:rFonts w:ascii="Arial" w:hAnsi="Arial" w:cs="Arial"/>
          <w:color w:val="auto"/>
          <w:kern w:val="0"/>
          <w:szCs w:val="21"/>
          <w:highlight w:val="none"/>
          <w:u w:val="single"/>
        </w:rPr>
        <w:t xml:space="preserve"> 0773-3696789转2 </w:t>
      </w:r>
      <w:r>
        <w:rPr>
          <w:rFonts w:ascii="Arial" w:hAnsi="Arial" w:cs="Arial"/>
          <w:color w:val="auto"/>
          <w:kern w:val="0"/>
          <w:szCs w:val="21"/>
          <w:highlight w:val="none"/>
        </w:rPr>
        <w:t xml:space="preserve"> </w:t>
      </w:r>
    </w:p>
    <w:p w14:paraId="584EFB4C">
      <w:pPr>
        <w:spacing w:line="312" w:lineRule="auto"/>
        <w:ind w:firstLine="422" w:firstLineChars="200"/>
        <w:jc w:val="left"/>
        <w:rPr>
          <w:rFonts w:ascii="Arial" w:hAnsi="Arial" w:cs="Arial"/>
          <w:b/>
          <w:bCs/>
          <w:color w:val="auto"/>
          <w:kern w:val="0"/>
          <w:szCs w:val="21"/>
          <w:highlight w:val="none"/>
        </w:rPr>
      </w:pPr>
    </w:p>
    <w:p w14:paraId="7BEB718D">
      <w:pPr>
        <w:spacing w:line="312" w:lineRule="auto"/>
        <w:ind w:firstLine="420" w:firstLineChars="200"/>
        <w:jc w:val="right"/>
        <w:rPr>
          <w:rFonts w:ascii="Arial" w:hAnsi="Arial" w:cs="Arial"/>
          <w:color w:val="auto"/>
          <w:kern w:val="0"/>
          <w:szCs w:val="21"/>
          <w:highlight w:val="none"/>
        </w:rPr>
      </w:pPr>
      <w:r>
        <w:rPr>
          <w:rFonts w:ascii="Arial" w:hAnsi="Arial" w:cs="Arial"/>
          <w:color w:val="auto"/>
          <w:kern w:val="0"/>
          <w:szCs w:val="21"/>
          <w:highlight w:val="none"/>
        </w:rPr>
        <w:t>广西机电设备招标有限公司</w:t>
      </w:r>
    </w:p>
    <w:p w14:paraId="3FC73338">
      <w:pPr>
        <w:spacing w:line="312" w:lineRule="auto"/>
        <w:ind w:firstLine="420" w:firstLineChars="200"/>
        <w:jc w:val="right"/>
        <w:rPr>
          <w:rFonts w:ascii="Arial" w:hAnsi="Arial" w:cs="Arial"/>
          <w:color w:val="auto"/>
          <w:kern w:val="0"/>
          <w:sz w:val="18"/>
          <w:szCs w:val="18"/>
          <w:highlight w:val="none"/>
        </w:rPr>
      </w:pPr>
      <w:r>
        <w:rPr>
          <w:rFonts w:ascii="Arial" w:hAnsi="Arial" w:cs="Arial"/>
          <w:color w:val="auto"/>
          <w:kern w:val="0"/>
          <w:szCs w:val="21"/>
          <w:highlight w:val="none"/>
        </w:rPr>
        <w:t>202</w:t>
      </w:r>
      <w:r>
        <w:rPr>
          <w:rFonts w:hint="eastAsia" w:ascii="Arial" w:hAnsi="Arial" w:cs="Arial"/>
          <w:color w:val="auto"/>
          <w:kern w:val="0"/>
          <w:szCs w:val="21"/>
          <w:highlight w:val="none"/>
          <w:lang w:val="en-US" w:eastAsia="zh-CN"/>
        </w:rPr>
        <w:t>6</w:t>
      </w:r>
      <w:r>
        <w:rPr>
          <w:rFonts w:ascii="Arial" w:hAnsi="Arial" w:cs="Arial"/>
          <w:color w:val="auto"/>
          <w:kern w:val="0"/>
          <w:szCs w:val="21"/>
          <w:highlight w:val="none"/>
        </w:rPr>
        <w:t>年</w:t>
      </w:r>
      <w:r>
        <w:rPr>
          <w:rFonts w:hint="eastAsia" w:ascii="Arial" w:hAnsi="Arial" w:cs="Arial"/>
          <w:color w:val="auto"/>
          <w:kern w:val="0"/>
          <w:szCs w:val="21"/>
          <w:highlight w:val="none"/>
          <w:lang w:val="en-US" w:eastAsia="zh-CN"/>
        </w:rPr>
        <w:t xml:space="preserve">7 </w:t>
      </w:r>
      <w:r>
        <w:rPr>
          <w:rFonts w:ascii="Arial" w:hAnsi="Arial" w:cs="Arial"/>
          <w:color w:val="auto"/>
          <w:kern w:val="0"/>
          <w:szCs w:val="21"/>
          <w:highlight w:val="none"/>
        </w:rPr>
        <w:t>月</w:t>
      </w:r>
      <w:r>
        <w:rPr>
          <w:rFonts w:hint="eastAsia" w:ascii="Arial" w:hAnsi="Arial" w:cs="Arial"/>
          <w:color w:val="auto"/>
          <w:kern w:val="0"/>
          <w:szCs w:val="21"/>
          <w:highlight w:val="none"/>
          <w:lang w:val="en-US" w:eastAsia="zh-CN"/>
        </w:rPr>
        <w:t xml:space="preserve">28 </w:t>
      </w:r>
      <w:r>
        <w:rPr>
          <w:rFonts w:ascii="Arial" w:hAnsi="Arial" w:cs="Arial"/>
          <w:color w:val="auto"/>
          <w:kern w:val="0"/>
          <w:szCs w:val="21"/>
          <w:highlight w:val="none"/>
        </w:rPr>
        <w:t>日</w:t>
      </w:r>
    </w:p>
    <w:p w14:paraId="11286C40">
      <w:pPr>
        <w:pStyle w:val="27"/>
        <w:snapToGrid w:val="0"/>
        <w:spacing w:before="120" w:after="120" w:line="320" w:lineRule="exact"/>
        <w:outlineLvl w:val="0"/>
        <w:rPr>
          <w:rFonts w:ascii="Arial" w:hAnsi="Arial" w:cs="Arial"/>
          <w:color w:val="auto"/>
          <w:highlight w:val="none"/>
        </w:rPr>
        <w:sectPr>
          <w:headerReference r:id="rId8" w:type="first"/>
          <w:footerReference r:id="rId10" w:type="first"/>
          <w:headerReference r:id="rId7" w:type="default"/>
          <w:footerReference r:id="rId9" w:type="default"/>
          <w:pgSz w:w="11906" w:h="16838"/>
          <w:pgMar w:top="1135" w:right="1133" w:bottom="1246" w:left="1418" w:header="851" w:footer="903" w:gutter="0"/>
          <w:pgNumType w:start="1"/>
          <w:cols w:space="720" w:num="1"/>
          <w:docGrid w:linePitch="312" w:charSpace="0"/>
        </w:sectPr>
      </w:pPr>
    </w:p>
    <w:p w14:paraId="63C61D9B">
      <w:pPr>
        <w:pStyle w:val="2"/>
        <w:snapToGrid w:val="0"/>
        <w:spacing w:before="0" w:after="0" w:line="240" w:lineRule="auto"/>
        <w:jc w:val="center"/>
        <w:rPr>
          <w:rFonts w:ascii="Arial" w:hAnsi="Arial" w:cs="Arial"/>
          <w:color w:val="auto"/>
          <w:highlight w:val="none"/>
        </w:rPr>
      </w:pPr>
      <w:bookmarkStart w:id="14" w:name="_Toc13382"/>
      <w:r>
        <w:rPr>
          <w:rFonts w:ascii="Arial" w:hAnsi="Arial" w:cs="Arial"/>
          <w:color w:val="auto"/>
          <w:highlight w:val="none"/>
        </w:rPr>
        <w:t>第二章  采购需求</w:t>
      </w:r>
      <w:bookmarkEnd w:id="14"/>
    </w:p>
    <w:p w14:paraId="6BD7AC4B">
      <w:pPr>
        <w:spacing w:line="360" w:lineRule="auto"/>
        <w:rPr>
          <w:rFonts w:ascii="Arial" w:hAnsi="Arial" w:cs="Arial"/>
          <w:b/>
          <w:bCs/>
          <w:color w:val="auto"/>
          <w:szCs w:val="21"/>
          <w:highlight w:val="none"/>
        </w:rPr>
      </w:pPr>
      <w:r>
        <w:rPr>
          <w:rFonts w:ascii="Arial" w:hAnsi="Arial" w:cs="Arial"/>
          <w:b/>
          <w:bCs/>
          <w:color w:val="auto"/>
          <w:szCs w:val="21"/>
          <w:highlight w:val="none"/>
        </w:rPr>
        <w:t>说明：标注“▲”的条款或要求系指实质性条款或实质性要求，必须满足，如存在负偏离将导致投标被否决。</w:t>
      </w:r>
    </w:p>
    <w:p w14:paraId="66EE1237">
      <w:pPr>
        <w:pStyle w:val="143"/>
        <w:ind w:firstLine="422"/>
        <w:rPr>
          <w:rFonts w:ascii="Arial" w:hAnsi="Arial" w:cs="Arial"/>
          <w:b/>
          <w:bCs/>
          <w:color w:val="auto"/>
          <w:sz w:val="21"/>
          <w:szCs w:val="21"/>
          <w:highlight w:val="none"/>
        </w:rPr>
      </w:pPr>
      <w:r>
        <w:rPr>
          <w:rFonts w:ascii="Arial" w:hAnsi="Arial" w:cs="Arial"/>
          <w:b/>
          <w:bCs/>
          <w:color w:val="auto"/>
          <w:szCs w:val="21"/>
          <w:highlight w:val="none"/>
        </w:rPr>
        <w:t>▲</w:t>
      </w:r>
      <w:r>
        <w:rPr>
          <w:rFonts w:ascii="Arial" w:hAnsi="Arial" w:cs="Arial"/>
          <w:b/>
          <w:bCs/>
          <w:color w:val="auto"/>
          <w:sz w:val="21"/>
          <w:szCs w:val="21"/>
          <w:highlight w:val="none"/>
        </w:rPr>
        <w:t>一、基本要求</w:t>
      </w:r>
    </w:p>
    <w:p w14:paraId="3718F35E">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w:t>
      </w:r>
      <w:r>
        <w:rPr>
          <w:rFonts w:hint="eastAsia" w:ascii="Arial" w:hAnsi="Arial" w:cs="Arial"/>
          <w:color w:val="auto"/>
          <w:sz w:val="21"/>
          <w:szCs w:val="21"/>
          <w:highlight w:val="none"/>
          <w:lang w:val="en-US" w:eastAsia="zh-CN"/>
        </w:rPr>
        <w:t>供应商</w:t>
      </w:r>
      <w:r>
        <w:rPr>
          <w:rFonts w:hint="eastAsia" w:ascii="Arial" w:hAnsi="Arial" w:cs="Arial"/>
          <w:color w:val="auto"/>
          <w:sz w:val="21"/>
          <w:szCs w:val="21"/>
          <w:highlight w:val="none"/>
        </w:rPr>
        <w:t>需严格遵循《中华人民共和国生物安全法》，实现保护患者隐私和个人信息安全等信息安全需求。</w:t>
      </w:r>
    </w:p>
    <w:p w14:paraId="7168B475">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（2）</w:t>
      </w:r>
      <w:r>
        <w:rPr>
          <w:rFonts w:hint="eastAsia" w:ascii="Arial" w:hAnsi="Arial" w:cs="Arial"/>
          <w:color w:val="auto"/>
          <w:sz w:val="21"/>
          <w:szCs w:val="21"/>
          <w:highlight w:val="none"/>
          <w:lang w:eastAsia="zh-CN"/>
        </w:rPr>
        <w:t>无室间质评的项目，需提供实验室间比对或能力验证的结果报告，或其他可以保证检验质量的证明材料</w:t>
      </w:r>
      <w:r>
        <w:rPr>
          <w:rFonts w:hint="eastAsia" w:ascii="Arial" w:hAnsi="Arial" w:cs="Arial"/>
          <w:color w:val="auto"/>
          <w:sz w:val="21"/>
          <w:szCs w:val="21"/>
          <w:highlight w:val="none"/>
        </w:rPr>
        <w:t>。</w:t>
      </w:r>
    </w:p>
    <w:p w14:paraId="3F2F3577">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（3）须定期合理开展室内质量控制。</w:t>
      </w:r>
    </w:p>
    <w:p w14:paraId="6A788AAE">
      <w:pPr>
        <w:pStyle w:val="143"/>
        <w:ind w:left="479" w:leftChars="228" w:firstLine="0" w:firstLineChars="0"/>
        <w:rPr>
          <w:rFonts w:ascii="Arial" w:hAnsi="Arial" w:cs="Arial"/>
          <w:color w:val="auto"/>
          <w:sz w:val="21"/>
          <w:szCs w:val="21"/>
          <w:highlight w:val="none"/>
        </w:rPr>
      </w:pPr>
      <w:r>
        <w:rPr>
          <w:rFonts w:ascii="Arial" w:hAnsi="Arial" w:cs="Arial"/>
          <w:b/>
          <w:bCs/>
          <w:color w:val="auto"/>
          <w:szCs w:val="21"/>
          <w:highlight w:val="none"/>
        </w:rPr>
        <w:t>▲</w:t>
      </w:r>
      <w:r>
        <w:rPr>
          <w:rFonts w:ascii="Arial" w:hAnsi="Arial" w:cs="Arial"/>
          <w:b/>
          <w:bCs/>
          <w:color w:val="auto"/>
          <w:sz w:val="21"/>
          <w:szCs w:val="21"/>
          <w:highlight w:val="none"/>
        </w:rPr>
        <w:t>二、检测要求</w:t>
      </w:r>
    </w:p>
    <w:p w14:paraId="0BD165AB">
      <w:pPr>
        <w:pStyle w:val="143"/>
        <w:ind w:firstLine="420"/>
        <w:rPr>
          <w:rFonts w:ascii="Arial" w:hAnsi="Arial" w:cs="Arial"/>
          <w:color w:val="auto"/>
          <w:sz w:val="21"/>
          <w:szCs w:val="21"/>
          <w:highlight w:val="none"/>
        </w:rPr>
      </w:pPr>
      <w:r>
        <w:rPr>
          <w:rFonts w:hint="eastAsia" w:ascii="Arial" w:hAnsi="Arial" w:cs="Arial"/>
          <w:color w:val="auto"/>
          <w:sz w:val="21"/>
          <w:szCs w:val="21"/>
          <w:highlight w:val="none"/>
        </w:rPr>
        <w:t>包含如下服务：标本收集、样本检测、临床报告解读、临床报告拟定、临床报告发放、售后技术咨询服务、每年定期分析等。</w:t>
      </w:r>
    </w:p>
    <w:p w14:paraId="2C7D40DA">
      <w:pPr>
        <w:pStyle w:val="143"/>
        <w:ind w:firstLine="422"/>
        <w:rPr>
          <w:rFonts w:ascii="Arial" w:hAnsi="Arial" w:cs="Arial"/>
          <w:color w:val="auto"/>
          <w:sz w:val="21"/>
          <w:szCs w:val="21"/>
          <w:highlight w:val="none"/>
        </w:rPr>
      </w:pPr>
      <w:r>
        <w:rPr>
          <w:rFonts w:ascii="Arial" w:hAnsi="Arial" w:cs="Arial"/>
          <w:b/>
          <w:bCs/>
          <w:color w:val="auto"/>
          <w:szCs w:val="21"/>
          <w:highlight w:val="none"/>
        </w:rPr>
        <w:t>▲</w:t>
      </w:r>
      <w:r>
        <w:rPr>
          <w:rFonts w:ascii="Arial" w:hAnsi="Arial" w:cs="Arial"/>
          <w:b/>
          <w:bCs/>
          <w:color w:val="auto"/>
          <w:sz w:val="21"/>
          <w:szCs w:val="21"/>
          <w:highlight w:val="none"/>
        </w:rPr>
        <w:t>三、质量控制</w:t>
      </w:r>
    </w:p>
    <w:p w14:paraId="24CF8829">
      <w:pPr>
        <w:pStyle w:val="143"/>
        <w:ind w:firstLine="420"/>
        <w:rPr>
          <w:rFonts w:ascii="Arial" w:hAnsi="Arial" w:cs="Arial"/>
          <w:color w:val="auto"/>
          <w:sz w:val="21"/>
          <w:szCs w:val="21"/>
          <w:highlight w:val="none"/>
        </w:rPr>
      </w:pPr>
      <w:r>
        <w:rPr>
          <w:rFonts w:hint="eastAsia" w:ascii="Arial" w:hAnsi="Arial" w:cs="Arial"/>
          <w:color w:val="auto"/>
          <w:sz w:val="21"/>
          <w:szCs w:val="21"/>
          <w:highlight w:val="none"/>
        </w:rPr>
        <w:t>质量控制包括全流程监控样本的唯一性、室内质控、室间质评、冷链流程监控、物流人员培训等。</w:t>
      </w:r>
    </w:p>
    <w:p w14:paraId="5E1C08C7">
      <w:pPr>
        <w:pStyle w:val="143"/>
        <w:ind w:firstLine="482"/>
        <w:rPr>
          <w:rFonts w:ascii="Arial" w:hAnsi="Arial" w:cs="Arial"/>
          <w:color w:val="auto"/>
          <w:sz w:val="21"/>
          <w:szCs w:val="21"/>
          <w:highlight w:val="none"/>
        </w:rPr>
      </w:pPr>
      <w:r>
        <w:rPr>
          <w:rFonts w:ascii="Arial" w:hAnsi="Arial" w:cs="Arial"/>
          <w:b/>
          <w:bCs/>
          <w:color w:val="auto"/>
          <w:szCs w:val="21"/>
          <w:highlight w:val="none"/>
        </w:rPr>
        <w:t>▲</w:t>
      </w:r>
      <w:r>
        <w:rPr>
          <w:rFonts w:ascii="Arial" w:hAnsi="Arial" w:cs="Arial"/>
          <w:b/>
          <w:bCs/>
          <w:color w:val="auto"/>
          <w:sz w:val="21"/>
          <w:szCs w:val="21"/>
          <w:highlight w:val="none"/>
        </w:rPr>
        <w:t>四、服务要求</w:t>
      </w:r>
    </w:p>
    <w:p w14:paraId="3FBC162F">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1.供应商需严格遵守国家和采购人的相关规定，秉着诚实守信的原则做好服务工作；</w:t>
      </w:r>
    </w:p>
    <w:p w14:paraId="1C6EFDD0">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2.供应商对采购人提供的技术资料负有保密责任；</w:t>
      </w:r>
    </w:p>
    <w:p w14:paraId="2AE98686">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3.检测结果报告系统须与采购人引进的第三方服务平台系统进行对接，可以自主查看报告进度及打印报告，对接产生的费用由供应商承担。</w:t>
      </w:r>
      <w:r>
        <w:rPr>
          <w:rFonts w:hint="eastAsia" w:ascii="Arial" w:hAnsi="Arial" w:cs="Arial"/>
          <w:color w:val="auto"/>
          <w:sz w:val="21"/>
          <w:szCs w:val="21"/>
          <w:highlight w:val="none"/>
          <w:lang w:eastAsia="zh-CN"/>
        </w:rPr>
        <w:t>系统服务费按不超过检测费用（含微信、支付宝或银行转账服务费）5%由供应商支付给第三方服务平台</w:t>
      </w:r>
      <w:r>
        <w:rPr>
          <w:rFonts w:hint="eastAsia" w:ascii="Arial" w:hAnsi="Arial" w:cs="Arial"/>
          <w:color w:val="auto"/>
          <w:sz w:val="21"/>
          <w:szCs w:val="21"/>
          <w:highlight w:val="none"/>
        </w:rPr>
        <w:t>。</w:t>
      </w:r>
    </w:p>
    <w:p w14:paraId="3B5E80B0">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4.供应商保证能及时为临床科室医生、管理部门提供相关的医学培训和各种咨询服务。</w:t>
      </w:r>
    </w:p>
    <w:p w14:paraId="4ECBADFA">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5.建立“危急值报告制度”，提供24小时电话随时服务，危急值专人电话跟进，出现危急值及时报告到采购人临床科室及检验科，确保患者检测信息与临床医生的畅通（供应商投标文件中附上服务人员名单及联系方式）；</w:t>
      </w:r>
    </w:p>
    <w:p w14:paraId="073572CD">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6.供应商服务人员每月定期回访，临床科室医生、管理部门发现的问题及时解决并处理。</w:t>
      </w:r>
    </w:p>
    <w:p w14:paraId="4A1EA9F0">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7.供应商应根据采购人需求提供检测原始数据；</w:t>
      </w:r>
    </w:p>
    <w:p w14:paraId="1D1427D6">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8.电子报告发出时间不得超过12个工作日，如有特殊情况应及时通知采购人；</w:t>
      </w:r>
    </w:p>
    <w:p w14:paraId="75601BA6">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9.阳性结果须按要求进行复核、确认。确诊阳性或疑似阳性患者，供应商应配合采购人随访及治疗提供相关技术支持；</w:t>
      </w:r>
    </w:p>
    <w:p w14:paraId="4F851EA6">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10.供应商不收取费用提供该项目所需的宣教资料、知情同意书、采样滤纸片等相关物品。如需邮寄样本或报告，相关费用由供应商负责；</w:t>
      </w:r>
    </w:p>
    <w:p w14:paraId="1D2700BB">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w:t>
      </w:r>
      <w:r>
        <w:rPr>
          <w:rFonts w:hint="eastAsia" w:ascii="Arial" w:hAnsi="Arial" w:cs="Arial"/>
          <w:color w:val="auto"/>
          <w:sz w:val="21"/>
          <w:szCs w:val="21"/>
          <w:highlight w:val="none"/>
          <w:lang w:val="en-US" w:eastAsia="zh-CN"/>
        </w:rPr>
        <w:t>1</w:t>
      </w:r>
      <w:r>
        <w:rPr>
          <w:rFonts w:hint="eastAsia" w:ascii="Arial" w:hAnsi="Arial" w:cs="Arial"/>
          <w:color w:val="auto"/>
          <w:sz w:val="21"/>
          <w:szCs w:val="21"/>
          <w:highlight w:val="none"/>
        </w:rPr>
        <w:t>. 标本的采集、接收和运输说明</w:t>
      </w:r>
    </w:p>
    <w:p w14:paraId="36BCA0AB">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（1）标本的采集由采购人临床科室负责；采购人引进的第三方服务平台收集后的标本接收、运输费用由供应商负责；</w:t>
      </w:r>
    </w:p>
    <w:p w14:paraId="47B5639B">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（2）采购人临床科室需按操作规范采集标本，供应商配置专用</w:t>
      </w:r>
      <w:r>
        <w:rPr>
          <w:rFonts w:hint="eastAsia" w:ascii="Arial" w:hAnsi="Arial" w:cs="Arial"/>
          <w:color w:val="auto"/>
          <w:sz w:val="21"/>
          <w:szCs w:val="21"/>
          <w:highlight w:val="none"/>
          <w:lang w:val="en-US" w:eastAsia="zh-CN"/>
        </w:rPr>
        <w:t>标本运输车辆、</w:t>
      </w:r>
      <w:r>
        <w:rPr>
          <w:rFonts w:hint="eastAsia" w:ascii="Arial" w:hAnsi="Arial" w:cs="Arial"/>
          <w:color w:val="auto"/>
          <w:sz w:val="21"/>
          <w:szCs w:val="21"/>
          <w:highlight w:val="none"/>
        </w:rPr>
        <w:t>标本运送箱，运送箱必须保证运输标本所需温度并有相应的温度记录，按规定进行清洁消毒，保证标本的质量和生物安全；</w:t>
      </w:r>
    </w:p>
    <w:p w14:paraId="58781B33">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3）每天（周一至周日，8：30-17:00）上门收取标本次数不低于一次，具体上门时间由采购人决定。有时间限制的检测样本，须在检测时间窗内完成。所有标本均按标本所需的温度和时限保存条件运输，如遇特殊情况或节假日的标本接收双方协商解决；</w:t>
      </w:r>
    </w:p>
    <w:p w14:paraId="5C10CBD1">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（4）规范标本接收、登记和包装流程，保证标本质量和安全，确保标本顺利交接，方便查核；</w:t>
      </w:r>
    </w:p>
    <w:p w14:paraId="69D6B1A4">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（5）标本接收人员负责标本质量的初检、标识的核对，标本的接收登记及包装储存；</w:t>
      </w:r>
    </w:p>
    <w:p w14:paraId="7DD7679A">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（6）供应商所收集的标本，只能用于采购人申请项目的检测，不能用于其它涉及隐私项目及生物安全的项目，检测后按规定进行销毁处理；</w:t>
      </w:r>
    </w:p>
    <w:p w14:paraId="7A6F979B">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13.供应商必须接受采购人对承担检验任务工作质量情况的监督检查和考核，若不能在规定时间内按时出具报告，当月发现一次的予以警告，第二次扣除上月检测费用的50%，第三次扣除上月全部检测费用。若检测结果出现错误，则由供应商重新送检，费用由供应商承担。供应商负责因检测质量等原因引起的医疗纠纷，并承担相应的后果。采购人有权依法解除合同；</w:t>
      </w:r>
    </w:p>
    <w:p w14:paraId="3DA043B1">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14.供应商能按时完成采购人安排的临时性和应急性任务；</w:t>
      </w:r>
    </w:p>
    <w:p w14:paraId="117189A4">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15.项目管理要求：供应商须制定符合本项目要求的各项管理服务质量指标，建立相应管理制度、管理架构，接受采购人监督,作为协议附件提供给检验科存档。</w:t>
      </w:r>
    </w:p>
    <w:p w14:paraId="687ACF86">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16.供应商标本接收人员发生职业暴露等情况，由供应商自行处理。</w:t>
      </w:r>
    </w:p>
    <w:p w14:paraId="5AFAA712">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17.若采购人检验科、病理科或实验室等有意向开展相应检测项目，供应商需协助完成其项目开展所需的技术帮扶，并随时将项目移交采购人检测科室自行开展。</w:t>
      </w:r>
    </w:p>
    <w:p w14:paraId="33558888">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w:t>
      </w:r>
      <w:r>
        <w:rPr>
          <w:rFonts w:hint="eastAsia" w:ascii="Arial" w:hAnsi="Arial" w:cs="Arial"/>
          <w:color w:val="auto"/>
          <w:sz w:val="21"/>
          <w:szCs w:val="21"/>
          <w:highlight w:val="none"/>
          <w:lang w:val="en-US" w:eastAsia="zh-CN"/>
        </w:rPr>
        <w:t>8</w:t>
      </w:r>
      <w:r>
        <w:rPr>
          <w:rFonts w:hint="eastAsia" w:ascii="Arial" w:hAnsi="Arial" w:cs="Arial"/>
          <w:color w:val="auto"/>
          <w:sz w:val="21"/>
          <w:szCs w:val="21"/>
          <w:highlight w:val="none"/>
        </w:rPr>
        <w:t>.如因院内仪器故障等不可抗力导致相关检测项目暂时无法开展，可依据检测方法，临时承接对应项目的检测工作。</w:t>
      </w:r>
    </w:p>
    <w:p w14:paraId="424077B3">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lang w:val="en-US" w:eastAsia="zh-CN"/>
        </w:rPr>
        <w:t>19</w:t>
      </w:r>
      <w:r>
        <w:rPr>
          <w:rFonts w:hint="eastAsia" w:ascii="Arial" w:hAnsi="Arial" w:cs="Arial"/>
          <w:color w:val="auto"/>
          <w:sz w:val="21"/>
          <w:szCs w:val="21"/>
          <w:highlight w:val="none"/>
        </w:rPr>
        <w:t>.在协议有效期内，若上级卫生行政部门发布文件对检测工作提出新要求，双方可根据相关要求对合作内容进行相应调整。</w:t>
      </w:r>
    </w:p>
    <w:p w14:paraId="28F31641">
      <w:pPr>
        <w:pStyle w:val="143"/>
        <w:ind w:firstLine="422"/>
        <w:rPr>
          <w:rFonts w:hint="eastAsia" w:ascii="Arial" w:hAnsi="Arial" w:cs="Arial"/>
          <w:b/>
          <w:bCs/>
          <w:color w:val="auto"/>
          <w:sz w:val="21"/>
          <w:szCs w:val="21"/>
          <w:highlight w:val="none"/>
        </w:rPr>
      </w:pPr>
      <w:r>
        <w:rPr>
          <w:rFonts w:ascii="Arial" w:hAnsi="Arial" w:cs="Arial"/>
          <w:b/>
          <w:bCs/>
          <w:color w:val="auto"/>
          <w:szCs w:val="21"/>
          <w:highlight w:val="none"/>
        </w:rPr>
        <w:t>▲</w:t>
      </w:r>
      <w:r>
        <w:rPr>
          <w:rFonts w:hint="eastAsia" w:ascii="Arial" w:hAnsi="Arial" w:cs="Arial"/>
          <w:b/>
          <w:bCs/>
          <w:color w:val="auto"/>
          <w:sz w:val="21"/>
          <w:szCs w:val="21"/>
          <w:highlight w:val="none"/>
        </w:rPr>
        <w:t>五、第三方医检数据对接要求及方案</w:t>
      </w:r>
    </w:p>
    <w:p w14:paraId="35980434">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1.送检样本申请单信息及样本信息</w:t>
      </w:r>
    </w:p>
    <w:p w14:paraId="22D76D43">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包括检测项目信息、受检者信息、申请单临床信息、样本信息以及物流信息</w:t>
      </w:r>
    </w:p>
    <w:p w14:paraId="1269674C">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2.检测样本收样质控数据</w:t>
      </w:r>
    </w:p>
    <w:p w14:paraId="695A30FE">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包括收样签收状态以及质控数据</w:t>
      </w:r>
    </w:p>
    <w:p w14:paraId="37BCED43">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3.检测样本实验记录操作单数据</w:t>
      </w:r>
    </w:p>
    <w:p w14:paraId="1593DD69">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包括样本在检测过程中各步骤的实验记录操作单数据，需包括关键设备及试剂耗材信息以及检测结果记录信息。</w:t>
      </w:r>
    </w:p>
    <w:p w14:paraId="19127F50">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4.检测样本下机原始数据及分析后的结果数据</w:t>
      </w:r>
    </w:p>
    <w:p w14:paraId="537AEDE8">
      <w:pPr>
        <w:pStyle w:val="143"/>
        <w:ind w:firstLine="420"/>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rPr>
        <w:t>针对测序项目需要上传原始下机原始数据以及生信二级分析后的结果数据、测序质控数据等</w:t>
      </w:r>
      <w:r>
        <w:rPr>
          <w:rFonts w:hint="eastAsia" w:ascii="Arial" w:hAnsi="Arial" w:cs="Arial"/>
          <w:color w:val="auto"/>
          <w:sz w:val="21"/>
          <w:szCs w:val="21"/>
          <w:highlight w:val="none"/>
          <w:lang w:eastAsia="zh-CN"/>
        </w:rPr>
        <w:t>。</w:t>
      </w:r>
    </w:p>
    <w:p w14:paraId="548AA7D0">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5.检测样本报告</w:t>
      </w:r>
    </w:p>
    <w:p w14:paraId="11926427">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包含样本检测报告数据，提供PDF，建议同时上传检测报告结构化数据。</w:t>
      </w:r>
    </w:p>
    <w:p w14:paraId="548CD6F5">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6.季度质检数据</w:t>
      </w:r>
    </w:p>
    <w:p w14:paraId="65B3F74C">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包含检测人员资质、室内质控记录、室间质评成绩、实验室间比对记录及比对记录、设备校准、关键试剂耗材使用记录。</w:t>
      </w:r>
    </w:p>
    <w:p w14:paraId="75781B7B">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7.精准检测公共服务平台提供REST接口，以提供给第三方医检机构LIMS系统进行对接同步数据。</w:t>
      </w:r>
    </w:p>
    <w:p w14:paraId="0163CE9A">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8.暂无条件进行系统对接的第三方医检机构，也可以通过登录精准检测公共服务平台登录账号，通过上传excel方式提交数据。</w:t>
      </w:r>
    </w:p>
    <w:p w14:paraId="6A97D909">
      <w:pPr>
        <w:pStyle w:val="143"/>
        <w:ind w:firstLine="422"/>
        <w:rPr>
          <w:rFonts w:hint="eastAsia" w:ascii="Arial" w:hAnsi="Arial" w:cs="Arial"/>
          <w:b/>
          <w:bCs/>
          <w:color w:val="auto"/>
          <w:sz w:val="21"/>
          <w:szCs w:val="21"/>
          <w:highlight w:val="none"/>
        </w:rPr>
      </w:pPr>
      <w:r>
        <w:rPr>
          <w:rFonts w:ascii="Arial" w:hAnsi="Arial" w:cs="Arial"/>
          <w:b/>
          <w:bCs/>
          <w:color w:val="auto"/>
          <w:szCs w:val="21"/>
          <w:highlight w:val="none"/>
        </w:rPr>
        <w:t>▲</w:t>
      </w:r>
      <w:r>
        <w:rPr>
          <w:rFonts w:hint="eastAsia" w:ascii="Arial" w:hAnsi="Arial" w:cs="Arial"/>
          <w:b/>
          <w:bCs/>
          <w:color w:val="auto"/>
          <w:sz w:val="21"/>
          <w:szCs w:val="21"/>
          <w:highlight w:val="none"/>
        </w:rPr>
        <w:t>六、报价要求</w:t>
      </w:r>
    </w:p>
    <w:p w14:paraId="65EA35F7">
      <w:pPr>
        <w:pStyle w:val="143"/>
        <w:tabs>
          <w:tab w:val="left" w:pos="3360"/>
        </w:tabs>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投标报价指完成本项目服务所含的所有投标报价中应包含所有货物和服务内容，中标后采购人不再另行支付额外费用，报价相关费用包含但不限于检测费、运输费、培训费、咨询费、差旅费、邮寄费、人工费、招标代理服务费等各种费用及必要的保险费用和各项税金等所有费用的总和；</w:t>
      </w:r>
    </w:p>
    <w:p w14:paraId="46B24598">
      <w:pPr>
        <w:pStyle w:val="143"/>
        <w:ind w:firstLine="422"/>
        <w:rPr>
          <w:rFonts w:hint="eastAsia" w:ascii="Arial" w:hAnsi="Arial" w:cs="Arial"/>
          <w:color w:val="auto"/>
          <w:sz w:val="21"/>
          <w:szCs w:val="21"/>
          <w:highlight w:val="none"/>
        </w:rPr>
      </w:pPr>
      <w:r>
        <w:rPr>
          <w:rFonts w:hint="eastAsia" w:ascii="Arial" w:hAnsi="Arial" w:cs="Arial"/>
          <w:b/>
          <w:bCs/>
          <w:color w:val="auto"/>
          <w:sz w:val="21"/>
          <w:szCs w:val="21"/>
          <w:highlight w:val="none"/>
        </w:rPr>
        <w:t>2.本项目预算为预估价，仅供各潜在投标人报价提供参考，实际外送检验项目数量以医院实际需求为准，按实结算，结算时按实际发生使用量和中标单价计算费用，但费用总金额不超过该项目预算金额。本项目评标时以单项最高限价为评标依据，报价超过单项最高限价的作无效投标处理。</w:t>
      </w:r>
    </w:p>
    <w:p w14:paraId="25F7BE24">
      <w:pPr>
        <w:pStyle w:val="143"/>
        <w:ind w:firstLine="420"/>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rPr>
        <w:t>3.供应商的投标报价应依据招标文件的要求及本项目技术要求一览表中医学检验项目清单及单项控制价为基准进行报价，合同一旦签订，此合同价格在合同实施期间将不因市场价格的变化而调整；</w:t>
      </w:r>
      <w:r>
        <w:rPr>
          <w:rFonts w:hint="eastAsia" w:ascii="Arial" w:hAnsi="Arial" w:cs="Arial"/>
          <w:color w:val="auto"/>
          <w:sz w:val="21"/>
          <w:szCs w:val="21"/>
          <w:highlight w:val="none"/>
          <w:lang w:eastAsia="zh-CN"/>
        </w:rPr>
        <w:t>但若国家出台统一指导价或物价部门出台相应收费条码后，与项目中标价格相比较，按照就低不就高的原则，相应收费项目由采购人进行收费，并按“六、报价要求中要求4、要求5”的原则进行实际结算。</w:t>
      </w:r>
    </w:p>
    <w:p w14:paraId="5FF8552C">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4. 本项目外送医学检验项目单项计费价格以实际价格金额进行报价，要求每项报价均不高于单项计费基准价；</w:t>
      </w:r>
      <w:r>
        <w:rPr>
          <w:rFonts w:hint="eastAsia" w:ascii="Arial" w:hAnsi="Arial" w:cs="Arial"/>
          <w:b/>
          <w:bCs/>
          <w:color w:val="auto"/>
          <w:sz w:val="21"/>
          <w:szCs w:val="21"/>
          <w:highlight w:val="none"/>
        </w:rPr>
        <w:t>评标价：以</w:t>
      </w:r>
      <w:r>
        <w:rPr>
          <w:rFonts w:hint="eastAsia" w:ascii="Arial" w:hAnsi="Arial" w:cs="Arial"/>
          <w:b/>
          <w:bCs/>
          <w:color w:val="auto"/>
          <w:sz w:val="21"/>
          <w:szCs w:val="21"/>
          <w:highlight w:val="none"/>
          <w:lang w:val="en-US" w:eastAsia="zh-CN"/>
        </w:rPr>
        <w:t>2025年</w:t>
      </w:r>
      <w:r>
        <w:rPr>
          <w:rFonts w:hint="eastAsia" w:ascii="Arial" w:hAnsi="Arial" w:cs="Arial"/>
          <w:b/>
          <w:bCs/>
          <w:i w:val="0"/>
          <w:iCs w:val="0"/>
          <w:color w:val="auto"/>
          <w:kern w:val="0"/>
          <w:sz w:val="21"/>
          <w:szCs w:val="21"/>
          <w:highlight w:val="none"/>
          <w:u w:val="none"/>
          <w:lang w:val="en-US" w:eastAsia="zh-CN" w:bidi="ar"/>
        </w:rPr>
        <w:t>参考</w:t>
      </w:r>
      <w:r>
        <w:rPr>
          <w:rFonts w:hint="default" w:ascii="Arial" w:hAnsi="Arial" w:eastAsia="宋体" w:cs="Arial"/>
          <w:b/>
          <w:bCs/>
          <w:i w:val="0"/>
          <w:iCs w:val="0"/>
          <w:color w:val="auto"/>
          <w:kern w:val="0"/>
          <w:sz w:val="21"/>
          <w:szCs w:val="21"/>
          <w:highlight w:val="none"/>
          <w:u w:val="none"/>
          <w:lang w:val="en-US" w:eastAsia="zh-CN" w:bidi="ar"/>
        </w:rPr>
        <w:t>外送数量</w:t>
      </w:r>
      <w:r>
        <w:rPr>
          <w:rFonts w:hint="eastAsia" w:ascii="Arial" w:hAnsi="Arial" w:cs="Arial"/>
          <w:b/>
          <w:bCs/>
          <w:i w:val="0"/>
          <w:iCs w:val="0"/>
          <w:color w:val="auto"/>
          <w:kern w:val="0"/>
          <w:sz w:val="21"/>
          <w:szCs w:val="21"/>
          <w:highlight w:val="none"/>
          <w:u w:val="none"/>
          <w:lang w:val="en-US" w:eastAsia="zh-CN" w:bidi="ar"/>
        </w:rPr>
        <w:t>*单价</w:t>
      </w:r>
      <w:r>
        <w:rPr>
          <w:rFonts w:hint="eastAsia" w:ascii="Arial" w:hAnsi="Arial" w:cs="Arial"/>
          <w:b/>
          <w:bCs/>
          <w:color w:val="auto"/>
          <w:sz w:val="21"/>
          <w:szCs w:val="21"/>
          <w:highlight w:val="none"/>
        </w:rPr>
        <w:t>作为评标价</w:t>
      </w:r>
      <w:r>
        <w:rPr>
          <w:rFonts w:hint="eastAsia" w:ascii="Arial" w:hAnsi="Arial" w:cs="Arial"/>
          <w:b/>
          <w:bCs/>
          <w:color w:val="auto"/>
          <w:sz w:val="21"/>
          <w:szCs w:val="21"/>
          <w:highlight w:val="none"/>
          <w:lang w:eastAsia="zh-CN"/>
        </w:rPr>
        <w:t>，</w:t>
      </w:r>
      <w:r>
        <w:rPr>
          <w:rFonts w:hint="eastAsia" w:ascii="Arial" w:hAnsi="Arial" w:cs="Arial"/>
          <w:b/>
          <w:bCs/>
          <w:color w:val="auto"/>
          <w:sz w:val="21"/>
          <w:szCs w:val="21"/>
          <w:highlight w:val="none"/>
          <w:lang w:val="en-US" w:eastAsia="zh-CN"/>
        </w:rPr>
        <w:t>具体以实际采购数量为准</w:t>
      </w:r>
      <w:r>
        <w:rPr>
          <w:rFonts w:hint="eastAsia" w:ascii="Arial" w:hAnsi="Arial" w:cs="Arial"/>
          <w:b/>
          <w:bCs/>
          <w:color w:val="auto"/>
          <w:sz w:val="21"/>
          <w:szCs w:val="21"/>
          <w:highlight w:val="none"/>
        </w:rPr>
        <w:t>。</w:t>
      </w:r>
    </w:p>
    <w:p w14:paraId="102093F2">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5. 送检样本按实际中标价的九折进行结算</w:t>
      </w:r>
      <w:r>
        <w:rPr>
          <w:rFonts w:hint="eastAsia" w:ascii="Arial" w:hAnsi="Arial" w:cs="Arial"/>
          <w:color w:val="auto"/>
          <w:sz w:val="21"/>
          <w:szCs w:val="21"/>
          <w:highlight w:val="none"/>
          <w:lang w:eastAsia="zh-CN"/>
        </w:rPr>
        <w:t>（但若国家出台统一指导价或物价部门出台相应收费条码后，与项目中标价格相比较，按照就低不就高的原则，</w:t>
      </w:r>
      <w:r>
        <w:rPr>
          <w:rFonts w:hint="eastAsia" w:ascii="Arial" w:hAnsi="Arial" w:cs="Arial"/>
          <w:color w:val="auto"/>
          <w:sz w:val="21"/>
          <w:szCs w:val="21"/>
          <w:highlight w:val="none"/>
          <w:lang w:val="en-US" w:eastAsia="zh-CN"/>
        </w:rPr>
        <w:t>按低价格的九折结算</w:t>
      </w: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rPr>
        <w:t>，凡由采购人收费的，即检测机构实际结算金额=外送医学检验项目单项计费实际中标价*90%*实际外送的医学检验项目数量，结算折扣(90%)不作为价格竞争</w:t>
      </w: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rPr>
        <w:t>凡采购人无法收费的项目，采购人仅负责送检标本的质量与安全监管，项目收费</w:t>
      </w:r>
      <w:r>
        <w:rPr>
          <w:rFonts w:hint="eastAsia" w:ascii="Arial" w:hAnsi="Arial" w:cs="Arial"/>
          <w:color w:val="auto"/>
          <w:sz w:val="21"/>
          <w:szCs w:val="21"/>
          <w:highlight w:val="none"/>
          <w:lang w:val="en-US" w:eastAsia="zh-CN"/>
        </w:rPr>
        <w:t>中标方</w:t>
      </w:r>
      <w:r>
        <w:rPr>
          <w:rFonts w:hint="eastAsia" w:ascii="Arial" w:hAnsi="Arial" w:cs="Arial"/>
          <w:color w:val="auto"/>
          <w:sz w:val="21"/>
          <w:szCs w:val="21"/>
          <w:highlight w:val="none"/>
        </w:rPr>
        <w:t>可委托采购人采购的第三方平台规范收取，委托收费的标准不得高于实际中标价，检测机构实际结算金额由其与第三方平台按检测费用的90%进行结算。第三方平台提供外送样本管理系统，及院内标本收集、交接，协助结算等服务。</w:t>
      </w:r>
    </w:p>
    <w:p w14:paraId="52446D1C">
      <w:pPr>
        <w:pStyle w:val="143"/>
        <w:ind w:firstLine="420"/>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rPr>
        <w:t>送检样本按实际中标价的九折进行结算的基础上，系统服务费按不超过检测费用(含微信、支付宝或银行转账服务费)5%由</w:t>
      </w:r>
      <w:r>
        <w:rPr>
          <w:rFonts w:hint="eastAsia" w:ascii="Arial" w:hAnsi="Arial" w:cs="Arial"/>
          <w:color w:val="auto"/>
          <w:sz w:val="21"/>
          <w:szCs w:val="21"/>
          <w:highlight w:val="none"/>
          <w:lang w:val="en-US" w:eastAsia="zh-CN"/>
        </w:rPr>
        <w:t>中标供应商</w:t>
      </w:r>
      <w:r>
        <w:rPr>
          <w:rFonts w:hint="eastAsia" w:ascii="Arial" w:hAnsi="Arial" w:cs="Arial"/>
          <w:color w:val="auto"/>
          <w:sz w:val="21"/>
          <w:szCs w:val="21"/>
          <w:highlight w:val="none"/>
        </w:rPr>
        <w:t>与第三方服务平台另行结算。</w:t>
      </w:r>
    </w:p>
    <w:p w14:paraId="66F6D9B8">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lang w:val="en-US" w:eastAsia="zh-CN"/>
        </w:rPr>
        <w:t>6</w:t>
      </w:r>
      <w:r>
        <w:rPr>
          <w:rFonts w:hint="eastAsia" w:ascii="Arial" w:hAnsi="Arial" w:cs="Arial"/>
          <w:color w:val="auto"/>
          <w:sz w:val="21"/>
          <w:szCs w:val="21"/>
          <w:highlight w:val="none"/>
        </w:rPr>
        <w:t>.</w:t>
      </w:r>
      <w:r>
        <w:rPr>
          <w:rFonts w:ascii="Arial" w:hAnsi="Arial" w:cs="Arial"/>
          <w:color w:val="auto"/>
          <w:sz w:val="21"/>
          <w:szCs w:val="21"/>
          <w:highlight w:val="none"/>
        </w:rPr>
        <w:t>外送医学检验、</w:t>
      </w:r>
      <w:r>
        <w:rPr>
          <w:rFonts w:hint="eastAsia" w:ascii="Arial" w:hAnsi="Arial" w:cs="Arial"/>
          <w:color w:val="auto"/>
          <w:sz w:val="21"/>
          <w:szCs w:val="21"/>
          <w:highlight w:val="none"/>
          <w:lang w:eastAsia="zh-CN"/>
        </w:rPr>
        <w:t>病理诊断</w:t>
      </w:r>
      <w:r>
        <w:rPr>
          <w:rFonts w:ascii="Arial" w:hAnsi="Arial" w:cs="Arial"/>
          <w:color w:val="auto"/>
          <w:sz w:val="21"/>
          <w:szCs w:val="21"/>
          <w:highlight w:val="none"/>
        </w:rPr>
        <w:t>等检测项目</w:t>
      </w:r>
      <w:r>
        <w:rPr>
          <w:rFonts w:hint="eastAsia" w:ascii="Arial" w:hAnsi="Arial" w:cs="Arial"/>
          <w:color w:val="auto"/>
          <w:sz w:val="21"/>
          <w:szCs w:val="21"/>
          <w:highlight w:val="none"/>
        </w:rPr>
        <w:t>报价要符合相关物价部门的定价规则，否则采购人有权要求中标供应商赔偿相关损失；情节严重者，采购人可以终止合同，重新选择合格供应商签订合同。</w:t>
      </w:r>
    </w:p>
    <w:p w14:paraId="47C53BAE">
      <w:pPr>
        <w:pStyle w:val="143"/>
        <w:ind w:firstLine="422"/>
        <w:rPr>
          <w:rFonts w:hint="eastAsia" w:ascii="Arial" w:hAnsi="Arial" w:cs="Arial"/>
          <w:b/>
          <w:bCs/>
          <w:color w:val="auto"/>
          <w:sz w:val="21"/>
          <w:szCs w:val="21"/>
          <w:highlight w:val="none"/>
        </w:rPr>
      </w:pPr>
      <w:r>
        <w:rPr>
          <w:rFonts w:hint="eastAsia" w:ascii="Arial" w:hAnsi="Arial" w:cs="Arial"/>
          <w:b/>
          <w:bCs/>
          <w:color w:val="auto"/>
          <w:sz w:val="21"/>
          <w:szCs w:val="21"/>
          <w:highlight w:val="none"/>
          <w:lang w:val="en-US" w:eastAsia="zh-CN"/>
        </w:rPr>
        <w:t>7</w:t>
      </w:r>
      <w:r>
        <w:rPr>
          <w:rFonts w:hint="eastAsia" w:ascii="Arial" w:hAnsi="Arial" w:cs="Arial"/>
          <w:b/>
          <w:bCs/>
          <w:color w:val="auto"/>
          <w:sz w:val="21"/>
          <w:szCs w:val="21"/>
          <w:highlight w:val="none"/>
        </w:rPr>
        <w:t>.本项目允许中标后分包，且需经招标人书面同意后方可分包，分包指标数量不超过招标数量的7%（即本次招标拟送检项共76项，分包项数不得超过5项），主体单位须明确各方承担的检验项内容，分包承担主体应当具备相应资质条件且不得再次分包。</w:t>
      </w:r>
    </w:p>
    <w:p w14:paraId="0E6D82C2">
      <w:pPr>
        <w:pStyle w:val="143"/>
        <w:ind w:firstLine="422"/>
        <w:rPr>
          <w:rFonts w:hint="eastAsia" w:ascii="Arial" w:hAnsi="Arial" w:cs="Arial"/>
          <w:b/>
          <w:bCs/>
          <w:color w:val="auto"/>
          <w:sz w:val="21"/>
          <w:szCs w:val="21"/>
          <w:highlight w:val="none"/>
          <w:lang w:val="en-US" w:eastAsia="zh-CN"/>
        </w:rPr>
      </w:pPr>
      <w:r>
        <w:rPr>
          <w:rFonts w:hint="eastAsia" w:ascii="Arial" w:hAnsi="Arial" w:cs="Arial"/>
          <w:b/>
          <w:bCs/>
          <w:color w:val="auto"/>
          <w:sz w:val="21"/>
          <w:szCs w:val="21"/>
          <w:highlight w:val="none"/>
          <w:lang w:val="en-US" w:eastAsia="zh-CN"/>
        </w:rPr>
        <w:t>8.检测机构提供的检查结果如出现自相矛盾、偏离较大等情况，经医院审核，该项送检费用应不予收取费用并重新进行检测；</w:t>
      </w:r>
      <w:r>
        <w:rPr>
          <w:rFonts w:hint="eastAsia" w:ascii="Arial" w:hAnsi="Arial" w:cs="Arial"/>
          <w:b w:val="0"/>
          <w:bCs w:val="0"/>
          <w:color w:val="auto"/>
          <w:sz w:val="21"/>
          <w:szCs w:val="21"/>
          <w:highlight w:val="none"/>
        </w:rPr>
        <w:t>如造成医疗事故或者纠纷，需按照造成事故的相应责任比例进行赔偿</w:t>
      </w:r>
      <w:r>
        <w:rPr>
          <w:rFonts w:hint="eastAsia" w:ascii="Arial" w:hAnsi="Arial" w:cs="Arial"/>
          <w:b w:val="0"/>
          <w:bCs w:val="0"/>
          <w:color w:val="auto"/>
          <w:sz w:val="21"/>
          <w:szCs w:val="21"/>
          <w:highlight w:val="none"/>
          <w:lang w:eastAsia="zh-CN"/>
        </w:rPr>
        <w:t>。</w:t>
      </w:r>
    </w:p>
    <w:p w14:paraId="4603F969">
      <w:pPr>
        <w:pStyle w:val="143"/>
        <w:ind w:firstLine="422"/>
        <w:rPr>
          <w:rFonts w:hint="eastAsia" w:ascii="Arial" w:hAnsi="Arial" w:cs="Arial"/>
          <w:b w:val="0"/>
          <w:bCs w:val="0"/>
          <w:color w:val="auto"/>
          <w:sz w:val="21"/>
          <w:szCs w:val="21"/>
          <w:highlight w:val="none"/>
          <w:lang w:val="en-US" w:eastAsia="zh-CN"/>
        </w:rPr>
      </w:pPr>
      <w:r>
        <w:rPr>
          <w:rFonts w:hint="eastAsia" w:ascii="Arial" w:hAnsi="Arial" w:cs="Arial"/>
          <w:b/>
          <w:bCs/>
          <w:color w:val="auto"/>
          <w:sz w:val="21"/>
          <w:szCs w:val="21"/>
          <w:highlight w:val="none"/>
          <w:lang w:val="en-US" w:eastAsia="zh-CN"/>
        </w:rPr>
        <w:t>9.</w:t>
      </w:r>
      <w:r>
        <w:rPr>
          <w:rFonts w:hint="eastAsia" w:ascii="Arial" w:hAnsi="Arial" w:cs="Arial"/>
          <w:b w:val="0"/>
          <w:bCs w:val="0"/>
          <w:color w:val="auto"/>
          <w:sz w:val="21"/>
          <w:szCs w:val="21"/>
          <w:highlight w:val="none"/>
          <w:lang w:val="en-US" w:eastAsia="zh-CN"/>
        </w:rPr>
        <w:t>检测机构应直接向患者开具检测费发票，且发票上的“货物或应税劳务、服务名称”一栏需准确填写具体的检测项目名称，要与患者实际接受的检测服务内容一致；发票金额应与患者实际支付的检测费用相符。</w:t>
      </w:r>
    </w:p>
    <w:p w14:paraId="0996E26A">
      <w:pPr>
        <w:pStyle w:val="143"/>
        <w:ind w:firstLine="422"/>
        <w:rPr>
          <w:color w:val="auto"/>
          <w:highlight w:val="none"/>
        </w:rPr>
      </w:pPr>
      <w:r>
        <w:rPr>
          <w:rFonts w:hint="eastAsia" w:ascii="Arial" w:hAnsi="Arial" w:cs="Arial"/>
          <w:b w:val="0"/>
          <w:bCs w:val="0"/>
          <w:color w:val="auto"/>
          <w:sz w:val="21"/>
          <w:szCs w:val="21"/>
          <w:highlight w:val="none"/>
          <w:lang w:val="en-US" w:eastAsia="zh-CN"/>
        </w:rPr>
        <w:t>10.检测机构应向医院提供所有外送医学检验、病理诊断等检测项目对应的检测仪器设备资料、试剂说明书、标准操作流程（SOP）、检测报告单样本等核心资料，医院核对已中标外送项目是否符合广西壮族自治区相关管理规定及现行医疗服务价格、医保监管政策要求。确认具备对应广西医疗服务收费标准的项目将按相应收费标准进行收费。</w:t>
      </w:r>
    </w:p>
    <w:p w14:paraId="775BE5C1">
      <w:pPr>
        <w:snapToGrid w:val="0"/>
        <w:spacing w:line="400" w:lineRule="exact"/>
        <w:ind w:firstLine="420" w:firstLineChars="200"/>
        <w:outlineLvl w:val="0"/>
        <w:rPr>
          <w:rFonts w:hint="default"/>
          <w:color w:val="auto"/>
          <w:highlight w:val="none"/>
          <w:lang w:val="en-US" w:eastAsia="zh-CN"/>
        </w:rPr>
      </w:pPr>
      <w:r>
        <w:rPr>
          <w:rFonts w:hint="eastAsia" w:ascii="Arial" w:hAnsi="Arial" w:cs="Arial"/>
          <w:b w:val="0"/>
          <w:bCs/>
          <w:color w:val="auto"/>
          <w:szCs w:val="21"/>
          <w:highlight w:val="none"/>
          <w:lang w:val="en-US" w:eastAsia="zh-CN"/>
        </w:rPr>
        <w:t>11</w:t>
      </w:r>
      <w:r>
        <w:rPr>
          <w:rFonts w:hint="eastAsia" w:ascii="Arial" w:hAnsi="Arial" w:cs="Arial"/>
          <w:b/>
          <w:color w:val="auto"/>
          <w:szCs w:val="21"/>
          <w:highlight w:val="none"/>
          <w:lang w:val="en-US" w:eastAsia="zh-CN"/>
        </w:rPr>
        <w:t>.</w:t>
      </w:r>
      <w:r>
        <w:rPr>
          <w:rFonts w:hint="eastAsia" w:ascii="Arial" w:hAnsi="Arial" w:cs="Arial"/>
          <w:color w:val="auto"/>
          <w:kern w:val="0"/>
          <w:szCs w:val="21"/>
          <w:highlight w:val="none"/>
          <w:lang w:val="en-US" w:eastAsia="zh-CN"/>
        </w:rPr>
        <w:t>因国家政策等原因需要变更检测地址须及时与甲方协商，必要时可签订补充协议。</w:t>
      </w:r>
    </w:p>
    <w:p w14:paraId="015A328A">
      <w:pPr>
        <w:pStyle w:val="143"/>
        <w:ind w:firstLine="422"/>
        <w:rPr>
          <w:rFonts w:hint="eastAsia" w:ascii="Arial" w:hAnsi="Arial" w:cs="Arial"/>
          <w:b/>
          <w:bCs/>
          <w:color w:val="auto"/>
          <w:sz w:val="21"/>
          <w:szCs w:val="21"/>
          <w:highlight w:val="none"/>
        </w:rPr>
      </w:pPr>
      <w:r>
        <w:rPr>
          <w:rFonts w:ascii="Arial" w:hAnsi="Arial" w:cs="Arial"/>
          <w:b/>
          <w:bCs/>
          <w:color w:val="auto"/>
          <w:szCs w:val="21"/>
          <w:highlight w:val="none"/>
        </w:rPr>
        <w:t>▲</w:t>
      </w:r>
      <w:r>
        <w:rPr>
          <w:rFonts w:hint="eastAsia" w:ascii="Arial" w:hAnsi="Arial" w:cs="Arial"/>
          <w:b/>
          <w:bCs/>
          <w:color w:val="auto"/>
          <w:sz w:val="21"/>
          <w:szCs w:val="21"/>
          <w:highlight w:val="none"/>
        </w:rPr>
        <w:t>七、服务期限及服务地点</w:t>
      </w:r>
    </w:p>
    <w:p w14:paraId="5030BC16">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1.服务期限：自合同签订之日起</w:t>
      </w:r>
      <w:r>
        <w:rPr>
          <w:rFonts w:hint="eastAsia" w:ascii="Arial" w:hAnsi="Arial" w:cs="Arial"/>
          <w:color w:val="auto"/>
          <w:sz w:val="21"/>
          <w:szCs w:val="21"/>
          <w:highlight w:val="none"/>
          <w:lang w:val="en-US" w:eastAsia="zh-CN"/>
        </w:rPr>
        <w:t>2</w:t>
      </w:r>
      <w:r>
        <w:rPr>
          <w:rFonts w:hint="eastAsia" w:ascii="Arial" w:hAnsi="Arial" w:cs="Arial"/>
          <w:color w:val="auto"/>
          <w:sz w:val="21"/>
          <w:szCs w:val="21"/>
          <w:highlight w:val="none"/>
        </w:rPr>
        <w:t>年；</w:t>
      </w:r>
    </w:p>
    <w:p w14:paraId="195AC299">
      <w:pPr>
        <w:pStyle w:val="143"/>
        <w:ind w:firstLine="420"/>
        <w:rPr>
          <w:rFonts w:ascii="Arial" w:hAnsi="Arial" w:cs="Arial"/>
          <w:color w:val="auto"/>
          <w:sz w:val="21"/>
          <w:szCs w:val="21"/>
          <w:highlight w:val="none"/>
        </w:rPr>
      </w:pPr>
      <w:r>
        <w:rPr>
          <w:rFonts w:hint="eastAsia" w:ascii="Arial" w:hAnsi="Arial" w:cs="Arial"/>
          <w:color w:val="auto"/>
          <w:sz w:val="21"/>
          <w:szCs w:val="21"/>
          <w:highlight w:val="none"/>
        </w:rPr>
        <w:t>2.服务地点：采购人指定地点。</w:t>
      </w:r>
    </w:p>
    <w:p w14:paraId="795C2F01">
      <w:pPr>
        <w:pStyle w:val="143"/>
        <w:ind w:firstLine="422"/>
        <w:rPr>
          <w:rFonts w:ascii="Arial" w:hAnsi="Arial" w:cs="Arial"/>
          <w:b/>
          <w:bCs/>
          <w:color w:val="auto"/>
          <w:sz w:val="21"/>
          <w:szCs w:val="21"/>
          <w:highlight w:val="none"/>
        </w:rPr>
      </w:pPr>
      <w:r>
        <w:rPr>
          <w:rFonts w:ascii="Arial" w:hAnsi="Arial" w:cs="Arial"/>
          <w:b/>
          <w:bCs/>
          <w:color w:val="auto"/>
          <w:szCs w:val="21"/>
          <w:highlight w:val="none"/>
        </w:rPr>
        <w:t>▲</w:t>
      </w:r>
      <w:r>
        <w:rPr>
          <w:rFonts w:ascii="Arial" w:hAnsi="Arial" w:cs="Arial"/>
          <w:b/>
          <w:bCs/>
          <w:color w:val="auto"/>
          <w:sz w:val="21"/>
          <w:szCs w:val="21"/>
          <w:highlight w:val="none"/>
        </w:rPr>
        <w:t>八、其他要求</w:t>
      </w:r>
    </w:p>
    <w:p w14:paraId="4BBBDB97">
      <w:pPr>
        <w:pStyle w:val="143"/>
        <w:ind w:firstLine="420"/>
        <w:rPr>
          <w:rFonts w:ascii="Arial" w:hAnsi="Arial" w:cs="Arial"/>
          <w:color w:val="auto"/>
          <w:sz w:val="21"/>
          <w:szCs w:val="21"/>
          <w:highlight w:val="none"/>
        </w:rPr>
      </w:pPr>
      <w:r>
        <w:rPr>
          <w:rFonts w:ascii="Arial" w:hAnsi="Arial" w:cs="Arial"/>
          <w:color w:val="auto"/>
          <w:sz w:val="21"/>
          <w:szCs w:val="21"/>
          <w:highlight w:val="none"/>
        </w:rPr>
        <w:t>1.合同签订日期：中标通知书发出后25日内</w:t>
      </w:r>
    </w:p>
    <w:p w14:paraId="0F34DDC2">
      <w:pPr>
        <w:pStyle w:val="143"/>
        <w:ind w:firstLine="420"/>
        <w:rPr>
          <w:rFonts w:ascii="Arial" w:hAnsi="Arial" w:cs="Arial"/>
          <w:color w:val="auto"/>
          <w:sz w:val="21"/>
          <w:szCs w:val="21"/>
          <w:highlight w:val="none"/>
        </w:rPr>
      </w:pPr>
      <w:r>
        <w:rPr>
          <w:rFonts w:ascii="Arial" w:hAnsi="Arial" w:cs="Arial"/>
          <w:color w:val="auto"/>
          <w:sz w:val="21"/>
          <w:szCs w:val="21"/>
          <w:highlight w:val="none"/>
        </w:rPr>
        <w:t>2.付款方式：</w:t>
      </w:r>
      <w:r>
        <w:rPr>
          <w:rFonts w:hint="eastAsia" w:ascii="Arial" w:hAnsi="Arial" w:cs="Arial"/>
          <w:color w:val="auto"/>
          <w:sz w:val="21"/>
          <w:szCs w:val="21"/>
          <w:highlight w:val="none"/>
        </w:rPr>
        <w:t>送检样本凡由采购人收费的</w:t>
      </w: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rPr>
        <w:t>中标供应商每半年医学检验、病理诊断等检测项目服务对账信息以《服务对账单》形式提交给采购人，双方进行核对确认。若有异议的，双方应在3个工作日内解决，</w:t>
      </w:r>
      <w:r>
        <w:rPr>
          <w:rFonts w:hint="eastAsia" w:ascii="Arial" w:hAnsi="Arial" w:cs="Arial"/>
          <w:color w:val="auto"/>
          <w:sz w:val="21"/>
          <w:szCs w:val="21"/>
          <w:highlight w:val="none"/>
          <w:lang w:val="en-US" w:eastAsia="zh-CN"/>
        </w:rPr>
        <w:t>采购人</w:t>
      </w:r>
      <w:r>
        <w:rPr>
          <w:rFonts w:hint="eastAsia" w:ascii="Arial" w:hAnsi="Arial" w:cs="Arial"/>
          <w:color w:val="auto"/>
          <w:sz w:val="21"/>
          <w:szCs w:val="21"/>
          <w:highlight w:val="none"/>
        </w:rPr>
        <w:t>确认数据为双方唯一最终结算依据</w:t>
      </w: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rPr>
        <w:t>确认无误后，由采购人按医院实际收费数量</w:t>
      </w:r>
      <w:r>
        <w:rPr>
          <w:rFonts w:hint="eastAsia" w:ascii="Arial" w:hAnsi="Arial" w:cs="Arial"/>
          <w:color w:val="auto"/>
          <w:sz w:val="21"/>
          <w:szCs w:val="21"/>
          <w:highlight w:val="none"/>
          <w:lang w:val="en-US" w:eastAsia="zh-CN"/>
        </w:rPr>
        <w:t>x</w:t>
      </w:r>
      <w:r>
        <w:rPr>
          <w:rFonts w:hint="eastAsia" w:ascii="Arial" w:hAnsi="Arial" w:cs="Arial"/>
          <w:color w:val="auto"/>
          <w:sz w:val="21"/>
          <w:szCs w:val="21"/>
          <w:highlight w:val="none"/>
        </w:rPr>
        <w:t>中标单价</w:t>
      </w:r>
      <w:r>
        <w:rPr>
          <w:rFonts w:hint="eastAsia" w:ascii="Arial" w:hAnsi="Arial" w:cs="Arial"/>
          <w:color w:val="auto"/>
          <w:sz w:val="21"/>
          <w:szCs w:val="21"/>
          <w:highlight w:val="none"/>
          <w:lang w:val="en-US" w:eastAsia="zh-CN"/>
        </w:rPr>
        <w:t>x90%</w:t>
      </w:r>
      <w:r>
        <w:rPr>
          <w:rFonts w:hint="eastAsia" w:ascii="Arial" w:hAnsi="Arial" w:cs="Arial"/>
          <w:color w:val="auto"/>
          <w:sz w:val="21"/>
          <w:szCs w:val="21"/>
          <w:highlight w:val="none"/>
        </w:rPr>
        <w:t>进行结算。付款前，中标供应商须提供符合要求的发票给采购人，采购人按发票金额在30个工作日内支付半年服务价款，以银行转账方式结算。中标供应商应当确保发票真实无误且合法有效，如发现存在虚假发票或违规发票的，中标供应商须赔偿采购人发票票面金额一倍的违约金，且采购人有权终止合同，因终止合同而产生的一切损失均由中标供应商承担</w:t>
      </w:r>
      <w:r>
        <w:rPr>
          <w:rFonts w:ascii="Arial" w:hAnsi="Arial" w:cs="Arial"/>
          <w:color w:val="auto"/>
          <w:sz w:val="21"/>
          <w:szCs w:val="21"/>
          <w:highlight w:val="none"/>
        </w:rPr>
        <w:t>。</w:t>
      </w:r>
    </w:p>
    <w:p w14:paraId="3601D9C7">
      <w:pPr>
        <w:pStyle w:val="27"/>
        <w:adjustRightInd w:val="0"/>
        <w:snapToGrid w:val="0"/>
        <w:spacing w:line="312" w:lineRule="auto"/>
        <w:ind w:firstLine="420" w:firstLineChars="200"/>
        <w:rPr>
          <w:rFonts w:ascii="Arial" w:hAnsi="Arial" w:cs="Arial"/>
          <w:b/>
          <w:color w:val="auto"/>
          <w:highlight w:val="none"/>
        </w:rPr>
      </w:pPr>
      <w:r>
        <w:rPr>
          <w:rFonts w:ascii="Arial" w:hAnsi="Arial" w:cs="Arial"/>
          <w:color w:val="auto"/>
          <w:highlight w:val="none"/>
        </w:rPr>
        <w:t>3.履约保证金</w:t>
      </w:r>
      <w:r>
        <w:rPr>
          <w:rFonts w:ascii="Arial" w:hAnsi="Arial" w:cs="Arial"/>
          <w:b/>
          <w:color w:val="auto"/>
          <w:highlight w:val="none"/>
        </w:rPr>
        <w:t>（人民币）：按预算金额的5%，如为中小</w:t>
      </w:r>
      <w:r>
        <w:rPr>
          <w:rFonts w:hint="eastAsia" w:ascii="Arial" w:hAnsi="Arial" w:cs="Arial"/>
          <w:b/>
          <w:color w:val="auto"/>
          <w:highlight w:val="none"/>
          <w:lang w:val="en-US" w:eastAsia="zh-CN"/>
        </w:rPr>
        <w:t>微</w:t>
      </w:r>
      <w:r>
        <w:rPr>
          <w:rFonts w:ascii="Arial" w:hAnsi="Arial" w:cs="Arial"/>
          <w:b/>
          <w:color w:val="auto"/>
          <w:highlight w:val="none"/>
        </w:rPr>
        <w:t>型企业，履约保证金金额为预算金额的2%。</w:t>
      </w:r>
    </w:p>
    <w:p w14:paraId="1B5B3894">
      <w:pPr>
        <w:pStyle w:val="27"/>
        <w:adjustRightInd w:val="0"/>
        <w:snapToGrid w:val="0"/>
        <w:spacing w:line="312" w:lineRule="auto"/>
        <w:ind w:firstLine="422" w:firstLineChars="200"/>
        <w:rPr>
          <w:rFonts w:ascii="Arial" w:hAnsi="Arial" w:cs="Arial"/>
          <w:b/>
          <w:color w:val="auto"/>
          <w:highlight w:val="none"/>
        </w:rPr>
      </w:pPr>
      <w:r>
        <w:rPr>
          <w:rFonts w:hint="eastAsia" w:ascii="Arial" w:hAnsi="Arial" w:cs="Arial"/>
          <w:b/>
          <w:color w:val="auto"/>
          <w:highlight w:val="none"/>
        </w:rPr>
        <w:t>履约保证金递交方式：银行转账、支票、汇票、本票或者银行、保险机构出具的保函等非现金方式。</w:t>
      </w:r>
    </w:p>
    <w:p w14:paraId="2B44809C">
      <w:pPr>
        <w:pStyle w:val="27"/>
        <w:adjustRightInd w:val="0"/>
        <w:snapToGrid w:val="0"/>
        <w:spacing w:line="312" w:lineRule="auto"/>
        <w:ind w:firstLine="422" w:firstLineChars="200"/>
        <w:rPr>
          <w:rFonts w:ascii="Arial" w:hAnsi="Arial" w:cs="Arial"/>
          <w:b/>
          <w:color w:val="auto"/>
          <w:highlight w:val="none"/>
        </w:rPr>
      </w:pPr>
      <w:r>
        <w:rPr>
          <w:rFonts w:ascii="Arial" w:hAnsi="Arial" w:cs="Arial"/>
          <w:b/>
          <w:color w:val="auto"/>
          <w:highlight w:val="none"/>
        </w:rPr>
        <w:t>履约保证金缴纳信息：账户：</w:t>
      </w:r>
      <w:r>
        <w:rPr>
          <w:rFonts w:hint="eastAsia" w:ascii="Arial" w:hAnsi="Arial" w:cs="Arial"/>
          <w:b/>
          <w:color w:val="auto"/>
          <w:highlight w:val="none"/>
          <w:lang w:eastAsia="zh-CN"/>
        </w:rPr>
        <w:t>桂林医科大学第一附属医院</w:t>
      </w:r>
      <w:r>
        <w:rPr>
          <w:rFonts w:ascii="Arial" w:hAnsi="Arial" w:cs="Arial"/>
          <w:b/>
          <w:color w:val="auto"/>
          <w:highlight w:val="none"/>
        </w:rPr>
        <w:t>，账号：4500 1635 4100 5050 1922，开户行：中国建设银行股份有限公司桂林叠彩支行</w:t>
      </w:r>
    </w:p>
    <w:p w14:paraId="53707F5C">
      <w:pPr>
        <w:adjustRightInd w:val="0"/>
        <w:snapToGrid w:val="0"/>
        <w:spacing w:line="312" w:lineRule="auto"/>
        <w:ind w:firstLine="420" w:firstLineChars="200"/>
        <w:jc w:val="left"/>
        <w:rPr>
          <w:rFonts w:ascii="Arial" w:hAnsi="Arial" w:cs="Arial"/>
          <w:color w:val="auto"/>
          <w:szCs w:val="21"/>
          <w:highlight w:val="none"/>
        </w:rPr>
      </w:pPr>
      <w:r>
        <w:rPr>
          <w:rFonts w:ascii="Arial" w:hAnsi="Arial" w:cs="Arial"/>
          <w:color w:val="auto"/>
          <w:szCs w:val="21"/>
          <w:highlight w:val="none"/>
        </w:rPr>
        <w:t>为确保本项目正常运转，中标供应商必须在合同签订前向采购人缴纳履约保证金。</w:t>
      </w:r>
      <w:r>
        <w:rPr>
          <w:rFonts w:ascii="Arial" w:hAnsi="Arial" w:cs="Arial"/>
          <w:color w:val="auto"/>
          <w:highlight w:val="none"/>
        </w:rPr>
        <w:t>履约保证金采用银行转账交纳方式的，</w:t>
      </w:r>
      <w:r>
        <w:rPr>
          <w:rFonts w:hint="eastAsia" w:ascii="Arial" w:hAnsi="Arial" w:cs="Arial"/>
          <w:color w:val="auto"/>
          <w:highlight w:val="none"/>
        </w:rPr>
        <w:t>中标供应商</w:t>
      </w:r>
      <w:r>
        <w:rPr>
          <w:rFonts w:ascii="Arial" w:hAnsi="Arial" w:cs="Arial"/>
          <w:color w:val="auto"/>
          <w:highlight w:val="none"/>
        </w:rPr>
        <w:t>在签订合同前交至采购人指定账户并且到账</w:t>
      </w:r>
      <w:r>
        <w:rPr>
          <w:rFonts w:hint="eastAsia" w:ascii="Arial" w:hAnsi="Arial" w:cs="Arial"/>
          <w:color w:val="auto"/>
          <w:highlight w:val="none"/>
        </w:rPr>
        <w:t>；</w:t>
      </w:r>
      <w:r>
        <w:rPr>
          <w:rFonts w:ascii="Arial" w:hAnsi="Arial" w:cs="Arial"/>
          <w:color w:val="auto"/>
          <w:highlight w:val="none"/>
        </w:rPr>
        <w:t>履约保证金采用支票、汇票或本票交纳方式的，</w:t>
      </w:r>
      <w:r>
        <w:rPr>
          <w:rFonts w:hint="eastAsia" w:ascii="Arial" w:hAnsi="Arial" w:cs="Arial"/>
          <w:color w:val="auto"/>
          <w:highlight w:val="none"/>
        </w:rPr>
        <w:t>中标供应商</w:t>
      </w:r>
      <w:r>
        <w:rPr>
          <w:rFonts w:ascii="Arial" w:hAnsi="Arial" w:cs="Arial"/>
          <w:color w:val="auto"/>
          <w:highlight w:val="none"/>
        </w:rPr>
        <w:t>在签订合同前，向采购人提交支票、汇票或本票原件</w:t>
      </w:r>
      <w:r>
        <w:rPr>
          <w:rFonts w:hint="eastAsia" w:ascii="Arial" w:hAnsi="Arial" w:cs="Arial"/>
          <w:color w:val="auto"/>
          <w:highlight w:val="none"/>
        </w:rPr>
        <w:t>；履约保证金采用银行、保险机构出具的保函交纳方式的，中标供应商在签订合同前，向采购人提交保函原件。</w:t>
      </w:r>
      <w:r>
        <w:rPr>
          <w:rFonts w:ascii="Arial" w:hAnsi="Arial" w:cs="Arial"/>
          <w:color w:val="auto"/>
          <w:szCs w:val="21"/>
          <w:highlight w:val="none"/>
        </w:rPr>
        <w:t>中标供应商不按双方签订的合同规定履约，则没收其全部履约保证金，履约保证金不足以赔偿损失的，按实际损失赔偿。履约保证金在中标供应商按约定的服务标准及合同规定履约完毕并无其他违约情况的，采购人于1个月内将履约保证金以银行转账方式如数退还（无息）。</w:t>
      </w:r>
    </w:p>
    <w:p w14:paraId="1D5F6ACF">
      <w:pPr>
        <w:adjustRightInd w:val="0"/>
        <w:snapToGrid w:val="0"/>
        <w:spacing w:line="312" w:lineRule="auto"/>
        <w:ind w:firstLine="422" w:firstLineChars="200"/>
        <w:jc w:val="left"/>
        <w:rPr>
          <w:rFonts w:ascii="Arial" w:hAnsi="Arial" w:cs="Arial"/>
          <w:b/>
          <w:bCs/>
          <w:color w:val="auto"/>
          <w:szCs w:val="21"/>
          <w:highlight w:val="none"/>
        </w:rPr>
      </w:pPr>
      <w:r>
        <w:rPr>
          <w:rFonts w:ascii="Arial" w:hAnsi="Arial" w:cs="Arial"/>
          <w:b/>
          <w:bCs/>
          <w:color w:val="auto"/>
          <w:szCs w:val="21"/>
          <w:highlight w:val="none"/>
        </w:rPr>
        <w:t>4.标的所属行业：其他未列明行业</w:t>
      </w:r>
    </w:p>
    <w:p w14:paraId="5611A2F1">
      <w:pPr>
        <w:rPr>
          <w:rFonts w:ascii="Arial" w:hAnsi="Arial" w:cs="Arial"/>
          <w:color w:val="auto"/>
          <w:highlight w:val="none"/>
        </w:rPr>
        <w:sectPr>
          <w:footerReference r:id="rId11" w:type="default"/>
          <w:pgSz w:w="11906" w:h="16838"/>
          <w:pgMar w:top="1440" w:right="1266" w:bottom="1440" w:left="1600" w:header="851" w:footer="992" w:gutter="0"/>
          <w:cols w:space="720" w:num="1"/>
          <w:docGrid w:type="lines" w:linePitch="312" w:charSpace="0"/>
        </w:sectPr>
      </w:pPr>
    </w:p>
    <w:p w14:paraId="55FEFA53">
      <w:pPr>
        <w:jc w:val="center"/>
        <w:rPr>
          <w:rFonts w:ascii="Arial" w:hAnsi="Arial" w:cs="Arial"/>
          <w:b/>
          <w:bCs/>
          <w:color w:val="auto"/>
          <w:sz w:val="24"/>
          <w:szCs w:val="32"/>
          <w:highlight w:val="none"/>
        </w:rPr>
      </w:pPr>
      <w:r>
        <w:rPr>
          <w:rFonts w:ascii="Arial" w:hAnsi="Arial" w:cs="Arial"/>
          <w:b/>
          <w:bCs/>
          <w:color w:val="auto"/>
          <w:sz w:val="24"/>
          <w:szCs w:val="32"/>
          <w:highlight w:val="none"/>
        </w:rPr>
        <w:t>附件：</w:t>
      </w:r>
      <w:r>
        <w:rPr>
          <w:rFonts w:ascii="Arial" w:hAnsi="Arial" w:cs="Arial"/>
          <w:b/>
          <w:bCs/>
          <w:color w:val="auto"/>
          <w:sz w:val="24"/>
          <w:highlight w:val="none"/>
        </w:rPr>
        <w:t>本项目技术要求一览表中医学检验项目清单</w:t>
      </w:r>
    </w:p>
    <w:p w14:paraId="5A1399A3">
      <w:pPr>
        <w:rPr>
          <w:rFonts w:ascii="Arial" w:hAnsi="Arial" w:cs="Arial"/>
          <w:color w:val="auto"/>
          <w:highlight w:val="none"/>
        </w:rPr>
      </w:pPr>
    </w:p>
    <w:p w14:paraId="5D6282E6">
      <w:pPr>
        <w:spacing w:line="528" w:lineRule="exact"/>
        <w:ind w:firstLine="210" w:firstLineChars="100"/>
        <w:rPr>
          <w:rFonts w:ascii="Arial" w:hAnsi="Arial" w:cs="Arial"/>
          <w:color w:val="auto"/>
          <w:szCs w:val="21"/>
          <w:highlight w:val="none"/>
        </w:rPr>
        <w:sectPr>
          <w:headerReference r:id="rId13" w:type="first"/>
          <w:headerReference r:id="rId12" w:type="default"/>
          <w:pgSz w:w="16838" w:h="11906" w:orient="landscape"/>
          <w:pgMar w:top="1418" w:right="993" w:bottom="1133" w:left="1246" w:header="851" w:footer="992" w:gutter="0"/>
          <w:cols w:space="720" w:num="1"/>
          <w:titlePg/>
          <w:docGrid w:linePitch="312" w:charSpace="0"/>
        </w:sectPr>
      </w:pPr>
    </w:p>
    <w:tbl>
      <w:tblPr>
        <w:tblStyle w:val="52"/>
        <w:tblW w:w="15275" w:type="dxa"/>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3"/>
        <w:gridCol w:w="2137"/>
        <w:gridCol w:w="1100"/>
        <w:gridCol w:w="1313"/>
        <w:gridCol w:w="6862"/>
        <w:gridCol w:w="1413"/>
        <w:gridCol w:w="925"/>
        <w:gridCol w:w="962"/>
      </w:tblGrid>
      <w:tr w14:paraId="731B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563" w:type="dxa"/>
            <w:shd w:val="clear" w:color="auto" w:fill="auto"/>
            <w:vAlign w:val="center"/>
          </w:tcPr>
          <w:p w14:paraId="5FDF0D25">
            <w:pPr>
              <w:keepNext w:val="0"/>
              <w:keepLines w:val="0"/>
              <w:widowControl/>
              <w:suppressLineNumbers w:val="0"/>
              <w:jc w:val="center"/>
              <w:textAlignment w:val="center"/>
              <w:rPr>
                <w:rFonts w:hint="default" w:ascii="Arial" w:hAnsi="Arial" w:eastAsia="宋体" w:cs="Arial"/>
                <w:b/>
                <w:bCs/>
                <w:i w:val="0"/>
                <w:iCs w:val="0"/>
                <w:color w:val="auto"/>
                <w:sz w:val="21"/>
                <w:szCs w:val="21"/>
                <w:highlight w:val="none"/>
                <w:u w:val="none"/>
              </w:rPr>
            </w:pPr>
            <w:r>
              <w:rPr>
                <w:rFonts w:hint="default" w:ascii="Arial" w:hAnsi="Arial" w:eastAsia="宋体" w:cs="Arial"/>
                <w:b/>
                <w:bCs/>
                <w:i w:val="0"/>
                <w:iCs w:val="0"/>
                <w:color w:val="auto"/>
                <w:kern w:val="0"/>
                <w:sz w:val="21"/>
                <w:szCs w:val="21"/>
                <w:highlight w:val="none"/>
                <w:u w:val="none"/>
                <w:lang w:val="en-US" w:eastAsia="zh-CN" w:bidi="ar"/>
              </w:rPr>
              <w:t>序号</w:t>
            </w:r>
          </w:p>
        </w:tc>
        <w:tc>
          <w:tcPr>
            <w:tcW w:w="2137" w:type="dxa"/>
            <w:shd w:val="clear" w:color="auto" w:fill="auto"/>
            <w:vAlign w:val="center"/>
          </w:tcPr>
          <w:p w14:paraId="1C88B309">
            <w:pPr>
              <w:keepNext w:val="0"/>
              <w:keepLines w:val="0"/>
              <w:widowControl/>
              <w:suppressLineNumbers w:val="0"/>
              <w:jc w:val="center"/>
              <w:textAlignment w:val="center"/>
              <w:rPr>
                <w:rFonts w:hint="default" w:ascii="Arial" w:hAnsi="Arial" w:eastAsia="宋体" w:cs="Arial"/>
                <w:b/>
                <w:bCs/>
                <w:i w:val="0"/>
                <w:iCs w:val="0"/>
                <w:color w:val="auto"/>
                <w:sz w:val="21"/>
                <w:szCs w:val="21"/>
                <w:highlight w:val="none"/>
                <w:u w:val="none"/>
              </w:rPr>
            </w:pPr>
            <w:r>
              <w:rPr>
                <w:rFonts w:hint="default" w:ascii="Arial" w:hAnsi="Arial" w:eastAsia="宋体" w:cs="Arial"/>
                <w:b/>
                <w:bCs/>
                <w:i w:val="0"/>
                <w:iCs w:val="0"/>
                <w:color w:val="auto"/>
                <w:kern w:val="0"/>
                <w:sz w:val="21"/>
                <w:szCs w:val="21"/>
                <w:highlight w:val="none"/>
                <w:u w:val="none"/>
                <w:lang w:val="en-US" w:eastAsia="zh-CN" w:bidi="ar"/>
              </w:rPr>
              <w:t>申请项目名称</w:t>
            </w:r>
          </w:p>
        </w:tc>
        <w:tc>
          <w:tcPr>
            <w:tcW w:w="1100" w:type="dxa"/>
            <w:shd w:val="clear" w:color="auto" w:fill="auto"/>
            <w:vAlign w:val="center"/>
          </w:tcPr>
          <w:p w14:paraId="632966CF">
            <w:pPr>
              <w:keepNext w:val="0"/>
              <w:keepLines w:val="0"/>
              <w:widowControl/>
              <w:suppressLineNumbers w:val="0"/>
              <w:jc w:val="center"/>
              <w:textAlignment w:val="center"/>
              <w:rPr>
                <w:rFonts w:hint="default" w:ascii="Arial" w:hAnsi="Arial" w:eastAsia="宋体" w:cs="Arial"/>
                <w:b/>
                <w:bCs/>
                <w:i w:val="0"/>
                <w:iCs w:val="0"/>
                <w:color w:val="auto"/>
                <w:sz w:val="21"/>
                <w:szCs w:val="21"/>
                <w:highlight w:val="none"/>
                <w:u w:val="none"/>
              </w:rPr>
            </w:pPr>
            <w:r>
              <w:rPr>
                <w:rFonts w:hint="default" w:ascii="Arial" w:hAnsi="Arial" w:eastAsia="宋体" w:cs="Arial"/>
                <w:b/>
                <w:bCs/>
                <w:i w:val="0"/>
                <w:iCs w:val="0"/>
                <w:color w:val="auto"/>
                <w:kern w:val="0"/>
                <w:sz w:val="21"/>
                <w:szCs w:val="21"/>
                <w:highlight w:val="none"/>
                <w:u w:val="none"/>
                <w:lang w:val="en-US" w:eastAsia="zh-CN" w:bidi="ar"/>
              </w:rPr>
              <w:t>标本名称</w:t>
            </w:r>
          </w:p>
        </w:tc>
        <w:tc>
          <w:tcPr>
            <w:tcW w:w="1313" w:type="dxa"/>
            <w:shd w:val="clear" w:color="auto" w:fill="auto"/>
            <w:vAlign w:val="center"/>
          </w:tcPr>
          <w:p w14:paraId="4E86850E">
            <w:pPr>
              <w:keepNext w:val="0"/>
              <w:keepLines w:val="0"/>
              <w:widowControl/>
              <w:suppressLineNumbers w:val="0"/>
              <w:jc w:val="center"/>
              <w:textAlignment w:val="center"/>
              <w:rPr>
                <w:rFonts w:hint="default" w:ascii="Arial" w:hAnsi="Arial" w:eastAsia="宋体" w:cs="Arial"/>
                <w:b/>
                <w:bCs/>
                <w:i w:val="0"/>
                <w:iCs w:val="0"/>
                <w:color w:val="auto"/>
                <w:sz w:val="21"/>
                <w:szCs w:val="21"/>
                <w:highlight w:val="none"/>
                <w:u w:val="none"/>
              </w:rPr>
            </w:pPr>
            <w:r>
              <w:rPr>
                <w:rFonts w:hint="default" w:ascii="Arial" w:hAnsi="Arial" w:eastAsia="宋体" w:cs="Arial"/>
                <w:b/>
                <w:bCs/>
                <w:i w:val="0"/>
                <w:iCs w:val="0"/>
                <w:color w:val="auto"/>
                <w:kern w:val="0"/>
                <w:sz w:val="21"/>
                <w:szCs w:val="21"/>
                <w:highlight w:val="none"/>
                <w:u w:val="none"/>
                <w:lang w:val="en-US" w:eastAsia="zh-CN" w:bidi="ar"/>
              </w:rPr>
              <w:t>检测方法</w:t>
            </w:r>
          </w:p>
        </w:tc>
        <w:tc>
          <w:tcPr>
            <w:tcW w:w="6862" w:type="dxa"/>
            <w:shd w:val="clear" w:color="auto" w:fill="auto"/>
            <w:vAlign w:val="center"/>
          </w:tcPr>
          <w:p w14:paraId="080F5B42">
            <w:pPr>
              <w:keepNext w:val="0"/>
              <w:keepLines w:val="0"/>
              <w:widowControl/>
              <w:suppressLineNumbers w:val="0"/>
              <w:jc w:val="center"/>
              <w:textAlignment w:val="center"/>
              <w:rPr>
                <w:rFonts w:hint="default" w:ascii="Arial" w:hAnsi="Arial" w:eastAsia="宋体" w:cs="Arial"/>
                <w:b/>
                <w:bCs/>
                <w:i w:val="0"/>
                <w:iCs w:val="0"/>
                <w:color w:val="auto"/>
                <w:sz w:val="21"/>
                <w:szCs w:val="21"/>
                <w:highlight w:val="none"/>
                <w:u w:val="none"/>
              </w:rPr>
            </w:pPr>
            <w:r>
              <w:rPr>
                <w:rFonts w:hint="default" w:ascii="Arial" w:hAnsi="Arial" w:eastAsia="宋体" w:cs="Arial"/>
                <w:b/>
                <w:bCs/>
                <w:i w:val="0"/>
                <w:iCs w:val="0"/>
                <w:color w:val="auto"/>
                <w:kern w:val="0"/>
                <w:sz w:val="21"/>
                <w:szCs w:val="21"/>
                <w:highlight w:val="none"/>
                <w:u w:val="none"/>
                <w:lang w:val="en-US" w:eastAsia="zh-CN" w:bidi="ar"/>
              </w:rPr>
              <w:t>参数要求</w:t>
            </w:r>
          </w:p>
        </w:tc>
        <w:tc>
          <w:tcPr>
            <w:tcW w:w="1413" w:type="dxa"/>
            <w:shd w:val="clear" w:color="auto" w:fill="auto"/>
            <w:vAlign w:val="center"/>
          </w:tcPr>
          <w:p w14:paraId="7F50CB60">
            <w:pPr>
              <w:keepNext w:val="0"/>
              <w:keepLines w:val="0"/>
              <w:widowControl/>
              <w:suppressLineNumbers w:val="0"/>
              <w:jc w:val="center"/>
              <w:textAlignment w:val="center"/>
              <w:rPr>
                <w:rFonts w:hint="default" w:ascii="Arial" w:hAnsi="Arial" w:eastAsia="宋体" w:cs="Arial"/>
                <w:b/>
                <w:bCs/>
                <w:i w:val="0"/>
                <w:iCs w:val="0"/>
                <w:color w:val="auto"/>
                <w:sz w:val="21"/>
                <w:szCs w:val="21"/>
                <w:highlight w:val="none"/>
                <w:u w:val="none"/>
              </w:rPr>
            </w:pPr>
            <w:r>
              <w:rPr>
                <w:rFonts w:hint="default" w:ascii="Arial" w:hAnsi="Arial" w:eastAsia="宋体" w:cs="Arial"/>
                <w:b/>
                <w:bCs/>
                <w:i w:val="0"/>
                <w:iCs w:val="0"/>
                <w:color w:val="auto"/>
                <w:kern w:val="0"/>
                <w:sz w:val="21"/>
                <w:szCs w:val="21"/>
                <w:highlight w:val="none"/>
                <w:u w:val="none"/>
                <w:lang w:val="en-US" w:eastAsia="zh-CN" w:bidi="ar"/>
              </w:rPr>
              <w:t>控制单价（元/例）</w:t>
            </w:r>
          </w:p>
        </w:tc>
        <w:tc>
          <w:tcPr>
            <w:tcW w:w="925" w:type="dxa"/>
            <w:shd w:val="clear" w:color="auto" w:fill="auto"/>
            <w:vAlign w:val="center"/>
          </w:tcPr>
          <w:p w14:paraId="22BBE687">
            <w:pPr>
              <w:keepNext w:val="0"/>
              <w:keepLines w:val="0"/>
              <w:widowControl/>
              <w:suppressLineNumbers w:val="0"/>
              <w:jc w:val="center"/>
              <w:textAlignment w:val="center"/>
              <w:rPr>
                <w:rFonts w:hint="default" w:ascii="Arial" w:hAnsi="Arial" w:eastAsia="宋体" w:cs="Arial"/>
                <w:b/>
                <w:bCs/>
                <w:i w:val="0"/>
                <w:iCs w:val="0"/>
                <w:color w:val="auto"/>
                <w:kern w:val="0"/>
                <w:sz w:val="21"/>
                <w:szCs w:val="21"/>
                <w:highlight w:val="none"/>
                <w:u w:val="none"/>
                <w:lang w:val="en-US" w:eastAsia="zh-CN" w:bidi="ar"/>
              </w:rPr>
            </w:pPr>
            <w:r>
              <w:rPr>
                <w:rFonts w:hint="default" w:ascii="Arial" w:hAnsi="Arial" w:eastAsia="宋体" w:cs="Arial"/>
                <w:b/>
                <w:bCs/>
                <w:i w:val="0"/>
                <w:iCs w:val="0"/>
                <w:color w:val="auto"/>
                <w:kern w:val="0"/>
                <w:sz w:val="21"/>
                <w:szCs w:val="21"/>
                <w:highlight w:val="none"/>
                <w:u w:val="none"/>
                <w:lang w:val="en-US" w:eastAsia="zh-CN" w:bidi="ar"/>
              </w:rPr>
              <w:t>2025年</w:t>
            </w:r>
            <w:r>
              <w:rPr>
                <w:rFonts w:hint="eastAsia" w:ascii="Arial" w:hAnsi="Arial" w:cs="Arial"/>
                <w:b/>
                <w:bCs/>
                <w:i w:val="0"/>
                <w:iCs w:val="0"/>
                <w:color w:val="auto"/>
                <w:kern w:val="0"/>
                <w:sz w:val="21"/>
                <w:szCs w:val="21"/>
                <w:highlight w:val="none"/>
                <w:u w:val="none"/>
                <w:lang w:val="en-US" w:eastAsia="zh-CN" w:bidi="ar"/>
              </w:rPr>
              <w:t>参考</w:t>
            </w:r>
            <w:r>
              <w:rPr>
                <w:rFonts w:hint="default" w:ascii="Arial" w:hAnsi="Arial" w:eastAsia="宋体" w:cs="Arial"/>
                <w:b/>
                <w:bCs/>
                <w:i w:val="0"/>
                <w:iCs w:val="0"/>
                <w:color w:val="auto"/>
                <w:kern w:val="0"/>
                <w:sz w:val="21"/>
                <w:szCs w:val="21"/>
                <w:highlight w:val="none"/>
                <w:u w:val="none"/>
                <w:lang w:val="en-US" w:eastAsia="zh-CN" w:bidi="ar"/>
              </w:rPr>
              <w:t>外送数量</w:t>
            </w:r>
          </w:p>
        </w:tc>
        <w:tc>
          <w:tcPr>
            <w:tcW w:w="962" w:type="dxa"/>
            <w:shd w:val="clear" w:color="auto" w:fill="auto"/>
            <w:vAlign w:val="center"/>
          </w:tcPr>
          <w:p w14:paraId="2C5DA274">
            <w:pPr>
              <w:keepNext w:val="0"/>
              <w:keepLines w:val="0"/>
              <w:widowControl/>
              <w:suppressLineNumbers w:val="0"/>
              <w:jc w:val="center"/>
              <w:textAlignment w:val="center"/>
              <w:rPr>
                <w:rFonts w:hint="default" w:ascii="Arial" w:hAnsi="Arial" w:eastAsia="宋体" w:cs="Arial"/>
                <w:b/>
                <w:bCs/>
                <w:i w:val="0"/>
                <w:iCs w:val="0"/>
                <w:color w:val="auto"/>
                <w:kern w:val="0"/>
                <w:sz w:val="21"/>
                <w:szCs w:val="21"/>
                <w:highlight w:val="none"/>
                <w:u w:val="none"/>
                <w:lang w:val="en-US" w:eastAsia="zh-CN" w:bidi="ar"/>
              </w:rPr>
            </w:pPr>
            <w:r>
              <w:rPr>
                <w:rFonts w:hint="eastAsia" w:ascii="Arial" w:hAnsi="Arial" w:cs="Arial"/>
                <w:b/>
                <w:bCs/>
                <w:i w:val="0"/>
                <w:iCs w:val="0"/>
                <w:color w:val="auto"/>
                <w:kern w:val="0"/>
                <w:sz w:val="21"/>
                <w:szCs w:val="21"/>
                <w:highlight w:val="none"/>
                <w:u w:val="none"/>
                <w:lang w:val="en-US" w:eastAsia="zh-CN" w:bidi="ar"/>
              </w:rPr>
              <w:t>备注</w:t>
            </w:r>
          </w:p>
        </w:tc>
      </w:tr>
      <w:tr w14:paraId="78CF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3D237D5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w:t>
            </w:r>
          </w:p>
        </w:tc>
        <w:tc>
          <w:tcPr>
            <w:tcW w:w="2137" w:type="dxa"/>
            <w:shd w:val="clear" w:color="auto" w:fill="auto"/>
            <w:vAlign w:val="center"/>
          </w:tcPr>
          <w:p w14:paraId="56D639C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C-KIT基因检测</w:t>
            </w:r>
          </w:p>
        </w:tc>
        <w:tc>
          <w:tcPr>
            <w:tcW w:w="1100" w:type="dxa"/>
            <w:shd w:val="clear" w:color="auto" w:fill="auto"/>
            <w:vAlign w:val="center"/>
          </w:tcPr>
          <w:p w14:paraId="5120DC3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w:t>
            </w:r>
          </w:p>
        </w:tc>
        <w:tc>
          <w:tcPr>
            <w:tcW w:w="1313" w:type="dxa"/>
            <w:shd w:val="clear" w:color="auto" w:fill="auto"/>
            <w:vAlign w:val="center"/>
          </w:tcPr>
          <w:p w14:paraId="64DB994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一代测序</w:t>
            </w:r>
          </w:p>
        </w:tc>
        <w:tc>
          <w:tcPr>
            <w:tcW w:w="6862" w:type="dxa"/>
            <w:shd w:val="clear" w:color="auto" w:fill="auto"/>
            <w:vAlign w:val="center"/>
          </w:tcPr>
          <w:p w14:paraId="6B62566C">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 xml:space="preserve">▲1、覆盖9、11、13、17号外显子；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2、投标人提供的试剂盒来源清晰，性能验证报告、试验数据的内容基本完整，性能基本可靠，能基本满足采购需求且提供相应证明材料 。</w:t>
            </w:r>
          </w:p>
        </w:tc>
        <w:tc>
          <w:tcPr>
            <w:tcW w:w="1413" w:type="dxa"/>
            <w:shd w:val="clear" w:color="auto" w:fill="auto"/>
            <w:vAlign w:val="center"/>
          </w:tcPr>
          <w:p w14:paraId="1833C59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660</w:t>
            </w:r>
          </w:p>
        </w:tc>
        <w:tc>
          <w:tcPr>
            <w:tcW w:w="925" w:type="dxa"/>
            <w:shd w:val="clear" w:color="auto" w:fill="auto"/>
            <w:vAlign w:val="center"/>
          </w:tcPr>
          <w:p w14:paraId="08808490">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w:t>
            </w:r>
          </w:p>
        </w:tc>
        <w:tc>
          <w:tcPr>
            <w:tcW w:w="962" w:type="dxa"/>
            <w:shd w:val="clear" w:color="auto" w:fill="auto"/>
            <w:vAlign w:val="center"/>
          </w:tcPr>
          <w:p w14:paraId="06955611">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50A4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8" w:hRule="atLeast"/>
        </w:trPr>
        <w:tc>
          <w:tcPr>
            <w:tcW w:w="563" w:type="dxa"/>
            <w:shd w:val="clear" w:color="auto" w:fill="auto"/>
            <w:vAlign w:val="center"/>
          </w:tcPr>
          <w:p w14:paraId="1C20AE5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w:t>
            </w:r>
          </w:p>
        </w:tc>
        <w:tc>
          <w:tcPr>
            <w:tcW w:w="2137" w:type="dxa"/>
            <w:shd w:val="clear" w:color="auto" w:fill="auto"/>
            <w:vAlign w:val="center"/>
          </w:tcPr>
          <w:p w14:paraId="14377BE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PDGFRA基因检测</w:t>
            </w:r>
          </w:p>
        </w:tc>
        <w:tc>
          <w:tcPr>
            <w:tcW w:w="1100" w:type="dxa"/>
            <w:shd w:val="clear" w:color="auto" w:fill="auto"/>
            <w:vAlign w:val="center"/>
          </w:tcPr>
          <w:p w14:paraId="0F374D4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w:t>
            </w:r>
          </w:p>
        </w:tc>
        <w:tc>
          <w:tcPr>
            <w:tcW w:w="1313" w:type="dxa"/>
            <w:shd w:val="clear" w:color="auto" w:fill="auto"/>
            <w:vAlign w:val="center"/>
          </w:tcPr>
          <w:p w14:paraId="3A5E10B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一代测序</w:t>
            </w:r>
          </w:p>
        </w:tc>
        <w:tc>
          <w:tcPr>
            <w:tcW w:w="6862" w:type="dxa"/>
            <w:shd w:val="clear" w:color="auto" w:fill="auto"/>
            <w:vAlign w:val="center"/>
          </w:tcPr>
          <w:p w14:paraId="122833D6">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 xml:space="preserve">▲1、覆盖12、18外显子；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2、投标人提供的试剂盒来源清晰，性能验证报告、试验数据的内容基本完整，性能基本可靠，能基本满足采购需求且提供相应证明材料 </w:t>
            </w:r>
          </w:p>
        </w:tc>
        <w:tc>
          <w:tcPr>
            <w:tcW w:w="1413" w:type="dxa"/>
            <w:shd w:val="clear" w:color="auto" w:fill="auto"/>
            <w:vAlign w:val="center"/>
          </w:tcPr>
          <w:p w14:paraId="213D2A2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660</w:t>
            </w:r>
          </w:p>
        </w:tc>
        <w:tc>
          <w:tcPr>
            <w:tcW w:w="925" w:type="dxa"/>
            <w:shd w:val="clear" w:color="auto" w:fill="auto"/>
            <w:vAlign w:val="center"/>
          </w:tcPr>
          <w:p w14:paraId="0F10B1E2">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w:t>
            </w:r>
          </w:p>
        </w:tc>
        <w:tc>
          <w:tcPr>
            <w:tcW w:w="962" w:type="dxa"/>
            <w:shd w:val="clear" w:color="auto" w:fill="auto"/>
            <w:vAlign w:val="center"/>
          </w:tcPr>
          <w:p w14:paraId="434D6376">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56B0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7" w:hRule="atLeast"/>
        </w:trPr>
        <w:tc>
          <w:tcPr>
            <w:tcW w:w="563" w:type="dxa"/>
            <w:shd w:val="clear" w:color="auto" w:fill="auto"/>
            <w:vAlign w:val="center"/>
          </w:tcPr>
          <w:p w14:paraId="2089AD9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w:t>
            </w:r>
          </w:p>
        </w:tc>
        <w:tc>
          <w:tcPr>
            <w:tcW w:w="2137" w:type="dxa"/>
            <w:shd w:val="clear" w:color="auto" w:fill="auto"/>
            <w:vAlign w:val="center"/>
          </w:tcPr>
          <w:p w14:paraId="27098F8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POLE基因检测</w:t>
            </w:r>
          </w:p>
        </w:tc>
        <w:tc>
          <w:tcPr>
            <w:tcW w:w="1100" w:type="dxa"/>
            <w:shd w:val="clear" w:color="auto" w:fill="auto"/>
            <w:vAlign w:val="center"/>
          </w:tcPr>
          <w:p w14:paraId="1481FB4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w:t>
            </w:r>
          </w:p>
        </w:tc>
        <w:tc>
          <w:tcPr>
            <w:tcW w:w="1313" w:type="dxa"/>
            <w:shd w:val="clear" w:color="auto" w:fill="auto"/>
            <w:vAlign w:val="center"/>
          </w:tcPr>
          <w:p w14:paraId="3A7946B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一代测序</w:t>
            </w:r>
          </w:p>
        </w:tc>
        <w:tc>
          <w:tcPr>
            <w:tcW w:w="6862" w:type="dxa"/>
            <w:shd w:val="clear" w:color="auto" w:fill="auto"/>
            <w:vAlign w:val="center"/>
          </w:tcPr>
          <w:p w14:paraId="2042AB6F">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 xml:space="preserve">▲1、覆盖9-14外显子；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2、投标人提供的试剂盒来源清晰，性能验证报告、试验数据的内容基本完整，性能基本可靠，能基本满足采购需求且提供相应证明材料 </w:t>
            </w:r>
          </w:p>
        </w:tc>
        <w:tc>
          <w:tcPr>
            <w:tcW w:w="1413" w:type="dxa"/>
            <w:shd w:val="clear" w:color="auto" w:fill="auto"/>
            <w:vAlign w:val="center"/>
          </w:tcPr>
          <w:p w14:paraId="5478C92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805</w:t>
            </w:r>
          </w:p>
        </w:tc>
        <w:tc>
          <w:tcPr>
            <w:tcW w:w="925" w:type="dxa"/>
            <w:shd w:val="clear" w:color="auto" w:fill="auto"/>
            <w:vAlign w:val="center"/>
          </w:tcPr>
          <w:p w14:paraId="6DED473F">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5</w:t>
            </w:r>
          </w:p>
        </w:tc>
        <w:tc>
          <w:tcPr>
            <w:tcW w:w="962" w:type="dxa"/>
            <w:shd w:val="clear" w:color="auto" w:fill="auto"/>
            <w:vAlign w:val="center"/>
          </w:tcPr>
          <w:p w14:paraId="6F9ABC70">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19B8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63" w:type="dxa"/>
            <w:shd w:val="clear" w:color="auto" w:fill="auto"/>
            <w:vAlign w:val="center"/>
          </w:tcPr>
          <w:p w14:paraId="35ACBCD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w:t>
            </w:r>
          </w:p>
        </w:tc>
        <w:tc>
          <w:tcPr>
            <w:tcW w:w="2137" w:type="dxa"/>
            <w:shd w:val="clear" w:color="auto" w:fill="auto"/>
            <w:vAlign w:val="center"/>
          </w:tcPr>
          <w:p w14:paraId="11C64AC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TP53基因检测</w:t>
            </w:r>
          </w:p>
        </w:tc>
        <w:tc>
          <w:tcPr>
            <w:tcW w:w="1100" w:type="dxa"/>
            <w:shd w:val="clear" w:color="auto" w:fill="auto"/>
            <w:vAlign w:val="center"/>
          </w:tcPr>
          <w:p w14:paraId="362B699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w:t>
            </w:r>
          </w:p>
        </w:tc>
        <w:tc>
          <w:tcPr>
            <w:tcW w:w="1313" w:type="dxa"/>
            <w:shd w:val="clear" w:color="auto" w:fill="auto"/>
            <w:vAlign w:val="center"/>
          </w:tcPr>
          <w:p w14:paraId="18AF594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一代测序</w:t>
            </w:r>
          </w:p>
        </w:tc>
        <w:tc>
          <w:tcPr>
            <w:tcW w:w="6862" w:type="dxa"/>
            <w:shd w:val="clear" w:color="auto" w:fill="auto"/>
            <w:vAlign w:val="center"/>
          </w:tcPr>
          <w:p w14:paraId="3F6969DC">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 xml:space="preserve">▲1、覆盖2-14号外显子所有突变；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2、投标人提供的试剂盒来源清晰，性能验证报告、试验数据的内容基本完整，性能基本可靠，能基本满足采购需求且提供相应证明材料</w:t>
            </w:r>
          </w:p>
        </w:tc>
        <w:tc>
          <w:tcPr>
            <w:tcW w:w="1413" w:type="dxa"/>
            <w:shd w:val="clear" w:color="auto" w:fill="auto"/>
            <w:vAlign w:val="center"/>
          </w:tcPr>
          <w:p w14:paraId="19E0026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750</w:t>
            </w:r>
          </w:p>
        </w:tc>
        <w:tc>
          <w:tcPr>
            <w:tcW w:w="925" w:type="dxa"/>
            <w:shd w:val="clear" w:color="auto" w:fill="auto"/>
            <w:vAlign w:val="center"/>
          </w:tcPr>
          <w:p w14:paraId="69ED6360">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09201860">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7142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60" w:hRule="atLeast"/>
        </w:trPr>
        <w:tc>
          <w:tcPr>
            <w:tcW w:w="563" w:type="dxa"/>
            <w:shd w:val="clear" w:color="auto" w:fill="auto"/>
            <w:vAlign w:val="center"/>
          </w:tcPr>
          <w:p w14:paraId="312AFFA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w:t>
            </w:r>
          </w:p>
        </w:tc>
        <w:tc>
          <w:tcPr>
            <w:tcW w:w="2137" w:type="dxa"/>
            <w:shd w:val="clear" w:color="auto" w:fill="auto"/>
            <w:vAlign w:val="center"/>
          </w:tcPr>
          <w:p w14:paraId="5A6D319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BRCA1/2基因突变检测</w:t>
            </w:r>
          </w:p>
        </w:tc>
        <w:tc>
          <w:tcPr>
            <w:tcW w:w="1100" w:type="dxa"/>
            <w:shd w:val="clear" w:color="auto" w:fill="auto"/>
            <w:vAlign w:val="center"/>
          </w:tcPr>
          <w:p w14:paraId="4DC46AA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0EEEDDE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3F245D48">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 xml:space="preserve">1、具备自动化建库系统和具有二代测序报告自动化软件等设施、条件和能力；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2、投标人提供的试剂盒来源清晰，性能验证报告、试验数据的内容基本完整，性能基本可靠，能基本满足采购需求且提供相应证明材料                                                  </w:t>
            </w:r>
          </w:p>
        </w:tc>
        <w:tc>
          <w:tcPr>
            <w:tcW w:w="1413" w:type="dxa"/>
            <w:shd w:val="clear" w:color="auto" w:fill="auto"/>
            <w:vAlign w:val="center"/>
          </w:tcPr>
          <w:p w14:paraId="5489143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1820</w:t>
            </w:r>
          </w:p>
        </w:tc>
        <w:tc>
          <w:tcPr>
            <w:tcW w:w="925" w:type="dxa"/>
            <w:shd w:val="clear" w:color="auto" w:fill="auto"/>
            <w:vAlign w:val="center"/>
          </w:tcPr>
          <w:p w14:paraId="32AC3890">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32</w:t>
            </w:r>
          </w:p>
        </w:tc>
        <w:tc>
          <w:tcPr>
            <w:tcW w:w="962" w:type="dxa"/>
            <w:shd w:val="clear" w:color="auto" w:fill="auto"/>
            <w:vAlign w:val="center"/>
          </w:tcPr>
          <w:p w14:paraId="1DD71621">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5888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10" w:hRule="atLeast"/>
        </w:trPr>
        <w:tc>
          <w:tcPr>
            <w:tcW w:w="563" w:type="dxa"/>
            <w:shd w:val="clear" w:color="auto" w:fill="auto"/>
            <w:vAlign w:val="center"/>
          </w:tcPr>
          <w:p w14:paraId="30E8BC5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w:t>
            </w:r>
          </w:p>
        </w:tc>
        <w:tc>
          <w:tcPr>
            <w:tcW w:w="2137" w:type="dxa"/>
            <w:shd w:val="clear" w:color="auto" w:fill="auto"/>
            <w:vAlign w:val="center"/>
          </w:tcPr>
          <w:p w14:paraId="7F15871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肺癌多基因检测（小PANEL)</w:t>
            </w:r>
          </w:p>
        </w:tc>
        <w:tc>
          <w:tcPr>
            <w:tcW w:w="1100" w:type="dxa"/>
            <w:shd w:val="clear" w:color="auto" w:fill="auto"/>
            <w:vAlign w:val="center"/>
          </w:tcPr>
          <w:p w14:paraId="121FB41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19460D5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1C952CFC">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▲1、覆盖多个肺癌靶向药物相关基因全外显子检测及部分内含子区，涵盖ALK、RET、ROS1等基因融合和c-MET跳读变异检测，覆盖NCCN指南推荐的肺癌靶向用药靶点；                                       ▲2、在DNA水平上，突变融合可定量检测，并提供丰度信息；测序深度：组织≥</w:t>
            </w:r>
            <w:r>
              <w:rPr>
                <w:rFonts w:hint="eastAsia"/>
                <w:color w:val="auto"/>
                <w:highlight w:val="none"/>
                <w:lang w:val="en-US" w:eastAsia="zh-CN"/>
              </w:rPr>
              <w:t>500X</w:t>
            </w:r>
            <w:r>
              <w:rPr>
                <w:rFonts w:hint="default" w:ascii="Arial" w:hAnsi="Arial" w:eastAsia="宋体" w:cs="Arial"/>
                <w:i w:val="0"/>
                <w:iCs w:val="0"/>
                <w:color w:val="auto"/>
                <w:kern w:val="0"/>
                <w:sz w:val="21"/>
                <w:szCs w:val="21"/>
                <w:highlight w:val="none"/>
                <w:u w:val="none"/>
                <w:lang w:val="en-US" w:eastAsia="zh-CN" w:bidi="ar"/>
              </w:rPr>
              <w:t>，血液≥5000X；</w:t>
            </w:r>
            <w:r>
              <w:rPr>
                <w:rFonts w:hint="eastAsia" w:ascii="Arial" w:hAnsi="Arial" w:cs="Arial"/>
                <w:i w:val="0"/>
                <w:iCs w:val="0"/>
                <w:color w:val="auto"/>
                <w:kern w:val="0"/>
                <w:sz w:val="21"/>
                <w:szCs w:val="21"/>
                <w:highlight w:val="none"/>
                <w:u w:val="none"/>
                <w:lang w:val="en-US" w:eastAsia="zh-CN" w:bidi="ar"/>
              </w:rPr>
              <w:t>可</w:t>
            </w:r>
            <w:r>
              <w:rPr>
                <w:rFonts w:hint="eastAsia"/>
                <w:color w:val="auto"/>
                <w:highlight w:val="none"/>
              </w:rPr>
              <w:t>保存原始数据和蜡块</w:t>
            </w:r>
            <w:r>
              <w:rPr>
                <w:rFonts w:hint="eastAsia"/>
                <w:color w:val="auto"/>
                <w:highlight w:val="none"/>
                <w:lang w:eastAsia="zh-CN"/>
              </w:rPr>
              <w:t>，</w:t>
            </w:r>
            <w:r>
              <w:rPr>
                <w:rFonts w:hint="eastAsia"/>
                <w:color w:val="auto"/>
                <w:highlight w:val="none"/>
                <w:lang w:val="en-US" w:eastAsia="zh-CN"/>
              </w:rPr>
              <w:t>可</w:t>
            </w:r>
            <w:r>
              <w:rPr>
                <w:rFonts w:hint="eastAsia"/>
                <w:color w:val="auto"/>
                <w:highlight w:val="none"/>
              </w:rPr>
              <w:t>按</w:t>
            </w:r>
            <w:r>
              <w:rPr>
                <w:rFonts w:hint="eastAsia"/>
                <w:color w:val="auto"/>
                <w:highlight w:val="none"/>
                <w:lang w:val="en-US" w:eastAsia="zh-CN"/>
              </w:rPr>
              <w:t>需</w:t>
            </w:r>
            <w:r>
              <w:rPr>
                <w:rFonts w:hint="eastAsia"/>
                <w:color w:val="auto"/>
                <w:highlight w:val="none"/>
              </w:rPr>
              <w:t>求返还原始数据和剩余标本</w:t>
            </w:r>
            <w:r>
              <w:rPr>
                <w:rFonts w:hint="default" w:ascii="Arial" w:hAnsi="Arial" w:eastAsia="宋体" w:cs="Arial"/>
                <w:i w:val="0"/>
                <w:iCs w:val="0"/>
                <w:color w:val="auto"/>
                <w:kern w:val="0"/>
                <w:sz w:val="21"/>
                <w:szCs w:val="21"/>
                <w:highlight w:val="none"/>
                <w:u w:val="none"/>
                <w:lang w:val="en-US" w:eastAsia="zh-CN" w:bidi="ar"/>
              </w:rPr>
              <w:t xml:space="preserve">；  </w:t>
            </w:r>
          </w:p>
          <w:p w14:paraId="73B33F60">
            <w:pPr>
              <w:keepNext w:val="0"/>
              <w:keepLines w:val="0"/>
              <w:widowControl/>
              <w:numPr>
                <w:ilvl w:val="0"/>
                <w:numId w:val="1"/>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反馈问题响应时间≤4小时，确定解决方案时间≤24小时；                                                4、具备自动化建库系统和具有二代测序报告自动化软件等设施、条件和能力；                                         </w:t>
            </w:r>
          </w:p>
          <w:p w14:paraId="7E37E82E">
            <w:pPr>
              <w:keepNext w:val="0"/>
              <w:keepLines w:val="0"/>
              <w:widowControl/>
              <w:numPr>
                <w:ilvl w:val="0"/>
                <w:numId w:val="0"/>
              </w:numPr>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 xml:space="preserve">5、投标人提供的试剂盒来源清晰，性能验证报告、试验数据的内容基本完整，性能基本可靠，能基本满足采购需求且提供相应证明材料；                                               </w:t>
            </w:r>
          </w:p>
        </w:tc>
        <w:tc>
          <w:tcPr>
            <w:tcW w:w="1413" w:type="dxa"/>
            <w:shd w:val="clear" w:color="auto" w:fill="auto"/>
            <w:vAlign w:val="center"/>
          </w:tcPr>
          <w:p w14:paraId="0523F15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1570</w:t>
            </w:r>
          </w:p>
        </w:tc>
        <w:tc>
          <w:tcPr>
            <w:tcW w:w="925" w:type="dxa"/>
            <w:shd w:val="clear" w:color="auto" w:fill="auto"/>
            <w:vAlign w:val="center"/>
          </w:tcPr>
          <w:p w14:paraId="2A5A5B82">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52</w:t>
            </w:r>
          </w:p>
        </w:tc>
        <w:tc>
          <w:tcPr>
            <w:tcW w:w="962" w:type="dxa"/>
            <w:shd w:val="clear" w:color="auto" w:fill="auto"/>
            <w:vAlign w:val="center"/>
          </w:tcPr>
          <w:p w14:paraId="3853192C">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2A61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563" w:type="dxa"/>
            <w:shd w:val="clear" w:color="auto" w:fill="auto"/>
            <w:vAlign w:val="center"/>
          </w:tcPr>
          <w:p w14:paraId="6CC7390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w:t>
            </w:r>
          </w:p>
        </w:tc>
        <w:tc>
          <w:tcPr>
            <w:tcW w:w="2137" w:type="dxa"/>
            <w:shd w:val="clear" w:color="auto" w:fill="auto"/>
            <w:vAlign w:val="center"/>
          </w:tcPr>
          <w:p w14:paraId="6914C93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肺癌多基因检测（中PANEL)</w:t>
            </w:r>
          </w:p>
        </w:tc>
        <w:tc>
          <w:tcPr>
            <w:tcW w:w="1100" w:type="dxa"/>
            <w:shd w:val="clear" w:color="auto" w:fill="auto"/>
            <w:vAlign w:val="center"/>
          </w:tcPr>
          <w:p w14:paraId="1DB3E24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696D1B4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589CB8F3">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▲1、覆盖多个肺癌靶向药物相关基因全外显子检测及部分内含子区，涵盖ALK、RET、ROS1等基因融合和c-MET跳读变异检测，覆盖NCCN指南推荐的肺癌靶向用药靶点；                                              ▲2、在DNA水平上，突变融合可定量检测，并提供丰度信息；测序深度：组织≥</w:t>
            </w:r>
            <w:r>
              <w:rPr>
                <w:rFonts w:hint="eastAsia"/>
                <w:color w:val="auto"/>
                <w:highlight w:val="none"/>
                <w:lang w:val="en-US" w:eastAsia="zh-CN"/>
              </w:rPr>
              <w:t>500X</w:t>
            </w:r>
            <w:r>
              <w:rPr>
                <w:rFonts w:hint="default" w:ascii="Arial" w:hAnsi="Arial" w:eastAsia="宋体" w:cs="Arial"/>
                <w:i w:val="0"/>
                <w:iCs w:val="0"/>
                <w:color w:val="auto"/>
                <w:kern w:val="0"/>
                <w:sz w:val="21"/>
                <w:szCs w:val="21"/>
                <w:highlight w:val="none"/>
                <w:u w:val="none"/>
                <w:lang w:val="en-US" w:eastAsia="zh-CN" w:bidi="ar"/>
              </w:rPr>
              <w:t>，血液≥5000X；</w:t>
            </w:r>
            <w:r>
              <w:rPr>
                <w:rFonts w:hint="eastAsia" w:ascii="Arial" w:hAnsi="Arial" w:cs="Arial"/>
                <w:i w:val="0"/>
                <w:iCs w:val="0"/>
                <w:color w:val="auto"/>
                <w:kern w:val="0"/>
                <w:sz w:val="21"/>
                <w:szCs w:val="21"/>
                <w:highlight w:val="none"/>
                <w:u w:val="none"/>
                <w:lang w:val="en-US" w:eastAsia="zh-CN" w:bidi="ar"/>
              </w:rPr>
              <w:t>可</w:t>
            </w:r>
            <w:r>
              <w:rPr>
                <w:rFonts w:hint="eastAsia"/>
                <w:color w:val="auto"/>
                <w:highlight w:val="none"/>
              </w:rPr>
              <w:t>保存原始数据和蜡块</w:t>
            </w:r>
            <w:r>
              <w:rPr>
                <w:rFonts w:hint="eastAsia"/>
                <w:color w:val="auto"/>
                <w:highlight w:val="none"/>
                <w:lang w:eastAsia="zh-CN"/>
              </w:rPr>
              <w:t>，</w:t>
            </w:r>
            <w:r>
              <w:rPr>
                <w:rFonts w:hint="eastAsia"/>
                <w:color w:val="auto"/>
                <w:highlight w:val="none"/>
                <w:lang w:val="en-US" w:eastAsia="zh-CN"/>
              </w:rPr>
              <w:t>可</w:t>
            </w:r>
            <w:r>
              <w:rPr>
                <w:rFonts w:hint="eastAsia"/>
                <w:color w:val="auto"/>
                <w:highlight w:val="none"/>
              </w:rPr>
              <w:t>按</w:t>
            </w:r>
            <w:r>
              <w:rPr>
                <w:rFonts w:hint="eastAsia"/>
                <w:color w:val="auto"/>
                <w:highlight w:val="none"/>
                <w:lang w:val="en-US" w:eastAsia="zh-CN"/>
              </w:rPr>
              <w:t>需</w:t>
            </w:r>
            <w:r>
              <w:rPr>
                <w:rFonts w:hint="eastAsia"/>
                <w:color w:val="auto"/>
                <w:highlight w:val="none"/>
              </w:rPr>
              <w:t>求返还原始数据和剩余标本</w:t>
            </w:r>
            <w:r>
              <w:rPr>
                <w:rFonts w:hint="default" w:ascii="Arial" w:hAnsi="Arial" w:eastAsia="宋体" w:cs="Arial"/>
                <w:i w:val="0"/>
                <w:iCs w:val="0"/>
                <w:color w:val="auto"/>
                <w:kern w:val="0"/>
                <w:sz w:val="21"/>
                <w:szCs w:val="21"/>
                <w:highlight w:val="none"/>
                <w:u w:val="none"/>
                <w:lang w:val="en-US" w:eastAsia="zh-CN" w:bidi="ar"/>
              </w:rPr>
              <w:t xml:space="preserve">；                        </w:t>
            </w:r>
          </w:p>
          <w:p w14:paraId="0E0798C9">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5CAF0A3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3070</w:t>
            </w:r>
          </w:p>
        </w:tc>
        <w:tc>
          <w:tcPr>
            <w:tcW w:w="925" w:type="dxa"/>
            <w:shd w:val="clear" w:color="auto" w:fill="auto"/>
            <w:vAlign w:val="center"/>
          </w:tcPr>
          <w:p w14:paraId="34213852">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547</w:t>
            </w:r>
          </w:p>
        </w:tc>
        <w:tc>
          <w:tcPr>
            <w:tcW w:w="962" w:type="dxa"/>
            <w:shd w:val="clear" w:color="auto" w:fill="auto"/>
            <w:vAlign w:val="center"/>
          </w:tcPr>
          <w:p w14:paraId="32BF11CB">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166B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60" w:hRule="atLeast"/>
        </w:trPr>
        <w:tc>
          <w:tcPr>
            <w:tcW w:w="563" w:type="dxa"/>
            <w:shd w:val="clear" w:color="auto" w:fill="auto"/>
            <w:vAlign w:val="center"/>
          </w:tcPr>
          <w:p w14:paraId="154402A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8</w:t>
            </w:r>
          </w:p>
        </w:tc>
        <w:tc>
          <w:tcPr>
            <w:tcW w:w="2137" w:type="dxa"/>
            <w:shd w:val="clear" w:color="auto" w:fill="auto"/>
            <w:vAlign w:val="center"/>
          </w:tcPr>
          <w:p w14:paraId="6E0D7D4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肿瘤全景基因检测</w:t>
            </w:r>
          </w:p>
        </w:tc>
        <w:tc>
          <w:tcPr>
            <w:tcW w:w="1100" w:type="dxa"/>
            <w:shd w:val="clear" w:color="auto" w:fill="auto"/>
            <w:vAlign w:val="center"/>
          </w:tcPr>
          <w:p w14:paraId="39100E0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0DA5225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51840126">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覆盖多个基因全外显子及部分内含子区，检测包括点突变、融合、扩增、插入/缺失；MS和MMR基因检测；TMB肿瘤突变负荷检测，适用于实体肿瘤患者，涵盖所有现有靶向药物相关靶点，指导靶向治疗，检测肿瘤遗传风险相关基因；                                  ▲2、测序深度：组织≥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367E9EEC">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26E9F08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8320</w:t>
            </w:r>
          </w:p>
        </w:tc>
        <w:tc>
          <w:tcPr>
            <w:tcW w:w="925" w:type="dxa"/>
            <w:shd w:val="clear" w:color="auto" w:fill="auto"/>
            <w:vAlign w:val="center"/>
          </w:tcPr>
          <w:p w14:paraId="3BA50A22">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107</w:t>
            </w:r>
          </w:p>
        </w:tc>
        <w:tc>
          <w:tcPr>
            <w:tcW w:w="962" w:type="dxa"/>
            <w:shd w:val="clear" w:color="auto" w:fill="auto"/>
            <w:vAlign w:val="center"/>
          </w:tcPr>
          <w:p w14:paraId="48277B1D">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444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63" w:type="dxa"/>
            <w:shd w:val="clear" w:color="auto" w:fill="auto"/>
            <w:vAlign w:val="center"/>
          </w:tcPr>
          <w:p w14:paraId="62DB5B1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9</w:t>
            </w:r>
          </w:p>
        </w:tc>
        <w:tc>
          <w:tcPr>
            <w:tcW w:w="2137" w:type="dxa"/>
            <w:shd w:val="clear" w:color="auto" w:fill="auto"/>
            <w:vAlign w:val="center"/>
          </w:tcPr>
          <w:p w14:paraId="2B913A9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肿瘤突变负荷（TMB）检测</w:t>
            </w:r>
          </w:p>
        </w:tc>
        <w:tc>
          <w:tcPr>
            <w:tcW w:w="1100" w:type="dxa"/>
            <w:shd w:val="clear" w:color="auto" w:fill="auto"/>
            <w:vAlign w:val="center"/>
          </w:tcPr>
          <w:p w14:paraId="61B5609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5EA23B5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3DF64872">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▲1、覆盖多个基因全外显子及精选内含子区，检测包括点突变、融合、扩增、插入/缺失；MS和MMR基因检测；TMB肿瘤突变负荷检测；</w:t>
            </w:r>
          </w:p>
        </w:tc>
        <w:tc>
          <w:tcPr>
            <w:tcW w:w="1413" w:type="dxa"/>
            <w:shd w:val="clear" w:color="auto" w:fill="auto"/>
            <w:vAlign w:val="center"/>
          </w:tcPr>
          <w:p w14:paraId="2076C99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6440</w:t>
            </w:r>
          </w:p>
        </w:tc>
        <w:tc>
          <w:tcPr>
            <w:tcW w:w="925" w:type="dxa"/>
            <w:shd w:val="clear" w:color="auto" w:fill="auto"/>
            <w:vAlign w:val="center"/>
          </w:tcPr>
          <w:p w14:paraId="1EF26618">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w:t>
            </w:r>
          </w:p>
        </w:tc>
        <w:tc>
          <w:tcPr>
            <w:tcW w:w="962" w:type="dxa"/>
            <w:shd w:val="clear" w:color="auto" w:fill="auto"/>
            <w:vAlign w:val="center"/>
          </w:tcPr>
          <w:p w14:paraId="6DA606B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7DB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563" w:type="dxa"/>
            <w:shd w:val="clear" w:color="auto" w:fill="auto"/>
            <w:vAlign w:val="center"/>
          </w:tcPr>
          <w:p w14:paraId="69E0FF7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10</w:t>
            </w:r>
          </w:p>
        </w:tc>
        <w:tc>
          <w:tcPr>
            <w:tcW w:w="2137" w:type="dxa"/>
            <w:shd w:val="clear" w:color="auto" w:fill="auto"/>
            <w:vAlign w:val="center"/>
          </w:tcPr>
          <w:p w14:paraId="0E44962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乳腺癌多基因检测</w:t>
            </w:r>
          </w:p>
        </w:tc>
        <w:tc>
          <w:tcPr>
            <w:tcW w:w="1100" w:type="dxa"/>
            <w:shd w:val="clear" w:color="auto" w:fill="auto"/>
            <w:vAlign w:val="center"/>
          </w:tcPr>
          <w:p w14:paraId="395FBE8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6FEEEC4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28D288F7">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▲1、检测覆盖多个乳腺癌靶向和化疗药物相关基因全外显子检测及精选内含子区；同步检测微卫星区域和MMR基因；                                         ▲2、测序深度：组织≥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1F068A18">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71669E8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3070</w:t>
            </w:r>
          </w:p>
        </w:tc>
        <w:tc>
          <w:tcPr>
            <w:tcW w:w="925" w:type="dxa"/>
            <w:shd w:val="clear" w:color="auto" w:fill="auto"/>
            <w:vAlign w:val="center"/>
          </w:tcPr>
          <w:p w14:paraId="27F33C60">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8</w:t>
            </w:r>
          </w:p>
        </w:tc>
        <w:tc>
          <w:tcPr>
            <w:tcW w:w="962" w:type="dxa"/>
            <w:shd w:val="clear" w:color="auto" w:fill="auto"/>
            <w:vAlign w:val="center"/>
          </w:tcPr>
          <w:p w14:paraId="3CA75634">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0C5E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563" w:type="dxa"/>
            <w:shd w:val="clear" w:color="auto" w:fill="auto"/>
            <w:vAlign w:val="center"/>
          </w:tcPr>
          <w:p w14:paraId="76B24DC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11</w:t>
            </w:r>
          </w:p>
        </w:tc>
        <w:tc>
          <w:tcPr>
            <w:tcW w:w="2137" w:type="dxa"/>
            <w:shd w:val="clear" w:color="auto" w:fill="auto"/>
            <w:vAlign w:val="center"/>
          </w:tcPr>
          <w:p w14:paraId="3C76558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乳腺癌21基因检测</w:t>
            </w:r>
          </w:p>
        </w:tc>
        <w:tc>
          <w:tcPr>
            <w:tcW w:w="1100" w:type="dxa"/>
            <w:shd w:val="clear" w:color="auto" w:fill="auto"/>
            <w:vAlign w:val="center"/>
          </w:tcPr>
          <w:p w14:paraId="2FBEB1B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439EBF0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PCR</w:t>
            </w:r>
          </w:p>
        </w:tc>
        <w:tc>
          <w:tcPr>
            <w:tcW w:w="6862" w:type="dxa"/>
            <w:shd w:val="clear" w:color="auto" w:fill="auto"/>
            <w:vAlign w:val="center"/>
          </w:tcPr>
          <w:p w14:paraId="52973964">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▲采用PCR方法，对乳腺癌21个基因进行定量并对预后与化疗获益程度进行预测。</w:t>
            </w:r>
          </w:p>
        </w:tc>
        <w:tc>
          <w:tcPr>
            <w:tcW w:w="1413" w:type="dxa"/>
            <w:shd w:val="clear" w:color="auto" w:fill="auto"/>
            <w:vAlign w:val="center"/>
          </w:tcPr>
          <w:p w14:paraId="04E04BF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2820</w:t>
            </w:r>
          </w:p>
        </w:tc>
        <w:tc>
          <w:tcPr>
            <w:tcW w:w="925" w:type="dxa"/>
            <w:shd w:val="clear" w:color="auto" w:fill="auto"/>
            <w:vAlign w:val="center"/>
          </w:tcPr>
          <w:p w14:paraId="0226A1DA">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26</w:t>
            </w:r>
          </w:p>
        </w:tc>
        <w:tc>
          <w:tcPr>
            <w:tcW w:w="962" w:type="dxa"/>
            <w:shd w:val="clear" w:color="auto" w:fill="auto"/>
            <w:vAlign w:val="center"/>
          </w:tcPr>
          <w:p w14:paraId="226D881C">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11BE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563" w:type="dxa"/>
            <w:shd w:val="clear" w:color="auto" w:fill="auto"/>
            <w:vAlign w:val="center"/>
          </w:tcPr>
          <w:p w14:paraId="4146C16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12</w:t>
            </w:r>
          </w:p>
        </w:tc>
        <w:tc>
          <w:tcPr>
            <w:tcW w:w="2137" w:type="dxa"/>
            <w:shd w:val="clear" w:color="auto" w:fill="auto"/>
            <w:vAlign w:val="center"/>
          </w:tcPr>
          <w:p w14:paraId="762314C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肠癌多基因检测</w:t>
            </w:r>
          </w:p>
        </w:tc>
        <w:tc>
          <w:tcPr>
            <w:tcW w:w="1100" w:type="dxa"/>
            <w:shd w:val="clear" w:color="auto" w:fill="auto"/>
            <w:vAlign w:val="center"/>
          </w:tcPr>
          <w:p w14:paraId="3B23CBD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74DE9F5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2A81D34E">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▲1、检测覆盖多个肠癌靶向和化疗药物相关基因全外显子检测及精选内含子区；同步检测微卫星区域和MMR基因；                                            ▲2、测序深度：组织≥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60E636CC">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6010CB1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3070</w:t>
            </w:r>
          </w:p>
        </w:tc>
        <w:tc>
          <w:tcPr>
            <w:tcW w:w="925" w:type="dxa"/>
            <w:shd w:val="clear" w:color="auto" w:fill="auto"/>
            <w:vAlign w:val="center"/>
          </w:tcPr>
          <w:p w14:paraId="0C3129ED">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101</w:t>
            </w:r>
          </w:p>
        </w:tc>
        <w:tc>
          <w:tcPr>
            <w:tcW w:w="962" w:type="dxa"/>
            <w:shd w:val="clear" w:color="auto" w:fill="auto"/>
            <w:vAlign w:val="center"/>
          </w:tcPr>
          <w:p w14:paraId="10DF2A54">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2DEB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0" w:hRule="atLeast"/>
        </w:trPr>
        <w:tc>
          <w:tcPr>
            <w:tcW w:w="563" w:type="dxa"/>
            <w:shd w:val="clear" w:color="auto" w:fill="auto"/>
            <w:vAlign w:val="center"/>
          </w:tcPr>
          <w:p w14:paraId="6BAC94F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13</w:t>
            </w:r>
          </w:p>
        </w:tc>
        <w:tc>
          <w:tcPr>
            <w:tcW w:w="2137" w:type="dxa"/>
            <w:shd w:val="clear" w:color="auto" w:fill="auto"/>
            <w:vAlign w:val="center"/>
          </w:tcPr>
          <w:p w14:paraId="256F699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胃癌多基因检测</w:t>
            </w:r>
          </w:p>
        </w:tc>
        <w:tc>
          <w:tcPr>
            <w:tcW w:w="1100" w:type="dxa"/>
            <w:shd w:val="clear" w:color="auto" w:fill="auto"/>
            <w:vAlign w:val="center"/>
          </w:tcPr>
          <w:p w14:paraId="379DA15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01C6452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385B4EEB">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▲1、检测覆盖多个胃癌靶向和化疗药物相关基因全外显子检测及精选内含子区；同步检测微卫星区域和MMR基因。                                      ▲2、测序深度：组织≥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3E46F916">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0AC8448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3070</w:t>
            </w:r>
          </w:p>
        </w:tc>
        <w:tc>
          <w:tcPr>
            <w:tcW w:w="925" w:type="dxa"/>
            <w:shd w:val="clear" w:color="auto" w:fill="auto"/>
            <w:vAlign w:val="center"/>
          </w:tcPr>
          <w:p w14:paraId="4F7423DB">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8</w:t>
            </w:r>
          </w:p>
        </w:tc>
        <w:tc>
          <w:tcPr>
            <w:tcW w:w="962" w:type="dxa"/>
            <w:shd w:val="clear" w:color="auto" w:fill="auto"/>
            <w:vAlign w:val="center"/>
          </w:tcPr>
          <w:p w14:paraId="1AE42219">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12BD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563" w:type="dxa"/>
            <w:shd w:val="clear" w:color="auto" w:fill="auto"/>
            <w:vAlign w:val="center"/>
          </w:tcPr>
          <w:p w14:paraId="5234E26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14</w:t>
            </w:r>
          </w:p>
        </w:tc>
        <w:tc>
          <w:tcPr>
            <w:tcW w:w="2137" w:type="dxa"/>
            <w:shd w:val="clear" w:color="auto" w:fill="auto"/>
            <w:vAlign w:val="center"/>
          </w:tcPr>
          <w:p w14:paraId="5576EA7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胃肠间质瘤多基因检测</w:t>
            </w:r>
          </w:p>
        </w:tc>
        <w:tc>
          <w:tcPr>
            <w:tcW w:w="1100" w:type="dxa"/>
            <w:shd w:val="clear" w:color="auto" w:fill="auto"/>
            <w:vAlign w:val="center"/>
          </w:tcPr>
          <w:p w14:paraId="015876D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3BFC744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26299E29">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▲1、检测覆盖多个胃肠间质瘤靶向和化疗药物相关基因全外显子检测及精选内含子区，全面检测KIT、PDGFRA基因全外显子所有位点各类型突变信息，涵盖GIST肿瘤分子信号通路上下游基因全外显子；                            ▲2、测序深度：组织≥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7E87D00D">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468F4EC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3070</w:t>
            </w:r>
          </w:p>
        </w:tc>
        <w:tc>
          <w:tcPr>
            <w:tcW w:w="925" w:type="dxa"/>
            <w:shd w:val="clear" w:color="auto" w:fill="auto"/>
            <w:vAlign w:val="center"/>
          </w:tcPr>
          <w:p w14:paraId="191404AB">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11</w:t>
            </w:r>
          </w:p>
        </w:tc>
        <w:tc>
          <w:tcPr>
            <w:tcW w:w="962" w:type="dxa"/>
            <w:shd w:val="clear" w:color="auto" w:fill="auto"/>
            <w:vAlign w:val="center"/>
          </w:tcPr>
          <w:p w14:paraId="43514A3A">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342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563" w:type="dxa"/>
            <w:shd w:val="clear" w:color="auto" w:fill="auto"/>
            <w:vAlign w:val="center"/>
          </w:tcPr>
          <w:p w14:paraId="0380D3F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15</w:t>
            </w:r>
          </w:p>
        </w:tc>
        <w:tc>
          <w:tcPr>
            <w:tcW w:w="2137" w:type="dxa"/>
            <w:shd w:val="clear" w:color="auto" w:fill="auto"/>
            <w:vAlign w:val="center"/>
          </w:tcPr>
          <w:p w14:paraId="45FC15F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泌尿系统肿瘤多基因检测</w:t>
            </w:r>
          </w:p>
        </w:tc>
        <w:tc>
          <w:tcPr>
            <w:tcW w:w="1100" w:type="dxa"/>
            <w:shd w:val="clear" w:color="auto" w:fill="auto"/>
            <w:vAlign w:val="center"/>
          </w:tcPr>
          <w:p w14:paraId="2825FBF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79E369C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414D80EC">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▲1、检测覆盖多个泌尿系统肿瘤（肾癌、膀胱癌）靶向和化疗药物相关基因全外显子检测及精选内含子区；同步检测微卫星区域和MMR基因；</w:t>
            </w:r>
          </w:p>
        </w:tc>
        <w:tc>
          <w:tcPr>
            <w:tcW w:w="1413" w:type="dxa"/>
            <w:shd w:val="clear" w:color="auto" w:fill="auto"/>
            <w:vAlign w:val="center"/>
          </w:tcPr>
          <w:p w14:paraId="4739CF4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3070</w:t>
            </w:r>
          </w:p>
        </w:tc>
        <w:tc>
          <w:tcPr>
            <w:tcW w:w="925" w:type="dxa"/>
            <w:shd w:val="clear" w:color="auto" w:fill="auto"/>
            <w:vAlign w:val="center"/>
          </w:tcPr>
          <w:p w14:paraId="0B3B7BE4">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w:t>
            </w:r>
          </w:p>
        </w:tc>
        <w:tc>
          <w:tcPr>
            <w:tcW w:w="962" w:type="dxa"/>
            <w:shd w:val="clear" w:color="auto" w:fill="auto"/>
            <w:vAlign w:val="center"/>
          </w:tcPr>
          <w:p w14:paraId="6B8238C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5102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563" w:type="dxa"/>
            <w:shd w:val="clear" w:color="auto" w:fill="auto"/>
            <w:vAlign w:val="center"/>
          </w:tcPr>
          <w:p w14:paraId="48A8B20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16</w:t>
            </w:r>
          </w:p>
        </w:tc>
        <w:tc>
          <w:tcPr>
            <w:tcW w:w="2137" w:type="dxa"/>
            <w:shd w:val="clear" w:color="auto" w:fill="auto"/>
            <w:vAlign w:val="center"/>
          </w:tcPr>
          <w:p w14:paraId="4B2FC5F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血液肿瘤髓系基因检测</w:t>
            </w:r>
          </w:p>
        </w:tc>
        <w:tc>
          <w:tcPr>
            <w:tcW w:w="1100" w:type="dxa"/>
            <w:shd w:val="clear" w:color="auto" w:fill="auto"/>
            <w:vAlign w:val="center"/>
          </w:tcPr>
          <w:p w14:paraId="113991D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224D8E4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65B9A017">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▲1、检测覆盖多个髓系肿瘤相关基因全外显子及相关内含子，DNA着重检测单碱基突变，小片段插入/缺失，基因扩增和重要基因融合；                         ▲2、测序深度：组织≥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57536CE9">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3D0C529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2900</w:t>
            </w:r>
          </w:p>
        </w:tc>
        <w:tc>
          <w:tcPr>
            <w:tcW w:w="925" w:type="dxa"/>
            <w:shd w:val="clear" w:color="auto" w:fill="auto"/>
            <w:vAlign w:val="center"/>
          </w:tcPr>
          <w:p w14:paraId="2C1BEED4">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w:t>
            </w:r>
          </w:p>
        </w:tc>
        <w:tc>
          <w:tcPr>
            <w:tcW w:w="962" w:type="dxa"/>
            <w:shd w:val="clear" w:color="auto" w:fill="auto"/>
            <w:vAlign w:val="center"/>
          </w:tcPr>
          <w:p w14:paraId="722D8F6B">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1E12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563" w:type="dxa"/>
            <w:shd w:val="clear" w:color="auto" w:fill="auto"/>
            <w:vAlign w:val="center"/>
          </w:tcPr>
          <w:p w14:paraId="01B8473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17</w:t>
            </w:r>
          </w:p>
        </w:tc>
        <w:tc>
          <w:tcPr>
            <w:tcW w:w="2137" w:type="dxa"/>
            <w:shd w:val="clear" w:color="auto" w:fill="auto"/>
            <w:vAlign w:val="center"/>
          </w:tcPr>
          <w:p w14:paraId="24253E8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淋巴瘤基因检测</w:t>
            </w:r>
          </w:p>
        </w:tc>
        <w:tc>
          <w:tcPr>
            <w:tcW w:w="1100" w:type="dxa"/>
            <w:shd w:val="clear" w:color="auto" w:fill="auto"/>
            <w:vAlign w:val="center"/>
          </w:tcPr>
          <w:p w14:paraId="36A46D9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1554BD2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6F612B9B">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▲1、检测覆盖多个B细胞淋巴瘤相关基因全外显子及相关内含子，DNA着重检测单碱基实变，小片段插入/缺失，甚因扩增和重要基因融合；</w:t>
            </w:r>
          </w:p>
        </w:tc>
        <w:tc>
          <w:tcPr>
            <w:tcW w:w="1413" w:type="dxa"/>
            <w:shd w:val="clear" w:color="auto" w:fill="auto"/>
            <w:vAlign w:val="center"/>
          </w:tcPr>
          <w:p w14:paraId="6DE7166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3220</w:t>
            </w:r>
          </w:p>
        </w:tc>
        <w:tc>
          <w:tcPr>
            <w:tcW w:w="925" w:type="dxa"/>
            <w:shd w:val="clear" w:color="auto" w:fill="auto"/>
            <w:vAlign w:val="center"/>
          </w:tcPr>
          <w:p w14:paraId="7C0971D0">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4D8BF282">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3344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90" w:hRule="atLeast"/>
        </w:trPr>
        <w:tc>
          <w:tcPr>
            <w:tcW w:w="563" w:type="dxa"/>
            <w:shd w:val="clear" w:color="auto" w:fill="auto"/>
            <w:vAlign w:val="center"/>
          </w:tcPr>
          <w:p w14:paraId="0E5A4FD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18</w:t>
            </w:r>
          </w:p>
        </w:tc>
        <w:tc>
          <w:tcPr>
            <w:tcW w:w="2137" w:type="dxa"/>
            <w:shd w:val="clear" w:color="auto" w:fill="auto"/>
            <w:vAlign w:val="center"/>
          </w:tcPr>
          <w:p w14:paraId="25AEBFD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血液肿瘤/淋巴瘤多基因检测</w:t>
            </w:r>
          </w:p>
        </w:tc>
        <w:tc>
          <w:tcPr>
            <w:tcW w:w="1100" w:type="dxa"/>
            <w:shd w:val="clear" w:color="auto" w:fill="auto"/>
            <w:vAlign w:val="center"/>
          </w:tcPr>
          <w:p w14:paraId="6F632C0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7D5E5C4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0AEF8794">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▲1、检测覆盖多个血液肿瘤相关基因，可检测单碱基突变，小片段插入/缺失，持贝数变异和重要基因重排，重排相关重要内含子区域重点覆盖，包括MYC、BCL2、BCL6、CCND1等；                                                ▲2、测序深度：组织≥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781D2E96">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1B5D48A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3000</w:t>
            </w:r>
          </w:p>
        </w:tc>
        <w:tc>
          <w:tcPr>
            <w:tcW w:w="925" w:type="dxa"/>
            <w:shd w:val="clear" w:color="auto" w:fill="auto"/>
            <w:vAlign w:val="center"/>
          </w:tcPr>
          <w:p w14:paraId="2C62F5C8">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49945EEA">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6351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90" w:hRule="atLeast"/>
        </w:trPr>
        <w:tc>
          <w:tcPr>
            <w:tcW w:w="563" w:type="dxa"/>
            <w:shd w:val="clear" w:color="auto" w:fill="auto"/>
            <w:vAlign w:val="center"/>
          </w:tcPr>
          <w:p w14:paraId="0669C10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19</w:t>
            </w:r>
          </w:p>
        </w:tc>
        <w:tc>
          <w:tcPr>
            <w:tcW w:w="2137" w:type="dxa"/>
            <w:shd w:val="clear" w:color="auto" w:fill="auto"/>
            <w:vAlign w:val="center"/>
          </w:tcPr>
          <w:p w14:paraId="50B4EB0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循环肿瘤DNA (ctDNA)动态监测</w:t>
            </w:r>
          </w:p>
        </w:tc>
        <w:tc>
          <w:tcPr>
            <w:tcW w:w="1100" w:type="dxa"/>
            <w:shd w:val="clear" w:color="auto" w:fill="auto"/>
            <w:vAlign w:val="center"/>
          </w:tcPr>
          <w:p w14:paraId="5C20D27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135425C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2929474F">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▲1、肺部肿瘤多基因超高灵敏度全周期监测，覆盖多个肺癌靶向和化疗药物相关基因外显子检测及精选内含子区，涵盖ALK、RET、ROS1等基因融合和c-MET跳读变异检测；                                                ▲2、组织≥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4DB544BB">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1DE0E3D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3140</w:t>
            </w:r>
          </w:p>
        </w:tc>
        <w:tc>
          <w:tcPr>
            <w:tcW w:w="925" w:type="dxa"/>
            <w:shd w:val="clear" w:color="auto" w:fill="auto"/>
            <w:vAlign w:val="center"/>
          </w:tcPr>
          <w:p w14:paraId="37C58036">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7316A991">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6319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0" w:hRule="atLeast"/>
        </w:trPr>
        <w:tc>
          <w:tcPr>
            <w:tcW w:w="563" w:type="dxa"/>
            <w:shd w:val="clear" w:color="auto" w:fill="auto"/>
            <w:vAlign w:val="center"/>
          </w:tcPr>
          <w:p w14:paraId="6A3F18D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20</w:t>
            </w:r>
          </w:p>
        </w:tc>
        <w:tc>
          <w:tcPr>
            <w:tcW w:w="2137" w:type="dxa"/>
            <w:shd w:val="clear" w:color="auto" w:fill="auto"/>
            <w:vAlign w:val="center"/>
          </w:tcPr>
          <w:p w14:paraId="25A87C2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中枢神经系统肿瘤多基因检测</w:t>
            </w:r>
          </w:p>
        </w:tc>
        <w:tc>
          <w:tcPr>
            <w:tcW w:w="1100" w:type="dxa"/>
            <w:shd w:val="clear" w:color="auto" w:fill="auto"/>
            <w:vAlign w:val="center"/>
          </w:tcPr>
          <w:p w14:paraId="526F574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0B60E02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29F78E2A">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▲1、覆盖多个基因重要突变，全面的基因检测，全面指导中枢神经系统肿瘤患者临床治疗，覆盖专家共识推荐检测的基因；                                             ▲2、测序深度：组织≥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47784C69">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4BB38F2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6210</w:t>
            </w:r>
          </w:p>
        </w:tc>
        <w:tc>
          <w:tcPr>
            <w:tcW w:w="925" w:type="dxa"/>
            <w:shd w:val="clear" w:color="auto" w:fill="auto"/>
            <w:vAlign w:val="center"/>
          </w:tcPr>
          <w:p w14:paraId="0B5A59F2">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10</w:t>
            </w:r>
          </w:p>
        </w:tc>
        <w:tc>
          <w:tcPr>
            <w:tcW w:w="962" w:type="dxa"/>
            <w:shd w:val="clear" w:color="auto" w:fill="auto"/>
            <w:vAlign w:val="center"/>
          </w:tcPr>
          <w:p w14:paraId="1D447086">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628F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563" w:type="dxa"/>
            <w:shd w:val="clear" w:color="auto" w:fill="auto"/>
            <w:vAlign w:val="center"/>
          </w:tcPr>
          <w:p w14:paraId="5935D98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21</w:t>
            </w:r>
          </w:p>
        </w:tc>
        <w:tc>
          <w:tcPr>
            <w:tcW w:w="2137" w:type="dxa"/>
            <w:shd w:val="clear" w:color="auto" w:fill="auto"/>
            <w:vAlign w:val="center"/>
          </w:tcPr>
          <w:p w14:paraId="768B071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妇科肿瘤多基因检测</w:t>
            </w:r>
          </w:p>
        </w:tc>
        <w:tc>
          <w:tcPr>
            <w:tcW w:w="1100" w:type="dxa"/>
            <w:shd w:val="clear" w:color="auto" w:fill="auto"/>
            <w:vAlign w:val="center"/>
          </w:tcPr>
          <w:p w14:paraId="40C27AB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6D5BF0D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0CFCB280">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▲1、覆盖多个妇科肿瘤（卵巢癌、宫颈癌、子宫内膜癌）靶向和化疗药物相关基因全外显子检测及精选内含子区；同步检测微卫星区域和MMR基因；</w:t>
            </w:r>
          </w:p>
        </w:tc>
        <w:tc>
          <w:tcPr>
            <w:tcW w:w="1413" w:type="dxa"/>
            <w:shd w:val="clear" w:color="auto" w:fill="auto"/>
            <w:vAlign w:val="center"/>
          </w:tcPr>
          <w:p w14:paraId="586D81A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3140</w:t>
            </w:r>
          </w:p>
        </w:tc>
        <w:tc>
          <w:tcPr>
            <w:tcW w:w="925" w:type="dxa"/>
            <w:shd w:val="clear" w:color="auto" w:fill="auto"/>
            <w:vAlign w:val="center"/>
          </w:tcPr>
          <w:p w14:paraId="5C12E5B3">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84</w:t>
            </w:r>
          </w:p>
        </w:tc>
        <w:tc>
          <w:tcPr>
            <w:tcW w:w="962" w:type="dxa"/>
            <w:shd w:val="clear" w:color="auto" w:fill="auto"/>
            <w:vAlign w:val="center"/>
          </w:tcPr>
          <w:p w14:paraId="6A0CA8F0">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2D20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563" w:type="dxa"/>
            <w:shd w:val="clear" w:color="auto" w:fill="auto"/>
            <w:vAlign w:val="center"/>
          </w:tcPr>
          <w:p w14:paraId="0FAC0FE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22</w:t>
            </w:r>
          </w:p>
        </w:tc>
        <w:tc>
          <w:tcPr>
            <w:tcW w:w="2137" w:type="dxa"/>
            <w:shd w:val="clear" w:color="auto" w:fill="auto"/>
            <w:vAlign w:val="center"/>
          </w:tcPr>
          <w:p w14:paraId="198C79B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甲状腺癌多基因检测</w:t>
            </w:r>
          </w:p>
        </w:tc>
        <w:tc>
          <w:tcPr>
            <w:tcW w:w="1100" w:type="dxa"/>
            <w:shd w:val="clear" w:color="auto" w:fill="auto"/>
            <w:vAlign w:val="center"/>
          </w:tcPr>
          <w:p w14:paraId="08F38D6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719170E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4523ACDE">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▲1、覆盖多个甲状腺癌靶向和化疗药物相关基因全外显子检测及精选内含子区；                              </w:t>
            </w:r>
          </w:p>
          <w:p w14:paraId="1AB53D3D">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2659B59B">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35293FB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3070</w:t>
            </w:r>
          </w:p>
        </w:tc>
        <w:tc>
          <w:tcPr>
            <w:tcW w:w="925" w:type="dxa"/>
            <w:shd w:val="clear" w:color="auto" w:fill="auto"/>
            <w:vAlign w:val="center"/>
          </w:tcPr>
          <w:p w14:paraId="17B9A263">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14</w:t>
            </w:r>
          </w:p>
        </w:tc>
        <w:tc>
          <w:tcPr>
            <w:tcW w:w="962" w:type="dxa"/>
            <w:shd w:val="clear" w:color="auto" w:fill="auto"/>
            <w:vAlign w:val="center"/>
          </w:tcPr>
          <w:p w14:paraId="076C4740">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2DA5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563" w:type="dxa"/>
            <w:shd w:val="clear" w:color="auto" w:fill="auto"/>
            <w:vAlign w:val="center"/>
          </w:tcPr>
          <w:p w14:paraId="1F10178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23</w:t>
            </w:r>
          </w:p>
        </w:tc>
        <w:tc>
          <w:tcPr>
            <w:tcW w:w="2137" w:type="dxa"/>
            <w:shd w:val="clear" w:color="auto" w:fill="auto"/>
            <w:vAlign w:val="center"/>
          </w:tcPr>
          <w:p w14:paraId="5BDEA6F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HRR检测</w:t>
            </w:r>
          </w:p>
        </w:tc>
        <w:tc>
          <w:tcPr>
            <w:tcW w:w="1100" w:type="dxa"/>
            <w:shd w:val="clear" w:color="auto" w:fill="auto"/>
            <w:vAlign w:val="center"/>
          </w:tcPr>
          <w:p w14:paraId="095B7EE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2DC5C36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4DEEF042">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检测完整覆盖PARP抑制剂相关BRCA1、BRCA2、BRCA-ness和ERBB2(HER2)等基因全外显子、部分内含子区域、可变剪切区域；涵盖完整基因变异类型(突变/插入/缺失/融合/大片段基因重排/拷贝数变异)；可检测胚系、体系突变，指导PARP抑制剂的临床应用并提示遗传风险；</w:t>
            </w:r>
          </w:p>
        </w:tc>
        <w:tc>
          <w:tcPr>
            <w:tcW w:w="1413" w:type="dxa"/>
            <w:shd w:val="clear" w:color="auto" w:fill="auto"/>
            <w:vAlign w:val="center"/>
          </w:tcPr>
          <w:p w14:paraId="502AA78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1570</w:t>
            </w:r>
          </w:p>
        </w:tc>
        <w:tc>
          <w:tcPr>
            <w:tcW w:w="925" w:type="dxa"/>
            <w:shd w:val="clear" w:color="auto" w:fill="auto"/>
            <w:vAlign w:val="center"/>
          </w:tcPr>
          <w:p w14:paraId="59B1D08E">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6D66282A">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63C7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60" w:hRule="atLeast"/>
        </w:trPr>
        <w:tc>
          <w:tcPr>
            <w:tcW w:w="563" w:type="dxa"/>
            <w:shd w:val="clear" w:color="auto" w:fill="auto"/>
            <w:vAlign w:val="center"/>
          </w:tcPr>
          <w:p w14:paraId="6318D8F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24</w:t>
            </w:r>
          </w:p>
        </w:tc>
        <w:tc>
          <w:tcPr>
            <w:tcW w:w="2137" w:type="dxa"/>
            <w:shd w:val="clear" w:color="auto" w:fill="auto"/>
            <w:vAlign w:val="center"/>
          </w:tcPr>
          <w:p w14:paraId="13B0B87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HRD检测</w:t>
            </w:r>
          </w:p>
        </w:tc>
        <w:tc>
          <w:tcPr>
            <w:tcW w:w="1100" w:type="dxa"/>
            <w:shd w:val="clear" w:color="auto" w:fill="auto"/>
            <w:vAlign w:val="center"/>
          </w:tcPr>
          <w:p w14:paraId="24AD9FB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7341D02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0F98EEE5">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完整覆盖PARP抑制剂相关BRCA1、BRCA2、BRCA-ness和ERBB2(HER2)等基因全外显子、部分内含子区域、可变剪切区域；涵盖完整基因变异类型；可检测胚系、体系突变，指导PARP抑制剂的临床应用并提示遗传风险，提供HRD评分，指导靶向用药；                                    ▲2、测序深度：组织≥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5F58B916">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17B7193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4570</w:t>
            </w:r>
          </w:p>
        </w:tc>
        <w:tc>
          <w:tcPr>
            <w:tcW w:w="925" w:type="dxa"/>
            <w:shd w:val="clear" w:color="auto" w:fill="auto"/>
            <w:vAlign w:val="center"/>
          </w:tcPr>
          <w:p w14:paraId="66A0FC7F">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21</w:t>
            </w:r>
          </w:p>
        </w:tc>
        <w:tc>
          <w:tcPr>
            <w:tcW w:w="962" w:type="dxa"/>
            <w:shd w:val="clear" w:color="auto" w:fill="auto"/>
            <w:vAlign w:val="center"/>
          </w:tcPr>
          <w:p w14:paraId="019C48C5">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1E45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0" w:hRule="atLeast"/>
        </w:trPr>
        <w:tc>
          <w:tcPr>
            <w:tcW w:w="563" w:type="dxa"/>
            <w:shd w:val="clear" w:color="auto" w:fill="auto"/>
            <w:vAlign w:val="center"/>
          </w:tcPr>
          <w:p w14:paraId="3985FF8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25</w:t>
            </w:r>
          </w:p>
        </w:tc>
        <w:tc>
          <w:tcPr>
            <w:tcW w:w="2137" w:type="dxa"/>
            <w:shd w:val="clear" w:color="auto" w:fill="auto"/>
            <w:vAlign w:val="center"/>
          </w:tcPr>
          <w:p w14:paraId="3BD7A4A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脑胶质瘤多基因检测</w:t>
            </w:r>
          </w:p>
        </w:tc>
        <w:tc>
          <w:tcPr>
            <w:tcW w:w="1100" w:type="dxa"/>
            <w:shd w:val="clear" w:color="auto" w:fill="auto"/>
            <w:vAlign w:val="center"/>
          </w:tcPr>
          <w:p w14:paraId="2D8343C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组织/外周血</w:t>
            </w:r>
          </w:p>
        </w:tc>
        <w:tc>
          <w:tcPr>
            <w:tcW w:w="1313" w:type="dxa"/>
            <w:shd w:val="clear" w:color="auto" w:fill="auto"/>
            <w:vAlign w:val="center"/>
          </w:tcPr>
          <w:p w14:paraId="6B5EE35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34B8C698">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▲1、覆盖脑胶质瘤分型诊断核心基因检测，覆盖染色体结构变异1p/19q、+7/-10；                          </w:t>
            </w:r>
          </w:p>
          <w:p w14:paraId="43567D0B">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00X，血液≥5000X；可保存原始数据和蜡块，可按需求返还原始数据和剩余标本；                                     </w:t>
            </w:r>
          </w:p>
          <w:p w14:paraId="1CFAE0C7">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3、反馈问题响应时间≤4小时，确定解决方案时间≤24小时；</w:t>
            </w:r>
          </w:p>
        </w:tc>
        <w:tc>
          <w:tcPr>
            <w:tcW w:w="1413" w:type="dxa"/>
            <w:shd w:val="clear" w:color="auto" w:fill="auto"/>
            <w:vAlign w:val="center"/>
          </w:tcPr>
          <w:p w14:paraId="1E730B3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3320</w:t>
            </w:r>
          </w:p>
        </w:tc>
        <w:tc>
          <w:tcPr>
            <w:tcW w:w="925" w:type="dxa"/>
            <w:shd w:val="clear" w:color="auto" w:fill="auto"/>
            <w:vAlign w:val="center"/>
          </w:tcPr>
          <w:p w14:paraId="4EF441C0">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12</w:t>
            </w:r>
          </w:p>
        </w:tc>
        <w:tc>
          <w:tcPr>
            <w:tcW w:w="962" w:type="dxa"/>
            <w:shd w:val="clear" w:color="auto" w:fill="auto"/>
            <w:vAlign w:val="center"/>
          </w:tcPr>
          <w:p w14:paraId="59E3EB90">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6052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332DDE4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26</w:t>
            </w:r>
          </w:p>
        </w:tc>
        <w:tc>
          <w:tcPr>
            <w:tcW w:w="2137" w:type="dxa"/>
            <w:shd w:val="clear" w:color="auto" w:fill="auto"/>
            <w:vAlign w:val="center"/>
          </w:tcPr>
          <w:p w14:paraId="1159555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香草苦杏仁</w:t>
            </w:r>
          </w:p>
        </w:tc>
        <w:tc>
          <w:tcPr>
            <w:tcW w:w="1100" w:type="dxa"/>
            <w:shd w:val="clear" w:color="auto" w:fill="auto"/>
            <w:vAlign w:val="center"/>
          </w:tcPr>
          <w:p w14:paraId="2E3BF52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尿液</w:t>
            </w:r>
          </w:p>
        </w:tc>
        <w:tc>
          <w:tcPr>
            <w:tcW w:w="1313" w:type="dxa"/>
            <w:shd w:val="clear" w:color="auto" w:fill="auto"/>
            <w:vAlign w:val="center"/>
          </w:tcPr>
          <w:p w14:paraId="1B54FCA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均相酶免疫法</w:t>
            </w:r>
          </w:p>
        </w:tc>
        <w:tc>
          <w:tcPr>
            <w:tcW w:w="6862" w:type="dxa"/>
            <w:shd w:val="clear" w:color="auto" w:fill="auto"/>
            <w:vAlign w:val="center"/>
          </w:tcPr>
          <w:p w14:paraId="07FF7947">
            <w:pPr>
              <w:jc w:val="center"/>
              <w:rPr>
                <w:rFonts w:hint="eastAsia" w:ascii="Arial" w:hAnsi="Arial" w:eastAsia="宋体"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6A58D80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15</w:t>
            </w:r>
          </w:p>
        </w:tc>
        <w:tc>
          <w:tcPr>
            <w:tcW w:w="925" w:type="dxa"/>
            <w:shd w:val="clear" w:color="auto" w:fill="auto"/>
            <w:vAlign w:val="center"/>
          </w:tcPr>
          <w:p w14:paraId="5C428968">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075D4742">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6592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68FF929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27</w:t>
            </w:r>
          </w:p>
        </w:tc>
        <w:tc>
          <w:tcPr>
            <w:tcW w:w="2137" w:type="dxa"/>
            <w:shd w:val="clear" w:color="auto" w:fill="auto"/>
            <w:vAlign w:val="center"/>
          </w:tcPr>
          <w:p w14:paraId="445D87F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尿气相色谱质谱检测</w:t>
            </w:r>
          </w:p>
        </w:tc>
        <w:tc>
          <w:tcPr>
            <w:tcW w:w="1100" w:type="dxa"/>
            <w:shd w:val="clear" w:color="auto" w:fill="auto"/>
            <w:vAlign w:val="center"/>
          </w:tcPr>
          <w:p w14:paraId="64EB406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尿液</w:t>
            </w:r>
          </w:p>
        </w:tc>
        <w:tc>
          <w:tcPr>
            <w:tcW w:w="1313" w:type="dxa"/>
            <w:shd w:val="clear" w:color="auto" w:fill="auto"/>
            <w:vAlign w:val="center"/>
          </w:tcPr>
          <w:p w14:paraId="3C836C7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气相质谱分析</w:t>
            </w:r>
          </w:p>
        </w:tc>
        <w:tc>
          <w:tcPr>
            <w:tcW w:w="6862" w:type="dxa"/>
            <w:shd w:val="clear" w:color="auto" w:fill="auto"/>
            <w:vAlign w:val="center"/>
          </w:tcPr>
          <w:p w14:paraId="6128F1B6">
            <w:pPr>
              <w:jc w:val="center"/>
              <w:rPr>
                <w:rFonts w:hint="eastAsia" w:ascii="Arial" w:hAnsi="Arial" w:eastAsia="宋体"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45C9727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244.8</w:t>
            </w:r>
          </w:p>
        </w:tc>
        <w:tc>
          <w:tcPr>
            <w:tcW w:w="925" w:type="dxa"/>
            <w:shd w:val="clear" w:color="auto" w:fill="auto"/>
            <w:vAlign w:val="center"/>
          </w:tcPr>
          <w:p w14:paraId="5695EC24">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17</w:t>
            </w:r>
          </w:p>
        </w:tc>
        <w:tc>
          <w:tcPr>
            <w:tcW w:w="962" w:type="dxa"/>
            <w:shd w:val="clear" w:color="auto" w:fill="auto"/>
            <w:vAlign w:val="center"/>
          </w:tcPr>
          <w:p w14:paraId="3BB5D53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693E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071CE92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28</w:t>
            </w:r>
          </w:p>
        </w:tc>
        <w:tc>
          <w:tcPr>
            <w:tcW w:w="2137" w:type="dxa"/>
            <w:shd w:val="clear" w:color="auto" w:fill="auto"/>
            <w:vAlign w:val="center"/>
          </w:tcPr>
          <w:p w14:paraId="0938800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抗乙酰胆碱受体抗体</w:t>
            </w:r>
          </w:p>
        </w:tc>
        <w:tc>
          <w:tcPr>
            <w:tcW w:w="1100" w:type="dxa"/>
            <w:shd w:val="clear" w:color="auto" w:fill="auto"/>
            <w:vAlign w:val="center"/>
          </w:tcPr>
          <w:p w14:paraId="1633E06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6E1E352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eastAsia"/>
                <w:color w:val="auto"/>
                <w:highlight w:val="none"/>
              </w:rPr>
              <w:t>转染细胞法（CBA）</w:t>
            </w:r>
          </w:p>
        </w:tc>
        <w:tc>
          <w:tcPr>
            <w:tcW w:w="6862" w:type="dxa"/>
            <w:shd w:val="clear" w:color="auto" w:fill="auto"/>
            <w:vAlign w:val="center"/>
          </w:tcPr>
          <w:p w14:paraId="1804A1EB">
            <w:pPr>
              <w:jc w:val="center"/>
              <w:rPr>
                <w:rFonts w:hint="eastAsia" w:ascii="Arial" w:hAnsi="Arial" w:eastAsia="宋体"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2C4FE8A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240</w:t>
            </w:r>
          </w:p>
        </w:tc>
        <w:tc>
          <w:tcPr>
            <w:tcW w:w="925" w:type="dxa"/>
            <w:shd w:val="clear" w:color="auto" w:fill="auto"/>
            <w:vAlign w:val="center"/>
          </w:tcPr>
          <w:p w14:paraId="6210DA02">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15</w:t>
            </w:r>
          </w:p>
        </w:tc>
        <w:tc>
          <w:tcPr>
            <w:tcW w:w="962" w:type="dxa"/>
            <w:shd w:val="clear" w:color="auto" w:fill="auto"/>
            <w:vAlign w:val="center"/>
          </w:tcPr>
          <w:p w14:paraId="7F25766B">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58A8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269A41F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29</w:t>
            </w:r>
          </w:p>
        </w:tc>
        <w:tc>
          <w:tcPr>
            <w:tcW w:w="2137" w:type="dxa"/>
            <w:shd w:val="clear" w:color="auto" w:fill="auto"/>
            <w:vAlign w:val="center"/>
          </w:tcPr>
          <w:p w14:paraId="6723A3C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抗MUSK抗体</w:t>
            </w:r>
          </w:p>
        </w:tc>
        <w:tc>
          <w:tcPr>
            <w:tcW w:w="1100" w:type="dxa"/>
            <w:shd w:val="clear" w:color="auto" w:fill="auto"/>
            <w:vAlign w:val="center"/>
          </w:tcPr>
          <w:p w14:paraId="5F93188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4812215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eastAsia"/>
                <w:color w:val="auto"/>
                <w:highlight w:val="none"/>
              </w:rPr>
              <w:t>转染细胞法（CBA）</w:t>
            </w:r>
          </w:p>
        </w:tc>
        <w:tc>
          <w:tcPr>
            <w:tcW w:w="6862" w:type="dxa"/>
            <w:shd w:val="clear" w:color="auto" w:fill="auto"/>
            <w:vAlign w:val="center"/>
          </w:tcPr>
          <w:p w14:paraId="47F1D6EE">
            <w:pPr>
              <w:jc w:val="center"/>
              <w:rPr>
                <w:rFonts w:hint="eastAsia" w:ascii="Arial" w:hAnsi="Arial" w:eastAsia="宋体"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1ED8649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240</w:t>
            </w:r>
          </w:p>
        </w:tc>
        <w:tc>
          <w:tcPr>
            <w:tcW w:w="925" w:type="dxa"/>
            <w:shd w:val="clear" w:color="auto" w:fill="auto"/>
            <w:vAlign w:val="center"/>
          </w:tcPr>
          <w:p w14:paraId="765950AE">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w:t>
            </w:r>
          </w:p>
        </w:tc>
        <w:tc>
          <w:tcPr>
            <w:tcW w:w="962" w:type="dxa"/>
            <w:shd w:val="clear" w:color="auto" w:fill="auto"/>
            <w:vAlign w:val="center"/>
          </w:tcPr>
          <w:p w14:paraId="102F42AF">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F40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63" w:type="dxa"/>
            <w:shd w:val="clear" w:color="auto" w:fill="auto"/>
            <w:vAlign w:val="center"/>
          </w:tcPr>
          <w:p w14:paraId="206260C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w:t>
            </w:r>
          </w:p>
        </w:tc>
        <w:tc>
          <w:tcPr>
            <w:tcW w:w="2137" w:type="dxa"/>
            <w:shd w:val="clear" w:color="auto" w:fill="auto"/>
            <w:vAlign w:val="center"/>
          </w:tcPr>
          <w:p w14:paraId="1942DE7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寄生虫全套7项</w:t>
            </w:r>
          </w:p>
        </w:tc>
        <w:tc>
          <w:tcPr>
            <w:tcW w:w="1100" w:type="dxa"/>
            <w:shd w:val="clear" w:color="auto" w:fill="auto"/>
            <w:vAlign w:val="center"/>
          </w:tcPr>
          <w:p w14:paraId="6CBDAD0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20D84C2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ELISA</w:t>
            </w:r>
          </w:p>
        </w:tc>
        <w:tc>
          <w:tcPr>
            <w:tcW w:w="6862" w:type="dxa"/>
            <w:shd w:val="clear" w:color="auto" w:fill="auto"/>
            <w:vAlign w:val="center"/>
          </w:tcPr>
          <w:p w14:paraId="15FA045C">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▲包括但不限于以下项目：肺吸虫IgG抗体、日本血吸虫IgG抗体、猪囊尾蚴IgG抗体、包虫IgG抗体、裂头蚴IgG抗体、广州管圆线虫IgG抗体</w:t>
            </w:r>
          </w:p>
        </w:tc>
        <w:tc>
          <w:tcPr>
            <w:tcW w:w="1413" w:type="dxa"/>
            <w:shd w:val="clear" w:color="auto" w:fill="auto"/>
            <w:vAlign w:val="center"/>
          </w:tcPr>
          <w:p w14:paraId="3CC4C20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54.6</w:t>
            </w:r>
          </w:p>
        </w:tc>
        <w:tc>
          <w:tcPr>
            <w:tcW w:w="925" w:type="dxa"/>
            <w:shd w:val="clear" w:color="auto" w:fill="auto"/>
            <w:vAlign w:val="center"/>
          </w:tcPr>
          <w:p w14:paraId="661FCA39">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32</w:t>
            </w:r>
          </w:p>
        </w:tc>
        <w:tc>
          <w:tcPr>
            <w:tcW w:w="962" w:type="dxa"/>
            <w:shd w:val="clear" w:color="auto" w:fill="auto"/>
            <w:vAlign w:val="center"/>
          </w:tcPr>
          <w:p w14:paraId="30A1C5FA">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34E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63" w:type="dxa"/>
            <w:shd w:val="clear" w:color="auto" w:fill="auto"/>
            <w:vAlign w:val="center"/>
          </w:tcPr>
          <w:p w14:paraId="0FA0E7B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31</w:t>
            </w:r>
          </w:p>
        </w:tc>
        <w:tc>
          <w:tcPr>
            <w:tcW w:w="2137" w:type="dxa"/>
            <w:shd w:val="clear" w:color="auto" w:fill="auto"/>
            <w:vAlign w:val="center"/>
          </w:tcPr>
          <w:p w14:paraId="0ED2361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红细胞渗透脆性试验</w:t>
            </w:r>
          </w:p>
        </w:tc>
        <w:tc>
          <w:tcPr>
            <w:tcW w:w="1100" w:type="dxa"/>
            <w:shd w:val="clear" w:color="auto" w:fill="auto"/>
            <w:vAlign w:val="center"/>
          </w:tcPr>
          <w:p w14:paraId="2CB5754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2DF0138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ELISA</w:t>
            </w:r>
          </w:p>
        </w:tc>
        <w:tc>
          <w:tcPr>
            <w:tcW w:w="6862" w:type="dxa"/>
            <w:shd w:val="clear" w:color="auto" w:fill="auto"/>
            <w:vAlign w:val="center"/>
          </w:tcPr>
          <w:p w14:paraId="2789821D">
            <w:pPr>
              <w:jc w:val="center"/>
              <w:rPr>
                <w:rFonts w:hint="eastAsia" w:ascii="Arial" w:hAnsi="Arial" w:eastAsia="宋体"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2130289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4.45</w:t>
            </w:r>
          </w:p>
        </w:tc>
        <w:tc>
          <w:tcPr>
            <w:tcW w:w="925" w:type="dxa"/>
            <w:shd w:val="clear" w:color="auto" w:fill="auto"/>
            <w:vAlign w:val="center"/>
          </w:tcPr>
          <w:p w14:paraId="22D7F3DE">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3237AACD">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407F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563" w:type="dxa"/>
            <w:shd w:val="clear" w:color="auto" w:fill="auto"/>
            <w:vAlign w:val="center"/>
          </w:tcPr>
          <w:p w14:paraId="1D60CFD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32</w:t>
            </w:r>
          </w:p>
        </w:tc>
        <w:tc>
          <w:tcPr>
            <w:tcW w:w="2137" w:type="dxa"/>
            <w:shd w:val="clear" w:color="auto" w:fill="auto"/>
            <w:vAlign w:val="center"/>
          </w:tcPr>
          <w:p w14:paraId="62919E1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24小时尿游离甲氧基肾上腺素类似物</w:t>
            </w:r>
          </w:p>
        </w:tc>
        <w:tc>
          <w:tcPr>
            <w:tcW w:w="1100" w:type="dxa"/>
            <w:shd w:val="clear" w:color="auto" w:fill="auto"/>
            <w:vAlign w:val="center"/>
          </w:tcPr>
          <w:p w14:paraId="32FDEAA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尿</w:t>
            </w:r>
          </w:p>
        </w:tc>
        <w:tc>
          <w:tcPr>
            <w:tcW w:w="1313" w:type="dxa"/>
            <w:shd w:val="clear" w:color="auto" w:fill="auto"/>
            <w:vAlign w:val="center"/>
          </w:tcPr>
          <w:p w14:paraId="1C53671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高效液相色谱质谱法(LC-MS/MS）</w:t>
            </w:r>
          </w:p>
        </w:tc>
        <w:tc>
          <w:tcPr>
            <w:tcW w:w="6862" w:type="dxa"/>
            <w:shd w:val="clear" w:color="auto" w:fill="auto"/>
            <w:vAlign w:val="center"/>
          </w:tcPr>
          <w:p w14:paraId="6466426B">
            <w:pPr>
              <w:jc w:val="center"/>
              <w:rPr>
                <w:rFonts w:hint="eastAsia" w:ascii="Arial" w:hAnsi="Arial" w:eastAsia="宋体"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4109260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137</w:t>
            </w:r>
          </w:p>
        </w:tc>
        <w:tc>
          <w:tcPr>
            <w:tcW w:w="925" w:type="dxa"/>
            <w:shd w:val="clear" w:color="auto" w:fill="auto"/>
            <w:vAlign w:val="center"/>
          </w:tcPr>
          <w:p w14:paraId="4F901F78">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60</w:t>
            </w:r>
          </w:p>
        </w:tc>
        <w:tc>
          <w:tcPr>
            <w:tcW w:w="962" w:type="dxa"/>
            <w:shd w:val="clear" w:color="auto" w:fill="auto"/>
            <w:vAlign w:val="center"/>
          </w:tcPr>
          <w:p w14:paraId="5E82E826">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53A7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563" w:type="dxa"/>
            <w:shd w:val="clear" w:color="auto" w:fill="auto"/>
            <w:vAlign w:val="center"/>
          </w:tcPr>
          <w:p w14:paraId="09524D4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33</w:t>
            </w:r>
          </w:p>
        </w:tc>
        <w:tc>
          <w:tcPr>
            <w:tcW w:w="2137" w:type="dxa"/>
            <w:shd w:val="clear" w:color="auto" w:fill="auto"/>
            <w:vAlign w:val="center"/>
          </w:tcPr>
          <w:p w14:paraId="6F44332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HTLVⅠ/Ⅱ（人类嗜T细胞病毒）</w:t>
            </w:r>
          </w:p>
        </w:tc>
        <w:tc>
          <w:tcPr>
            <w:tcW w:w="1100" w:type="dxa"/>
            <w:shd w:val="clear" w:color="auto" w:fill="auto"/>
            <w:vAlign w:val="center"/>
          </w:tcPr>
          <w:p w14:paraId="2910CC0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01991C65">
            <w:pPr>
              <w:jc w:val="center"/>
              <w:rPr>
                <w:rFonts w:hint="default" w:ascii="Arial" w:hAnsi="Arial" w:eastAsia="宋体" w:cs="Arial"/>
                <w:i w:val="0"/>
                <w:iCs w:val="0"/>
                <w:color w:val="auto"/>
                <w:sz w:val="21"/>
                <w:szCs w:val="21"/>
                <w:highlight w:val="none"/>
                <w:u w:val="none"/>
              </w:rPr>
            </w:pPr>
            <w:r>
              <w:rPr>
                <w:rFonts w:hint="eastAsia"/>
                <w:color w:val="auto"/>
                <w:highlight w:val="none"/>
              </w:rPr>
              <w:t>免疫印迹法</w:t>
            </w:r>
          </w:p>
        </w:tc>
        <w:tc>
          <w:tcPr>
            <w:tcW w:w="6862" w:type="dxa"/>
            <w:shd w:val="clear" w:color="auto" w:fill="auto"/>
            <w:vAlign w:val="center"/>
          </w:tcPr>
          <w:p w14:paraId="6F44A9C7">
            <w:pPr>
              <w:jc w:val="center"/>
              <w:rPr>
                <w:rFonts w:hint="eastAsia" w:ascii="Arial" w:hAnsi="Arial" w:eastAsia="宋体"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5A5B15D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80</w:t>
            </w:r>
          </w:p>
        </w:tc>
        <w:tc>
          <w:tcPr>
            <w:tcW w:w="925" w:type="dxa"/>
            <w:shd w:val="clear" w:color="auto" w:fill="auto"/>
            <w:vAlign w:val="center"/>
          </w:tcPr>
          <w:p w14:paraId="2E144E12">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06226884">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4FC2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1D86353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34</w:t>
            </w:r>
          </w:p>
        </w:tc>
        <w:tc>
          <w:tcPr>
            <w:tcW w:w="2137" w:type="dxa"/>
            <w:shd w:val="clear" w:color="auto" w:fill="auto"/>
            <w:vAlign w:val="center"/>
          </w:tcPr>
          <w:p w14:paraId="2C4B89A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血浆甲氧基肾上腺素类物质（三项）</w:t>
            </w:r>
          </w:p>
        </w:tc>
        <w:tc>
          <w:tcPr>
            <w:tcW w:w="1100" w:type="dxa"/>
            <w:shd w:val="clear" w:color="auto" w:fill="auto"/>
            <w:vAlign w:val="center"/>
          </w:tcPr>
          <w:p w14:paraId="2EB4910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21BFAEB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放射免疫法</w:t>
            </w:r>
          </w:p>
        </w:tc>
        <w:tc>
          <w:tcPr>
            <w:tcW w:w="6862" w:type="dxa"/>
            <w:shd w:val="clear" w:color="auto" w:fill="auto"/>
            <w:vAlign w:val="center"/>
          </w:tcPr>
          <w:p w14:paraId="192F2BED">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▲包括但不限于以下项目：MN,NMN,3-MT</w:t>
            </w:r>
          </w:p>
        </w:tc>
        <w:tc>
          <w:tcPr>
            <w:tcW w:w="1413" w:type="dxa"/>
            <w:shd w:val="clear" w:color="auto" w:fill="auto"/>
            <w:vAlign w:val="center"/>
          </w:tcPr>
          <w:p w14:paraId="46B251B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137</w:t>
            </w:r>
          </w:p>
        </w:tc>
        <w:tc>
          <w:tcPr>
            <w:tcW w:w="925" w:type="dxa"/>
            <w:shd w:val="clear" w:color="auto" w:fill="auto"/>
            <w:vAlign w:val="center"/>
          </w:tcPr>
          <w:p w14:paraId="798D42F7">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83</w:t>
            </w:r>
          </w:p>
        </w:tc>
        <w:tc>
          <w:tcPr>
            <w:tcW w:w="962" w:type="dxa"/>
            <w:shd w:val="clear" w:color="auto" w:fill="auto"/>
            <w:vAlign w:val="center"/>
          </w:tcPr>
          <w:p w14:paraId="3EB8F85A">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7988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563" w:type="dxa"/>
            <w:shd w:val="clear" w:color="auto" w:fill="auto"/>
            <w:vAlign w:val="center"/>
          </w:tcPr>
          <w:p w14:paraId="3FBF18F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35</w:t>
            </w:r>
          </w:p>
        </w:tc>
        <w:tc>
          <w:tcPr>
            <w:tcW w:w="2137" w:type="dxa"/>
            <w:shd w:val="clear" w:color="auto" w:fill="auto"/>
            <w:vAlign w:val="center"/>
          </w:tcPr>
          <w:p w14:paraId="776FFEF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24h尿液游离甲氧基肾上腺素类物质</w:t>
            </w:r>
          </w:p>
        </w:tc>
        <w:tc>
          <w:tcPr>
            <w:tcW w:w="1100" w:type="dxa"/>
            <w:shd w:val="clear" w:color="auto" w:fill="auto"/>
            <w:vAlign w:val="center"/>
          </w:tcPr>
          <w:p w14:paraId="650A87B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24小时尿</w:t>
            </w:r>
          </w:p>
        </w:tc>
        <w:tc>
          <w:tcPr>
            <w:tcW w:w="1313" w:type="dxa"/>
            <w:shd w:val="clear" w:color="auto" w:fill="auto"/>
            <w:vAlign w:val="center"/>
          </w:tcPr>
          <w:p w14:paraId="42DBCF5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放射免疫法</w:t>
            </w:r>
          </w:p>
        </w:tc>
        <w:tc>
          <w:tcPr>
            <w:tcW w:w="6862" w:type="dxa"/>
            <w:shd w:val="clear" w:color="auto" w:fill="auto"/>
            <w:vAlign w:val="center"/>
          </w:tcPr>
          <w:p w14:paraId="3DDF91A8">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▲包括但不限于以下项目：甲氧基肾上腺素含量、甲氧基去甲肾上腺素含量、3-甲氧基酪胺含量、4小时尿量</w:t>
            </w:r>
          </w:p>
        </w:tc>
        <w:tc>
          <w:tcPr>
            <w:tcW w:w="1413" w:type="dxa"/>
            <w:shd w:val="clear" w:color="auto" w:fill="auto"/>
            <w:vAlign w:val="center"/>
          </w:tcPr>
          <w:p w14:paraId="53BEDF7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137</w:t>
            </w:r>
          </w:p>
        </w:tc>
        <w:tc>
          <w:tcPr>
            <w:tcW w:w="925" w:type="dxa"/>
            <w:shd w:val="clear" w:color="auto" w:fill="auto"/>
            <w:vAlign w:val="center"/>
          </w:tcPr>
          <w:p w14:paraId="1E15DB94">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33</w:t>
            </w:r>
          </w:p>
        </w:tc>
        <w:tc>
          <w:tcPr>
            <w:tcW w:w="962" w:type="dxa"/>
            <w:shd w:val="clear" w:color="auto" w:fill="auto"/>
            <w:vAlign w:val="center"/>
          </w:tcPr>
          <w:p w14:paraId="1CD03687">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5316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27F482A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36</w:t>
            </w:r>
          </w:p>
        </w:tc>
        <w:tc>
          <w:tcPr>
            <w:tcW w:w="2137" w:type="dxa"/>
            <w:shd w:val="clear" w:color="auto" w:fill="auto"/>
            <w:vAlign w:val="center"/>
          </w:tcPr>
          <w:p w14:paraId="59F0626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17-羟/17-酮/VMA</w:t>
            </w:r>
          </w:p>
        </w:tc>
        <w:tc>
          <w:tcPr>
            <w:tcW w:w="1100" w:type="dxa"/>
            <w:shd w:val="clear" w:color="auto" w:fill="auto"/>
            <w:vAlign w:val="center"/>
          </w:tcPr>
          <w:p w14:paraId="3D4F6CD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2A9769B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酶联免疫法</w:t>
            </w:r>
          </w:p>
        </w:tc>
        <w:tc>
          <w:tcPr>
            <w:tcW w:w="6862" w:type="dxa"/>
            <w:shd w:val="clear" w:color="auto" w:fill="auto"/>
            <w:vAlign w:val="center"/>
          </w:tcPr>
          <w:p w14:paraId="3E1FA00D">
            <w:pPr>
              <w:jc w:val="center"/>
              <w:rPr>
                <w:rFonts w:hint="eastAsia" w:ascii="Arial" w:hAnsi="Arial" w:eastAsia="宋体"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3199781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17.5</w:t>
            </w:r>
          </w:p>
        </w:tc>
        <w:tc>
          <w:tcPr>
            <w:tcW w:w="925" w:type="dxa"/>
            <w:shd w:val="clear" w:color="auto" w:fill="auto"/>
            <w:vAlign w:val="center"/>
          </w:tcPr>
          <w:p w14:paraId="67E82C01">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1896FD17">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3142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63" w:type="dxa"/>
            <w:shd w:val="clear" w:color="auto" w:fill="auto"/>
            <w:vAlign w:val="center"/>
          </w:tcPr>
          <w:p w14:paraId="1C658B1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37</w:t>
            </w:r>
          </w:p>
        </w:tc>
        <w:tc>
          <w:tcPr>
            <w:tcW w:w="2137" w:type="dxa"/>
            <w:shd w:val="clear" w:color="auto" w:fill="auto"/>
            <w:vAlign w:val="center"/>
          </w:tcPr>
          <w:p w14:paraId="51958AD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脑脊液寡克隆区带分析</w:t>
            </w:r>
          </w:p>
        </w:tc>
        <w:tc>
          <w:tcPr>
            <w:tcW w:w="1100" w:type="dxa"/>
            <w:shd w:val="clear" w:color="auto" w:fill="auto"/>
            <w:vAlign w:val="center"/>
          </w:tcPr>
          <w:p w14:paraId="6B3FCF3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外周血/脑脊液</w:t>
            </w:r>
          </w:p>
        </w:tc>
        <w:tc>
          <w:tcPr>
            <w:tcW w:w="1313" w:type="dxa"/>
            <w:shd w:val="clear" w:color="auto" w:fill="auto"/>
            <w:vAlign w:val="center"/>
          </w:tcPr>
          <w:p w14:paraId="22A99ADD">
            <w:pPr>
              <w:jc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sz w:val="21"/>
                <w:szCs w:val="21"/>
                <w:highlight w:val="none"/>
                <w:u w:val="none"/>
              </w:rPr>
              <w:t>等电点电泳法</w:t>
            </w:r>
          </w:p>
        </w:tc>
        <w:tc>
          <w:tcPr>
            <w:tcW w:w="6862" w:type="dxa"/>
            <w:shd w:val="clear" w:color="auto" w:fill="auto"/>
            <w:vAlign w:val="center"/>
          </w:tcPr>
          <w:p w14:paraId="7487437F">
            <w:pPr>
              <w:jc w:val="center"/>
              <w:rPr>
                <w:rFonts w:hint="eastAsia" w:ascii="Arial" w:hAnsi="Arial" w:eastAsia="宋体"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3A49072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46</w:t>
            </w:r>
          </w:p>
        </w:tc>
        <w:tc>
          <w:tcPr>
            <w:tcW w:w="925" w:type="dxa"/>
            <w:shd w:val="clear" w:color="auto" w:fill="auto"/>
            <w:vAlign w:val="center"/>
          </w:tcPr>
          <w:p w14:paraId="04D96B43">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82</w:t>
            </w:r>
          </w:p>
        </w:tc>
        <w:tc>
          <w:tcPr>
            <w:tcW w:w="962" w:type="dxa"/>
            <w:shd w:val="clear" w:color="auto" w:fill="auto"/>
            <w:vAlign w:val="center"/>
          </w:tcPr>
          <w:p w14:paraId="386CAC1C">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4B2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63" w:type="dxa"/>
            <w:shd w:val="clear" w:color="auto" w:fill="auto"/>
            <w:vAlign w:val="center"/>
          </w:tcPr>
          <w:p w14:paraId="60936EC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38</w:t>
            </w:r>
          </w:p>
        </w:tc>
        <w:tc>
          <w:tcPr>
            <w:tcW w:w="2137" w:type="dxa"/>
            <w:shd w:val="clear" w:color="auto" w:fill="auto"/>
            <w:vAlign w:val="center"/>
          </w:tcPr>
          <w:p w14:paraId="7B35AB2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病毒性脑炎七项</w:t>
            </w:r>
          </w:p>
        </w:tc>
        <w:tc>
          <w:tcPr>
            <w:tcW w:w="1100" w:type="dxa"/>
            <w:shd w:val="clear" w:color="auto" w:fill="auto"/>
            <w:vAlign w:val="center"/>
          </w:tcPr>
          <w:p w14:paraId="6BD6925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外周血/脑脊液</w:t>
            </w:r>
          </w:p>
        </w:tc>
        <w:tc>
          <w:tcPr>
            <w:tcW w:w="1313" w:type="dxa"/>
            <w:shd w:val="clear" w:color="auto" w:fill="auto"/>
            <w:vAlign w:val="center"/>
          </w:tcPr>
          <w:p w14:paraId="0D0BB34D">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免疫印迹法</w:t>
            </w:r>
          </w:p>
        </w:tc>
        <w:tc>
          <w:tcPr>
            <w:tcW w:w="6862" w:type="dxa"/>
            <w:shd w:val="clear" w:color="auto" w:fill="auto"/>
            <w:vAlign w:val="center"/>
          </w:tcPr>
          <w:p w14:paraId="3EC362C7">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▲包括但不限于以下项目：肠道病毒EV、腺病毒、巨细胞病毒、单纯疱疹病毒I型、EB病毒、肠道病毒71型（EV71）、柯萨奇病毒（CA16）核酸检测</w:t>
            </w:r>
          </w:p>
        </w:tc>
        <w:tc>
          <w:tcPr>
            <w:tcW w:w="1413" w:type="dxa"/>
            <w:shd w:val="clear" w:color="auto" w:fill="auto"/>
            <w:vAlign w:val="center"/>
          </w:tcPr>
          <w:p w14:paraId="40E46D5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350</w:t>
            </w:r>
          </w:p>
        </w:tc>
        <w:tc>
          <w:tcPr>
            <w:tcW w:w="925" w:type="dxa"/>
            <w:shd w:val="clear" w:color="auto" w:fill="auto"/>
            <w:vAlign w:val="center"/>
          </w:tcPr>
          <w:p w14:paraId="7C9547C6">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53F32F87">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013B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563" w:type="dxa"/>
            <w:shd w:val="clear" w:color="auto" w:fill="auto"/>
            <w:vAlign w:val="center"/>
          </w:tcPr>
          <w:p w14:paraId="120FCCB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39</w:t>
            </w:r>
          </w:p>
        </w:tc>
        <w:tc>
          <w:tcPr>
            <w:tcW w:w="2137" w:type="dxa"/>
            <w:shd w:val="clear" w:color="auto" w:fill="auto"/>
            <w:vAlign w:val="center"/>
          </w:tcPr>
          <w:p w14:paraId="69B6C27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脑炎鉴别诊断综合套餐 15 项</w:t>
            </w:r>
          </w:p>
        </w:tc>
        <w:tc>
          <w:tcPr>
            <w:tcW w:w="1100" w:type="dxa"/>
            <w:shd w:val="clear" w:color="auto" w:fill="auto"/>
            <w:vAlign w:val="center"/>
          </w:tcPr>
          <w:p w14:paraId="3F95459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外周血/脑脊液</w:t>
            </w:r>
          </w:p>
        </w:tc>
        <w:tc>
          <w:tcPr>
            <w:tcW w:w="1313" w:type="dxa"/>
            <w:shd w:val="clear" w:color="auto" w:fill="auto"/>
            <w:vAlign w:val="center"/>
          </w:tcPr>
          <w:p w14:paraId="51D9B479">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转染细胞法</w:t>
            </w:r>
          </w:p>
        </w:tc>
        <w:tc>
          <w:tcPr>
            <w:tcW w:w="6862" w:type="dxa"/>
            <w:shd w:val="clear" w:color="auto" w:fill="auto"/>
            <w:vAlign w:val="center"/>
          </w:tcPr>
          <w:p w14:paraId="7A071D81">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▲包括但不限于以下项目：NMDAR、AMPA1、AMPA2、LGI1、CASPR2、GABAB、GABAA、DPPX 、mGluR1、mGluR5、Homer3、GAD65、AQP4、MOG、GFAP</w:t>
            </w:r>
          </w:p>
        </w:tc>
        <w:tc>
          <w:tcPr>
            <w:tcW w:w="1413" w:type="dxa"/>
            <w:shd w:val="clear" w:color="auto" w:fill="auto"/>
            <w:vAlign w:val="center"/>
          </w:tcPr>
          <w:p w14:paraId="7A8F039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1290</w:t>
            </w:r>
          </w:p>
        </w:tc>
        <w:tc>
          <w:tcPr>
            <w:tcW w:w="925" w:type="dxa"/>
            <w:shd w:val="clear" w:color="auto" w:fill="auto"/>
            <w:vAlign w:val="center"/>
          </w:tcPr>
          <w:p w14:paraId="7EA5489B">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16</w:t>
            </w:r>
          </w:p>
        </w:tc>
        <w:tc>
          <w:tcPr>
            <w:tcW w:w="962" w:type="dxa"/>
            <w:shd w:val="clear" w:color="auto" w:fill="auto"/>
            <w:vAlign w:val="center"/>
          </w:tcPr>
          <w:p w14:paraId="0B18239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3B4A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563" w:type="dxa"/>
            <w:shd w:val="clear" w:color="auto" w:fill="auto"/>
            <w:vAlign w:val="center"/>
          </w:tcPr>
          <w:p w14:paraId="64FDDBE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40</w:t>
            </w:r>
          </w:p>
        </w:tc>
        <w:tc>
          <w:tcPr>
            <w:tcW w:w="2137" w:type="dxa"/>
            <w:shd w:val="clear" w:color="auto" w:fill="auto"/>
            <w:vAlign w:val="center"/>
          </w:tcPr>
          <w:p w14:paraId="5D938D7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自身免疫性脑炎鉴别诊断 3818N</w:t>
            </w:r>
          </w:p>
        </w:tc>
        <w:tc>
          <w:tcPr>
            <w:tcW w:w="1100" w:type="dxa"/>
            <w:shd w:val="clear" w:color="auto" w:fill="auto"/>
            <w:vAlign w:val="center"/>
          </w:tcPr>
          <w:p w14:paraId="36A38CC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外周血/脑脊液</w:t>
            </w:r>
          </w:p>
        </w:tc>
        <w:tc>
          <w:tcPr>
            <w:tcW w:w="1313" w:type="dxa"/>
            <w:shd w:val="clear" w:color="auto" w:fill="auto"/>
            <w:vAlign w:val="center"/>
          </w:tcPr>
          <w:p w14:paraId="4BBC8036">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CBA+TBA、双标本</w:t>
            </w:r>
          </w:p>
        </w:tc>
        <w:tc>
          <w:tcPr>
            <w:tcW w:w="6862" w:type="dxa"/>
            <w:shd w:val="clear" w:color="auto" w:fill="auto"/>
            <w:vAlign w:val="center"/>
          </w:tcPr>
          <w:p w14:paraId="7946D13F">
            <w:pPr>
              <w:jc w:val="center"/>
              <w:rPr>
                <w:rFonts w:hint="eastAsia" w:ascii="Arial" w:hAnsi="Arial" w:eastAsia="宋体"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33C57D8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2365</w:t>
            </w:r>
          </w:p>
        </w:tc>
        <w:tc>
          <w:tcPr>
            <w:tcW w:w="925" w:type="dxa"/>
            <w:shd w:val="clear" w:color="auto" w:fill="auto"/>
            <w:vAlign w:val="center"/>
          </w:tcPr>
          <w:p w14:paraId="754C7D4D">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115</w:t>
            </w:r>
          </w:p>
        </w:tc>
        <w:tc>
          <w:tcPr>
            <w:tcW w:w="962" w:type="dxa"/>
            <w:shd w:val="clear" w:color="auto" w:fill="auto"/>
            <w:vAlign w:val="center"/>
          </w:tcPr>
          <w:p w14:paraId="31FEF7C6">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791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2FFDC58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41</w:t>
            </w:r>
          </w:p>
        </w:tc>
        <w:tc>
          <w:tcPr>
            <w:tcW w:w="2137" w:type="dxa"/>
            <w:shd w:val="clear" w:color="auto" w:fill="auto"/>
            <w:vAlign w:val="center"/>
          </w:tcPr>
          <w:p w14:paraId="0BDC2C1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自身免疫性脑炎抗体 6 项</w:t>
            </w:r>
          </w:p>
        </w:tc>
        <w:tc>
          <w:tcPr>
            <w:tcW w:w="1100" w:type="dxa"/>
            <w:shd w:val="clear" w:color="auto" w:fill="auto"/>
            <w:vAlign w:val="center"/>
          </w:tcPr>
          <w:p w14:paraId="000BBF3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外周血/脑脊液</w:t>
            </w:r>
          </w:p>
        </w:tc>
        <w:tc>
          <w:tcPr>
            <w:tcW w:w="1313" w:type="dxa"/>
            <w:shd w:val="clear" w:color="auto" w:fill="auto"/>
            <w:vAlign w:val="center"/>
          </w:tcPr>
          <w:p w14:paraId="11B1B201">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转染细胞法</w:t>
            </w:r>
          </w:p>
        </w:tc>
        <w:tc>
          <w:tcPr>
            <w:tcW w:w="6862" w:type="dxa"/>
            <w:shd w:val="clear" w:color="auto" w:fill="auto"/>
            <w:vAlign w:val="center"/>
          </w:tcPr>
          <w:p w14:paraId="57D91D5F">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▲包括但不限于以下项目：NMDAR、AMPA1、AMPA2、LGI1、CASPR2、GABAB</w:t>
            </w:r>
          </w:p>
        </w:tc>
        <w:tc>
          <w:tcPr>
            <w:tcW w:w="1413" w:type="dxa"/>
            <w:shd w:val="clear" w:color="auto" w:fill="auto"/>
            <w:vAlign w:val="center"/>
          </w:tcPr>
          <w:p w14:paraId="25FAFCE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500</w:t>
            </w:r>
          </w:p>
        </w:tc>
        <w:tc>
          <w:tcPr>
            <w:tcW w:w="925" w:type="dxa"/>
            <w:shd w:val="clear" w:color="auto" w:fill="auto"/>
            <w:vAlign w:val="center"/>
          </w:tcPr>
          <w:p w14:paraId="61122C68">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22</w:t>
            </w:r>
          </w:p>
        </w:tc>
        <w:tc>
          <w:tcPr>
            <w:tcW w:w="962" w:type="dxa"/>
            <w:shd w:val="clear" w:color="auto" w:fill="auto"/>
            <w:vAlign w:val="center"/>
          </w:tcPr>
          <w:p w14:paraId="0E3E13CF">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349A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107F4EF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42</w:t>
            </w:r>
          </w:p>
        </w:tc>
        <w:tc>
          <w:tcPr>
            <w:tcW w:w="2137" w:type="dxa"/>
            <w:shd w:val="clear" w:color="auto" w:fill="auto"/>
            <w:vAlign w:val="center"/>
          </w:tcPr>
          <w:p w14:paraId="4505F9B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副肿瘤综合征/脑炎/小脑变性 14 项</w:t>
            </w:r>
          </w:p>
        </w:tc>
        <w:tc>
          <w:tcPr>
            <w:tcW w:w="1100" w:type="dxa"/>
            <w:shd w:val="clear" w:color="auto" w:fill="auto"/>
            <w:vAlign w:val="center"/>
          </w:tcPr>
          <w:p w14:paraId="145A158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4C733007">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半定量（CBA 法+TBA 法）</w:t>
            </w:r>
          </w:p>
        </w:tc>
        <w:tc>
          <w:tcPr>
            <w:tcW w:w="6862" w:type="dxa"/>
            <w:shd w:val="clear" w:color="auto" w:fill="auto"/>
            <w:vAlign w:val="center"/>
          </w:tcPr>
          <w:p w14:paraId="6E470D08">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▲包括但不限于以下项目：GAD65、Zic4、Tr、SOX1、Ma2、Ma1、Amphiphysin、CV2、Ri、Yo、Hu、PKCγ、Titin、Recoverin</w:t>
            </w:r>
          </w:p>
        </w:tc>
        <w:tc>
          <w:tcPr>
            <w:tcW w:w="1413" w:type="dxa"/>
            <w:shd w:val="clear" w:color="auto" w:fill="auto"/>
            <w:vAlign w:val="center"/>
          </w:tcPr>
          <w:p w14:paraId="2B48D6C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600</w:t>
            </w:r>
          </w:p>
        </w:tc>
        <w:tc>
          <w:tcPr>
            <w:tcW w:w="925" w:type="dxa"/>
            <w:shd w:val="clear" w:color="auto" w:fill="auto"/>
            <w:vAlign w:val="center"/>
          </w:tcPr>
          <w:p w14:paraId="34048BD1">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17</w:t>
            </w:r>
          </w:p>
        </w:tc>
        <w:tc>
          <w:tcPr>
            <w:tcW w:w="962" w:type="dxa"/>
            <w:shd w:val="clear" w:color="auto" w:fill="auto"/>
            <w:vAlign w:val="center"/>
          </w:tcPr>
          <w:p w14:paraId="0BA99474">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48E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63" w:type="dxa"/>
            <w:shd w:val="clear" w:color="auto" w:fill="auto"/>
            <w:vAlign w:val="center"/>
          </w:tcPr>
          <w:p w14:paraId="547CC71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43</w:t>
            </w:r>
          </w:p>
        </w:tc>
        <w:tc>
          <w:tcPr>
            <w:tcW w:w="2137" w:type="dxa"/>
            <w:shd w:val="clear" w:color="auto" w:fill="auto"/>
            <w:vAlign w:val="center"/>
          </w:tcPr>
          <w:p w14:paraId="0489AB60">
            <w:pPr>
              <w:keepNext w:val="0"/>
              <w:keepLines w:val="0"/>
              <w:widowControl/>
              <w:suppressLineNumbers w:val="0"/>
              <w:jc w:val="center"/>
              <w:textAlignment w:val="top"/>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副肿瘤相关脊髓病</w:t>
            </w:r>
          </w:p>
        </w:tc>
        <w:tc>
          <w:tcPr>
            <w:tcW w:w="1100" w:type="dxa"/>
            <w:shd w:val="clear" w:color="auto" w:fill="auto"/>
            <w:vAlign w:val="center"/>
          </w:tcPr>
          <w:p w14:paraId="7BB4EF0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691FF2FB">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color w:val="auto"/>
                <w:highlight w:val="none"/>
              </w:rPr>
              <w:t>转染细胞法（CBA）</w:t>
            </w:r>
          </w:p>
        </w:tc>
        <w:tc>
          <w:tcPr>
            <w:tcW w:w="6862" w:type="dxa"/>
            <w:shd w:val="clear" w:color="auto" w:fill="auto"/>
            <w:vAlign w:val="center"/>
          </w:tcPr>
          <w:p w14:paraId="6065FA1A">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▲包括但不限于以下项目：Hu、Yo、Ri、CV2(CRMP5)、Amphiphysin、Ma1、Ma2、SOX1、Tr(DNER)、Zic4、Titin、Recoverin、PKCγ、GAD65</w:t>
            </w:r>
          </w:p>
        </w:tc>
        <w:tc>
          <w:tcPr>
            <w:tcW w:w="1413" w:type="dxa"/>
            <w:shd w:val="clear" w:color="auto" w:fill="auto"/>
            <w:vAlign w:val="center"/>
          </w:tcPr>
          <w:p w14:paraId="22DA13E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600</w:t>
            </w:r>
          </w:p>
        </w:tc>
        <w:tc>
          <w:tcPr>
            <w:tcW w:w="925" w:type="dxa"/>
            <w:shd w:val="clear" w:color="auto" w:fill="auto"/>
            <w:vAlign w:val="center"/>
          </w:tcPr>
          <w:p w14:paraId="3BD9CA28">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1AAC2AAD">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44C0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63" w:type="dxa"/>
            <w:shd w:val="clear" w:color="auto" w:fill="auto"/>
            <w:vAlign w:val="center"/>
          </w:tcPr>
          <w:p w14:paraId="47590DB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44</w:t>
            </w:r>
          </w:p>
        </w:tc>
        <w:tc>
          <w:tcPr>
            <w:tcW w:w="2137" w:type="dxa"/>
            <w:shd w:val="clear" w:color="auto" w:fill="auto"/>
            <w:vAlign w:val="center"/>
          </w:tcPr>
          <w:p w14:paraId="4F08740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神经丝轻链蛋白</w:t>
            </w:r>
          </w:p>
        </w:tc>
        <w:tc>
          <w:tcPr>
            <w:tcW w:w="1100" w:type="dxa"/>
            <w:shd w:val="clear" w:color="auto" w:fill="auto"/>
            <w:vAlign w:val="center"/>
          </w:tcPr>
          <w:p w14:paraId="29E255D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45662B06">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 xml:space="preserve"> 单分子免疫阵列分析</w:t>
            </w:r>
          </w:p>
        </w:tc>
        <w:tc>
          <w:tcPr>
            <w:tcW w:w="6862" w:type="dxa"/>
            <w:shd w:val="clear" w:color="auto" w:fill="auto"/>
            <w:vAlign w:val="center"/>
          </w:tcPr>
          <w:p w14:paraId="4F2874F5">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25A950C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300</w:t>
            </w:r>
          </w:p>
        </w:tc>
        <w:tc>
          <w:tcPr>
            <w:tcW w:w="925" w:type="dxa"/>
            <w:shd w:val="clear" w:color="auto" w:fill="auto"/>
            <w:vAlign w:val="center"/>
          </w:tcPr>
          <w:p w14:paraId="73B6FB51">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6F57B10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4955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595128B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45</w:t>
            </w:r>
          </w:p>
        </w:tc>
        <w:tc>
          <w:tcPr>
            <w:tcW w:w="2137" w:type="dxa"/>
            <w:shd w:val="clear" w:color="auto" w:fill="auto"/>
            <w:vAlign w:val="center"/>
          </w:tcPr>
          <w:p w14:paraId="36AFE64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阿尔茨海默病经典全套</w:t>
            </w:r>
          </w:p>
        </w:tc>
        <w:tc>
          <w:tcPr>
            <w:tcW w:w="1100" w:type="dxa"/>
            <w:shd w:val="clear" w:color="auto" w:fill="auto"/>
            <w:vAlign w:val="center"/>
          </w:tcPr>
          <w:p w14:paraId="50152FB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11A82164">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 xml:space="preserve"> 单分子免疫阵列分析</w:t>
            </w:r>
          </w:p>
        </w:tc>
        <w:tc>
          <w:tcPr>
            <w:tcW w:w="6862" w:type="dxa"/>
            <w:shd w:val="clear" w:color="auto" w:fill="auto"/>
            <w:vAlign w:val="center"/>
          </w:tcPr>
          <w:p w14:paraId="38F69FB2">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▲包括但不限于以下项目：脑脊液蛋白四项（Aβ1-40、Aβ1-42、Aβ42/40 比值、t-Tau、p-Tau）、ApoE基因分型、NfL</w:t>
            </w:r>
          </w:p>
        </w:tc>
        <w:tc>
          <w:tcPr>
            <w:tcW w:w="1413" w:type="dxa"/>
            <w:shd w:val="clear" w:color="auto" w:fill="auto"/>
            <w:vAlign w:val="center"/>
          </w:tcPr>
          <w:p w14:paraId="7D49340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1800</w:t>
            </w:r>
          </w:p>
        </w:tc>
        <w:tc>
          <w:tcPr>
            <w:tcW w:w="925" w:type="dxa"/>
            <w:shd w:val="clear" w:color="auto" w:fill="auto"/>
            <w:vAlign w:val="center"/>
          </w:tcPr>
          <w:p w14:paraId="028F3F8A">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29</w:t>
            </w:r>
          </w:p>
        </w:tc>
        <w:tc>
          <w:tcPr>
            <w:tcW w:w="962" w:type="dxa"/>
            <w:shd w:val="clear" w:color="auto" w:fill="auto"/>
            <w:vAlign w:val="center"/>
          </w:tcPr>
          <w:p w14:paraId="687F6B09">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53EF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563" w:type="dxa"/>
            <w:shd w:val="clear" w:color="auto" w:fill="auto"/>
            <w:vAlign w:val="center"/>
          </w:tcPr>
          <w:p w14:paraId="52AD9E5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46</w:t>
            </w:r>
          </w:p>
        </w:tc>
        <w:tc>
          <w:tcPr>
            <w:tcW w:w="2137" w:type="dxa"/>
            <w:shd w:val="clear" w:color="auto" w:fill="auto"/>
            <w:vAlign w:val="center"/>
          </w:tcPr>
          <w:p w14:paraId="3CEE676F">
            <w:pPr>
              <w:keepNext w:val="0"/>
              <w:keepLines w:val="0"/>
              <w:widowControl/>
              <w:suppressLineNumbers w:val="0"/>
              <w:jc w:val="center"/>
              <w:textAlignment w:val="top"/>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早期阿尔茨海默病初筛</w:t>
            </w:r>
          </w:p>
        </w:tc>
        <w:tc>
          <w:tcPr>
            <w:tcW w:w="1100" w:type="dxa"/>
            <w:shd w:val="clear" w:color="auto" w:fill="auto"/>
            <w:vAlign w:val="center"/>
          </w:tcPr>
          <w:p w14:paraId="62A760E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451FF39B">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6862" w:type="dxa"/>
            <w:shd w:val="clear" w:color="auto" w:fill="auto"/>
            <w:vAlign w:val="center"/>
          </w:tcPr>
          <w:p w14:paraId="26803B7A">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▲包括但不限于以下项目：神经丝蛋白AD7C-NTP、磷酸化Tau181蛋白（P-tau181）、苏氨酸181位磷酸化 Tau 蛋白（p-tau181)检测</w:t>
            </w:r>
          </w:p>
        </w:tc>
        <w:tc>
          <w:tcPr>
            <w:tcW w:w="1413" w:type="dxa"/>
            <w:shd w:val="clear" w:color="auto" w:fill="auto"/>
            <w:vAlign w:val="center"/>
          </w:tcPr>
          <w:p w14:paraId="011A6E3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700</w:t>
            </w:r>
          </w:p>
        </w:tc>
        <w:tc>
          <w:tcPr>
            <w:tcW w:w="925" w:type="dxa"/>
            <w:shd w:val="clear" w:color="auto" w:fill="auto"/>
            <w:vAlign w:val="center"/>
          </w:tcPr>
          <w:p w14:paraId="6133D22B">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500341F2">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2251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34FD0C9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47</w:t>
            </w:r>
          </w:p>
        </w:tc>
        <w:tc>
          <w:tcPr>
            <w:tcW w:w="2137" w:type="dxa"/>
            <w:shd w:val="clear" w:color="auto" w:fill="auto"/>
            <w:vAlign w:val="center"/>
          </w:tcPr>
          <w:p w14:paraId="23562F8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重症肌无力/ Lamber Eaton 肌无力 综合征</w:t>
            </w:r>
          </w:p>
        </w:tc>
        <w:tc>
          <w:tcPr>
            <w:tcW w:w="1100" w:type="dxa"/>
            <w:shd w:val="clear" w:color="auto" w:fill="auto"/>
            <w:vAlign w:val="center"/>
          </w:tcPr>
          <w:p w14:paraId="080FDE4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162765AD">
            <w:pPr>
              <w:jc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sz w:val="21"/>
                <w:szCs w:val="21"/>
                <w:highlight w:val="none"/>
                <w:u w:val="none"/>
              </w:rPr>
              <w:t>转染细胞法</w:t>
            </w:r>
          </w:p>
        </w:tc>
        <w:tc>
          <w:tcPr>
            <w:tcW w:w="6862" w:type="dxa"/>
            <w:shd w:val="clear" w:color="auto" w:fill="auto"/>
            <w:vAlign w:val="center"/>
          </w:tcPr>
          <w:p w14:paraId="2A392200">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▲包括但不限于以下项目：AChR、MuSK、Titin、RyR、LRP4、VGCC</w:t>
            </w:r>
          </w:p>
        </w:tc>
        <w:tc>
          <w:tcPr>
            <w:tcW w:w="1413" w:type="dxa"/>
            <w:shd w:val="clear" w:color="auto" w:fill="auto"/>
            <w:vAlign w:val="center"/>
          </w:tcPr>
          <w:p w14:paraId="6FB1CC1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1050</w:t>
            </w:r>
          </w:p>
        </w:tc>
        <w:tc>
          <w:tcPr>
            <w:tcW w:w="925" w:type="dxa"/>
            <w:shd w:val="clear" w:color="auto" w:fill="auto"/>
            <w:vAlign w:val="center"/>
          </w:tcPr>
          <w:p w14:paraId="3ACC709D">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70</w:t>
            </w:r>
          </w:p>
        </w:tc>
        <w:tc>
          <w:tcPr>
            <w:tcW w:w="962" w:type="dxa"/>
            <w:shd w:val="clear" w:color="auto" w:fill="auto"/>
            <w:vAlign w:val="center"/>
          </w:tcPr>
          <w:p w14:paraId="5F6043A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E35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trPr>
        <w:tc>
          <w:tcPr>
            <w:tcW w:w="563" w:type="dxa"/>
            <w:shd w:val="clear" w:color="auto" w:fill="auto"/>
            <w:vAlign w:val="center"/>
          </w:tcPr>
          <w:p w14:paraId="09C1348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48</w:t>
            </w:r>
          </w:p>
        </w:tc>
        <w:tc>
          <w:tcPr>
            <w:tcW w:w="2137" w:type="dxa"/>
            <w:shd w:val="clear" w:color="auto" w:fill="auto"/>
            <w:vAlign w:val="center"/>
          </w:tcPr>
          <w:p w14:paraId="2770CB30">
            <w:pPr>
              <w:keepNext w:val="0"/>
              <w:keepLines w:val="0"/>
              <w:widowControl/>
              <w:suppressLineNumbers w:val="0"/>
              <w:jc w:val="center"/>
              <w:textAlignment w:val="top"/>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肌炎谱 28 项（抗体均可做单项）</w:t>
            </w:r>
          </w:p>
        </w:tc>
        <w:tc>
          <w:tcPr>
            <w:tcW w:w="1100" w:type="dxa"/>
            <w:shd w:val="clear" w:color="auto" w:fill="auto"/>
            <w:vAlign w:val="center"/>
          </w:tcPr>
          <w:p w14:paraId="5EB44E0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54F81EA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半定量</w:t>
            </w:r>
          </w:p>
        </w:tc>
        <w:tc>
          <w:tcPr>
            <w:tcW w:w="6862" w:type="dxa"/>
            <w:shd w:val="clear" w:color="auto" w:fill="auto"/>
            <w:vAlign w:val="center"/>
          </w:tcPr>
          <w:p w14:paraId="6C9C386D">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▲包括但不限于以下项目：Jo-1、PL-7、PL-12、EJ、OJ、Zo、KS、Ha、Mi-2α、Mi-2β、TIF1-γ、NXP2、MDA5、SAE1、SAE2、HMGCR、SRP、cN1A、CENP-B、Scl-7、RNA-PIII、Th/To、NOR-90、Fibrillarin、Ku、PM-Scl75、PM-Scl100、Ro52</w:t>
            </w:r>
          </w:p>
        </w:tc>
        <w:tc>
          <w:tcPr>
            <w:tcW w:w="1413" w:type="dxa"/>
            <w:shd w:val="clear" w:color="auto" w:fill="auto"/>
            <w:vAlign w:val="center"/>
          </w:tcPr>
          <w:p w14:paraId="0D9761D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1134</w:t>
            </w:r>
          </w:p>
        </w:tc>
        <w:tc>
          <w:tcPr>
            <w:tcW w:w="925" w:type="dxa"/>
            <w:shd w:val="clear" w:color="auto" w:fill="auto"/>
            <w:vAlign w:val="center"/>
          </w:tcPr>
          <w:p w14:paraId="28FE3AE8">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101</w:t>
            </w:r>
          </w:p>
        </w:tc>
        <w:tc>
          <w:tcPr>
            <w:tcW w:w="962" w:type="dxa"/>
            <w:shd w:val="clear" w:color="auto" w:fill="auto"/>
            <w:vAlign w:val="center"/>
          </w:tcPr>
          <w:p w14:paraId="696DFDD0">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6F4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63" w:type="dxa"/>
            <w:shd w:val="clear" w:color="auto" w:fill="auto"/>
            <w:vAlign w:val="center"/>
          </w:tcPr>
          <w:p w14:paraId="6D9159F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49</w:t>
            </w:r>
          </w:p>
        </w:tc>
        <w:tc>
          <w:tcPr>
            <w:tcW w:w="2137" w:type="dxa"/>
            <w:shd w:val="clear" w:color="auto" w:fill="auto"/>
            <w:vAlign w:val="center"/>
          </w:tcPr>
          <w:p w14:paraId="503F92C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自身免疫性周围神经病 25 项</w:t>
            </w:r>
          </w:p>
        </w:tc>
        <w:tc>
          <w:tcPr>
            <w:tcW w:w="1100" w:type="dxa"/>
            <w:shd w:val="clear" w:color="auto" w:fill="auto"/>
            <w:vAlign w:val="center"/>
          </w:tcPr>
          <w:p w14:paraId="5FD780A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5D2138B6">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免疫斑点法</w:t>
            </w:r>
          </w:p>
        </w:tc>
        <w:tc>
          <w:tcPr>
            <w:tcW w:w="6862" w:type="dxa"/>
            <w:shd w:val="clear" w:color="auto" w:fill="auto"/>
            <w:vAlign w:val="center"/>
          </w:tcPr>
          <w:p w14:paraId="4F5FAF4F">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▲包括但不限于以下项目：GM1、GM2、GM3、GD1a、GD1b、GQ1b、GT1b、GM4、GD2、GD3、GT1a、Sulfatide (以上均包括 IgG、IgM)、MAG</w:t>
            </w:r>
          </w:p>
        </w:tc>
        <w:tc>
          <w:tcPr>
            <w:tcW w:w="1413" w:type="dxa"/>
            <w:shd w:val="clear" w:color="auto" w:fill="auto"/>
            <w:vAlign w:val="center"/>
          </w:tcPr>
          <w:p w14:paraId="4DC1E93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990</w:t>
            </w:r>
          </w:p>
        </w:tc>
        <w:tc>
          <w:tcPr>
            <w:tcW w:w="925" w:type="dxa"/>
            <w:shd w:val="clear" w:color="auto" w:fill="auto"/>
            <w:vAlign w:val="center"/>
          </w:tcPr>
          <w:p w14:paraId="446979C1">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26</w:t>
            </w:r>
          </w:p>
        </w:tc>
        <w:tc>
          <w:tcPr>
            <w:tcW w:w="962" w:type="dxa"/>
            <w:shd w:val="clear" w:color="auto" w:fill="auto"/>
            <w:vAlign w:val="center"/>
          </w:tcPr>
          <w:p w14:paraId="02EF5C8D">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6C91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0D52428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50</w:t>
            </w:r>
          </w:p>
        </w:tc>
        <w:tc>
          <w:tcPr>
            <w:tcW w:w="2137" w:type="dxa"/>
            <w:shd w:val="clear" w:color="auto" w:fill="auto"/>
            <w:vAlign w:val="center"/>
          </w:tcPr>
          <w:p w14:paraId="2BA56B2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郎飞氏结相关抗体 4 项</w:t>
            </w:r>
          </w:p>
        </w:tc>
        <w:tc>
          <w:tcPr>
            <w:tcW w:w="1100" w:type="dxa"/>
            <w:shd w:val="clear" w:color="auto" w:fill="auto"/>
            <w:vAlign w:val="center"/>
          </w:tcPr>
          <w:p w14:paraId="2C668D5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78821D8D">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转染细胞法</w:t>
            </w:r>
          </w:p>
        </w:tc>
        <w:tc>
          <w:tcPr>
            <w:tcW w:w="6862" w:type="dxa"/>
            <w:shd w:val="clear" w:color="auto" w:fill="auto"/>
            <w:vAlign w:val="center"/>
          </w:tcPr>
          <w:p w14:paraId="280BFFE1">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▲包括但不限于以下项目：NF155、NF186、CNTN1、CASPR1</w:t>
            </w:r>
          </w:p>
        </w:tc>
        <w:tc>
          <w:tcPr>
            <w:tcW w:w="1413" w:type="dxa"/>
            <w:shd w:val="clear" w:color="auto" w:fill="auto"/>
            <w:vAlign w:val="center"/>
          </w:tcPr>
          <w:p w14:paraId="44448EA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581</w:t>
            </w:r>
          </w:p>
        </w:tc>
        <w:tc>
          <w:tcPr>
            <w:tcW w:w="925" w:type="dxa"/>
            <w:shd w:val="clear" w:color="auto" w:fill="auto"/>
            <w:vAlign w:val="center"/>
          </w:tcPr>
          <w:p w14:paraId="7E65D6BF">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w:t>
            </w:r>
          </w:p>
        </w:tc>
        <w:tc>
          <w:tcPr>
            <w:tcW w:w="962" w:type="dxa"/>
            <w:shd w:val="clear" w:color="auto" w:fill="auto"/>
            <w:vAlign w:val="center"/>
          </w:tcPr>
          <w:p w14:paraId="70F7019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7E5F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5801189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51</w:t>
            </w:r>
          </w:p>
        </w:tc>
        <w:tc>
          <w:tcPr>
            <w:tcW w:w="2137" w:type="dxa"/>
            <w:shd w:val="clear" w:color="auto" w:fill="auto"/>
            <w:vAlign w:val="center"/>
          </w:tcPr>
          <w:p w14:paraId="6E907CC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自身免疫性自主神经病 6 项</w:t>
            </w:r>
          </w:p>
        </w:tc>
        <w:tc>
          <w:tcPr>
            <w:tcW w:w="1100" w:type="dxa"/>
            <w:shd w:val="clear" w:color="auto" w:fill="auto"/>
            <w:vAlign w:val="center"/>
          </w:tcPr>
          <w:p w14:paraId="786A7A2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2039C8D3">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放免法+ CBA + TBA</w:t>
            </w:r>
          </w:p>
        </w:tc>
        <w:tc>
          <w:tcPr>
            <w:tcW w:w="6862" w:type="dxa"/>
            <w:shd w:val="clear" w:color="auto" w:fill="auto"/>
            <w:vAlign w:val="center"/>
          </w:tcPr>
          <w:p w14:paraId="4A38CFF4">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▲包括但不限于以下项目：DPPX、LGI1、CASPR2、GAD65、VGCC、gAchR</w:t>
            </w:r>
          </w:p>
        </w:tc>
        <w:tc>
          <w:tcPr>
            <w:tcW w:w="1413" w:type="dxa"/>
            <w:shd w:val="clear" w:color="auto" w:fill="auto"/>
            <w:vAlign w:val="center"/>
          </w:tcPr>
          <w:p w14:paraId="4E889ED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845</w:t>
            </w:r>
          </w:p>
        </w:tc>
        <w:tc>
          <w:tcPr>
            <w:tcW w:w="925" w:type="dxa"/>
            <w:shd w:val="clear" w:color="auto" w:fill="auto"/>
            <w:vAlign w:val="center"/>
          </w:tcPr>
          <w:p w14:paraId="7959ACE1">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1DD158AA">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0C7C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517912E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52</w:t>
            </w:r>
          </w:p>
        </w:tc>
        <w:tc>
          <w:tcPr>
            <w:tcW w:w="2137" w:type="dxa"/>
            <w:shd w:val="clear" w:color="auto" w:fill="auto"/>
            <w:vAlign w:val="center"/>
          </w:tcPr>
          <w:p w14:paraId="6F6D3E8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帕金森综合征鉴别诊断</w:t>
            </w:r>
          </w:p>
        </w:tc>
        <w:tc>
          <w:tcPr>
            <w:tcW w:w="1100" w:type="dxa"/>
            <w:shd w:val="clear" w:color="auto" w:fill="auto"/>
            <w:vAlign w:val="center"/>
          </w:tcPr>
          <w:p w14:paraId="1FE2FAD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40592351">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eastAsia="宋体" w:cs="Arial"/>
                <w:i w:val="0"/>
                <w:iCs w:val="0"/>
                <w:color w:val="auto"/>
                <w:kern w:val="0"/>
                <w:sz w:val="21"/>
                <w:szCs w:val="21"/>
                <w:highlight w:val="none"/>
                <w:u w:val="none"/>
                <w:lang w:val="en-US" w:eastAsia="zh-CN" w:bidi="ar"/>
              </w:rPr>
              <w:t xml:space="preserve"> 单分子免疫阵列分析</w:t>
            </w:r>
          </w:p>
        </w:tc>
        <w:tc>
          <w:tcPr>
            <w:tcW w:w="6862" w:type="dxa"/>
            <w:shd w:val="clear" w:color="auto" w:fill="auto"/>
            <w:vAlign w:val="center"/>
          </w:tcPr>
          <w:p w14:paraId="7914EE06">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▲包括但不限于以下项目：NfL（鉴别帕金森病和帕金森综合征）、IgLON5（鉴别多系统萎缩和IgLON5脑炎）</w:t>
            </w:r>
          </w:p>
        </w:tc>
        <w:tc>
          <w:tcPr>
            <w:tcW w:w="1413" w:type="dxa"/>
            <w:shd w:val="clear" w:color="auto" w:fill="auto"/>
            <w:vAlign w:val="center"/>
          </w:tcPr>
          <w:p w14:paraId="73CCFD3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840</w:t>
            </w:r>
          </w:p>
        </w:tc>
        <w:tc>
          <w:tcPr>
            <w:tcW w:w="925" w:type="dxa"/>
            <w:shd w:val="clear" w:color="auto" w:fill="auto"/>
            <w:vAlign w:val="center"/>
          </w:tcPr>
          <w:p w14:paraId="512DE267">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w:t>
            </w:r>
          </w:p>
        </w:tc>
        <w:tc>
          <w:tcPr>
            <w:tcW w:w="962" w:type="dxa"/>
            <w:shd w:val="clear" w:color="auto" w:fill="auto"/>
            <w:vAlign w:val="center"/>
          </w:tcPr>
          <w:p w14:paraId="3D3C8B4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2EDB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50" w:hRule="atLeast"/>
        </w:trPr>
        <w:tc>
          <w:tcPr>
            <w:tcW w:w="563" w:type="dxa"/>
            <w:shd w:val="clear" w:color="auto" w:fill="auto"/>
            <w:vAlign w:val="center"/>
          </w:tcPr>
          <w:p w14:paraId="5DCE101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53</w:t>
            </w:r>
          </w:p>
        </w:tc>
        <w:tc>
          <w:tcPr>
            <w:tcW w:w="2137" w:type="dxa"/>
            <w:shd w:val="clear" w:color="auto" w:fill="auto"/>
            <w:vAlign w:val="center"/>
          </w:tcPr>
          <w:p w14:paraId="2621940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脑梗</w:t>
            </w:r>
          </w:p>
        </w:tc>
        <w:tc>
          <w:tcPr>
            <w:tcW w:w="1100" w:type="dxa"/>
            <w:shd w:val="clear" w:color="auto" w:fill="auto"/>
            <w:vAlign w:val="center"/>
          </w:tcPr>
          <w:p w14:paraId="1F99A4A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28188077">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6862" w:type="dxa"/>
            <w:shd w:val="clear" w:color="auto" w:fill="auto"/>
            <w:vAlign w:val="center"/>
          </w:tcPr>
          <w:p w14:paraId="6C879850">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▲包括但不限于以下项目：纤溶酶-α2 纤溶酶抑制剂复合物（PIC）、组织型纤溶酶原激活剂-抑制剂1复合体（tPAI.C）、凝血酶-抗凝血酶Ⅲ复合物（TAT）、血栓调节蛋白（TM)、凝血素IgM/IgG抗体、抗磷脂酰肌醇 IgM/IgG抗体、抗磷脂酰丝氨酸 IgM/IgG抗体、抗磷脂酰丝氨酸/凝血酶原抗体</w:t>
            </w:r>
          </w:p>
        </w:tc>
        <w:tc>
          <w:tcPr>
            <w:tcW w:w="1413" w:type="dxa"/>
            <w:shd w:val="clear" w:color="auto" w:fill="auto"/>
            <w:vAlign w:val="center"/>
          </w:tcPr>
          <w:p w14:paraId="17C3FA2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90.5</w:t>
            </w:r>
          </w:p>
        </w:tc>
        <w:tc>
          <w:tcPr>
            <w:tcW w:w="925" w:type="dxa"/>
            <w:shd w:val="clear" w:color="auto" w:fill="auto"/>
            <w:vAlign w:val="center"/>
          </w:tcPr>
          <w:p w14:paraId="66178C22">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028C87C4">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0572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56229DF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54</w:t>
            </w:r>
          </w:p>
        </w:tc>
        <w:tc>
          <w:tcPr>
            <w:tcW w:w="2137" w:type="dxa"/>
            <w:shd w:val="clear" w:color="auto" w:fill="auto"/>
            <w:vAlign w:val="center"/>
          </w:tcPr>
          <w:p w14:paraId="4E57B9F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系统性血管炎 6 项</w:t>
            </w:r>
          </w:p>
        </w:tc>
        <w:tc>
          <w:tcPr>
            <w:tcW w:w="1100" w:type="dxa"/>
            <w:shd w:val="clear" w:color="auto" w:fill="auto"/>
            <w:vAlign w:val="center"/>
          </w:tcPr>
          <w:p w14:paraId="4E93DD8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60FAE43E">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免疫印迹法</w:t>
            </w:r>
          </w:p>
        </w:tc>
        <w:tc>
          <w:tcPr>
            <w:tcW w:w="6862" w:type="dxa"/>
            <w:shd w:val="clear" w:color="auto" w:fill="auto"/>
            <w:vAlign w:val="center"/>
          </w:tcPr>
          <w:p w14:paraId="68DF2630">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▲包括但不限于以下项目：c-ANCA、p-ANCA、ANCA-MPO、ANCA-PR3、GBM、ds-DNA</w:t>
            </w:r>
          </w:p>
        </w:tc>
        <w:tc>
          <w:tcPr>
            <w:tcW w:w="1413" w:type="dxa"/>
            <w:shd w:val="clear" w:color="auto" w:fill="auto"/>
            <w:vAlign w:val="center"/>
          </w:tcPr>
          <w:p w14:paraId="0791509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116.48</w:t>
            </w:r>
          </w:p>
        </w:tc>
        <w:tc>
          <w:tcPr>
            <w:tcW w:w="925" w:type="dxa"/>
            <w:shd w:val="clear" w:color="auto" w:fill="auto"/>
            <w:vAlign w:val="center"/>
          </w:tcPr>
          <w:p w14:paraId="340B2019">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7AAAA98D">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1E9E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223D3D8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55</w:t>
            </w:r>
          </w:p>
        </w:tc>
        <w:tc>
          <w:tcPr>
            <w:tcW w:w="2137" w:type="dxa"/>
            <w:shd w:val="clear" w:color="auto" w:fill="auto"/>
            <w:vAlign w:val="center"/>
          </w:tcPr>
          <w:p w14:paraId="1729115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中枢神经系统脱髓鞘抗体 4 项</w:t>
            </w:r>
          </w:p>
        </w:tc>
        <w:tc>
          <w:tcPr>
            <w:tcW w:w="1100" w:type="dxa"/>
            <w:shd w:val="clear" w:color="auto" w:fill="auto"/>
            <w:vAlign w:val="center"/>
          </w:tcPr>
          <w:p w14:paraId="3DBFD10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脑脊液/外周血</w:t>
            </w:r>
          </w:p>
        </w:tc>
        <w:tc>
          <w:tcPr>
            <w:tcW w:w="1313" w:type="dxa"/>
            <w:shd w:val="clear" w:color="auto" w:fill="auto"/>
            <w:vAlign w:val="center"/>
          </w:tcPr>
          <w:p w14:paraId="7A776FB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CBA法</w:t>
            </w:r>
          </w:p>
        </w:tc>
        <w:tc>
          <w:tcPr>
            <w:tcW w:w="6862" w:type="dxa"/>
            <w:shd w:val="clear" w:color="auto" w:fill="auto"/>
            <w:vAlign w:val="center"/>
          </w:tcPr>
          <w:p w14:paraId="11FE1C4E">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▲包括但不限于以下项目：AQP4、MOG、GFAP、MBP</w:t>
            </w:r>
          </w:p>
        </w:tc>
        <w:tc>
          <w:tcPr>
            <w:tcW w:w="1413" w:type="dxa"/>
            <w:shd w:val="clear" w:color="auto" w:fill="auto"/>
            <w:vAlign w:val="center"/>
          </w:tcPr>
          <w:p w14:paraId="53B30AC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664</w:t>
            </w:r>
          </w:p>
        </w:tc>
        <w:tc>
          <w:tcPr>
            <w:tcW w:w="925" w:type="dxa"/>
            <w:shd w:val="clear" w:color="auto" w:fill="auto"/>
            <w:vAlign w:val="center"/>
          </w:tcPr>
          <w:p w14:paraId="7568A88E">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96</w:t>
            </w:r>
          </w:p>
        </w:tc>
        <w:tc>
          <w:tcPr>
            <w:tcW w:w="962" w:type="dxa"/>
            <w:shd w:val="clear" w:color="auto" w:fill="auto"/>
            <w:vAlign w:val="center"/>
          </w:tcPr>
          <w:p w14:paraId="235FAFBD">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7E2C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60" w:hRule="atLeast"/>
        </w:trPr>
        <w:tc>
          <w:tcPr>
            <w:tcW w:w="563" w:type="dxa"/>
            <w:shd w:val="clear" w:color="auto" w:fill="auto"/>
            <w:vAlign w:val="center"/>
          </w:tcPr>
          <w:p w14:paraId="79F7E4F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56</w:t>
            </w:r>
          </w:p>
        </w:tc>
        <w:tc>
          <w:tcPr>
            <w:tcW w:w="2137" w:type="dxa"/>
            <w:shd w:val="clear" w:color="auto" w:fill="auto"/>
            <w:vAlign w:val="center"/>
          </w:tcPr>
          <w:p w14:paraId="7B2B3B4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血液肿瘤ALL相关基因检测</w:t>
            </w:r>
          </w:p>
        </w:tc>
        <w:tc>
          <w:tcPr>
            <w:tcW w:w="1100" w:type="dxa"/>
            <w:shd w:val="clear" w:color="auto" w:fill="auto"/>
            <w:vAlign w:val="center"/>
          </w:tcPr>
          <w:p w14:paraId="7DFC403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外周血/骨髓</w:t>
            </w:r>
          </w:p>
        </w:tc>
        <w:tc>
          <w:tcPr>
            <w:tcW w:w="1313" w:type="dxa"/>
            <w:shd w:val="clear" w:color="auto" w:fill="auto"/>
            <w:vAlign w:val="center"/>
          </w:tcPr>
          <w:p w14:paraId="73E274C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7A78FEDB">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▲1、检测覆盖多个ALL相关基因全外显子及相关内含子，DNA着重检测单碱基实变，小片段插入/缺失，基因扩增和重要基因融合；全转录组mRNA测序，全面检测ALL所有相关融合，验证DNA检测结果；                                       ▲2、测序深度：组织≥</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00X，血液≥5000X；可保存原始数据和蜡块，可按需求返还原始数据和剩余标本；                                             3、反馈问题响应时间≤4小时，确定解决方案时间≤24小时；</w:t>
            </w:r>
          </w:p>
        </w:tc>
        <w:tc>
          <w:tcPr>
            <w:tcW w:w="1413" w:type="dxa"/>
            <w:shd w:val="clear" w:color="auto" w:fill="auto"/>
            <w:vAlign w:val="center"/>
          </w:tcPr>
          <w:p w14:paraId="3EEADA7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2650</w:t>
            </w:r>
          </w:p>
        </w:tc>
        <w:tc>
          <w:tcPr>
            <w:tcW w:w="925" w:type="dxa"/>
            <w:shd w:val="clear" w:color="auto" w:fill="auto"/>
            <w:vAlign w:val="center"/>
          </w:tcPr>
          <w:p w14:paraId="2ECDED9F">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68BC10D8">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7714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63" w:type="dxa"/>
            <w:shd w:val="clear" w:color="auto" w:fill="auto"/>
            <w:vAlign w:val="center"/>
          </w:tcPr>
          <w:p w14:paraId="2AE38F9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57</w:t>
            </w:r>
          </w:p>
        </w:tc>
        <w:tc>
          <w:tcPr>
            <w:tcW w:w="2137" w:type="dxa"/>
            <w:shd w:val="clear" w:color="auto" w:fill="auto"/>
            <w:vAlign w:val="center"/>
          </w:tcPr>
          <w:p w14:paraId="58A1610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血液肿瘤全外显子检测</w:t>
            </w:r>
          </w:p>
        </w:tc>
        <w:tc>
          <w:tcPr>
            <w:tcW w:w="1100" w:type="dxa"/>
            <w:shd w:val="clear" w:color="auto" w:fill="auto"/>
            <w:vAlign w:val="center"/>
          </w:tcPr>
          <w:p w14:paraId="6F8222A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3573CFB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68BE503C">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73238EA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3500</w:t>
            </w:r>
          </w:p>
        </w:tc>
        <w:tc>
          <w:tcPr>
            <w:tcW w:w="925" w:type="dxa"/>
            <w:shd w:val="clear" w:color="auto" w:fill="auto"/>
            <w:vAlign w:val="center"/>
          </w:tcPr>
          <w:p w14:paraId="583E1C92">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25</w:t>
            </w:r>
          </w:p>
        </w:tc>
        <w:tc>
          <w:tcPr>
            <w:tcW w:w="962" w:type="dxa"/>
            <w:shd w:val="clear" w:color="auto" w:fill="auto"/>
            <w:vAlign w:val="center"/>
          </w:tcPr>
          <w:p w14:paraId="35C37D55">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63A3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63" w:type="dxa"/>
            <w:shd w:val="clear" w:color="auto" w:fill="auto"/>
            <w:vAlign w:val="center"/>
          </w:tcPr>
          <w:p w14:paraId="608E17E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58</w:t>
            </w:r>
          </w:p>
        </w:tc>
        <w:tc>
          <w:tcPr>
            <w:tcW w:w="2137" w:type="dxa"/>
            <w:shd w:val="clear" w:color="auto" w:fill="auto"/>
            <w:vAlign w:val="center"/>
          </w:tcPr>
          <w:p w14:paraId="6B28172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血液肿瘤308靶向基因</w:t>
            </w:r>
          </w:p>
        </w:tc>
        <w:tc>
          <w:tcPr>
            <w:tcW w:w="1100" w:type="dxa"/>
            <w:shd w:val="clear" w:color="auto" w:fill="auto"/>
            <w:vAlign w:val="center"/>
          </w:tcPr>
          <w:p w14:paraId="504289D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77DA8F8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02188B8D">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1A342E1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5428</w:t>
            </w:r>
          </w:p>
        </w:tc>
        <w:tc>
          <w:tcPr>
            <w:tcW w:w="925" w:type="dxa"/>
            <w:shd w:val="clear" w:color="auto" w:fill="auto"/>
            <w:vAlign w:val="center"/>
          </w:tcPr>
          <w:p w14:paraId="6CD77537">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22E13E89">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7345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0" w:hRule="atLeast"/>
        </w:trPr>
        <w:tc>
          <w:tcPr>
            <w:tcW w:w="563" w:type="dxa"/>
            <w:shd w:val="clear" w:color="auto" w:fill="auto"/>
            <w:vAlign w:val="center"/>
          </w:tcPr>
          <w:p w14:paraId="2228EF3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59</w:t>
            </w:r>
          </w:p>
        </w:tc>
        <w:tc>
          <w:tcPr>
            <w:tcW w:w="2137" w:type="dxa"/>
            <w:shd w:val="clear" w:color="auto" w:fill="auto"/>
            <w:vAlign w:val="center"/>
          </w:tcPr>
          <w:p w14:paraId="6E4941E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噬血细胞综合基因26项</w:t>
            </w:r>
          </w:p>
        </w:tc>
        <w:tc>
          <w:tcPr>
            <w:tcW w:w="1100" w:type="dxa"/>
            <w:shd w:val="clear" w:color="auto" w:fill="auto"/>
            <w:vAlign w:val="center"/>
          </w:tcPr>
          <w:p w14:paraId="656CD3D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409C5C2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肿瘤NGS检测</w:t>
            </w:r>
          </w:p>
        </w:tc>
        <w:tc>
          <w:tcPr>
            <w:tcW w:w="6862" w:type="dxa"/>
            <w:shd w:val="clear" w:color="auto" w:fill="auto"/>
            <w:vAlign w:val="center"/>
          </w:tcPr>
          <w:p w14:paraId="03D2614E">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ADA、AP3B1、AP3D1、BLOCIS6、BTK、CARD11、CD27、CD70、CDC42、COROIA、CTPSI、DOCK2、DOCK8、FAS、IL2RA、IL2RG、LYST、MAGTI、MVK、MYOSA、ITK、NCKAPIL、NLRC4、NLRP3、NLRPI2、PIK3CD、PLCG2、PNP、PRFI、RAB27A、RAGI、RAG2、RASGRPI、RECQL4、SH2D1A、SLC7A7、STIMI、STX11、STXBP2 、UNC13D、WAS、XIAP</w:t>
            </w:r>
          </w:p>
        </w:tc>
        <w:tc>
          <w:tcPr>
            <w:tcW w:w="1413" w:type="dxa"/>
            <w:shd w:val="clear" w:color="auto" w:fill="auto"/>
            <w:vAlign w:val="center"/>
          </w:tcPr>
          <w:p w14:paraId="745E6B1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2392</w:t>
            </w:r>
          </w:p>
        </w:tc>
        <w:tc>
          <w:tcPr>
            <w:tcW w:w="925" w:type="dxa"/>
            <w:shd w:val="clear" w:color="auto" w:fill="auto"/>
            <w:vAlign w:val="center"/>
          </w:tcPr>
          <w:p w14:paraId="3EE5F977">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w:t>
            </w:r>
          </w:p>
        </w:tc>
        <w:tc>
          <w:tcPr>
            <w:tcW w:w="962" w:type="dxa"/>
            <w:shd w:val="clear" w:color="auto" w:fill="auto"/>
            <w:vAlign w:val="center"/>
          </w:tcPr>
          <w:p w14:paraId="326A0CA2">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4B37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563" w:type="dxa"/>
            <w:shd w:val="clear" w:color="auto" w:fill="auto"/>
            <w:vAlign w:val="center"/>
          </w:tcPr>
          <w:p w14:paraId="0721DC7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60</w:t>
            </w:r>
          </w:p>
        </w:tc>
        <w:tc>
          <w:tcPr>
            <w:tcW w:w="2137" w:type="dxa"/>
            <w:shd w:val="clear" w:color="auto" w:fill="auto"/>
            <w:vAlign w:val="center"/>
          </w:tcPr>
          <w:p w14:paraId="7944DAF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儿童血液肿瘤全转录组</w:t>
            </w:r>
          </w:p>
        </w:tc>
        <w:tc>
          <w:tcPr>
            <w:tcW w:w="1100" w:type="dxa"/>
            <w:shd w:val="clear" w:color="auto" w:fill="auto"/>
            <w:vAlign w:val="center"/>
          </w:tcPr>
          <w:p w14:paraId="2442F01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4F29BF3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NGS</w:t>
            </w:r>
          </w:p>
        </w:tc>
        <w:tc>
          <w:tcPr>
            <w:tcW w:w="6862" w:type="dxa"/>
            <w:shd w:val="clear" w:color="auto" w:fill="auto"/>
            <w:vAlign w:val="center"/>
          </w:tcPr>
          <w:p w14:paraId="3B509FA5">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58AD444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3000</w:t>
            </w:r>
          </w:p>
        </w:tc>
        <w:tc>
          <w:tcPr>
            <w:tcW w:w="925" w:type="dxa"/>
            <w:shd w:val="clear" w:color="auto" w:fill="auto"/>
            <w:vAlign w:val="center"/>
          </w:tcPr>
          <w:p w14:paraId="51802084">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13</w:t>
            </w:r>
          </w:p>
        </w:tc>
        <w:tc>
          <w:tcPr>
            <w:tcW w:w="962" w:type="dxa"/>
            <w:shd w:val="clear" w:color="auto" w:fill="auto"/>
            <w:vAlign w:val="center"/>
          </w:tcPr>
          <w:p w14:paraId="50FA9AF6">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1284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23B3AAC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61</w:t>
            </w:r>
          </w:p>
        </w:tc>
        <w:tc>
          <w:tcPr>
            <w:tcW w:w="2137" w:type="dxa"/>
            <w:shd w:val="clear" w:color="auto" w:fill="auto"/>
            <w:vAlign w:val="center"/>
          </w:tcPr>
          <w:p w14:paraId="587DA91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移植后嵌合率检测（单次）</w:t>
            </w:r>
          </w:p>
        </w:tc>
        <w:tc>
          <w:tcPr>
            <w:tcW w:w="1100" w:type="dxa"/>
            <w:shd w:val="clear" w:color="auto" w:fill="auto"/>
            <w:vAlign w:val="center"/>
          </w:tcPr>
          <w:p w14:paraId="0315642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70ECC16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STR-PCR片段分析</w:t>
            </w:r>
          </w:p>
        </w:tc>
        <w:tc>
          <w:tcPr>
            <w:tcW w:w="6862" w:type="dxa"/>
            <w:shd w:val="clear" w:color="auto" w:fill="auto"/>
            <w:vAlign w:val="center"/>
          </w:tcPr>
          <w:p w14:paraId="6CFC3174">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6A181A4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750</w:t>
            </w:r>
          </w:p>
        </w:tc>
        <w:tc>
          <w:tcPr>
            <w:tcW w:w="925" w:type="dxa"/>
            <w:shd w:val="clear" w:color="auto" w:fill="auto"/>
            <w:vAlign w:val="center"/>
          </w:tcPr>
          <w:p w14:paraId="10423EEB">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228783D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0E6E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386AEDD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62</w:t>
            </w:r>
          </w:p>
        </w:tc>
        <w:tc>
          <w:tcPr>
            <w:tcW w:w="2137" w:type="dxa"/>
            <w:shd w:val="clear" w:color="auto" w:fill="auto"/>
            <w:vAlign w:val="center"/>
          </w:tcPr>
          <w:p w14:paraId="3E963C9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移植后嵌合率检测</w:t>
            </w:r>
          </w:p>
        </w:tc>
        <w:tc>
          <w:tcPr>
            <w:tcW w:w="1100" w:type="dxa"/>
            <w:shd w:val="clear" w:color="auto" w:fill="auto"/>
            <w:vAlign w:val="center"/>
          </w:tcPr>
          <w:p w14:paraId="3C189C8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32C225B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STR-PCR片段分析</w:t>
            </w:r>
          </w:p>
        </w:tc>
        <w:tc>
          <w:tcPr>
            <w:tcW w:w="6862" w:type="dxa"/>
            <w:shd w:val="clear" w:color="auto" w:fill="auto"/>
            <w:vAlign w:val="center"/>
          </w:tcPr>
          <w:p w14:paraId="000D3DE0">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27AEE00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750</w:t>
            </w:r>
          </w:p>
        </w:tc>
        <w:tc>
          <w:tcPr>
            <w:tcW w:w="925" w:type="dxa"/>
            <w:shd w:val="clear" w:color="auto" w:fill="auto"/>
            <w:vAlign w:val="center"/>
          </w:tcPr>
          <w:p w14:paraId="68C04E35">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19796DE3">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009F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563" w:type="dxa"/>
            <w:shd w:val="clear" w:color="auto" w:fill="auto"/>
            <w:vAlign w:val="center"/>
          </w:tcPr>
          <w:p w14:paraId="3C7557B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63</w:t>
            </w:r>
          </w:p>
        </w:tc>
        <w:tc>
          <w:tcPr>
            <w:tcW w:w="2137" w:type="dxa"/>
            <w:shd w:val="clear" w:color="auto" w:fill="auto"/>
            <w:vAlign w:val="center"/>
          </w:tcPr>
          <w:p w14:paraId="3599FE8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神母FISH探针套餐</w:t>
            </w:r>
          </w:p>
        </w:tc>
        <w:tc>
          <w:tcPr>
            <w:tcW w:w="1100" w:type="dxa"/>
            <w:shd w:val="clear" w:color="auto" w:fill="auto"/>
            <w:vAlign w:val="center"/>
          </w:tcPr>
          <w:p w14:paraId="42E5DBB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7B71B47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FISH</w:t>
            </w:r>
          </w:p>
        </w:tc>
        <w:tc>
          <w:tcPr>
            <w:tcW w:w="6862" w:type="dxa"/>
            <w:shd w:val="clear" w:color="auto" w:fill="auto"/>
            <w:vAlign w:val="center"/>
          </w:tcPr>
          <w:p w14:paraId="019946BC">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▲包括但不限于以下项目：MLL/CEP11、SRD/PBX1、MDM4/1q21、N-MYC/LAF4</w:t>
            </w:r>
          </w:p>
        </w:tc>
        <w:tc>
          <w:tcPr>
            <w:tcW w:w="1413" w:type="dxa"/>
            <w:shd w:val="clear" w:color="auto" w:fill="auto"/>
            <w:vAlign w:val="center"/>
          </w:tcPr>
          <w:p w14:paraId="5038BC9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3320</w:t>
            </w:r>
          </w:p>
        </w:tc>
        <w:tc>
          <w:tcPr>
            <w:tcW w:w="925" w:type="dxa"/>
            <w:shd w:val="clear" w:color="auto" w:fill="auto"/>
            <w:vAlign w:val="center"/>
          </w:tcPr>
          <w:p w14:paraId="02E68D3C">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0512994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4CB7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2441AE1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64</w:t>
            </w:r>
          </w:p>
        </w:tc>
        <w:tc>
          <w:tcPr>
            <w:tcW w:w="2137" w:type="dxa"/>
            <w:shd w:val="clear" w:color="auto" w:fill="auto"/>
            <w:vAlign w:val="center"/>
          </w:tcPr>
          <w:p w14:paraId="5BAE4C2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人组织相容性抗原分型与配型</w:t>
            </w:r>
          </w:p>
        </w:tc>
        <w:tc>
          <w:tcPr>
            <w:tcW w:w="1100" w:type="dxa"/>
            <w:shd w:val="clear" w:color="auto" w:fill="auto"/>
            <w:vAlign w:val="center"/>
          </w:tcPr>
          <w:p w14:paraId="5AFAC1F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2F8A7449">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eastAsia"/>
                <w:color w:val="auto"/>
                <w:highlight w:val="none"/>
              </w:rPr>
              <w:t>NGS</w:t>
            </w:r>
          </w:p>
        </w:tc>
        <w:tc>
          <w:tcPr>
            <w:tcW w:w="6862" w:type="dxa"/>
            <w:shd w:val="clear" w:color="auto" w:fill="auto"/>
            <w:vAlign w:val="center"/>
          </w:tcPr>
          <w:p w14:paraId="1D76366A">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6F9068C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780</w:t>
            </w:r>
          </w:p>
        </w:tc>
        <w:tc>
          <w:tcPr>
            <w:tcW w:w="925" w:type="dxa"/>
            <w:shd w:val="clear" w:color="auto" w:fill="auto"/>
            <w:vAlign w:val="center"/>
          </w:tcPr>
          <w:p w14:paraId="46EB96F4">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w:t>
            </w:r>
          </w:p>
        </w:tc>
        <w:tc>
          <w:tcPr>
            <w:tcW w:w="962" w:type="dxa"/>
            <w:shd w:val="clear" w:color="auto" w:fill="auto"/>
            <w:vAlign w:val="center"/>
          </w:tcPr>
          <w:p w14:paraId="7002DF48">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7FAC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77F714B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65</w:t>
            </w:r>
          </w:p>
        </w:tc>
        <w:tc>
          <w:tcPr>
            <w:tcW w:w="2137" w:type="dxa"/>
            <w:shd w:val="clear" w:color="auto" w:fill="auto"/>
            <w:vAlign w:val="center"/>
          </w:tcPr>
          <w:p w14:paraId="48BAC75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西尼罗病毒的血清学检测或核酸检测</w:t>
            </w:r>
          </w:p>
        </w:tc>
        <w:tc>
          <w:tcPr>
            <w:tcW w:w="1100" w:type="dxa"/>
            <w:shd w:val="clear" w:color="auto" w:fill="auto"/>
            <w:vAlign w:val="center"/>
          </w:tcPr>
          <w:p w14:paraId="769BF14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313" w:type="dxa"/>
            <w:shd w:val="clear" w:color="auto" w:fill="auto"/>
            <w:vAlign w:val="center"/>
          </w:tcPr>
          <w:p w14:paraId="7AFF594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分子类</w:t>
            </w:r>
          </w:p>
        </w:tc>
        <w:tc>
          <w:tcPr>
            <w:tcW w:w="6862" w:type="dxa"/>
            <w:shd w:val="clear" w:color="auto" w:fill="auto"/>
            <w:vAlign w:val="center"/>
          </w:tcPr>
          <w:p w14:paraId="39A93161">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2F612ED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242</w:t>
            </w:r>
          </w:p>
        </w:tc>
        <w:tc>
          <w:tcPr>
            <w:tcW w:w="925" w:type="dxa"/>
            <w:shd w:val="clear" w:color="auto" w:fill="auto"/>
            <w:vAlign w:val="center"/>
          </w:tcPr>
          <w:p w14:paraId="5E4ADEE5">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1379168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579B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563" w:type="dxa"/>
            <w:shd w:val="clear" w:color="auto" w:fill="auto"/>
            <w:vAlign w:val="center"/>
          </w:tcPr>
          <w:p w14:paraId="4DB8369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66</w:t>
            </w:r>
          </w:p>
        </w:tc>
        <w:tc>
          <w:tcPr>
            <w:tcW w:w="2137" w:type="dxa"/>
            <w:shd w:val="clear" w:color="auto" w:fill="auto"/>
            <w:vAlign w:val="center"/>
          </w:tcPr>
          <w:p w14:paraId="2033487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癫痫相关多基因测序</w:t>
            </w:r>
          </w:p>
        </w:tc>
        <w:tc>
          <w:tcPr>
            <w:tcW w:w="1100" w:type="dxa"/>
            <w:shd w:val="clear" w:color="auto" w:fill="auto"/>
            <w:vAlign w:val="center"/>
          </w:tcPr>
          <w:p w14:paraId="226034D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EDTA/柠檬酸盐抗凝外周血1-3毫升</w:t>
            </w:r>
          </w:p>
        </w:tc>
        <w:tc>
          <w:tcPr>
            <w:tcW w:w="1313" w:type="dxa"/>
            <w:shd w:val="clear" w:color="auto" w:fill="auto"/>
            <w:vAlign w:val="center"/>
          </w:tcPr>
          <w:p w14:paraId="7C1F8CB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遗传性疾病NGS检测系列</w:t>
            </w:r>
          </w:p>
        </w:tc>
        <w:tc>
          <w:tcPr>
            <w:tcW w:w="6862" w:type="dxa"/>
            <w:shd w:val="clear" w:color="auto" w:fill="auto"/>
            <w:vAlign w:val="center"/>
          </w:tcPr>
          <w:p w14:paraId="2B4A3731">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7E2B8C3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2024</w:t>
            </w:r>
          </w:p>
        </w:tc>
        <w:tc>
          <w:tcPr>
            <w:tcW w:w="925" w:type="dxa"/>
            <w:shd w:val="clear" w:color="auto" w:fill="auto"/>
            <w:vAlign w:val="center"/>
          </w:tcPr>
          <w:p w14:paraId="6A40D2E4">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0B12E594">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684D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2853522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67</w:t>
            </w:r>
          </w:p>
        </w:tc>
        <w:tc>
          <w:tcPr>
            <w:tcW w:w="2137" w:type="dxa"/>
            <w:shd w:val="clear" w:color="auto" w:fill="auto"/>
            <w:vAlign w:val="center"/>
          </w:tcPr>
          <w:p w14:paraId="19B76820">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帕金森症相关基因检测</w:t>
            </w:r>
          </w:p>
        </w:tc>
        <w:tc>
          <w:tcPr>
            <w:tcW w:w="1100" w:type="dxa"/>
            <w:shd w:val="clear" w:color="auto" w:fill="auto"/>
            <w:vAlign w:val="center"/>
          </w:tcPr>
          <w:p w14:paraId="170C694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EDTA/柠檬酸盐抗凝外周血1-3毫升</w:t>
            </w:r>
          </w:p>
        </w:tc>
        <w:tc>
          <w:tcPr>
            <w:tcW w:w="1313" w:type="dxa"/>
            <w:shd w:val="clear" w:color="auto" w:fill="auto"/>
            <w:vAlign w:val="center"/>
          </w:tcPr>
          <w:p w14:paraId="31769FC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遗传性疾病NGS检测系列</w:t>
            </w:r>
          </w:p>
        </w:tc>
        <w:tc>
          <w:tcPr>
            <w:tcW w:w="6862" w:type="dxa"/>
            <w:shd w:val="clear" w:color="auto" w:fill="auto"/>
            <w:vAlign w:val="center"/>
          </w:tcPr>
          <w:p w14:paraId="7D8D1C69">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518201D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2024</w:t>
            </w:r>
          </w:p>
        </w:tc>
        <w:tc>
          <w:tcPr>
            <w:tcW w:w="925" w:type="dxa"/>
            <w:shd w:val="clear" w:color="auto" w:fill="auto"/>
            <w:vAlign w:val="center"/>
          </w:tcPr>
          <w:p w14:paraId="35E6C93E">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073D8D83">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6EC4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563" w:type="dxa"/>
            <w:shd w:val="clear" w:color="auto" w:fill="auto"/>
            <w:vAlign w:val="center"/>
          </w:tcPr>
          <w:p w14:paraId="531C754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68</w:t>
            </w:r>
          </w:p>
        </w:tc>
        <w:tc>
          <w:tcPr>
            <w:tcW w:w="2137" w:type="dxa"/>
            <w:shd w:val="clear" w:color="auto" w:fill="auto"/>
            <w:vAlign w:val="center"/>
          </w:tcPr>
          <w:p w14:paraId="0699A62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心肌病相关基因测序</w:t>
            </w:r>
          </w:p>
        </w:tc>
        <w:tc>
          <w:tcPr>
            <w:tcW w:w="1100" w:type="dxa"/>
            <w:shd w:val="clear" w:color="auto" w:fill="auto"/>
            <w:vAlign w:val="center"/>
          </w:tcPr>
          <w:p w14:paraId="1E3D351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266C37E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遗传性疾病NGS检测系列</w:t>
            </w:r>
          </w:p>
        </w:tc>
        <w:tc>
          <w:tcPr>
            <w:tcW w:w="6862" w:type="dxa"/>
            <w:shd w:val="clear" w:color="auto" w:fill="auto"/>
            <w:vAlign w:val="center"/>
          </w:tcPr>
          <w:p w14:paraId="18F57B9B">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631374A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2024</w:t>
            </w:r>
          </w:p>
        </w:tc>
        <w:tc>
          <w:tcPr>
            <w:tcW w:w="925" w:type="dxa"/>
            <w:shd w:val="clear" w:color="auto" w:fill="auto"/>
            <w:vAlign w:val="center"/>
          </w:tcPr>
          <w:p w14:paraId="48AAC32D">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04544F91">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6E41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41C92DE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69</w:t>
            </w:r>
          </w:p>
        </w:tc>
        <w:tc>
          <w:tcPr>
            <w:tcW w:w="2137" w:type="dxa"/>
            <w:shd w:val="clear" w:color="auto" w:fill="auto"/>
            <w:vAlign w:val="center"/>
          </w:tcPr>
          <w:p w14:paraId="7BD59FA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继发性高血压基因筛查</w:t>
            </w:r>
          </w:p>
        </w:tc>
        <w:tc>
          <w:tcPr>
            <w:tcW w:w="1100" w:type="dxa"/>
            <w:shd w:val="clear" w:color="auto" w:fill="auto"/>
            <w:vAlign w:val="center"/>
          </w:tcPr>
          <w:p w14:paraId="7A73C76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4CE20A5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遗传性疾病NGS检测系列</w:t>
            </w:r>
          </w:p>
        </w:tc>
        <w:tc>
          <w:tcPr>
            <w:tcW w:w="6862" w:type="dxa"/>
            <w:shd w:val="clear" w:color="auto" w:fill="auto"/>
            <w:vAlign w:val="center"/>
          </w:tcPr>
          <w:p w14:paraId="5B7F34F7">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22F2AC9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2000</w:t>
            </w:r>
          </w:p>
        </w:tc>
        <w:tc>
          <w:tcPr>
            <w:tcW w:w="925" w:type="dxa"/>
            <w:shd w:val="clear" w:color="auto" w:fill="auto"/>
            <w:vAlign w:val="center"/>
          </w:tcPr>
          <w:p w14:paraId="686F0F24">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0966A0F1">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6CDA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3FC7CDD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70</w:t>
            </w:r>
          </w:p>
        </w:tc>
        <w:tc>
          <w:tcPr>
            <w:tcW w:w="2137" w:type="dxa"/>
            <w:shd w:val="clear" w:color="auto" w:fill="auto"/>
            <w:vAlign w:val="center"/>
          </w:tcPr>
          <w:p w14:paraId="7BBB6C0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HLA高分辨分型</w:t>
            </w:r>
          </w:p>
        </w:tc>
        <w:tc>
          <w:tcPr>
            <w:tcW w:w="1100" w:type="dxa"/>
            <w:shd w:val="clear" w:color="auto" w:fill="auto"/>
            <w:vAlign w:val="center"/>
          </w:tcPr>
          <w:p w14:paraId="2056AC4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27B1300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一代测序</w:t>
            </w:r>
          </w:p>
        </w:tc>
        <w:tc>
          <w:tcPr>
            <w:tcW w:w="6862" w:type="dxa"/>
            <w:shd w:val="clear" w:color="auto" w:fill="auto"/>
            <w:vAlign w:val="center"/>
          </w:tcPr>
          <w:p w14:paraId="38F7722B">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32E27CDE">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780</w:t>
            </w:r>
          </w:p>
        </w:tc>
        <w:tc>
          <w:tcPr>
            <w:tcW w:w="925" w:type="dxa"/>
            <w:shd w:val="clear" w:color="auto" w:fill="auto"/>
            <w:vAlign w:val="center"/>
          </w:tcPr>
          <w:p w14:paraId="658F7EC5">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488A9DA8">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142E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1706501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71</w:t>
            </w:r>
          </w:p>
        </w:tc>
        <w:tc>
          <w:tcPr>
            <w:tcW w:w="2137" w:type="dxa"/>
            <w:shd w:val="clear" w:color="auto" w:fill="auto"/>
            <w:vAlign w:val="center"/>
          </w:tcPr>
          <w:p w14:paraId="29A662C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微小残留（脑脊液）</w:t>
            </w:r>
          </w:p>
        </w:tc>
        <w:tc>
          <w:tcPr>
            <w:tcW w:w="1100" w:type="dxa"/>
            <w:shd w:val="clear" w:color="auto" w:fill="auto"/>
            <w:vAlign w:val="center"/>
          </w:tcPr>
          <w:p w14:paraId="75D7FB9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脑脊液</w:t>
            </w:r>
          </w:p>
        </w:tc>
        <w:tc>
          <w:tcPr>
            <w:tcW w:w="1313" w:type="dxa"/>
            <w:shd w:val="clear" w:color="auto" w:fill="auto"/>
            <w:vAlign w:val="center"/>
          </w:tcPr>
          <w:p w14:paraId="2AD74DD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流式细胞术</w:t>
            </w:r>
          </w:p>
        </w:tc>
        <w:tc>
          <w:tcPr>
            <w:tcW w:w="6862" w:type="dxa"/>
            <w:shd w:val="clear" w:color="auto" w:fill="auto"/>
            <w:vAlign w:val="center"/>
          </w:tcPr>
          <w:p w14:paraId="158E023A">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1444BDA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837</w:t>
            </w:r>
          </w:p>
        </w:tc>
        <w:tc>
          <w:tcPr>
            <w:tcW w:w="925" w:type="dxa"/>
            <w:shd w:val="clear" w:color="auto" w:fill="auto"/>
            <w:vAlign w:val="center"/>
          </w:tcPr>
          <w:p w14:paraId="5CEBFDB6">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3</w:t>
            </w:r>
          </w:p>
        </w:tc>
        <w:tc>
          <w:tcPr>
            <w:tcW w:w="962" w:type="dxa"/>
            <w:shd w:val="clear" w:color="auto" w:fill="auto"/>
            <w:vAlign w:val="center"/>
          </w:tcPr>
          <w:p w14:paraId="6705FD4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6A8C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63" w:type="dxa"/>
            <w:shd w:val="clear" w:color="auto" w:fill="auto"/>
            <w:vAlign w:val="center"/>
          </w:tcPr>
          <w:p w14:paraId="74FDB277">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72</w:t>
            </w:r>
          </w:p>
        </w:tc>
        <w:tc>
          <w:tcPr>
            <w:tcW w:w="2137" w:type="dxa"/>
            <w:shd w:val="clear" w:color="auto" w:fill="auto"/>
            <w:vAlign w:val="center"/>
          </w:tcPr>
          <w:p w14:paraId="6C76487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抗血小板膜糖蛋白特异性抗体检测</w:t>
            </w:r>
          </w:p>
        </w:tc>
        <w:tc>
          <w:tcPr>
            <w:tcW w:w="1100" w:type="dxa"/>
            <w:shd w:val="clear" w:color="auto" w:fill="auto"/>
            <w:vAlign w:val="center"/>
          </w:tcPr>
          <w:p w14:paraId="602412C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542E4D0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流式细胞仪法</w:t>
            </w:r>
          </w:p>
        </w:tc>
        <w:tc>
          <w:tcPr>
            <w:tcW w:w="6862" w:type="dxa"/>
            <w:shd w:val="clear" w:color="auto" w:fill="auto"/>
            <w:vAlign w:val="center"/>
          </w:tcPr>
          <w:p w14:paraId="0A26D133">
            <w:pPr>
              <w:keepNext w:val="0"/>
              <w:keepLines w:val="0"/>
              <w:widowControl/>
              <w:suppressLineNumbers w:val="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▲包括但不限于以下项目：抗血小板膜糖蛋白IX特异性抗体、抗血小板膜糖蛋白1b特异性抗体、抗血小板膜糖蛋白Ⅱb特异性抗体、抗血小板膜糖蛋白Шa特异性抗体、抗血小板膜a颗粒膜蛋白(GMP140)特异性抗体</w:t>
            </w:r>
          </w:p>
        </w:tc>
        <w:tc>
          <w:tcPr>
            <w:tcW w:w="1413" w:type="dxa"/>
            <w:shd w:val="clear" w:color="auto" w:fill="auto"/>
            <w:vAlign w:val="center"/>
          </w:tcPr>
          <w:p w14:paraId="043DE7D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125</w:t>
            </w:r>
          </w:p>
        </w:tc>
        <w:tc>
          <w:tcPr>
            <w:tcW w:w="925" w:type="dxa"/>
            <w:shd w:val="clear" w:color="auto" w:fill="auto"/>
            <w:vAlign w:val="center"/>
          </w:tcPr>
          <w:p w14:paraId="0857A8A1">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w:t>
            </w:r>
          </w:p>
        </w:tc>
        <w:tc>
          <w:tcPr>
            <w:tcW w:w="962" w:type="dxa"/>
            <w:shd w:val="clear" w:color="auto" w:fill="auto"/>
            <w:vAlign w:val="center"/>
          </w:tcPr>
          <w:p w14:paraId="5E546C10">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2DDD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145E194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73</w:t>
            </w:r>
          </w:p>
        </w:tc>
        <w:tc>
          <w:tcPr>
            <w:tcW w:w="2137" w:type="dxa"/>
            <w:shd w:val="clear" w:color="auto" w:fill="auto"/>
            <w:vAlign w:val="center"/>
          </w:tcPr>
          <w:p w14:paraId="32B7DEDB">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NK细胞活性</w:t>
            </w:r>
          </w:p>
        </w:tc>
        <w:tc>
          <w:tcPr>
            <w:tcW w:w="1100" w:type="dxa"/>
            <w:shd w:val="clear" w:color="auto" w:fill="auto"/>
            <w:vAlign w:val="center"/>
          </w:tcPr>
          <w:p w14:paraId="4D65026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0DE901B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转染荧光细胞株结合流式细胞术</w:t>
            </w:r>
          </w:p>
        </w:tc>
        <w:tc>
          <w:tcPr>
            <w:tcW w:w="6862" w:type="dxa"/>
            <w:shd w:val="clear" w:color="auto" w:fill="auto"/>
            <w:vAlign w:val="center"/>
          </w:tcPr>
          <w:p w14:paraId="360E8AC9">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6C00775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750</w:t>
            </w:r>
          </w:p>
        </w:tc>
        <w:tc>
          <w:tcPr>
            <w:tcW w:w="925" w:type="dxa"/>
            <w:shd w:val="clear" w:color="auto" w:fill="auto"/>
            <w:vAlign w:val="center"/>
          </w:tcPr>
          <w:p w14:paraId="0011CAB5">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p>
        </w:tc>
        <w:tc>
          <w:tcPr>
            <w:tcW w:w="962" w:type="dxa"/>
            <w:shd w:val="clear" w:color="auto" w:fill="auto"/>
            <w:vAlign w:val="center"/>
          </w:tcPr>
          <w:p w14:paraId="7A74DC08">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此项为新开展检测项目，外送数量暂按5计算</w:t>
            </w:r>
          </w:p>
        </w:tc>
      </w:tr>
      <w:tr w14:paraId="5152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2D2437D3">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74</w:t>
            </w:r>
          </w:p>
        </w:tc>
        <w:tc>
          <w:tcPr>
            <w:tcW w:w="2137" w:type="dxa"/>
            <w:shd w:val="clear" w:color="auto" w:fill="auto"/>
            <w:vAlign w:val="center"/>
          </w:tcPr>
          <w:p w14:paraId="26DDF12D">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血清游离轻链</w:t>
            </w:r>
          </w:p>
        </w:tc>
        <w:tc>
          <w:tcPr>
            <w:tcW w:w="1100" w:type="dxa"/>
            <w:shd w:val="clear" w:color="auto" w:fill="auto"/>
            <w:vAlign w:val="center"/>
          </w:tcPr>
          <w:p w14:paraId="5E8DC4D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外周血</w:t>
            </w:r>
          </w:p>
        </w:tc>
        <w:tc>
          <w:tcPr>
            <w:tcW w:w="1313" w:type="dxa"/>
            <w:shd w:val="clear" w:color="auto" w:fill="auto"/>
            <w:vAlign w:val="center"/>
          </w:tcPr>
          <w:p w14:paraId="63A533C5">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免疫比浊法</w:t>
            </w:r>
          </w:p>
        </w:tc>
        <w:tc>
          <w:tcPr>
            <w:tcW w:w="6862" w:type="dxa"/>
            <w:shd w:val="clear" w:color="auto" w:fill="auto"/>
            <w:vAlign w:val="center"/>
          </w:tcPr>
          <w:p w14:paraId="6DBBCCED">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4AC74B91">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245</w:t>
            </w:r>
          </w:p>
        </w:tc>
        <w:tc>
          <w:tcPr>
            <w:tcW w:w="925" w:type="dxa"/>
            <w:shd w:val="clear" w:color="auto" w:fill="auto"/>
            <w:vAlign w:val="center"/>
          </w:tcPr>
          <w:p w14:paraId="5C336C34">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104</w:t>
            </w:r>
          </w:p>
        </w:tc>
        <w:tc>
          <w:tcPr>
            <w:tcW w:w="962" w:type="dxa"/>
            <w:shd w:val="clear" w:color="auto" w:fill="auto"/>
            <w:vAlign w:val="center"/>
          </w:tcPr>
          <w:p w14:paraId="3FBD8C1C">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0D1E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dxa"/>
            <w:shd w:val="clear" w:color="auto" w:fill="auto"/>
            <w:vAlign w:val="center"/>
          </w:tcPr>
          <w:p w14:paraId="028099FA">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75</w:t>
            </w:r>
          </w:p>
        </w:tc>
        <w:tc>
          <w:tcPr>
            <w:tcW w:w="2137" w:type="dxa"/>
            <w:shd w:val="clear" w:color="auto" w:fill="auto"/>
            <w:vAlign w:val="center"/>
          </w:tcPr>
          <w:p w14:paraId="46444476">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尿M蛋白定量</w:t>
            </w:r>
          </w:p>
        </w:tc>
        <w:tc>
          <w:tcPr>
            <w:tcW w:w="1100" w:type="dxa"/>
            <w:shd w:val="clear" w:color="auto" w:fill="auto"/>
            <w:vAlign w:val="center"/>
          </w:tcPr>
          <w:p w14:paraId="5E8DF2B4">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尿液</w:t>
            </w:r>
          </w:p>
        </w:tc>
        <w:tc>
          <w:tcPr>
            <w:tcW w:w="1313" w:type="dxa"/>
            <w:shd w:val="clear" w:color="auto" w:fill="auto"/>
            <w:vAlign w:val="center"/>
          </w:tcPr>
          <w:p w14:paraId="3A58B3E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琼脂糖凝胶电泳法</w:t>
            </w:r>
          </w:p>
        </w:tc>
        <w:tc>
          <w:tcPr>
            <w:tcW w:w="6862" w:type="dxa"/>
            <w:shd w:val="clear" w:color="auto" w:fill="auto"/>
            <w:vAlign w:val="center"/>
          </w:tcPr>
          <w:p w14:paraId="6A78C8AA">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7E32FE0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45.54</w:t>
            </w:r>
          </w:p>
        </w:tc>
        <w:tc>
          <w:tcPr>
            <w:tcW w:w="925" w:type="dxa"/>
            <w:shd w:val="clear" w:color="auto" w:fill="auto"/>
            <w:vAlign w:val="center"/>
          </w:tcPr>
          <w:p w14:paraId="47607279">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147</w:t>
            </w:r>
          </w:p>
        </w:tc>
        <w:tc>
          <w:tcPr>
            <w:tcW w:w="962" w:type="dxa"/>
            <w:shd w:val="clear" w:color="auto" w:fill="auto"/>
            <w:vAlign w:val="center"/>
          </w:tcPr>
          <w:p w14:paraId="399E2C6B">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22E8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dxa"/>
            <w:shd w:val="clear" w:color="auto" w:fill="auto"/>
            <w:vAlign w:val="center"/>
          </w:tcPr>
          <w:p w14:paraId="249EC18F">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76</w:t>
            </w:r>
          </w:p>
        </w:tc>
        <w:tc>
          <w:tcPr>
            <w:tcW w:w="2137" w:type="dxa"/>
            <w:shd w:val="clear" w:color="auto" w:fill="auto"/>
            <w:vAlign w:val="center"/>
          </w:tcPr>
          <w:p w14:paraId="3D6EEA1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尿游离轻链</w:t>
            </w:r>
          </w:p>
        </w:tc>
        <w:tc>
          <w:tcPr>
            <w:tcW w:w="1100" w:type="dxa"/>
            <w:shd w:val="clear" w:color="auto" w:fill="auto"/>
            <w:vAlign w:val="center"/>
          </w:tcPr>
          <w:p w14:paraId="0FD6C6D8">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尿液</w:t>
            </w:r>
          </w:p>
        </w:tc>
        <w:tc>
          <w:tcPr>
            <w:tcW w:w="1313" w:type="dxa"/>
            <w:shd w:val="clear" w:color="auto" w:fill="auto"/>
            <w:vAlign w:val="center"/>
          </w:tcPr>
          <w:p w14:paraId="10C9868C">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免疫比浊法</w:t>
            </w:r>
          </w:p>
        </w:tc>
        <w:tc>
          <w:tcPr>
            <w:tcW w:w="6862" w:type="dxa"/>
            <w:shd w:val="clear" w:color="auto" w:fill="auto"/>
            <w:vAlign w:val="center"/>
          </w:tcPr>
          <w:p w14:paraId="7BA52156">
            <w:pPr>
              <w:jc w:val="center"/>
              <w:rPr>
                <w:rFonts w:hint="default" w:ascii="Arial" w:hAnsi="Arial" w:eastAsia="宋体" w:cs="Arial"/>
                <w:i w:val="0"/>
                <w:iCs w:val="0"/>
                <w:color w:val="auto"/>
                <w:sz w:val="21"/>
                <w:szCs w:val="21"/>
                <w:highlight w:val="none"/>
                <w:u w:val="none"/>
              </w:rPr>
            </w:pPr>
            <w:r>
              <w:rPr>
                <w:rFonts w:hint="eastAsia" w:ascii="Arial" w:hAnsi="Arial" w:cs="Arial"/>
                <w:i w:val="0"/>
                <w:iCs w:val="0"/>
                <w:color w:val="auto"/>
                <w:sz w:val="21"/>
                <w:szCs w:val="21"/>
                <w:highlight w:val="none"/>
                <w:u w:val="none"/>
                <w:lang w:val="en-US" w:eastAsia="zh-CN"/>
              </w:rPr>
              <w:t>/</w:t>
            </w:r>
          </w:p>
        </w:tc>
        <w:tc>
          <w:tcPr>
            <w:tcW w:w="1413" w:type="dxa"/>
            <w:shd w:val="clear" w:color="auto" w:fill="auto"/>
            <w:vAlign w:val="center"/>
          </w:tcPr>
          <w:p w14:paraId="58FB4C72">
            <w:pPr>
              <w:keepNext w:val="0"/>
              <w:keepLines w:val="0"/>
              <w:widowControl/>
              <w:suppressLineNumbers w:val="0"/>
              <w:jc w:val="center"/>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245</w:t>
            </w:r>
          </w:p>
        </w:tc>
        <w:tc>
          <w:tcPr>
            <w:tcW w:w="925" w:type="dxa"/>
            <w:shd w:val="clear" w:color="auto" w:fill="auto"/>
            <w:vAlign w:val="center"/>
          </w:tcPr>
          <w:p w14:paraId="39C86E90">
            <w:pPr>
              <w:keepNext w:val="0"/>
              <w:keepLines w:val="0"/>
              <w:widowControl/>
              <w:suppressLineNumbers w:val="0"/>
              <w:jc w:val="center"/>
              <w:textAlignment w:val="center"/>
              <w:rPr>
                <w:rFonts w:hint="default" w:ascii="Arial" w:hAnsi="Arial" w:eastAsia="宋体" w:cs="Arial"/>
                <w:i w:val="0"/>
                <w:iCs w:val="0"/>
                <w:color w:val="auto"/>
                <w:kern w:val="0"/>
                <w:sz w:val="20"/>
                <w:szCs w:val="20"/>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48</w:t>
            </w:r>
          </w:p>
        </w:tc>
        <w:tc>
          <w:tcPr>
            <w:tcW w:w="962" w:type="dxa"/>
            <w:shd w:val="clear" w:color="auto" w:fill="auto"/>
            <w:vAlign w:val="center"/>
          </w:tcPr>
          <w:p w14:paraId="4000CCDA">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p>
        </w:tc>
      </w:tr>
      <w:tr w14:paraId="57E4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975" w:type="dxa"/>
            <w:gridSpan w:val="5"/>
            <w:shd w:val="clear" w:color="auto" w:fill="auto"/>
            <w:vAlign w:val="center"/>
          </w:tcPr>
          <w:p w14:paraId="3A7BDD79">
            <w:pPr>
              <w:jc w:val="right"/>
              <w:rPr>
                <w:rFonts w:hint="default" w:ascii="Arial" w:hAnsi="Arial" w:cs="Arial"/>
                <w:i w:val="0"/>
                <w:iCs w:val="0"/>
                <w:color w:val="auto"/>
                <w:sz w:val="21"/>
                <w:szCs w:val="21"/>
                <w:highlight w:val="none"/>
                <w:u w:val="none"/>
                <w:lang w:val="en-US" w:eastAsia="zh-CN"/>
              </w:rPr>
            </w:pPr>
            <w:r>
              <w:rPr>
                <w:rFonts w:hint="eastAsia" w:ascii="Arial" w:hAnsi="Arial" w:cs="Arial"/>
                <w:i w:val="0"/>
                <w:iCs w:val="0"/>
                <w:color w:val="auto"/>
                <w:sz w:val="21"/>
                <w:szCs w:val="21"/>
                <w:highlight w:val="none"/>
                <w:u w:val="none"/>
                <w:lang w:val="en-US" w:eastAsia="zh-CN"/>
              </w:rPr>
              <w:t>合计金额：</w:t>
            </w:r>
          </w:p>
        </w:tc>
        <w:tc>
          <w:tcPr>
            <w:tcW w:w="2338" w:type="dxa"/>
            <w:gridSpan w:val="2"/>
            <w:shd w:val="clear" w:color="auto" w:fill="auto"/>
            <w:vAlign w:val="center"/>
          </w:tcPr>
          <w:p w14:paraId="431911E0">
            <w:pPr>
              <w:keepNext w:val="0"/>
              <w:keepLines w:val="0"/>
              <w:widowControl/>
              <w:suppressLineNumbers w:val="0"/>
              <w:jc w:val="right"/>
              <w:textAlignment w:val="center"/>
              <w:rPr>
                <w:rFonts w:hint="default" w:ascii="Arial" w:hAnsi="Arial" w:eastAsia="宋体" w:cs="Arial"/>
                <w:i w:val="0"/>
                <w:iCs w:val="0"/>
                <w:color w:val="auto"/>
                <w:kern w:val="2"/>
                <w:sz w:val="22"/>
                <w:szCs w:val="22"/>
                <w:highlight w:val="none"/>
                <w:u w:val="none"/>
                <w:lang w:val="en-US" w:eastAsia="zh-CN" w:bidi="ar-SA"/>
              </w:rPr>
            </w:pPr>
            <w:r>
              <w:rPr>
                <w:rFonts w:hint="eastAsia" w:ascii="Arial" w:hAnsi="Arial" w:cs="Arial"/>
                <w:i w:val="0"/>
                <w:iCs w:val="0"/>
                <w:color w:val="auto"/>
                <w:sz w:val="21"/>
                <w:szCs w:val="21"/>
                <w:highlight w:val="none"/>
                <w:u w:val="none"/>
                <w:lang w:val="en-US" w:eastAsia="zh-CN"/>
              </w:rPr>
              <w:t>4748474.83元</w:t>
            </w:r>
          </w:p>
        </w:tc>
        <w:tc>
          <w:tcPr>
            <w:tcW w:w="962" w:type="dxa"/>
            <w:shd w:val="clear" w:color="auto" w:fill="auto"/>
            <w:vAlign w:val="center"/>
          </w:tcPr>
          <w:p w14:paraId="7440E7E2">
            <w:pPr>
              <w:keepNext w:val="0"/>
              <w:keepLines w:val="0"/>
              <w:widowControl/>
              <w:suppressLineNumbers w:val="0"/>
              <w:jc w:val="right"/>
              <w:textAlignment w:val="center"/>
              <w:rPr>
                <w:rFonts w:hint="default" w:ascii="Arial" w:hAnsi="Arial" w:eastAsia="宋体" w:cs="Arial"/>
                <w:i w:val="0"/>
                <w:iCs w:val="0"/>
                <w:color w:val="auto"/>
                <w:kern w:val="0"/>
                <w:sz w:val="22"/>
                <w:szCs w:val="22"/>
                <w:highlight w:val="none"/>
                <w:u w:val="none"/>
                <w:lang w:val="en-US" w:eastAsia="zh-CN" w:bidi="ar"/>
              </w:rPr>
            </w:pPr>
          </w:p>
        </w:tc>
      </w:tr>
    </w:tbl>
    <w:p w14:paraId="196E73EE">
      <w:pPr>
        <w:spacing w:line="528" w:lineRule="exact"/>
        <w:ind w:firstLine="210" w:firstLineChars="100"/>
        <w:rPr>
          <w:rFonts w:ascii="Arial" w:hAnsi="Arial" w:cs="Arial"/>
          <w:color w:val="auto"/>
          <w:szCs w:val="21"/>
          <w:highlight w:val="none"/>
        </w:rPr>
        <w:sectPr>
          <w:type w:val="continuous"/>
          <w:pgSz w:w="16838" w:h="11906" w:orient="landscape"/>
          <w:pgMar w:top="1418" w:right="993" w:bottom="1133" w:left="1246" w:header="851" w:footer="992" w:gutter="0"/>
          <w:cols w:space="720" w:num="1"/>
          <w:titlePg/>
          <w:docGrid w:linePitch="312" w:charSpace="0"/>
        </w:sectPr>
      </w:pPr>
    </w:p>
    <w:p w14:paraId="7264E864">
      <w:pPr>
        <w:spacing w:line="360" w:lineRule="auto"/>
        <w:rPr>
          <w:rFonts w:ascii="Arial" w:hAnsi="Arial" w:cs="Arial"/>
          <w:color w:val="auto"/>
          <w:szCs w:val="21"/>
          <w:highlight w:val="none"/>
        </w:rPr>
      </w:pPr>
      <w:bookmarkStart w:id="15" w:name="_Hlk132878609"/>
    </w:p>
    <w:bookmarkEnd w:id="15"/>
    <w:p w14:paraId="6C4D1909">
      <w:pPr>
        <w:pStyle w:val="2"/>
        <w:snapToGrid w:val="0"/>
        <w:spacing w:before="0" w:after="0" w:line="240" w:lineRule="auto"/>
        <w:jc w:val="center"/>
        <w:rPr>
          <w:rFonts w:ascii="Arial" w:hAnsi="Arial" w:cs="Arial"/>
          <w:color w:val="auto"/>
          <w:highlight w:val="none"/>
        </w:rPr>
      </w:pPr>
      <w:bookmarkStart w:id="16" w:name="_Toc10516"/>
      <w:r>
        <w:rPr>
          <w:rFonts w:ascii="Arial" w:hAnsi="Arial" w:cs="Arial"/>
          <w:color w:val="auto"/>
          <w:highlight w:val="none"/>
        </w:rPr>
        <w:t>第三章  供应商须知</w:t>
      </w:r>
      <w:bookmarkEnd w:id="16"/>
      <w:bookmarkStart w:id="17" w:name="_Toc254970667"/>
      <w:bookmarkStart w:id="18" w:name="_Toc254970526"/>
    </w:p>
    <w:p w14:paraId="0DE5DEDB">
      <w:pPr>
        <w:pStyle w:val="3"/>
        <w:spacing w:before="40" w:after="40"/>
        <w:jc w:val="center"/>
        <w:rPr>
          <w:rFonts w:eastAsia="宋体" w:cs="Arial"/>
          <w:color w:val="auto"/>
          <w:sz w:val="24"/>
          <w:szCs w:val="24"/>
          <w:highlight w:val="none"/>
        </w:rPr>
      </w:pPr>
      <w:bookmarkStart w:id="19" w:name="_投标人须知前附表"/>
      <w:bookmarkEnd w:id="19"/>
      <w:bookmarkStart w:id="20" w:name="_Hlk89163557"/>
      <w:r>
        <w:rPr>
          <w:rFonts w:eastAsia="宋体" w:cs="Arial"/>
          <w:color w:val="auto"/>
          <w:sz w:val="24"/>
          <w:szCs w:val="24"/>
          <w:highlight w:val="none"/>
        </w:rPr>
        <w:t>供应商须知前附表</w:t>
      </w:r>
      <w:bookmarkEnd w:id="17"/>
      <w:bookmarkEnd w:id="18"/>
    </w:p>
    <w:bookmarkEnd w:id="20"/>
    <w:tbl>
      <w:tblPr>
        <w:tblStyle w:val="52"/>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5F4113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FFCD8ED">
            <w:pPr>
              <w:jc w:val="center"/>
              <w:rPr>
                <w:rFonts w:ascii="Arial" w:hAnsi="Arial" w:eastAsia="宋体" w:cs="Arial"/>
                <w:b/>
                <w:color w:val="auto"/>
                <w:szCs w:val="21"/>
                <w:highlight w:val="none"/>
              </w:rPr>
            </w:pPr>
            <w:r>
              <w:rPr>
                <w:rFonts w:ascii="Arial" w:hAnsi="Arial" w:eastAsia="宋体" w:cs="Arial"/>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1E860FF">
            <w:pPr>
              <w:jc w:val="center"/>
              <w:rPr>
                <w:rFonts w:ascii="Arial" w:hAnsi="Arial" w:eastAsia="宋体" w:cs="Arial"/>
                <w:b/>
                <w:color w:val="auto"/>
                <w:szCs w:val="21"/>
                <w:highlight w:val="none"/>
              </w:rPr>
            </w:pPr>
            <w:r>
              <w:rPr>
                <w:rFonts w:ascii="Arial" w:hAnsi="Arial" w:eastAsia="宋体" w:cs="Arial"/>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3245013">
            <w:pPr>
              <w:jc w:val="center"/>
              <w:rPr>
                <w:rFonts w:ascii="Arial" w:hAnsi="Arial" w:eastAsia="宋体" w:cs="Arial"/>
                <w:b/>
                <w:color w:val="auto"/>
                <w:szCs w:val="21"/>
                <w:highlight w:val="none"/>
              </w:rPr>
            </w:pPr>
            <w:r>
              <w:rPr>
                <w:rFonts w:ascii="Arial" w:hAnsi="Arial" w:eastAsia="宋体" w:cs="Arial"/>
                <w:b/>
                <w:color w:val="auto"/>
                <w:szCs w:val="21"/>
                <w:highlight w:val="none"/>
              </w:rPr>
              <w:t>内容、要求</w:t>
            </w:r>
          </w:p>
        </w:tc>
      </w:tr>
      <w:tr w14:paraId="4C7DF2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30C33CD">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A2D38F9">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DE0E92C">
            <w:pPr>
              <w:spacing w:line="300" w:lineRule="exact"/>
              <w:jc w:val="left"/>
              <w:rPr>
                <w:rFonts w:hint="eastAsia" w:ascii="Arial" w:hAnsi="Arial" w:eastAsia="宋体" w:cs="Arial"/>
                <w:color w:val="auto"/>
                <w:szCs w:val="21"/>
                <w:highlight w:val="none"/>
                <w:lang w:eastAsia="zh-CN"/>
              </w:rPr>
            </w:pPr>
            <w:r>
              <w:rPr>
                <w:rFonts w:ascii="Arial" w:hAnsi="Arial" w:eastAsia="宋体" w:cs="Arial"/>
                <w:color w:val="auto"/>
                <w:szCs w:val="21"/>
                <w:highlight w:val="none"/>
              </w:rPr>
              <w:t>项目名称：</w:t>
            </w:r>
            <w:r>
              <w:rPr>
                <w:rFonts w:hint="eastAsia" w:ascii="Arial" w:hAnsi="Arial" w:eastAsia="宋体" w:cs="Arial"/>
                <w:color w:val="auto"/>
                <w:kern w:val="0"/>
                <w:szCs w:val="21"/>
                <w:highlight w:val="none"/>
                <w:lang w:eastAsia="zh-CN"/>
              </w:rPr>
              <w:t>外送检验、病理诊断等检测项目供应服务</w:t>
            </w:r>
          </w:p>
          <w:p w14:paraId="69BEB440">
            <w:pPr>
              <w:spacing w:line="300" w:lineRule="exact"/>
              <w:jc w:val="left"/>
              <w:rPr>
                <w:rFonts w:hint="eastAsia" w:ascii="Arial" w:hAnsi="Arial" w:eastAsia="宋体" w:cs="Arial"/>
                <w:color w:val="auto"/>
                <w:szCs w:val="21"/>
                <w:highlight w:val="none"/>
                <w:lang w:eastAsia="zh-CN"/>
              </w:rPr>
            </w:pPr>
            <w:r>
              <w:rPr>
                <w:rFonts w:ascii="Arial" w:hAnsi="Arial" w:eastAsia="宋体" w:cs="Arial"/>
                <w:color w:val="auto"/>
                <w:szCs w:val="21"/>
                <w:highlight w:val="none"/>
              </w:rPr>
              <w:t>项目编号：</w:t>
            </w:r>
            <w:r>
              <w:rPr>
                <w:rFonts w:hint="eastAsia" w:ascii="Arial" w:hAnsi="Arial" w:cs="Arial"/>
                <w:color w:val="auto"/>
                <w:szCs w:val="21"/>
                <w:highlight w:val="none"/>
                <w:lang w:eastAsia="zh-CN"/>
              </w:rPr>
              <w:t>GXZC2026-G3-002388-JDZB</w:t>
            </w:r>
          </w:p>
          <w:p w14:paraId="6A6FFDB1">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采购计划号：</w:t>
            </w:r>
            <w:r>
              <w:rPr>
                <w:rFonts w:hint="eastAsia" w:ascii="Arial" w:hAnsi="Arial" w:eastAsia="宋体" w:cs="Arial"/>
                <w:color w:val="auto"/>
                <w:szCs w:val="21"/>
                <w:highlight w:val="none"/>
              </w:rPr>
              <w:t>广西政采[2026]14185号</w:t>
            </w:r>
            <w:r>
              <w:rPr>
                <w:rFonts w:ascii="Arial" w:hAnsi="Arial" w:eastAsia="宋体" w:cs="Arial"/>
                <w:color w:val="auto"/>
                <w:highlight w:val="none"/>
              </w:rPr>
              <w:t xml:space="preserve"> </w:t>
            </w:r>
          </w:p>
        </w:tc>
      </w:tr>
      <w:tr w14:paraId="26CD2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893C34D">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E2A2DB4">
            <w:pPr>
              <w:spacing w:line="300" w:lineRule="exact"/>
              <w:jc w:val="center"/>
              <w:rPr>
                <w:rFonts w:ascii="Arial" w:hAnsi="Arial" w:eastAsia="宋体" w:cs="Arial"/>
                <w:color w:val="auto"/>
                <w:szCs w:val="21"/>
                <w:highlight w:val="none"/>
                <w:lang w:val="zh-CN"/>
              </w:rPr>
            </w:pPr>
            <w:r>
              <w:rPr>
                <w:rFonts w:hint="eastAsia" w:ascii="Arial" w:hAnsi="Arial" w:eastAsia="宋体" w:cs="Arial"/>
                <w:color w:val="auto"/>
                <w:szCs w:val="21"/>
                <w:highlight w:val="none"/>
                <w:lang w:val="zh-CN"/>
              </w:rPr>
              <w:t>采购</w:t>
            </w:r>
            <w:r>
              <w:rPr>
                <w:rFonts w:hint="eastAsia" w:ascii="Arial" w:hAnsi="Arial" w:cs="Arial"/>
                <w:color w:val="auto"/>
                <w:szCs w:val="21"/>
                <w:highlight w:val="none"/>
                <w:lang w:val="en-US" w:eastAsia="zh-CN"/>
              </w:rPr>
              <w:t>方</w:t>
            </w:r>
            <w:r>
              <w:rPr>
                <w:rFonts w:ascii="Arial" w:hAnsi="Arial" w:eastAsia="宋体" w:cs="Arial"/>
                <w:color w:val="auto"/>
                <w:szCs w:val="21"/>
                <w:highlight w:val="none"/>
                <w:lang w:val="zh-CN"/>
              </w:rPr>
              <w:t>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2322572">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公开招标。</w:t>
            </w:r>
          </w:p>
        </w:tc>
      </w:tr>
      <w:tr w14:paraId="012A80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2C4F06E">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0DC0FB9">
            <w:pPr>
              <w:spacing w:line="300" w:lineRule="exact"/>
              <w:jc w:val="center"/>
              <w:rPr>
                <w:rFonts w:ascii="Arial" w:hAnsi="Arial" w:eastAsia="宋体" w:cs="Arial"/>
                <w:color w:val="auto"/>
                <w:szCs w:val="21"/>
                <w:highlight w:val="none"/>
                <w:lang w:val="zh-CN"/>
              </w:rPr>
            </w:pPr>
            <w:r>
              <w:rPr>
                <w:rFonts w:ascii="Arial" w:hAnsi="Arial" w:eastAsia="宋体" w:cs="Arial"/>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A695D9B">
            <w:pPr>
              <w:spacing w:line="300" w:lineRule="exact"/>
              <w:jc w:val="left"/>
              <w:rPr>
                <w:rFonts w:ascii="Arial" w:hAnsi="Arial" w:eastAsia="宋体" w:cs="Arial"/>
                <w:color w:val="auto"/>
                <w:szCs w:val="21"/>
                <w:highlight w:val="none"/>
              </w:rPr>
            </w:pPr>
            <w:r>
              <w:rPr>
                <w:rFonts w:ascii="Arial" w:hAnsi="Arial" w:eastAsia="宋体" w:cs="Arial"/>
                <w:color w:val="auto"/>
                <w:kern w:val="0"/>
                <w:szCs w:val="21"/>
                <w:highlight w:val="none"/>
              </w:rPr>
              <w:t>本项目非专门面向中小微企业采购。</w:t>
            </w:r>
          </w:p>
        </w:tc>
      </w:tr>
      <w:tr w14:paraId="1D465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1B6BA23E">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2605825">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5AD272C">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详见招标公告。</w:t>
            </w:r>
          </w:p>
        </w:tc>
      </w:tr>
      <w:tr w14:paraId="66D82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noWrap w:val="0"/>
            <w:vAlign w:val="center"/>
          </w:tcPr>
          <w:p w14:paraId="25A5FD94">
            <w:pPr>
              <w:spacing w:line="300" w:lineRule="exact"/>
              <w:jc w:val="center"/>
              <w:rPr>
                <w:rFonts w:ascii="Arial" w:hAnsi="Arial" w:eastAsia="宋体" w:cs="Arial"/>
                <w:b/>
                <w:color w:val="auto"/>
                <w:szCs w:val="21"/>
                <w:highlight w:val="none"/>
              </w:rPr>
            </w:pPr>
            <w:bookmarkStart w:id="21" w:name="_Hlk85555568"/>
            <w:r>
              <w:rPr>
                <w:rFonts w:ascii="Arial" w:hAnsi="Arial" w:eastAsia="宋体" w:cs="Arial"/>
                <w:b/>
                <w:color w:val="auto"/>
                <w:szCs w:val="21"/>
                <w:highlight w:val="none"/>
              </w:rPr>
              <w:t>1.5.3</w:t>
            </w:r>
          </w:p>
        </w:tc>
        <w:tc>
          <w:tcPr>
            <w:tcW w:w="1248" w:type="dxa"/>
            <w:tcBorders>
              <w:top w:val="single" w:color="auto" w:sz="4" w:space="0"/>
              <w:left w:val="single" w:color="auto" w:sz="4" w:space="0"/>
              <w:right w:val="single" w:color="auto" w:sz="4" w:space="0"/>
            </w:tcBorders>
            <w:noWrap w:val="0"/>
            <w:vAlign w:val="center"/>
          </w:tcPr>
          <w:p w14:paraId="05754214">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联合体</w:t>
            </w:r>
          </w:p>
        </w:tc>
        <w:tc>
          <w:tcPr>
            <w:tcW w:w="7229" w:type="dxa"/>
            <w:tcBorders>
              <w:top w:val="single" w:color="auto" w:sz="4" w:space="0"/>
              <w:left w:val="single" w:color="auto" w:sz="4" w:space="0"/>
              <w:right w:val="single" w:color="auto" w:sz="4" w:space="0"/>
            </w:tcBorders>
            <w:noWrap w:val="0"/>
            <w:vAlign w:val="center"/>
          </w:tcPr>
          <w:p w14:paraId="266F876A">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是否接受联合体详见招标公告</w:t>
            </w:r>
          </w:p>
        </w:tc>
      </w:tr>
      <w:bookmarkEnd w:id="21"/>
      <w:tr w14:paraId="772D3F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52E072FF">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369659E">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73DE645">
            <w:pPr>
              <w:spacing w:line="300" w:lineRule="exact"/>
              <w:jc w:val="left"/>
              <w:rPr>
                <w:rFonts w:ascii="Arial" w:hAnsi="Arial" w:eastAsia="宋体" w:cs="Arial"/>
                <w:color w:val="auto"/>
                <w:szCs w:val="21"/>
                <w:highlight w:val="none"/>
              </w:rPr>
            </w:pPr>
            <w:r>
              <w:rPr>
                <w:rFonts w:ascii="Arial" w:hAnsi="Arial" w:eastAsia="宋体" w:cs="Arial"/>
                <w:color w:val="auto"/>
                <w:highlight w:val="none"/>
              </w:rPr>
              <w:t>不组织。</w:t>
            </w:r>
            <w:r>
              <w:rPr>
                <w:rFonts w:ascii="Arial" w:hAnsi="Arial" w:eastAsia="宋体" w:cs="Arial"/>
                <w:color w:val="auto"/>
                <w:szCs w:val="21"/>
                <w:highlight w:val="none"/>
              </w:rPr>
              <w:t xml:space="preserve">   </w:t>
            </w:r>
          </w:p>
        </w:tc>
      </w:tr>
      <w:tr w14:paraId="600A5F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4FB59BB4">
            <w:pPr>
              <w:spacing w:line="300" w:lineRule="exact"/>
              <w:jc w:val="center"/>
              <w:rPr>
                <w:rFonts w:hint="default" w:ascii="Arial" w:hAnsi="Arial" w:eastAsia="宋体" w:cs="Arial"/>
                <w:b/>
                <w:color w:val="auto"/>
                <w:szCs w:val="21"/>
                <w:highlight w:val="none"/>
                <w:lang w:val="en-US" w:eastAsia="zh-CN"/>
              </w:rPr>
            </w:pPr>
            <w:r>
              <w:rPr>
                <w:rFonts w:hint="eastAsia" w:ascii="Arial" w:hAnsi="Arial" w:eastAsia="宋体" w:cs="Arial"/>
                <w:b/>
                <w:color w:val="auto"/>
                <w:szCs w:val="21"/>
                <w:highlight w:val="none"/>
                <w:lang w:val="en-US" w:eastAsia="zh-CN"/>
              </w:rPr>
              <w:t>1.9</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9D6181C">
            <w:pPr>
              <w:spacing w:line="300" w:lineRule="exact"/>
              <w:jc w:val="center"/>
              <w:rPr>
                <w:rFonts w:ascii="Arial" w:hAnsi="Arial" w:eastAsia="宋体" w:cs="Arial"/>
                <w:color w:val="auto"/>
                <w:szCs w:val="21"/>
                <w:highlight w:val="none"/>
              </w:rPr>
            </w:pPr>
            <w:r>
              <w:rPr>
                <w:rFonts w:hint="eastAsia" w:ascii="Times New Roman" w:hAnsi="Times New Roman" w:eastAsia="宋体" w:cs="Times New Roman"/>
                <w:color w:val="auto"/>
                <w:szCs w:val="21"/>
                <w:highlight w:val="none"/>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C9340BE">
            <w:pPr>
              <w:spacing w:line="300" w:lineRule="exact"/>
              <w:jc w:val="left"/>
              <w:rPr>
                <w:rFonts w:ascii="Arial" w:hAnsi="Arial" w:eastAsia="宋体" w:cs="Arial"/>
                <w:color w:val="auto"/>
                <w:highlight w:val="none"/>
              </w:rPr>
            </w:pPr>
            <w:r>
              <w:rPr>
                <w:rFonts w:hint="eastAsia" w:ascii="Times New Roman" w:hAnsi="Times New Roman" w:eastAsia="宋体" w:cs="Times New Roman"/>
                <w:color w:val="auto"/>
                <w:szCs w:val="21"/>
                <w:highlight w:val="none"/>
              </w:rPr>
              <w:t>不适用</w:t>
            </w:r>
          </w:p>
        </w:tc>
      </w:tr>
      <w:tr w14:paraId="13F9C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0E2556A8">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27155A1">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19EA689">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是否接受分包详见招标公告</w:t>
            </w:r>
          </w:p>
        </w:tc>
      </w:tr>
      <w:tr w14:paraId="450EB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01EC3AAC">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D50BFA2">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招标文件澄清、修改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B850E20">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在招标公告发布媒介发布。</w:t>
            </w:r>
          </w:p>
        </w:tc>
      </w:tr>
      <w:tr w14:paraId="40A67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035D659">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A4EAEFD">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09A2C9E">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澄清、修改文件自招标公告发布媒体发布之日起，视为供应商已收到该澄清、修改。供应商未及时关注招标公告发布媒体造成的损失，由供应商自行负责。</w:t>
            </w:r>
          </w:p>
        </w:tc>
      </w:tr>
      <w:tr w14:paraId="5C90FF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4C17A86">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C622493">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投标有效期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BB05E54">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投标截止之日起90天。</w:t>
            </w:r>
          </w:p>
        </w:tc>
      </w:tr>
      <w:tr w14:paraId="39132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61D2CC04">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B02D866">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投标保证金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24A91C5">
            <w:pPr>
              <w:spacing w:line="300" w:lineRule="exact"/>
              <w:rPr>
                <w:rFonts w:ascii="Arial" w:hAnsi="Arial" w:eastAsia="宋体" w:cs="Arial"/>
                <w:b/>
                <w:bCs/>
                <w:color w:val="auto"/>
                <w:szCs w:val="21"/>
                <w:highlight w:val="none"/>
              </w:rPr>
            </w:pPr>
            <w:r>
              <w:rPr>
                <w:rFonts w:ascii="Arial" w:hAnsi="Arial" w:eastAsia="宋体" w:cs="Arial"/>
                <w:color w:val="auto"/>
                <w:highlight w:val="none"/>
              </w:rPr>
              <w:t>本项目无需缴纳投标保证金。</w:t>
            </w:r>
          </w:p>
        </w:tc>
      </w:tr>
      <w:tr w14:paraId="270CB8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4EB89521">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3.6</w:t>
            </w:r>
          </w:p>
        </w:tc>
        <w:tc>
          <w:tcPr>
            <w:tcW w:w="1248" w:type="dxa"/>
            <w:tcBorders>
              <w:top w:val="single" w:color="auto" w:sz="4" w:space="0"/>
              <w:left w:val="single" w:color="auto" w:sz="4" w:space="0"/>
              <w:right w:val="single" w:color="auto" w:sz="4" w:space="0"/>
            </w:tcBorders>
            <w:noWrap w:val="0"/>
            <w:vAlign w:val="center"/>
          </w:tcPr>
          <w:p w14:paraId="0A545FEF">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投标文件的编制</w:t>
            </w:r>
          </w:p>
        </w:tc>
        <w:tc>
          <w:tcPr>
            <w:tcW w:w="7229" w:type="dxa"/>
            <w:tcBorders>
              <w:top w:val="single" w:color="auto" w:sz="4" w:space="0"/>
              <w:left w:val="single" w:color="auto" w:sz="4" w:space="0"/>
              <w:right w:val="single" w:color="auto" w:sz="4" w:space="0"/>
            </w:tcBorders>
            <w:noWrap w:val="0"/>
            <w:vAlign w:val="center"/>
          </w:tcPr>
          <w:p w14:paraId="0B1AE90D">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投标文件应按第六章投标文件格式分别编制并使用下载的广西政府采购云平台新版客户端制作并上传。</w:t>
            </w:r>
          </w:p>
        </w:tc>
      </w:tr>
      <w:tr w14:paraId="0CBF04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0FD0C6C">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ABD585A">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投标文件递交截止时间及开标时间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DD2208F">
            <w:pPr>
              <w:spacing w:line="300" w:lineRule="exact"/>
              <w:jc w:val="left"/>
              <w:rPr>
                <w:rFonts w:ascii="Arial" w:hAnsi="Arial" w:eastAsia="宋体" w:cs="Arial"/>
                <w:color w:val="auto"/>
                <w:szCs w:val="21"/>
                <w:highlight w:val="none"/>
              </w:rPr>
            </w:pPr>
            <w:r>
              <w:rPr>
                <w:rFonts w:ascii="Arial" w:hAnsi="Arial" w:eastAsia="宋体" w:cs="Arial"/>
                <w:color w:val="auto"/>
                <w:kern w:val="0"/>
                <w:szCs w:val="21"/>
                <w:highlight w:val="none"/>
              </w:rPr>
              <w:t>见招标公告要求</w:t>
            </w:r>
            <w:r>
              <w:rPr>
                <w:rFonts w:ascii="Arial" w:hAnsi="Arial" w:eastAsia="宋体" w:cs="Arial"/>
                <w:color w:val="auto"/>
                <w:szCs w:val="21"/>
                <w:highlight w:val="none"/>
              </w:rPr>
              <w:t>。</w:t>
            </w:r>
          </w:p>
        </w:tc>
      </w:tr>
      <w:tr w14:paraId="77E67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F1C0437">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4.2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2625864">
            <w:pPr>
              <w:spacing w:line="300" w:lineRule="exact"/>
              <w:jc w:val="center"/>
              <w:rPr>
                <w:rFonts w:ascii="Arial" w:hAnsi="Arial" w:eastAsia="宋体" w:cs="Arial"/>
                <w:color w:val="auto"/>
                <w:szCs w:val="20"/>
                <w:highlight w:val="none"/>
              </w:rPr>
            </w:pPr>
            <w:r>
              <w:rPr>
                <w:rFonts w:ascii="Arial" w:hAnsi="Arial" w:eastAsia="宋体" w:cs="Arial"/>
                <w:color w:val="auto"/>
                <w:szCs w:val="21"/>
                <w:highlight w:val="none"/>
              </w:rPr>
              <w:t>备份投标文件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6739E5E">
            <w:pPr>
              <w:spacing w:line="276" w:lineRule="auto"/>
              <w:rPr>
                <w:rFonts w:ascii="Arial" w:hAnsi="Arial" w:eastAsia="宋体" w:cs="Arial"/>
                <w:color w:val="auto"/>
                <w:szCs w:val="21"/>
                <w:highlight w:val="none"/>
              </w:rPr>
            </w:pPr>
            <w:r>
              <w:rPr>
                <w:rFonts w:ascii="Arial" w:hAnsi="Arial" w:eastAsia="宋体" w:cs="Arial"/>
                <w:color w:val="auto"/>
                <w:szCs w:val="21"/>
                <w:highlight w:val="none"/>
              </w:rPr>
              <w:t>本项目</w:t>
            </w:r>
            <w:r>
              <w:rPr>
                <w:rFonts w:ascii="Arial" w:hAnsi="Arial" w:eastAsia="宋体" w:cs="Arial"/>
                <w:color w:val="auto"/>
                <w:sz w:val="22"/>
                <w:szCs w:val="22"/>
                <w:highlight w:val="none"/>
              </w:rPr>
              <w:sym w:font="Wingdings 2" w:char="F052"/>
            </w:r>
            <w:r>
              <w:rPr>
                <w:rFonts w:ascii="Arial" w:hAnsi="Arial" w:eastAsia="宋体" w:cs="Arial"/>
                <w:color w:val="auto"/>
                <w:szCs w:val="21"/>
                <w:highlight w:val="none"/>
              </w:rPr>
              <w:t>接受   □不接受备份投标文件</w:t>
            </w:r>
          </w:p>
          <w:p w14:paraId="54CAFE71">
            <w:pPr>
              <w:spacing w:line="276" w:lineRule="auto"/>
              <w:rPr>
                <w:rFonts w:ascii="Arial" w:hAnsi="Arial" w:eastAsia="宋体" w:cs="Arial"/>
                <w:color w:val="auto"/>
                <w:sz w:val="22"/>
                <w:szCs w:val="22"/>
                <w:highlight w:val="none"/>
              </w:rPr>
            </w:pPr>
            <w:r>
              <w:rPr>
                <w:rFonts w:ascii="Arial" w:hAnsi="Arial" w:eastAsia="宋体" w:cs="Arial"/>
                <w:color w:val="auto"/>
                <w:szCs w:val="21"/>
                <w:highlight w:val="none"/>
              </w:rPr>
              <w:t>以广西政府采购云平台自动生成的备份文件为依据，当项目允许接受备份</w:t>
            </w:r>
            <w:r>
              <w:rPr>
                <w:rFonts w:hint="eastAsia" w:ascii="Arial" w:hAnsi="Arial" w:eastAsia="宋体" w:cs="Arial"/>
                <w:color w:val="auto"/>
                <w:szCs w:val="21"/>
                <w:highlight w:val="none"/>
              </w:rPr>
              <w:t>投标文件</w:t>
            </w:r>
            <w:r>
              <w:rPr>
                <w:rFonts w:ascii="Arial" w:hAnsi="Arial" w:eastAsia="宋体" w:cs="Arial"/>
                <w:color w:val="auto"/>
                <w:szCs w:val="21"/>
                <w:highlight w:val="none"/>
              </w:rPr>
              <w:t>时，供应商才可以按规定上传备份</w:t>
            </w:r>
            <w:r>
              <w:rPr>
                <w:rFonts w:hint="eastAsia" w:ascii="Arial" w:hAnsi="Arial" w:eastAsia="宋体" w:cs="Arial"/>
                <w:color w:val="auto"/>
                <w:szCs w:val="21"/>
                <w:highlight w:val="none"/>
              </w:rPr>
              <w:t>投标文件</w:t>
            </w:r>
            <w:r>
              <w:rPr>
                <w:rFonts w:ascii="Arial" w:hAnsi="Arial" w:eastAsia="宋体" w:cs="Arial"/>
                <w:color w:val="auto"/>
                <w:szCs w:val="21"/>
                <w:highlight w:val="none"/>
              </w:rPr>
              <w:t>。</w:t>
            </w:r>
          </w:p>
        </w:tc>
      </w:tr>
      <w:tr w14:paraId="18EDB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4B51651">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4.3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555F50D">
            <w:pPr>
              <w:spacing w:line="300" w:lineRule="exact"/>
              <w:jc w:val="center"/>
              <w:rPr>
                <w:rFonts w:ascii="Arial" w:hAnsi="Arial" w:eastAsia="宋体" w:cs="Arial"/>
                <w:color w:val="auto"/>
                <w:szCs w:val="21"/>
                <w:highlight w:val="none"/>
              </w:rPr>
            </w:pPr>
            <w:r>
              <w:rPr>
                <w:rFonts w:ascii="Arial" w:hAnsi="Arial" w:eastAsia="宋体" w:cs="Arial"/>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81D6975">
            <w:pPr>
              <w:spacing w:line="276" w:lineRule="auto"/>
              <w:rPr>
                <w:rFonts w:ascii="Arial" w:hAnsi="Arial" w:eastAsia="宋体" w:cs="Arial"/>
                <w:color w:val="auto"/>
                <w:szCs w:val="21"/>
                <w:highlight w:val="none"/>
              </w:rPr>
            </w:pPr>
            <w:r>
              <w:rPr>
                <w:rFonts w:ascii="Arial" w:hAnsi="Arial" w:eastAsia="宋体" w:cs="Arial"/>
                <w:color w:val="auto"/>
                <w:szCs w:val="21"/>
                <w:highlight w:val="none"/>
              </w:rPr>
              <w:t>本项目无演示</w:t>
            </w:r>
          </w:p>
        </w:tc>
      </w:tr>
      <w:tr w14:paraId="6C4FC8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13BB2DB">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4.4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DC3A099">
            <w:pPr>
              <w:spacing w:line="300" w:lineRule="exact"/>
              <w:jc w:val="center"/>
              <w:rPr>
                <w:rFonts w:ascii="Arial" w:hAnsi="Arial" w:eastAsia="宋体" w:cs="Arial"/>
                <w:color w:val="auto"/>
                <w:szCs w:val="21"/>
                <w:highlight w:val="none"/>
              </w:rPr>
            </w:pPr>
            <w:r>
              <w:rPr>
                <w:rFonts w:ascii="Arial" w:hAnsi="Arial" w:eastAsia="宋体" w:cs="Arial"/>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B604F95">
            <w:pPr>
              <w:spacing w:line="276" w:lineRule="auto"/>
              <w:rPr>
                <w:rFonts w:ascii="Arial" w:hAnsi="Arial" w:eastAsia="宋体" w:cs="Arial"/>
                <w:color w:val="auto"/>
                <w:szCs w:val="21"/>
                <w:highlight w:val="none"/>
              </w:rPr>
            </w:pPr>
            <w:r>
              <w:rPr>
                <w:rFonts w:ascii="Arial" w:hAnsi="Arial" w:eastAsia="宋体" w:cs="Arial"/>
                <w:color w:val="auto"/>
                <w:szCs w:val="21"/>
                <w:highlight w:val="none"/>
              </w:rPr>
              <w:t>本项目无需提供样品</w:t>
            </w:r>
          </w:p>
        </w:tc>
      </w:tr>
      <w:tr w14:paraId="45A4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EF63FC3">
            <w:pPr>
              <w:spacing w:line="300" w:lineRule="exact"/>
              <w:jc w:val="center"/>
              <w:rPr>
                <w:rFonts w:ascii="Arial" w:hAnsi="Arial" w:eastAsia="宋体" w:cs="Arial"/>
                <w:b/>
                <w:color w:val="auto"/>
                <w:szCs w:val="21"/>
                <w:highlight w:val="none"/>
              </w:rPr>
            </w:pPr>
            <w:r>
              <w:rPr>
                <w:rFonts w:hint="eastAsia" w:ascii="Times New Roman" w:hAnsi="Times New Roman" w:eastAsia="宋体" w:cs="Times New Roman"/>
                <w:b/>
                <w:color w:val="auto"/>
                <w:szCs w:val="21"/>
                <w:highlight w:val="none"/>
                <w:lang w:val="en-US" w:eastAsia="zh-CN"/>
              </w:rPr>
              <w:t>5.3.1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48025CF">
            <w:pPr>
              <w:spacing w:line="300" w:lineRule="exact"/>
              <w:jc w:val="center"/>
              <w:rPr>
                <w:rFonts w:ascii="Arial" w:hAnsi="Arial" w:eastAsia="宋体" w:cs="Arial"/>
                <w:color w:val="auto"/>
                <w:szCs w:val="20"/>
                <w:highlight w:val="none"/>
              </w:rPr>
            </w:pPr>
            <w:r>
              <w:rPr>
                <w:rFonts w:hint="eastAsia" w:ascii="Times New Roman" w:hAnsi="Times New Roman" w:eastAsia="宋体" w:cs="Times New Roman"/>
                <w:color w:val="auto"/>
                <w:kern w:val="2"/>
                <w:sz w:val="21"/>
                <w:szCs w:val="21"/>
                <w:highlight w:val="none"/>
                <w:lang w:val="en-US" w:eastAsia="zh-CN" w:bidi="ar-SA"/>
              </w:rPr>
              <w:t>信用查询规则</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D24640A">
            <w:pPr>
              <w:snapToGrid w:val="0"/>
              <w:spacing w:line="380" w:lineRule="exac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采购人或者采购代理机构在资格审查结束前，对</w:t>
            </w:r>
            <w:r>
              <w:rPr>
                <w:rFonts w:hint="eastAsia" w:ascii="宋体" w:hAnsi="宋体" w:eastAsia="宋体" w:cs="Times New Roman"/>
                <w:color w:val="auto"/>
                <w:szCs w:val="21"/>
                <w:highlight w:val="none"/>
                <w:lang w:val="en-US" w:eastAsia="zh-CN"/>
              </w:rPr>
              <w:t>投标人</w:t>
            </w:r>
            <w:r>
              <w:rPr>
                <w:rFonts w:hint="eastAsia" w:ascii="宋体" w:hAnsi="宋体" w:eastAsia="宋体" w:cs="Times New Roman"/>
                <w:color w:val="auto"/>
                <w:szCs w:val="21"/>
                <w:highlight w:val="none"/>
                <w:lang w:eastAsia="zh-CN"/>
              </w:rPr>
              <w:t>进行信用查询。</w:t>
            </w:r>
          </w:p>
          <w:p w14:paraId="42D1B1D6">
            <w:pPr>
              <w:snapToGrid w:val="0"/>
              <w:spacing w:line="380" w:lineRule="exac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）查询渠道：</w:t>
            </w:r>
            <w:r>
              <w:rPr>
                <w:rFonts w:hint="eastAsia" w:ascii="宋体" w:hAnsi="宋体" w:eastAsia="宋体" w:cs="Times New Roman"/>
                <w:color w:val="auto"/>
                <w:szCs w:val="21"/>
                <w:highlight w:val="none"/>
                <w:lang w:val="en-US" w:eastAsia="zh-CN"/>
              </w:rPr>
              <w:t>广西政府采购云平台</w:t>
            </w:r>
            <w:r>
              <w:rPr>
                <w:rFonts w:hint="eastAsia" w:ascii="宋体" w:hAnsi="宋体" w:eastAsia="宋体" w:cs="Times New Roman"/>
                <w:color w:val="auto"/>
                <w:szCs w:val="21"/>
                <w:highlight w:val="none"/>
                <w:lang w:eastAsia="zh-CN"/>
              </w:rPr>
              <w:t>“信用中国”网站(www.creditchina.gov.cn) 、中国政府采购网(www.ccgp.gov.cn)</w:t>
            </w:r>
            <w:r>
              <w:rPr>
                <w:rFonts w:hint="eastAsia" w:ascii="宋体" w:hAnsi="宋体" w:eastAsia="宋体" w:cs="Times New Roman"/>
                <w:color w:val="auto"/>
                <w:szCs w:val="21"/>
                <w:highlight w:val="none"/>
                <w:lang w:val="en-US" w:eastAsia="zh-CN"/>
              </w:rPr>
              <w:t>链接入口</w:t>
            </w:r>
            <w:r>
              <w:rPr>
                <w:rFonts w:hint="eastAsia" w:ascii="宋体" w:hAnsi="宋体" w:eastAsia="宋体" w:cs="Times New Roman"/>
                <w:color w:val="auto"/>
                <w:szCs w:val="21"/>
                <w:highlight w:val="none"/>
                <w:lang w:eastAsia="zh-CN"/>
              </w:rPr>
              <w:t>。</w:t>
            </w:r>
          </w:p>
          <w:p w14:paraId="34D84BFE">
            <w:pPr>
              <w:snapToGrid w:val="0"/>
              <w:spacing w:line="38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信用查询截止时点</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资</w:t>
            </w:r>
            <w:r>
              <w:rPr>
                <w:rFonts w:hint="eastAsia" w:ascii="宋体" w:hAnsi="宋体" w:eastAsia="宋体" w:cs="Times New Roman"/>
                <w:color w:val="auto"/>
                <w:szCs w:val="21"/>
                <w:highlight w:val="none"/>
              </w:rPr>
              <w:t>格审查结束前</w:t>
            </w:r>
          </w:p>
          <w:p w14:paraId="200D4E8D">
            <w:pPr>
              <w:snapToGrid w:val="0"/>
              <w:spacing w:line="38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查询记录和证据留存方式</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在查询网站中直接截图查询记录，截图作为在“广西政府采购云”平台作为附件上传保存。</w:t>
            </w:r>
          </w:p>
          <w:p w14:paraId="148DE98A">
            <w:pPr>
              <w:snapToGrid w:val="0"/>
              <w:spacing w:line="380" w:lineRule="exact"/>
              <w:rPr>
                <w:rFonts w:ascii="Arial" w:hAnsi="Arial" w:eastAsia="宋体" w:cs="Arial"/>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信用信息使用规则</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ascii="Times New Roman" w:hAnsi="Times New Roman" w:eastAsia="宋体" w:cs="Times New Roman"/>
                <w:color w:val="auto"/>
                <w:sz w:val="22"/>
                <w:highlight w:val="none"/>
              </w:rPr>
              <w:t>应当拒绝其参与政府采购活动</w:t>
            </w:r>
            <w:r>
              <w:rPr>
                <w:rFonts w:hint="eastAsia" w:ascii="宋体" w:hAnsi="宋体" w:eastAsia="宋体" w:cs="Times New Roman"/>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20E92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418A127">
            <w:pPr>
              <w:spacing w:line="300" w:lineRule="exact"/>
              <w:jc w:val="center"/>
              <w:rPr>
                <w:rFonts w:hint="eastAsia" w:ascii="Times New Roman" w:hAnsi="Times New Roman" w:eastAsia="宋体" w:cs="Times New Roman"/>
                <w:b/>
                <w:color w:val="auto"/>
                <w:szCs w:val="21"/>
                <w:highlight w:val="none"/>
                <w:lang w:val="en-US" w:eastAsia="zh-CN"/>
              </w:rPr>
            </w:pPr>
            <w:r>
              <w:rPr>
                <w:rFonts w:hint="eastAsia" w:ascii="Times New Roman" w:hAnsi="Times New Roman" w:eastAsia="宋体" w:cs="Times New Roman"/>
                <w:b/>
                <w:color w:val="auto"/>
                <w:szCs w:val="21"/>
                <w:highlight w:val="none"/>
              </w:rPr>
              <w:t>6.</w:t>
            </w:r>
            <w:r>
              <w:rPr>
                <w:rFonts w:ascii="Times New Roman" w:hAnsi="Times New Roman" w:eastAsia="宋体" w:cs="Times New Roman"/>
                <w:b/>
                <w:color w:val="auto"/>
                <w:szCs w:val="21"/>
                <w:highlight w:val="none"/>
              </w:rPr>
              <w:t>3</w:t>
            </w:r>
            <w:r>
              <w:rPr>
                <w:rFonts w:hint="eastAsia" w:ascii="Times New Roman" w:hAnsi="Times New Roman" w:eastAsia="宋体" w:cs="Times New Roman"/>
                <w:b/>
                <w:color w:val="auto"/>
                <w:szCs w:val="21"/>
                <w:highlight w:val="none"/>
              </w:rPr>
              <w:t>.</w:t>
            </w:r>
            <w:r>
              <w:rPr>
                <w:rFonts w:ascii="Times New Roman" w:hAnsi="Times New Roman" w:eastAsia="宋体" w:cs="Times New Roman"/>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DF5F522">
            <w:pPr>
              <w:spacing w:line="300" w:lineRule="exac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异常低价审查</w:t>
            </w:r>
          </w:p>
          <w:p w14:paraId="5E9DFF89">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5BB0B34">
            <w:pPr>
              <w:spacing w:line="300" w:lineRule="exact"/>
              <w:jc w:val="left"/>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评审中出现下列情形之一的，评审委员会应当启动异常低价响应审查程序：</w:t>
            </w:r>
          </w:p>
          <w:p w14:paraId="088E1620">
            <w:pPr>
              <w:spacing w:line="276" w:lineRule="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4CC55D3F">
            <w:pPr>
              <w:spacing w:line="276" w:lineRule="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536CB6E8">
            <w:pPr>
              <w:spacing w:line="276" w:lineRule="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（3）投标（响应）报价低于采购项目最高限价45%的，即投标（响应）报价&lt;采购项目最高限价×45%；</w:t>
            </w:r>
          </w:p>
          <w:p w14:paraId="5BC92FA0">
            <w:pPr>
              <w:spacing w:line="276" w:lineRule="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（4）评审委员会基于专业判断，认为供应商报价过低，有可能影响产品质量或者不能诚信履约的其他情形。</w:t>
            </w:r>
          </w:p>
          <w:p w14:paraId="340E6F53">
            <w:pPr>
              <w:pStyle w:val="20"/>
              <w:rPr>
                <w:rFonts w:hint="eastAsia"/>
                <w:color w:val="auto"/>
                <w:sz w:val="21"/>
                <w:szCs w:val="21"/>
                <w:highlight w:val="none"/>
                <w:lang w:val="en-US" w:eastAsia="zh-CN"/>
              </w:rPr>
            </w:pPr>
            <w:r>
              <w:rPr>
                <w:color w:val="auto"/>
                <w:sz w:val="21"/>
                <w:szCs w:val="21"/>
                <w:highlight w:val="none"/>
              </w:rPr>
              <w:sym w:font="Wingdings 2" w:char="00A3"/>
            </w:r>
            <w:r>
              <w:rPr>
                <w:rFonts w:hint="eastAsia"/>
                <w:color w:val="auto"/>
                <w:sz w:val="21"/>
                <w:szCs w:val="21"/>
                <w:highlight w:val="none"/>
                <w:lang w:val="en-US" w:eastAsia="zh-CN"/>
              </w:rPr>
              <w:t>评审中出现下列情形之一的，评审委员会应当启动异常低价响应审查程序</w:t>
            </w:r>
            <w:r>
              <w:rPr>
                <w:rFonts w:hint="eastAsia"/>
                <w:color w:val="auto"/>
                <w:sz w:val="21"/>
                <w:szCs w:val="21"/>
                <w:highlight w:val="none"/>
                <w:lang w:eastAsia="zh-CN"/>
              </w:rPr>
              <w:t>：</w:t>
            </w:r>
          </w:p>
          <w:p w14:paraId="26119B2E">
            <w:pPr>
              <w:pStyle w:val="20"/>
              <w:rPr>
                <w:rFonts w:hint="default"/>
                <w:color w:val="auto"/>
                <w:sz w:val="21"/>
                <w:szCs w:val="21"/>
                <w:highlight w:val="none"/>
                <w:lang w:val="en-US" w:eastAsia="zh-CN"/>
              </w:rPr>
            </w:pPr>
            <w:r>
              <w:rPr>
                <w:rFonts w:hint="eastAsia"/>
                <w:color w:val="auto"/>
                <w:sz w:val="21"/>
                <w:szCs w:val="21"/>
                <w:highlight w:val="none"/>
                <w:lang w:val="en-US" w:eastAsia="zh-CN"/>
              </w:rPr>
              <w:t>（1）投标（响应）报价低于全部通过符合性审查供应商投标（响应）报价平均值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4BE1121B">
            <w:pPr>
              <w:pStyle w:val="20"/>
              <w:rPr>
                <w:rFonts w:hint="eastAsia"/>
                <w:color w:val="auto"/>
                <w:sz w:val="21"/>
                <w:szCs w:val="21"/>
                <w:highlight w:val="none"/>
                <w:lang w:val="en-US" w:eastAsia="zh-CN"/>
              </w:rPr>
            </w:pPr>
            <w:r>
              <w:rPr>
                <w:rFonts w:hint="eastAsia"/>
                <w:color w:val="auto"/>
                <w:sz w:val="21"/>
                <w:szCs w:val="21"/>
                <w:highlight w:val="none"/>
                <w:lang w:val="en-US" w:eastAsia="zh-CN"/>
              </w:rPr>
              <w:t>（2）投标（响应）报价低于通过符合性审查的次低报价供应商投标（响应）报价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 xml:space="preserve">  %的，即投标（响应）报价&lt;通过符合性审查的次低报价供应商投标（响应）报价×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6E853C54">
            <w:pPr>
              <w:pStyle w:val="20"/>
              <w:rPr>
                <w:rFonts w:hint="eastAsia"/>
                <w:color w:val="auto"/>
                <w:sz w:val="21"/>
                <w:szCs w:val="21"/>
                <w:highlight w:val="none"/>
                <w:lang w:val="en-US" w:eastAsia="zh-CN"/>
              </w:rPr>
            </w:pPr>
            <w:r>
              <w:rPr>
                <w:rFonts w:hint="eastAsia"/>
                <w:color w:val="auto"/>
                <w:sz w:val="21"/>
                <w:szCs w:val="21"/>
                <w:highlight w:val="none"/>
                <w:lang w:val="en-US" w:eastAsia="zh-CN"/>
              </w:rPr>
              <w:t>（3）投标（响应）报价低于采购项目最高限价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19BFF9CF">
            <w:pPr>
              <w:pStyle w:val="20"/>
              <w:rPr>
                <w:rFonts w:hint="eastAsia" w:ascii="宋体" w:hAnsi="宋体"/>
                <w:color w:val="auto"/>
                <w:szCs w:val="21"/>
                <w:highlight w:val="none"/>
                <w:lang w:eastAsia="zh-CN"/>
              </w:rPr>
            </w:pPr>
            <w:r>
              <w:rPr>
                <w:rFonts w:hint="eastAsia"/>
                <w:color w:val="auto"/>
                <w:sz w:val="21"/>
                <w:szCs w:val="21"/>
                <w:highlight w:val="none"/>
                <w:lang w:val="en-US" w:eastAsia="zh-CN"/>
              </w:rPr>
              <w:t>（4）评审委员会基于专业判断，认为供应商报价过低，有可能影响产品质量或者不能诚信履约的其他情形。</w:t>
            </w:r>
          </w:p>
        </w:tc>
      </w:tr>
      <w:tr w14:paraId="7E1FA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106E455">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6.5.1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ACBC96E">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结果公告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3BD3BE9">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采购代理机构在采购人依法确认中标供应商后2个工作日内在招标公告发布的媒体上发布结果公告。</w:t>
            </w:r>
          </w:p>
        </w:tc>
      </w:tr>
      <w:tr w14:paraId="17A07C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3EF7E3D">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1D80D39">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中标通知书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996197E">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中标供应商到代理机构领取中标通知书</w:t>
            </w:r>
          </w:p>
        </w:tc>
      </w:tr>
      <w:tr w14:paraId="54F92D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EF6D042">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6.5.3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BC33C9A">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招标结果通知书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A644E41">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采购代理机构通过广西政府采购云平台发出招标结果通知书</w:t>
            </w:r>
          </w:p>
          <w:p w14:paraId="415A8347">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 xml:space="preserve">招标结果通知书在广西政府采购云平台推送之日起，视为中标供应商已收到，中标供应商自行承担未及时查收的后果。 </w:t>
            </w:r>
          </w:p>
        </w:tc>
      </w:tr>
      <w:tr w14:paraId="17170C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92C8882">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F96590F">
            <w:pPr>
              <w:spacing w:line="300" w:lineRule="exact"/>
              <w:jc w:val="center"/>
              <w:rPr>
                <w:rFonts w:ascii="Arial" w:hAnsi="Arial" w:eastAsia="宋体" w:cs="Arial"/>
                <w:color w:val="auto"/>
                <w:szCs w:val="21"/>
                <w:highlight w:val="none"/>
              </w:rPr>
            </w:pPr>
            <w:r>
              <w:rPr>
                <w:rFonts w:ascii="Arial" w:hAnsi="Arial" w:eastAsia="宋体" w:cs="Arial"/>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65D1EA5">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1）供应商认为招标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0D1C66BC">
            <w:pPr>
              <w:spacing w:line="300" w:lineRule="exact"/>
              <w:jc w:val="left"/>
              <w:rPr>
                <w:rFonts w:ascii="Arial" w:hAnsi="Arial" w:eastAsia="宋体" w:cs="Arial"/>
                <w:color w:val="auto"/>
                <w:szCs w:val="21"/>
                <w:highlight w:val="none"/>
              </w:rPr>
            </w:pPr>
            <w:r>
              <w:rPr>
                <w:rFonts w:ascii="Arial" w:hAnsi="Arial" w:eastAsia="宋体" w:cs="Arial"/>
                <w:color w:val="auto"/>
                <w:szCs w:val="21"/>
                <w:highlight w:val="none"/>
              </w:rPr>
              <w:t>（2）本项目不接受传真、移动通信、广西政府采购云平台等方式送达的质疑材料，供应商通过现场递交书面质疑材料。供应商应于质疑有效期内将质疑函原件递交至招标公告中采购代理机构信息中的联系人。</w:t>
            </w:r>
          </w:p>
        </w:tc>
      </w:tr>
      <w:tr w14:paraId="2917D9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122BFE9">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8830DEF">
            <w:pPr>
              <w:spacing w:line="300" w:lineRule="exact"/>
              <w:jc w:val="center"/>
              <w:rPr>
                <w:rFonts w:ascii="Arial" w:hAnsi="Arial" w:eastAsia="宋体" w:cs="Arial"/>
                <w:color w:val="auto"/>
                <w:szCs w:val="21"/>
                <w:highlight w:val="none"/>
              </w:rPr>
            </w:pPr>
            <w:r>
              <w:rPr>
                <w:rFonts w:ascii="Arial" w:hAnsi="Arial" w:eastAsia="宋体" w:cs="Arial"/>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C169C84">
            <w:pPr>
              <w:rPr>
                <w:rFonts w:ascii="Arial" w:hAnsi="Arial" w:eastAsia="宋体" w:cs="Arial"/>
                <w:color w:val="auto"/>
                <w:highlight w:val="none"/>
              </w:rPr>
            </w:pPr>
            <w:r>
              <w:rPr>
                <w:rFonts w:ascii="Arial" w:hAnsi="Arial" w:eastAsia="宋体" w:cs="Arial"/>
                <w:color w:val="auto"/>
                <w:highlight w:val="none"/>
              </w:rPr>
              <w:t>（1）代理服务费</w:t>
            </w:r>
          </w:p>
          <w:p w14:paraId="4C3BC2C2">
            <w:pPr>
              <w:spacing w:line="300" w:lineRule="exact"/>
              <w:jc w:val="left"/>
              <w:rPr>
                <w:rFonts w:ascii="Arial" w:hAnsi="Arial" w:eastAsia="宋体" w:cs="Arial"/>
                <w:color w:val="auto"/>
                <w:highlight w:val="none"/>
              </w:rPr>
            </w:pPr>
            <w:r>
              <w:rPr>
                <w:rFonts w:ascii="Arial" w:hAnsi="Arial" w:eastAsia="宋体" w:cs="Arial"/>
                <w:color w:val="auto"/>
                <w:highlight w:val="none"/>
              </w:rPr>
              <w:sym w:font="Wingdings 2" w:char="0052"/>
            </w:r>
            <w:r>
              <w:rPr>
                <w:rFonts w:ascii="Arial" w:hAnsi="Arial" w:eastAsia="宋体" w:cs="Arial"/>
                <w:color w:val="auto"/>
                <w:highlight w:val="none"/>
              </w:rPr>
              <w:t>采购代理机构向中标供应商收取代理服务费。本项目代理服务费按照《招标代理服务费管理暂行办法》 (计价格﹝2002﹞1980号)、《国家发展改革委关于降低部分建设项目收费标准规范收费行为等有关问题的通知》(发改价格﹝2011﹞534号)规定的</w:t>
            </w:r>
            <w:r>
              <w:rPr>
                <w:rFonts w:hint="eastAsia" w:ascii="Arial" w:hAnsi="Arial" w:eastAsia="宋体" w:cs="Arial"/>
                <w:color w:val="auto"/>
                <w:highlight w:val="none"/>
                <w:lang w:val="en-US" w:eastAsia="zh-CN"/>
              </w:rPr>
              <w:t>8</w:t>
            </w:r>
            <w:r>
              <w:rPr>
                <w:rFonts w:ascii="Arial" w:hAnsi="Arial" w:eastAsia="宋体" w:cs="Arial"/>
                <w:color w:val="auto"/>
                <w:highlight w:val="none"/>
              </w:rPr>
              <w:t>0%采用差额定率累进法计算。具体费率如下：</w:t>
            </w:r>
          </w:p>
          <w:p w14:paraId="28F5CAE9">
            <w:pPr>
              <w:spacing w:line="288" w:lineRule="auto"/>
              <w:jc w:val="left"/>
              <w:rPr>
                <w:rFonts w:ascii="Arial" w:hAnsi="Arial" w:eastAsia="宋体" w:cs="Arial"/>
                <w:color w:val="auto"/>
                <w:highlight w:val="none"/>
              </w:rPr>
            </w:pPr>
            <w:r>
              <w:rPr>
                <w:rFonts w:ascii="Arial" w:hAnsi="Arial" w:eastAsia="宋体" w:cs="Arial"/>
                <w:color w:val="auto"/>
                <w:highlight w:val="none"/>
              </w:rPr>
              <w:t>①中标金额在100万元以下的：</w:t>
            </w:r>
          </w:p>
          <w:p w14:paraId="19F77F0B">
            <w:pPr>
              <w:spacing w:line="288" w:lineRule="auto"/>
              <w:jc w:val="left"/>
              <w:rPr>
                <w:rFonts w:ascii="Arial" w:hAnsi="Arial" w:eastAsia="宋体" w:cs="Arial"/>
                <w:color w:val="auto"/>
                <w:highlight w:val="none"/>
              </w:rPr>
            </w:pPr>
            <w:r>
              <w:rPr>
                <w:rFonts w:ascii="Arial" w:hAnsi="Arial" w:eastAsia="宋体" w:cs="Arial"/>
                <w:color w:val="auto"/>
                <w:highlight w:val="none"/>
              </w:rPr>
              <w:t>货物1.5％；服务招标1.5％；工程招标1.0％；</w:t>
            </w:r>
          </w:p>
          <w:p w14:paraId="1DCED3F6">
            <w:pPr>
              <w:spacing w:line="288" w:lineRule="auto"/>
              <w:jc w:val="left"/>
              <w:rPr>
                <w:rFonts w:ascii="Arial" w:hAnsi="Arial" w:eastAsia="宋体" w:cs="Arial"/>
                <w:color w:val="auto"/>
                <w:highlight w:val="none"/>
              </w:rPr>
            </w:pPr>
            <w:r>
              <w:rPr>
                <w:rFonts w:ascii="Arial" w:hAnsi="Arial" w:eastAsia="宋体" w:cs="Arial"/>
                <w:color w:val="auto"/>
                <w:highlight w:val="none"/>
              </w:rPr>
              <w:t>②中标金额在100-500万元之间：</w:t>
            </w:r>
          </w:p>
          <w:p w14:paraId="277196E3">
            <w:pPr>
              <w:spacing w:line="288" w:lineRule="auto"/>
              <w:jc w:val="left"/>
              <w:rPr>
                <w:rFonts w:ascii="Arial" w:hAnsi="Arial" w:eastAsia="宋体" w:cs="Arial"/>
                <w:color w:val="auto"/>
                <w:highlight w:val="none"/>
              </w:rPr>
            </w:pPr>
            <w:r>
              <w:rPr>
                <w:rFonts w:ascii="Arial" w:hAnsi="Arial" w:eastAsia="宋体" w:cs="Arial"/>
                <w:color w:val="auto"/>
                <w:highlight w:val="none"/>
              </w:rPr>
              <w:t>货物1.1％；服务招标0.8％；工程招标0.7％；</w:t>
            </w:r>
          </w:p>
          <w:p w14:paraId="016E6A66">
            <w:pPr>
              <w:spacing w:line="288" w:lineRule="auto"/>
              <w:jc w:val="left"/>
              <w:rPr>
                <w:rFonts w:ascii="Arial" w:hAnsi="Arial" w:eastAsia="宋体" w:cs="Arial"/>
                <w:color w:val="auto"/>
                <w:highlight w:val="none"/>
              </w:rPr>
            </w:pPr>
            <w:r>
              <w:rPr>
                <w:rFonts w:ascii="Arial" w:hAnsi="Arial" w:eastAsia="宋体" w:cs="Arial"/>
                <w:color w:val="auto"/>
                <w:highlight w:val="none"/>
              </w:rPr>
              <w:t>③中标金额在500-1000万元之间：</w:t>
            </w:r>
          </w:p>
          <w:p w14:paraId="02DEF34E">
            <w:pPr>
              <w:spacing w:line="288" w:lineRule="auto"/>
              <w:jc w:val="left"/>
              <w:rPr>
                <w:rFonts w:ascii="Arial" w:hAnsi="Arial" w:eastAsia="宋体" w:cs="Arial"/>
                <w:color w:val="auto"/>
                <w:highlight w:val="none"/>
              </w:rPr>
            </w:pPr>
            <w:r>
              <w:rPr>
                <w:rFonts w:ascii="Arial" w:hAnsi="Arial" w:eastAsia="宋体" w:cs="Arial"/>
                <w:color w:val="auto"/>
                <w:highlight w:val="none"/>
              </w:rPr>
              <w:t>货物0.8％；服务招标0.45％；工程招标0.55％；</w:t>
            </w:r>
          </w:p>
          <w:p w14:paraId="1A3C49F9">
            <w:pPr>
              <w:spacing w:line="288" w:lineRule="auto"/>
              <w:jc w:val="left"/>
              <w:rPr>
                <w:rFonts w:ascii="Arial" w:hAnsi="Arial" w:eastAsia="宋体" w:cs="Arial"/>
                <w:color w:val="auto"/>
                <w:highlight w:val="none"/>
              </w:rPr>
            </w:pPr>
            <w:r>
              <w:rPr>
                <w:rFonts w:ascii="Arial" w:hAnsi="Arial" w:eastAsia="宋体" w:cs="Arial"/>
                <w:color w:val="auto"/>
                <w:highlight w:val="none"/>
              </w:rPr>
              <w:t>④中标金额在1000-5000万元之间：</w:t>
            </w:r>
          </w:p>
          <w:p w14:paraId="3651C1A2">
            <w:pPr>
              <w:spacing w:line="288" w:lineRule="auto"/>
              <w:jc w:val="left"/>
              <w:rPr>
                <w:rFonts w:ascii="Arial" w:hAnsi="Arial" w:eastAsia="宋体" w:cs="Arial"/>
                <w:color w:val="auto"/>
                <w:highlight w:val="none"/>
              </w:rPr>
            </w:pPr>
            <w:r>
              <w:rPr>
                <w:rFonts w:ascii="Arial" w:hAnsi="Arial" w:eastAsia="宋体" w:cs="Arial"/>
                <w:color w:val="auto"/>
                <w:highlight w:val="none"/>
              </w:rPr>
              <w:t>货物0.5％；服务招标0.25％；工程招标0.35％；</w:t>
            </w:r>
          </w:p>
          <w:p w14:paraId="19553DBE">
            <w:pPr>
              <w:spacing w:line="288" w:lineRule="auto"/>
              <w:jc w:val="left"/>
              <w:rPr>
                <w:rFonts w:ascii="Arial" w:hAnsi="Arial" w:eastAsia="宋体" w:cs="Arial"/>
                <w:color w:val="auto"/>
                <w:highlight w:val="none"/>
              </w:rPr>
            </w:pPr>
            <w:r>
              <w:rPr>
                <w:rFonts w:ascii="Arial" w:hAnsi="Arial" w:eastAsia="宋体" w:cs="Arial"/>
                <w:color w:val="auto"/>
                <w:highlight w:val="none"/>
              </w:rPr>
              <w:t>……</w:t>
            </w:r>
          </w:p>
          <w:p w14:paraId="566C1CEC">
            <w:pPr>
              <w:spacing w:line="288" w:lineRule="auto"/>
              <w:jc w:val="left"/>
              <w:rPr>
                <w:rFonts w:ascii="Arial" w:hAnsi="Arial" w:eastAsia="宋体" w:cs="Arial"/>
                <w:color w:val="auto"/>
                <w:highlight w:val="none"/>
              </w:rPr>
            </w:pPr>
            <w:r>
              <w:rPr>
                <w:rFonts w:ascii="Arial" w:hAnsi="Arial" w:eastAsia="宋体" w:cs="Arial"/>
                <w:color w:val="auto"/>
                <w:highlight w:val="none"/>
              </w:rPr>
              <w:t>差额定率累进法计算过程示例：</w:t>
            </w:r>
          </w:p>
          <w:p w14:paraId="41CBEB02">
            <w:pPr>
              <w:spacing w:line="288" w:lineRule="auto"/>
              <w:jc w:val="left"/>
              <w:rPr>
                <w:rFonts w:ascii="Arial" w:hAnsi="Arial" w:eastAsia="宋体" w:cs="Arial"/>
                <w:color w:val="auto"/>
                <w:highlight w:val="none"/>
              </w:rPr>
            </w:pPr>
            <w:r>
              <w:rPr>
                <w:rFonts w:ascii="Arial" w:hAnsi="Arial" w:eastAsia="宋体" w:cs="Arial"/>
                <w:color w:val="auto"/>
                <w:highlight w:val="none"/>
              </w:rPr>
              <w:t>例如：某货物招标代理业务中标金额为300万元，招标代理服务费金额按如下计算：</w:t>
            </w:r>
          </w:p>
          <w:p w14:paraId="2F6BD412">
            <w:pPr>
              <w:spacing w:line="288" w:lineRule="auto"/>
              <w:jc w:val="left"/>
              <w:rPr>
                <w:rFonts w:ascii="Arial" w:hAnsi="Arial" w:eastAsia="宋体" w:cs="Arial"/>
                <w:color w:val="auto"/>
                <w:highlight w:val="none"/>
              </w:rPr>
            </w:pPr>
            <w:r>
              <w:rPr>
                <w:rFonts w:ascii="Arial" w:hAnsi="Arial" w:eastAsia="宋体" w:cs="Arial"/>
                <w:color w:val="auto"/>
                <w:highlight w:val="none"/>
              </w:rPr>
              <w:t>100万元×1.5%＝1.5万元</w:t>
            </w:r>
          </w:p>
          <w:p w14:paraId="1C95C601">
            <w:pPr>
              <w:spacing w:line="288" w:lineRule="auto"/>
              <w:jc w:val="left"/>
              <w:rPr>
                <w:rFonts w:ascii="Arial" w:hAnsi="Arial" w:eastAsia="宋体" w:cs="Arial"/>
                <w:color w:val="auto"/>
                <w:highlight w:val="none"/>
              </w:rPr>
            </w:pPr>
            <w:r>
              <w:rPr>
                <w:rFonts w:ascii="Arial" w:hAnsi="Arial" w:eastAsia="宋体" w:cs="Arial"/>
                <w:color w:val="auto"/>
                <w:highlight w:val="none"/>
              </w:rPr>
              <w:t>（300－100）万元×1.1%＝2.2万元</w:t>
            </w:r>
          </w:p>
          <w:p w14:paraId="0EB09E08">
            <w:pPr>
              <w:spacing w:line="288" w:lineRule="auto"/>
              <w:jc w:val="left"/>
              <w:rPr>
                <w:rFonts w:ascii="Arial" w:hAnsi="Arial" w:eastAsia="宋体" w:cs="Arial"/>
                <w:color w:val="auto"/>
                <w:highlight w:val="none"/>
              </w:rPr>
            </w:pPr>
            <w:r>
              <w:rPr>
                <w:rFonts w:ascii="Arial" w:hAnsi="Arial" w:eastAsia="宋体" w:cs="Arial"/>
                <w:color w:val="auto"/>
                <w:highlight w:val="none"/>
              </w:rPr>
              <w:t>合计收费＝（1.5＋2.2）*</w:t>
            </w:r>
            <w:r>
              <w:rPr>
                <w:rFonts w:hint="eastAsia" w:ascii="Arial" w:hAnsi="Arial" w:eastAsia="宋体" w:cs="Arial"/>
                <w:color w:val="auto"/>
                <w:highlight w:val="none"/>
                <w:lang w:val="en-US" w:eastAsia="zh-CN"/>
              </w:rPr>
              <w:t>8</w:t>
            </w:r>
            <w:r>
              <w:rPr>
                <w:rFonts w:ascii="Arial" w:hAnsi="Arial" w:eastAsia="宋体" w:cs="Arial"/>
                <w:color w:val="auto"/>
                <w:highlight w:val="none"/>
              </w:rPr>
              <w:t>0%=2.</w:t>
            </w:r>
            <w:r>
              <w:rPr>
                <w:rFonts w:hint="eastAsia" w:ascii="Arial" w:hAnsi="Arial" w:eastAsia="宋体" w:cs="Arial"/>
                <w:color w:val="auto"/>
                <w:highlight w:val="none"/>
                <w:lang w:val="en-US" w:eastAsia="zh-CN"/>
              </w:rPr>
              <w:t>96</w:t>
            </w:r>
            <w:r>
              <w:rPr>
                <w:rFonts w:ascii="Arial" w:hAnsi="Arial" w:eastAsia="宋体" w:cs="Arial"/>
                <w:color w:val="auto"/>
                <w:highlight w:val="none"/>
              </w:rPr>
              <w:t>万元</w:t>
            </w:r>
          </w:p>
          <w:p w14:paraId="79A9B6BA">
            <w:pPr>
              <w:spacing w:line="288" w:lineRule="auto"/>
              <w:jc w:val="left"/>
              <w:rPr>
                <w:rFonts w:ascii="Arial" w:hAnsi="Arial" w:eastAsia="宋体" w:cs="Arial"/>
                <w:color w:val="auto"/>
                <w:highlight w:val="none"/>
              </w:rPr>
            </w:pPr>
            <w:r>
              <w:rPr>
                <w:rFonts w:ascii="Arial" w:hAnsi="Arial" w:eastAsia="宋体" w:cs="Arial"/>
                <w:color w:val="auto"/>
                <w:highlight w:val="none"/>
              </w:rPr>
              <w:sym w:font="Wingdings 2" w:char="F0A3"/>
            </w:r>
            <w:r>
              <w:rPr>
                <w:rFonts w:ascii="Arial" w:hAnsi="Arial" w:eastAsia="宋体" w:cs="Arial"/>
                <w:color w:val="auto"/>
                <w:highlight w:val="none"/>
              </w:rPr>
              <w:t>采购代理机构向中标供应商收取代理服务费，具体金额为             。</w:t>
            </w:r>
          </w:p>
          <w:p w14:paraId="5DFCC8FC">
            <w:pPr>
              <w:spacing w:line="288" w:lineRule="auto"/>
              <w:jc w:val="left"/>
              <w:rPr>
                <w:rFonts w:ascii="Arial" w:hAnsi="Arial" w:eastAsia="宋体" w:cs="Arial"/>
                <w:color w:val="auto"/>
                <w:highlight w:val="none"/>
              </w:rPr>
            </w:pPr>
            <w:r>
              <w:rPr>
                <w:rFonts w:ascii="Arial" w:hAnsi="Arial" w:eastAsia="宋体" w:cs="Arial"/>
                <w:color w:val="auto"/>
                <w:highlight w:val="none"/>
              </w:rPr>
              <w:t>（2）中标供应商在中标通知书发出前以银行转账或现金形式支付代理服务费。</w:t>
            </w:r>
          </w:p>
          <w:p w14:paraId="66E15140">
            <w:pPr>
              <w:spacing w:line="300" w:lineRule="exact"/>
              <w:jc w:val="left"/>
              <w:rPr>
                <w:rFonts w:hint="eastAsia" w:ascii="Arial" w:hAnsi="Arial" w:eastAsia="宋体" w:cs="Arial"/>
                <w:b/>
                <w:color w:val="auto"/>
                <w:highlight w:val="none"/>
              </w:rPr>
            </w:pPr>
            <w:r>
              <w:rPr>
                <w:rFonts w:hint="eastAsia" w:ascii="Arial" w:hAnsi="Arial" w:eastAsia="宋体" w:cs="Arial"/>
                <w:b/>
                <w:color w:val="auto"/>
                <w:highlight w:val="none"/>
                <w:lang w:val="en-US" w:eastAsia="zh-CN"/>
              </w:rPr>
              <w:t>缴纳</w:t>
            </w:r>
            <w:r>
              <w:rPr>
                <w:rFonts w:hint="eastAsia" w:ascii="Arial" w:hAnsi="Arial" w:eastAsia="宋体" w:cs="Arial"/>
                <w:b/>
                <w:color w:val="auto"/>
                <w:highlight w:val="none"/>
              </w:rPr>
              <w:t>招标代理服务费的银行账户：</w:t>
            </w:r>
          </w:p>
          <w:p w14:paraId="516469B2">
            <w:pPr>
              <w:spacing w:line="300" w:lineRule="exact"/>
              <w:jc w:val="left"/>
              <w:rPr>
                <w:rFonts w:hint="eastAsia" w:ascii="Arial" w:hAnsi="Arial" w:eastAsia="宋体" w:cs="Arial"/>
                <w:b/>
                <w:color w:val="auto"/>
                <w:highlight w:val="none"/>
              </w:rPr>
            </w:pPr>
            <w:r>
              <w:rPr>
                <w:rFonts w:hint="eastAsia" w:ascii="Arial" w:hAnsi="Arial" w:eastAsia="宋体" w:cs="Arial"/>
                <w:b/>
                <w:color w:val="auto"/>
                <w:highlight w:val="none"/>
              </w:rPr>
              <w:t>公司名称：广西机电设备招标有限公司桂林七星分公司</w:t>
            </w:r>
          </w:p>
          <w:p w14:paraId="7F4463B0">
            <w:pPr>
              <w:spacing w:line="300" w:lineRule="exact"/>
              <w:jc w:val="left"/>
              <w:rPr>
                <w:rFonts w:hint="eastAsia" w:ascii="Arial" w:hAnsi="Arial" w:eastAsia="宋体" w:cs="Arial"/>
                <w:b/>
                <w:color w:val="auto"/>
                <w:highlight w:val="none"/>
              </w:rPr>
            </w:pPr>
            <w:r>
              <w:rPr>
                <w:rFonts w:hint="eastAsia" w:ascii="Arial" w:hAnsi="Arial" w:eastAsia="宋体" w:cs="Arial"/>
                <w:b/>
                <w:color w:val="auto"/>
                <w:highlight w:val="none"/>
              </w:rPr>
              <w:t>开户银行：交通银行桂林高新支行</w:t>
            </w:r>
          </w:p>
          <w:p w14:paraId="3B280458">
            <w:pPr>
              <w:spacing w:line="300" w:lineRule="exact"/>
              <w:jc w:val="left"/>
              <w:rPr>
                <w:rFonts w:ascii="Arial" w:hAnsi="Arial" w:eastAsia="宋体" w:cs="Arial"/>
                <w:color w:val="auto"/>
                <w:kern w:val="0"/>
                <w:szCs w:val="21"/>
                <w:highlight w:val="none"/>
              </w:rPr>
            </w:pPr>
            <w:r>
              <w:rPr>
                <w:rFonts w:hint="eastAsia" w:ascii="Arial" w:hAnsi="Arial" w:eastAsia="宋体" w:cs="Arial"/>
                <w:b/>
                <w:color w:val="auto"/>
                <w:highlight w:val="none"/>
              </w:rPr>
              <w:t>银行账号：453060811013000380456</w:t>
            </w:r>
          </w:p>
        </w:tc>
      </w:tr>
      <w:tr w14:paraId="3C9E1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59E5A27">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AA01B9B">
            <w:pPr>
              <w:spacing w:line="300" w:lineRule="exact"/>
              <w:jc w:val="center"/>
              <w:rPr>
                <w:rFonts w:ascii="Arial" w:hAnsi="Arial" w:eastAsia="宋体" w:cs="Arial"/>
                <w:color w:val="auto"/>
                <w:szCs w:val="20"/>
                <w:highlight w:val="none"/>
              </w:rPr>
            </w:pPr>
            <w:r>
              <w:rPr>
                <w:rFonts w:ascii="Arial" w:hAnsi="Arial" w:eastAsia="宋体" w:cs="Arial"/>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87ECA5C">
            <w:pPr>
              <w:spacing w:line="276" w:lineRule="auto"/>
              <w:rPr>
                <w:rFonts w:ascii="Arial" w:hAnsi="Arial" w:eastAsia="宋体" w:cs="Arial"/>
                <w:color w:val="auto"/>
                <w:szCs w:val="21"/>
                <w:highlight w:val="none"/>
                <w:u w:val="single"/>
              </w:rPr>
            </w:pPr>
            <w:r>
              <w:rPr>
                <w:rFonts w:ascii="Arial" w:hAnsi="Arial" w:eastAsia="宋体" w:cs="Arial"/>
                <w:color w:val="auto"/>
                <w:szCs w:val="21"/>
                <w:highlight w:val="none"/>
              </w:rPr>
              <w:t>无</w:t>
            </w:r>
          </w:p>
        </w:tc>
      </w:tr>
      <w:tr w14:paraId="1E00A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2EF5FF6">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6C5372C">
            <w:pPr>
              <w:spacing w:line="300" w:lineRule="exact"/>
              <w:jc w:val="center"/>
              <w:rPr>
                <w:rFonts w:ascii="Arial" w:hAnsi="Arial" w:eastAsia="宋体" w:cs="Arial"/>
                <w:color w:val="auto"/>
                <w:szCs w:val="20"/>
                <w:highlight w:val="none"/>
              </w:rPr>
            </w:pPr>
            <w:r>
              <w:rPr>
                <w:rFonts w:ascii="Arial" w:hAnsi="Arial" w:eastAsia="宋体" w:cs="Arial"/>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181FC8F">
            <w:pPr>
              <w:spacing w:line="276" w:lineRule="auto"/>
              <w:rPr>
                <w:rFonts w:ascii="Arial" w:hAnsi="Arial" w:eastAsia="宋体" w:cs="Arial"/>
                <w:color w:val="auto"/>
                <w:szCs w:val="21"/>
                <w:highlight w:val="none"/>
                <w:u w:val="single"/>
              </w:rPr>
            </w:pPr>
            <w:r>
              <w:rPr>
                <w:rFonts w:ascii="Arial" w:hAnsi="Arial" w:eastAsia="宋体" w:cs="Arial"/>
                <w:color w:val="auto"/>
                <w:szCs w:val="21"/>
                <w:highlight w:val="none"/>
              </w:rPr>
              <w:t>无</w:t>
            </w:r>
          </w:p>
        </w:tc>
      </w:tr>
      <w:tr w14:paraId="55F951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565A490">
            <w:pPr>
              <w:spacing w:line="300" w:lineRule="exact"/>
              <w:jc w:val="center"/>
              <w:rPr>
                <w:rFonts w:ascii="Arial" w:hAnsi="Arial" w:eastAsia="宋体" w:cs="Arial"/>
                <w:b/>
                <w:color w:val="auto"/>
                <w:szCs w:val="21"/>
                <w:highlight w:val="none"/>
              </w:rPr>
            </w:pPr>
            <w:r>
              <w:rPr>
                <w:rFonts w:ascii="Arial" w:hAnsi="Arial" w:eastAsia="宋体" w:cs="Arial"/>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3BF4C5B">
            <w:pPr>
              <w:spacing w:line="300" w:lineRule="exact"/>
              <w:jc w:val="center"/>
              <w:rPr>
                <w:rFonts w:ascii="Arial" w:hAnsi="Arial" w:eastAsia="宋体" w:cs="Arial"/>
                <w:color w:val="auto"/>
                <w:szCs w:val="20"/>
                <w:highlight w:val="none"/>
              </w:rPr>
            </w:pPr>
            <w:r>
              <w:rPr>
                <w:rFonts w:ascii="Arial" w:hAnsi="Arial" w:eastAsia="宋体" w:cs="Arial"/>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866B69D">
            <w:pPr>
              <w:spacing w:line="276"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构成本招标文件的各个组成文件应互为解释，互为说明：</w:t>
            </w:r>
          </w:p>
          <w:p w14:paraId="727770E2">
            <w:pPr>
              <w:spacing w:line="300" w:lineRule="exact"/>
              <w:rPr>
                <w:rFonts w:ascii="Arial" w:hAnsi="Arial" w:eastAsia="宋体" w:cs="Arial"/>
                <w:color w:val="auto"/>
                <w:sz w:val="24"/>
                <w:highlight w:val="none"/>
              </w:rPr>
            </w:pPr>
            <w:r>
              <w:rPr>
                <w:rFonts w:hint="eastAsia" w:ascii="Times New Roman" w:hAnsi="Times New Roman" w:eastAsia="宋体" w:cs="Times New Roman"/>
                <w:color w:val="auto"/>
                <w:szCs w:val="21"/>
                <w:highlight w:val="none"/>
              </w:rPr>
              <w:t>除招标文件中有特别规定外，仅适用于招标投标阶段的规定，按更正公告（澄清公告）、招标公告、采购需求、</w:t>
            </w:r>
            <w:r>
              <w:rPr>
                <w:rFonts w:hint="eastAsia" w:ascii="Times New Roman" w:hAnsi="Times New Roman" w:eastAsia="宋体" w:cs="Times New Roman"/>
                <w:color w:val="auto"/>
                <w:szCs w:val="21"/>
                <w:highlight w:val="none"/>
                <w:lang w:eastAsia="zh-CN"/>
              </w:rPr>
              <w:t>投标人须知</w:t>
            </w:r>
            <w:r>
              <w:rPr>
                <w:rFonts w:hint="eastAsia" w:ascii="Times New Roman" w:hAnsi="Times New Roman" w:eastAsia="宋体" w:cs="Times New Roman"/>
                <w:color w:val="auto"/>
                <w:szCs w:val="21"/>
                <w:highlight w:val="none"/>
              </w:rPr>
              <w:t>、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459133C4">
      <w:pPr>
        <w:spacing w:before="120" w:line="320" w:lineRule="atLeast"/>
        <w:outlineLvl w:val="1"/>
        <w:rPr>
          <w:rFonts w:ascii="Arial" w:hAnsi="Arial" w:cs="Arial"/>
          <w:bCs/>
          <w:color w:val="auto"/>
          <w:kern w:val="0"/>
          <w:sz w:val="28"/>
          <w:szCs w:val="28"/>
          <w:highlight w:val="none"/>
        </w:rPr>
        <w:sectPr>
          <w:pgSz w:w="11906" w:h="16838"/>
          <w:pgMar w:top="993" w:right="1133" w:bottom="1246" w:left="1418" w:header="851" w:footer="992" w:gutter="0"/>
          <w:cols w:space="720" w:num="1"/>
          <w:titlePg/>
          <w:docGrid w:linePitch="312" w:charSpace="0"/>
        </w:sectPr>
      </w:pPr>
    </w:p>
    <w:p w14:paraId="75832EAD">
      <w:pPr>
        <w:spacing w:before="120" w:line="320" w:lineRule="atLeast"/>
        <w:outlineLvl w:val="1"/>
        <w:rPr>
          <w:rFonts w:ascii="Arial" w:hAnsi="Arial" w:cs="Arial"/>
          <w:b/>
          <w:bCs/>
          <w:color w:val="auto"/>
          <w:kern w:val="0"/>
          <w:szCs w:val="21"/>
          <w:highlight w:val="none"/>
        </w:rPr>
      </w:pPr>
      <w:bookmarkStart w:id="22" w:name="_Toc254970690"/>
      <w:bookmarkStart w:id="23" w:name="_Toc254970549"/>
      <w:r>
        <w:rPr>
          <w:rFonts w:ascii="Arial" w:hAnsi="Arial" w:cs="Arial"/>
          <w:color w:val="auto"/>
          <w:sz w:val="32"/>
          <w:szCs w:val="32"/>
          <w:highlight w:val="none"/>
        </w:rPr>
        <w:tab/>
      </w:r>
      <w:bookmarkStart w:id="24" w:name="_Hlk88949215"/>
      <w:r>
        <w:rPr>
          <w:rFonts w:ascii="Arial" w:hAnsi="Arial" w:cs="Arial"/>
          <w:b/>
          <w:bCs/>
          <w:color w:val="auto"/>
          <w:kern w:val="0"/>
          <w:szCs w:val="21"/>
          <w:highlight w:val="none"/>
        </w:rPr>
        <w:t>1．总则</w:t>
      </w:r>
    </w:p>
    <w:p w14:paraId="6F317BD5">
      <w:pPr>
        <w:spacing w:before="120" w:line="320" w:lineRule="atLeast"/>
        <w:ind w:firstLine="422" w:firstLineChars="200"/>
        <w:outlineLvl w:val="2"/>
        <w:rPr>
          <w:rFonts w:ascii="Arial" w:hAnsi="Arial" w:cs="Arial"/>
          <w:b/>
          <w:bCs/>
          <w:color w:val="auto"/>
          <w:kern w:val="0"/>
          <w:szCs w:val="21"/>
          <w:highlight w:val="none"/>
        </w:rPr>
      </w:pPr>
      <w:bookmarkStart w:id="25" w:name="_Toc254970527"/>
      <w:bookmarkStart w:id="26" w:name="_Toc254970668"/>
      <w:r>
        <w:rPr>
          <w:rFonts w:ascii="Arial" w:hAnsi="Arial" w:cs="Arial"/>
          <w:b/>
          <w:bCs/>
          <w:color w:val="auto"/>
          <w:kern w:val="0"/>
          <w:szCs w:val="21"/>
          <w:highlight w:val="none"/>
        </w:rPr>
        <w:t>1.1适用范围</w:t>
      </w:r>
      <w:bookmarkEnd w:id="25"/>
      <w:bookmarkEnd w:id="26"/>
    </w:p>
    <w:p w14:paraId="320BD8B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本招标文件适用于供应商须知前附表所述项目的政府采购活动。</w:t>
      </w:r>
    </w:p>
    <w:p w14:paraId="1870A72A">
      <w:pPr>
        <w:spacing w:before="120" w:line="320" w:lineRule="atLeast"/>
        <w:ind w:firstLine="422" w:firstLineChars="200"/>
        <w:outlineLvl w:val="2"/>
        <w:rPr>
          <w:rFonts w:ascii="Arial" w:hAnsi="Arial" w:cs="Arial"/>
          <w:b/>
          <w:bCs/>
          <w:color w:val="auto"/>
          <w:kern w:val="0"/>
          <w:szCs w:val="21"/>
          <w:highlight w:val="none"/>
        </w:rPr>
      </w:pPr>
      <w:bookmarkStart w:id="27" w:name="_Toc254970528"/>
      <w:bookmarkStart w:id="28" w:name="_Toc254970669"/>
      <w:r>
        <w:rPr>
          <w:rFonts w:ascii="Arial" w:hAnsi="Arial" w:cs="Arial"/>
          <w:b/>
          <w:bCs/>
          <w:color w:val="auto"/>
          <w:kern w:val="0"/>
          <w:szCs w:val="21"/>
          <w:highlight w:val="none"/>
        </w:rPr>
        <w:t>1.2定义</w:t>
      </w:r>
      <w:bookmarkEnd w:id="27"/>
      <w:bookmarkEnd w:id="28"/>
    </w:p>
    <w:p w14:paraId="7825B0E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1.2.1“采购人”系指依法进行政府采购的国家机关、事业单位、团体组织。</w:t>
      </w:r>
    </w:p>
    <w:p w14:paraId="600F938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1.2.2“供应商”系</w:t>
      </w:r>
      <w:r>
        <w:rPr>
          <w:rFonts w:ascii="Arial" w:hAnsi="Arial" w:cs="Arial"/>
          <w:color w:val="auto"/>
          <w:highlight w:val="none"/>
        </w:rPr>
        <w:t>指响应招标、参加投标竞争的法人、其他组织或者自然人</w:t>
      </w:r>
      <w:r>
        <w:rPr>
          <w:rFonts w:ascii="Arial" w:hAnsi="Arial" w:cs="Arial"/>
          <w:color w:val="auto"/>
          <w:szCs w:val="21"/>
          <w:highlight w:val="none"/>
        </w:rPr>
        <w:t>。</w:t>
      </w:r>
    </w:p>
    <w:p w14:paraId="35463506">
      <w:pPr>
        <w:spacing w:before="120" w:line="360" w:lineRule="auto"/>
        <w:ind w:firstLine="420" w:firstLineChars="200"/>
        <w:rPr>
          <w:rFonts w:ascii="Arial" w:hAnsi="Arial" w:cs="Arial"/>
          <w:color w:val="auto"/>
          <w:highlight w:val="none"/>
        </w:rPr>
      </w:pPr>
      <w:r>
        <w:rPr>
          <w:rFonts w:ascii="Arial" w:hAnsi="Arial" w:cs="Arial"/>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529F0611">
      <w:pPr>
        <w:spacing w:before="120" w:line="360" w:lineRule="auto"/>
        <w:ind w:firstLine="420" w:firstLineChars="200"/>
        <w:rPr>
          <w:rFonts w:ascii="Arial" w:hAnsi="Arial" w:cs="Arial"/>
          <w:color w:val="auto"/>
          <w:highlight w:val="none"/>
        </w:rPr>
      </w:pPr>
      <w:r>
        <w:rPr>
          <w:rFonts w:ascii="Arial" w:hAnsi="Arial" w:cs="Arial"/>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398FE6C4">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37F89017">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1.2.6本项目的技术商务要求重要性分为“▲”（如有）、“#”（如有）和一般无标识指标。▲代表实质性要求指标，</w:t>
      </w:r>
      <w:r>
        <w:rPr>
          <w:rFonts w:ascii="Arial" w:hAnsi="Arial" w:cs="Arial"/>
          <w:b/>
          <w:bCs/>
          <w:color w:val="auto"/>
          <w:szCs w:val="21"/>
          <w:highlight w:val="none"/>
        </w:rPr>
        <w:t>不满足该指标项将导致投标被否决</w:t>
      </w:r>
      <w:r>
        <w:rPr>
          <w:rFonts w:ascii="Arial" w:hAnsi="Arial" w:cs="Arial"/>
          <w:color w:val="auto"/>
          <w:szCs w:val="21"/>
          <w:highlight w:val="none"/>
        </w:rPr>
        <w:t>，#代表重要指标，无标识则表示一般指标项。</w:t>
      </w:r>
    </w:p>
    <w:p w14:paraId="7544700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1.2.7 本招标文件出现多种选项的条款，以“</w:t>
      </w:r>
      <w:r>
        <w:rPr>
          <w:rFonts w:ascii="Arial" w:hAnsi="Arial" w:cs="Arial"/>
          <w:color w:val="auto"/>
          <w:highlight w:val="none"/>
        </w:rPr>
        <w:sym w:font="Wingdings 2" w:char="F052"/>
      </w:r>
      <w:r>
        <w:rPr>
          <w:rFonts w:ascii="Arial" w:hAnsi="Arial" w:cs="Arial"/>
          <w:color w:val="auto"/>
          <w:szCs w:val="21"/>
          <w:highlight w:val="none"/>
        </w:rPr>
        <w:t>”表示本条款所选择的方式。</w:t>
      </w:r>
    </w:p>
    <w:p w14:paraId="532DC27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1.2.8 “电子交易平台”是指以数据电文形式在线完成采购活动的信息平台，本招标文件中也称“广西政府采购云平台”。</w:t>
      </w:r>
    </w:p>
    <w:p w14:paraId="3B3DA3FF">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1.3项目信息</w:t>
      </w:r>
    </w:p>
    <w:p w14:paraId="41066F3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1.3.1项目名称及编号：详见供应商须知前附表</w:t>
      </w:r>
    </w:p>
    <w:p w14:paraId="23040B8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1.3.2</w:t>
      </w:r>
      <w:r>
        <w:rPr>
          <w:rFonts w:hint="eastAsia" w:ascii="Arial" w:hAnsi="Arial" w:cs="Arial"/>
          <w:color w:val="auto"/>
          <w:szCs w:val="21"/>
          <w:highlight w:val="none"/>
        </w:rPr>
        <w:t>采购</w:t>
      </w:r>
      <w:r>
        <w:rPr>
          <w:rFonts w:hint="eastAsia" w:ascii="Arial" w:hAnsi="Arial" w:cs="Arial"/>
          <w:color w:val="auto"/>
          <w:szCs w:val="21"/>
          <w:highlight w:val="none"/>
          <w:lang w:val="en-US" w:eastAsia="zh-CN"/>
        </w:rPr>
        <w:t>方</w:t>
      </w:r>
      <w:r>
        <w:rPr>
          <w:rFonts w:ascii="Arial" w:hAnsi="Arial" w:cs="Arial"/>
          <w:color w:val="auto"/>
          <w:szCs w:val="21"/>
          <w:highlight w:val="none"/>
        </w:rPr>
        <w:t>式：详见供应商须知前附表</w:t>
      </w:r>
    </w:p>
    <w:p w14:paraId="5D805C57">
      <w:pPr>
        <w:spacing w:before="120" w:line="320" w:lineRule="atLeast"/>
        <w:ind w:firstLine="422" w:firstLineChars="200"/>
        <w:outlineLvl w:val="2"/>
        <w:rPr>
          <w:rFonts w:ascii="Arial" w:hAnsi="Arial" w:cs="Arial"/>
          <w:b/>
          <w:bCs/>
          <w:color w:val="auto"/>
          <w:kern w:val="0"/>
          <w:szCs w:val="21"/>
          <w:highlight w:val="none"/>
        </w:rPr>
      </w:pPr>
      <w:bookmarkStart w:id="29" w:name="_Hlk132881026"/>
      <w:r>
        <w:rPr>
          <w:rFonts w:ascii="Arial" w:hAnsi="Arial" w:cs="Arial"/>
          <w:b/>
          <w:bCs/>
          <w:color w:val="auto"/>
          <w:kern w:val="0"/>
          <w:szCs w:val="21"/>
          <w:highlight w:val="none"/>
        </w:rPr>
        <w:t>1.4促进中小企业发展政策</w:t>
      </w:r>
    </w:p>
    <w:p w14:paraId="57E3D1ED">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63AF60DA">
      <w:pPr>
        <w:spacing w:before="120" w:line="320" w:lineRule="atLeast"/>
        <w:ind w:left="2" w:leftChars="1" w:firstLine="420" w:firstLineChars="200"/>
        <w:rPr>
          <w:rFonts w:ascii="Arial" w:hAnsi="Arial" w:cs="Arial"/>
          <w:color w:val="auto"/>
          <w:szCs w:val="21"/>
          <w:highlight w:val="none"/>
        </w:rPr>
      </w:pPr>
      <w:bookmarkStart w:id="30" w:name="_Hlk92205820"/>
      <w:r>
        <w:rPr>
          <w:rFonts w:ascii="Arial" w:hAnsi="Arial" w:cs="Arial"/>
          <w:color w:val="auto"/>
          <w:szCs w:val="21"/>
          <w:highlight w:val="none"/>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05940884">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1.4.2中小企业定义</w:t>
      </w:r>
    </w:p>
    <w:p w14:paraId="06EF146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78E6A332">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1.4.2.2供应商提供的货物、工程或者服务符合下列情形的，享受本款规定的促进中小企业发展政策：</w:t>
      </w:r>
    </w:p>
    <w:p w14:paraId="3C1FF53D">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在货物采购项目中，货物由中小企业制造，即货物由中小企业生产且使用该中小企业商号或者注册商标；</w:t>
      </w:r>
    </w:p>
    <w:p w14:paraId="134CD0B5">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在工程采购项目中，工程由中小企业承建，即工程施工单位为中小企业；</w:t>
      </w:r>
    </w:p>
    <w:p w14:paraId="4017FA65">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在服务采购项目中，服务由中小企业承接，即提供服务的人员为中小企业依照《中华人民共和国劳动合同法》订立劳动合同的从业人员。</w:t>
      </w:r>
    </w:p>
    <w:p w14:paraId="2FB390C2">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在货物采购项目中，供应商提供的货物既有中小企业制造货物，也有大型企业制造货物的，不享受本款规定的促进中小企业发展政策。</w:t>
      </w:r>
    </w:p>
    <w:p w14:paraId="10525C1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41904B6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符合条件的货物制造商、工程施工单位、服务承接单位为中小企业的，应按招标文件规定在投标文件中提供声明函。</w:t>
      </w:r>
    </w:p>
    <w:p w14:paraId="289B82D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1.4.2.4视同中小企业情形</w:t>
      </w:r>
    </w:p>
    <w:p w14:paraId="16DE973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（1）符合中小企业划分标准的个体工商户，视同中小企业。</w:t>
      </w:r>
    </w:p>
    <w:p w14:paraId="466D778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（2）以联合体形式参加政府采购活动，联合体各方均为中小企业的，联合体视同中小企业。其中，联合体各方均为小微企业的，联合体视同小微企业。</w:t>
      </w:r>
    </w:p>
    <w:p w14:paraId="365762A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615743">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符合条件的货物制造商、工程施工单位、服务承接单位为监狱企业或残疾人福利性单位的，应按招标文件规定在投标文件中提供相关证明文件。</w:t>
      </w:r>
      <w:bookmarkEnd w:id="30"/>
    </w:p>
    <w:bookmarkEnd w:id="29"/>
    <w:p w14:paraId="3673ECA4">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1.5供应商资格要求</w:t>
      </w:r>
    </w:p>
    <w:p w14:paraId="4BC3DC87">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1.5.1供应商资格要求：详见供应商须知前附表</w:t>
      </w:r>
    </w:p>
    <w:p w14:paraId="5BE6A83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1.5.2按照招标公告的规定获得招标文件。</w:t>
      </w:r>
    </w:p>
    <w:p w14:paraId="01BF762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1.5.3本项目是否接受联合体投标，见“供应商须知前附表”规定。</w:t>
      </w:r>
    </w:p>
    <w:p w14:paraId="204EF97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 xml:space="preserve">如接受联合体投标，联合体投标要求如下： </w:t>
      </w:r>
    </w:p>
    <w:p w14:paraId="28A1CF51">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（1）供应商可以组成一个投标联合体</w:t>
      </w:r>
      <w:r>
        <w:rPr>
          <w:rFonts w:hint="eastAsia" w:ascii="Arial" w:hAnsi="Arial" w:cs="Arial"/>
          <w:b/>
          <w:bCs/>
          <w:color w:val="auto"/>
          <w:kern w:val="0"/>
          <w:szCs w:val="21"/>
          <w:highlight w:val="none"/>
        </w:rPr>
        <w:t>，总数不超过两家</w:t>
      </w:r>
      <w:r>
        <w:rPr>
          <w:rFonts w:ascii="Arial" w:hAnsi="Arial" w:cs="Arial"/>
          <w:b/>
          <w:bCs/>
          <w:color w:val="auto"/>
          <w:szCs w:val="21"/>
          <w:highlight w:val="none"/>
        </w:rPr>
        <w:t>，以一个供应商的身份共同参加投标。联合体投标的，须提供《联合体协议书》（格式后附）</w:t>
      </w:r>
    </w:p>
    <w:p w14:paraId="06F420FD">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2）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67EE4337">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3B0F723C">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（4）以联合体形式参加政府采购活动的，联合体各方不得再单独参加或者与其他供应商另外组成联合体参加同一合同项下的政府采购活动。</w:t>
      </w:r>
    </w:p>
    <w:p w14:paraId="67B3CAFD">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（5）联合体中有同类资质的供应商按照联合体分工承担相同工作的，应当按照资质等级较低的供应商确定资质等级。</w:t>
      </w:r>
    </w:p>
    <w:p w14:paraId="0E13279B">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（6）联合体投标业绩、履约能力按照联合体各方其中较高的一方认定并计算（招标文件其他章节另有规定的除外）。</w:t>
      </w:r>
    </w:p>
    <w:p w14:paraId="4BECD1A3">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（7）供应商为联合体的，可以由联合体中的一方或者多方共同交纳投标保证金，其交纳的保证金对联合体各方均具有约束力。</w:t>
      </w:r>
    </w:p>
    <w:p w14:paraId="419CE1D0">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（8）联合体各方均应按照招标文件的规定提交资格证明文件。</w:t>
      </w:r>
    </w:p>
    <w:p w14:paraId="07674018">
      <w:pPr>
        <w:spacing w:before="120" w:line="320" w:lineRule="atLeast"/>
        <w:ind w:firstLine="422" w:firstLineChars="200"/>
        <w:outlineLvl w:val="2"/>
        <w:rPr>
          <w:rFonts w:ascii="Arial" w:hAnsi="Arial" w:cs="Arial"/>
          <w:b/>
          <w:bCs/>
          <w:color w:val="auto"/>
          <w:kern w:val="0"/>
          <w:szCs w:val="21"/>
          <w:highlight w:val="none"/>
        </w:rPr>
      </w:pPr>
      <w:bookmarkStart w:id="31" w:name="_Toc254970531"/>
      <w:bookmarkStart w:id="32" w:name="_Toc254970672"/>
      <w:r>
        <w:rPr>
          <w:rFonts w:ascii="Arial" w:hAnsi="Arial" w:cs="Arial"/>
          <w:b/>
          <w:bCs/>
          <w:color w:val="auto"/>
          <w:kern w:val="0"/>
          <w:szCs w:val="21"/>
          <w:highlight w:val="none"/>
        </w:rPr>
        <w:t>1.6现场踏勘及投标费用</w:t>
      </w:r>
      <w:bookmarkEnd w:id="31"/>
      <w:bookmarkEnd w:id="32"/>
    </w:p>
    <w:p w14:paraId="4DFCB9A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1.6.1前附表如规定现场踏勘的，供应商应按规定时间地点参加踏勘。</w:t>
      </w:r>
    </w:p>
    <w:p w14:paraId="736AF56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1.6.2供应商均应自行承担所有与投标有关的全部费用（招标文件有相关的规定除外）。</w:t>
      </w:r>
    </w:p>
    <w:p w14:paraId="7F0D4B71">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1.7转包与分包</w:t>
      </w:r>
    </w:p>
    <w:p w14:paraId="1CB696F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1.7.1如招标文件其他地方无特别规定，本项目不允许转包。</w:t>
      </w:r>
    </w:p>
    <w:p w14:paraId="7901F0D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1.7.2本项目是否允许分包详见“供应商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7FFA92F2">
      <w:pPr>
        <w:spacing w:before="120" w:line="276" w:lineRule="auto"/>
        <w:ind w:firstLine="422" w:firstLineChars="200"/>
        <w:outlineLvl w:val="2"/>
        <w:rPr>
          <w:rFonts w:ascii="Arial" w:hAnsi="Arial" w:cs="Arial"/>
          <w:b/>
          <w:bCs/>
          <w:color w:val="auto"/>
          <w:kern w:val="0"/>
          <w:szCs w:val="21"/>
          <w:highlight w:val="none"/>
        </w:rPr>
      </w:pPr>
      <w:bookmarkStart w:id="33" w:name="_Toc254970673"/>
      <w:bookmarkStart w:id="34" w:name="_Toc254970532"/>
      <w:r>
        <w:rPr>
          <w:rFonts w:ascii="Arial" w:hAnsi="Arial" w:cs="Arial"/>
          <w:b/>
          <w:bCs/>
          <w:color w:val="auto"/>
          <w:kern w:val="0"/>
          <w:szCs w:val="21"/>
          <w:highlight w:val="none"/>
        </w:rPr>
        <w:t>1.8特别说明</w:t>
      </w:r>
      <w:bookmarkEnd w:id="33"/>
      <w:bookmarkEnd w:id="34"/>
    </w:p>
    <w:p w14:paraId="5F09203C">
      <w:pPr>
        <w:spacing w:line="276" w:lineRule="auto"/>
        <w:ind w:firstLine="420" w:firstLineChars="200"/>
        <w:rPr>
          <w:rFonts w:ascii="Arial" w:hAnsi="Arial" w:cs="Arial"/>
          <w:color w:val="auto"/>
          <w:szCs w:val="21"/>
          <w:highlight w:val="none"/>
        </w:rPr>
      </w:pPr>
      <w:r>
        <w:rPr>
          <w:rFonts w:ascii="Arial" w:hAnsi="Arial" w:cs="Arial"/>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543AC04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1.8.2供应商应仔细阅读招标文件的所有内容，按照招标文件的要求提交投标文件，并对所提供的全部资料的真实性承担法律责任。</w:t>
      </w:r>
    </w:p>
    <w:p w14:paraId="3653FDDB">
      <w:pPr>
        <w:spacing w:before="120" w:line="360" w:lineRule="auto"/>
        <w:ind w:firstLine="420" w:firstLineChars="200"/>
        <w:rPr>
          <w:rFonts w:hint="eastAsia" w:ascii="Arial" w:hAnsi="Arial" w:cs="Arial"/>
          <w:color w:val="auto"/>
          <w:szCs w:val="21"/>
          <w:highlight w:val="none"/>
          <w:lang w:eastAsia="zh-CN"/>
        </w:rPr>
      </w:pPr>
      <w:r>
        <w:rPr>
          <w:rFonts w:ascii="Arial" w:hAnsi="Arial" w:cs="Arial"/>
          <w:color w:val="auto"/>
          <w:szCs w:val="21"/>
          <w:highlight w:val="none"/>
        </w:rPr>
        <w:t>1.8.3供应商在投标活动中提供任何虚假材料，将报监管部门查处</w:t>
      </w:r>
      <w:r>
        <w:rPr>
          <w:rFonts w:hint="eastAsia" w:ascii="Arial" w:hAnsi="Arial" w:cs="Arial"/>
          <w:color w:val="auto"/>
          <w:szCs w:val="21"/>
          <w:highlight w:val="none"/>
          <w:lang w:eastAsia="zh-CN"/>
        </w:rPr>
        <w:t>。</w:t>
      </w:r>
    </w:p>
    <w:p w14:paraId="4C25C49C">
      <w:pPr>
        <w:spacing w:before="120" w:line="276" w:lineRule="auto"/>
        <w:ind w:firstLine="420" w:firstLineChars="200"/>
        <w:outlineLvl w:val="2"/>
        <w:rPr>
          <w:b/>
          <w:bCs/>
          <w:color w:val="auto"/>
          <w:kern w:val="0"/>
          <w:szCs w:val="21"/>
          <w:highlight w:val="none"/>
        </w:rPr>
      </w:pPr>
      <w:r>
        <w:rPr>
          <w:rFonts w:ascii="Arial" w:hAnsi="Arial" w:cs="Arial"/>
          <w:color w:val="auto"/>
          <w:szCs w:val="21"/>
          <w:highlight w:val="none"/>
        </w:rPr>
        <w:t xml:space="preserve"> </w:t>
      </w:r>
      <w:r>
        <w:rPr>
          <w:rFonts w:hint="eastAsia"/>
          <w:b/>
          <w:bCs/>
          <w:color w:val="auto"/>
          <w:kern w:val="0"/>
          <w:szCs w:val="21"/>
          <w:highlight w:val="none"/>
        </w:rPr>
        <w:t>1</w:t>
      </w:r>
      <w:r>
        <w:rPr>
          <w:b/>
          <w:bCs/>
          <w:color w:val="auto"/>
          <w:kern w:val="0"/>
          <w:szCs w:val="21"/>
          <w:highlight w:val="none"/>
        </w:rPr>
        <w:t>.</w:t>
      </w:r>
      <w:r>
        <w:rPr>
          <w:rFonts w:hint="eastAsia" w:ascii="Times New Roman" w:eastAsia="宋体"/>
          <w:b/>
          <w:bCs/>
          <w:color w:val="auto"/>
          <w:kern w:val="0"/>
          <w:szCs w:val="21"/>
          <w:highlight w:val="none"/>
          <w:lang w:val="en-US" w:eastAsia="zh-CN"/>
        </w:rPr>
        <w:t xml:space="preserve">9 </w:t>
      </w:r>
      <w:r>
        <w:rPr>
          <w:rFonts w:hint="eastAsia"/>
          <w:b/>
          <w:bCs/>
          <w:color w:val="auto"/>
          <w:kern w:val="0"/>
          <w:szCs w:val="21"/>
          <w:highlight w:val="none"/>
        </w:rPr>
        <w:t>对本国产品的支持政策</w:t>
      </w:r>
    </w:p>
    <w:p w14:paraId="352550F4">
      <w:pPr>
        <w:spacing w:before="120" w:line="360" w:lineRule="auto"/>
        <w:ind w:left="819" w:leftChars="190" w:hanging="420" w:hangingChars="200"/>
        <w:rPr>
          <w:rFonts w:hint="default"/>
          <w:color w:val="auto"/>
          <w:szCs w:val="21"/>
          <w:highlight w:val="none"/>
          <w:lang w:val="en-US" w:eastAsia="zh-CN"/>
        </w:rPr>
      </w:pPr>
      <w:r>
        <w:rPr>
          <w:rFonts w:hint="eastAsia"/>
          <w:color w:val="auto"/>
          <w:szCs w:val="21"/>
          <w:highlight w:val="none"/>
          <w:lang w:val="en-US" w:eastAsia="zh-CN"/>
        </w:rPr>
        <w:t>1.9.1</w:t>
      </w:r>
      <w:r>
        <w:rPr>
          <w:rFonts w:hint="default"/>
          <w:color w:val="auto"/>
          <w:szCs w:val="21"/>
          <w:highlight w:val="none"/>
          <w:lang w:val="en-US" w:eastAsia="zh-CN"/>
        </w:rPr>
        <w:t>本国产品标准</w:t>
      </w:r>
    </w:p>
    <w:p w14:paraId="0842ED9F">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543065B3">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0037D525">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kern w:val="2"/>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74A0A05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①为确保产品在运输或者储存期间保持某种状态而进行的操作；</w:t>
      </w:r>
    </w:p>
    <w:p w14:paraId="60F88D6A">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②为产品运输或者销售进行的包装或者展示；</w:t>
      </w:r>
    </w:p>
    <w:p w14:paraId="133F55A0">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③在产品或者其包装上粘贴或者印刷品牌、标志、标识以及其他用于区别的标记；</w:t>
      </w:r>
    </w:p>
    <w:p w14:paraId="79A6A617">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④简单的上漆、磨光和分装；</w:t>
      </w:r>
    </w:p>
    <w:p w14:paraId="63130907">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⑤其他不属于属性改变的情形；</w:t>
      </w:r>
    </w:p>
    <w:p w14:paraId="47E0968A">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lang w:val="en-US" w:eastAsia="zh-CN"/>
        </w:rPr>
        <w:t>中国境内生产的组件成本占比达到规定比例</w:t>
      </w:r>
      <w:r>
        <w:rPr>
          <w:rFonts w:hint="eastAsia"/>
          <w:color w:val="auto"/>
          <w:szCs w:val="21"/>
          <w:highlight w:val="none"/>
          <w:lang w:val="en-US" w:eastAsia="zh-CN"/>
        </w:rPr>
        <w:t>。</w:t>
      </w:r>
    </w:p>
    <w:p w14:paraId="0A95D970">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①产品在中国境内生产的组件成本占比应当达到规定比例，计算公式为：产品在中国境内生产的组件成本/产品总成本≥规定比例；</w:t>
      </w:r>
    </w:p>
    <w:p w14:paraId="4F761386">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②产品在中国境内生产的组件成本，按照《中国境内生产的组件成本核算基本规则》计算；</w:t>
      </w:r>
    </w:p>
    <w:p w14:paraId="46ADBEAC">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③中国境内生产的组件成本占比相关要求实施前，符合第（1）项条件的产品在政府采购活动中视同本国产品。</w:t>
      </w:r>
    </w:p>
    <w:p w14:paraId="1CCB179A">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（3）</w:t>
      </w:r>
      <w:r>
        <w:rPr>
          <w:rFonts w:hint="default"/>
          <w:color w:val="auto"/>
          <w:szCs w:val="21"/>
          <w:highlight w:val="none"/>
          <w:lang w:val="en-US" w:eastAsia="zh-CN"/>
        </w:rPr>
        <w:t>特定产品的关键组件和工序在中国境内完成。</w:t>
      </w:r>
    </w:p>
    <w:p w14:paraId="65159095">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032A0153">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②特定产品的关键组件、关键工序符合相关要求实施前，符合第（1）项和第（2）项条件的产品在政府采购活动中视同本国产品。</w:t>
      </w:r>
    </w:p>
    <w:p w14:paraId="3EAEAE18">
      <w:pPr>
        <w:spacing w:before="120" w:line="360" w:lineRule="auto"/>
        <w:ind w:left="819" w:leftChars="190" w:hanging="420" w:hangingChars="200"/>
        <w:rPr>
          <w:rFonts w:hint="eastAsia"/>
          <w:color w:val="auto"/>
          <w:szCs w:val="21"/>
          <w:highlight w:val="none"/>
          <w:lang w:val="en-US" w:eastAsia="zh-CN"/>
        </w:rPr>
      </w:pPr>
      <w:r>
        <w:rPr>
          <w:rFonts w:hint="eastAsia"/>
          <w:color w:val="auto"/>
          <w:szCs w:val="21"/>
          <w:highlight w:val="none"/>
          <w:lang w:val="en-US" w:eastAsia="zh-CN"/>
        </w:rPr>
        <w:t>1.9.2 本国产品标准的适用范围</w:t>
      </w:r>
    </w:p>
    <w:p w14:paraId="3F66084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lang w:val="en-US" w:eastAsia="zh-CN"/>
        </w:rPr>
        <w:t>本项目是否适用对本国产品的支持政策详见投标人须知前附表。</w:t>
      </w:r>
    </w:p>
    <w:p w14:paraId="2FAB1404">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中华人民共和国缔结或者共同参加的国际条约、协定对政府采购中本国产品政策另有规定的，按照有关条约、协定执行。</w:t>
      </w:r>
    </w:p>
    <w:p w14:paraId="07F5CD40">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1.9.3 价格评审优惠</w:t>
      </w:r>
    </w:p>
    <w:p w14:paraId="2BF291BC">
      <w:pPr>
        <w:spacing w:before="120" w:line="320" w:lineRule="atLeast"/>
        <w:ind w:firstLine="420" w:firstLineChars="200"/>
        <w:rPr>
          <w:rFonts w:hint="eastAsia"/>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783F5F79">
      <w:pPr>
        <w:spacing w:before="120" w:line="320" w:lineRule="atLeast"/>
        <w:ind w:firstLine="420" w:firstLineChars="200"/>
        <w:rPr>
          <w:rFonts w:hint="eastAsia"/>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CEF147B">
      <w:pPr>
        <w:spacing w:before="120" w:line="320" w:lineRule="atLeast"/>
        <w:ind w:firstLine="420" w:firstLineChars="200"/>
        <w:rPr>
          <w:rFonts w:hint="eastAsia"/>
          <w:color w:val="auto"/>
          <w:szCs w:val="21"/>
          <w:highlight w:val="none"/>
          <w:lang w:eastAsia="zh-CN"/>
        </w:rPr>
      </w:pPr>
      <w:r>
        <w:rPr>
          <w:rFonts w:hint="eastAsia"/>
          <w:color w:val="auto"/>
          <w:szCs w:val="21"/>
          <w:highlight w:val="none"/>
        </w:rPr>
        <w:t>价格扣除比例在第四章评审方法及标准中规定</w:t>
      </w:r>
      <w:r>
        <w:rPr>
          <w:rFonts w:hint="eastAsia" w:eastAsia="宋体"/>
          <w:color w:val="auto"/>
          <w:szCs w:val="21"/>
          <w:highlight w:val="none"/>
          <w:lang w:eastAsia="zh-CN"/>
        </w:rPr>
        <w:t>。</w:t>
      </w:r>
    </w:p>
    <w:p w14:paraId="0BA0833C">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1.9.4政策执行要求</w:t>
      </w:r>
    </w:p>
    <w:p w14:paraId="352ACD5F">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19.4.1产品在中国境内生产的组件成本核算规则：产品在中国境内生产的组件成本，按照《中国境内生产的组件成本核算基本规则》计算。</w:t>
      </w:r>
    </w:p>
    <w:p w14:paraId="52B105C4">
      <w:pPr>
        <w:spacing w:before="120" w:line="360" w:lineRule="auto"/>
        <w:ind w:firstLine="2520" w:firstLineChars="1200"/>
        <w:rPr>
          <w:rFonts w:hint="eastAsia"/>
          <w:color w:val="auto"/>
          <w:szCs w:val="21"/>
          <w:highlight w:val="none"/>
          <w:lang w:eastAsia="zh-CN"/>
        </w:rPr>
      </w:pPr>
      <w:r>
        <w:rPr>
          <w:rFonts w:hint="eastAsia" w:eastAsia="宋体"/>
          <w:color w:val="auto"/>
          <w:szCs w:val="21"/>
          <w:highlight w:val="none"/>
          <w:lang w:eastAsia="zh-CN"/>
        </w:rPr>
        <w:t>《中国境内生产的组件成本核算基本规则》</w:t>
      </w:r>
    </w:p>
    <w:p w14:paraId="4A2D9FFA">
      <w:pPr>
        <w:spacing w:before="120" w:line="240" w:lineRule="auto"/>
        <w:ind w:firstLine="420" w:firstLineChars="200"/>
        <w:rPr>
          <w:rFonts w:hint="eastAsia"/>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A1C9BD8">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1.</w:t>
      </w:r>
      <w:r>
        <w:rPr>
          <w:rFonts w:hint="eastAsia"/>
          <w:color w:val="auto"/>
          <w:szCs w:val="21"/>
          <w:highlight w:val="none"/>
        </w:rPr>
        <w:t>产品的一级组件是指直接组成产品的组件。产品的二级组件是指直接组成产品一级组件的组件。一级组件不可分解的，视同二级组件。</w:t>
      </w:r>
    </w:p>
    <w:p w14:paraId="1980651F">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2.</w:t>
      </w:r>
      <w:r>
        <w:rPr>
          <w:rFonts w:hint="eastAsia"/>
          <w:color w:val="auto"/>
          <w:szCs w:val="21"/>
          <w:highlight w:val="none"/>
        </w:rPr>
        <w:t>二级组件在中国境内生产的，其全部成本计入中国境内生产的组件成本；二级组件不在中国境内生产的，其成本不计入中国境内生产的组件成本。</w:t>
      </w:r>
    </w:p>
    <w:p w14:paraId="5C4CF989">
      <w:p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3.</w:t>
      </w:r>
      <w:r>
        <w:rPr>
          <w:rFonts w:hint="eastAsia"/>
          <w:color w:val="auto"/>
          <w:szCs w:val="21"/>
          <w:highlight w:val="none"/>
        </w:rPr>
        <w:t>产品总成本和组件成本以相关会计核算数据、采购合同、进货记录等为基础进行计算。</w:t>
      </w:r>
    </w:p>
    <w:p w14:paraId="04FDCFD3">
      <w:pPr>
        <w:spacing w:before="120" w:line="240" w:lineRule="auto"/>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4.</w:t>
      </w:r>
      <w:r>
        <w:rPr>
          <w:rFonts w:hint="eastAsia"/>
          <w:color w:val="auto"/>
          <w:szCs w:val="21"/>
          <w:highlight w:val="none"/>
        </w:rPr>
        <w:t>需要对成本核算规则予以进一步明确的其他有关事项，由财政部会同有关部门另行规定。</w:t>
      </w:r>
    </w:p>
    <w:p w14:paraId="4CB2A4CB">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1.9.4.2</w:t>
      </w:r>
      <w:r>
        <w:rPr>
          <w:rFonts w:hint="eastAsia"/>
          <w:color w:val="auto"/>
          <w:szCs w:val="21"/>
          <w:highlight w:val="none"/>
          <w:lang w:val="en-US" w:eastAsia="zh-CN"/>
        </w:rPr>
        <w:t>证明材料提交与审查：供应商需在投标（响应）文件中对其提供的产品出具《关于符合本国产品标准的声明函》（样式见投标文件格式）或财政部会同有关部门规定的有关证明文件。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5C4FE25A">
      <w:pPr>
        <w:pStyle w:val="20"/>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eastAsia" w:cs="Times New Roman"/>
          <w:color w:val="auto"/>
          <w:kern w:val="2"/>
          <w:sz w:val="21"/>
          <w:szCs w:val="21"/>
          <w:highlight w:val="none"/>
          <w:lang w:val="en-US" w:eastAsia="zh-CN" w:bidi="ar-SA"/>
        </w:rPr>
        <w:t>当</w:t>
      </w:r>
      <w:r>
        <w:rPr>
          <w:rFonts w:hint="eastAsia" w:ascii="Times New Roman" w:hAnsi="Times New Roman" w:eastAsia="宋体" w:cs="Times New Roman"/>
          <w:color w:val="auto"/>
          <w:kern w:val="2"/>
          <w:sz w:val="21"/>
          <w:szCs w:val="21"/>
          <w:highlight w:val="none"/>
          <w:lang w:val="en-US" w:eastAsia="zh-CN" w:bidi="ar-SA"/>
        </w:rPr>
        <w:t>以书面形式要求供应商澄清、说明或者补正；</w:t>
      </w:r>
      <w:r>
        <w:rPr>
          <w:rFonts w:hint="eastAsia" w:cs="Times New Roman"/>
          <w:color w:val="auto"/>
          <w:kern w:val="2"/>
          <w:sz w:val="21"/>
          <w:szCs w:val="21"/>
          <w:highlight w:val="none"/>
          <w:lang w:val="en-US" w:eastAsia="zh-CN" w:bidi="ar-SA"/>
        </w:rPr>
        <w:t>经</w:t>
      </w:r>
      <w:r>
        <w:rPr>
          <w:rFonts w:hint="eastAsia" w:ascii="Times New Roman" w:hAnsi="Times New Roman" w:eastAsia="宋体" w:cs="Times New Roman"/>
          <w:color w:val="auto"/>
          <w:kern w:val="2"/>
          <w:sz w:val="21"/>
          <w:szCs w:val="21"/>
          <w:highlight w:val="none"/>
          <w:lang w:val="en-US" w:eastAsia="zh-CN" w:bidi="ar-SA"/>
        </w:rPr>
        <w:t>澄清、说明或者补正后仍不符合要求的，不认定为本国产品。</w:t>
      </w:r>
    </w:p>
    <w:p w14:paraId="5887C732">
      <w:pPr>
        <w:pStyle w:val="20"/>
        <w:ind w:firstLine="420" w:firstLineChars="200"/>
        <w:rPr>
          <w:rFonts w:hint="default"/>
          <w:color w:val="auto"/>
          <w:sz w:val="21"/>
          <w:szCs w:val="21"/>
          <w:highlight w:val="none"/>
          <w:lang w:val="en-US" w:eastAsia="zh-CN"/>
        </w:rPr>
      </w:pPr>
      <w:r>
        <w:rPr>
          <w:rFonts w:hint="eastAsia"/>
          <w:color w:val="auto"/>
          <w:sz w:val="21"/>
          <w:szCs w:val="21"/>
          <w:highlight w:val="none"/>
          <w:lang w:val="en-US" w:eastAsia="zh-CN"/>
        </w:rPr>
        <w:t>澄清补正应当按照“6.3.3澄清、说明或补正”的规定提交。</w:t>
      </w:r>
    </w:p>
    <w:p w14:paraId="3C0649E7">
      <w:pPr>
        <w:pStyle w:val="20"/>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60D3C22C">
      <w:pPr>
        <w:pStyle w:val="20"/>
        <w:ind w:firstLine="420" w:firstLineChars="200"/>
        <w:rPr>
          <w:rFonts w:hint="eastAsia"/>
          <w:color w:val="auto"/>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kern w:val="2"/>
          <w:sz w:val="21"/>
          <w:szCs w:val="21"/>
          <w:highlight w:val="none"/>
          <w:lang w:val="en-US" w:eastAsia="zh-CN" w:bidi="ar-SA"/>
        </w:rPr>
        <w:t>关于符合</w:t>
      </w:r>
      <w:r>
        <w:rPr>
          <w:rFonts w:hint="default" w:ascii="Times New Roman" w:hAnsi="Times New Roman" w:eastAsia="宋体" w:cs="Times New Roman"/>
          <w:color w:val="auto"/>
          <w:kern w:val="2"/>
          <w:sz w:val="21"/>
          <w:szCs w:val="21"/>
          <w:highlight w:val="none"/>
          <w:lang w:val="en-US" w:eastAsia="zh-CN" w:bidi="ar-SA"/>
        </w:rPr>
        <w:t>本国产品</w:t>
      </w:r>
      <w:r>
        <w:rPr>
          <w:rFonts w:hint="eastAsia" w:cs="Times New Roman"/>
          <w:color w:val="auto"/>
          <w:kern w:val="2"/>
          <w:sz w:val="21"/>
          <w:szCs w:val="21"/>
          <w:highlight w:val="none"/>
          <w:lang w:val="en-US" w:eastAsia="zh-CN" w:bidi="ar-SA"/>
        </w:rPr>
        <w:t>标准的</w:t>
      </w:r>
      <w:r>
        <w:rPr>
          <w:rFonts w:hint="default"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（如适用）</w:t>
      </w:r>
      <w:r>
        <w:rPr>
          <w:rFonts w:hint="default" w:ascii="Times New Roman" w:hAnsi="Times New Roman" w:eastAsia="宋体" w:cs="Times New Roman"/>
          <w:color w:val="auto"/>
          <w:kern w:val="2"/>
          <w:sz w:val="21"/>
          <w:szCs w:val="21"/>
          <w:highlight w:val="none"/>
          <w:lang w:val="en-US" w:eastAsia="zh-CN" w:bidi="ar-SA"/>
        </w:rPr>
        <w:t>（参考模板</w:t>
      </w:r>
      <w:r>
        <w:rPr>
          <w:rFonts w:hint="eastAsia" w:cs="Times New Roman"/>
          <w:color w:val="auto"/>
          <w:kern w:val="2"/>
          <w:sz w:val="21"/>
          <w:szCs w:val="21"/>
          <w:highlight w:val="none"/>
          <w:lang w:val="en-US" w:eastAsia="zh-CN" w:bidi="ar-SA"/>
        </w:rPr>
        <w:t>详见投标文件格式</w:t>
      </w:r>
      <w:r>
        <w:rPr>
          <w:rFonts w:hint="default" w:ascii="Times New Roman" w:hAnsi="Times New Roman" w:eastAsia="宋体" w:cs="Times New Roman"/>
          <w:color w:val="auto"/>
          <w:kern w:val="2"/>
          <w:sz w:val="21"/>
          <w:szCs w:val="21"/>
          <w:highlight w:val="none"/>
          <w:lang w:val="en-US" w:eastAsia="zh-CN" w:bidi="ar-SA"/>
        </w:rPr>
        <w:t>）。相关成本核算的原始凭证应妥善留存，以备核查。采购人可在履约验收环节对相关材料进行抽查。</w:t>
      </w:r>
    </w:p>
    <w:p w14:paraId="4A7D1247">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1.9.5 争议处理</w:t>
      </w:r>
    </w:p>
    <w:p w14:paraId="4A1D0491">
      <w:pPr>
        <w:spacing w:before="120" w:line="320" w:lineRule="atLeast"/>
        <w:ind w:firstLine="420" w:firstLineChars="200"/>
        <w:rPr>
          <w:rFonts w:ascii="Arial" w:hAnsi="Arial" w:cs="Arial"/>
          <w:color w:val="auto"/>
          <w:szCs w:val="21"/>
          <w:highlight w:val="none"/>
        </w:rPr>
      </w:pPr>
      <w:r>
        <w:rPr>
          <w:rFonts w:hint="eastAsia" w:ascii="Times New Roman" w:eastAsia="宋体"/>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4845A4E4">
      <w:pPr>
        <w:spacing w:before="120" w:line="320" w:lineRule="atLeast"/>
        <w:ind w:left="2" w:leftChars="1" w:firstLine="422" w:firstLineChars="200"/>
        <w:outlineLvl w:val="1"/>
        <w:rPr>
          <w:rFonts w:ascii="Arial" w:hAnsi="Arial" w:cs="Arial"/>
          <w:b/>
          <w:bCs/>
          <w:color w:val="auto"/>
          <w:kern w:val="0"/>
          <w:szCs w:val="21"/>
          <w:highlight w:val="none"/>
        </w:rPr>
      </w:pPr>
      <w:bookmarkStart w:id="35" w:name="_Toc254970675"/>
      <w:bookmarkStart w:id="36" w:name="_Toc254970534"/>
      <w:r>
        <w:rPr>
          <w:rFonts w:ascii="Arial" w:hAnsi="Arial" w:cs="Arial"/>
          <w:b/>
          <w:bCs/>
          <w:color w:val="auto"/>
          <w:kern w:val="0"/>
          <w:szCs w:val="21"/>
          <w:highlight w:val="none"/>
        </w:rPr>
        <w:t>2．招标文件</w:t>
      </w:r>
      <w:bookmarkEnd w:id="35"/>
      <w:bookmarkEnd w:id="36"/>
    </w:p>
    <w:p w14:paraId="5AD90EC9">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2.1招标文件的构成</w:t>
      </w:r>
    </w:p>
    <w:p w14:paraId="181E185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第一章 招标公告</w:t>
      </w:r>
    </w:p>
    <w:p w14:paraId="71583A7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第二章 采购需求</w:t>
      </w:r>
    </w:p>
    <w:p w14:paraId="003F29B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第三章 供应商须知</w:t>
      </w:r>
    </w:p>
    <w:p w14:paraId="554D8D9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第四章 评审方法及标准</w:t>
      </w:r>
    </w:p>
    <w:p w14:paraId="26A4EC07">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第五章 合同主要条款格式</w:t>
      </w:r>
    </w:p>
    <w:p w14:paraId="63D09BF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第六章 投标文件格式</w:t>
      </w:r>
    </w:p>
    <w:p w14:paraId="2A4BF862">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2.2供应商的风险</w:t>
      </w:r>
    </w:p>
    <w:p w14:paraId="11910AC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供应商没有按照招标文件要求提供全部资料，或者供应商没有对招标文件在各方面作出实质性响应是供应商的风险，并可能导致其投标被否决。</w:t>
      </w:r>
    </w:p>
    <w:p w14:paraId="5FC40556">
      <w:pPr>
        <w:spacing w:before="120" w:line="320" w:lineRule="atLeast"/>
        <w:ind w:firstLine="422" w:firstLineChars="200"/>
        <w:outlineLvl w:val="2"/>
        <w:rPr>
          <w:rFonts w:ascii="Arial" w:hAnsi="Arial" w:cs="Arial"/>
          <w:b/>
          <w:color w:val="auto"/>
          <w:szCs w:val="21"/>
          <w:highlight w:val="none"/>
        </w:rPr>
      </w:pPr>
      <w:r>
        <w:rPr>
          <w:rFonts w:ascii="Arial" w:hAnsi="Arial" w:cs="Arial"/>
          <w:b/>
          <w:bCs/>
          <w:color w:val="auto"/>
          <w:kern w:val="0"/>
          <w:szCs w:val="21"/>
          <w:highlight w:val="none"/>
        </w:rPr>
        <w:t>2.3招标文件的澄清与修改</w:t>
      </w:r>
    </w:p>
    <w:p w14:paraId="5B796AF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2.3.1任何已获得招标文件的潜在供应商，均可以书面形式要求采购代理机构作出书面解释、澄清。</w:t>
      </w:r>
    </w:p>
    <w:p w14:paraId="6EC117B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2.3.2采购人、采购代理机构对已发出的招标文件进行必要澄清或者修改的，采购人或者采购代理机构可以对已发出的招标文件进行必要的澄清或者修改。澄清或者修改的内容可能影响投标文件编制的，采购人或者采购代理机构应当在投标截止时间至少15日前，在投标人须知前附表规定的方式通知所有获取招标文件的潜在投标人；不足15日的，采购人或者采购代理机构应当顺延提交投标文件的截止时间。</w:t>
      </w:r>
    </w:p>
    <w:p w14:paraId="5A38E2B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2.3.3招标文件澄清、答复、修改、补充的内容为招标文件的组成部分。当招标文件与招标文件的答复、澄清、修改、补充通知就同一内容的表述不一致时，以最后发出的公告或书面文件为准。</w:t>
      </w:r>
    </w:p>
    <w:p w14:paraId="37DFA73C">
      <w:pPr>
        <w:spacing w:before="120" w:line="320" w:lineRule="atLeast"/>
        <w:ind w:left="2" w:leftChars="1" w:firstLine="422" w:firstLineChars="200"/>
        <w:outlineLvl w:val="1"/>
        <w:rPr>
          <w:rFonts w:ascii="Arial" w:hAnsi="Arial" w:cs="Arial"/>
          <w:b/>
          <w:bCs/>
          <w:color w:val="auto"/>
          <w:kern w:val="0"/>
          <w:szCs w:val="21"/>
          <w:highlight w:val="none"/>
        </w:rPr>
      </w:pPr>
      <w:bookmarkStart w:id="37" w:name="_Toc254970676"/>
      <w:bookmarkStart w:id="38" w:name="_Toc254970535"/>
      <w:r>
        <w:rPr>
          <w:rFonts w:ascii="Arial" w:hAnsi="Arial" w:cs="Arial"/>
          <w:b/>
          <w:bCs/>
          <w:color w:val="auto"/>
          <w:kern w:val="0"/>
          <w:szCs w:val="21"/>
          <w:highlight w:val="none"/>
        </w:rPr>
        <w:t>3．投标文件</w:t>
      </w:r>
      <w:bookmarkEnd w:id="37"/>
      <w:bookmarkEnd w:id="38"/>
    </w:p>
    <w:p w14:paraId="303E2196">
      <w:pPr>
        <w:spacing w:before="120" w:line="320" w:lineRule="atLeast"/>
        <w:ind w:firstLine="422" w:firstLineChars="200"/>
        <w:outlineLvl w:val="2"/>
        <w:rPr>
          <w:rFonts w:ascii="Arial" w:hAnsi="Arial" w:cs="Arial"/>
          <w:b/>
          <w:bCs/>
          <w:color w:val="auto"/>
          <w:kern w:val="0"/>
          <w:szCs w:val="21"/>
          <w:highlight w:val="none"/>
        </w:rPr>
      </w:pPr>
      <w:bookmarkStart w:id="39" w:name="_Toc254970536"/>
      <w:bookmarkStart w:id="40" w:name="_Toc254970677"/>
      <w:r>
        <w:rPr>
          <w:rFonts w:ascii="Arial" w:hAnsi="Arial" w:cs="Arial"/>
          <w:b/>
          <w:bCs/>
          <w:color w:val="auto"/>
          <w:kern w:val="0"/>
          <w:szCs w:val="21"/>
          <w:highlight w:val="none"/>
        </w:rPr>
        <w:t>3.1投标文件的组成</w:t>
      </w:r>
      <w:bookmarkEnd w:id="39"/>
      <w:bookmarkEnd w:id="40"/>
    </w:p>
    <w:p w14:paraId="427FC1D7">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投标文件由第六章“投标文件格式”规定的内容和供应商所作的一切有效补充、修改和承诺等文件组成。</w:t>
      </w:r>
    </w:p>
    <w:p w14:paraId="6DB0C5A8">
      <w:pPr>
        <w:spacing w:before="120" w:line="320" w:lineRule="atLeast"/>
        <w:ind w:firstLine="422" w:firstLineChars="200"/>
        <w:outlineLvl w:val="2"/>
        <w:rPr>
          <w:rFonts w:ascii="Arial" w:hAnsi="Arial" w:cs="Arial"/>
          <w:b/>
          <w:bCs/>
          <w:color w:val="auto"/>
          <w:kern w:val="0"/>
          <w:szCs w:val="21"/>
          <w:highlight w:val="none"/>
        </w:rPr>
      </w:pPr>
      <w:bookmarkStart w:id="41" w:name="_Toc254970678"/>
      <w:bookmarkStart w:id="42" w:name="_Toc254970537"/>
      <w:r>
        <w:rPr>
          <w:rFonts w:ascii="Arial" w:hAnsi="Arial" w:cs="Arial"/>
          <w:b/>
          <w:color w:val="auto"/>
          <w:szCs w:val="21"/>
          <w:highlight w:val="none"/>
        </w:rPr>
        <w:t>3.2</w:t>
      </w:r>
      <w:r>
        <w:rPr>
          <w:rFonts w:ascii="Arial" w:hAnsi="Arial" w:cs="Arial"/>
          <w:b/>
          <w:bCs/>
          <w:color w:val="auto"/>
          <w:kern w:val="0"/>
          <w:szCs w:val="21"/>
          <w:highlight w:val="none"/>
        </w:rPr>
        <w:t>投标文件的语言及计量</w:t>
      </w:r>
      <w:bookmarkEnd w:id="41"/>
      <w:bookmarkEnd w:id="42"/>
    </w:p>
    <w:p w14:paraId="09BA507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3.2.1投标文件以及供应商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6FB2015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3.2.2计量单位招标文件已有明确规定的，投标使用招标文件规定的计量单位；招标文件没有规定的，应采用中华人民共和国法定计量单位。</w:t>
      </w:r>
    </w:p>
    <w:p w14:paraId="1E1FE421">
      <w:pPr>
        <w:spacing w:before="120" w:line="320" w:lineRule="atLeast"/>
        <w:ind w:firstLine="422" w:firstLineChars="200"/>
        <w:outlineLvl w:val="2"/>
        <w:rPr>
          <w:rFonts w:ascii="Arial" w:hAnsi="Arial" w:cs="Arial"/>
          <w:b/>
          <w:bCs/>
          <w:color w:val="auto"/>
          <w:kern w:val="0"/>
          <w:szCs w:val="21"/>
          <w:highlight w:val="none"/>
        </w:rPr>
      </w:pPr>
      <w:bookmarkStart w:id="43" w:name="_Toc254970538"/>
      <w:bookmarkStart w:id="44" w:name="_Toc254970679"/>
      <w:r>
        <w:rPr>
          <w:rFonts w:ascii="Arial" w:hAnsi="Arial" w:cs="Arial"/>
          <w:b/>
          <w:bCs/>
          <w:color w:val="auto"/>
          <w:kern w:val="0"/>
          <w:szCs w:val="21"/>
          <w:highlight w:val="none"/>
        </w:rPr>
        <w:t>3.3投标报价</w:t>
      </w:r>
      <w:bookmarkEnd w:id="43"/>
      <w:bookmarkEnd w:id="44"/>
    </w:p>
    <w:p w14:paraId="0C36EF6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3.3.1投标报价应按招标文件中相关附表格式填写。</w:t>
      </w:r>
    </w:p>
    <w:p w14:paraId="162DF99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3.3.2投标文件只允许有一个报价，有选择的或有条件的报价将不予接受。</w:t>
      </w:r>
    </w:p>
    <w:p w14:paraId="67428DD9">
      <w:pPr>
        <w:suppressAutoHyphens/>
        <w:spacing w:before="120" w:line="320" w:lineRule="atLeast"/>
        <w:ind w:firstLine="420" w:firstLineChars="200"/>
        <w:rPr>
          <w:rFonts w:ascii="Arial" w:hAnsi="Arial" w:cs="Arial"/>
          <w:color w:val="auto"/>
          <w:kern w:val="1"/>
          <w:szCs w:val="21"/>
          <w:highlight w:val="none"/>
        </w:rPr>
      </w:pPr>
      <w:r>
        <w:rPr>
          <w:rFonts w:ascii="Arial" w:hAnsi="Arial" w:cs="Arial"/>
          <w:color w:val="auto"/>
          <w:kern w:val="1"/>
          <w:szCs w:val="21"/>
          <w:highlight w:val="none"/>
        </w:rPr>
        <w:t>3.3.3对于本文件中未列明，而供应商认为必需的费用也需列入投标报价。在合同实施时，采购人将不予支付中标供应商没有列入的项目费用，并认为此项目的费用已包括在投标报价中。</w:t>
      </w:r>
    </w:p>
    <w:p w14:paraId="4607F4E1">
      <w:pPr>
        <w:suppressAutoHyphens/>
        <w:spacing w:before="120" w:line="320" w:lineRule="atLeast"/>
        <w:ind w:firstLine="420" w:firstLineChars="200"/>
        <w:rPr>
          <w:rFonts w:ascii="Arial" w:hAnsi="Arial" w:cs="Arial"/>
          <w:b/>
          <w:bCs/>
          <w:color w:val="auto"/>
          <w:kern w:val="1"/>
          <w:szCs w:val="21"/>
          <w:highlight w:val="none"/>
        </w:rPr>
      </w:pPr>
      <w:r>
        <w:rPr>
          <w:rFonts w:ascii="Arial" w:hAnsi="Arial" w:cs="Arial"/>
          <w:color w:val="auto"/>
          <w:kern w:val="1"/>
          <w:szCs w:val="21"/>
          <w:highlight w:val="none"/>
        </w:rPr>
        <w:t>3.3.4采购人不接受供应商给予的赠品、回扣或者与采购无关的其他商品、服务。</w:t>
      </w:r>
    </w:p>
    <w:p w14:paraId="10D2FB19">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3.4投标有效期</w:t>
      </w:r>
    </w:p>
    <w:p w14:paraId="7D0A024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3.4.1如招标文件其他地方无特别规定，投标有效期则为投标截止之日起90天。在投标有效期内投标文件应保持有效。</w:t>
      </w:r>
      <w:r>
        <w:rPr>
          <w:rFonts w:ascii="Arial" w:hAnsi="Arial" w:cs="Arial"/>
          <w:b/>
          <w:bCs/>
          <w:color w:val="auto"/>
          <w:szCs w:val="21"/>
          <w:highlight w:val="none"/>
        </w:rPr>
        <w:t>有效期不足的投标文件将被否决</w:t>
      </w:r>
      <w:r>
        <w:rPr>
          <w:rFonts w:ascii="Arial" w:hAnsi="Arial" w:cs="Arial"/>
          <w:color w:val="auto"/>
          <w:szCs w:val="21"/>
          <w:highlight w:val="none"/>
        </w:rPr>
        <w:t>。</w:t>
      </w:r>
    </w:p>
    <w:p w14:paraId="441400F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3.4.2在特殊情况下，采购人可与供应商协商延长投标文件的有效期，这种要求和答复均以书面形式进行。</w:t>
      </w:r>
    </w:p>
    <w:p w14:paraId="09A811E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3.4.3供应商同意延长的投标有效期的，如本项目要求提交保证金则应相应延长其投标保证金的有效期，但不得要求或被允许修改或撤销其投标文件；供应商拒绝延长的，其投标无效，但供应商有权收回其投标保证金。</w:t>
      </w:r>
    </w:p>
    <w:p w14:paraId="24F8BBF2">
      <w:pPr>
        <w:spacing w:before="120" w:line="320" w:lineRule="atLeast"/>
        <w:ind w:firstLine="422" w:firstLineChars="200"/>
        <w:outlineLvl w:val="2"/>
        <w:rPr>
          <w:rFonts w:ascii="Arial" w:hAnsi="Arial" w:cs="Arial"/>
          <w:b/>
          <w:bCs/>
          <w:color w:val="auto"/>
          <w:kern w:val="0"/>
          <w:szCs w:val="21"/>
          <w:highlight w:val="none"/>
        </w:rPr>
      </w:pPr>
      <w:bookmarkStart w:id="45" w:name="_Toc254970682"/>
      <w:bookmarkStart w:id="46" w:name="_Toc254970541"/>
      <w:r>
        <w:rPr>
          <w:rFonts w:ascii="Arial" w:hAnsi="Arial" w:cs="Arial"/>
          <w:b/>
          <w:bCs/>
          <w:color w:val="auto"/>
          <w:kern w:val="0"/>
          <w:szCs w:val="21"/>
          <w:highlight w:val="none"/>
        </w:rPr>
        <w:t>3.5投标保证金</w:t>
      </w:r>
      <w:bookmarkEnd w:id="45"/>
      <w:bookmarkEnd w:id="46"/>
    </w:p>
    <w:p w14:paraId="594351F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3.5.1供应商须按须知前附表规定提交投标保证金，</w:t>
      </w:r>
      <w:r>
        <w:rPr>
          <w:rFonts w:ascii="Arial" w:hAnsi="Arial" w:cs="Arial"/>
          <w:b/>
          <w:bCs/>
          <w:color w:val="auto"/>
          <w:szCs w:val="21"/>
          <w:highlight w:val="none"/>
        </w:rPr>
        <w:t>否则其投标将被否决</w:t>
      </w:r>
      <w:r>
        <w:rPr>
          <w:rFonts w:ascii="Arial" w:hAnsi="Arial" w:cs="Arial"/>
          <w:color w:val="auto"/>
          <w:szCs w:val="21"/>
          <w:highlight w:val="none"/>
        </w:rPr>
        <w:t>。除招标文件规定不予退还保证金的情形外，代理机构在规定时间内退回供应商的投标保证金（供应商自行承担因未按供应商须知前附表要求交纳导致投标保证金无法及时退还的责任）。</w:t>
      </w:r>
    </w:p>
    <w:p w14:paraId="4C228AB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3.5.2投标保证金币种应与投标报价币种相同。</w:t>
      </w:r>
    </w:p>
    <w:p w14:paraId="3467308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3.5.3未中标供应商的投标保证金在中标通知书发出后5个工作日内退还。中标供应商的投标保证金在合同签订后5个工作日内退还（办理退还手续时需要向采购代理机构提供两份合同复印件）。</w:t>
      </w:r>
    </w:p>
    <w:p w14:paraId="79D2B307">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3.5.4供应商有下列情形之一的，投标保证金将不予退还：</w:t>
      </w:r>
    </w:p>
    <w:p w14:paraId="5AAFACA5">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供应商在投标有效期内撤销投标文件的；</w:t>
      </w:r>
    </w:p>
    <w:p w14:paraId="2A63FE6D">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供应商在投标过程中弄虚作假，提供虚假材料的；</w:t>
      </w:r>
    </w:p>
    <w:p w14:paraId="59F5E95E">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中标供应商无正当理由不与采购人签订合同的；</w:t>
      </w:r>
    </w:p>
    <w:p w14:paraId="28AEF141">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将中标项目转让给他人或者在投标文件中未说明且未经采购人同意，将中标项目分包给他人的；</w:t>
      </w:r>
    </w:p>
    <w:p w14:paraId="31162B69">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拒绝履行合同义务的；</w:t>
      </w:r>
    </w:p>
    <w:p w14:paraId="13CF4C3F">
      <w:pPr>
        <w:numPr>
          <w:ilvl w:val="0"/>
          <w:numId w:val="2"/>
        </w:numPr>
        <w:spacing w:before="120" w:line="320" w:lineRule="atLeast"/>
        <w:rPr>
          <w:rFonts w:ascii="Arial" w:hAnsi="Arial" w:cs="Arial"/>
          <w:color w:val="auto"/>
          <w:szCs w:val="21"/>
          <w:highlight w:val="none"/>
        </w:rPr>
      </w:pPr>
      <w:r>
        <w:rPr>
          <w:rFonts w:ascii="Arial" w:hAnsi="Arial" w:cs="Arial"/>
          <w:color w:val="auto"/>
          <w:szCs w:val="21"/>
          <w:highlight w:val="none"/>
        </w:rPr>
        <w:t>其他严重扰乱招投标程序的。</w:t>
      </w:r>
    </w:p>
    <w:p w14:paraId="1CC67E74">
      <w:pPr>
        <w:spacing w:before="120" w:line="320" w:lineRule="atLeast"/>
        <w:ind w:firstLine="422" w:firstLineChars="200"/>
        <w:outlineLvl w:val="2"/>
        <w:rPr>
          <w:rFonts w:ascii="Arial" w:hAnsi="Arial" w:cs="Arial"/>
          <w:b/>
          <w:bCs/>
          <w:color w:val="auto"/>
          <w:kern w:val="0"/>
          <w:szCs w:val="21"/>
          <w:highlight w:val="none"/>
        </w:rPr>
      </w:pPr>
      <w:bookmarkStart w:id="47" w:name="_Toc254970683"/>
      <w:bookmarkStart w:id="48" w:name="_Toc254970542"/>
      <w:r>
        <w:rPr>
          <w:rFonts w:ascii="Arial" w:hAnsi="Arial" w:cs="Arial"/>
          <w:b/>
          <w:bCs/>
          <w:color w:val="auto"/>
          <w:kern w:val="0"/>
          <w:szCs w:val="21"/>
          <w:highlight w:val="none"/>
        </w:rPr>
        <w:t>3.6投标文件的</w:t>
      </w:r>
      <w:bookmarkEnd w:id="47"/>
      <w:bookmarkEnd w:id="48"/>
      <w:r>
        <w:rPr>
          <w:rFonts w:ascii="Arial" w:hAnsi="Arial" w:cs="Arial"/>
          <w:b/>
          <w:bCs/>
          <w:color w:val="auto"/>
          <w:kern w:val="0"/>
          <w:szCs w:val="21"/>
          <w:highlight w:val="none"/>
        </w:rPr>
        <w:t>编制要求</w:t>
      </w:r>
    </w:p>
    <w:p w14:paraId="3F8ED370">
      <w:pPr>
        <w:spacing w:before="120" w:line="320" w:lineRule="atLeast"/>
        <w:ind w:firstLine="420" w:firstLineChars="200"/>
        <w:rPr>
          <w:rFonts w:ascii="Arial" w:hAnsi="Arial" w:cs="Arial"/>
          <w:color w:val="auto"/>
          <w:szCs w:val="21"/>
          <w:highlight w:val="none"/>
        </w:rPr>
      </w:pPr>
      <w:r>
        <w:rPr>
          <w:rFonts w:ascii="Arial" w:hAnsi="Arial" w:cs="Arial"/>
          <w:color w:val="auto"/>
          <w:kern w:val="0"/>
          <w:szCs w:val="21"/>
          <w:highlight w:val="none"/>
        </w:rPr>
        <w:t>3.6.1</w:t>
      </w:r>
      <w:r>
        <w:rPr>
          <w:rFonts w:ascii="Arial" w:hAnsi="Arial" w:cs="Arial"/>
          <w:color w:val="auto"/>
          <w:szCs w:val="21"/>
          <w:highlight w:val="none"/>
        </w:rPr>
        <w:t>供应商应先安装广西政府采购云平台新版客户端，通过账号密码或CA登录客户端制作投标文件。</w:t>
      </w:r>
    </w:p>
    <w:p w14:paraId="36EB5B6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3.6.2供应商应按本招标文件规定的格式和顺序编制投标文件并进行关联定位，以便评审委员会在评审时，点击评分项可直接定位到该评分项内容。如对招标文件的某项要求，供应商的投标文件未能关联定位提供相应的内容与其对应，则评审委员会在评审时如做出对供应商不利的评审由供应商自行承担。投标文件如内容不完整、编排混乱导致投标文件被误读、漏读，或者在按招标文件规定的部位查找不到相关内容的，由供应商自行承担。</w:t>
      </w:r>
    </w:p>
    <w:p w14:paraId="7BCF5A1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3.6.3 投标人的投标文件未按照招标文件要求签署、盖章的，</w:t>
      </w:r>
      <w:r>
        <w:rPr>
          <w:rFonts w:ascii="Arial" w:hAnsi="Arial" w:cs="Arial"/>
          <w:b/>
          <w:bCs/>
          <w:color w:val="auto"/>
          <w:szCs w:val="21"/>
          <w:highlight w:val="none"/>
        </w:rPr>
        <w:t>其投标无效</w:t>
      </w:r>
      <w:r>
        <w:rPr>
          <w:rFonts w:ascii="Arial" w:hAnsi="Arial" w:cs="Arial"/>
          <w:color w:val="auto"/>
          <w:szCs w:val="21"/>
          <w:highlight w:val="none"/>
        </w:rPr>
        <w:t>。</w:t>
      </w:r>
    </w:p>
    <w:p w14:paraId="64D644D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3.6.4为确保网上操作合法、有效和安全，供应商应当在投标截止时间前完成在广西政府采购云平台的身份认证，确保在电子投标过程中能够对相关数据电文进行加密和使用电子签名。</w:t>
      </w:r>
    </w:p>
    <w:p w14:paraId="28CF94D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3.6.5投标文件中标注的供应商名称应与主体资格证明（如营业执照、事业单位法人证书、执业许可证、个体工商户营业执照、自然人身份证等）和公章/电子签章一致，</w:t>
      </w:r>
      <w:r>
        <w:rPr>
          <w:rFonts w:ascii="Arial" w:hAnsi="Arial" w:cs="Arial"/>
          <w:b/>
          <w:bCs/>
          <w:color w:val="auto"/>
          <w:szCs w:val="21"/>
          <w:highlight w:val="none"/>
        </w:rPr>
        <w:t>否则作无效投标处理。</w:t>
      </w:r>
    </w:p>
    <w:p w14:paraId="3B85BF4C">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3.7投标文件的递交、修改和撤回</w:t>
      </w:r>
    </w:p>
    <w:p w14:paraId="48C04EB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 xml:space="preserve">3.7.1供应商必须在“供应商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 </w:t>
      </w:r>
    </w:p>
    <w:p w14:paraId="251ADDA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 xml:space="preserve">3.7.2未在规定时间内提交或者未按照招标文件要求签章、加密的电子投标文件，广西政府采购云平台将拒收。 </w:t>
      </w:r>
    </w:p>
    <w:p w14:paraId="42BB4598">
      <w:pPr>
        <w:spacing w:before="120" w:line="320" w:lineRule="atLeast"/>
        <w:ind w:left="2" w:leftChars="1" w:firstLine="420" w:firstLineChars="200"/>
        <w:rPr>
          <w:rFonts w:ascii="Arial" w:hAnsi="Arial" w:cs="Arial"/>
          <w:color w:val="auto"/>
          <w:szCs w:val="21"/>
          <w:highlight w:val="none"/>
        </w:rPr>
      </w:pPr>
      <w:bookmarkStart w:id="49" w:name="_Toc254970544"/>
      <w:bookmarkStart w:id="50" w:name="_Toc254970685"/>
      <w:r>
        <w:rPr>
          <w:rFonts w:ascii="Arial" w:hAnsi="Arial" w:cs="Arial"/>
          <w:color w:val="auto"/>
          <w:szCs w:val="21"/>
          <w:highlight w:val="none"/>
        </w:rPr>
        <w:t>3.7.3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642990C5">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3.7.4在投标截止时间前，除供应商补充、修改或者撤回投标文件外，任何单位和个人不得解密或提取投标文件。</w:t>
      </w:r>
    </w:p>
    <w:p w14:paraId="5DB41252">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3.7.5在投标截止时间止提交电子版投标文件的供应商不足3家时，电子版投标文件由代理机构在广西政府采购云平台操作退回，除此之外采购人和采购代理机构对已提交的投标文件概不退回。</w:t>
      </w:r>
    </w:p>
    <w:p w14:paraId="4AF9564F">
      <w:pPr>
        <w:spacing w:before="120" w:line="320" w:lineRule="atLeast"/>
        <w:ind w:left="2" w:leftChars="1" w:firstLine="420" w:firstLineChars="200"/>
        <w:rPr>
          <w:rFonts w:ascii="Arial" w:hAnsi="Arial" w:cs="Arial"/>
          <w:color w:val="auto"/>
          <w:szCs w:val="21"/>
          <w:highlight w:val="none"/>
        </w:rPr>
      </w:pPr>
      <w:r>
        <w:rPr>
          <w:rFonts w:ascii="Arial" w:hAnsi="Arial" w:cs="Arial"/>
          <w:color w:val="auto"/>
          <w:szCs w:val="21"/>
          <w:highlight w:val="none"/>
        </w:rPr>
        <w:t>3.7.6招标文件</w:t>
      </w:r>
      <w:bookmarkStart w:id="51" w:name="_Hlk106637937"/>
      <w:bookmarkStart w:id="52" w:name="_Hlk106638610"/>
      <w:r>
        <w:rPr>
          <w:rFonts w:ascii="Arial" w:hAnsi="Arial" w:cs="Arial"/>
          <w:color w:val="auto"/>
          <w:szCs w:val="21"/>
          <w:highlight w:val="none"/>
        </w:rPr>
        <w:t>未允许同一供应商提交两个或以上不同的</w:t>
      </w:r>
      <w:r>
        <w:rPr>
          <w:rFonts w:hint="eastAsia" w:ascii="Arial" w:hAnsi="Arial" w:cs="Arial"/>
          <w:color w:val="auto"/>
          <w:szCs w:val="21"/>
          <w:highlight w:val="none"/>
        </w:rPr>
        <w:t>投标文件</w:t>
      </w:r>
      <w:r>
        <w:rPr>
          <w:rFonts w:ascii="Arial" w:hAnsi="Arial" w:cs="Arial"/>
          <w:color w:val="auto"/>
          <w:szCs w:val="21"/>
          <w:highlight w:val="none"/>
        </w:rPr>
        <w:t>，但存在</w:t>
      </w:r>
      <w:r>
        <w:rPr>
          <w:rFonts w:ascii="Arial" w:hAnsi="Arial" w:cs="Arial"/>
          <w:color w:val="auto"/>
          <w:highlight w:val="none"/>
        </w:rPr>
        <w:t>同</w:t>
      </w:r>
      <w:r>
        <w:rPr>
          <w:rFonts w:ascii="Arial" w:hAnsi="Arial" w:cs="Arial"/>
          <w:color w:val="auto"/>
          <w:szCs w:val="21"/>
          <w:highlight w:val="none"/>
        </w:rPr>
        <w:t>一供应商提交两个或以上不同的</w:t>
      </w:r>
      <w:r>
        <w:rPr>
          <w:rFonts w:hint="eastAsia" w:ascii="Arial" w:hAnsi="Arial" w:cs="Arial"/>
          <w:color w:val="auto"/>
          <w:szCs w:val="21"/>
          <w:highlight w:val="none"/>
        </w:rPr>
        <w:t>投标文件</w:t>
      </w:r>
      <w:r>
        <w:rPr>
          <w:rFonts w:ascii="Arial" w:hAnsi="Arial" w:cs="Arial"/>
          <w:color w:val="auto"/>
          <w:szCs w:val="21"/>
          <w:highlight w:val="none"/>
        </w:rPr>
        <w:t>的</w:t>
      </w:r>
      <w:bookmarkEnd w:id="51"/>
      <w:bookmarkEnd w:id="52"/>
      <w:r>
        <w:rPr>
          <w:rFonts w:ascii="Arial" w:hAnsi="Arial" w:cs="Arial"/>
          <w:color w:val="auto"/>
          <w:szCs w:val="21"/>
          <w:highlight w:val="none"/>
        </w:rPr>
        <w:t>，</w:t>
      </w:r>
      <w:r>
        <w:rPr>
          <w:rFonts w:ascii="Arial" w:hAnsi="Arial" w:cs="Arial"/>
          <w:b/>
          <w:bCs/>
          <w:color w:val="auto"/>
          <w:szCs w:val="21"/>
          <w:highlight w:val="none"/>
        </w:rPr>
        <w:t>其投标无效。</w:t>
      </w:r>
      <w:r>
        <w:rPr>
          <w:rFonts w:hint="eastAsia"/>
          <w:color w:val="auto"/>
          <w:sz w:val="21"/>
          <w:szCs w:val="21"/>
          <w:highlight w:val="none"/>
        </w:rPr>
        <w:t>投标人在同一投标文件中对某项技术、商务要求提供有选择性的响应参数或方案等同于提交两个或以上不同的投标文件。</w:t>
      </w:r>
    </w:p>
    <w:p w14:paraId="3BDE81B5">
      <w:pPr>
        <w:spacing w:before="120" w:line="320" w:lineRule="atLeast"/>
        <w:ind w:left="2" w:leftChars="1" w:firstLine="422" w:firstLineChars="200"/>
        <w:outlineLvl w:val="1"/>
        <w:rPr>
          <w:rFonts w:ascii="Arial" w:hAnsi="Arial" w:cs="Arial"/>
          <w:b/>
          <w:bCs/>
          <w:color w:val="auto"/>
          <w:kern w:val="0"/>
          <w:szCs w:val="21"/>
          <w:highlight w:val="none"/>
        </w:rPr>
      </w:pPr>
      <w:r>
        <w:rPr>
          <w:rFonts w:ascii="Arial" w:hAnsi="Arial" w:cs="Arial"/>
          <w:b/>
          <w:bCs/>
          <w:color w:val="auto"/>
          <w:kern w:val="0"/>
          <w:szCs w:val="21"/>
          <w:highlight w:val="none"/>
        </w:rPr>
        <w:t>4．开标</w:t>
      </w:r>
      <w:bookmarkEnd w:id="49"/>
      <w:bookmarkEnd w:id="50"/>
    </w:p>
    <w:p w14:paraId="3EEB540D">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4.1开标准备</w:t>
      </w:r>
    </w:p>
    <w:p w14:paraId="3514C6DD">
      <w:pPr>
        <w:spacing w:before="120" w:line="276" w:lineRule="auto"/>
        <w:ind w:firstLine="420" w:firstLineChars="200"/>
        <w:rPr>
          <w:rFonts w:ascii="Arial" w:hAnsi="Arial" w:cs="Arial"/>
          <w:color w:val="auto"/>
          <w:szCs w:val="21"/>
          <w:highlight w:val="none"/>
        </w:rPr>
      </w:pPr>
      <w:r>
        <w:rPr>
          <w:rFonts w:ascii="Arial" w:hAnsi="Arial" w:cs="Arial"/>
          <w:color w:val="auto"/>
          <w:szCs w:val="21"/>
          <w:highlight w:val="none"/>
        </w:rPr>
        <w:t>本项目投标截止时间及地点见“供应商须知前附表”规定。</w:t>
      </w:r>
    </w:p>
    <w:p w14:paraId="207CA7D8">
      <w:pPr>
        <w:autoSpaceDE w:val="0"/>
        <w:autoSpaceDN w:val="0"/>
        <w:adjustRightInd w:val="0"/>
        <w:spacing w:line="276" w:lineRule="auto"/>
        <w:ind w:firstLine="420" w:firstLineChars="200"/>
        <w:rPr>
          <w:rFonts w:ascii="Arial" w:hAnsi="Arial" w:cs="Arial"/>
          <w:color w:val="auto"/>
          <w:szCs w:val="21"/>
          <w:highlight w:val="none"/>
        </w:rPr>
      </w:pPr>
      <w:r>
        <w:rPr>
          <w:rFonts w:ascii="Arial" w:hAnsi="Arial" w:cs="Arial"/>
          <w:color w:val="auto"/>
          <w:szCs w:val="21"/>
          <w:highlight w:val="none"/>
        </w:rPr>
        <w:t>全流程电子化项目没有现场递交投标文件及现场开标环节。采购代理机构将按照招标文件规定的时间通过广西政府采购云平台组织线上开标活动、开启投标文件，所有供应商均应当准时在线参加。供应商如不参加开标大会的，视同认可开标结果，事后不得对采购相关人员、开标过程和开标结果提出异议，同时供应商因未在线参加开标而导致投标文件无法按时解密等一切后果由供应商自己承担。</w:t>
      </w:r>
    </w:p>
    <w:p w14:paraId="63D03450">
      <w:pPr>
        <w:spacing w:before="120" w:line="276"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如供应商成功解密投标文件，但未在广西政府采购云平台电子开标大厅参加开标的，视同认可开标过程和结果，由此产生的后果由供应商自行负责。 </w:t>
      </w:r>
    </w:p>
    <w:p w14:paraId="5AA3D0CE">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4.2开标程序</w:t>
      </w:r>
    </w:p>
    <w:p w14:paraId="66A8708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4.2.1供应商登录广西政府采购云平台进入开标大厅签到。</w:t>
      </w:r>
    </w:p>
    <w:p w14:paraId="54966E1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4.2.2解密电子投标文件。广西政府采购云平台按开标时间自动提取所有投标文件。采购代理机构在广西政府采购云平台向各供应商发出电子加密投标文件开始解密通知，由供应商平台设置时间内自行进行投标文件解密。供应商须使用加密时所用的CA锁准时登录到广西政府采购云平台电子开标大厅签到并对电子投标文件解密。开标后供应商未及时进行解密的，代理机构可通知供应商。</w:t>
      </w:r>
      <w:r>
        <w:rPr>
          <w:rFonts w:ascii="Arial" w:hAnsi="Arial" w:cs="Arial"/>
          <w:color w:val="auto"/>
          <w:highlight w:val="none"/>
        </w:rPr>
        <w:t>通知后供应商仍未在上述规定时间内解密</w:t>
      </w:r>
      <w:r>
        <w:rPr>
          <w:rFonts w:hint="eastAsia" w:ascii="Arial" w:hAnsi="Arial" w:cs="Arial"/>
          <w:color w:val="auto"/>
          <w:highlight w:val="none"/>
        </w:rPr>
        <w:t>投标文件</w:t>
      </w:r>
      <w:r>
        <w:rPr>
          <w:rFonts w:ascii="Arial" w:hAnsi="Arial" w:cs="Arial"/>
          <w:color w:val="auto"/>
          <w:szCs w:val="21"/>
          <w:highlight w:val="none"/>
        </w:rPr>
        <w:t>，或者供应商没预留联系方式或预留联系方式无效导致代理机构无法联系到供应商进行解密的，均视为无效投标。</w:t>
      </w:r>
    </w:p>
    <w:p w14:paraId="1FA0C86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4.2.3</w:t>
      </w:r>
      <w:bookmarkStart w:id="53" w:name="_Hlk106637968"/>
      <w:r>
        <w:rPr>
          <w:rFonts w:ascii="Arial" w:hAnsi="Arial" w:cs="Arial"/>
          <w:color w:val="auto"/>
          <w:szCs w:val="21"/>
          <w:highlight w:val="none"/>
        </w:rPr>
        <w:t>广西政府采购云平台设置有备份</w:t>
      </w:r>
      <w:r>
        <w:rPr>
          <w:rFonts w:hint="eastAsia" w:ascii="Arial" w:hAnsi="Arial" w:cs="Arial"/>
          <w:color w:val="auto"/>
          <w:szCs w:val="21"/>
          <w:highlight w:val="none"/>
        </w:rPr>
        <w:t>投标文件</w:t>
      </w:r>
      <w:r>
        <w:rPr>
          <w:rFonts w:ascii="Arial" w:hAnsi="Arial" w:cs="Arial"/>
          <w:color w:val="auto"/>
          <w:szCs w:val="21"/>
          <w:highlight w:val="none"/>
        </w:rPr>
        <w:t>功能。备份</w:t>
      </w:r>
      <w:r>
        <w:rPr>
          <w:rFonts w:hint="eastAsia" w:ascii="Arial" w:hAnsi="Arial" w:cs="Arial"/>
          <w:color w:val="auto"/>
          <w:szCs w:val="21"/>
          <w:highlight w:val="none"/>
        </w:rPr>
        <w:t>投标文件</w:t>
      </w:r>
      <w:r>
        <w:rPr>
          <w:rFonts w:ascii="Arial" w:hAnsi="Arial" w:cs="Arial"/>
          <w:color w:val="auto"/>
          <w:szCs w:val="21"/>
          <w:highlight w:val="none"/>
        </w:rPr>
        <w:t>是指平台设置为接受备份</w:t>
      </w:r>
      <w:r>
        <w:rPr>
          <w:rFonts w:hint="eastAsia" w:ascii="Arial" w:hAnsi="Arial" w:cs="Arial"/>
          <w:color w:val="auto"/>
          <w:szCs w:val="21"/>
          <w:highlight w:val="none"/>
        </w:rPr>
        <w:t>投标文件</w:t>
      </w:r>
      <w:r>
        <w:rPr>
          <w:rFonts w:ascii="Arial" w:hAnsi="Arial" w:cs="Arial"/>
          <w:color w:val="auto"/>
          <w:szCs w:val="21"/>
          <w:highlight w:val="none"/>
        </w:rPr>
        <w:t>时，如出现供应商上传的</w:t>
      </w:r>
      <w:r>
        <w:rPr>
          <w:rFonts w:hint="eastAsia" w:ascii="Arial" w:hAnsi="Arial" w:cs="Arial"/>
          <w:color w:val="auto"/>
          <w:szCs w:val="21"/>
          <w:highlight w:val="none"/>
        </w:rPr>
        <w:t>投标文件</w:t>
      </w:r>
      <w:r>
        <w:rPr>
          <w:rFonts w:ascii="Arial" w:hAnsi="Arial" w:cs="Arial"/>
          <w:color w:val="auto"/>
          <w:szCs w:val="21"/>
          <w:highlight w:val="none"/>
        </w:rPr>
        <w:t>存在问题或其他供应商原因引起解密异常时，供应商可以在规定时间内将备份</w:t>
      </w:r>
      <w:r>
        <w:rPr>
          <w:rFonts w:hint="eastAsia" w:ascii="Arial" w:hAnsi="Arial" w:cs="Arial"/>
          <w:color w:val="auto"/>
          <w:szCs w:val="21"/>
          <w:highlight w:val="none"/>
        </w:rPr>
        <w:t>投标文件</w:t>
      </w:r>
      <w:r>
        <w:rPr>
          <w:rFonts w:ascii="Arial" w:hAnsi="Arial" w:cs="Arial"/>
          <w:color w:val="auto"/>
          <w:szCs w:val="21"/>
          <w:highlight w:val="none"/>
        </w:rPr>
        <w:t>通过邮箱发送至采购代理机构，由代理机构上传备份</w:t>
      </w:r>
      <w:r>
        <w:rPr>
          <w:rFonts w:hint="eastAsia" w:ascii="Arial" w:hAnsi="Arial" w:cs="Arial"/>
          <w:color w:val="auto"/>
          <w:szCs w:val="21"/>
          <w:highlight w:val="none"/>
        </w:rPr>
        <w:t>投标文件</w:t>
      </w:r>
      <w:r>
        <w:rPr>
          <w:rFonts w:ascii="Arial" w:hAnsi="Arial" w:cs="Arial"/>
          <w:color w:val="auto"/>
          <w:szCs w:val="21"/>
          <w:highlight w:val="none"/>
        </w:rPr>
        <w:t>后自动解密从而避免被视为无效响应。是否接受备份</w:t>
      </w:r>
      <w:r>
        <w:rPr>
          <w:rFonts w:hint="eastAsia" w:ascii="Arial" w:hAnsi="Arial" w:cs="Arial"/>
          <w:color w:val="auto"/>
          <w:szCs w:val="21"/>
          <w:highlight w:val="none"/>
        </w:rPr>
        <w:t>投标文件</w:t>
      </w:r>
      <w:r>
        <w:rPr>
          <w:rFonts w:ascii="Arial" w:hAnsi="Arial" w:cs="Arial"/>
          <w:color w:val="auto"/>
          <w:szCs w:val="21"/>
          <w:highlight w:val="none"/>
        </w:rPr>
        <w:t>详见供应商须知前附表，如接受备份文件，供应商未在规定时间内发送备份</w:t>
      </w:r>
      <w:r>
        <w:rPr>
          <w:rFonts w:hint="eastAsia" w:ascii="Arial" w:hAnsi="Arial" w:cs="Arial"/>
          <w:color w:val="auto"/>
          <w:szCs w:val="21"/>
          <w:highlight w:val="none"/>
        </w:rPr>
        <w:t>投标文件</w:t>
      </w:r>
      <w:r>
        <w:rPr>
          <w:rFonts w:ascii="Arial" w:hAnsi="Arial" w:cs="Arial"/>
          <w:color w:val="auto"/>
          <w:szCs w:val="21"/>
          <w:highlight w:val="none"/>
        </w:rPr>
        <w:t>的将视为无效响应。</w:t>
      </w:r>
    </w:p>
    <w:bookmarkEnd w:id="53"/>
    <w:p w14:paraId="4F9A207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4.2.4解密异常情况处理：详见本章9.2电子交易活动的中止。</w:t>
      </w:r>
    </w:p>
    <w:p w14:paraId="4B14A7C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4.2.5供应商对报价进行确认。</w:t>
      </w:r>
    </w:p>
    <w:p w14:paraId="4DEDAB0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4.2.6开标结束。</w:t>
      </w:r>
    </w:p>
    <w:p w14:paraId="5388DF81">
      <w:pPr>
        <w:pStyle w:val="27"/>
        <w:snapToGrid w:val="0"/>
        <w:spacing w:line="440" w:lineRule="exact"/>
        <w:ind w:firstLine="422" w:firstLineChars="200"/>
        <w:rPr>
          <w:rFonts w:ascii="Arial" w:hAnsi="Arial" w:cs="Arial"/>
          <w:color w:val="auto"/>
          <w:highlight w:val="none"/>
        </w:rPr>
      </w:pPr>
      <w:r>
        <w:rPr>
          <w:rFonts w:ascii="Arial" w:hAnsi="Arial" w:cs="Arial"/>
          <w:b/>
          <w:bCs/>
          <w:color w:val="auto"/>
          <w:highlight w:val="none"/>
        </w:rPr>
        <w:t>特别说明：</w:t>
      </w:r>
      <w:r>
        <w:rPr>
          <w:rFonts w:ascii="Arial" w:hAnsi="Arial" w:cs="Arial"/>
          <w:color w:val="auto"/>
          <w:highlight w:val="none"/>
        </w:rPr>
        <w:t>如遇广西政府采购云平台电子化开标或评审程序调整的，按调整后的程序执行。</w:t>
      </w:r>
    </w:p>
    <w:p w14:paraId="7E56078B">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4.3演示</w:t>
      </w:r>
    </w:p>
    <w:p w14:paraId="21C3464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4.3.1“供应商须知前附表”规定在开标会议结束后进行演示的，供应商应按规定进行演示。</w:t>
      </w:r>
    </w:p>
    <w:p w14:paraId="20A7A89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4.3.2未按规定时间进行演示可能引起的演示分数被计为0分或投标无效等后果由供应商自行承担。</w:t>
      </w:r>
    </w:p>
    <w:p w14:paraId="66730120">
      <w:pPr>
        <w:spacing w:before="120" w:line="320" w:lineRule="atLeast"/>
        <w:ind w:firstLine="422" w:firstLineChars="200"/>
        <w:outlineLvl w:val="2"/>
        <w:rPr>
          <w:rFonts w:ascii="Arial" w:hAnsi="Arial" w:cs="Arial"/>
          <w:color w:val="auto"/>
          <w:szCs w:val="21"/>
          <w:highlight w:val="none"/>
        </w:rPr>
      </w:pPr>
      <w:r>
        <w:rPr>
          <w:rFonts w:ascii="Arial" w:hAnsi="Arial" w:cs="Arial"/>
          <w:b/>
          <w:bCs/>
          <w:color w:val="auto"/>
          <w:kern w:val="0"/>
          <w:szCs w:val="21"/>
          <w:highlight w:val="none"/>
        </w:rPr>
        <w:t>4.4样品</w:t>
      </w:r>
    </w:p>
    <w:p w14:paraId="4D76FD4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4.4.1“供应商须知前附表”规定递交样品的，供应商应按前附表规定递交样品，递交样品时应附样品递交表（格式见第六章）。</w:t>
      </w:r>
    </w:p>
    <w:p w14:paraId="6AE4ABE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4.4.2未按规定时间递交样品可能引起的样品分数被计为0分或投标无效等后果由供应商自行承担。</w:t>
      </w:r>
    </w:p>
    <w:p w14:paraId="3EF18ED4">
      <w:pPr>
        <w:spacing w:before="120" w:line="320" w:lineRule="atLeast"/>
        <w:ind w:firstLine="420" w:firstLineChars="200"/>
        <w:rPr>
          <w:rFonts w:ascii="Arial" w:hAnsi="Arial" w:cs="Arial"/>
          <w:color w:val="auto"/>
          <w:szCs w:val="21"/>
          <w:highlight w:val="none"/>
        </w:rPr>
      </w:pPr>
      <w:bookmarkStart w:id="54" w:name="_Toc254970686"/>
      <w:bookmarkStart w:id="55" w:name="_Toc254970545"/>
      <w:r>
        <w:rPr>
          <w:rFonts w:ascii="Arial" w:hAnsi="Arial" w:cs="Arial"/>
          <w:color w:val="auto"/>
          <w:szCs w:val="21"/>
          <w:highlight w:val="none"/>
        </w:rPr>
        <w:t>4.4.3样品封存或退还的说明请见第六章投标文件格式所附样品递交表。</w:t>
      </w:r>
    </w:p>
    <w:p w14:paraId="72A287B2">
      <w:pPr>
        <w:spacing w:before="120" w:line="320" w:lineRule="atLeast"/>
        <w:ind w:left="2" w:leftChars="1" w:firstLine="422" w:firstLineChars="200"/>
        <w:outlineLvl w:val="1"/>
        <w:rPr>
          <w:rFonts w:ascii="Arial" w:hAnsi="Arial" w:cs="Arial"/>
          <w:b/>
          <w:bCs/>
          <w:color w:val="auto"/>
          <w:kern w:val="0"/>
          <w:szCs w:val="21"/>
          <w:highlight w:val="none"/>
        </w:rPr>
      </w:pPr>
      <w:r>
        <w:rPr>
          <w:rFonts w:ascii="Arial" w:hAnsi="Arial" w:cs="Arial"/>
          <w:b/>
          <w:bCs/>
          <w:color w:val="auto"/>
          <w:kern w:val="0"/>
          <w:szCs w:val="21"/>
          <w:highlight w:val="none"/>
        </w:rPr>
        <w:t>5．资格审查</w:t>
      </w:r>
    </w:p>
    <w:p w14:paraId="5B90CC25">
      <w:pPr>
        <w:spacing w:before="120" w:line="320" w:lineRule="atLeast"/>
        <w:ind w:left="2" w:leftChars="1" w:firstLine="420" w:firstLineChars="200"/>
        <w:outlineLvl w:val="1"/>
        <w:rPr>
          <w:rFonts w:ascii="Arial" w:hAnsi="Arial" w:cs="Arial"/>
          <w:bCs/>
          <w:color w:val="auto"/>
          <w:kern w:val="0"/>
          <w:szCs w:val="21"/>
          <w:highlight w:val="none"/>
        </w:rPr>
      </w:pPr>
      <w:r>
        <w:rPr>
          <w:rFonts w:ascii="Arial" w:hAnsi="Arial" w:cs="Arial"/>
          <w:bCs/>
          <w:color w:val="auto"/>
          <w:kern w:val="0"/>
          <w:szCs w:val="21"/>
          <w:highlight w:val="none"/>
        </w:rPr>
        <w:t>5.1</w:t>
      </w:r>
      <w:r>
        <w:rPr>
          <w:rFonts w:ascii="Arial" w:hAnsi="Arial" w:cs="Arial"/>
          <w:bCs/>
          <w:color w:val="auto"/>
          <w:szCs w:val="21"/>
          <w:highlight w:val="none"/>
        </w:rPr>
        <w:t>开标结束后，采购人或者采购代理机构通过电子交易平台对供应商的资格进行审查。资格审查</w:t>
      </w:r>
      <w:r>
        <w:rPr>
          <w:rFonts w:ascii="Arial" w:hAnsi="Arial" w:cs="Arial"/>
          <w:bCs/>
          <w:color w:val="auto"/>
          <w:kern w:val="0"/>
          <w:szCs w:val="21"/>
          <w:highlight w:val="none"/>
        </w:rPr>
        <w:t>是根据法律法规和招标文件的规定，对供应商的基本资格条件、特定资格条件进行审查。</w:t>
      </w:r>
    </w:p>
    <w:p w14:paraId="37DBB1AA">
      <w:pPr>
        <w:spacing w:before="120" w:line="320" w:lineRule="atLeast"/>
        <w:ind w:left="2" w:leftChars="1" w:firstLine="420" w:firstLineChars="200"/>
        <w:outlineLvl w:val="1"/>
        <w:rPr>
          <w:rFonts w:ascii="Arial" w:hAnsi="Arial" w:cs="Arial"/>
          <w:bCs/>
          <w:color w:val="auto"/>
          <w:kern w:val="0"/>
          <w:szCs w:val="21"/>
          <w:highlight w:val="none"/>
        </w:rPr>
      </w:pPr>
      <w:r>
        <w:rPr>
          <w:rFonts w:ascii="Arial" w:hAnsi="Arial" w:cs="Arial"/>
          <w:bCs/>
          <w:color w:val="auto"/>
          <w:kern w:val="0"/>
          <w:szCs w:val="21"/>
          <w:highlight w:val="none"/>
        </w:rPr>
        <w:t>5.2资格审查标准在第四章评审方法及标准中规定，符合资格审查标准要求的供应商即为资格审查合格。</w:t>
      </w:r>
    </w:p>
    <w:p w14:paraId="040FDE44">
      <w:pPr>
        <w:spacing w:before="120" w:line="276" w:lineRule="auto"/>
        <w:ind w:left="2" w:leftChars="1" w:firstLine="420" w:firstLineChars="200"/>
        <w:outlineLvl w:val="1"/>
        <w:rPr>
          <w:rFonts w:ascii="Arial" w:hAnsi="Arial" w:cs="Arial"/>
          <w:bCs/>
          <w:color w:val="auto"/>
          <w:kern w:val="0"/>
          <w:szCs w:val="21"/>
          <w:highlight w:val="none"/>
        </w:rPr>
      </w:pPr>
      <w:r>
        <w:rPr>
          <w:rFonts w:ascii="Arial" w:hAnsi="Arial" w:cs="Arial"/>
          <w:bCs/>
          <w:color w:val="auto"/>
          <w:kern w:val="0"/>
          <w:szCs w:val="21"/>
          <w:highlight w:val="none"/>
        </w:rPr>
        <w:t>5.3供应商有下列情形之一的，资格审查不合格，作无效投标处理：</w:t>
      </w:r>
    </w:p>
    <w:p w14:paraId="1E93F59E">
      <w:pPr>
        <w:spacing w:line="276" w:lineRule="auto"/>
        <w:ind w:firstLine="420" w:firstLineChars="200"/>
        <w:rPr>
          <w:rFonts w:ascii="Arial" w:hAnsi="Arial" w:cs="Arial"/>
          <w:color w:val="auto"/>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（注：其中信用查询规则见“投标人须知前附表”，广西政府采购云平台已与“信用中国”平台做接口，可直接在线查询）</w:t>
      </w:r>
    </w:p>
    <w:p w14:paraId="0BC94C2A">
      <w:pPr>
        <w:spacing w:before="120" w:line="276" w:lineRule="auto"/>
        <w:ind w:firstLine="420" w:firstLineChars="200"/>
        <w:rPr>
          <w:rFonts w:ascii="Arial" w:hAnsi="Arial" w:cs="Arial"/>
          <w:color w:val="auto"/>
          <w:szCs w:val="21"/>
          <w:highlight w:val="none"/>
        </w:rPr>
      </w:pPr>
      <w:r>
        <w:rPr>
          <w:rFonts w:ascii="Arial" w:hAnsi="Arial" w:cs="Arial"/>
          <w:color w:val="auto"/>
          <w:szCs w:val="21"/>
          <w:highlight w:val="none"/>
        </w:rPr>
        <w:t>5.3.2投标文件缺少任何一项资格证明文件或不符合第四章评审方法及标准中资格审查标准规定的评审内容的；</w:t>
      </w:r>
    </w:p>
    <w:p w14:paraId="3C9DC37E">
      <w:pPr>
        <w:spacing w:before="120" w:line="276" w:lineRule="auto"/>
        <w:ind w:left="2" w:leftChars="1" w:firstLine="420" w:firstLineChars="200"/>
        <w:outlineLvl w:val="1"/>
        <w:rPr>
          <w:rFonts w:ascii="Arial" w:hAnsi="Arial" w:cs="Arial"/>
          <w:bCs/>
          <w:color w:val="auto"/>
          <w:kern w:val="0"/>
          <w:szCs w:val="21"/>
          <w:highlight w:val="none"/>
        </w:rPr>
      </w:pPr>
      <w:r>
        <w:rPr>
          <w:rFonts w:ascii="Arial" w:hAnsi="Arial" w:cs="Arial"/>
          <w:bCs/>
          <w:color w:val="auto"/>
          <w:kern w:val="0"/>
          <w:szCs w:val="21"/>
          <w:highlight w:val="none"/>
        </w:rPr>
        <w:t>5.4资格审查合格的供应商不足3家的，不得评审。</w:t>
      </w:r>
    </w:p>
    <w:p w14:paraId="4E63A2AB">
      <w:pPr>
        <w:spacing w:before="120" w:line="320" w:lineRule="atLeast"/>
        <w:ind w:left="2" w:leftChars="1" w:firstLine="422" w:firstLineChars="200"/>
        <w:outlineLvl w:val="1"/>
        <w:rPr>
          <w:rFonts w:ascii="Arial" w:hAnsi="Arial" w:cs="Arial"/>
          <w:b/>
          <w:bCs/>
          <w:color w:val="auto"/>
          <w:kern w:val="0"/>
          <w:szCs w:val="21"/>
          <w:highlight w:val="none"/>
        </w:rPr>
      </w:pPr>
      <w:r>
        <w:rPr>
          <w:rFonts w:ascii="Arial" w:hAnsi="Arial" w:cs="Arial"/>
          <w:b/>
          <w:bCs/>
          <w:color w:val="auto"/>
          <w:kern w:val="0"/>
          <w:szCs w:val="21"/>
          <w:highlight w:val="none"/>
        </w:rPr>
        <w:t>6．评审</w:t>
      </w:r>
      <w:bookmarkEnd w:id="54"/>
      <w:bookmarkEnd w:id="55"/>
    </w:p>
    <w:p w14:paraId="3D69E7DB">
      <w:pPr>
        <w:spacing w:before="120" w:line="320" w:lineRule="atLeast"/>
        <w:ind w:firstLine="422" w:firstLineChars="200"/>
        <w:outlineLvl w:val="2"/>
        <w:rPr>
          <w:rFonts w:ascii="Arial" w:hAnsi="Arial" w:cs="Arial"/>
          <w:b/>
          <w:bCs/>
          <w:color w:val="auto"/>
          <w:kern w:val="0"/>
          <w:szCs w:val="21"/>
          <w:highlight w:val="none"/>
        </w:rPr>
      </w:pPr>
      <w:bookmarkStart w:id="56" w:name="_Toc254970546"/>
      <w:bookmarkStart w:id="57" w:name="_Toc254970687"/>
      <w:r>
        <w:rPr>
          <w:rFonts w:ascii="Arial" w:hAnsi="Arial" w:cs="Arial"/>
          <w:b/>
          <w:bCs/>
          <w:color w:val="auto"/>
          <w:kern w:val="0"/>
          <w:szCs w:val="21"/>
          <w:highlight w:val="none"/>
        </w:rPr>
        <w:t>6.1评审委员会及评审原则</w:t>
      </w:r>
    </w:p>
    <w:p w14:paraId="09C5E10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6.1.1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供应商有利害关系的，应当主动提出回避。</w:t>
      </w:r>
    </w:p>
    <w:p w14:paraId="482070F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6.1.2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由采购代理机构记录在评审报告中。</w:t>
      </w:r>
    </w:p>
    <w:p w14:paraId="4887918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F5C301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6.1.4本项目评审过程实行全程网上留痕及录音、录像监控，供应商在评审过程中所进行的试图影响评审结果的不公正活动，可能导致其投标按无效处理。</w:t>
      </w:r>
    </w:p>
    <w:p w14:paraId="6575D5FD">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6.2评审方法及依据</w:t>
      </w:r>
    </w:p>
    <w:p w14:paraId="3B9681D2">
      <w:pPr>
        <w:spacing w:before="120" w:line="320" w:lineRule="atLeast"/>
        <w:ind w:firstLine="420" w:firstLineChars="200"/>
        <w:rPr>
          <w:rFonts w:ascii="Arial" w:hAnsi="Arial" w:cs="Arial"/>
          <w:bCs/>
          <w:color w:val="auto"/>
          <w:kern w:val="0"/>
          <w:szCs w:val="21"/>
          <w:highlight w:val="none"/>
        </w:rPr>
      </w:pPr>
      <w:r>
        <w:rPr>
          <w:rFonts w:ascii="Arial" w:hAnsi="Arial" w:cs="Arial"/>
          <w:bCs/>
          <w:color w:val="auto"/>
          <w:kern w:val="0"/>
          <w:szCs w:val="21"/>
          <w:highlight w:val="none"/>
        </w:rPr>
        <w:t>6.2.1本项目采用第四章评审方法及标准规定的方法进行评审。</w:t>
      </w:r>
    </w:p>
    <w:p w14:paraId="63716DFC">
      <w:pPr>
        <w:suppressAutoHyphens/>
        <w:spacing w:before="120" w:line="320" w:lineRule="atLeast"/>
        <w:ind w:firstLine="420" w:firstLineChars="200"/>
        <w:rPr>
          <w:rFonts w:ascii="Arial" w:hAnsi="Arial" w:cs="Arial"/>
          <w:bCs/>
          <w:color w:val="auto"/>
          <w:kern w:val="0"/>
          <w:szCs w:val="21"/>
          <w:highlight w:val="none"/>
        </w:rPr>
      </w:pPr>
      <w:r>
        <w:rPr>
          <w:rFonts w:ascii="Arial" w:hAnsi="Arial" w:cs="Arial"/>
          <w:bCs/>
          <w:color w:val="auto"/>
          <w:kern w:val="0"/>
          <w:szCs w:val="21"/>
          <w:highlight w:val="none"/>
        </w:rPr>
        <w:t>6.2.2</w:t>
      </w:r>
      <w:r>
        <w:rPr>
          <w:rFonts w:ascii="Arial" w:hAnsi="Arial" w:cs="Arial"/>
          <w:color w:val="auto"/>
          <w:highlight w:val="none"/>
        </w:rPr>
        <w:t>评标委员会以招标文件、补充文件、投标文件、澄清及答复为评审依据，</w:t>
      </w:r>
      <w:r>
        <w:rPr>
          <w:rFonts w:ascii="Arial" w:hAnsi="Arial" w:cs="Arial"/>
          <w:bCs/>
          <w:color w:val="auto"/>
          <w:kern w:val="0"/>
          <w:szCs w:val="21"/>
          <w:highlight w:val="none"/>
        </w:rPr>
        <w:t>第四章评审方法及标准没有规定的评审方法、标准及因素，不得作为评审依据。</w:t>
      </w:r>
    </w:p>
    <w:p w14:paraId="61CC9CDD">
      <w:pPr>
        <w:spacing w:before="120" w:line="320" w:lineRule="atLeast"/>
        <w:ind w:firstLine="422" w:firstLineChars="200"/>
        <w:outlineLvl w:val="2"/>
        <w:rPr>
          <w:rFonts w:ascii="Arial" w:hAnsi="Arial" w:cs="Arial"/>
          <w:b/>
          <w:bCs/>
          <w:color w:val="auto"/>
          <w:kern w:val="0"/>
          <w:szCs w:val="21"/>
          <w:highlight w:val="none"/>
        </w:rPr>
      </w:pPr>
      <w:r>
        <w:rPr>
          <w:rFonts w:ascii="Arial" w:hAnsi="Arial" w:cs="Arial"/>
          <w:b/>
          <w:bCs/>
          <w:color w:val="auto"/>
          <w:kern w:val="0"/>
          <w:szCs w:val="21"/>
          <w:highlight w:val="none"/>
        </w:rPr>
        <w:t>6.3评审程序</w:t>
      </w:r>
    </w:p>
    <w:p w14:paraId="086BE91C">
      <w:pPr>
        <w:spacing w:before="120" w:line="320" w:lineRule="atLeast"/>
        <w:ind w:firstLine="420" w:firstLineChars="200"/>
        <w:rPr>
          <w:rFonts w:ascii="Arial" w:hAnsi="Arial" w:cs="Arial"/>
          <w:color w:val="auto"/>
          <w:highlight w:val="none"/>
        </w:rPr>
      </w:pPr>
      <w:r>
        <w:rPr>
          <w:rFonts w:ascii="Arial" w:hAnsi="Arial" w:cs="Arial"/>
          <w:color w:val="auto"/>
          <w:highlight w:val="none"/>
        </w:rPr>
        <w:t>6.3.1符合性审查</w:t>
      </w:r>
    </w:p>
    <w:p w14:paraId="0ED9C4AA">
      <w:pPr>
        <w:spacing w:before="120" w:line="320" w:lineRule="atLeast"/>
        <w:ind w:firstLine="420" w:firstLineChars="200"/>
        <w:rPr>
          <w:rFonts w:ascii="Arial" w:hAnsi="Arial" w:cs="Arial"/>
          <w:color w:val="auto"/>
          <w:szCs w:val="21"/>
          <w:highlight w:val="none"/>
        </w:rPr>
      </w:pPr>
      <w:r>
        <w:rPr>
          <w:rFonts w:ascii="Arial" w:hAnsi="Arial" w:cs="Arial"/>
          <w:bCs/>
          <w:color w:val="auto"/>
          <w:kern w:val="1"/>
          <w:szCs w:val="21"/>
          <w:highlight w:val="none"/>
        </w:rPr>
        <w:t>资格审查结束后，</w:t>
      </w:r>
      <w:r>
        <w:rPr>
          <w:rFonts w:ascii="Arial" w:hAnsi="Arial" w:cs="Arial"/>
          <w:color w:val="auto"/>
          <w:highlight w:val="none"/>
        </w:rPr>
        <w:t>评审委员会对通过资格审查的供应商的投标文件进行报价、商务资信、技术等方面实质性内容进行符合性审查，</w:t>
      </w:r>
      <w:r>
        <w:rPr>
          <w:rFonts w:ascii="Arial" w:hAnsi="Arial" w:cs="Arial"/>
          <w:color w:val="auto"/>
          <w:szCs w:val="21"/>
          <w:highlight w:val="none"/>
        </w:rPr>
        <w:t>符合性审查标准详见第四章评审方法及标准。</w:t>
      </w:r>
    </w:p>
    <w:p w14:paraId="1AB9742F">
      <w:pPr>
        <w:spacing w:before="120" w:beforeLines="0" w:afterLines="0" w:line="320" w:lineRule="atLeast"/>
        <w:ind w:firstLine="420" w:firstLineChars="200"/>
        <w:rPr>
          <w:rFonts w:hint="default"/>
          <w:color w:val="auto"/>
          <w:sz w:val="21"/>
          <w:szCs w:val="21"/>
          <w:highlight w:val="none"/>
        </w:rPr>
      </w:pPr>
      <w:bookmarkStart w:id="58" w:name="_Hlk19176155"/>
      <w:r>
        <w:rPr>
          <w:rFonts w:hint="eastAsia"/>
          <w:color w:val="auto"/>
          <w:sz w:val="21"/>
          <w:szCs w:val="21"/>
          <w:highlight w:val="none"/>
        </w:rPr>
        <w:t>6</w:t>
      </w:r>
      <w:r>
        <w:rPr>
          <w:rFonts w:hint="default"/>
          <w:color w:val="auto"/>
          <w:sz w:val="21"/>
          <w:szCs w:val="21"/>
          <w:highlight w:val="none"/>
        </w:rPr>
        <w:t>.3.2</w:t>
      </w:r>
      <w:r>
        <w:rPr>
          <w:rFonts w:hint="eastAsia" w:hAnsi="宋体"/>
          <w:color w:val="auto"/>
          <w:sz w:val="21"/>
          <w:szCs w:val="24"/>
          <w:highlight w:val="none"/>
        </w:rPr>
        <w:t>强制性</w:t>
      </w:r>
      <w:r>
        <w:rPr>
          <w:rFonts w:hint="eastAsia"/>
          <w:color w:val="auto"/>
          <w:sz w:val="21"/>
          <w:szCs w:val="21"/>
          <w:highlight w:val="none"/>
        </w:rPr>
        <w:t>采购要求（仅适用于货物采购项目）</w:t>
      </w:r>
    </w:p>
    <w:p w14:paraId="4D5578BC">
      <w:pPr>
        <w:suppressAutoHyphens/>
        <w:spacing w:before="120" w:beforeLines="0" w:afterLines="0" w:line="320" w:lineRule="atLeast"/>
        <w:ind w:firstLine="422" w:firstLineChars="201"/>
        <w:rPr>
          <w:rFonts w:hint="default"/>
          <w:color w:val="auto"/>
          <w:sz w:val="21"/>
          <w:szCs w:val="21"/>
          <w:highlight w:val="none"/>
        </w:rPr>
      </w:pPr>
      <w:bookmarkStart w:id="59" w:name="_Hlk47714684"/>
      <w:r>
        <w:rPr>
          <w:rFonts w:hint="eastAsia"/>
          <w:color w:val="auto"/>
          <w:sz w:val="21"/>
          <w:szCs w:val="21"/>
          <w:highlight w:val="none"/>
        </w:rPr>
        <w:t>（1）</w:t>
      </w:r>
      <w:bookmarkEnd w:id="59"/>
      <w:r>
        <w:rPr>
          <w:rFonts w:hint="eastAsia"/>
          <w:color w:val="auto"/>
          <w:sz w:val="21"/>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p>
    <w:p w14:paraId="2E8EEC24">
      <w:pPr>
        <w:spacing w:before="120" w:line="276" w:lineRule="auto"/>
        <w:ind w:firstLine="420" w:firstLineChars="200"/>
        <w:rPr>
          <w:color w:val="auto"/>
          <w:szCs w:val="21"/>
          <w:highlight w:val="none"/>
        </w:rPr>
      </w:pPr>
      <w:bookmarkStart w:id="60" w:name="_Hlk138843020"/>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2AE321C">
      <w:pPr>
        <w:spacing w:before="120" w:beforeLines="0" w:afterLines="0" w:line="276" w:lineRule="auto"/>
        <w:ind w:firstLine="420" w:firstLineChars="200"/>
        <w:rPr>
          <w:rFonts w:ascii="Arial" w:hAnsi="Arial" w:cs="Arial"/>
          <w:color w:val="auto"/>
          <w:highlight w:val="none"/>
        </w:rPr>
      </w:pPr>
      <w:r>
        <w:rPr>
          <w:rFonts w:hint="eastAsia"/>
          <w:color w:val="auto"/>
          <w:szCs w:val="21"/>
          <w:highlight w:val="none"/>
        </w:rPr>
        <w:t>注：网络安全专用产品在中共中央网络安全和信息化委员会办公室网站上发布的《网络关键设备和网络安全专用产品目录》中查询。</w:t>
      </w:r>
      <w:r>
        <w:rPr>
          <w:color w:val="auto"/>
          <w:szCs w:val="21"/>
          <w:highlight w:val="none"/>
        </w:rPr>
        <w:t xml:space="preserve"> </w:t>
      </w:r>
      <w:r>
        <w:rPr>
          <w:rFonts w:hint="eastAsia"/>
          <w:color w:val="auto"/>
          <w:szCs w:val="21"/>
          <w:highlight w:val="none"/>
          <w:lang w:eastAsia="zh-CN"/>
        </w:rPr>
        <w:t>“</w:t>
      </w:r>
      <w:r>
        <w:rPr>
          <w:rFonts w:hint="eastAsia"/>
          <w:color w:val="auto"/>
          <w:szCs w:val="21"/>
          <w:highlight w:val="none"/>
          <w:lang w:val="en-US" w:eastAsia="zh-CN"/>
        </w:rPr>
        <w:t>网络安全专用产品”内“产品类别”</w:t>
      </w:r>
      <w:r>
        <w:rPr>
          <w:rFonts w:hint="eastAsia"/>
          <w:color w:val="auto"/>
          <w:szCs w:val="21"/>
          <w:highlight w:val="none"/>
        </w:rPr>
        <w:t>共</w:t>
      </w:r>
      <w:r>
        <w:rPr>
          <w:rFonts w:hint="eastAsia"/>
          <w:color w:val="auto"/>
          <w:szCs w:val="21"/>
          <w:highlight w:val="none"/>
          <w:lang w:val="en-US" w:eastAsia="zh-CN"/>
        </w:rPr>
        <w:t>34</w:t>
      </w:r>
      <w:r>
        <w:rPr>
          <w:rFonts w:hint="eastAsia"/>
          <w:color w:val="auto"/>
          <w:szCs w:val="21"/>
          <w:highlight w:val="none"/>
        </w:rPr>
        <w:t>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w:t>
      </w:r>
      <w:r>
        <w:rPr>
          <w:rFonts w:hint="eastAsia"/>
          <w:color w:val="auto"/>
          <w:szCs w:val="21"/>
          <w:highlight w:val="none"/>
          <w:lang w:val="en-US" w:eastAsia="zh-CN"/>
        </w:rPr>
        <w:t>网络和终端隔离产品</w:t>
      </w:r>
      <w:r>
        <w:rPr>
          <w:rFonts w:hint="eastAsia"/>
          <w:color w:val="auto"/>
          <w:szCs w:val="21"/>
          <w:highlight w:val="none"/>
        </w:rPr>
        <w:t>、反垃圾邮件产品、网络综合审计</w:t>
      </w:r>
      <w:r>
        <w:rPr>
          <w:rFonts w:hint="eastAsia"/>
          <w:color w:val="auto"/>
          <w:szCs w:val="21"/>
          <w:highlight w:val="none"/>
          <w:lang w:val="en-US" w:eastAsia="zh-CN"/>
        </w:rPr>
        <w:t>产品</w:t>
      </w:r>
      <w:r>
        <w:rPr>
          <w:rFonts w:hint="eastAsia"/>
          <w:color w:val="auto"/>
          <w:szCs w:val="21"/>
          <w:highlight w:val="none"/>
        </w:rPr>
        <w:t>、网络脆弱性扫描产品、安全数据库系统、网站恢复产品</w:t>
      </w:r>
      <w:r>
        <w:rPr>
          <w:rFonts w:hint="eastAsia"/>
          <w:color w:val="auto"/>
          <w:szCs w:val="21"/>
          <w:highlight w:val="none"/>
          <w:lang w:eastAsia="zh-CN"/>
        </w:rPr>
        <w:t>、</w:t>
      </w:r>
      <w:r>
        <w:rPr>
          <w:rFonts w:hint="eastAsia"/>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bookmarkEnd w:id="60"/>
    </w:p>
    <w:p w14:paraId="42F5F309">
      <w:pPr>
        <w:spacing w:before="120" w:line="320" w:lineRule="atLeast"/>
        <w:ind w:firstLine="420" w:firstLineChars="200"/>
        <w:rPr>
          <w:rFonts w:ascii="Arial" w:hAnsi="Arial" w:cs="Arial"/>
          <w:color w:val="auto"/>
          <w:highlight w:val="none"/>
        </w:rPr>
      </w:pPr>
      <w:r>
        <w:rPr>
          <w:rFonts w:ascii="Arial" w:hAnsi="Arial" w:cs="Arial"/>
          <w:color w:val="auto"/>
          <w:highlight w:val="none"/>
        </w:rPr>
        <w:t>6.3.3澄清、说明或补正</w:t>
      </w:r>
    </w:p>
    <w:p w14:paraId="7FAD817F">
      <w:pPr>
        <w:spacing w:before="120" w:line="320" w:lineRule="atLeast"/>
        <w:ind w:firstLine="420" w:firstLineChars="200"/>
        <w:rPr>
          <w:rFonts w:ascii="Arial" w:hAnsi="Arial" w:cs="Arial"/>
          <w:color w:val="auto"/>
          <w:highlight w:val="none"/>
        </w:rPr>
      </w:pPr>
      <w:r>
        <w:rPr>
          <w:rFonts w:ascii="Arial" w:hAnsi="Arial" w:cs="Arial"/>
          <w:color w:val="auto"/>
          <w:highlight w:val="none"/>
        </w:rPr>
        <w:t>（1）对投标文件中含义不明确、同类问题表述不一致或者有明显文字和计算错误的内容，评审委员会应在</w:t>
      </w:r>
      <w:r>
        <w:rPr>
          <w:rFonts w:ascii="Arial" w:hAnsi="Arial" w:cs="Arial"/>
          <w:color w:val="auto"/>
          <w:szCs w:val="21"/>
          <w:highlight w:val="none"/>
        </w:rPr>
        <w:t>广西政府采购云平台</w:t>
      </w:r>
      <w:r>
        <w:rPr>
          <w:rFonts w:ascii="Arial" w:hAnsi="Arial" w:cs="Arial"/>
          <w:color w:val="auto"/>
          <w:highlight w:val="none"/>
        </w:rPr>
        <w:t>发布电子澄清函，要求供应商在平台设置的时间内作出必要的澄清、说明或者补正。供应商在</w:t>
      </w:r>
      <w:r>
        <w:rPr>
          <w:rFonts w:ascii="Arial" w:hAnsi="Arial" w:cs="Arial"/>
          <w:color w:val="auto"/>
          <w:szCs w:val="21"/>
          <w:highlight w:val="none"/>
        </w:rPr>
        <w:t>广西政府采购云平</w:t>
      </w:r>
      <w:r>
        <w:rPr>
          <w:rFonts w:ascii="Arial" w:hAnsi="Arial" w:cs="Arial"/>
          <w:color w:val="auto"/>
          <w:highlight w:val="none"/>
        </w:rPr>
        <w:t>台接收到电子澄清函后根据澄清函内容直接在线编辑或上传PDF格式回函，电子澄清答复函使用CA证书加盖单位电子签章后提交至评审委员会。供应商的澄清、说明或者补正不得超出投标文件的范围或者改变投标文件的实质性内容。供应商未在规定时间内进行澄清、说明或者补正的，按无效投标处理。</w:t>
      </w:r>
    </w:p>
    <w:p w14:paraId="669C7FF0">
      <w:pPr>
        <w:spacing w:before="120" w:line="320" w:lineRule="atLeast"/>
        <w:ind w:firstLine="420" w:firstLineChars="200"/>
        <w:rPr>
          <w:rFonts w:ascii="Arial" w:hAnsi="Arial" w:cs="Arial"/>
          <w:color w:val="auto"/>
          <w:highlight w:val="none"/>
        </w:rPr>
      </w:pPr>
      <w:r>
        <w:rPr>
          <w:rFonts w:ascii="Arial" w:hAnsi="Arial" w:cs="Arial"/>
          <w:color w:val="auto"/>
          <w:highlight w:val="none"/>
        </w:rPr>
        <w:t>（2）异常情况处理：如遇无法正常使用线上发送澄清函的情况，将以书面形式执行。评审委员会以书面形式要求供应商在规定时间内作出必要的澄清、说明或者补正。供应商的澄清、说明或者补正必须采用书面形式，并加盖公章或者由法定代表人或者其授权的代表签字。</w:t>
      </w:r>
    </w:p>
    <w:p w14:paraId="4B46BD36">
      <w:pPr>
        <w:spacing w:before="120" w:line="320" w:lineRule="atLeast"/>
        <w:ind w:firstLine="420" w:firstLineChars="200"/>
        <w:rPr>
          <w:rFonts w:ascii="Arial" w:hAnsi="Arial" w:cs="Arial"/>
          <w:color w:val="auto"/>
          <w:highlight w:val="none"/>
        </w:rPr>
      </w:pPr>
      <w:r>
        <w:rPr>
          <w:rFonts w:ascii="Arial" w:hAnsi="Arial" w:cs="Arial"/>
          <w:color w:val="auto"/>
          <w:highlight w:val="none"/>
        </w:rPr>
        <w:t>6.3.4报价修正</w:t>
      </w:r>
    </w:p>
    <w:p w14:paraId="3A5B69B2">
      <w:pPr>
        <w:spacing w:before="120" w:line="320" w:lineRule="atLeast"/>
        <w:ind w:firstLine="420" w:firstLineChars="200"/>
        <w:rPr>
          <w:rFonts w:ascii="Arial" w:hAnsi="Arial" w:cs="Arial"/>
          <w:color w:val="auto"/>
          <w:highlight w:val="none"/>
        </w:rPr>
      </w:pPr>
      <w:r>
        <w:rPr>
          <w:rFonts w:ascii="Arial" w:hAnsi="Arial" w:cs="Arial"/>
          <w:color w:val="auto"/>
          <w:highlight w:val="none"/>
        </w:rPr>
        <w:t>（1）报价出现前后不一致的，按照下列规定修正：</w:t>
      </w:r>
    </w:p>
    <w:p w14:paraId="04584DC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①投标文件中开标一览表（报价表）内容与投标文件中相应内容不一致的，以开标一览表（报价表）为准；</w:t>
      </w:r>
    </w:p>
    <w:p w14:paraId="39FB782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②大写金额和小写金额不一致的，以大写金额为准；</w:t>
      </w:r>
    </w:p>
    <w:p w14:paraId="6367F0E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③单价金额小数点或者百分比有明显错位的，以开标一览表的总价为准，并修改单价；</w:t>
      </w:r>
    </w:p>
    <w:p w14:paraId="200808B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④总价金额与按单价汇总金额不一致的，以单价金额计算结果为准。</w:t>
      </w:r>
    </w:p>
    <w:p w14:paraId="4E51571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同时出现两种以上不一致的，按照上述①-④顺序修正。修正后的报价按照上述“6.3.3澄清、说明或补正”的规定经供应商确认后产生约束力，供应商不确认的，其投标无效。</w:t>
      </w:r>
    </w:p>
    <w:p w14:paraId="7E4AD0B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评审委员会认为供应商的报价明显低于其他通过符合性审查供应商的报价，有可能影响产品质量或者不能诚信履约的，应当要求其在合理的时间内提交相关书面证明材料；评审委员会可以要求供应商就提供货物的主要成本、销售费用、管理费用、财务费用、履约费用、计划利润、税金及附加等成本构成事项进行详细陈述。书面证明应当按照上述“6.3.3澄清、说明或补正”的规定提交。供应商未按规定提交或不能证明其报价合理性的，评审委员会应当将其作为无效投标处理。</w:t>
      </w:r>
    </w:p>
    <w:p w14:paraId="2765E19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（3）经供应商确认修正后的报价若超过采购预算金额或者最高限价，其投标文件作无效投标处理。</w:t>
      </w:r>
    </w:p>
    <w:p w14:paraId="7B94127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（4）经供应产确认修正后的报价作为签订合同的依据，并以此报价计算价格分。</w:t>
      </w:r>
    </w:p>
    <w:bookmarkEnd w:id="24"/>
    <w:bookmarkEnd w:id="56"/>
    <w:bookmarkEnd w:id="57"/>
    <w:bookmarkEnd w:id="58"/>
    <w:p w14:paraId="25B8C073">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6.3.5异常低价审查</w:t>
      </w:r>
    </w:p>
    <w:p w14:paraId="18E8B674">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lang w:val="en-US" w:eastAsia="zh-CN"/>
        </w:rPr>
        <w:t>异常低价审查情形见</w:t>
      </w:r>
      <w:r>
        <w:rPr>
          <w:color w:val="auto"/>
          <w:szCs w:val="21"/>
          <w:highlight w:val="none"/>
        </w:rPr>
        <w:t>“</w:t>
      </w:r>
      <w:r>
        <w:rPr>
          <w:rFonts w:hint="eastAsia"/>
          <w:color w:val="auto"/>
          <w:szCs w:val="21"/>
          <w:highlight w:val="none"/>
          <w:lang w:eastAsia="zh-CN"/>
        </w:rPr>
        <w:t>投标人须知</w:t>
      </w:r>
      <w:r>
        <w:rPr>
          <w:color w:val="auto"/>
          <w:szCs w:val="21"/>
          <w:highlight w:val="none"/>
        </w:rPr>
        <w:t>前附表”规定。</w:t>
      </w:r>
    </w:p>
    <w:p w14:paraId="6B39CA5D">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D14B091">
      <w:pPr>
        <w:numPr>
          <w:ilvl w:val="0"/>
          <w:numId w:val="0"/>
        </w:numPr>
        <w:spacing w:before="120" w:line="320" w:lineRule="atLeast"/>
        <w:ind w:firstLine="420" w:firstLineChars="200"/>
        <w:rPr>
          <w:rFonts w:hint="eastAsia"/>
          <w:strike/>
          <w:dstrike w:val="0"/>
          <w:color w:val="auto"/>
          <w:szCs w:val="21"/>
          <w:highlight w:val="none"/>
          <w:lang w:val="en-US" w:eastAsia="zh-CN"/>
        </w:rPr>
      </w:pPr>
      <w:r>
        <w:rPr>
          <w:rFonts w:hint="eastAsia"/>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投标（响应）供应商不能提供书面说明、证明材料，或者提供的书面说明、证明材料不能证明其报价合理性的，评审委员会应当将其作为无效投标处理。</w:t>
      </w:r>
    </w:p>
    <w:p w14:paraId="2CA18111">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67B51D2">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54E0478B">
      <w:pPr>
        <w:numPr>
          <w:ilvl w:val="0"/>
          <w:numId w:val="0"/>
        </w:numPr>
        <w:spacing w:before="120" w:line="320" w:lineRule="atLeast"/>
        <w:ind w:firstLine="420" w:firstLineChars="200"/>
        <w:rPr>
          <w:rFonts w:hint="eastAsia"/>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r>
        <w:rPr>
          <w:rFonts w:hint="eastAsia"/>
          <w:color w:val="auto"/>
          <w:szCs w:val="21"/>
          <w:highlight w:val="none"/>
          <w:lang w:val="en-US" w:eastAsia="zh-CN"/>
        </w:rPr>
        <w:t>。</w:t>
      </w:r>
    </w:p>
    <w:p w14:paraId="07D51365">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w:t>
      </w:r>
      <w:r>
        <w:rPr>
          <w:rFonts w:hint="default"/>
          <w:color w:val="auto"/>
          <w:sz w:val="21"/>
          <w:szCs w:val="21"/>
          <w:highlight w:val="none"/>
        </w:rPr>
        <w:t>.3.</w:t>
      </w:r>
      <w:r>
        <w:rPr>
          <w:rFonts w:hint="eastAsia"/>
          <w:color w:val="auto"/>
          <w:sz w:val="21"/>
          <w:szCs w:val="21"/>
          <w:highlight w:val="none"/>
          <w:lang w:val="en-US" w:eastAsia="zh-CN"/>
        </w:rPr>
        <w:t>6</w:t>
      </w:r>
      <w:r>
        <w:rPr>
          <w:rFonts w:hint="eastAsia"/>
          <w:color w:val="auto"/>
          <w:sz w:val="21"/>
          <w:szCs w:val="21"/>
          <w:highlight w:val="none"/>
        </w:rPr>
        <w:t>相同品牌认定（仅适用于货物采购项目）</w:t>
      </w:r>
    </w:p>
    <w:p w14:paraId="49C78ABF">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（1）单一产品采购项目，</w:t>
      </w:r>
      <w:r>
        <w:rPr>
          <w:rFonts w:hint="eastAsia"/>
          <w:color w:val="auto"/>
          <w:sz w:val="21"/>
          <w:szCs w:val="24"/>
          <w:highlight w:val="none"/>
        </w:rPr>
        <w:t>不同投标人提供的产品品牌相同时，按以下规定确定</w:t>
      </w:r>
      <w:r>
        <w:rPr>
          <w:rFonts w:hint="eastAsia"/>
          <w:color w:val="auto"/>
          <w:kern w:val="0"/>
          <w:sz w:val="21"/>
          <w:szCs w:val="21"/>
          <w:highlight w:val="none"/>
        </w:rPr>
        <w:t>相同品牌的投标有效性</w:t>
      </w:r>
      <w:r>
        <w:rPr>
          <w:rFonts w:hint="eastAsia"/>
          <w:color w:val="auto"/>
          <w:sz w:val="21"/>
          <w:szCs w:val="24"/>
          <w:highlight w:val="none"/>
        </w:rPr>
        <w:t>。</w:t>
      </w:r>
    </w:p>
    <w:p w14:paraId="2FCB54E6">
      <w:pPr>
        <w:spacing w:before="120" w:beforeLines="0" w:afterLines="0" w:line="320" w:lineRule="atLeast"/>
        <w:ind w:firstLine="420" w:firstLineChars="200"/>
        <w:rPr>
          <w:rFonts w:hint="default"/>
          <w:color w:val="auto"/>
          <w:sz w:val="21"/>
          <w:szCs w:val="21"/>
          <w:highlight w:val="none"/>
        </w:rPr>
      </w:pPr>
      <w:r>
        <w:rPr>
          <w:rFonts w:hint="eastAsia" w:ascii="宋体" w:hAnsi="宋体"/>
          <w:color w:val="auto"/>
          <w:sz w:val="21"/>
          <w:szCs w:val="21"/>
          <w:highlight w:val="none"/>
        </w:rPr>
        <w:t>①采</w:t>
      </w:r>
      <w:r>
        <w:rPr>
          <w:rFonts w:hint="eastAsia"/>
          <w:color w:val="auto"/>
          <w:sz w:val="21"/>
          <w:szCs w:val="21"/>
          <w:highlight w:val="none"/>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1AAAFED5">
      <w:pPr>
        <w:spacing w:before="120" w:beforeLines="0" w:afterLines="0" w:line="320" w:lineRule="atLeast"/>
        <w:ind w:firstLine="420" w:firstLineChars="200"/>
        <w:rPr>
          <w:rFonts w:hint="default"/>
          <w:color w:val="auto"/>
          <w:sz w:val="21"/>
          <w:szCs w:val="21"/>
          <w:highlight w:val="none"/>
        </w:rPr>
      </w:pPr>
      <w:r>
        <w:rPr>
          <w:rFonts w:hint="eastAsia" w:ascii="宋体" w:hAnsi="宋体"/>
          <w:color w:val="auto"/>
          <w:sz w:val="21"/>
          <w:szCs w:val="21"/>
          <w:highlight w:val="none"/>
        </w:rPr>
        <w:t>②</w:t>
      </w:r>
      <w:r>
        <w:rPr>
          <w:rFonts w:hint="eastAsia"/>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3EAF2038">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1"/>
          <w:highlight w:val="none"/>
        </w:rPr>
        <w:t>（2）非单一产品采购项目，采购人应当确定核心产品，并在招标文件中载明。不同投标人提供的核心产品品牌相同的，按上述规定处理。核心产品在第二章采购需求规定。</w:t>
      </w:r>
    </w:p>
    <w:p w14:paraId="60D87CE7">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6.3.</w:t>
      </w:r>
      <w:r>
        <w:rPr>
          <w:rFonts w:hint="eastAsia"/>
          <w:color w:val="auto"/>
          <w:sz w:val="21"/>
          <w:szCs w:val="21"/>
          <w:highlight w:val="none"/>
          <w:lang w:val="en-US" w:eastAsia="zh-CN"/>
        </w:rPr>
        <w:t>7</w:t>
      </w:r>
      <w:r>
        <w:rPr>
          <w:rFonts w:hint="eastAsia"/>
          <w:color w:val="auto"/>
          <w:sz w:val="21"/>
          <w:szCs w:val="21"/>
          <w:highlight w:val="none"/>
        </w:rPr>
        <w:t>串通投标认定</w:t>
      </w:r>
    </w:p>
    <w:p w14:paraId="60E5A262">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1"/>
          <w:highlight w:val="none"/>
        </w:rPr>
        <w:t>评审委员会须根据以下规定认定投标人是否有</w:t>
      </w:r>
      <w:r>
        <w:rPr>
          <w:rFonts w:hint="eastAsia"/>
          <w:color w:val="auto"/>
          <w:kern w:val="0"/>
          <w:sz w:val="21"/>
          <w:szCs w:val="21"/>
          <w:highlight w:val="none"/>
        </w:rPr>
        <w:t>串通投标的行为</w:t>
      </w:r>
      <w:r>
        <w:rPr>
          <w:rFonts w:hint="eastAsia"/>
          <w:color w:val="auto"/>
          <w:sz w:val="21"/>
          <w:szCs w:val="24"/>
          <w:highlight w:val="none"/>
        </w:rPr>
        <w:t>。</w:t>
      </w:r>
    </w:p>
    <w:p w14:paraId="14794549">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（1）根据《关于防治政府采购招标中串通投标行为的通知》（桂财采</w:t>
      </w:r>
      <w:r>
        <w:rPr>
          <w:rFonts w:hint="eastAsia"/>
          <w:color w:val="auto"/>
          <w:sz w:val="21"/>
          <w:szCs w:val="21"/>
          <w:highlight w:val="none"/>
          <w:lang w:eastAsia="zh-CN"/>
        </w:rPr>
        <w:t>〔2016〕42号</w:t>
      </w:r>
      <w:r>
        <w:rPr>
          <w:rFonts w:hint="eastAsia"/>
          <w:color w:val="auto"/>
          <w:sz w:val="21"/>
          <w:szCs w:val="21"/>
          <w:highlight w:val="none"/>
        </w:rPr>
        <w:t>）规定，出现下述情况的，相关供应商的投标作无效投标处理。</w:t>
      </w:r>
    </w:p>
    <w:p w14:paraId="7D105C76">
      <w:pPr>
        <w:spacing w:before="120" w:beforeLines="0" w:afterLines="0" w:line="320" w:lineRule="atLeast"/>
        <w:ind w:firstLine="420" w:firstLineChars="200"/>
        <w:rPr>
          <w:rFonts w:hint="default"/>
          <w:color w:val="auto"/>
          <w:sz w:val="21"/>
          <w:szCs w:val="21"/>
          <w:highlight w:val="none"/>
        </w:rPr>
      </w:pPr>
      <w:r>
        <w:rPr>
          <w:rFonts w:hint="eastAsia" w:ascii="宋体" w:hAnsi="宋体" w:cs="宋体"/>
          <w:color w:val="auto"/>
          <w:sz w:val="21"/>
          <w:szCs w:val="21"/>
          <w:highlight w:val="none"/>
        </w:rPr>
        <w:t>①</w:t>
      </w:r>
      <w:r>
        <w:rPr>
          <w:rFonts w:hint="eastAsia"/>
          <w:color w:val="auto"/>
          <w:sz w:val="21"/>
          <w:szCs w:val="21"/>
          <w:highlight w:val="none"/>
        </w:rPr>
        <w:t>单位负责人为同一人或者存在直接控股、管理关系，参加同一合同项下政府采购活动的不同供应商。</w:t>
      </w:r>
    </w:p>
    <w:p w14:paraId="109F957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②授权给供应商后参加同一合同项（分标、分包）投标的生产厂商。</w:t>
      </w:r>
    </w:p>
    <w:p w14:paraId="34A863E5">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③视为或被认定为串通投标的相关供应商。</w:t>
      </w:r>
    </w:p>
    <w:p w14:paraId="514C10AD">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（2）根据《关于防治政府采购招标中串通投标行为的通知》（桂财采</w:t>
      </w:r>
      <w:r>
        <w:rPr>
          <w:rFonts w:hint="eastAsia"/>
          <w:color w:val="auto"/>
          <w:sz w:val="21"/>
          <w:szCs w:val="21"/>
          <w:highlight w:val="none"/>
          <w:lang w:eastAsia="zh-CN"/>
        </w:rPr>
        <w:t>〔2016〕42号</w:t>
      </w:r>
      <w:r>
        <w:rPr>
          <w:rFonts w:hint="eastAsia"/>
          <w:color w:val="auto"/>
          <w:sz w:val="21"/>
          <w:szCs w:val="21"/>
          <w:highlight w:val="none"/>
        </w:rPr>
        <w:t>）规定，有下列情形之一的视为投标人相互串通投标，投标文件将被视为无效。</w:t>
      </w:r>
    </w:p>
    <w:p w14:paraId="2F4E9720">
      <w:pPr>
        <w:spacing w:before="120" w:beforeLines="0" w:afterLines="0" w:line="320" w:lineRule="atLeast"/>
        <w:ind w:firstLine="420" w:firstLineChars="200"/>
        <w:rPr>
          <w:rFonts w:hint="default"/>
          <w:color w:val="auto"/>
          <w:sz w:val="21"/>
          <w:szCs w:val="21"/>
          <w:highlight w:val="none"/>
        </w:rPr>
      </w:pPr>
      <w:r>
        <w:rPr>
          <w:rFonts w:hint="eastAsia" w:ascii="宋体" w:hAnsi="宋体" w:cs="宋体"/>
          <w:color w:val="auto"/>
          <w:sz w:val="21"/>
          <w:szCs w:val="21"/>
          <w:highlight w:val="none"/>
        </w:rPr>
        <w:t>①</w:t>
      </w:r>
      <w:r>
        <w:rPr>
          <w:rFonts w:hint="eastAsia"/>
          <w:color w:val="auto"/>
          <w:sz w:val="21"/>
          <w:szCs w:val="21"/>
          <w:highlight w:val="none"/>
        </w:rPr>
        <w:t>不同投标人的投标文件由同一单位或者个人编制；或不同投标人报名的IP地址一致的；</w:t>
      </w:r>
    </w:p>
    <w:p w14:paraId="6B5D0016">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②不同投标人委托同一单位或者个人办理投标事宜；</w:t>
      </w:r>
    </w:p>
    <w:p w14:paraId="3E63B292">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③不同的投标人的投标文件载明的项目管理员为同一个人；</w:t>
      </w:r>
    </w:p>
    <w:p w14:paraId="2D66E30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④不同投标人的投标文件异常一致或投标报价呈规律性差异；</w:t>
      </w:r>
    </w:p>
    <w:p w14:paraId="3F5DB25C">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⑤不同投标人的投标文件相互混装；</w:t>
      </w:r>
    </w:p>
    <w:p w14:paraId="64F60F35">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⑥不同投标人的保证金从同一单位或者个人账户转出。</w:t>
      </w:r>
    </w:p>
    <w:p w14:paraId="5539BFF1">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（3）根据《关于防治政府采购招标中串通投标行为的通知》（桂财采</w:t>
      </w:r>
      <w:r>
        <w:rPr>
          <w:rFonts w:hint="eastAsia"/>
          <w:color w:val="auto"/>
          <w:sz w:val="21"/>
          <w:szCs w:val="21"/>
          <w:highlight w:val="none"/>
          <w:lang w:eastAsia="zh-CN"/>
        </w:rPr>
        <w:t>〔2016〕42号</w:t>
      </w:r>
      <w:r>
        <w:rPr>
          <w:rFonts w:hint="eastAsia"/>
          <w:color w:val="auto"/>
          <w:sz w:val="21"/>
          <w:szCs w:val="21"/>
          <w:highlight w:val="none"/>
        </w:rPr>
        <w:t>）规定，供应商有下列情形之一的，属于恶意串通行为，投标文件将被视为无效。</w:t>
      </w:r>
    </w:p>
    <w:p w14:paraId="0DCA2D8E">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①供应商直接或者间接从采购人或者采购代理机构处获得其他供应商的相关信息并修改其投标文件或者响应文件；</w:t>
      </w:r>
    </w:p>
    <w:p w14:paraId="2BB42AC5">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②供应商按照采购人或者采购代理机构的授意撤换、修改投标文件或者响应文件</w:t>
      </w:r>
      <w:r>
        <w:rPr>
          <w:rFonts w:hint="eastAsia"/>
          <w:color w:val="auto"/>
          <w:sz w:val="21"/>
          <w:szCs w:val="21"/>
          <w:highlight w:val="none"/>
          <w:lang w:eastAsia="zh-CN"/>
        </w:rPr>
        <w:t>;</w:t>
      </w:r>
    </w:p>
    <w:p w14:paraId="3D3A8C36">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③供应商之间协商报价、技术方案等投标文件或者响应文件的实质性内容；</w:t>
      </w:r>
    </w:p>
    <w:p w14:paraId="23C6AC8D">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④属于同一集团、协会、商会等组织成员的供应商按照该组织要求协同参加政府采购活动；</w:t>
      </w:r>
    </w:p>
    <w:p w14:paraId="10F0000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⑤供应商之间事先约定一致抬高或者压低投标报价，或者在招标项目中事先约定轮流以高价位或者低价位中标，或者事先约定由某一特定供应商中标，然后再参加投标；</w:t>
      </w:r>
    </w:p>
    <w:p w14:paraId="41BD467A">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⑥供应商之间商定部分供应商放弃参加政府采购活动或者放弃中标；</w:t>
      </w:r>
    </w:p>
    <w:p w14:paraId="26F566F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⑦供应商与采购人或者采购代理机构之间、供应商相互之间，为谋求特定供应商中标或者排斥其他供应商的其他串通行为。</w:t>
      </w:r>
    </w:p>
    <w:p w14:paraId="77A557CA">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6.3.</w:t>
      </w:r>
      <w:r>
        <w:rPr>
          <w:rFonts w:hint="eastAsia"/>
          <w:color w:val="auto"/>
          <w:sz w:val="21"/>
          <w:szCs w:val="21"/>
          <w:highlight w:val="none"/>
          <w:lang w:val="en-US" w:eastAsia="zh-CN"/>
        </w:rPr>
        <w:t>8</w:t>
      </w:r>
      <w:r>
        <w:rPr>
          <w:rFonts w:hint="eastAsia"/>
          <w:color w:val="auto"/>
          <w:sz w:val="21"/>
          <w:szCs w:val="21"/>
          <w:highlight w:val="none"/>
        </w:rPr>
        <w:t>投标无效认定</w:t>
      </w:r>
    </w:p>
    <w:p w14:paraId="1B601695">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w:t>
      </w:r>
      <w:r>
        <w:rPr>
          <w:rFonts w:hint="default"/>
          <w:color w:val="auto"/>
          <w:sz w:val="21"/>
          <w:szCs w:val="21"/>
          <w:highlight w:val="none"/>
        </w:rPr>
        <w:t>1</w:t>
      </w:r>
      <w:r>
        <w:rPr>
          <w:rFonts w:hint="eastAsia"/>
          <w:color w:val="auto"/>
          <w:sz w:val="21"/>
          <w:szCs w:val="21"/>
          <w:highlight w:val="none"/>
        </w:rPr>
        <w:t>）在评审过程中如发现下列情形之一的，投标文件将被视为无效：</w:t>
      </w:r>
    </w:p>
    <w:p w14:paraId="00BDD0F2">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1"/>
          <w:highlight w:val="none"/>
        </w:rPr>
        <w:t>①投标文件存在法律、法规及监督部门有关文件规定的无效情形。</w:t>
      </w:r>
    </w:p>
    <w:p w14:paraId="15A1682C">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②投标文件存在招标文件规定的无效情形。</w:t>
      </w:r>
    </w:p>
    <w:p w14:paraId="6CE8CDB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根据财库《关于促进政府采购公平竞争优化营商环境的通知》（〔2019〕38号）以及《广西壮族自治区财政厅转发财政部关于促进政府采购公平竞争优化营商环境的通知》（桂财采〔2019〕41号）规定，评审委员会不得因装订、纸张、文件排序等非实质性的格式、形式问题认定投标无效或否决投标，从而限制和影响供应商投标（响应）。</w:t>
      </w:r>
    </w:p>
    <w:p w14:paraId="144CB108">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6.3.</w:t>
      </w:r>
      <w:r>
        <w:rPr>
          <w:rFonts w:hint="eastAsia"/>
          <w:color w:val="auto"/>
          <w:sz w:val="21"/>
          <w:szCs w:val="21"/>
          <w:highlight w:val="none"/>
          <w:lang w:val="en-US" w:eastAsia="zh-CN"/>
        </w:rPr>
        <w:t>9</w:t>
      </w:r>
      <w:r>
        <w:rPr>
          <w:rFonts w:hint="eastAsia"/>
          <w:color w:val="auto"/>
          <w:sz w:val="21"/>
          <w:szCs w:val="21"/>
          <w:highlight w:val="none"/>
        </w:rPr>
        <w:t>比较与评价</w:t>
      </w:r>
    </w:p>
    <w:p w14:paraId="739A9A64">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（1）评审委员会按招标文件中规定的评审方法和标准，对符合性审查合格的投标文件进行综合比较与评价。</w:t>
      </w:r>
    </w:p>
    <w:p w14:paraId="3FC6A91B">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（2）评审委员会各成员独立对每个有效供应商的投标文件进行评价。评价有误的应及时进行修正。评分标准如有客观分定义，评审委员会所有成员的客观分评分分值应当一致。</w:t>
      </w:r>
    </w:p>
    <w:p w14:paraId="225BBB35">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（3）评审委员会按综合评分由高到低的排列顺序推荐中标候选人，中标候选人最多不超过3名。若中标候选人综合评分相同的，按投标报价由低到高顺序排列；综合评分且投标报价相同的</w:t>
      </w:r>
      <w:r>
        <w:rPr>
          <w:rFonts w:hint="eastAsia"/>
          <w:color w:val="auto"/>
          <w:sz w:val="21"/>
          <w:szCs w:val="24"/>
          <w:highlight w:val="none"/>
        </w:rPr>
        <w:t>并列</w:t>
      </w:r>
      <w:r>
        <w:rPr>
          <w:rFonts w:hint="eastAsia"/>
          <w:color w:val="auto"/>
          <w:sz w:val="21"/>
          <w:szCs w:val="21"/>
          <w:highlight w:val="none"/>
        </w:rPr>
        <w:t>；中标候选人并列的，按技术部分得分由高到低顺序排列，若综合评分、投标报价、技术部分均相同的，按商务部分得分由高到低顺序排列。</w:t>
      </w:r>
    </w:p>
    <w:p w14:paraId="1B3E8920">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1"/>
          <w:highlight w:val="none"/>
        </w:rPr>
        <w:t>（</w:t>
      </w:r>
      <w:r>
        <w:rPr>
          <w:rFonts w:hint="default"/>
          <w:color w:val="auto"/>
          <w:sz w:val="21"/>
          <w:szCs w:val="21"/>
          <w:highlight w:val="none"/>
        </w:rPr>
        <w:t>4</w:t>
      </w:r>
      <w:r>
        <w:rPr>
          <w:rFonts w:hint="eastAsia"/>
          <w:color w:val="auto"/>
          <w:sz w:val="21"/>
          <w:szCs w:val="21"/>
          <w:highlight w:val="none"/>
        </w:rPr>
        <w:t>）评审委员会根据评审记录及评审结果编写评审报告，评审委员会成员均应当在评审报告上签字，对自己的评审意见承担法律责任。</w:t>
      </w:r>
      <w:r>
        <w:rPr>
          <w:rFonts w:hint="eastAsia"/>
          <w:color w:val="auto"/>
          <w:sz w:val="21"/>
          <w:szCs w:val="24"/>
          <w:highlight w:val="none"/>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2116563E">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4"/>
          <w:highlight w:val="none"/>
        </w:rPr>
        <w:t>分值汇总计算错误的；分项评分超出评分标准范围的；评审委员会成员对客观评审因素评分不一致的；经评审委员会认定评分畸高、畸低的。</w:t>
      </w:r>
    </w:p>
    <w:p w14:paraId="6012A349">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6.4</w:t>
      </w:r>
      <w:r>
        <w:rPr>
          <w:rFonts w:hint="eastAsia"/>
          <w:b/>
          <w:color w:val="auto"/>
          <w:kern w:val="0"/>
          <w:sz w:val="21"/>
          <w:szCs w:val="21"/>
          <w:highlight w:val="none"/>
        </w:rPr>
        <w:t>确定中标人</w:t>
      </w:r>
    </w:p>
    <w:p w14:paraId="462CFF69">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6.4</w:t>
      </w:r>
      <w:r>
        <w:rPr>
          <w:rFonts w:hint="default"/>
          <w:color w:val="auto"/>
          <w:sz w:val="21"/>
          <w:szCs w:val="21"/>
          <w:highlight w:val="none"/>
        </w:rPr>
        <w:t>.1</w:t>
      </w:r>
      <w:r>
        <w:rPr>
          <w:rFonts w:hint="eastAsia"/>
          <w:color w:val="auto"/>
          <w:sz w:val="21"/>
          <w:szCs w:val="21"/>
          <w:highlight w:val="none"/>
        </w:rPr>
        <w:t>采购代理机构在评审结束后2个工作日内将评审报告送采购人，采购人在5个工作日内按照评审报告中推荐的中标候选人顺序确定中标人。中标候选人并列的，由采购人或者采购人委托评标委员会按照招标文件规定的方式确定中标人；招标文件未规定的，采取随机抽取的方式确定。</w:t>
      </w:r>
    </w:p>
    <w:p w14:paraId="42CC73A7">
      <w:pPr>
        <w:spacing w:before="120" w:beforeLines="0" w:afterLines="0" w:line="276" w:lineRule="auto"/>
        <w:ind w:firstLine="420" w:firstLineChars="200"/>
        <w:rPr>
          <w:rFonts w:hint="default"/>
          <w:color w:val="auto"/>
          <w:sz w:val="21"/>
          <w:szCs w:val="21"/>
          <w:highlight w:val="none"/>
        </w:rPr>
      </w:pPr>
      <w:r>
        <w:rPr>
          <w:rFonts w:hint="default"/>
          <w:color w:val="auto"/>
          <w:sz w:val="21"/>
          <w:szCs w:val="21"/>
          <w:highlight w:val="none"/>
        </w:rPr>
        <w:t>6.4.2</w:t>
      </w:r>
      <w:r>
        <w:rPr>
          <w:rFonts w:hint="eastAsia"/>
          <w:color w:val="auto"/>
          <w:sz w:val="21"/>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0DCEE268">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6.5</w:t>
      </w:r>
      <w:r>
        <w:rPr>
          <w:rFonts w:hint="eastAsia"/>
          <w:b/>
          <w:color w:val="auto"/>
          <w:kern w:val="0"/>
          <w:sz w:val="21"/>
          <w:szCs w:val="21"/>
          <w:highlight w:val="none"/>
        </w:rPr>
        <w:t>结果公告</w:t>
      </w:r>
    </w:p>
    <w:p w14:paraId="7CD60D01">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w:t>
      </w:r>
      <w:r>
        <w:rPr>
          <w:rFonts w:hint="default"/>
          <w:color w:val="auto"/>
          <w:sz w:val="21"/>
          <w:szCs w:val="21"/>
          <w:highlight w:val="none"/>
        </w:rPr>
        <w:t>.5.1</w:t>
      </w:r>
      <w:r>
        <w:rPr>
          <w:rFonts w:hint="eastAsia"/>
          <w:color w:val="auto"/>
          <w:sz w:val="21"/>
          <w:szCs w:val="21"/>
          <w:highlight w:val="none"/>
        </w:rPr>
        <w:t>自中标人确定后2个工作日内，采购代理机构按照投标人须知前附表的规定公告中标结果</w:t>
      </w:r>
      <w:r>
        <w:rPr>
          <w:rFonts w:hint="eastAsia"/>
          <w:color w:val="auto"/>
          <w:sz w:val="21"/>
          <w:szCs w:val="21"/>
          <w:highlight w:val="none"/>
          <w:lang w:eastAsia="zh-CN"/>
        </w:rPr>
        <w:t>，</w:t>
      </w:r>
      <w:r>
        <w:rPr>
          <w:rFonts w:hint="eastAsia"/>
          <w:color w:val="auto"/>
          <w:highlight w:val="none"/>
        </w:rPr>
        <w:t>中标结果公告期限为1个工作日</w:t>
      </w:r>
      <w:r>
        <w:rPr>
          <w:rFonts w:hint="eastAsia"/>
          <w:color w:val="auto"/>
          <w:highlight w:val="none"/>
          <w:lang w:eastAsia="zh-CN"/>
        </w:rPr>
        <w:t>，</w:t>
      </w:r>
      <w:r>
        <w:rPr>
          <w:rFonts w:hint="eastAsia"/>
          <w:color w:val="auto"/>
          <w:highlight w:val="none"/>
        </w:rPr>
        <w:t>发布中标结果公告的同时向中标</w:t>
      </w:r>
      <w:r>
        <w:rPr>
          <w:rFonts w:hint="eastAsia"/>
          <w:color w:val="auto"/>
          <w:highlight w:val="none"/>
          <w:lang w:val="en-US" w:eastAsia="zh-CN"/>
        </w:rPr>
        <w:t>人</w:t>
      </w:r>
      <w:r>
        <w:rPr>
          <w:rFonts w:hint="eastAsia"/>
          <w:color w:val="auto"/>
          <w:highlight w:val="none"/>
        </w:rPr>
        <w:t>发出中标通知书。采购代理机构发出中标通知书前，应当对中标人信用进行核实，对列入失信被执行人、重大税收违法案件当事人名 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w:t>
      </w:r>
      <w:r>
        <w:rPr>
          <w:rFonts w:hint="eastAsia"/>
          <w:color w:val="auto"/>
          <w:highlight w:val="none"/>
          <w:lang w:val="en-US" w:eastAsia="zh-CN"/>
        </w:rPr>
        <w:t>采购人</w:t>
      </w:r>
      <w:r>
        <w:rPr>
          <w:rFonts w:hint="eastAsia"/>
          <w:color w:val="auto"/>
          <w:highlight w:val="none"/>
        </w:rPr>
        <w:t>可以确定排名第三的中标候选人为中标人，以此类推。以上信息查询记录及相关证据与采购文件一并保存。</w:t>
      </w:r>
    </w:p>
    <w:p w14:paraId="769F661C">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w:t>
      </w:r>
      <w:r>
        <w:rPr>
          <w:rFonts w:hint="default"/>
          <w:color w:val="auto"/>
          <w:sz w:val="21"/>
          <w:szCs w:val="21"/>
          <w:highlight w:val="none"/>
        </w:rPr>
        <w:t>.5.2</w:t>
      </w:r>
      <w:r>
        <w:rPr>
          <w:rFonts w:hint="eastAsia"/>
          <w:color w:val="auto"/>
          <w:sz w:val="21"/>
          <w:szCs w:val="21"/>
          <w:highlight w:val="none"/>
        </w:rPr>
        <w:t>在发布结果公告的同时，采购代理机构以投标人须知前附表规定的形式向中标人发出中标通知书。中标通知书发出后，采购人改变中标结果，或者中标人放弃中标，应当承担相应的法律责任。</w:t>
      </w:r>
    </w:p>
    <w:p w14:paraId="153727C0">
      <w:pPr>
        <w:spacing w:before="120" w:beforeLines="0" w:afterLines="0" w:line="320" w:lineRule="atLeast"/>
        <w:ind w:firstLine="420" w:firstLineChars="200"/>
        <w:rPr>
          <w:rFonts w:hint="default"/>
          <w:b/>
          <w:color w:val="auto"/>
          <w:kern w:val="0"/>
          <w:sz w:val="21"/>
          <w:szCs w:val="21"/>
          <w:highlight w:val="none"/>
        </w:rPr>
      </w:pPr>
      <w:r>
        <w:rPr>
          <w:rFonts w:hint="eastAsia"/>
          <w:color w:val="auto"/>
          <w:sz w:val="21"/>
          <w:szCs w:val="21"/>
          <w:highlight w:val="none"/>
        </w:rPr>
        <w:t>6</w:t>
      </w:r>
      <w:r>
        <w:rPr>
          <w:rFonts w:hint="default"/>
          <w:color w:val="auto"/>
          <w:sz w:val="21"/>
          <w:szCs w:val="21"/>
          <w:highlight w:val="none"/>
        </w:rPr>
        <w:t>.5.3</w:t>
      </w:r>
      <w:r>
        <w:rPr>
          <w:rFonts w:hint="eastAsia"/>
          <w:color w:val="auto"/>
          <w:sz w:val="21"/>
          <w:szCs w:val="21"/>
          <w:highlight w:val="none"/>
        </w:rPr>
        <w:t>在发布结果公告的同时，采购代理机构以投标人须知前附表规定的形式向未中标人发出招标结果通知书，供应商自行承担未及时查收的后果。</w:t>
      </w:r>
    </w:p>
    <w:p w14:paraId="466F3B2A">
      <w:pPr>
        <w:suppressAutoHyphens/>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6.6</w:t>
      </w:r>
      <w:r>
        <w:rPr>
          <w:rFonts w:hint="eastAsia"/>
          <w:b/>
          <w:color w:val="auto"/>
          <w:kern w:val="0"/>
          <w:sz w:val="21"/>
          <w:szCs w:val="21"/>
          <w:highlight w:val="none"/>
        </w:rPr>
        <w:t>废标</w:t>
      </w:r>
    </w:p>
    <w:p w14:paraId="732AC2FD">
      <w:pPr>
        <w:spacing w:before="120" w:beforeLines="0" w:afterLines="0" w:line="320" w:lineRule="atLeast"/>
        <w:ind w:firstLine="420" w:firstLineChars="200"/>
        <w:rPr>
          <w:rFonts w:hint="default"/>
          <w:color w:val="auto"/>
          <w:kern w:val="1"/>
          <w:sz w:val="21"/>
          <w:szCs w:val="21"/>
          <w:highlight w:val="none"/>
        </w:rPr>
      </w:pPr>
      <w:r>
        <w:rPr>
          <w:rFonts w:hint="default"/>
          <w:color w:val="auto"/>
          <w:kern w:val="1"/>
          <w:sz w:val="21"/>
          <w:szCs w:val="21"/>
          <w:highlight w:val="none"/>
        </w:rPr>
        <w:t>6.6.1</w:t>
      </w:r>
      <w:r>
        <w:rPr>
          <w:rFonts w:hint="eastAsia"/>
          <w:color w:val="auto"/>
          <w:kern w:val="1"/>
          <w:sz w:val="21"/>
          <w:szCs w:val="21"/>
          <w:highlight w:val="none"/>
        </w:rPr>
        <w:t xml:space="preserve">出现下列情形之一，将导致项目废标： </w:t>
      </w:r>
    </w:p>
    <w:p w14:paraId="3322A4B9">
      <w:pPr>
        <w:spacing w:before="120" w:beforeLines="0" w:afterLines="0" w:line="320" w:lineRule="atLeast"/>
        <w:ind w:firstLine="420" w:firstLineChars="200"/>
        <w:rPr>
          <w:rFonts w:hint="default"/>
          <w:color w:val="auto"/>
          <w:sz w:val="21"/>
          <w:szCs w:val="21"/>
          <w:highlight w:val="none"/>
        </w:rPr>
      </w:pPr>
      <w:r>
        <w:rPr>
          <w:rFonts w:hint="eastAsia"/>
          <w:color w:val="auto"/>
          <w:kern w:val="1"/>
          <w:sz w:val="21"/>
          <w:szCs w:val="21"/>
          <w:highlight w:val="none"/>
        </w:rPr>
        <w:t>（1</w:t>
      </w:r>
      <w:r>
        <w:rPr>
          <w:rFonts w:hint="eastAsia"/>
          <w:color w:val="auto"/>
          <w:sz w:val="21"/>
          <w:szCs w:val="21"/>
          <w:highlight w:val="none"/>
        </w:rPr>
        <w:t>）符合专业条件的供应商或者对招标文件做实质性响应的供应商不足三家；</w:t>
      </w:r>
    </w:p>
    <w:p w14:paraId="212C73E1">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（2）出现影响采购公正的违法、违规行为的；</w:t>
      </w:r>
    </w:p>
    <w:p w14:paraId="2E7C603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（3）供应商的报价均超过了采购预算，采购人不能支付的；</w:t>
      </w:r>
    </w:p>
    <w:p w14:paraId="26D1D089">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1"/>
          <w:highlight w:val="none"/>
        </w:rPr>
        <w:t>（4）</w:t>
      </w:r>
      <w:r>
        <w:rPr>
          <w:rFonts w:hint="eastAsia"/>
          <w:color w:val="auto"/>
          <w:sz w:val="21"/>
          <w:szCs w:val="24"/>
          <w:highlight w:val="none"/>
        </w:rPr>
        <w:t>因发生重大变故或采购任务取消的。</w:t>
      </w:r>
    </w:p>
    <w:p w14:paraId="4131CE0E">
      <w:pPr>
        <w:spacing w:before="120" w:beforeLines="0" w:afterLines="0" w:line="320" w:lineRule="atLeast"/>
        <w:ind w:firstLine="420" w:firstLineChars="200"/>
        <w:rPr>
          <w:rFonts w:hint="default"/>
          <w:color w:val="auto"/>
          <w:sz w:val="21"/>
          <w:szCs w:val="21"/>
          <w:highlight w:val="none"/>
        </w:rPr>
      </w:pPr>
      <w:r>
        <w:rPr>
          <w:rFonts w:hint="default"/>
          <w:color w:val="auto"/>
          <w:kern w:val="1"/>
          <w:sz w:val="21"/>
          <w:szCs w:val="21"/>
          <w:highlight w:val="none"/>
        </w:rPr>
        <w:t>6.6.2</w:t>
      </w:r>
      <w:r>
        <w:rPr>
          <w:rFonts w:hint="eastAsia"/>
          <w:color w:val="auto"/>
          <w:kern w:val="1"/>
          <w:sz w:val="21"/>
          <w:szCs w:val="21"/>
          <w:highlight w:val="none"/>
        </w:rPr>
        <w:t>废标后</w:t>
      </w:r>
      <w:r>
        <w:rPr>
          <w:rFonts w:hint="eastAsia"/>
          <w:color w:val="auto"/>
          <w:sz w:val="21"/>
          <w:szCs w:val="21"/>
          <w:highlight w:val="none"/>
        </w:rPr>
        <w:t>采购</w:t>
      </w:r>
      <w:r>
        <w:rPr>
          <w:rFonts w:hint="eastAsia"/>
          <w:color w:val="auto"/>
          <w:kern w:val="1"/>
          <w:sz w:val="21"/>
          <w:szCs w:val="21"/>
          <w:highlight w:val="none"/>
        </w:rPr>
        <w:t>代理机构将发布废标公告通知供应商。</w:t>
      </w:r>
    </w:p>
    <w:p w14:paraId="35F71F8A">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7</w:t>
      </w:r>
      <w:r>
        <w:rPr>
          <w:rFonts w:hint="eastAsia"/>
          <w:b/>
          <w:color w:val="auto"/>
          <w:kern w:val="0"/>
          <w:sz w:val="21"/>
          <w:szCs w:val="21"/>
          <w:highlight w:val="none"/>
        </w:rPr>
        <w:t>．合同</w:t>
      </w:r>
    </w:p>
    <w:p w14:paraId="79D7421B">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7.1</w:t>
      </w:r>
      <w:r>
        <w:rPr>
          <w:rFonts w:hint="eastAsia"/>
          <w:b/>
          <w:color w:val="auto"/>
          <w:kern w:val="0"/>
          <w:sz w:val="21"/>
          <w:szCs w:val="21"/>
          <w:highlight w:val="none"/>
        </w:rPr>
        <w:t>合同授予标准</w:t>
      </w:r>
    </w:p>
    <w:p w14:paraId="023FB51D">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687F1F92">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7.2</w:t>
      </w:r>
      <w:r>
        <w:rPr>
          <w:rFonts w:hint="eastAsia"/>
          <w:b/>
          <w:color w:val="auto"/>
          <w:kern w:val="0"/>
          <w:sz w:val="21"/>
          <w:szCs w:val="21"/>
          <w:highlight w:val="none"/>
        </w:rPr>
        <w:t>签订合同</w:t>
      </w:r>
    </w:p>
    <w:p w14:paraId="642CA1E6">
      <w:pPr>
        <w:spacing w:before="120" w:beforeLines="0" w:afterLines="0" w:line="320" w:lineRule="atLeast"/>
        <w:ind w:firstLine="420" w:firstLineChars="200"/>
        <w:rPr>
          <w:rFonts w:hint="default"/>
          <w:color w:val="auto"/>
          <w:sz w:val="21"/>
          <w:szCs w:val="21"/>
          <w:highlight w:val="none"/>
        </w:rPr>
      </w:pPr>
      <w:bookmarkStart w:id="61" w:name="_Hlk93421039"/>
      <w:r>
        <w:rPr>
          <w:rFonts w:hint="default"/>
          <w:color w:val="auto"/>
          <w:sz w:val="21"/>
          <w:szCs w:val="21"/>
          <w:highlight w:val="none"/>
        </w:rPr>
        <w:t>7.2.1</w:t>
      </w:r>
      <w:r>
        <w:rPr>
          <w:rFonts w:hint="eastAsia"/>
          <w:color w:val="auto"/>
          <w:sz w:val="21"/>
          <w:szCs w:val="21"/>
          <w:highlight w:val="none"/>
        </w:rPr>
        <w:t>如招标文件无特别规定，中标人按招标文件确定的事项签订政府采购合同。</w:t>
      </w:r>
    </w:p>
    <w:p w14:paraId="49B786D7">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7.2.2</w:t>
      </w:r>
      <w:r>
        <w:rPr>
          <w:rFonts w:hint="eastAsia"/>
          <w:color w:val="auto"/>
          <w:sz w:val="21"/>
          <w:szCs w:val="21"/>
          <w:highlight w:val="none"/>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45A629D7">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7.2.3</w:t>
      </w:r>
      <w:r>
        <w:rPr>
          <w:rFonts w:hint="eastAsia"/>
          <w:color w:val="auto"/>
          <w:sz w:val="21"/>
          <w:szCs w:val="21"/>
          <w:highlight w:val="none"/>
        </w:rPr>
        <w:t>如中标人不按中标通知书的规定签订合同，其投标保证金将不予退还，并报由同级政府采购监督管理部门处理。</w:t>
      </w:r>
    </w:p>
    <w:p w14:paraId="1A7D75F3">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7</w:t>
      </w:r>
      <w:r>
        <w:rPr>
          <w:rFonts w:hint="default"/>
          <w:color w:val="auto"/>
          <w:sz w:val="21"/>
          <w:szCs w:val="21"/>
          <w:highlight w:val="none"/>
        </w:rPr>
        <w:t>.2.4</w:t>
      </w:r>
      <w:r>
        <w:rPr>
          <w:rFonts w:hint="eastAsia"/>
          <w:color w:val="auto"/>
          <w:sz w:val="21"/>
          <w:szCs w:val="21"/>
          <w:highlight w:val="none"/>
        </w:rPr>
        <w:t>中标人拒绝与采购人签订合同的，采购人可以按照评审报告推荐的中标候选人名单排序，确定下一候选人为中标人，也可以重新开展政府采购活动。</w:t>
      </w:r>
    </w:p>
    <w:p w14:paraId="6036F1C4">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7</w:t>
      </w:r>
      <w:r>
        <w:rPr>
          <w:rFonts w:hint="default"/>
          <w:color w:val="auto"/>
          <w:sz w:val="21"/>
          <w:szCs w:val="21"/>
          <w:highlight w:val="none"/>
        </w:rPr>
        <w:t>.2.5</w:t>
      </w:r>
      <w:r>
        <w:rPr>
          <w:rFonts w:hint="eastAsia"/>
          <w:color w:val="auto"/>
          <w:sz w:val="21"/>
          <w:szCs w:val="21"/>
          <w:highlight w:val="none"/>
        </w:rPr>
        <w:t>采购人因不可抗力原因迟延签订合同的，应当自不可抗力事由消除之日起5个工作日内完成合同签订事宜。</w:t>
      </w:r>
    </w:p>
    <w:bookmarkEnd w:id="61"/>
    <w:p w14:paraId="6EF86D14">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7.3</w:t>
      </w:r>
      <w:r>
        <w:rPr>
          <w:rFonts w:hint="eastAsia"/>
          <w:b/>
          <w:color w:val="auto"/>
          <w:kern w:val="0"/>
          <w:sz w:val="21"/>
          <w:szCs w:val="21"/>
          <w:highlight w:val="none"/>
        </w:rPr>
        <w:t>合同公告</w:t>
      </w:r>
    </w:p>
    <w:p w14:paraId="2C8549EB">
      <w:pPr>
        <w:spacing w:before="120" w:beforeLines="0" w:afterLines="0" w:line="320" w:lineRule="atLeast"/>
        <w:ind w:firstLine="420" w:firstLineChars="200"/>
        <w:rPr>
          <w:rFonts w:hint="default"/>
          <w:color w:val="auto"/>
          <w:sz w:val="21"/>
          <w:szCs w:val="21"/>
          <w:highlight w:val="none"/>
        </w:rPr>
      </w:pPr>
      <w:bookmarkStart w:id="62" w:name="_Hlk93421052"/>
      <w:r>
        <w:rPr>
          <w:rFonts w:hint="default"/>
          <w:color w:val="auto"/>
          <w:sz w:val="21"/>
          <w:szCs w:val="21"/>
          <w:highlight w:val="none"/>
        </w:rPr>
        <w:t>7.3.1</w:t>
      </w:r>
      <w:r>
        <w:rPr>
          <w:rFonts w:hint="eastAsia"/>
          <w:color w:val="auto"/>
          <w:sz w:val="21"/>
          <w:szCs w:val="21"/>
          <w:highlight w:val="none"/>
        </w:rPr>
        <w:t>如招标文件无特殊规定，中标人应在签订合同后1个工作日内，将政府采购合同副本送采购代理机构存档。</w:t>
      </w:r>
    </w:p>
    <w:p w14:paraId="682295C3">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7.3.2</w:t>
      </w:r>
      <w:r>
        <w:rPr>
          <w:rFonts w:hint="eastAsia"/>
          <w:color w:val="auto"/>
          <w:sz w:val="21"/>
          <w:szCs w:val="21"/>
          <w:highlight w:val="none"/>
        </w:rPr>
        <w:t>采购人应当自政府采购合同签订之日起2个工作日内，将政府采购合同在省级以上人民政府财政部门指定的媒体上公告，但政府采购合同中涉及国家秘密、商业秘密的内容除外。</w:t>
      </w:r>
    </w:p>
    <w:p w14:paraId="02F93FC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7</w:t>
      </w:r>
      <w:r>
        <w:rPr>
          <w:rFonts w:hint="default"/>
          <w:color w:val="auto"/>
          <w:sz w:val="21"/>
          <w:szCs w:val="21"/>
          <w:highlight w:val="none"/>
        </w:rPr>
        <w:t xml:space="preserve">.3.3 </w:t>
      </w:r>
      <w:r>
        <w:rPr>
          <w:rFonts w:hint="eastAsia"/>
          <w:color w:val="auto"/>
          <w:sz w:val="21"/>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62"/>
    <w:p w14:paraId="06D326EA">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 xml:space="preserve">7.4 </w:t>
      </w:r>
      <w:r>
        <w:rPr>
          <w:rFonts w:hint="eastAsia"/>
          <w:b/>
          <w:color w:val="auto"/>
          <w:kern w:val="0"/>
          <w:sz w:val="21"/>
          <w:szCs w:val="21"/>
          <w:highlight w:val="none"/>
        </w:rPr>
        <w:t>履行合同</w:t>
      </w:r>
    </w:p>
    <w:p w14:paraId="2CE548EE">
      <w:pPr>
        <w:spacing w:before="120" w:beforeLines="0" w:afterLines="0" w:line="320" w:lineRule="atLeast"/>
        <w:ind w:firstLine="420" w:firstLineChars="200"/>
        <w:rPr>
          <w:rFonts w:hint="default"/>
          <w:color w:val="auto"/>
          <w:sz w:val="21"/>
          <w:szCs w:val="21"/>
          <w:highlight w:val="none"/>
        </w:rPr>
      </w:pPr>
      <w:bookmarkStart w:id="63" w:name="_Hlk93421061"/>
      <w:r>
        <w:rPr>
          <w:rFonts w:hint="default"/>
          <w:color w:val="auto"/>
          <w:sz w:val="21"/>
          <w:szCs w:val="21"/>
          <w:highlight w:val="none"/>
        </w:rPr>
        <w:t>7.4.1</w:t>
      </w:r>
      <w:r>
        <w:rPr>
          <w:rFonts w:hint="eastAsia"/>
          <w:color w:val="auto"/>
          <w:sz w:val="21"/>
          <w:szCs w:val="21"/>
          <w:highlight w:val="none"/>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63"/>
    <w:p w14:paraId="530FF6E3">
      <w:pPr>
        <w:spacing w:before="120" w:beforeLines="0" w:afterLines="0" w:line="320" w:lineRule="atLeast"/>
        <w:ind w:firstLine="422" w:firstLineChars="200"/>
        <w:rPr>
          <w:rFonts w:hint="default"/>
          <w:b/>
          <w:color w:val="auto"/>
          <w:kern w:val="0"/>
          <w:sz w:val="21"/>
          <w:szCs w:val="21"/>
          <w:highlight w:val="none"/>
        </w:rPr>
      </w:pPr>
      <w:r>
        <w:rPr>
          <w:rFonts w:hint="default"/>
          <w:b/>
          <w:color w:val="auto"/>
          <w:kern w:val="0"/>
          <w:sz w:val="21"/>
          <w:szCs w:val="21"/>
          <w:highlight w:val="none"/>
        </w:rPr>
        <w:t>7.5</w:t>
      </w:r>
      <w:r>
        <w:rPr>
          <w:rFonts w:hint="eastAsia"/>
          <w:b/>
          <w:color w:val="auto"/>
          <w:kern w:val="0"/>
          <w:sz w:val="21"/>
          <w:szCs w:val="21"/>
          <w:highlight w:val="none"/>
        </w:rPr>
        <w:t>履约验收</w:t>
      </w:r>
    </w:p>
    <w:p w14:paraId="7A74D72B">
      <w:pPr>
        <w:spacing w:before="120" w:beforeLines="0" w:afterLines="0" w:line="320" w:lineRule="atLeast"/>
        <w:ind w:firstLine="420" w:firstLineChars="200"/>
        <w:rPr>
          <w:rFonts w:hint="default"/>
          <w:color w:val="auto"/>
          <w:sz w:val="21"/>
          <w:szCs w:val="21"/>
          <w:highlight w:val="none"/>
        </w:rPr>
      </w:pPr>
      <w:bookmarkStart w:id="64" w:name="_Hlk93421069"/>
      <w:r>
        <w:rPr>
          <w:rFonts w:hint="default"/>
          <w:color w:val="auto"/>
          <w:sz w:val="21"/>
          <w:szCs w:val="21"/>
          <w:highlight w:val="none"/>
        </w:rPr>
        <w:t>7.5.1</w:t>
      </w:r>
      <w:r>
        <w:rPr>
          <w:rFonts w:hint="eastAsia"/>
          <w:color w:val="auto"/>
          <w:sz w:val="21"/>
          <w:szCs w:val="21"/>
          <w:highlight w:val="none"/>
        </w:rPr>
        <w:t>采购人可以根据政府采购项目具体情况自行组织验收，或者委托政府采购代理机构、国家认可的质量检测机构开展采购项目履约验收工作。</w:t>
      </w:r>
    </w:p>
    <w:p w14:paraId="36244F67">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7.5.2</w:t>
      </w:r>
      <w:r>
        <w:rPr>
          <w:rFonts w:hint="eastAsia"/>
          <w:color w:val="auto"/>
          <w:sz w:val="21"/>
          <w:szCs w:val="21"/>
          <w:highlight w:val="none"/>
        </w:rPr>
        <w:t>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D41CA8F">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7.5.3</w:t>
      </w:r>
      <w:r>
        <w:rPr>
          <w:rFonts w:hint="eastAsia"/>
          <w:color w:val="auto"/>
          <w:sz w:val="21"/>
          <w:szCs w:val="21"/>
          <w:highlight w:val="none"/>
        </w:rPr>
        <w:t>采购合同项目完成验收后，采购人应当将验收原始记录、验收书等资料作为该采购项目档案妥善保管，不得伪造、变造、隐匿或者销毁，验收资料保存期为采购结束之日起至少保存15年。</w:t>
      </w:r>
    </w:p>
    <w:p w14:paraId="7AB94D42">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7.5.4</w:t>
      </w:r>
      <w:r>
        <w:rPr>
          <w:rFonts w:hint="eastAsia"/>
          <w:color w:val="auto"/>
          <w:sz w:val="21"/>
          <w:szCs w:val="21"/>
          <w:highlight w:val="none"/>
        </w:rPr>
        <w:t>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64"/>
    <w:p w14:paraId="26692CEE">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8</w:t>
      </w:r>
      <w:r>
        <w:rPr>
          <w:rFonts w:hint="eastAsia"/>
          <w:b/>
          <w:color w:val="auto"/>
          <w:kern w:val="0"/>
          <w:sz w:val="21"/>
          <w:szCs w:val="21"/>
          <w:highlight w:val="none"/>
        </w:rPr>
        <w:t>．质疑和投诉</w:t>
      </w:r>
    </w:p>
    <w:p w14:paraId="3C9DF019">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8.1</w:t>
      </w:r>
      <w:r>
        <w:rPr>
          <w:rFonts w:hint="eastAsia"/>
          <w:b/>
          <w:color w:val="auto"/>
          <w:kern w:val="0"/>
          <w:sz w:val="21"/>
          <w:szCs w:val="21"/>
          <w:highlight w:val="none"/>
        </w:rPr>
        <w:t>质疑</w:t>
      </w:r>
    </w:p>
    <w:p w14:paraId="0EC2F12F">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8.1.1</w:t>
      </w:r>
      <w:r>
        <w:rPr>
          <w:rFonts w:hint="eastAsia"/>
          <w:color w:val="auto"/>
          <w:sz w:val="21"/>
          <w:szCs w:val="21"/>
          <w:highlight w:val="none"/>
        </w:rPr>
        <w:t>质疑内容、时限</w:t>
      </w:r>
    </w:p>
    <w:p w14:paraId="7EC4E7E0">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（1）供应商对政府采购活动有疑问的，可以向采购人或采购代理机构提出询问。采购人或者采购代理机构应当在3个工作日内对供应商依法提出的询问作出答复。</w:t>
      </w:r>
    </w:p>
    <w:p w14:paraId="4EB22C0E">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w:t>
      </w:r>
      <w:r>
        <w:rPr>
          <w:rFonts w:hint="eastAsia"/>
          <w:color w:val="auto"/>
          <w:sz w:val="21"/>
          <w:szCs w:val="21"/>
          <w:highlight w:val="none"/>
          <w:lang w:eastAsia="zh-CN"/>
        </w:rPr>
        <w:t>供应商</w:t>
      </w:r>
      <w:r>
        <w:rPr>
          <w:rFonts w:hint="eastAsia"/>
          <w:color w:val="auto"/>
          <w:sz w:val="21"/>
          <w:szCs w:val="21"/>
          <w:highlight w:val="none"/>
        </w:rPr>
        <w:t>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6D53E0CA">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8.1.2</w:t>
      </w:r>
      <w:r>
        <w:rPr>
          <w:rFonts w:hint="eastAsia"/>
          <w:color w:val="auto"/>
          <w:sz w:val="21"/>
          <w:szCs w:val="21"/>
          <w:highlight w:val="none"/>
        </w:rPr>
        <w:t>质疑形式</w:t>
      </w:r>
    </w:p>
    <w:p w14:paraId="531B1C6F">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质疑应当采用投标人须知前附表所规定的形式，质疑书应明确阐述招标文件、采购过程或中标结果中使自己合法权益受到损害的实质性内容，提供相关事实、依据和证据及其来源或线索，便于有关单位调查、答复和处理。</w:t>
      </w:r>
    </w:p>
    <w:p w14:paraId="329EB89D">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8</w:t>
      </w:r>
      <w:r>
        <w:rPr>
          <w:rFonts w:hint="default"/>
          <w:color w:val="auto"/>
          <w:sz w:val="21"/>
          <w:szCs w:val="21"/>
          <w:highlight w:val="none"/>
        </w:rPr>
        <w:t>.1.3</w:t>
      </w:r>
      <w:r>
        <w:rPr>
          <w:rFonts w:hint="eastAsia"/>
          <w:color w:val="auto"/>
          <w:sz w:val="21"/>
          <w:szCs w:val="24"/>
          <w:highlight w:val="none"/>
        </w:rPr>
        <w:t xml:space="preserve"> </w:t>
      </w:r>
      <w:r>
        <w:rPr>
          <w:rFonts w:hint="eastAsia"/>
          <w:color w:val="auto"/>
          <w:sz w:val="21"/>
          <w:szCs w:val="21"/>
          <w:highlight w:val="none"/>
        </w:rPr>
        <w:t>供应商提出质疑应当提交质疑函和必要的证明材料。质疑函应当包括下列内容：</w:t>
      </w:r>
    </w:p>
    <w:p w14:paraId="4CEDE946">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w:t>
      </w:r>
      <w:r>
        <w:rPr>
          <w:rFonts w:hint="eastAsia"/>
          <w:color w:val="auto"/>
          <w:sz w:val="21"/>
          <w:szCs w:val="21"/>
          <w:highlight w:val="none"/>
        </w:rPr>
        <w:tab/>
      </w:r>
      <w:r>
        <w:rPr>
          <w:rFonts w:hint="eastAsia"/>
          <w:color w:val="auto"/>
          <w:sz w:val="21"/>
          <w:szCs w:val="21"/>
          <w:highlight w:val="none"/>
        </w:rPr>
        <w:t>供应商的姓名或者名称、地址、邮编、联系人及联系电话；</w:t>
      </w:r>
    </w:p>
    <w:p w14:paraId="62812854">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w:t>
      </w:r>
      <w:r>
        <w:rPr>
          <w:rFonts w:hint="eastAsia"/>
          <w:color w:val="auto"/>
          <w:sz w:val="21"/>
          <w:szCs w:val="21"/>
          <w:highlight w:val="none"/>
        </w:rPr>
        <w:tab/>
      </w:r>
      <w:r>
        <w:rPr>
          <w:rFonts w:hint="eastAsia"/>
          <w:color w:val="auto"/>
          <w:sz w:val="21"/>
          <w:szCs w:val="21"/>
          <w:highlight w:val="none"/>
        </w:rPr>
        <w:t>质疑项目的名称、编号；</w:t>
      </w:r>
    </w:p>
    <w:p w14:paraId="6CE766C0">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w:t>
      </w:r>
      <w:r>
        <w:rPr>
          <w:rFonts w:hint="eastAsia"/>
          <w:color w:val="auto"/>
          <w:sz w:val="21"/>
          <w:szCs w:val="21"/>
          <w:highlight w:val="none"/>
        </w:rPr>
        <w:tab/>
      </w:r>
      <w:r>
        <w:rPr>
          <w:rFonts w:hint="eastAsia"/>
          <w:color w:val="auto"/>
          <w:sz w:val="21"/>
          <w:szCs w:val="21"/>
          <w:highlight w:val="none"/>
        </w:rPr>
        <w:t>具体、明确的质疑事项和与质疑事项相关的请求；</w:t>
      </w:r>
    </w:p>
    <w:p w14:paraId="1FDE5BA1">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（4）</w:t>
      </w:r>
      <w:r>
        <w:rPr>
          <w:rFonts w:hint="eastAsia"/>
          <w:color w:val="auto"/>
          <w:sz w:val="21"/>
          <w:szCs w:val="21"/>
          <w:highlight w:val="none"/>
        </w:rPr>
        <w:tab/>
      </w:r>
      <w:r>
        <w:rPr>
          <w:rFonts w:hint="eastAsia"/>
          <w:color w:val="auto"/>
          <w:sz w:val="21"/>
          <w:szCs w:val="21"/>
          <w:highlight w:val="none"/>
        </w:rPr>
        <w:t>事实依据；</w:t>
      </w:r>
    </w:p>
    <w:p w14:paraId="5882F2EA">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（5）</w:t>
      </w:r>
      <w:r>
        <w:rPr>
          <w:rFonts w:hint="eastAsia"/>
          <w:color w:val="auto"/>
          <w:sz w:val="21"/>
          <w:szCs w:val="21"/>
          <w:highlight w:val="none"/>
        </w:rPr>
        <w:tab/>
      </w:r>
      <w:r>
        <w:rPr>
          <w:rFonts w:hint="eastAsia"/>
          <w:color w:val="auto"/>
          <w:sz w:val="21"/>
          <w:szCs w:val="21"/>
          <w:highlight w:val="none"/>
        </w:rPr>
        <w:t>必要的法律依据；</w:t>
      </w:r>
    </w:p>
    <w:p w14:paraId="354D4ED1">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w:t>
      </w:r>
      <w:r>
        <w:rPr>
          <w:rFonts w:hint="eastAsia"/>
          <w:color w:val="auto"/>
          <w:sz w:val="21"/>
          <w:szCs w:val="21"/>
          <w:highlight w:val="none"/>
        </w:rPr>
        <w:tab/>
      </w:r>
      <w:r>
        <w:rPr>
          <w:rFonts w:hint="eastAsia"/>
          <w:color w:val="auto"/>
          <w:sz w:val="21"/>
          <w:szCs w:val="21"/>
          <w:highlight w:val="none"/>
        </w:rPr>
        <w:t>提出质疑的日期。</w:t>
      </w:r>
    </w:p>
    <w:p w14:paraId="71AEB87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供应商为自然人的，应当由本人签字；供应商为法人或者其他组织的，应当由法定代表人、主要负责人，或者其授权代表签字或者盖章，并加盖公章。</w:t>
      </w:r>
      <w:r>
        <w:rPr>
          <w:rFonts w:hint="default"/>
          <w:color w:val="auto"/>
          <w:sz w:val="21"/>
          <w:szCs w:val="21"/>
          <w:highlight w:val="none"/>
        </w:rPr>
        <w:t xml:space="preserve"> </w:t>
      </w:r>
    </w:p>
    <w:p w14:paraId="4C7AD9AF">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8.2</w:t>
      </w:r>
      <w:r>
        <w:rPr>
          <w:rFonts w:hint="eastAsia"/>
          <w:b/>
          <w:color w:val="auto"/>
          <w:kern w:val="0"/>
          <w:sz w:val="21"/>
          <w:szCs w:val="21"/>
          <w:highlight w:val="none"/>
        </w:rPr>
        <w:t>投诉</w:t>
      </w:r>
    </w:p>
    <w:p w14:paraId="1D27EEFD">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8.2.1</w:t>
      </w:r>
      <w:r>
        <w:rPr>
          <w:rFonts w:hint="eastAsia"/>
          <w:color w:val="auto"/>
          <w:sz w:val="21"/>
          <w:szCs w:val="21"/>
          <w:highlight w:val="none"/>
        </w:rPr>
        <w:t>供应商对采购人、采购代理机构的答复不满意，或者采购人、采购代理机构未在规定时间内答复的，可在答复期满后15个工作日内按有关规定，向同级财政部门投诉。</w:t>
      </w:r>
    </w:p>
    <w:p w14:paraId="509C5A71">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8.2.</w:t>
      </w:r>
      <w:r>
        <w:rPr>
          <w:rFonts w:hint="eastAsia"/>
          <w:color w:val="auto"/>
          <w:sz w:val="21"/>
          <w:szCs w:val="21"/>
          <w:highlight w:val="none"/>
        </w:rPr>
        <w:t>2投诉书应使用财政部发布的政府采购供应投诉书范本，并应按照“投诉书制作说明”进行编写。</w:t>
      </w:r>
    </w:p>
    <w:p w14:paraId="3DC56E0F">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9</w:t>
      </w:r>
      <w:r>
        <w:rPr>
          <w:rFonts w:hint="eastAsia"/>
          <w:b/>
          <w:color w:val="auto"/>
          <w:kern w:val="0"/>
          <w:sz w:val="21"/>
          <w:szCs w:val="21"/>
          <w:highlight w:val="none"/>
        </w:rPr>
        <w:t>．其他事项</w:t>
      </w:r>
    </w:p>
    <w:p w14:paraId="798A9DBE">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9.1</w:t>
      </w:r>
      <w:r>
        <w:rPr>
          <w:rFonts w:hint="eastAsia"/>
          <w:color w:val="auto"/>
          <w:sz w:val="21"/>
          <w:szCs w:val="21"/>
          <w:highlight w:val="none"/>
        </w:rPr>
        <w:t>代理服务收费由采购代理机构向中标人收取。签订合同前，中标人应向采购代理机构一次付清代理服务费。</w:t>
      </w:r>
    </w:p>
    <w:p w14:paraId="15112C69">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9.2</w:t>
      </w:r>
      <w:r>
        <w:rPr>
          <w:rFonts w:hint="eastAsia"/>
          <w:color w:val="auto"/>
          <w:sz w:val="21"/>
          <w:szCs w:val="21"/>
          <w:highlight w:val="none"/>
        </w:rPr>
        <w:t>电子交易活动的中止。采购过程中出现以下情形，导致电子交易平台无法正常运行，或者无法保证电子交易的公平、公正和安全时，采购机构可中止电子交易活动：</w:t>
      </w:r>
    </w:p>
    <w:p w14:paraId="6E9BF784">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 xml:space="preserve">（1）电子交易平台发生故障而无法登录访问的； </w:t>
      </w:r>
    </w:p>
    <w:p w14:paraId="4FCA0631">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（2）电子交易平台应用或数据库出现错误，不能进行正常操作的；</w:t>
      </w:r>
    </w:p>
    <w:p w14:paraId="7197C39B">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（3）电子交易平台发现严重安全漏洞，有潜在泄密危险的；</w:t>
      </w:r>
    </w:p>
    <w:p w14:paraId="355B8501">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 xml:space="preserve">（4）病毒发作导致不能进行正常操作的； </w:t>
      </w:r>
    </w:p>
    <w:p w14:paraId="42EC63C5">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w:t>
      </w:r>
      <w:r>
        <w:rPr>
          <w:rFonts w:hint="default"/>
          <w:color w:val="auto"/>
          <w:sz w:val="21"/>
          <w:szCs w:val="21"/>
          <w:highlight w:val="none"/>
        </w:rPr>
        <w:t>5</w:t>
      </w:r>
      <w:r>
        <w:rPr>
          <w:rFonts w:hint="eastAsia"/>
          <w:color w:val="auto"/>
          <w:sz w:val="21"/>
          <w:szCs w:val="21"/>
          <w:highlight w:val="none"/>
        </w:rPr>
        <w:t>）其他无法保证电子交易的公平、公正和安全的情况。</w:t>
      </w:r>
    </w:p>
    <w:p w14:paraId="49563D07">
      <w:pPr>
        <w:tabs>
          <w:tab w:val="left" w:pos="4820"/>
        </w:tabs>
        <w:spacing w:before="120" w:beforeLines="0" w:afterLines="0" w:line="360" w:lineRule="auto"/>
        <w:ind w:firstLine="420" w:firstLineChars="200"/>
        <w:rPr>
          <w:rFonts w:hint="default"/>
          <w:color w:val="auto"/>
          <w:sz w:val="21"/>
          <w:szCs w:val="21"/>
          <w:highlight w:val="none"/>
        </w:rPr>
      </w:pPr>
      <w:r>
        <w:rPr>
          <w:rFonts w:hint="eastAsia"/>
          <w:color w:val="auto"/>
          <w:sz w:val="21"/>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rFonts w:hint="default"/>
          <w:color w:val="auto"/>
          <w:sz w:val="21"/>
          <w:szCs w:val="21"/>
          <w:highlight w:val="none"/>
        </w:rPr>
        <w:t xml:space="preserve"> </w:t>
      </w:r>
    </w:p>
    <w:p w14:paraId="70D54F73">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9.3</w:t>
      </w:r>
      <w:r>
        <w:rPr>
          <w:rFonts w:hint="eastAsia"/>
          <w:color w:val="auto"/>
          <w:sz w:val="21"/>
          <w:szCs w:val="21"/>
          <w:highlight w:val="none"/>
        </w:rPr>
        <w:t>本项目的附件及图纸详见投标人须知前附表。</w:t>
      </w:r>
    </w:p>
    <w:p w14:paraId="5FEAEA36">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9.4</w:t>
      </w:r>
      <w:r>
        <w:rPr>
          <w:rFonts w:hint="eastAsia"/>
          <w:color w:val="auto"/>
          <w:sz w:val="21"/>
          <w:szCs w:val="21"/>
          <w:highlight w:val="none"/>
        </w:rPr>
        <w:t>本项目的其他事项详见投标人须知前附表。</w:t>
      </w:r>
    </w:p>
    <w:p w14:paraId="3C9BC9F9">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10</w:t>
      </w:r>
      <w:r>
        <w:rPr>
          <w:rFonts w:hint="eastAsia"/>
          <w:b/>
          <w:color w:val="auto"/>
          <w:kern w:val="0"/>
          <w:sz w:val="21"/>
          <w:szCs w:val="21"/>
          <w:highlight w:val="none"/>
        </w:rPr>
        <w:t>．其他说明</w:t>
      </w:r>
    </w:p>
    <w:p w14:paraId="51EF590F">
      <w:pPr>
        <w:spacing w:before="120" w:beforeLines="0" w:afterLines="0" w:line="320" w:lineRule="atLeast"/>
        <w:ind w:left="2" w:leftChars="1" w:firstLine="420" w:firstLineChars="200"/>
        <w:rPr>
          <w:rFonts w:hint="default"/>
          <w:color w:val="auto"/>
          <w:kern w:val="0"/>
          <w:sz w:val="21"/>
          <w:szCs w:val="21"/>
          <w:highlight w:val="none"/>
        </w:rPr>
      </w:pPr>
      <w:r>
        <w:rPr>
          <w:rFonts w:hint="eastAsia"/>
          <w:color w:val="auto"/>
          <w:kern w:val="0"/>
          <w:sz w:val="21"/>
          <w:szCs w:val="21"/>
          <w:highlight w:val="none"/>
        </w:rPr>
        <w:t>1</w:t>
      </w:r>
      <w:r>
        <w:rPr>
          <w:rFonts w:hint="default"/>
          <w:color w:val="auto"/>
          <w:kern w:val="0"/>
          <w:sz w:val="21"/>
          <w:szCs w:val="21"/>
          <w:highlight w:val="none"/>
        </w:rPr>
        <w:t>0.1</w:t>
      </w:r>
      <w:r>
        <w:rPr>
          <w:rFonts w:hint="eastAsia"/>
          <w:color w:val="auto"/>
          <w:kern w:val="0"/>
          <w:sz w:val="21"/>
          <w:szCs w:val="21"/>
          <w:highlight w:val="none"/>
        </w:rPr>
        <w:t>其余未尽事宜按《中华人民共和国政府采购法》、《中华人民共和国政府采购法实施条例》的相关规定执行。</w:t>
      </w:r>
    </w:p>
    <w:p w14:paraId="39047AFA">
      <w:pPr>
        <w:spacing w:before="120" w:line="320" w:lineRule="atLeast"/>
        <w:ind w:left="2" w:leftChars="1" w:firstLine="420" w:firstLineChars="200"/>
        <w:outlineLvl w:val="1"/>
        <w:rPr>
          <w:rFonts w:hint="eastAsia"/>
          <w:color w:val="auto"/>
          <w:sz w:val="32"/>
          <w:szCs w:val="32"/>
          <w:highlight w:val="none"/>
        </w:rPr>
      </w:pPr>
      <w:r>
        <w:rPr>
          <w:rFonts w:hint="default"/>
          <w:color w:val="auto"/>
          <w:kern w:val="0"/>
          <w:sz w:val="21"/>
          <w:szCs w:val="21"/>
          <w:highlight w:val="none"/>
        </w:rPr>
        <w:t>10.2</w:t>
      </w:r>
      <w:r>
        <w:rPr>
          <w:rFonts w:hint="eastAsia"/>
          <w:color w:val="auto"/>
          <w:sz w:val="21"/>
          <w:szCs w:val="24"/>
          <w:highlight w:val="none"/>
        </w:rPr>
        <w:t>本招标文件是根据国家有关法律及有关政策、法规和参照国际惯例编制，解释权属采购代理机构。</w:t>
      </w:r>
    </w:p>
    <w:p w14:paraId="682F8904">
      <w:pPr>
        <w:pStyle w:val="27"/>
        <w:snapToGrid w:val="0"/>
        <w:spacing w:before="120" w:after="120"/>
        <w:jc w:val="center"/>
        <w:outlineLvl w:val="0"/>
        <w:rPr>
          <w:rFonts w:ascii="Arial" w:hAnsi="Arial" w:cs="Arial"/>
          <w:color w:val="auto"/>
          <w:sz w:val="32"/>
          <w:szCs w:val="32"/>
          <w:highlight w:val="none"/>
        </w:rPr>
      </w:pPr>
      <w:r>
        <w:rPr>
          <w:rFonts w:ascii="Arial" w:hAnsi="Arial" w:cs="Arial"/>
          <w:color w:val="auto"/>
          <w:highlight w:val="none"/>
        </w:rPr>
        <w:br w:type="page"/>
      </w:r>
      <w:bookmarkStart w:id="65" w:name="_Toc30422"/>
      <w:r>
        <w:rPr>
          <w:rStyle w:val="63"/>
          <w:rFonts w:ascii="Arial" w:hAnsi="Arial" w:cs="Arial"/>
          <w:color w:val="auto"/>
          <w:highlight w:val="none"/>
        </w:rPr>
        <w:t>第四章  评审方法及标准</w:t>
      </w:r>
      <w:bookmarkEnd w:id="65"/>
    </w:p>
    <w:bookmarkEnd w:id="22"/>
    <w:bookmarkEnd w:id="23"/>
    <w:p w14:paraId="16F1173D">
      <w:pPr>
        <w:spacing w:before="120" w:line="320" w:lineRule="atLeast"/>
        <w:ind w:firstLine="413" w:firstLineChars="196"/>
        <w:outlineLvl w:val="1"/>
        <w:rPr>
          <w:rFonts w:ascii="Arial" w:hAnsi="Arial" w:cs="Arial"/>
          <w:b/>
          <w:bCs/>
          <w:color w:val="auto"/>
          <w:kern w:val="0"/>
          <w:szCs w:val="21"/>
          <w:highlight w:val="none"/>
        </w:rPr>
      </w:pPr>
      <w:bookmarkStart w:id="66" w:name="_Hlk132879660"/>
      <w:bookmarkStart w:id="67" w:name="_Hlk132881389"/>
      <w:r>
        <w:rPr>
          <w:rFonts w:ascii="Arial" w:hAnsi="Arial" w:cs="Arial"/>
          <w:b/>
          <w:bCs/>
          <w:color w:val="auto"/>
          <w:kern w:val="0"/>
          <w:szCs w:val="21"/>
          <w:highlight w:val="none"/>
        </w:rPr>
        <w:t>一、评标方法</w:t>
      </w:r>
    </w:p>
    <w:p w14:paraId="53C03B0C">
      <w:pPr>
        <w:spacing w:before="120" w:line="320" w:lineRule="atLeast"/>
        <w:ind w:firstLine="411" w:firstLineChars="196"/>
        <w:outlineLvl w:val="1"/>
        <w:rPr>
          <w:rFonts w:ascii="Arial" w:hAnsi="Arial" w:cs="Arial"/>
          <w:bCs/>
          <w:color w:val="auto"/>
          <w:kern w:val="0"/>
          <w:szCs w:val="21"/>
          <w:highlight w:val="none"/>
        </w:rPr>
      </w:pPr>
      <w:r>
        <w:rPr>
          <w:rFonts w:ascii="Arial" w:hAnsi="Arial" w:cs="Arial"/>
          <w:bCs/>
          <w:color w:val="auto"/>
          <w:kern w:val="0"/>
          <w:szCs w:val="21"/>
          <w:highlight w:val="none"/>
        </w:rPr>
        <w:t>1、评标方法</w:t>
      </w:r>
    </w:p>
    <w:p w14:paraId="76E127B1">
      <w:pPr>
        <w:suppressAutoHyphens/>
        <w:spacing w:before="120" w:line="320" w:lineRule="atLeast"/>
        <w:ind w:firstLine="420" w:firstLineChars="200"/>
        <w:rPr>
          <w:rFonts w:ascii="Arial" w:hAnsi="Arial" w:cs="Arial"/>
          <w:color w:val="auto"/>
          <w:highlight w:val="none"/>
        </w:rPr>
      </w:pPr>
      <w:r>
        <w:rPr>
          <w:rFonts w:ascii="Arial" w:hAnsi="Arial" w:cs="Arial"/>
          <w:color w:val="auto"/>
          <w:highlight w:val="none"/>
        </w:rPr>
        <w:t>本项目采用综合评分法进行评标。综合评分法，是指投标文件满足招标文件全部实质性要求且按照评标因素的量化指标评标得分最高的供应商为中标候选人的评标方法。</w:t>
      </w:r>
    </w:p>
    <w:p w14:paraId="09DDCB52">
      <w:pPr>
        <w:spacing w:before="120" w:line="320" w:lineRule="atLeast"/>
        <w:ind w:firstLine="411" w:firstLineChars="196"/>
        <w:outlineLvl w:val="1"/>
        <w:rPr>
          <w:rFonts w:ascii="Arial" w:hAnsi="Arial" w:cs="Arial"/>
          <w:color w:val="auto"/>
          <w:szCs w:val="21"/>
          <w:highlight w:val="none"/>
        </w:rPr>
      </w:pPr>
      <w:r>
        <w:rPr>
          <w:rFonts w:ascii="Arial" w:hAnsi="Arial" w:cs="Arial"/>
          <w:color w:val="auto"/>
          <w:szCs w:val="21"/>
          <w:highlight w:val="none"/>
        </w:rPr>
        <w:t>2、评标依据</w:t>
      </w:r>
    </w:p>
    <w:p w14:paraId="237A676E">
      <w:pPr>
        <w:suppressAutoHyphens/>
        <w:spacing w:before="120" w:line="320" w:lineRule="atLeast"/>
        <w:ind w:firstLine="420" w:firstLineChars="200"/>
        <w:rPr>
          <w:rFonts w:ascii="Arial" w:hAnsi="Arial" w:cs="Arial"/>
          <w:color w:val="auto"/>
          <w:highlight w:val="none"/>
        </w:rPr>
      </w:pPr>
      <w:r>
        <w:rPr>
          <w:rFonts w:ascii="Arial" w:hAnsi="Arial" w:cs="Arial"/>
          <w:color w:val="auto"/>
          <w:highlight w:val="none"/>
        </w:rPr>
        <w:t>评标委员会以招标文件、补充文件、投标文件、澄清及答复为评标依据。</w:t>
      </w:r>
    </w:p>
    <w:p w14:paraId="404552FD">
      <w:pPr>
        <w:spacing w:before="120" w:line="320" w:lineRule="atLeast"/>
        <w:ind w:firstLine="411" w:firstLineChars="196"/>
        <w:outlineLvl w:val="1"/>
        <w:rPr>
          <w:rFonts w:ascii="Arial" w:hAnsi="Arial" w:cs="Arial"/>
          <w:color w:val="auto"/>
          <w:szCs w:val="21"/>
          <w:highlight w:val="none"/>
        </w:rPr>
      </w:pPr>
      <w:r>
        <w:rPr>
          <w:rFonts w:ascii="Arial" w:hAnsi="Arial" w:cs="Arial"/>
          <w:color w:val="auto"/>
          <w:szCs w:val="21"/>
          <w:highlight w:val="none"/>
        </w:rPr>
        <w:t>3、评标委员会</w:t>
      </w:r>
      <w:bookmarkStart w:id="68" w:name="_Hlk19051932"/>
    </w:p>
    <w:p w14:paraId="09433C03">
      <w:pPr>
        <w:suppressAutoHyphens/>
        <w:spacing w:before="120" w:line="320" w:lineRule="atLeast"/>
        <w:ind w:firstLine="420" w:firstLineChars="200"/>
        <w:rPr>
          <w:rFonts w:ascii="Arial" w:hAnsi="Arial" w:cs="Arial"/>
          <w:color w:val="auto"/>
          <w:highlight w:val="none"/>
        </w:rPr>
      </w:pPr>
      <w:r>
        <w:rPr>
          <w:rFonts w:ascii="Arial" w:hAnsi="Arial" w:cs="Arial"/>
          <w:color w:val="auto"/>
          <w:highlight w:val="none"/>
        </w:rPr>
        <w:t>本项目评标委员会由政府采购评审专家和采购人代表组成。</w:t>
      </w:r>
      <w:bookmarkEnd w:id="68"/>
      <w:bookmarkStart w:id="69" w:name="_Hlk19051968"/>
      <w:r>
        <w:rPr>
          <w:rFonts w:ascii="Arial" w:hAnsi="Arial" w:cs="Arial"/>
          <w:color w:val="auto"/>
          <w:highlight w:val="none"/>
        </w:rPr>
        <w:t>评标委员会必须公平、公正、客观，不带任何倾向性和启发性；不得向外界透露任何与评审有关的内容；任何单位和个人不得干扰、影响评审的正常进行；评标委员会及有关工作人员不得私下与供应商接触。评审专家发现本人与参加采购活动的供应商有利害关系的，应当主动提出回避。</w:t>
      </w:r>
      <w:bookmarkEnd w:id="69"/>
    </w:p>
    <w:p w14:paraId="4314A6CB">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二、评标程序</w:t>
      </w:r>
    </w:p>
    <w:p w14:paraId="0D93575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w:t>
      </w:r>
      <w:bookmarkStart w:id="70" w:name="_Hlk19175507"/>
      <w:r>
        <w:rPr>
          <w:rFonts w:ascii="Arial" w:hAnsi="Arial" w:cs="Arial"/>
          <w:color w:val="auto"/>
          <w:szCs w:val="21"/>
          <w:highlight w:val="none"/>
        </w:rPr>
        <w:t>初步评审：初步评审包括资格检查及符合性检查。</w:t>
      </w:r>
      <w:bookmarkEnd w:id="70"/>
    </w:p>
    <w:p w14:paraId="30854392">
      <w:pPr>
        <w:suppressAutoHyphens/>
        <w:spacing w:before="120" w:line="320" w:lineRule="atLeast"/>
        <w:ind w:firstLine="420" w:firstLineChars="200"/>
        <w:rPr>
          <w:rFonts w:ascii="Arial" w:hAnsi="Arial" w:cs="Arial"/>
          <w:bCs/>
          <w:color w:val="auto"/>
          <w:kern w:val="1"/>
          <w:szCs w:val="21"/>
          <w:highlight w:val="none"/>
        </w:rPr>
      </w:pPr>
      <w:r>
        <w:rPr>
          <w:rFonts w:ascii="Arial" w:hAnsi="Arial" w:cs="Arial"/>
          <w:bCs/>
          <w:color w:val="auto"/>
          <w:kern w:val="1"/>
          <w:szCs w:val="21"/>
          <w:highlight w:val="none"/>
        </w:rPr>
        <w:t>2、澄清（如需要）。</w:t>
      </w:r>
    </w:p>
    <w:p w14:paraId="1BB31BC3">
      <w:pPr>
        <w:suppressAutoHyphens/>
        <w:spacing w:before="120" w:line="320" w:lineRule="atLeast"/>
        <w:ind w:firstLine="420" w:firstLineChars="200"/>
        <w:rPr>
          <w:rFonts w:ascii="Arial" w:hAnsi="Arial" w:cs="Arial"/>
          <w:bCs/>
          <w:color w:val="auto"/>
          <w:kern w:val="1"/>
          <w:szCs w:val="21"/>
          <w:highlight w:val="none"/>
        </w:rPr>
      </w:pPr>
      <w:r>
        <w:rPr>
          <w:rFonts w:ascii="Arial" w:hAnsi="Arial" w:cs="Arial"/>
          <w:bCs/>
          <w:color w:val="auto"/>
          <w:kern w:val="1"/>
          <w:szCs w:val="21"/>
          <w:highlight w:val="none"/>
        </w:rPr>
        <w:t>3、详细评审。</w:t>
      </w:r>
    </w:p>
    <w:p w14:paraId="397929DF">
      <w:pPr>
        <w:suppressAutoHyphens/>
        <w:spacing w:before="120" w:line="320" w:lineRule="atLeast"/>
        <w:ind w:firstLine="420" w:firstLineChars="200"/>
        <w:rPr>
          <w:rFonts w:ascii="Arial" w:hAnsi="Arial" w:cs="Arial"/>
          <w:color w:val="auto"/>
          <w:szCs w:val="21"/>
          <w:highlight w:val="none"/>
        </w:rPr>
      </w:pPr>
      <w:r>
        <w:rPr>
          <w:rFonts w:ascii="Arial" w:hAnsi="Arial" w:cs="Arial"/>
          <w:bCs/>
          <w:color w:val="auto"/>
          <w:kern w:val="1"/>
          <w:szCs w:val="21"/>
          <w:highlight w:val="none"/>
        </w:rPr>
        <w:t>4、推荐中标候选人。</w:t>
      </w:r>
    </w:p>
    <w:p w14:paraId="3A3131FC">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三、特别说明：</w:t>
      </w:r>
    </w:p>
    <w:p w14:paraId="7418546B">
      <w:pPr>
        <w:tabs>
          <w:tab w:val="left" w:pos="2190"/>
        </w:tabs>
        <w:spacing w:line="370" w:lineRule="exact"/>
        <w:ind w:firstLine="435"/>
        <w:rPr>
          <w:rFonts w:ascii="Arial" w:hAnsi="Arial" w:cs="Arial"/>
          <w:b/>
          <w:color w:val="auto"/>
          <w:szCs w:val="21"/>
          <w:highlight w:val="none"/>
        </w:rPr>
      </w:pPr>
      <w:r>
        <w:rPr>
          <w:rFonts w:ascii="Arial" w:hAnsi="Arial" w:cs="Arial"/>
          <w:b/>
          <w:color w:val="auto"/>
          <w:szCs w:val="21"/>
          <w:highlight w:val="none"/>
        </w:rPr>
        <w:t>1、注意事项：本项目实行电子投标，供应商应准备电子投标文件。</w:t>
      </w:r>
    </w:p>
    <w:p w14:paraId="58AA5708">
      <w:pPr>
        <w:tabs>
          <w:tab w:val="left" w:pos="2190"/>
        </w:tabs>
        <w:spacing w:line="370" w:lineRule="exact"/>
        <w:ind w:firstLine="435"/>
        <w:rPr>
          <w:rFonts w:ascii="Arial" w:hAnsi="Arial" w:cs="Arial"/>
          <w:b/>
          <w:bCs/>
          <w:color w:val="auto"/>
          <w:kern w:val="0"/>
          <w:szCs w:val="21"/>
          <w:highlight w:val="none"/>
        </w:rPr>
      </w:pPr>
      <w:r>
        <w:rPr>
          <w:rFonts w:ascii="Arial" w:hAnsi="Arial" w:cs="Arial"/>
          <w:b/>
          <w:color w:val="auto"/>
          <w:szCs w:val="21"/>
          <w:highlight w:val="none"/>
        </w:rPr>
        <w:t>2、电子投标文件按广西政府采购云平台要求及本招标文件要求制作、加密并递交。具体操作流程可参考《政府采购项目电子交易管理操作指南-供应商》，指南可在 “http://www.ccgp-guangxi.gov.cn/PurchaseAdvisory/ImportantNotice/2866753.html”下载。</w:t>
      </w:r>
    </w:p>
    <w:p w14:paraId="664B9F4C">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3、供应商提供的以下相关证明材料属于“必须提供”的</w:t>
      </w:r>
      <w:r>
        <w:rPr>
          <w:rFonts w:ascii="Arial" w:hAnsi="Arial" w:cs="Arial"/>
          <w:b/>
          <w:color w:val="auto"/>
          <w:sz w:val="24"/>
          <w:highlight w:val="none"/>
        </w:rPr>
        <w:t>文件</w:t>
      </w:r>
      <w:r>
        <w:rPr>
          <w:rFonts w:ascii="Arial" w:hAnsi="Arial" w:cs="Arial"/>
          <w:b/>
          <w:bCs/>
          <w:color w:val="auto"/>
          <w:kern w:val="0"/>
          <w:szCs w:val="21"/>
          <w:highlight w:val="none"/>
        </w:rPr>
        <w:t>应加盖供应商公章（CA签章）/自然人签字或加盖个人CA签章，否则投标无效。</w:t>
      </w:r>
    </w:p>
    <w:p w14:paraId="428B31B4">
      <w:pPr>
        <w:pStyle w:val="27"/>
        <w:spacing w:line="370" w:lineRule="exact"/>
        <w:ind w:firstLine="420"/>
        <w:rPr>
          <w:rFonts w:ascii="Arial" w:hAnsi="Arial" w:cs="Arial"/>
          <w:b/>
          <w:bCs/>
          <w:color w:val="auto"/>
          <w:highlight w:val="none"/>
        </w:rPr>
      </w:pPr>
      <w:r>
        <w:rPr>
          <w:rFonts w:ascii="Arial" w:hAnsi="Arial" w:cs="Arial"/>
          <w:b/>
          <w:bCs/>
          <w:color w:val="auto"/>
          <w:kern w:val="0"/>
          <w:highlight w:val="none"/>
        </w:rPr>
        <w:t>4、</w:t>
      </w:r>
      <w:r>
        <w:rPr>
          <w:rFonts w:ascii="Arial" w:hAnsi="Arial" w:cs="Arial"/>
          <w:b/>
          <w:bCs/>
          <w:color w:val="auto"/>
          <w:highlight w:val="none"/>
        </w:rPr>
        <w:t>投标文件（电子</w:t>
      </w:r>
      <w:r>
        <w:rPr>
          <w:rFonts w:hint="eastAsia" w:ascii="Arial" w:hAnsi="Arial" w:cs="Arial"/>
          <w:b/>
          <w:bCs/>
          <w:color w:val="auto"/>
          <w:highlight w:val="none"/>
        </w:rPr>
        <w:t>投标文件</w:t>
      </w:r>
      <w:r>
        <w:rPr>
          <w:rFonts w:ascii="Arial" w:hAnsi="Arial" w:cs="Arial"/>
          <w:b/>
          <w:bCs/>
          <w:color w:val="auto"/>
          <w:highlight w:val="none"/>
        </w:rPr>
        <w:t>），其中电子投标文件中所须加盖公章部分均采用CA签章。若招标文件中有专门标注的某关联点，并要求供应商在电子投标系统中作出响应的，如供应商未对关联点进行响应或者在投标文件其它内容进行描述，造成电子评审不能查询的责任由供应商自行承担。</w:t>
      </w:r>
    </w:p>
    <w:p w14:paraId="35C4853E">
      <w:pPr>
        <w:pStyle w:val="27"/>
        <w:spacing w:line="370" w:lineRule="exact"/>
        <w:ind w:firstLine="420"/>
        <w:rPr>
          <w:rFonts w:ascii="Arial" w:hAnsi="Arial" w:cs="Arial"/>
          <w:b/>
          <w:bCs/>
          <w:color w:val="auto"/>
          <w:highlight w:val="none"/>
        </w:rPr>
      </w:pPr>
      <w:r>
        <w:rPr>
          <w:rFonts w:ascii="Arial" w:hAnsi="Arial" w:cs="Arial"/>
          <w:b/>
          <w:bCs/>
          <w:color w:val="auto"/>
          <w:highlight w:val="none"/>
        </w:rPr>
        <w:t>5、招标文件要求法定代表人（负责人）或委托代理人签字的部分必须签字然后扫描或者拍照做成 pdf 格式上传（或加盖个人CA签章），无签字的视为投标无效。</w:t>
      </w:r>
    </w:p>
    <w:p w14:paraId="170DDD68">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6、电子投标文件中须加盖供应商公章部分均采用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588686B0">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7、供应商法人（负责人）或授权代表持有政采云个人CA签章的，应在投标文件中涉及到签字的位置使用个人CA签章，没有办理政采云个人CA签章的可在投标文件中涉及到签字的位置手写签字后扫描或者拍照做成 PDF 的格式上传即可。</w:t>
      </w:r>
    </w:p>
    <w:p w14:paraId="251AC1D9">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8、投标文件不得涂改，若有修改错漏处，须法定代表人（负责人）或授权委托人签字（或个人CA签章）。投标文件因字迹潦草或表达不清所引起的后果由供应商负责。</w:t>
      </w:r>
    </w:p>
    <w:p w14:paraId="78859871">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9、本项目实行网上评审，采用电子投标文件；若供应商参与投标，自行承担投标一切费用。各供应商在截标前应确保成为广西政府采购云平台正式注册入库供应商，并完成 CA 数字证书申领。因未注册入库、未办理 CA 数字证书等原因造成无法投标或投标失败等后果由供应商自行承担。供应商将政采云电子交易客户端下载、安装完成后，可通过账号密码或 CA 登录客户端进行投标文件制作。客户端请至网站下载专区查看，如有问题可拨打政采云客户服务热线95763 进行咨询。</w:t>
      </w:r>
    </w:p>
    <w:p w14:paraId="586CD3AB">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10、供应商进行电子投标应安装客户端软件，并按照采购文件和电子交易平台的要求编制并加密投标文件。供应商未按规定加密的投标文件，电子交易平台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如有特殊情况，采购代理机构延长截止时间和开标时间，采购代理机构和供应商的权利和义务将受到新的截止时间和开标时间的约束。</w:t>
      </w:r>
    </w:p>
    <w:p w14:paraId="0D438CC6">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四、评标内容</w:t>
      </w:r>
    </w:p>
    <w:p w14:paraId="77F993E6">
      <w:pPr>
        <w:spacing w:before="120" w:line="320" w:lineRule="atLeast"/>
        <w:ind w:firstLine="551" w:firstLineChars="196"/>
        <w:jc w:val="center"/>
        <w:outlineLvl w:val="1"/>
        <w:rPr>
          <w:rFonts w:ascii="Arial" w:hAnsi="Arial" w:cs="Arial"/>
          <w:b/>
          <w:bCs/>
          <w:color w:val="auto"/>
          <w:kern w:val="0"/>
          <w:sz w:val="28"/>
          <w:szCs w:val="28"/>
          <w:highlight w:val="none"/>
        </w:rPr>
      </w:pPr>
      <w:r>
        <w:rPr>
          <w:rFonts w:ascii="Arial" w:hAnsi="Arial" w:cs="Arial"/>
          <w:b/>
          <w:bCs/>
          <w:color w:val="auto"/>
          <w:kern w:val="0"/>
          <w:sz w:val="28"/>
          <w:szCs w:val="28"/>
          <w:highlight w:val="none"/>
        </w:rPr>
        <w:t>1、资格审查</w:t>
      </w:r>
    </w:p>
    <w:p w14:paraId="2A06D7A1">
      <w:pPr>
        <w:suppressAutoHyphens/>
        <w:spacing w:before="120" w:line="320" w:lineRule="atLeast"/>
        <w:ind w:firstLine="420" w:firstLineChars="200"/>
        <w:rPr>
          <w:rFonts w:hint="eastAsia" w:ascii="Arial" w:hAnsi="Arial" w:cs="Arial"/>
          <w:color w:val="auto"/>
          <w:szCs w:val="21"/>
          <w:highlight w:val="none"/>
        </w:rPr>
      </w:pPr>
      <w:r>
        <w:rPr>
          <w:rFonts w:ascii="Arial" w:hAnsi="Arial" w:cs="Arial"/>
          <w:color w:val="auto"/>
          <w:highlight w:val="none"/>
        </w:rPr>
        <w:t>采购人代表对所有供应商的投标文件进行资格审查。</w:t>
      </w:r>
      <w:r>
        <w:rPr>
          <w:rFonts w:ascii="Arial" w:hAnsi="Arial" w:cs="Arial"/>
          <w:color w:val="auto"/>
          <w:szCs w:val="21"/>
          <w:highlight w:val="none"/>
        </w:rPr>
        <w:t>以确定供应商是否具备投标资格。资格审查表如下，缺少任何一项或有任何一项不合格者，其资格审查视为不合格。</w:t>
      </w:r>
    </w:p>
    <w:p w14:paraId="47D30301">
      <w:pPr>
        <w:suppressAutoHyphens/>
        <w:spacing w:before="120" w:line="288" w:lineRule="auto"/>
        <w:ind w:firstLine="440" w:firstLineChars="200"/>
        <w:rPr>
          <w:rFonts w:ascii="Arial" w:hAnsi="Arial" w:cs="Arial"/>
          <w:color w:val="auto"/>
          <w:highlight w:val="none"/>
        </w:rPr>
      </w:pPr>
      <w:r>
        <w:rPr>
          <w:rFonts w:ascii="Arial" w:hAnsi="Arial" w:cs="Arial"/>
          <w:color w:val="auto"/>
          <w:sz w:val="22"/>
          <w:szCs w:val="22"/>
          <w:highlight w:val="none"/>
        </w:rPr>
        <w:t>1.1</w:t>
      </w:r>
      <w:r>
        <w:rPr>
          <w:rFonts w:ascii="Arial" w:hAnsi="Arial" w:cs="Arial"/>
          <w:b/>
          <w:bCs/>
          <w:color w:val="auto"/>
          <w:sz w:val="22"/>
          <w:szCs w:val="22"/>
          <w:highlight w:val="none"/>
        </w:rPr>
        <w:t>供应商具备有效的“营业执照”或“事业单位法人证书”或“自然人的身份证明”副本复印件。</w:t>
      </w:r>
    </w:p>
    <w:p w14:paraId="5A71C4B5">
      <w:pPr>
        <w:suppressAutoHyphens/>
        <w:spacing w:before="120" w:line="288" w:lineRule="auto"/>
        <w:ind w:firstLine="420" w:firstLineChars="200"/>
        <w:rPr>
          <w:rFonts w:ascii="Arial" w:hAnsi="Arial" w:cs="Arial"/>
          <w:color w:val="auto"/>
          <w:highlight w:val="none"/>
        </w:rPr>
      </w:pPr>
      <w:r>
        <w:rPr>
          <w:rFonts w:ascii="Arial" w:hAnsi="Arial" w:cs="Arial"/>
          <w:color w:val="auto"/>
          <w:szCs w:val="21"/>
          <w:highlight w:val="none"/>
        </w:rPr>
        <w:t>供应商是企业则审查营业执照（副本）复印件；供应商是事业单位，则审查事业单位法人证书（副本）复印件；供应商是非企业专业服务机构的，则审查执业许可证等证明文件复印件；供应商是个体工商户，则审查个体工商户营业执照复印件；供应商是自然人，则审查自然人身份证明复印件；如供应商不是以上所列的法人、组织、自然人的，则提供国家规定的相关证明材料。</w:t>
      </w:r>
    </w:p>
    <w:p w14:paraId="15104951">
      <w:pPr>
        <w:suppressAutoHyphens/>
        <w:spacing w:before="120" w:line="288" w:lineRule="auto"/>
        <w:ind w:firstLine="440" w:firstLineChars="200"/>
        <w:rPr>
          <w:rFonts w:ascii="Arial" w:hAnsi="Arial" w:cs="Arial"/>
          <w:color w:val="auto"/>
          <w:szCs w:val="21"/>
          <w:highlight w:val="none"/>
        </w:rPr>
      </w:pPr>
      <w:r>
        <w:rPr>
          <w:rFonts w:ascii="Arial" w:hAnsi="Arial" w:cs="Arial"/>
          <w:color w:val="auto"/>
          <w:sz w:val="22"/>
          <w:szCs w:val="22"/>
          <w:highlight w:val="none"/>
        </w:rPr>
        <w:t xml:space="preserve">1.2 </w:t>
      </w:r>
      <w:r>
        <w:rPr>
          <w:rFonts w:ascii="Arial" w:hAnsi="Arial" w:cs="Arial"/>
          <w:b/>
          <w:bCs/>
          <w:color w:val="auto"/>
          <w:sz w:val="22"/>
          <w:szCs w:val="22"/>
          <w:highlight w:val="none"/>
        </w:rPr>
        <w:t>供应商202</w:t>
      </w:r>
      <w:r>
        <w:rPr>
          <w:rFonts w:hint="eastAsia" w:ascii="Arial" w:hAnsi="Arial" w:cs="Arial"/>
          <w:b/>
          <w:bCs/>
          <w:color w:val="auto"/>
          <w:sz w:val="22"/>
          <w:szCs w:val="22"/>
          <w:highlight w:val="none"/>
          <w:lang w:val="en-US" w:eastAsia="zh-CN"/>
        </w:rPr>
        <w:t>5</w:t>
      </w:r>
      <w:r>
        <w:rPr>
          <w:rFonts w:ascii="Arial" w:hAnsi="Arial" w:cs="Arial"/>
          <w:b/>
          <w:bCs/>
          <w:color w:val="auto"/>
          <w:sz w:val="22"/>
          <w:szCs w:val="22"/>
          <w:highlight w:val="none"/>
        </w:rPr>
        <w:t>年度财务状况报告（表）复印件或202</w:t>
      </w:r>
      <w:r>
        <w:rPr>
          <w:rFonts w:hint="eastAsia" w:ascii="Arial" w:hAnsi="Arial" w:cs="Arial"/>
          <w:b/>
          <w:bCs/>
          <w:color w:val="auto"/>
          <w:sz w:val="22"/>
          <w:szCs w:val="22"/>
          <w:highlight w:val="none"/>
          <w:lang w:val="en-US" w:eastAsia="zh-CN"/>
        </w:rPr>
        <w:t>6</w:t>
      </w:r>
      <w:r>
        <w:rPr>
          <w:rFonts w:ascii="Arial" w:hAnsi="Arial" w:cs="Arial"/>
          <w:b/>
          <w:bCs/>
          <w:color w:val="auto"/>
          <w:sz w:val="22"/>
          <w:szCs w:val="22"/>
          <w:highlight w:val="none"/>
        </w:rPr>
        <w:t>年银行出具的资信证明复印件。</w:t>
      </w:r>
      <w:r>
        <w:rPr>
          <w:rFonts w:ascii="Arial" w:hAnsi="Arial" w:cs="Arial"/>
          <w:color w:val="auto"/>
          <w:szCs w:val="21"/>
          <w:highlight w:val="none"/>
        </w:rPr>
        <w:t>对于从取得营业执照时间起到投标文件递交截止时间为止不足1年的供应商，只需提交投标文件递交截止时间前一个月的财务状况报告（表）复印件。</w:t>
      </w:r>
    </w:p>
    <w:p w14:paraId="7F0E4054">
      <w:pPr>
        <w:suppressAutoHyphens/>
        <w:spacing w:before="120" w:line="288" w:lineRule="auto"/>
        <w:ind w:firstLine="440" w:firstLineChars="200"/>
        <w:rPr>
          <w:rFonts w:ascii="Arial" w:hAnsi="Arial" w:cs="Arial"/>
          <w:color w:val="auto"/>
          <w:szCs w:val="21"/>
          <w:highlight w:val="none"/>
          <w:lang w:val="zh-CN"/>
        </w:rPr>
      </w:pPr>
      <w:r>
        <w:rPr>
          <w:rFonts w:ascii="Arial" w:hAnsi="Arial" w:cs="Arial"/>
          <w:color w:val="auto"/>
          <w:sz w:val="22"/>
          <w:szCs w:val="22"/>
          <w:highlight w:val="none"/>
        </w:rPr>
        <w:t>1.3</w:t>
      </w:r>
      <w:r>
        <w:rPr>
          <w:rFonts w:ascii="Arial" w:hAnsi="Arial" w:cs="Arial"/>
          <w:b/>
          <w:bCs/>
          <w:color w:val="auto"/>
          <w:sz w:val="22"/>
          <w:szCs w:val="22"/>
          <w:highlight w:val="none"/>
          <w:lang w:val="zh-CN"/>
        </w:rPr>
        <w:t>①投标截止时间前6个月内，供应商任意1个月依法缴纳税费证明复印件。②投标截止时间前6个月内，供应商任意1个月的社保缴费证明记录复印件。</w:t>
      </w:r>
      <w:r>
        <w:rPr>
          <w:rFonts w:ascii="Arial" w:hAnsi="Arial" w:cs="Arial"/>
          <w:color w:val="auto"/>
          <w:szCs w:val="21"/>
          <w:highlight w:val="none"/>
          <w:lang w:val="zh-CN"/>
        </w:rPr>
        <w:t>供应商成立不足1个月的，无须提供缴纳税费证明及社保缴费证明。依法免税或不需要缴纳社会保障资金的供应商，须提供相应文件证明其依法免税或不需要缴纳社会保障资金。</w:t>
      </w:r>
    </w:p>
    <w:p w14:paraId="20B42499">
      <w:pPr>
        <w:suppressAutoHyphens/>
        <w:spacing w:before="120" w:line="288" w:lineRule="auto"/>
        <w:ind w:firstLine="442" w:firstLineChars="200"/>
        <w:rPr>
          <w:rFonts w:ascii="Arial" w:hAnsi="Arial" w:cs="Arial"/>
          <w:color w:val="auto"/>
          <w:szCs w:val="21"/>
          <w:highlight w:val="none"/>
        </w:rPr>
      </w:pPr>
      <w:r>
        <w:rPr>
          <w:rFonts w:ascii="Arial" w:hAnsi="Arial" w:cs="Arial"/>
          <w:b/>
          <w:bCs/>
          <w:color w:val="auto"/>
          <w:sz w:val="22"/>
          <w:szCs w:val="22"/>
          <w:highlight w:val="none"/>
        </w:rPr>
        <w:t>1.4审查无重大违法记录声明。须提供，格式见第六章投标文件格式“投标声明书”。</w:t>
      </w:r>
      <w:r>
        <w:rPr>
          <w:rFonts w:ascii="Arial" w:hAnsi="Arial" w:cs="Arial"/>
          <w:color w:val="auto"/>
          <w:szCs w:val="21"/>
          <w:highlight w:val="none"/>
        </w:rPr>
        <w:t>一旦发现供应商提供的投标声明书不实时，则按照《政府采购法》有关提供虚假材料的规定给予处罚。</w:t>
      </w:r>
    </w:p>
    <w:p w14:paraId="7493B4E9">
      <w:pPr>
        <w:suppressAutoHyphens/>
        <w:spacing w:before="120" w:line="288" w:lineRule="auto"/>
        <w:ind w:firstLine="442" w:firstLineChars="200"/>
        <w:rPr>
          <w:rFonts w:ascii="Arial" w:hAnsi="Arial" w:cs="Arial"/>
          <w:color w:val="auto"/>
          <w:szCs w:val="21"/>
          <w:highlight w:val="none"/>
          <w:lang w:val="zh-CN"/>
        </w:rPr>
      </w:pPr>
      <w:r>
        <w:rPr>
          <w:rFonts w:ascii="Arial" w:hAnsi="Arial" w:cs="Arial"/>
          <w:b/>
          <w:bCs/>
          <w:color w:val="auto"/>
          <w:sz w:val="22"/>
          <w:szCs w:val="22"/>
          <w:highlight w:val="none"/>
        </w:rPr>
        <w:t>1.5</w:t>
      </w:r>
      <w:r>
        <w:rPr>
          <w:rFonts w:ascii="Arial" w:hAnsi="Arial" w:cs="Arial"/>
          <w:b/>
          <w:bCs/>
          <w:color w:val="auto"/>
          <w:sz w:val="22"/>
          <w:szCs w:val="22"/>
          <w:highlight w:val="none"/>
          <w:lang w:val="zh-CN"/>
        </w:rPr>
        <w:t>诚信要求：</w:t>
      </w:r>
      <w:r>
        <w:rPr>
          <w:rFonts w:ascii="Arial" w:hAnsi="Arial" w:cs="Arial"/>
          <w:color w:val="auto"/>
          <w:szCs w:val="21"/>
          <w:highlight w:val="none"/>
          <w:lang w:val="zh-CN"/>
        </w:rPr>
        <w:t>①</w:t>
      </w:r>
      <w:r>
        <w:rPr>
          <w:rFonts w:ascii="Arial" w:hAnsi="Arial" w:cs="Arial"/>
          <w:color w:val="auto"/>
          <w:szCs w:val="21"/>
          <w:highlight w:val="none"/>
        </w:rPr>
        <w:t>审核标准：供应商如被列入失信被执行人、重大税收违法失信主体、政府采购严重违法失信行为记录名单，则资格审查不予通过，其投标被否决</w:t>
      </w:r>
      <w:r>
        <w:rPr>
          <w:rFonts w:ascii="Arial" w:hAnsi="Arial" w:cs="Arial"/>
          <w:color w:val="auto"/>
          <w:szCs w:val="21"/>
          <w:highlight w:val="none"/>
          <w:lang w:val="zh-CN"/>
        </w:rPr>
        <w:t>。</w:t>
      </w:r>
    </w:p>
    <w:p w14:paraId="553AF426">
      <w:pPr>
        <w:suppressAutoHyphens/>
        <w:spacing w:before="120" w:line="288"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②信用信息查询渠道：中国政府采购网 “政府采购严重违法失信行为记录名单” 信用中国网：“失信被执行人”、“重大税收违法失信主体”  </w:t>
      </w:r>
    </w:p>
    <w:p w14:paraId="23B0FBB5">
      <w:pPr>
        <w:suppressAutoHyphens/>
        <w:spacing w:before="120" w:line="288" w:lineRule="auto"/>
        <w:ind w:firstLine="420" w:firstLineChars="200"/>
        <w:rPr>
          <w:rFonts w:ascii="Arial" w:hAnsi="Arial" w:cs="Arial"/>
          <w:color w:val="auto"/>
          <w:szCs w:val="21"/>
          <w:highlight w:val="none"/>
          <w:lang w:val="zh-CN"/>
        </w:rPr>
      </w:pPr>
      <w:r>
        <w:rPr>
          <w:rFonts w:ascii="Arial" w:hAnsi="Arial" w:cs="Arial"/>
          <w:color w:val="auto"/>
          <w:szCs w:val="21"/>
          <w:highlight w:val="none"/>
        </w:rPr>
        <w:t>③查询方式：广西政府采购云平台已与“信用中国”平台做接口，可直接在线查询。</w:t>
      </w:r>
    </w:p>
    <w:p w14:paraId="69ABEE31">
      <w:pPr>
        <w:suppressAutoHyphens/>
        <w:spacing w:before="120" w:line="288" w:lineRule="auto"/>
        <w:ind w:firstLine="442" w:firstLineChars="200"/>
        <w:rPr>
          <w:rFonts w:ascii="Arial" w:hAnsi="Arial" w:cs="Arial"/>
          <w:color w:val="auto"/>
          <w:kern w:val="0"/>
          <w:szCs w:val="21"/>
          <w:highlight w:val="none"/>
        </w:rPr>
      </w:pPr>
      <w:r>
        <w:rPr>
          <w:rFonts w:ascii="Arial" w:hAnsi="Arial" w:cs="Arial"/>
          <w:b/>
          <w:bCs/>
          <w:color w:val="auto"/>
          <w:sz w:val="22"/>
          <w:szCs w:val="22"/>
          <w:highlight w:val="none"/>
        </w:rPr>
        <w:t>1.6</w:t>
      </w:r>
      <w:r>
        <w:rPr>
          <w:rFonts w:ascii="Arial" w:hAnsi="Arial" w:cs="Arial"/>
          <w:b/>
          <w:bCs/>
          <w:color w:val="auto"/>
          <w:kern w:val="0"/>
          <w:sz w:val="22"/>
          <w:szCs w:val="22"/>
          <w:highlight w:val="none"/>
        </w:rPr>
        <w:t>供应商不得参加资格性审查的情形：</w:t>
      </w:r>
      <w:r>
        <w:rPr>
          <w:rFonts w:ascii="Arial" w:hAnsi="Arial" w:cs="Arial"/>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40931A9C">
      <w:pPr>
        <w:suppressAutoHyphens/>
        <w:spacing w:line="288" w:lineRule="auto"/>
        <w:ind w:firstLine="442" w:firstLineChars="200"/>
        <w:rPr>
          <w:rFonts w:ascii="Arial" w:hAnsi="Arial" w:cs="Arial"/>
          <w:color w:val="auto"/>
          <w:kern w:val="0"/>
          <w:szCs w:val="21"/>
          <w:highlight w:val="none"/>
        </w:rPr>
      </w:pPr>
      <w:r>
        <w:rPr>
          <w:rFonts w:ascii="Arial" w:hAnsi="Arial" w:cs="Arial"/>
          <w:b/>
          <w:bCs/>
          <w:color w:val="auto"/>
          <w:kern w:val="0"/>
          <w:sz w:val="22"/>
          <w:szCs w:val="22"/>
          <w:highlight w:val="none"/>
        </w:rPr>
        <w:t>1.7供应商满足特定资格条件的其他证明材料</w:t>
      </w:r>
      <w:r>
        <w:rPr>
          <w:rFonts w:ascii="Arial" w:hAnsi="Arial" w:cs="Arial"/>
          <w:color w:val="auto"/>
          <w:kern w:val="0"/>
          <w:sz w:val="22"/>
          <w:szCs w:val="22"/>
          <w:highlight w:val="none"/>
        </w:rPr>
        <w:t>：</w:t>
      </w:r>
      <w:r>
        <w:rPr>
          <w:rFonts w:ascii="Arial" w:hAnsi="Arial" w:cs="Arial"/>
          <w:color w:val="auto"/>
          <w:kern w:val="0"/>
          <w:szCs w:val="21"/>
          <w:highlight w:val="none"/>
        </w:rPr>
        <w:t>供应商根据招标文件要求提供</w:t>
      </w:r>
      <w:r>
        <w:rPr>
          <w:rFonts w:hint="eastAsia" w:ascii="Arial" w:hAnsi="Arial" w:cs="Arial"/>
          <w:color w:val="auto"/>
          <w:kern w:val="0"/>
          <w:szCs w:val="21"/>
          <w:highlight w:val="none"/>
        </w:rPr>
        <w:t>：</w:t>
      </w:r>
      <w:r>
        <w:rPr>
          <w:rFonts w:ascii="Arial" w:hAnsi="Arial" w:cs="Arial"/>
          <w:color w:val="auto"/>
          <w:kern w:val="0"/>
          <w:szCs w:val="21"/>
          <w:highlight w:val="none"/>
        </w:rPr>
        <w:t>①取得《医疗机构执业许可证》的临床检验检测中心、医学检验实验室（医学检验所）、病理诊断中心等。</w:t>
      </w:r>
    </w:p>
    <w:p w14:paraId="6F74C08A">
      <w:pPr>
        <w:suppressAutoHyphens/>
        <w:spacing w:line="288"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②</w:t>
      </w:r>
      <w:r>
        <w:rPr>
          <w:rFonts w:hint="eastAsia" w:ascii="Arial" w:hAnsi="Arial" w:cs="Arial"/>
          <w:color w:val="auto"/>
          <w:kern w:val="0"/>
          <w:szCs w:val="21"/>
          <w:highlight w:val="none"/>
          <w:lang w:eastAsia="zh-CN"/>
        </w:rPr>
        <w:t>应有参加省级及以上临床检验中心组织的室间质量评价，且室间质量评价成绩合格</w:t>
      </w:r>
      <w:r>
        <w:rPr>
          <w:rFonts w:ascii="Arial" w:hAnsi="Arial" w:cs="Arial"/>
          <w:color w:val="auto"/>
          <w:kern w:val="0"/>
          <w:szCs w:val="21"/>
          <w:highlight w:val="none"/>
        </w:rPr>
        <w:t>。</w:t>
      </w:r>
    </w:p>
    <w:p w14:paraId="367EC5A2">
      <w:pPr>
        <w:suppressAutoHyphens/>
        <w:spacing w:line="288" w:lineRule="auto"/>
        <w:ind w:firstLine="420" w:firstLineChars="200"/>
        <w:rPr>
          <w:rFonts w:hint="eastAsia" w:ascii="Arial" w:hAnsi="Arial" w:eastAsia="宋体" w:cs="Arial"/>
          <w:color w:val="auto"/>
          <w:kern w:val="0"/>
          <w:szCs w:val="21"/>
          <w:highlight w:val="none"/>
          <w:lang w:eastAsia="zh-CN"/>
        </w:rPr>
      </w:pPr>
      <w:r>
        <w:rPr>
          <w:rFonts w:ascii="Arial" w:hAnsi="Arial" w:cs="Arial"/>
          <w:color w:val="auto"/>
          <w:kern w:val="0"/>
          <w:szCs w:val="21"/>
          <w:highlight w:val="none"/>
        </w:rPr>
        <w:t>③</w:t>
      </w:r>
      <w:r>
        <w:rPr>
          <w:rFonts w:hint="eastAsia" w:ascii="Arial" w:hAnsi="Arial" w:cs="Arial"/>
          <w:color w:val="auto"/>
          <w:kern w:val="0"/>
          <w:szCs w:val="21"/>
          <w:highlight w:val="none"/>
          <w:lang w:eastAsia="zh-CN"/>
        </w:rPr>
        <w:t>涉及PCR检测项目的该机构需获得省级及以上《医疗机构临床基因扩增检验实验室技术审核合格证书》或其他有效证明资料</w:t>
      </w:r>
    </w:p>
    <w:p w14:paraId="38472682">
      <w:pPr>
        <w:spacing w:before="120" w:line="320" w:lineRule="atLeast"/>
        <w:ind w:firstLine="551" w:firstLineChars="196"/>
        <w:jc w:val="center"/>
        <w:outlineLvl w:val="1"/>
        <w:rPr>
          <w:rFonts w:ascii="Arial" w:hAnsi="Arial" w:cs="Arial"/>
          <w:b/>
          <w:bCs/>
          <w:color w:val="auto"/>
          <w:kern w:val="0"/>
          <w:sz w:val="28"/>
          <w:szCs w:val="28"/>
          <w:highlight w:val="none"/>
        </w:rPr>
      </w:pPr>
      <w:r>
        <w:rPr>
          <w:rFonts w:ascii="Arial" w:hAnsi="Arial" w:cs="Arial"/>
          <w:b/>
          <w:bCs/>
          <w:color w:val="auto"/>
          <w:kern w:val="0"/>
          <w:sz w:val="28"/>
          <w:szCs w:val="28"/>
          <w:highlight w:val="none"/>
        </w:rPr>
        <w:t>2、符合性检查</w:t>
      </w:r>
    </w:p>
    <w:p w14:paraId="10623E5C">
      <w:pPr>
        <w:spacing w:before="120" w:line="320" w:lineRule="atLeast"/>
        <w:ind w:firstLine="420" w:firstLineChars="200"/>
        <w:rPr>
          <w:rFonts w:ascii="Arial" w:hAnsi="Arial" w:cs="Arial"/>
          <w:color w:val="auto"/>
          <w:szCs w:val="21"/>
          <w:highlight w:val="none"/>
        </w:rPr>
      </w:pPr>
      <w:r>
        <w:rPr>
          <w:rFonts w:ascii="Arial" w:hAnsi="Arial" w:cs="Arial"/>
          <w:bCs/>
          <w:color w:val="auto"/>
          <w:kern w:val="1"/>
          <w:szCs w:val="21"/>
          <w:highlight w:val="none"/>
        </w:rPr>
        <w:t>资格审查结束后，由评标委员会对</w:t>
      </w:r>
      <w:r>
        <w:rPr>
          <w:rFonts w:ascii="Arial" w:hAnsi="Arial" w:cs="Arial"/>
          <w:color w:val="auto"/>
          <w:highlight w:val="none"/>
        </w:rPr>
        <w:t>通过资格审查的供应商的投标文件进行符合性审查，以确定其是否满足招标文件的实质性要求。</w:t>
      </w:r>
      <w:r>
        <w:rPr>
          <w:rFonts w:ascii="Arial" w:hAnsi="Arial" w:cs="Arial"/>
          <w:color w:val="auto"/>
          <w:szCs w:val="21"/>
          <w:highlight w:val="none"/>
        </w:rPr>
        <w:t>符合性检查表如下，缺少任何一项或有任何一项不合格者，其符合性检查视为不合格。</w:t>
      </w:r>
    </w:p>
    <w:p w14:paraId="41F82755">
      <w:pPr>
        <w:spacing w:before="120" w:line="288" w:lineRule="auto"/>
        <w:ind w:firstLine="482" w:firstLineChars="200"/>
        <w:rPr>
          <w:rFonts w:ascii="Arial" w:hAnsi="Arial" w:cs="Arial"/>
          <w:b/>
          <w:bCs/>
          <w:color w:val="auto"/>
          <w:kern w:val="0"/>
          <w:sz w:val="24"/>
          <w:highlight w:val="none"/>
        </w:rPr>
      </w:pPr>
      <w:r>
        <w:rPr>
          <w:rFonts w:ascii="Arial" w:hAnsi="Arial" w:cs="Arial"/>
          <w:b/>
          <w:bCs/>
          <w:color w:val="auto"/>
          <w:sz w:val="24"/>
          <w:highlight w:val="none"/>
        </w:rPr>
        <w:t>2.1</w:t>
      </w:r>
      <w:r>
        <w:rPr>
          <w:rFonts w:ascii="Arial" w:hAnsi="Arial" w:cs="Arial"/>
          <w:b/>
          <w:bCs/>
          <w:color w:val="auto"/>
          <w:kern w:val="0"/>
          <w:sz w:val="24"/>
          <w:highlight w:val="none"/>
        </w:rPr>
        <w:t>有效性审查</w:t>
      </w:r>
    </w:p>
    <w:p w14:paraId="78A6A087">
      <w:pPr>
        <w:spacing w:before="120" w:line="288" w:lineRule="auto"/>
        <w:ind w:firstLine="442" w:firstLineChars="200"/>
        <w:rPr>
          <w:rFonts w:ascii="Arial" w:hAnsi="Arial" w:cs="Arial"/>
          <w:color w:val="auto"/>
          <w:szCs w:val="21"/>
          <w:highlight w:val="none"/>
        </w:rPr>
      </w:pPr>
      <w:r>
        <w:rPr>
          <w:rFonts w:ascii="Arial" w:hAnsi="Arial" w:cs="Arial"/>
          <w:b/>
          <w:bCs/>
          <w:color w:val="auto"/>
          <w:kern w:val="0"/>
          <w:sz w:val="22"/>
          <w:szCs w:val="22"/>
          <w:highlight w:val="none"/>
        </w:rPr>
        <w:t>2.1.1</w:t>
      </w:r>
      <w:r>
        <w:rPr>
          <w:rFonts w:ascii="Arial" w:hAnsi="Arial" w:cs="Arial"/>
          <w:b/>
          <w:bCs/>
          <w:color w:val="auto"/>
          <w:sz w:val="22"/>
          <w:szCs w:val="22"/>
          <w:highlight w:val="none"/>
        </w:rPr>
        <w:t>投标文件签署</w:t>
      </w:r>
      <w:r>
        <w:rPr>
          <w:rFonts w:ascii="Arial" w:hAnsi="Arial" w:cs="Arial"/>
          <w:color w:val="auto"/>
          <w:sz w:val="22"/>
          <w:szCs w:val="22"/>
          <w:highlight w:val="none"/>
        </w:rPr>
        <w:t>：</w:t>
      </w:r>
      <w:r>
        <w:rPr>
          <w:rFonts w:ascii="Arial" w:hAnsi="Arial" w:cs="Arial"/>
          <w:color w:val="auto"/>
          <w:szCs w:val="21"/>
          <w:highlight w:val="none"/>
        </w:rPr>
        <w:t>投标文件上法定代表人或其授权代表人已按要求签字盖章。</w:t>
      </w:r>
    </w:p>
    <w:p w14:paraId="55FDB976">
      <w:pPr>
        <w:spacing w:before="120" w:line="288" w:lineRule="auto"/>
        <w:ind w:firstLine="442" w:firstLineChars="200"/>
        <w:rPr>
          <w:rFonts w:ascii="Arial" w:hAnsi="Arial" w:cs="Arial"/>
          <w:color w:val="auto"/>
          <w:szCs w:val="21"/>
          <w:highlight w:val="none"/>
        </w:rPr>
      </w:pPr>
      <w:r>
        <w:rPr>
          <w:rFonts w:ascii="Arial" w:hAnsi="Arial" w:cs="Arial"/>
          <w:b/>
          <w:bCs/>
          <w:color w:val="auto"/>
          <w:kern w:val="0"/>
          <w:sz w:val="22"/>
          <w:szCs w:val="22"/>
          <w:highlight w:val="none"/>
        </w:rPr>
        <w:t>2.1.2法定代表人身份证明及授权委托书：</w:t>
      </w:r>
      <w:r>
        <w:rPr>
          <w:rFonts w:ascii="Arial" w:hAnsi="Arial" w:cs="Arial"/>
          <w:color w:val="auto"/>
          <w:szCs w:val="21"/>
          <w:highlight w:val="none"/>
        </w:rPr>
        <w:t>供应商无授权代表时审查：法定代表人身份证明及附件，格式及附件见第六章投标文件格式要求；供应商有授权代表时审查：法定代表人授权委托书及附件，格式及附件见第六章投标文件格式要求；法定代表人身份证明及授权委托书须有效，符合招标文件规定的格式，签字或盖章齐全。</w:t>
      </w:r>
    </w:p>
    <w:p w14:paraId="6FEAC77B">
      <w:pPr>
        <w:spacing w:before="120" w:line="288" w:lineRule="auto"/>
        <w:ind w:firstLine="442" w:firstLineChars="200"/>
        <w:rPr>
          <w:rFonts w:ascii="Arial" w:hAnsi="Arial" w:cs="Arial"/>
          <w:color w:val="auto"/>
          <w:szCs w:val="21"/>
          <w:highlight w:val="none"/>
        </w:rPr>
      </w:pPr>
      <w:r>
        <w:rPr>
          <w:rFonts w:ascii="Arial" w:hAnsi="Arial" w:cs="Arial"/>
          <w:b/>
          <w:bCs/>
          <w:color w:val="auto"/>
          <w:kern w:val="0"/>
          <w:sz w:val="22"/>
          <w:szCs w:val="22"/>
          <w:highlight w:val="none"/>
        </w:rPr>
        <w:t>2.1.3投标文件或者投标报价唯一性：</w:t>
      </w:r>
      <w:r>
        <w:rPr>
          <w:rFonts w:ascii="Arial" w:hAnsi="Arial" w:cs="Arial"/>
          <w:color w:val="auto"/>
          <w:highlight w:val="none"/>
        </w:rPr>
        <w:t>同</w:t>
      </w:r>
      <w:r>
        <w:rPr>
          <w:rFonts w:ascii="Arial" w:hAnsi="Arial" w:cs="Arial"/>
          <w:color w:val="auto"/>
          <w:szCs w:val="21"/>
          <w:highlight w:val="none"/>
        </w:rPr>
        <w:t>一供应商不得提交两个以上不同的投标文件或者投标报价，但招标文件要求提交备选投标的除外。</w:t>
      </w:r>
    </w:p>
    <w:p w14:paraId="6F5253C4">
      <w:pPr>
        <w:spacing w:before="120" w:line="288" w:lineRule="auto"/>
        <w:ind w:firstLine="442" w:firstLineChars="200"/>
        <w:rPr>
          <w:rFonts w:ascii="Arial" w:hAnsi="Arial" w:cs="Arial"/>
          <w:color w:val="auto"/>
          <w:szCs w:val="21"/>
          <w:highlight w:val="none"/>
        </w:rPr>
      </w:pPr>
      <w:r>
        <w:rPr>
          <w:rFonts w:ascii="Arial" w:hAnsi="Arial" w:cs="Arial"/>
          <w:b/>
          <w:bCs/>
          <w:color w:val="auto"/>
          <w:kern w:val="0"/>
          <w:sz w:val="22"/>
          <w:szCs w:val="22"/>
          <w:highlight w:val="none"/>
        </w:rPr>
        <w:t>2.1.4投标报价：</w:t>
      </w:r>
      <w:r>
        <w:rPr>
          <w:rFonts w:ascii="Arial" w:hAnsi="Arial" w:cs="Arial"/>
          <w:color w:val="auto"/>
          <w:szCs w:val="21"/>
          <w:highlight w:val="none"/>
        </w:rPr>
        <w:t>报价超出采购预算金额或最高限价（如有）或</w:t>
      </w:r>
      <w:r>
        <w:rPr>
          <w:rFonts w:ascii="Arial" w:hAnsi="Arial" w:cs="Arial"/>
          <w:b/>
          <w:bCs/>
          <w:color w:val="auto"/>
          <w:kern w:val="0"/>
          <w:szCs w:val="21"/>
          <w:highlight w:val="none"/>
          <w:lang w:bidi="ar"/>
        </w:rPr>
        <w:t>单项</w:t>
      </w:r>
      <w:r>
        <w:rPr>
          <w:rFonts w:hint="eastAsia" w:ascii="Arial" w:hAnsi="Arial" w:cs="Arial"/>
          <w:b/>
          <w:bCs/>
          <w:color w:val="auto"/>
          <w:kern w:val="0"/>
          <w:szCs w:val="21"/>
          <w:highlight w:val="none"/>
          <w:lang w:bidi="ar"/>
        </w:rPr>
        <w:t>最高限价</w:t>
      </w:r>
      <w:r>
        <w:rPr>
          <w:rFonts w:ascii="Arial" w:hAnsi="Arial" w:cs="Arial"/>
          <w:color w:val="auto"/>
          <w:szCs w:val="21"/>
          <w:highlight w:val="none"/>
        </w:rPr>
        <w:t>（如有）的，否决其投标</w:t>
      </w:r>
      <w:r>
        <w:rPr>
          <w:rFonts w:ascii="Arial" w:hAnsi="Arial" w:cs="Arial"/>
          <w:color w:val="auto"/>
          <w:highlight w:val="none"/>
        </w:rPr>
        <w:t>。</w:t>
      </w:r>
      <w:r>
        <w:rPr>
          <w:rFonts w:ascii="Arial" w:hAnsi="Arial" w:cs="Arial"/>
          <w:color w:val="auto"/>
          <w:szCs w:val="21"/>
          <w:highlight w:val="none"/>
        </w:rPr>
        <w:t>提交选择性报价的，否决其投标。</w:t>
      </w:r>
    </w:p>
    <w:p w14:paraId="2DBE2E92">
      <w:pPr>
        <w:spacing w:before="120" w:line="288" w:lineRule="auto"/>
        <w:ind w:firstLine="442" w:firstLineChars="200"/>
        <w:rPr>
          <w:rFonts w:ascii="Arial" w:hAnsi="Arial" w:cs="Arial"/>
          <w:b/>
          <w:bCs/>
          <w:color w:val="auto"/>
          <w:kern w:val="0"/>
          <w:sz w:val="22"/>
          <w:szCs w:val="22"/>
          <w:highlight w:val="none"/>
        </w:rPr>
      </w:pPr>
      <w:r>
        <w:rPr>
          <w:rFonts w:ascii="Arial" w:hAnsi="Arial" w:cs="Arial"/>
          <w:b/>
          <w:bCs/>
          <w:color w:val="auto"/>
          <w:sz w:val="22"/>
          <w:szCs w:val="22"/>
          <w:highlight w:val="none"/>
        </w:rPr>
        <w:t>2.2</w:t>
      </w:r>
      <w:r>
        <w:rPr>
          <w:rFonts w:ascii="Arial" w:hAnsi="Arial" w:cs="Arial"/>
          <w:b/>
          <w:bCs/>
          <w:color w:val="auto"/>
          <w:kern w:val="0"/>
          <w:sz w:val="22"/>
          <w:szCs w:val="22"/>
          <w:highlight w:val="none"/>
        </w:rPr>
        <w:t>完整性审查</w:t>
      </w:r>
    </w:p>
    <w:p w14:paraId="132A38F2">
      <w:pPr>
        <w:spacing w:before="120" w:line="320" w:lineRule="atLeast"/>
        <w:ind w:firstLine="433" w:firstLineChars="196"/>
        <w:outlineLvl w:val="1"/>
        <w:rPr>
          <w:rFonts w:ascii="Arial" w:hAnsi="Arial" w:cs="Arial"/>
          <w:b/>
          <w:bCs/>
          <w:color w:val="auto"/>
          <w:kern w:val="0"/>
          <w:szCs w:val="21"/>
          <w:highlight w:val="none"/>
        </w:rPr>
      </w:pPr>
      <w:r>
        <w:rPr>
          <w:rFonts w:ascii="Arial" w:hAnsi="Arial" w:cs="Arial"/>
          <w:b/>
          <w:bCs/>
          <w:color w:val="auto"/>
          <w:kern w:val="0"/>
          <w:sz w:val="22"/>
          <w:szCs w:val="22"/>
          <w:highlight w:val="none"/>
        </w:rPr>
        <w:t>对招标文件的响应程度审查：</w:t>
      </w:r>
      <w:r>
        <w:rPr>
          <w:rFonts w:ascii="Arial" w:hAnsi="Arial" w:cs="Arial"/>
          <w:color w:val="auto"/>
          <w:kern w:val="0"/>
          <w:szCs w:val="21"/>
          <w:highlight w:val="none"/>
        </w:rPr>
        <w:t>（1）</w:t>
      </w:r>
      <w:r>
        <w:rPr>
          <w:rFonts w:ascii="Arial" w:hAnsi="Arial" w:cs="Arial"/>
          <w:color w:val="auto"/>
          <w:szCs w:val="21"/>
          <w:highlight w:val="none"/>
          <w:lang w:val="zh-CN"/>
        </w:rPr>
        <w:t>实质性条款响应：对招标文件中所有标注▲号的实质性条款要求响应均无负偏离。（</w:t>
      </w:r>
      <w:r>
        <w:rPr>
          <w:rFonts w:ascii="Arial" w:hAnsi="Arial" w:cs="Arial"/>
          <w:color w:val="auto"/>
          <w:szCs w:val="21"/>
          <w:highlight w:val="none"/>
        </w:rPr>
        <w:t>2</w:t>
      </w:r>
      <w:r>
        <w:rPr>
          <w:rFonts w:ascii="Arial" w:hAnsi="Arial" w:cs="Arial"/>
          <w:color w:val="auto"/>
          <w:szCs w:val="21"/>
          <w:highlight w:val="none"/>
          <w:lang w:val="zh-CN"/>
        </w:rPr>
        <w:t>）</w:t>
      </w:r>
      <w:r>
        <w:rPr>
          <w:rFonts w:ascii="Arial" w:hAnsi="Arial" w:cs="Arial"/>
          <w:color w:val="auto"/>
          <w:szCs w:val="21"/>
          <w:highlight w:val="none"/>
        </w:rPr>
        <w:t>投标有效期：满足招标文件规定。</w:t>
      </w:r>
    </w:p>
    <w:p w14:paraId="44E3B442">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3、串通投标的认定</w:t>
      </w:r>
    </w:p>
    <w:p w14:paraId="5F26FE97">
      <w:pPr>
        <w:spacing w:before="120" w:line="320" w:lineRule="atLeast"/>
        <w:ind w:firstLine="420" w:firstLineChars="200"/>
        <w:rPr>
          <w:rFonts w:ascii="Arial" w:hAnsi="Arial" w:cs="Arial"/>
          <w:color w:val="auto"/>
          <w:highlight w:val="none"/>
        </w:rPr>
      </w:pPr>
      <w:r>
        <w:rPr>
          <w:rFonts w:ascii="Arial" w:hAnsi="Arial" w:cs="Arial"/>
          <w:color w:val="auto"/>
          <w:highlight w:val="none"/>
        </w:rPr>
        <w:t>评标委员会须根据以下规定评审</w:t>
      </w:r>
      <w:r>
        <w:rPr>
          <w:rFonts w:ascii="Arial" w:hAnsi="Arial" w:cs="Arial"/>
          <w:bCs/>
          <w:color w:val="auto"/>
          <w:kern w:val="0"/>
          <w:szCs w:val="21"/>
          <w:highlight w:val="none"/>
        </w:rPr>
        <w:t>供应商是否有串通投标的行为，并按规定判定投标是否有效</w:t>
      </w:r>
      <w:r>
        <w:rPr>
          <w:rFonts w:ascii="Arial" w:hAnsi="Arial" w:cs="Arial"/>
          <w:color w:val="auto"/>
          <w:highlight w:val="none"/>
        </w:rPr>
        <w:t>。</w:t>
      </w:r>
    </w:p>
    <w:p w14:paraId="59C92FD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（1）根据桂财采[2016]42号《关于防治政府采购招标中串通投标行为的通知》规定，出现下述情况的，相关供应商的投标作无效投标处理。</w:t>
      </w:r>
    </w:p>
    <w:p w14:paraId="0F9DD63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①单位负责人为同一人或者存在直接控股、管理关系，参加同一合同项下政府采购活动的不同供应商。</w:t>
      </w:r>
    </w:p>
    <w:p w14:paraId="08E973E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②授权给供应商后参加同一合同项（分标、分包）投标的生产厂商。</w:t>
      </w:r>
    </w:p>
    <w:p w14:paraId="7F513CD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③视为或被认定为串通投标的相关供应商。</w:t>
      </w:r>
    </w:p>
    <w:p w14:paraId="23FE3FA9">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（2）根据桂财采[2016]42号《关于防治政府采购招标中串通投标行为的通知》规定，有下列情形之一的视为供应商相互串通投标，投标文件将被视为无效。</w:t>
      </w:r>
    </w:p>
    <w:p w14:paraId="1C0ACAD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①不同供应商的投标文件由同一单位或者个人编制；</w:t>
      </w:r>
    </w:p>
    <w:p w14:paraId="651A87A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②不同供应商委托同一单位或者个人办理投标事宜；</w:t>
      </w:r>
    </w:p>
    <w:p w14:paraId="27C7CED1">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③不同的供应商的投标文件载明的项目管理员为同一个人；</w:t>
      </w:r>
    </w:p>
    <w:p w14:paraId="3AF1145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④不同供应商的投标文件异常一致或投标报价呈规律性差异；</w:t>
      </w:r>
    </w:p>
    <w:p w14:paraId="1BE6DEC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⑤不同供应商的投标文件相互混装；</w:t>
      </w:r>
    </w:p>
    <w:p w14:paraId="2B2D81B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（3）根据桂财采[2016]42号《关于防治政府采购招标中串通投标行为的通知》规定，供应商有下列情形之一的，属于恶意串通行为，投标文件将被视为无效。</w:t>
      </w:r>
    </w:p>
    <w:p w14:paraId="1DE779C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①供应商直接或者间接从采购人或者采购代理机构处获得其他供应商的相关信息并修改其投标文件或者</w:t>
      </w:r>
      <w:r>
        <w:rPr>
          <w:rFonts w:hint="eastAsia" w:ascii="Arial" w:hAnsi="Arial" w:cs="Arial"/>
          <w:color w:val="auto"/>
          <w:szCs w:val="21"/>
          <w:highlight w:val="none"/>
        </w:rPr>
        <w:t>投标文件</w:t>
      </w:r>
      <w:r>
        <w:rPr>
          <w:rFonts w:ascii="Arial" w:hAnsi="Arial" w:cs="Arial"/>
          <w:color w:val="auto"/>
          <w:szCs w:val="21"/>
          <w:highlight w:val="none"/>
        </w:rPr>
        <w:t>；</w:t>
      </w:r>
    </w:p>
    <w:p w14:paraId="072F0BD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②供应商按照采购人或者采购代理机构的授意撤换、修改投标文件或者</w:t>
      </w:r>
      <w:r>
        <w:rPr>
          <w:rFonts w:hint="eastAsia" w:ascii="Arial" w:hAnsi="Arial" w:cs="Arial"/>
          <w:color w:val="auto"/>
          <w:szCs w:val="21"/>
          <w:highlight w:val="none"/>
        </w:rPr>
        <w:t>投标文件</w:t>
      </w:r>
      <w:r>
        <w:rPr>
          <w:rFonts w:ascii="Arial" w:hAnsi="Arial" w:cs="Arial"/>
          <w:color w:val="auto"/>
          <w:szCs w:val="21"/>
          <w:highlight w:val="none"/>
        </w:rPr>
        <w:t>;；</w:t>
      </w:r>
    </w:p>
    <w:p w14:paraId="1982C6EF">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③供应商之间协商报价、技术方案等投标文件或者</w:t>
      </w:r>
      <w:r>
        <w:rPr>
          <w:rFonts w:hint="eastAsia" w:ascii="Arial" w:hAnsi="Arial" w:cs="Arial"/>
          <w:color w:val="auto"/>
          <w:szCs w:val="21"/>
          <w:highlight w:val="none"/>
        </w:rPr>
        <w:t>投标文件</w:t>
      </w:r>
      <w:r>
        <w:rPr>
          <w:rFonts w:ascii="Arial" w:hAnsi="Arial" w:cs="Arial"/>
          <w:color w:val="auto"/>
          <w:szCs w:val="21"/>
          <w:highlight w:val="none"/>
        </w:rPr>
        <w:t>的实质性内容；</w:t>
      </w:r>
    </w:p>
    <w:p w14:paraId="6983C8D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④属于同一集团、协会、商会等组织成员的供应商按照该组织要求协同参加政府采购活动；</w:t>
      </w:r>
    </w:p>
    <w:p w14:paraId="5DE8ACF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0F1B8042">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⑥供应商之间商定部分供应商放弃参加政府采购活动或者放弃中标；</w:t>
      </w:r>
    </w:p>
    <w:p w14:paraId="071479F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⑦供应商与采购人或者采购代理机构之间、供应商相互之间，为谋求特定供应商中标或者排斥其他供应商的其他串通行为。</w:t>
      </w:r>
    </w:p>
    <w:p w14:paraId="1229053D">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4、投标有效性的认定</w:t>
      </w:r>
    </w:p>
    <w:p w14:paraId="44E31B4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（1）资格审查时，如发现下列情形之一的，投标文件将被视为无效：</w:t>
      </w:r>
    </w:p>
    <w:p w14:paraId="05076454">
      <w:pPr>
        <w:spacing w:before="120" w:line="320" w:lineRule="atLeast"/>
        <w:ind w:firstLine="420" w:firstLineChars="200"/>
        <w:rPr>
          <w:rStyle w:val="97"/>
          <w:rFonts w:ascii="Arial" w:hAnsi="Arial" w:cs="Arial"/>
          <w:color w:val="auto"/>
          <w:highlight w:val="none"/>
        </w:rPr>
      </w:pPr>
      <w:r>
        <w:rPr>
          <w:rFonts w:ascii="Arial" w:hAnsi="Arial" w:cs="Arial"/>
          <w:color w:val="auto"/>
          <w:szCs w:val="21"/>
          <w:highlight w:val="none"/>
        </w:rPr>
        <w:t>①</w:t>
      </w:r>
      <w:r>
        <w:rPr>
          <w:rFonts w:ascii="Arial" w:hAnsi="Arial" w:cs="Arial"/>
          <w:color w:val="auto"/>
          <w:highlight w:val="none"/>
        </w:rPr>
        <w:t>不具备招标文件中规定的资格要求的；</w:t>
      </w:r>
    </w:p>
    <w:p w14:paraId="7FB0060B">
      <w:pPr>
        <w:spacing w:before="120" w:line="320" w:lineRule="atLeast"/>
        <w:ind w:firstLine="420" w:firstLineChars="200"/>
        <w:rPr>
          <w:rStyle w:val="97"/>
          <w:rFonts w:ascii="Arial" w:hAnsi="Arial" w:cs="Arial"/>
          <w:color w:val="auto"/>
          <w:szCs w:val="21"/>
          <w:highlight w:val="none"/>
        </w:rPr>
      </w:pPr>
      <w:r>
        <w:rPr>
          <w:rFonts w:ascii="Arial" w:hAnsi="Arial" w:cs="Arial"/>
          <w:color w:val="auto"/>
          <w:szCs w:val="21"/>
          <w:highlight w:val="none"/>
        </w:rPr>
        <w:t>②投标文件签署（签名）、盖章不符合招标文件要求的</w:t>
      </w:r>
      <w:r>
        <w:rPr>
          <w:rFonts w:ascii="Arial" w:hAnsi="Arial" w:cs="Arial"/>
          <w:color w:val="auto"/>
          <w:highlight w:val="none"/>
        </w:rPr>
        <w:t>；</w:t>
      </w:r>
    </w:p>
    <w:p w14:paraId="7B055AB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（2）在符合性审查、商务和技术评估时，如发现下列情形之一的，投标文件将被视为无效：</w:t>
      </w:r>
    </w:p>
    <w:p w14:paraId="032AF389">
      <w:pPr>
        <w:spacing w:before="120" w:line="320" w:lineRule="atLeast"/>
        <w:ind w:firstLine="420" w:firstLineChars="200"/>
        <w:rPr>
          <w:rFonts w:ascii="Arial" w:hAnsi="Arial" w:cs="Arial"/>
          <w:color w:val="auto"/>
          <w:highlight w:val="none"/>
        </w:rPr>
      </w:pPr>
      <w:r>
        <w:rPr>
          <w:rFonts w:ascii="Arial" w:hAnsi="Arial" w:cs="Arial"/>
          <w:color w:val="auto"/>
          <w:szCs w:val="21"/>
          <w:highlight w:val="none"/>
        </w:rPr>
        <w:t>①</w:t>
      </w:r>
      <w:r>
        <w:rPr>
          <w:rFonts w:ascii="Arial" w:hAnsi="Arial" w:cs="Arial"/>
          <w:color w:val="auto"/>
          <w:highlight w:val="none"/>
        </w:rPr>
        <w:t>投标文件未按招标文件要求签署、盖章的；</w:t>
      </w:r>
    </w:p>
    <w:p w14:paraId="7288EE3B">
      <w:pPr>
        <w:spacing w:before="120" w:line="320" w:lineRule="atLeast"/>
        <w:ind w:firstLine="420" w:firstLineChars="200"/>
        <w:rPr>
          <w:rStyle w:val="97"/>
          <w:rFonts w:ascii="Arial" w:hAnsi="Arial" w:cs="Arial"/>
          <w:color w:val="auto"/>
          <w:highlight w:val="none"/>
        </w:rPr>
      </w:pPr>
      <w:r>
        <w:rPr>
          <w:rFonts w:ascii="Arial" w:hAnsi="Arial" w:cs="Arial"/>
          <w:color w:val="auto"/>
          <w:szCs w:val="21"/>
          <w:highlight w:val="none"/>
        </w:rPr>
        <w:t>②</w:t>
      </w:r>
      <w:r>
        <w:rPr>
          <w:rFonts w:ascii="Arial" w:hAnsi="Arial" w:cs="Arial"/>
          <w:color w:val="auto"/>
          <w:highlight w:val="none"/>
        </w:rPr>
        <w:t>投标文件未按招标文件要求提供第六章要求“必须提供”的内容的；</w:t>
      </w:r>
    </w:p>
    <w:p w14:paraId="5DA833ED">
      <w:pPr>
        <w:spacing w:before="120" w:line="320" w:lineRule="atLeast"/>
        <w:ind w:firstLine="420" w:firstLineChars="200"/>
        <w:rPr>
          <w:rStyle w:val="97"/>
          <w:rFonts w:ascii="Arial" w:hAnsi="Arial" w:cs="Arial"/>
          <w:color w:val="auto"/>
          <w:highlight w:val="none"/>
        </w:rPr>
      </w:pPr>
      <w:r>
        <w:rPr>
          <w:rFonts w:ascii="Arial" w:hAnsi="Arial" w:cs="Arial"/>
          <w:color w:val="auto"/>
          <w:szCs w:val="21"/>
          <w:highlight w:val="none"/>
        </w:rPr>
        <w:t>③</w:t>
      </w:r>
      <w:r>
        <w:rPr>
          <w:rFonts w:ascii="Arial" w:hAnsi="Arial" w:cs="Arial"/>
          <w:color w:val="auto"/>
          <w:highlight w:val="none"/>
        </w:rPr>
        <w:t>报价超过招标文件中规定的预算金额或者最高限价的；</w:t>
      </w:r>
    </w:p>
    <w:p w14:paraId="1DCDCA4C">
      <w:pPr>
        <w:spacing w:before="120" w:line="320" w:lineRule="atLeast"/>
        <w:ind w:firstLine="420" w:firstLineChars="200"/>
        <w:rPr>
          <w:rFonts w:ascii="Arial" w:hAnsi="Arial" w:cs="Arial"/>
          <w:color w:val="auto"/>
          <w:highlight w:val="none"/>
        </w:rPr>
      </w:pPr>
      <w:r>
        <w:rPr>
          <w:rFonts w:ascii="Arial" w:hAnsi="Arial" w:cs="Arial"/>
          <w:color w:val="auto"/>
          <w:szCs w:val="21"/>
          <w:highlight w:val="none"/>
        </w:rPr>
        <w:t>④</w:t>
      </w:r>
      <w:r>
        <w:rPr>
          <w:rFonts w:ascii="Arial" w:hAnsi="Arial" w:cs="Arial"/>
          <w:color w:val="auto"/>
          <w:highlight w:val="none"/>
        </w:rPr>
        <w:t>投标文件含有采购人不能接受的附加条件的；</w:t>
      </w:r>
    </w:p>
    <w:p w14:paraId="3F67966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⑤评审过程中发现投标文件中提供虚假材料的；</w:t>
      </w:r>
    </w:p>
    <w:p w14:paraId="1E4B8FC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⑥法律、法规和招标文件规定的其他无效情形。</w:t>
      </w:r>
    </w:p>
    <w:p w14:paraId="3D9172CE">
      <w:pPr>
        <w:spacing w:before="120" w:line="320" w:lineRule="atLeast"/>
        <w:ind w:firstLine="422" w:firstLineChars="200"/>
        <w:rPr>
          <w:rFonts w:ascii="Arial" w:hAnsi="Arial" w:cs="Arial"/>
          <w:b/>
          <w:bCs/>
          <w:color w:val="auto"/>
          <w:szCs w:val="21"/>
          <w:highlight w:val="none"/>
        </w:rPr>
      </w:pPr>
      <w:r>
        <w:rPr>
          <w:rFonts w:ascii="Arial" w:hAnsi="Arial" w:cs="Arial"/>
          <w:b/>
          <w:bCs/>
          <w:color w:val="auto"/>
          <w:szCs w:val="21"/>
          <w:highlight w:val="none"/>
        </w:rPr>
        <w:t>（3）根据财库〔2019〕38号《关于促进政府采购公平竞争优化营商环境的通知》以及桂财采〔2019〕41号 《广西壮族自治区财政厅转发财政部关于促进政府采购公平竞争优化营商环境的通知》规定，评标委员会认定投标有效性时不得因装订、纸张、文件排序等非实质性的格式、形式问题否决投标，从而限制和影响供应商投标（响应）。</w:t>
      </w:r>
    </w:p>
    <w:p w14:paraId="6CF80822">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5、澄清、说明或补正</w:t>
      </w:r>
    </w:p>
    <w:p w14:paraId="7E8F4BE1">
      <w:pPr>
        <w:spacing w:before="120" w:line="320" w:lineRule="atLeast"/>
        <w:ind w:firstLine="420" w:firstLineChars="200"/>
        <w:rPr>
          <w:rFonts w:ascii="Arial" w:hAnsi="Arial" w:cs="Arial"/>
          <w:color w:val="auto"/>
          <w:szCs w:val="21"/>
          <w:highlight w:val="none"/>
        </w:rPr>
      </w:pPr>
      <w:bookmarkStart w:id="71" w:name="_Hlk19113333"/>
      <w:r>
        <w:rPr>
          <w:rFonts w:ascii="Arial" w:hAnsi="Arial" w:cs="Arial"/>
          <w:color w:val="auto"/>
          <w:szCs w:val="21"/>
          <w:highlight w:val="none"/>
        </w:rPr>
        <w:t>对投标文件中含义不明确、同类问题表述不一致或者有明显文字和计算错误的内容，评标委员会可要求供应商在合理时间内通过在线询标、电话、电子邮件或传真等不见面、不接触的方式作出必要的澄清、说明或者纠正。内容不得超出投标文件的范围或者改变投标文件的实质性内容。逾期未做澄清、说明或者纠正的，经电话催告仍不澄清的，视为放弃。</w:t>
      </w:r>
    </w:p>
    <w:bookmarkEnd w:id="71"/>
    <w:p w14:paraId="279C50CA">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6、报价修正</w:t>
      </w:r>
    </w:p>
    <w:p w14:paraId="4A89181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投标文件报价如果出现计算或表达上的错误，修正错误的原则如下：</w:t>
      </w:r>
    </w:p>
    <w:p w14:paraId="2635C125">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（1）投标文件中开标一览表（报价表）内容与投标文件中相应内容不一致的，以开标一览表（报价表）为准；</w:t>
      </w:r>
    </w:p>
    <w:p w14:paraId="3D5E6D6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（2）大写金额和小写金额不一致的，以大写金额为准；</w:t>
      </w:r>
    </w:p>
    <w:p w14:paraId="06C92D4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（3）单价金额小数点或者百分比有明显错位的，以开标一览表的总价为准，并修改单价；</w:t>
      </w:r>
    </w:p>
    <w:p w14:paraId="31BD429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（4）总价金额与按单价汇总金额不一致的，以单价金额计算结果为准。</w:t>
      </w:r>
    </w:p>
    <w:p w14:paraId="463C30B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同时出现两种以上不一致的，按照上述顺序修正。修正后的报价按照上述“5、澄清、说明或补正”的规定经供应商确认后产生约束力，供应商不确认的，其投标无效。</w:t>
      </w:r>
    </w:p>
    <w:p w14:paraId="78B135F5">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7、过低报价合理性的审查</w:t>
      </w:r>
    </w:p>
    <w:p w14:paraId="6D0B2F6C">
      <w:pPr>
        <w:spacing w:before="120" w:line="320" w:lineRule="atLeast"/>
        <w:ind w:firstLine="420" w:firstLineChars="200"/>
        <w:rPr>
          <w:rFonts w:ascii="Arial" w:hAnsi="Arial" w:cs="Arial"/>
          <w:b/>
          <w:bCs/>
          <w:color w:val="auto"/>
          <w:szCs w:val="21"/>
          <w:highlight w:val="none"/>
        </w:rPr>
      </w:pPr>
      <w:r>
        <w:rPr>
          <w:rFonts w:hint="eastAsia"/>
          <w:color w:val="auto"/>
          <w:highlight w:val="none"/>
        </w:rPr>
        <w:t>投标人的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eastAsia="zh-CN"/>
        </w:rPr>
        <w:t>的</w:t>
      </w:r>
      <w:r>
        <w:rPr>
          <w:rFonts w:hint="eastAsia"/>
          <w:color w:val="auto"/>
          <w:highlight w:val="none"/>
          <w:lang w:val="en-US" w:eastAsia="zh-CN"/>
        </w:rPr>
        <w:t>情形，评审委员会</w:t>
      </w:r>
      <w:r>
        <w:rPr>
          <w:rFonts w:hint="eastAsia"/>
          <w:color w:val="auto"/>
          <w:szCs w:val="21"/>
          <w:highlight w:val="none"/>
        </w:rPr>
        <w:t>应当要求其在评标现场合理的时间内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rPr>
        <w:t>投标人不能证明其报价合理性的，</w:t>
      </w:r>
      <w:r>
        <w:rPr>
          <w:rFonts w:hint="eastAsia"/>
          <w:color w:val="auto"/>
          <w:highlight w:val="none"/>
          <w:lang w:eastAsia="zh-CN"/>
        </w:rPr>
        <w:t>评审委员会</w:t>
      </w:r>
      <w:r>
        <w:rPr>
          <w:rFonts w:hint="eastAsia"/>
          <w:color w:val="auto"/>
          <w:highlight w:val="none"/>
        </w:rPr>
        <w:t>应当将其作为无效投标处理。</w:t>
      </w:r>
    </w:p>
    <w:p w14:paraId="3CE8C145">
      <w:pPr>
        <w:spacing w:before="120" w:line="320" w:lineRule="atLeast"/>
        <w:ind w:firstLine="420" w:firstLineChars="200"/>
        <w:rPr>
          <w:rFonts w:ascii="Arial" w:hAnsi="Arial" w:cs="Arial"/>
          <w:color w:val="auto"/>
          <w:highlight w:val="none"/>
        </w:rPr>
      </w:pPr>
      <w:r>
        <w:rPr>
          <w:rFonts w:ascii="Arial" w:hAnsi="Arial" w:cs="Arial"/>
          <w:color w:val="auto"/>
          <w:highlight w:val="none"/>
        </w:rPr>
        <w:t>报价合理性书面说明应当有签字或盖章确认，供应商为法人的，由其法定代表人或者授权代表签名或盖章确认；供应商为其他组织的，由其主要负责人或者授权代表签名或盖章确认；供应商为自然人的，由其本人或者授权代表签名或盖章确认。</w:t>
      </w:r>
    </w:p>
    <w:p w14:paraId="5B20E99C">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8、商务和技术评估、综合比较与评价</w:t>
      </w:r>
    </w:p>
    <w:p w14:paraId="78B7135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评标委员会按招标文件中规定的评标方法和标准，对资格审查和符合性审查合格的投标文件进行商务和技术评估，综合比较与评价。</w:t>
      </w:r>
      <w:r>
        <w:rPr>
          <w:rStyle w:val="97"/>
          <w:rFonts w:ascii="Arial" w:hAnsi="Arial" w:cs="Arial"/>
          <w:color w:val="auto"/>
          <w:highlight w:val="none"/>
        </w:rPr>
        <w:t>具体评标标准见《</w:t>
      </w:r>
      <w:r>
        <w:rPr>
          <w:rFonts w:ascii="Arial" w:hAnsi="Arial" w:cs="Arial"/>
          <w:bCs/>
          <w:color w:val="auto"/>
          <w:kern w:val="0"/>
          <w:szCs w:val="21"/>
          <w:highlight w:val="none"/>
        </w:rPr>
        <w:t>评分表</w:t>
      </w:r>
      <w:r>
        <w:rPr>
          <w:rStyle w:val="97"/>
          <w:rFonts w:ascii="Arial" w:hAnsi="Arial" w:cs="Arial"/>
          <w:color w:val="auto"/>
          <w:highlight w:val="none"/>
        </w:rPr>
        <w:t>》。</w:t>
      </w:r>
    </w:p>
    <w:p w14:paraId="0A4A355D">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评标委员会各成员独立对每个有效供应商的投标文件进行评价、打分，然后由评标组长组织评标委员会对各成员打分情况进行核查及复核，评分有误的，应及时进行修正。评标标准如有主客观分定义，评标委员会所有成员的客观分打分分数应当一致。</w:t>
      </w:r>
    </w:p>
    <w:p w14:paraId="6DCADA8C">
      <w:pPr>
        <w:spacing w:before="120" w:line="320" w:lineRule="atLeast"/>
        <w:ind w:firstLine="420" w:firstLineChars="200"/>
        <w:rPr>
          <w:rFonts w:ascii="Arial" w:hAnsi="Arial" w:cs="Arial"/>
          <w:color w:val="auto"/>
          <w:highlight w:val="none"/>
        </w:rPr>
      </w:pPr>
      <w:r>
        <w:rPr>
          <w:rFonts w:ascii="Arial" w:hAnsi="Arial" w:cs="Arial"/>
          <w:color w:val="auto"/>
          <w:szCs w:val="21"/>
          <w:highlight w:val="none"/>
        </w:rPr>
        <w:t>复核后，评标委员会汇总每个供应商每项评分因素的得分。</w:t>
      </w:r>
      <w:r>
        <w:rPr>
          <w:rFonts w:ascii="Arial" w:hAnsi="Arial" w:cs="Arial"/>
          <w:color w:val="auto"/>
          <w:highlight w:val="none"/>
        </w:rPr>
        <w:t>评标结果汇总完成后，除下列情形外，任何人不得修改评标结果：（1）分值汇总计算错误的；（2）分项评分超出评分标准范围的；（3）评标委员会成员对客观评审因素评分不一致的；（4）经评标委员会认定评分畸高、畸低的。评标报告签署前，经复核发现存在以上情形之一的，评标委员会应当当场修改评标结果，并在评标报告中记载；评标报告签署后，采购人或者采购代理机构发现存在以上情形之一的，应当组织原评标委员会进行重新评审。</w:t>
      </w:r>
    </w:p>
    <w:p w14:paraId="01B079E7">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9、中标候选人推荐原则</w:t>
      </w:r>
    </w:p>
    <w:p w14:paraId="7E6ADAE0">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按评标后得分由高到低的排列顺序推荐综合得分排名第一的为第一中标候选人。若中标候选人综合得分相同的，按投标报价由低到高顺序排列；综合得分且投标报价相同的</w:t>
      </w:r>
      <w:r>
        <w:rPr>
          <w:rFonts w:ascii="Arial" w:hAnsi="Arial" w:cs="Arial"/>
          <w:color w:val="auto"/>
          <w:highlight w:val="none"/>
        </w:rPr>
        <w:t>并列</w:t>
      </w:r>
      <w:r>
        <w:rPr>
          <w:rFonts w:ascii="Arial" w:hAnsi="Arial" w:cs="Arial"/>
          <w:color w:val="auto"/>
          <w:szCs w:val="21"/>
          <w:highlight w:val="none"/>
        </w:rPr>
        <w:t>；中标候选人并列的，</w:t>
      </w:r>
      <w:r>
        <w:rPr>
          <w:rFonts w:ascii="Arial" w:hAnsi="Arial" w:cs="Arial"/>
          <w:color w:val="auto"/>
          <w:highlight w:val="none"/>
        </w:rPr>
        <w:t>由采购人</w:t>
      </w:r>
      <w:r>
        <w:rPr>
          <w:rFonts w:ascii="Arial" w:hAnsi="Arial" w:cs="Arial"/>
          <w:color w:val="auto"/>
          <w:szCs w:val="21"/>
          <w:highlight w:val="none"/>
        </w:rPr>
        <w:t>按综合信誉及履约能力分得分由高到低顺序排列，若综合得分、投标报价、综合信誉及履约能力分均相同的，按技术方案分得分由高到低顺序排列。</w:t>
      </w:r>
    </w:p>
    <w:p w14:paraId="75482B8E">
      <w:pPr>
        <w:spacing w:before="120" w:line="320" w:lineRule="atLeast"/>
        <w:ind w:firstLine="413" w:firstLineChars="196"/>
        <w:outlineLvl w:val="1"/>
        <w:rPr>
          <w:rFonts w:ascii="Arial" w:hAnsi="Arial" w:cs="Arial"/>
          <w:b/>
          <w:bCs/>
          <w:color w:val="auto"/>
          <w:kern w:val="0"/>
          <w:szCs w:val="21"/>
          <w:highlight w:val="none"/>
        </w:rPr>
      </w:pPr>
      <w:r>
        <w:rPr>
          <w:rFonts w:ascii="Arial" w:hAnsi="Arial" w:cs="Arial"/>
          <w:b/>
          <w:bCs/>
          <w:color w:val="auto"/>
          <w:kern w:val="0"/>
          <w:szCs w:val="21"/>
          <w:highlight w:val="none"/>
        </w:rPr>
        <w:t>10、评标争议处理</w:t>
      </w:r>
    </w:p>
    <w:p w14:paraId="40CF2B50">
      <w:pPr>
        <w:spacing w:before="120" w:line="320" w:lineRule="atLeast"/>
        <w:ind w:firstLine="420" w:firstLineChars="200"/>
        <w:rPr>
          <w:rFonts w:ascii="Arial" w:hAnsi="Arial" w:cs="Arial"/>
          <w:color w:val="auto"/>
          <w:szCs w:val="21"/>
          <w:highlight w:val="none"/>
        </w:rPr>
      </w:pPr>
      <w:r>
        <w:rPr>
          <w:rFonts w:ascii="Arial" w:hAnsi="Arial" w:cs="Arial"/>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bookmarkEnd w:id="66"/>
    <w:bookmarkEnd w:id="67"/>
    <w:p w14:paraId="2E8F8437">
      <w:pPr>
        <w:spacing w:before="120" w:line="320" w:lineRule="atLeast"/>
        <w:ind w:firstLine="420" w:firstLineChars="200"/>
        <w:rPr>
          <w:rFonts w:ascii="Arial" w:hAnsi="Arial" w:cs="Arial"/>
          <w:color w:val="auto"/>
          <w:szCs w:val="21"/>
          <w:highlight w:val="none"/>
        </w:rPr>
      </w:pPr>
    </w:p>
    <w:p w14:paraId="11DEB639">
      <w:pPr>
        <w:spacing w:before="120" w:line="320" w:lineRule="atLeast"/>
        <w:outlineLvl w:val="1"/>
        <w:rPr>
          <w:rFonts w:ascii="Arial" w:hAnsi="Arial" w:cs="Arial"/>
          <w:b/>
          <w:bCs/>
          <w:color w:val="auto"/>
          <w:kern w:val="0"/>
          <w:szCs w:val="21"/>
          <w:highlight w:val="none"/>
        </w:rPr>
      </w:pPr>
      <w:bookmarkStart w:id="72" w:name="_Hlk19113393"/>
      <w:r>
        <w:rPr>
          <w:rFonts w:ascii="Arial" w:hAnsi="Arial" w:cs="Arial"/>
          <w:b/>
          <w:bCs/>
          <w:color w:val="auto"/>
          <w:kern w:val="0"/>
          <w:szCs w:val="21"/>
          <w:highlight w:val="none"/>
        </w:rPr>
        <w:t>五、评标标准</w:t>
      </w:r>
    </w:p>
    <w:bookmarkEnd w:id="72"/>
    <w:p w14:paraId="4879E1F8">
      <w:pPr>
        <w:pStyle w:val="165"/>
        <w:snapToGrid w:val="0"/>
        <w:spacing w:line="360" w:lineRule="auto"/>
        <w:ind w:firstLine="0" w:firstLineChars="0"/>
        <w:rPr>
          <w:rFonts w:ascii="Arial" w:hAnsi="Arial" w:cs="Arial"/>
          <w:b/>
          <w:color w:val="auto"/>
          <w:kern w:val="0"/>
          <w:sz w:val="24"/>
          <w:highlight w:val="none"/>
        </w:rPr>
      </w:pPr>
      <w:r>
        <w:rPr>
          <w:rFonts w:ascii="Arial" w:hAnsi="Arial" w:cs="Arial"/>
          <w:b/>
          <w:color w:val="auto"/>
          <w:kern w:val="0"/>
          <w:sz w:val="24"/>
          <w:highlight w:val="none"/>
        </w:rPr>
        <w:t>（一）评分细则</w:t>
      </w:r>
    </w:p>
    <w:p w14:paraId="43E1650F">
      <w:pPr>
        <w:spacing w:line="360" w:lineRule="auto"/>
        <w:ind w:firstLine="480" w:firstLineChars="200"/>
        <w:rPr>
          <w:rFonts w:ascii="Arial" w:hAnsi="Arial" w:cs="Arial"/>
          <w:b/>
          <w:color w:val="auto"/>
          <w:kern w:val="0"/>
          <w:sz w:val="24"/>
          <w:highlight w:val="none"/>
        </w:rPr>
      </w:pPr>
      <w:r>
        <w:rPr>
          <w:rFonts w:ascii="Arial" w:hAnsi="Arial" w:cs="Arial"/>
          <w:color w:val="auto"/>
          <w:sz w:val="24"/>
          <w:highlight w:val="none"/>
        </w:rPr>
        <w:t>（1）技术及商务资信分</w:t>
      </w:r>
    </w:p>
    <w:tbl>
      <w:tblPr>
        <w:tblStyle w:val="52"/>
        <w:tblW w:w="9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966"/>
        <w:gridCol w:w="1308"/>
        <w:gridCol w:w="6301"/>
      </w:tblGrid>
      <w:tr w14:paraId="3BD5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tcBorders>
              <w:top w:val="single" w:color="auto" w:sz="4" w:space="0"/>
              <w:left w:val="single" w:color="auto" w:sz="4" w:space="0"/>
              <w:bottom w:val="single" w:color="auto" w:sz="4" w:space="0"/>
              <w:right w:val="single" w:color="auto" w:sz="4" w:space="0"/>
            </w:tcBorders>
            <w:noWrap w:val="0"/>
            <w:vAlign w:val="center"/>
          </w:tcPr>
          <w:p w14:paraId="47D2A302">
            <w:pPr>
              <w:adjustRightInd w:val="0"/>
              <w:spacing w:line="400" w:lineRule="exact"/>
              <w:jc w:val="center"/>
              <w:textAlignment w:val="baseline"/>
              <w:rPr>
                <w:rFonts w:hint="default" w:ascii="Arial" w:hAnsi="Arial" w:eastAsia="宋体" w:cs="Arial"/>
                <w:color w:val="auto"/>
                <w:szCs w:val="21"/>
                <w:highlight w:val="none"/>
              </w:rPr>
            </w:pPr>
            <w:r>
              <w:rPr>
                <w:rFonts w:hint="default" w:ascii="Arial" w:hAnsi="Arial" w:eastAsia="宋体" w:cs="Arial"/>
                <w:b/>
                <w:color w:val="auto"/>
                <w:szCs w:val="21"/>
                <w:highlight w:val="none"/>
              </w:rPr>
              <w:t>序号</w:t>
            </w:r>
          </w:p>
        </w:tc>
        <w:tc>
          <w:tcPr>
            <w:tcW w:w="2274" w:type="dxa"/>
            <w:gridSpan w:val="2"/>
            <w:tcBorders>
              <w:top w:val="single" w:color="auto" w:sz="4" w:space="0"/>
              <w:left w:val="single" w:color="auto" w:sz="4" w:space="0"/>
              <w:bottom w:val="single" w:color="auto" w:sz="4" w:space="0"/>
              <w:right w:val="single" w:color="auto" w:sz="4" w:space="0"/>
            </w:tcBorders>
            <w:noWrap w:val="0"/>
            <w:vAlign w:val="center"/>
          </w:tcPr>
          <w:p w14:paraId="6D72EB57">
            <w:pPr>
              <w:adjustRightInd w:val="0"/>
              <w:spacing w:line="400" w:lineRule="exact"/>
              <w:jc w:val="center"/>
              <w:textAlignment w:val="baseline"/>
              <w:rPr>
                <w:rFonts w:hint="default" w:ascii="Arial" w:hAnsi="Arial" w:eastAsia="宋体" w:cs="Arial"/>
                <w:color w:val="auto"/>
                <w:szCs w:val="21"/>
                <w:highlight w:val="none"/>
              </w:rPr>
            </w:pPr>
            <w:r>
              <w:rPr>
                <w:rFonts w:hint="default" w:ascii="Arial" w:hAnsi="Arial" w:eastAsia="宋体" w:cs="Arial"/>
                <w:b/>
                <w:color w:val="auto"/>
                <w:szCs w:val="21"/>
                <w:highlight w:val="none"/>
              </w:rPr>
              <w:t>评审因素</w:t>
            </w:r>
          </w:p>
        </w:tc>
        <w:tc>
          <w:tcPr>
            <w:tcW w:w="6301" w:type="dxa"/>
            <w:tcBorders>
              <w:top w:val="single" w:color="auto" w:sz="4" w:space="0"/>
              <w:left w:val="single" w:color="auto" w:sz="4" w:space="0"/>
              <w:bottom w:val="single" w:color="auto" w:sz="4" w:space="0"/>
              <w:right w:val="single" w:color="auto" w:sz="4" w:space="0"/>
            </w:tcBorders>
            <w:noWrap w:val="0"/>
            <w:vAlign w:val="center"/>
          </w:tcPr>
          <w:p w14:paraId="26932CE4">
            <w:pPr>
              <w:adjustRightInd w:val="0"/>
              <w:spacing w:line="400" w:lineRule="exact"/>
              <w:jc w:val="center"/>
              <w:textAlignment w:val="baseline"/>
              <w:rPr>
                <w:rFonts w:hint="default" w:ascii="Arial" w:hAnsi="Arial" w:eastAsia="宋体" w:cs="Arial"/>
                <w:color w:val="auto"/>
                <w:szCs w:val="21"/>
                <w:highlight w:val="none"/>
              </w:rPr>
            </w:pPr>
            <w:r>
              <w:rPr>
                <w:rFonts w:hint="default" w:ascii="Arial" w:hAnsi="Arial" w:eastAsia="宋体" w:cs="Arial"/>
                <w:b/>
                <w:color w:val="auto"/>
                <w:szCs w:val="21"/>
                <w:highlight w:val="none"/>
              </w:rPr>
              <w:t>评分标准</w:t>
            </w:r>
          </w:p>
        </w:tc>
      </w:tr>
      <w:tr w14:paraId="1FD8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restart"/>
            <w:tcBorders>
              <w:top w:val="single" w:color="auto" w:sz="4" w:space="0"/>
              <w:left w:val="single" w:color="auto" w:sz="4" w:space="0"/>
              <w:bottom w:val="single" w:color="auto" w:sz="4" w:space="0"/>
              <w:right w:val="single" w:color="auto" w:sz="4" w:space="0"/>
            </w:tcBorders>
            <w:noWrap w:val="0"/>
            <w:vAlign w:val="center"/>
          </w:tcPr>
          <w:p w14:paraId="76D8AAF6">
            <w:pPr>
              <w:adjustRightInd w:val="0"/>
              <w:spacing w:line="400" w:lineRule="exact"/>
              <w:jc w:val="center"/>
              <w:textAlignment w:val="baseline"/>
              <w:rPr>
                <w:rFonts w:hint="default" w:ascii="Arial" w:hAnsi="Arial" w:eastAsia="宋体" w:cs="Arial"/>
                <w:b/>
                <w:color w:val="auto"/>
                <w:szCs w:val="21"/>
                <w:highlight w:val="none"/>
              </w:rPr>
            </w:pPr>
            <w:r>
              <w:rPr>
                <w:rFonts w:hint="default" w:ascii="Arial" w:hAnsi="Arial" w:eastAsia="宋体" w:cs="Arial"/>
                <w:b/>
                <w:color w:val="auto"/>
                <w:szCs w:val="21"/>
                <w:highlight w:val="none"/>
              </w:rPr>
              <w:t>1</w:t>
            </w:r>
          </w:p>
        </w:tc>
        <w:tc>
          <w:tcPr>
            <w:tcW w:w="966" w:type="dxa"/>
            <w:vMerge w:val="restart"/>
            <w:tcBorders>
              <w:top w:val="single" w:color="auto" w:sz="4" w:space="0"/>
              <w:left w:val="single" w:color="auto" w:sz="4" w:space="0"/>
              <w:bottom w:val="single" w:color="auto" w:sz="4" w:space="0"/>
              <w:right w:val="single" w:color="auto" w:sz="4" w:space="0"/>
            </w:tcBorders>
            <w:noWrap w:val="0"/>
            <w:vAlign w:val="center"/>
          </w:tcPr>
          <w:p w14:paraId="16601558">
            <w:pPr>
              <w:adjustRightInd w:val="0"/>
              <w:spacing w:line="400" w:lineRule="exact"/>
              <w:ind w:left="-105" w:leftChars="-50" w:right="-105" w:rightChars="-50"/>
              <w:jc w:val="center"/>
              <w:textAlignment w:val="baseline"/>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技术分</w:t>
            </w:r>
          </w:p>
          <w:p w14:paraId="1A81DFC5">
            <w:pPr>
              <w:adjustRightInd w:val="0"/>
              <w:spacing w:line="400" w:lineRule="exact"/>
              <w:ind w:left="-105" w:leftChars="-50" w:right="-105" w:rightChars="-50"/>
              <w:jc w:val="center"/>
              <w:textAlignment w:val="baseline"/>
              <w:rPr>
                <w:rFonts w:hint="default" w:ascii="Arial" w:hAnsi="Arial" w:eastAsia="宋体" w:cs="Arial"/>
                <w:b/>
                <w:color w:val="auto"/>
                <w:szCs w:val="21"/>
                <w:highlight w:val="none"/>
                <w:lang w:val="en-US" w:eastAsia="zh-CN"/>
              </w:rPr>
            </w:pPr>
            <w:r>
              <w:rPr>
                <w:rFonts w:hint="default" w:ascii="Arial" w:hAnsi="Arial" w:eastAsia="宋体" w:cs="Arial"/>
                <w:b/>
                <w:bCs/>
                <w:color w:val="auto"/>
                <w:szCs w:val="21"/>
                <w:highlight w:val="none"/>
              </w:rPr>
              <w:t>（</w:t>
            </w:r>
            <w:r>
              <w:rPr>
                <w:rFonts w:hint="default" w:ascii="Arial" w:hAnsi="Arial" w:eastAsia="宋体" w:cs="Arial"/>
                <w:b/>
                <w:color w:val="auto"/>
                <w:szCs w:val="21"/>
                <w:highlight w:val="none"/>
              </w:rPr>
              <w:t>满分</w:t>
            </w:r>
            <w:r>
              <w:rPr>
                <w:rFonts w:hint="eastAsia" w:ascii="Arial" w:hAnsi="Arial" w:cs="Arial"/>
                <w:b/>
                <w:color w:val="auto"/>
                <w:szCs w:val="21"/>
                <w:highlight w:val="none"/>
                <w:lang w:val="en-US" w:eastAsia="zh-CN"/>
              </w:rPr>
              <w:t>61</w:t>
            </w:r>
          </w:p>
          <w:p w14:paraId="561F52EE">
            <w:pPr>
              <w:adjustRightInd w:val="0"/>
              <w:spacing w:line="400" w:lineRule="exact"/>
              <w:ind w:left="-105" w:leftChars="-50" w:right="-105" w:rightChars="-50"/>
              <w:jc w:val="center"/>
              <w:textAlignment w:val="baseline"/>
              <w:rPr>
                <w:rFonts w:hint="default" w:ascii="Arial" w:hAnsi="Arial" w:eastAsia="宋体" w:cs="Arial"/>
                <w:color w:val="auto"/>
                <w:spacing w:val="-18"/>
                <w:szCs w:val="21"/>
                <w:highlight w:val="none"/>
              </w:rPr>
            </w:pPr>
            <w:r>
              <w:rPr>
                <w:rFonts w:hint="default" w:ascii="Arial" w:hAnsi="Arial" w:eastAsia="宋体" w:cs="Arial"/>
                <w:b/>
                <w:bCs/>
                <w:color w:val="auto"/>
                <w:szCs w:val="21"/>
                <w:highlight w:val="none"/>
              </w:rPr>
              <w:t>分）</w:t>
            </w:r>
          </w:p>
        </w:tc>
        <w:tc>
          <w:tcPr>
            <w:tcW w:w="1308" w:type="dxa"/>
            <w:tcBorders>
              <w:top w:val="single" w:color="auto" w:sz="4" w:space="0"/>
              <w:left w:val="single" w:color="auto" w:sz="4" w:space="0"/>
              <w:bottom w:val="single" w:color="auto" w:sz="4" w:space="0"/>
              <w:right w:val="single" w:color="auto" w:sz="4" w:space="0"/>
            </w:tcBorders>
            <w:noWrap w:val="0"/>
            <w:vAlign w:val="center"/>
          </w:tcPr>
          <w:p w14:paraId="0451A728">
            <w:pPr>
              <w:wordWrap w:val="0"/>
              <w:spacing w:line="400" w:lineRule="exact"/>
              <w:rPr>
                <w:rFonts w:hint="default" w:ascii="Arial" w:hAnsi="Arial" w:eastAsia="宋体" w:cs="Arial"/>
                <w:color w:val="auto"/>
                <w:szCs w:val="21"/>
                <w:highlight w:val="none"/>
              </w:rPr>
            </w:pPr>
            <w:r>
              <w:rPr>
                <w:rFonts w:hint="default" w:ascii="Arial" w:hAnsi="Arial" w:eastAsia="宋体" w:cs="Arial"/>
                <w:color w:val="auto"/>
                <w:szCs w:val="21"/>
                <w:highlight w:val="none"/>
              </w:rPr>
              <w:t>对招标文件</w:t>
            </w:r>
            <w:r>
              <w:rPr>
                <w:rFonts w:hint="default" w:ascii="Arial" w:hAnsi="Arial" w:eastAsia="宋体" w:cs="Arial"/>
                <w:color w:val="auto"/>
                <w:highlight w:val="none"/>
              </w:rPr>
              <w:t>采购需求</w:t>
            </w:r>
            <w:r>
              <w:rPr>
                <w:rFonts w:hint="default" w:ascii="Arial" w:hAnsi="Arial" w:eastAsia="宋体" w:cs="Arial"/>
                <w:color w:val="auto"/>
                <w:szCs w:val="21"/>
                <w:highlight w:val="none"/>
              </w:rPr>
              <w:t>的响应程度</w:t>
            </w:r>
          </w:p>
          <w:p w14:paraId="5D6A14DD">
            <w:pPr>
              <w:wordWrap w:val="0"/>
              <w:spacing w:line="400" w:lineRule="exact"/>
              <w:rPr>
                <w:rFonts w:hint="default" w:ascii="Arial" w:hAnsi="Arial" w:eastAsia="宋体" w:cs="Arial"/>
                <w:bCs/>
                <w:color w:val="auto"/>
                <w:szCs w:val="21"/>
                <w:highlight w:val="none"/>
              </w:rPr>
            </w:pPr>
            <w:r>
              <w:rPr>
                <w:rFonts w:hint="default" w:ascii="Arial" w:hAnsi="Arial" w:eastAsia="宋体" w:cs="Arial"/>
                <w:color w:val="auto"/>
                <w:szCs w:val="21"/>
                <w:highlight w:val="none"/>
              </w:rPr>
              <w:t>（</w:t>
            </w:r>
            <w:r>
              <w:rPr>
                <w:rFonts w:hint="eastAsia" w:ascii="Arial" w:hAnsi="Arial" w:cs="Arial"/>
                <w:color w:val="auto"/>
                <w:szCs w:val="21"/>
                <w:highlight w:val="none"/>
                <w:lang w:val="en-US" w:eastAsia="zh-CN"/>
              </w:rPr>
              <w:t>15</w:t>
            </w:r>
            <w:r>
              <w:rPr>
                <w:rFonts w:hint="default" w:ascii="Arial" w:hAnsi="Arial" w:eastAsia="宋体" w:cs="Arial"/>
                <w:color w:val="auto"/>
                <w:szCs w:val="21"/>
                <w:highlight w:val="none"/>
              </w:rPr>
              <w:t>分）</w:t>
            </w:r>
          </w:p>
        </w:tc>
        <w:tc>
          <w:tcPr>
            <w:tcW w:w="6301" w:type="dxa"/>
            <w:tcBorders>
              <w:top w:val="single" w:color="auto" w:sz="4" w:space="0"/>
              <w:left w:val="single" w:color="auto" w:sz="4" w:space="0"/>
              <w:bottom w:val="single" w:color="auto" w:sz="4" w:space="0"/>
              <w:right w:val="single" w:color="auto" w:sz="4" w:space="0"/>
            </w:tcBorders>
            <w:noWrap w:val="0"/>
            <w:vAlign w:val="top"/>
          </w:tcPr>
          <w:p w14:paraId="5FE0FB44">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一档（0分）：一般条款（未标注“▲”的技术参数）有</w:t>
            </w:r>
            <w:r>
              <w:rPr>
                <w:rFonts w:hint="eastAsia" w:ascii="Arial" w:hAnsi="Arial" w:cs="Arial"/>
                <w:color w:val="auto"/>
                <w:szCs w:val="21"/>
                <w:highlight w:val="none"/>
                <w:lang w:val="en-US" w:eastAsia="zh-CN"/>
              </w:rPr>
              <w:t>5</w:t>
            </w:r>
            <w:r>
              <w:rPr>
                <w:rFonts w:hint="default" w:ascii="Arial" w:hAnsi="Arial" w:eastAsia="宋体" w:cs="Arial"/>
                <w:color w:val="auto"/>
                <w:szCs w:val="21"/>
                <w:highlight w:val="none"/>
              </w:rPr>
              <w:t>项（含）以上负偏离得0分。</w:t>
            </w:r>
          </w:p>
          <w:p w14:paraId="0D47A088">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二档（3分）：一般条款（未标注“▲”的技术参数）有</w:t>
            </w:r>
            <w:r>
              <w:rPr>
                <w:rFonts w:hint="eastAsia" w:ascii="Arial" w:hAnsi="Arial" w:cs="Arial"/>
                <w:color w:val="auto"/>
                <w:szCs w:val="21"/>
                <w:highlight w:val="none"/>
                <w:lang w:val="en-US" w:eastAsia="zh-CN"/>
              </w:rPr>
              <w:t>4</w:t>
            </w:r>
            <w:r>
              <w:rPr>
                <w:rFonts w:hint="default" w:ascii="Arial" w:hAnsi="Arial" w:eastAsia="宋体" w:cs="Arial"/>
                <w:color w:val="auto"/>
                <w:szCs w:val="21"/>
                <w:highlight w:val="none"/>
              </w:rPr>
              <w:t>项负偏离得3分。</w:t>
            </w:r>
          </w:p>
          <w:p w14:paraId="00C69954">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三档（6分）：一般条款（未标注“▲”的技术参数）有</w:t>
            </w:r>
            <w:r>
              <w:rPr>
                <w:rFonts w:hint="eastAsia" w:ascii="Arial" w:hAnsi="Arial" w:cs="Arial"/>
                <w:color w:val="auto"/>
                <w:szCs w:val="21"/>
                <w:highlight w:val="none"/>
                <w:lang w:val="en-US" w:eastAsia="zh-CN"/>
              </w:rPr>
              <w:t>3</w:t>
            </w:r>
            <w:r>
              <w:rPr>
                <w:rFonts w:hint="default" w:ascii="Arial" w:hAnsi="Arial" w:eastAsia="宋体" w:cs="Arial"/>
                <w:color w:val="auto"/>
                <w:szCs w:val="21"/>
                <w:highlight w:val="none"/>
              </w:rPr>
              <w:t>项负偏离得6分。</w:t>
            </w:r>
          </w:p>
          <w:p w14:paraId="023B2921">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四档（9分）：一般条款（未标注“▲”的技术参数）有</w:t>
            </w:r>
            <w:r>
              <w:rPr>
                <w:rFonts w:hint="eastAsia" w:ascii="Arial" w:hAnsi="Arial" w:cs="Arial"/>
                <w:color w:val="auto"/>
                <w:szCs w:val="21"/>
                <w:highlight w:val="none"/>
                <w:lang w:val="en-US" w:eastAsia="zh-CN"/>
              </w:rPr>
              <w:t>2</w:t>
            </w:r>
            <w:r>
              <w:rPr>
                <w:rFonts w:hint="default" w:ascii="Arial" w:hAnsi="Arial" w:eastAsia="宋体" w:cs="Arial"/>
                <w:color w:val="auto"/>
                <w:szCs w:val="21"/>
                <w:highlight w:val="none"/>
              </w:rPr>
              <w:t>项负偏离得9分。</w:t>
            </w:r>
          </w:p>
          <w:p w14:paraId="2703C6F5">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五档（12分）：一般条款（未标注“▲”的技术参数）</w:t>
            </w:r>
            <w:r>
              <w:rPr>
                <w:rFonts w:hint="eastAsia" w:ascii="Arial" w:hAnsi="Arial" w:cs="Arial"/>
                <w:color w:val="auto"/>
                <w:szCs w:val="21"/>
                <w:highlight w:val="none"/>
                <w:lang w:val="en-US" w:eastAsia="zh-CN"/>
              </w:rPr>
              <w:t>有1项</w:t>
            </w:r>
            <w:r>
              <w:rPr>
                <w:rFonts w:hint="default" w:ascii="Arial" w:hAnsi="Arial" w:eastAsia="宋体" w:cs="Arial"/>
                <w:color w:val="auto"/>
                <w:szCs w:val="21"/>
                <w:highlight w:val="none"/>
              </w:rPr>
              <w:t>负偏离得12分。</w:t>
            </w:r>
          </w:p>
          <w:p w14:paraId="2AD0FC7C">
            <w:pPr>
              <w:wordWrap w:val="0"/>
              <w:spacing w:line="288" w:lineRule="auto"/>
              <w:rPr>
                <w:rFonts w:hint="default" w:ascii="Arial" w:hAnsi="Arial" w:eastAsia="宋体" w:cs="Arial"/>
                <w:color w:val="auto"/>
                <w:szCs w:val="21"/>
                <w:highlight w:val="none"/>
              </w:rPr>
            </w:pPr>
            <w:r>
              <w:rPr>
                <w:rFonts w:hint="eastAsia" w:ascii="Arial" w:hAnsi="Arial" w:cs="Arial"/>
                <w:color w:val="auto"/>
                <w:szCs w:val="21"/>
                <w:highlight w:val="none"/>
                <w:lang w:val="en-US" w:eastAsia="zh-CN"/>
              </w:rPr>
              <w:t>六</w:t>
            </w:r>
            <w:r>
              <w:rPr>
                <w:rFonts w:hint="default" w:ascii="Arial" w:hAnsi="Arial" w:eastAsia="宋体" w:cs="Arial"/>
                <w:color w:val="auto"/>
                <w:szCs w:val="21"/>
                <w:highlight w:val="none"/>
              </w:rPr>
              <w:t>档（1</w:t>
            </w:r>
            <w:r>
              <w:rPr>
                <w:rFonts w:hint="eastAsia" w:ascii="Arial" w:hAnsi="Arial" w:cs="Arial"/>
                <w:color w:val="auto"/>
                <w:szCs w:val="21"/>
                <w:highlight w:val="none"/>
                <w:lang w:val="en-US" w:eastAsia="zh-CN"/>
              </w:rPr>
              <w:t>5</w:t>
            </w:r>
            <w:r>
              <w:rPr>
                <w:rFonts w:hint="default" w:ascii="Arial" w:hAnsi="Arial" w:eastAsia="宋体" w:cs="Arial"/>
                <w:color w:val="auto"/>
                <w:szCs w:val="21"/>
                <w:highlight w:val="none"/>
              </w:rPr>
              <w:t>分）：一般条款（未标注“▲”的技术参数）无负偏离得</w:t>
            </w:r>
          </w:p>
          <w:p w14:paraId="3D1950CF">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1</w:t>
            </w:r>
            <w:r>
              <w:rPr>
                <w:rFonts w:hint="eastAsia" w:ascii="Arial" w:hAnsi="Arial" w:cs="Arial"/>
                <w:color w:val="auto"/>
                <w:szCs w:val="21"/>
                <w:highlight w:val="none"/>
                <w:lang w:val="en-US" w:eastAsia="zh-CN"/>
              </w:rPr>
              <w:t>5</w:t>
            </w:r>
            <w:r>
              <w:rPr>
                <w:rFonts w:hint="default" w:ascii="Arial" w:hAnsi="Arial" w:eastAsia="宋体" w:cs="Arial"/>
                <w:color w:val="auto"/>
                <w:szCs w:val="21"/>
                <w:highlight w:val="none"/>
              </w:rPr>
              <w:t>分。</w:t>
            </w:r>
          </w:p>
          <w:p w14:paraId="1E1022EA">
            <w:pPr>
              <w:wordWrap w:val="0"/>
              <w:spacing w:line="288"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注：供应商须对本招标文件技术要求进行点对点应答。标注“▲”为实质性条款，有1条不满足视为无效投标。</w:t>
            </w:r>
            <w:r>
              <w:rPr>
                <w:rFonts w:hint="default" w:ascii="Arial" w:hAnsi="Arial" w:eastAsia="宋体" w:cs="Arial"/>
                <w:b/>
                <w:bCs/>
                <w:color w:val="auto"/>
                <w:sz w:val="22"/>
                <w:szCs w:val="22"/>
                <w:highlight w:val="none"/>
              </w:rPr>
              <w:t>如供应商投标文件对招标文件采购需求响应为无偏离，但经评标委员会认定为负偏离的，评标委员会可给予相应档次定档。</w:t>
            </w:r>
          </w:p>
        </w:tc>
      </w:tr>
      <w:tr w14:paraId="460C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tcBorders>
              <w:left w:val="single" w:color="auto" w:sz="4" w:space="0"/>
              <w:right w:val="single" w:color="auto" w:sz="4" w:space="0"/>
            </w:tcBorders>
            <w:noWrap w:val="0"/>
            <w:vAlign w:val="center"/>
          </w:tcPr>
          <w:p w14:paraId="62393D9B">
            <w:pPr>
              <w:adjustRightInd w:val="0"/>
              <w:spacing w:line="400" w:lineRule="exact"/>
              <w:jc w:val="center"/>
              <w:textAlignment w:val="baseline"/>
              <w:rPr>
                <w:rFonts w:hint="default" w:ascii="Arial" w:hAnsi="Arial" w:eastAsia="宋体" w:cs="Arial"/>
                <w:b/>
                <w:color w:val="auto"/>
                <w:szCs w:val="21"/>
                <w:highlight w:val="none"/>
              </w:rPr>
            </w:pPr>
          </w:p>
        </w:tc>
        <w:tc>
          <w:tcPr>
            <w:tcW w:w="966" w:type="dxa"/>
            <w:vMerge w:val="continue"/>
            <w:tcBorders>
              <w:left w:val="single" w:color="auto" w:sz="4" w:space="0"/>
              <w:right w:val="single" w:color="auto" w:sz="4" w:space="0"/>
            </w:tcBorders>
            <w:noWrap w:val="0"/>
            <w:vAlign w:val="center"/>
          </w:tcPr>
          <w:p w14:paraId="78346D28">
            <w:pPr>
              <w:adjustRightInd w:val="0"/>
              <w:spacing w:line="400" w:lineRule="exact"/>
              <w:ind w:left="-105" w:leftChars="-50" w:right="-105" w:rightChars="-50"/>
              <w:jc w:val="center"/>
              <w:textAlignment w:val="baseline"/>
              <w:rPr>
                <w:rFonts w:hint="default" w:ascii="Arial" w:hAnsi="Arial" w:eastAsia="宋体" w:cs="Arial"/>
                <w:b/>
                <w:bCs/>
                <w:color w:val="auto"/>
                <w:szCs w:val="21"/>
                <w:highlight w:val="none"/>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14:paraId="15424835">
            <w:pPr>
              <w:pStyle w:val="27"/>
              <w:spacing w:line="400" w:lineRule="exact"/>
              <w:rPr>
                <w:rFonts w:hint="default" w:ascii="Arial" w:hAnsi="Arial" w:cs="Arial"/>
                <w:bCs/>
                <w:color w:val="auto"/>
                <w:highlight w:val="none"/>
              </w:rPr>
            </w:pPr>
            <w:r>
              <w:rPr>
                <w:rFonts w:hint="default" w:ascii="Arial" w:hAnsi="Arial" w:cs="Arial"/>
                <w:bCs/>
                <w:color w:val="auto"/>
                <w:highlight w:val="none"/>
              </w:rPr>
              <w:t>服务方案分（满分</w:t>
            </w:r>
            <w:r>
              <w:rPr>
                <w:rFonts w:hint="default" w:ascii="Arial" w:hAnsi="Arial" w:cs="Arial"/>
                <w:bCs/>
                <w:color w:val="auto"/>
                <w:highlight w:val="none"/>
                <w:lang w:val="en-US" w:eastAsia="zh-CN"/>
              </w:rPr>
              <w:t>8</w:t>
            </w:r>
            <w:r>
              <w:rPr>
                <w:rFonts w:hint="default" w:ascii="Arial" w:hAnsi="Arial" w:cs="Arial"/>
                <w:bCs/>
                <w:color w:val="auto"/>
                <w:highlight w:val="none"/>
              </w:rPr>
              <w:t>分）</w:t>
            </w:r>
          </w:p>
        </w:tc>
        <w:tc>
          <w:tcPr>
            <w:tcW w:w="6301" w:type="dxa"/>
            <w:tcBorders>
              <w:top w:val="single" w:color="auto" w:sz="4" w:space="0"/>
              <w:left w:val="single" w:color="auto" w:sz="4" w:space="0"/>
              <w:bottom w:val="single" w:color="auto" w:sz="4" w:space="0"/>
              <w:right w:val="single" w:color="auto" w:sz="4" w:space="0"/>
            </w:tcBorders>
            <w:noWrap w:val="0"/>
            <w:vAlign w:val="top"/>
          </w:tcPr>
          <w:p w14:paraId="20EE72CC">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评标委员会根据投标文件中供应商提供的服务方案的优劣程度进行综合评审并独立打分：</w:t>
            </w:r>
          </w:p>
          <w:p w14:paraId="0A89C5A6">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一档（</w:t>
            </w:r>
            <w:r>
              <w:rPr>
                <w:rFonts w:hint="default" w:ascii="Arial" w:hAnsi="Arial" w:cs="Arial"/>
                <w:bCs/>
                <w:color w:val="auto"/>
                <w:highlight w:val="none"/>
                <w:lang w:val="en-US" w:eastAsia="zh-CN"/>
              </w:rPr>
              <w:t>1</w:t>
            </w:r>
            <w:r>
              <w:rPr>
                <w:rFonts w:hint="default" w:ascii="Arial" w:hAnsi="Arial" w:cs="Arial"/>
                <w:bCs/>
                <w:color w:val="auto"/>
                <w:highlight w:val="none"/>
              </w:rPr>
              <w:t>分）：提供的服务方案内容简单未达到二档要求。</w:t>
            </w:r>
          </w:p>
          <w:p w14:paraId="599A27F1">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二档（</w:t>
            </w:r>
            <w:r>
              <w:rPr>
                <w:rFonts w:hint="default" w:ascii="Arial" w:hAnsi="Arial" w:cs="Arial"/>
                <w:bCs/>
                <w:color w:val="auto"/>
                <w:highlight w:val="none"/>
                <w:lang w:val="en-US" w:eastAsia="zh-CN"/>
              </w:rPr>
              <w:t>3</w:t>
            </w:r>
            <w:r>
              <w:rPr>
                <w:rFonts w:hint="default" w:ascii="Arial" w:hAnsi="Arial" w:cs="Arial"/>
                <w:bCs/>
                <w:color w:val="auto"/>
                <w:highlight w:val="none"/>
              </w:rPr>
              <w:t>分）：对项目理解一般，服务方案针对性不强，有项目执行组织措施、项目执行保障措施，有实施组织方案，保证项目正常实施。</w:t>
            </w:r>
          </w:p>
          <w:p w14:paraId="53483AE8">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三档（</w:t>
            </w:r>
            <w:r>
              <w:rPr>
                <w:rFonts w:hint="default" w:ascii="Arial" w:hAnsi="Arial" w:cs="Arial"/>
                <w:bCs/>
                <w:color w:val="auto"/>
                <w:highlight w:val="none"/>
                <w:lang w:val="en-US" w:eastAsia="zh-CN"/>
              </w:rPr>
              <w:t>5</w:t>
            </w:r>
            <w:r>
              <w:rPr>
                <w:rFonts w:hint="default" w:ascii="Arial" w:hAnsi="Arial" w:cs="Arial"/>
                <w:bCs/>
                <w:color w:val="auto"/>
                <w:highlight w:val="none"/>
              </w:rPr>
              <w:t>分）：对项目理解清晰、准确，服务方案详细合理，组织机构健全，项目执行保障措施完整，方案资料齐全、完善，保证项目正常实施。</w:t>
            </w:r>
          </w:p>
          <w:p w14:paraId="1CBA831D">
            <w:pPr>
              <w:spacing w:line="288" w:lineRule="auto"/>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四档（</w:t>
            </w:r>
            <w:r>
              <w:rPr>
                <w:rFonts w:hint="default" w:ascii="Arial" w:hAnsi="Arial" w:cs="Arial"/>
                <w:bCs/>
                <w:color w:val="auto"/>
                <w:szCs w:val="21"/>
                <w:highlight w:val="none"/>
                <w:lang w:val="en-US" w:eastAsia="zh-CN"/>
              </w:rPr>
              <w:t>8</w:t>
            </w:r>
            <w:r>
              <w:rPr>
                <w:rFonts w:hint="default" w:ascii="Arial" w:hAnsi="Arial" w:eastAsia="宋体" w:cs="Arial"/>
                <w:bCs/>
                <w:color w:val="auto"/>
                <w:szCs w:val="21"/>
                <w:highlight w:val="none"/>
              </w:rPr>
              <w:t>分）：对项目理解清晰、准确，服务方案详细合理、有针对性，组织机构健全、完善，项目执行保障措施清晰、合理、具有针对性，方案资料齐全、完善，具有针对性，保证项目正常实施。</w:t>
            </w:r>
          </w:p>
          <w:p w14:paraId="0E595DDA">
            <w:pPr>
              <w:spacing w:line="288" w:lineRule="auto"/>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注：未提供服务方案或未满足要求的本项不予计分。</w:t>
            </w:r>
          </w:p>
        </w:tc>
      </w:tr>
      <w:tr w14:paraId="03C0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tcBorders>
              <w:left w:val="single" w:color="auto" w:sz="4" w:space="0"/>
              <w:right w:val="single" w:color="auto" w:sz="4" w:space="0"/>
            </w:tcBorders>
            <w:noWrap w:val="0"/>
            <w:vAlign w:val="center"/>
          </w:tcPr>
          <w:p w14:paraId="7BE597EF">
            <w:pPr>
              <w:adjustRightInd w:val="0"/>
              <w:spacing w:line="400" w:lineRule="exact"/>
              <w:jc w:val="center"/>
              <w:textAlignment w:val="baseline"/>
              <w:rPr>
                <w:rFonts w:hint="default" w:ascii="Arial" w:hAnsi="Arial" w:eastAsia="宋体" w:cs="Arial"/>
                <w:b/>
                <w:color w:val="auto"/>
                <w:szCs w:val="21"/>
                <w:highlight w:val="none"/>
              </w:rPr>
            </w:pPr>
          </w:p>
        </w:tc>
        <w:tc>
          <w:tcPr>
            <w:tcW w:w="966" w:type="dxa"/>
            <w:vMerge w:val="continue"/>
            <w:tcBorders>
              <w:left w:val="single" w:color="auto" w:sz="4" w:space="0"/>
              <w:right w:val="single" w:color="auto" w:sz="4" w:space="0"/>
            </w:tcBorders>
            <w:noWrap w:val="0"/>
            <w:vAlign w:val="center"/>
          </w:tcPr>
          <w:p w14:paraId="554C9EE6">
            <w:pPr>
              <w:adjustRightInd w:val="0"/>
              <w:spacing w:line="400" w:lineRule="exact"/>
              <w:ind w:left="-105" w:leftChars="-50" w:right="-105" w:rightChars="-50"/>
              <w:jc w:val="center"/>
              <w:textAlignment w:val="baseline"/>
              <w:rPr>
                <w:rFonts w:hint="default" w:ascii="Arial" w:hAnsi="Arial" w:eastAsia="宋体" w:cs="Arial"/>
                <w:b/>
                <w:bCs/>
                <w:color w:val="auto"/>
                <w:szCs w:val="21"/>
                <w:highlight w:val="none"/>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14:paraId="0E4DA90D">
            <w:pPr>
              <w:adjustRightInd w:val="0"/>
              <w:snapToGrid w:val="0"/>
              <w:spacing w:line="400" w:lineRule="exact"/>
              <w:jc w:val="center"/>
              <w:textAlignment w:val="baseline"/>
              <w:rPr>
                <w:rFonts w:hint="default" w:ascii="Arial" w:hAnsi="Arial" w:eastAsia="宋体" w:cs="Arial"/>
                <w:bCs/>
                <w:color w:val="auto"/>
                <w:kern w:val="0"/>
                <w:szCs w:val="21"/>
                <w:highlight w:val="none"/>
              </w:rPr>
            </w:pPr>
            <w:r>
              <w:rPr>
                <w:rFonts w:hint="default" w:ascii="Arial" w:hAnsi="Arial" w:eastAsia="宋体" w:cs="Arial"/>
                <w:bCs/>
                <w:color w:val="auto"/>
                <w:szCs w:val="21"/>
                <w:highlight w:val="none"/>
              </w:rPr>
              <w:t>管理制度方案</w:t>
            </w:r>
            <w:r>
              <w:rPr>
                <w:rFonts w:hint="default" w:ascii="Arial" w:hAnsi="Arial" w:eastAsia="宋体" w:cs="Arial"/>
                <w:bCs/>
                <w:color w:val="auto"/>
                <w:kern w:val="0"/>
                <w:szCs w:val="21"/>
                <w:highlight w:val="none"/>
              </w:rPr>
              <w:t>分（满分</w:t>
            </w:r>
            <w:r>
              <w:rPr>
                <w:rFonts w:hint="default" w:ascii="Arial" w:hAnsi="Arial" w:cs="Arial"/>
                <w:bCs/>
                <w:color w:val="auto"/>
                <w:kern w:val="0"/>
                <w:szCs w:val="21"/>
                <w:highlight w:val="none"/>
                <w:lang w:val="en-US" w:eastAsia="zh-CN"/>
              </w:rPr>
              <w:t>8</w:t>
            </w:r>
            <w:r>
              <w:rPr>
                <w:rFonts w:hint="default" w:ascii="Arial" w:hAnsi="Arial" w:eastAsia="宋体" w:cs="Arial"/>
                <w:bCs/>
                <w:color w:val="auto"/>
                <w:kern w:val="0"/>
                <w:szCs w:val="21"/>
                <w:highlight w:val="none"/>
              </w:rPr>
              <w:t>分）</w:t>
            </w:r>
          </w:p>
        </w:tc>
        <w:tc>
          <w:tcPr>
            <w:tcW w:w="6301" w:type="dxa"/>
            <w:tcBorders>
              <w:top w:val="single" w:color="auto" w:sz="4" w:space="0"/>
              <w:left w:val="single" w:color="auto" w:sz="4" w:space="0"/>
              <w:bottom w:val="single" w:color="auto" w:sz="4" w:space="0"/>
              <w:right w:val="single" w:color="auto" w:sz="4" w:space="0"/>
            </w:tcBorders>
            <w:noWrap w:val="0"/>
            <w:vAlign w:val="center"/>
          </w:tcPr>
          <w:p w14:paraId="7C741780">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评标委员会根据投标文件中供应商提供的</w:t>
            </w:r>
            <w:r>
              <w:rPr>
                <w:rFonts w:hint="default" w:ascii="Arial" w:hAnsi="Arial" w:cs="Arial"/>
                <w:bCs/>
                <w:color w:val="auto"/>
                <w:kern w:val="0"/>
                <w:highlight w:val="none"/>
              </w:rPr>
              <w:t>管理制度方案</w:t>
            </w:r>
            <w:r>
              <w:rPr>
                <w:rFonts w:hint="default" w:ascii="Arial" w:hAnsi="Arial" w:cs="Arial"/>
                <w:bCs/>
                <w:color w:val="auto"/>
                <w:highlight w:val="none"/>
              </w:rPr>
              <w:t>的优劣程度进行综合评审并独立打分：</w:t>
            </w:r>
          </w:p>
          <w:p w14:paraId="52F7D5B9">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一档（</w:t>
            </w:r>
            <w:r>
              <w:rPr>
                <w:rFonts w:hint="default" w:ascii="Arial" w:hAnsi="Arial" w:cs="Arial"/>
                <w:bCs/>
                <w:color w:val="auto"/>
                <w:highlight w:val="none"/>
                <w:lang w:val="en-US" w:eastAsia="zh-CN"/>
              </w:rPr>
              <w:t>1</w:t>
            </w:r>
            <w:r>
              <w:rPr>
                <w:rFonts w:hint="default" w:ascii="Arial" w:hAnsi="Arial" w:cs="Arial"/>
                <w:bCs/>
                <w:color w:val="auto"/>
                <w:highlight w:val="none"/>
              </w:rPr>
              <w:t>分）：项目管理制度方案在满足采购文件需求的基础上，针对本项目的质量考核办法、操作手册简单。</w:t>
            </w:r>
          </w:p>
          <w:p w14:paraId="2DA6F26F">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二档（</w:t>
            </w:r>
            <w:r>
              <w:rPr>
                <w:rFonts w:hint="default" w:ascii="Arial" w:hAnsi="Arial" w:cs="Arial"/>
                <w:bCs/>
                <w:color w:val="auto"/>
                <w:highlight w:val="none"/>
                <w:lang w:val="en-US" w:eastAsia="zh-CN"/>
              </w:rPr>
              <w:t>3</w:t>
            </w:r>
            <w:r>
              <w:rPr>
                <w:rFonts w:hint="default" w:ascii="Arial" w:hAnsi="Arial" w:cs="Arial"/>
                <w:bCs/>
                <w:color w:val="auto"/>
                <w:highlight w:val="none"/>
              </w:rPr>
              <w:t xml:space="preserve">分）：项目管理制度方案在满足采购文件需求的基础上，针对本项目的质量考核办法、操作手册等清晰、可行。 </w:t>
            </w:r>
          </w:p>
          <w:p w14:paraId="2FC2F7FC">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三档（</w:t>
            </w:r>
            <w:r>
              <w:rPr>
                <w:rFonts w:hint="default" w:ascii="Arial" w:hAnsi="Arial" w:cs="Arial"/>
                <w:bCs/>
                <w:color w:val="auto"/>
                <w:highlight w:val="none"/>
                <w:lang w:val="en-US" w:eastAsia="zh-CN"/>
              </w:rPr>
              <w:t>5</w:t>
            </w:r>
            <w:r>
              <w:rPr>
                <w:rFonts w:hint="default" w:ascii="Arial" w:hAnsi="Arial" w:cs="Arial"/>
                <w:bCs/>
                <w:color w:val="auto"/>
                <w:highlight w:val="none"/>
              </w:rPr>
              <w:t>分）：项目管理制度方案在满足采购文件需求的基础上，项目管理制度方案优于采购文件需求，针对本项目的质量考核办法、操作手册等清晰、明确；并承诺员工培训计划方案各项目内容较齐全，对员工管理和培训措施有较好的操作性，能对员工素质提升起到良好的作用。</w:t>
            </w:r>
          </w:p>
          <w:p w14:paraId="1EC95E73">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四档（</w:t>
            </w:r>
            <w:r>
              <w:rPr>
                <w:rFonts w:hint="default" w:ascii="Arial" w:hAnsi="Arial" w:cs="Arial"/>
                <w:bCs/>
                <w:color w:val="auto"/>
                <w:highlight w:val="none"/>
                <w:lang w:val="en-US" w:eastAsia="zh-CN"/>
              </w:rPr>
              <w:t>8</w:t>
            </w:r>
            <w:r>
              <w:rPr>
                <w:rFonts w:hint="default" w:ascii="Arial" w:hAnsi="Arial" w:cs="Arial"/>
                <w:bCs/>
                <w:color w:val="auto"/>
                <w:highlight w:val="none"/>
              </w:rPr>
              <w:t>分）：项目管理制度方案优于采购文件需求，针对本项目的质量考核办法、操作手册，并承诺员工培训计划方案各项目内容详尽，对员工管理和培训有明确的方向和目标，工作措施针对性强、科学合理、切实可行，能有效促进员工整体素质提升，保障服务质量和水平。</w:t>
            </w:r>
          </w:p>
          <w:p w14:paraId="383DF5E4">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注：未提供管理制度方案或未满足要求的本项不予计分；</w:t>
            </w:r>
          </w:p>
        </w:tc>
      </w:tr>
      <w:tr w14:paraId="3E48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tcBorders>
              <w:left w:val="single" w:color="auto" w:sz="4" w:space="0"/>
              <w:right w:val="single" w:color="auto" w:sz="4" w:space="0"/>
            </w:tcBorders>
            <w:noWrap w:val="0"/>
            <w:vAlign w:val="center"/>
          </w:tcPr>
          <w:p w14:paraId="01E47569">
            <w:pPr>
              <w:adjustRightInd w:val="0"/>
              <w:spacing w:line="400" w:lineRule="exact"/>
              <w:jc w:val="center"/>
              <w:textAlignment w:val="baseline"/>
              <w:rPr>
                <w:rFonts w:hint="default" w:ascii="Arial" w:hAnsi="Arial" w:eastAsia="宋体" w:cs="Arial"/>
                <w:b/>
                <w:color w:val="auto"/>
                <w:szCs w:val="21"/>
                <w:highlight w:val="none"/>
              </w:rPr>
            </w:pPr>
          </w:p>
        </w:tc>
        <w:tc>
          <w:tcPr>
            <w:tcW w:w="966" w:type="dxa"/>
            <w:vMerge w:val="continue"/>
            <w:tcBorders>
              <w:left w:val="single" w:color="auto" w:sz="4" w:space="0"/>
              <w:right w:val="single" w:color="auto" w:sz="4" w:space="0"/>
            </w:tcBorders>
            <w:noWrap w:val="0"/>
            <w:vAlign w:val="center"/>
          </w:tcPr>
          <w:p w14:paraId="6E2722B7">
            <w:pPr>
              <w:adjustRightInd w:val="0"/>
              <w:spacing w:line="400" w:lineRule="exact"/>
              <w:ind w:left="-105" w:leftChars="-50" w:right="-105" w:rightChars="-50"/>
              <w:jc w:val="center"/>
              <w:textAlignment w:val="baseline"/>
              <w:rPr>
                <w:rFonts w:hint="default" w:ascii="Arial" w:hAnsi="Arial" w:eastAsia="宋体" w:cs="Arial"/>
                <w:b/>
                <w:bCs/>
                <w:color w:val="auto"/>
                <w:szCs w:val="21"/>
                <w:highlight w:val="none"/>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14:paraId="6207EBE0">
            <w:pPr>
              <w:pStyle w:val="27"/>
              <w:spacing w:line="400" w:lineRule="exact"/>
              <w:rPr>
                <w:rFonts w:hint="default" w:ascii="Arial" w:hAnsi="Arial" w:cs="Arial"/>
                <w:bCs/>
                <w:color w:val="auto"/>
                <w:highlight w:val="none"/>
              </w:rPr>
            </w:pPr>
            <w:r>
              <w:rPr>
                <w:rFonts w:hint="default" w:ascii="Arial" w:hAnsi="Arial" w:cs="Arial"/>
                <w:bCs/>
                <w:color w:val="auto"/>
                <w:highlight w:val="none"/>
              </w:rPr>
              <w:t>标本接收及运输方案分（满分</w:t>
            </w:r>
            <w:r>
              <w:rPr>
                <w:rFonts w:hint="default" w:ascii="Arial" w:hAnsi="Arial" w:cs="Arial"/>
                <w:bCs/>
                <w:color w:val="auto"/>
                <w:highlight w:val="none"/>
                <w:lang w:val="en-US" w:eastAsia="zh-CN"/>
              </w:rPr>
              <w:t>12</w:t>
            </w:r>
            <w:r>
              <w:rPr>
                <w:rFonts w:hint="default" w:ascii="Arial" w:hAnsi="Arial" w:cs="Arial"/>
                <w:bCs/>
                <w:color w:val="auto"/>
                <w:highlight w:val="none"/>
              </w:rPr>
              <w:t>分）</w:t>
            </w:r>
          </w:p>
        </w:tc>
        <w:tc>
          <w:tcPr>
            <w:tcW w:w="6301" w:type="dxa"/>
            <w:tcBorders>
              <w:top w:val="single" w:color="auto" w:sz="4" w:space="0"/>
              <w:left w:val="single" w:color="auto" w:sz="4" w:space="0"/>
              <w:bottom w:val="single" w:color="auto" w:sz="4" w:space="0"/>
              <w:right w:val="single" w:color="auto" w:sz="4" w:space="0"/>
            </w:tcBorders>
            <w:noWrap w:val="0"/>
            <w:vAlign w:val="center"/>
          </w:tcPr>
          <w:p w14:paraId="5D4E6BD5">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评标委员会根据投标文件中供应商提供的标本接收及运输方案的优劣程度进行综合评审并独立打分：</w:t>
            </w:r>
          </w:p>
          <w:p w14:paraId="2B984382">
            <w:pPr>
              <w:keepNext w:val="0"/>
              <w:keepLines w:val="0"/>
              <w:pageBreakBefore w:val="0"/>
              <w:widowControl w:val="0"/>
              <w:kinsoku/>
              <w:wordWrap/>
              <w:overflowPunct/>
              <w:topLinePunct w:val="0"/>
              <w:autoSpaceDE/>
              <w:autoSpaceDN/>
              <w:bidi w:val="0"/>
              <w:spacing w:line="380" w:lineRule="exact"/>
              <w:ind w:left="0" w:right="0" w:firstLine="420" w:firstLineChars="200"/>
              <w:rPr>
                <w:rFonts w:hint="default" w:ascii="Arial" w:hAnsi="Arial" w:eastAsia="宋体" w:cs="Arial"/>
                <w:caps w:val="0"/>
                <w:color w:val="auto"/>
                <w:spacing w:val="0"/>
                <w:sz w:val="21"/>
                <w:szCs w:val="21"/>
                <w:highlight w:val="none"/>
                <w:lang w:val="en-US" w:eastAsia="zh-CN"/>
              </w:rPr>
            </w:pPr>
            <w:r>
              <w:rPr>
                <w:rFonts w:hint="default" w:ascii="Arial" w:hAnsi="Arial" w:eastAsia="宋体" w:cs="Arial"/>
                <w:caps w:val="0"/>
                <w:color w:val="auto"/>
                <w:spacing w:val="0"/>
                <w:sz w:val="21"/>
                <w:szCs w:val="21"/>
                <w:highlight w:val="none"/>
                <w:lang w:val="en-US" w:eastAsia="zh-CN"/>
              </w:rPr>
              <w:t>一档（</w:t>
            </w:r>
            <w:r>
              <w:rPr>
                <w:rFonts w:hint="default" w:ascii="Arial" w:hAnsi="Arial" w:cs="Arial"/>
                <w:caps w:val="0"/>
                <w:color w:val="auto"/>
                <w:spacing w:val="0"/>
                <w:sz w:val="21"/>
                <w:szCs w:val="21"/>
                <w:highlight w:val="none"/>
                <w:lang w:val="en-US" w:eastAsia="zh-CN"/>
              </w:rPr>
              <w:t>4</w:t>
            </w:r>
            <w:r>
              <w:rPr>
                <w:rFonts w:hint="default" w:ascii="Arial" w:hAnsi="Arial" w:eastAsia="宋体" w:cs="Arial"/>
                <w:caps w:val="0"/>
                <w:color w:val="auto"/>
                <w:spacing w:val="0"/>
                <w:sz w:val="21"/>
                <w:szCs w:val="21"/>
                <w:highlight w:val="none"/>
                <w:lang w:val="en-US" w:eastAsia="zh-CN"/>
              </w:rPr>
              <w:t>分）：在满足采购需求（标本运输时间≤24 小时且全程符合冷链运输要求）的基础上，承诺标本运输时间≤18小时（样本运输时间指样本从医院出发至为本项目提供检测服务的实验室</w:t>
            </w:r>
            <w:r>
              <w:rPr>
                <w:rFonts w:hint="default" w:ascii="Arial" w:hAnsi="Arial" w:eastAsia="宋体" w:cs="Arial"/>
                <w:i w:val="0"/>
                <w:iCs w:val="0"/>
                <w:caps w:val="0"/>
                <w:color w:val="auto"/>
                <w:spacing w:val="0"/>
                <w:kern w:val="0"/>
                <w:sz w:val="21"/>
                <w:szCs w:val="21"/>
                <w:highlight w:val="none"/>
                <w:u w:val="none"/>
                <w:lang w:val="en-US" w:eastAsia="zh-CN" w:bidi="ar"/>
              </w:rPr>
              <w:t>之间的时长</w:t>
            </w:r>
            <w:r>
              <w:rPr>
                <w:rFonts w:hint="default" w:ascii="Arial" w:hAnsi="Arial" w:eastAsia="宋体" w:cs="Arial"/>
                <w:caps w:val="0"/>
                <w:color w:val="auto"/>
                <w:spacing w:val="0"/>
                <w:sz w:val="21"/>
                <w:szCs w:val="21"/>
                <w:highlight w:val="none"/>
                <w:lang w:val="en-US" w:eastAsia="zh-CN"/>
              </w:rPr>
              <w:t>），且提供物流人员培训方案、具有完善的物流运输规章制度。</w:t>
            </w:r>
          </w:p>
          <w:p w14:paraId="770348C3">
            <w:pPr>
              <w:keepNext w:val="0"/>
              <w:keepLines w:val="0"/>
              <w:pageBreakBefore w:val="0"/>
              <w:widowControl w:val="0"/>
              <w:kinsoku/>
              <w:wordWrap/>
              <w:overflowPunct/>
              <w:topLinePunct w:val="0"/>
              <w:autoSpaceDE/>
              <w:autoSpaceDN/>
              <w:bidi w:val="0"/>
              <w:spacing w:line="380" w:lineRule="exact"/>
              <w:ind w:left="0" w:right="0" w:firstLine="420" w:firstLineChars="200"/>
              <w:rPr>
                <w:rFonts w:hint="default" w:ascii="Arial" w:hAnsi="Arial" w:eastAsia="宋体" w:cs="Arial"/>
                <w:caps w:val="0"/>
                <w:color w:val="auto"/>
                <w:spacing w:val="0"/>
                <w:sz w:val="21"/>
                <w:szCs w:val="21"/>
                <w:highlight w:val="none"/>
                <w:lang w:val="en-US" w:eastAsia="zh-CN"/>
              </w:rPr>
            </w:pPr>
            <w:r>
              <w:rPr>
                <w:rFonts w:hint="default" w:ascii="Arial" w:hAnsi="Arial" w:eastAsia="宋体" w:cs="Arial"/>
                <w:caps w:val="0"/>
                <w:color w:val="auto"/>
                <w:spacing w:val="0"/>
                <w:sz w:val="21"/>
                <w:szCs w:val="21"/>
                <w:highlight w:val="none"/>
                <w:lang w:val="en-US" w:eastAsia="zh-CN"/>
              </w:rPr>
              <w:t>二档（</w:t>
            </w:r>
            <w:r>
              <w:rPr>
                <w:rFonts w:hint="default" w:ascii="Arial" w:hAnsi="Arial" w:cs="Arial"/>
                <w:caps w:val="0"/>
                <w:color w:val="auto"/>
                <w:spacing w:val="0"/>
                <w:sz w:val="21"/>
                <w:szCs w:val="21"/>
                <w:highlight w:val="none"/>
                <w:lang w:val="en-US" w:eastAsia="zh-CN"/>
              </w:rPr>
              <w:t>8</w:t>
            </w:r>
            <w:r>
              <w:rPr>
                <w:rFonts w:hint="default" w:ascii="Arial" w:hAnsi="Arial" w:eastAsia="宋体" w:cs="Arial"/>
                <w:caps w:val="0"/>
                <w:color w:val="auto"/>
                <w:spacing w:val="0"/>
                <w:sz w:val="21"/>
                <w:szCs w:val="21"/>
                <w:highlight w:val="none"/>
                <w:lang w:val="en-US" w:eastAsia="zh-CN"/>
              </w:rPr>
              <w:t>分）：在满足采购需求（标本运输时间≤24 小时且全程符合冷链运输要求）的基础上，承诺标本运输时间≤12小时（样本运输时间指样本从医院出发至为本项目提供检测服务的实验室</w:t>
            </w:r>
            <w:r>
              <w:rPr>
                <w:rFonts w:hint="default" w:ascii="Arial" w:hAnsi="Arial" w:eastAsia="宋体" w:cs="Arial"/>
                <w:i w:val="0"/>
                <w:iCs w:val="0"/>
                <w:caps w:val="0"/>
                <w:color w:val="auto"/>
                <w:spacing w:val="0"/>
                <w:kern w:val="0"/>
                <w:sz w:val="21"/>
                <w:szCs w:val="21"/>
                <w:highlight w:val="none"/>
                <w:u w:val="none"/>
                <w:lang w:val="en-US" w:eastAsia="zh-CN" w:bidi="ar"/>
              </w:rPr>
              <w:t>之间的时长</w:t>
            </w:r>
            <w:r>
              <w:rPr>
                <w:rFonts w:hint="default" w:ascii="Arial" w:hAnsi="Arial" w:eastAsia="宋体" w:cs="Arial"/>
                <w:caps w:val="0"/>
                <w:color w:val="auto"/>
                <w:spacing w:val="0"/>
                <w:sz w:val="21"/>
                <w:szCs w:val="21"/>
                <w:highlight w:val="none"/>
                <w:lang w:val="en-US" w:eastAsia="zh-CN"/>
              </w:rPr>
              <w:t>），且提供物流人员培训方案、具有完善的物流运输规章制度。</w:t>
            </w:r>
          </w:p>
          <w:p w14:paraId="2A8F866A">
            <w:pPr>
              <w:keepNext w:val="0"/>
              <w:keepLines w:val="0"/>
              <w:pageBreakBefore w:val="0"/>
              <w:widowControl w:val="0"/>
              <w:kinsoku/>
              <w:wordWrap/>
              <w:overflowPunct/>
              <w:topLinePunct w:val="0"/>
              <w:autoSpaceDE/>
              <w:autoSpaceDN/>
              <w:bidi w:val="0"/>
              <w:spacing w:line="380" w:lineRule="exact"/>
              <w:ind w:left="0" w:right="0" w:firstLine="420" w:firstLineChars="200"/>
              <w:rPr>
                <w:rFonts w:hint="default" w:ascii="Arial" w:hAnsi="Arial" w:eastAsia="宋体" w:cs="Arial"/>
                <w:b/>
                <w:bCs/>
                <w:caps w:val="0"/>
                <w:strike w:val="0"/>
                <w:dstrike w:val="0"/>
                <w:color w:val="auto"/>
                <w:spacing w:val="0"/>
                <w:sz w:val="21"/>
                <w:szCs w:val="21"/>
                <w:highlight w:val="none"/>
                <w:lang w:val="en-US" w:eastAsia="zh-CN"/>
              </w:rPr>
            </w:pPr>
            <w:r>
              <w:rPr>
                <w:rFonts w:hint="default" w:ascii="Arial" w:hAnsi="Arial" w:eastAsia="宋体" w:cs="Arial"/>
                <w:caps w:val="0"/>
                <w:color w:val="auto"/>
                <w:spacing w:val="0"/>
                <w:sz w:val="21"/>
                <w:szCs w:val="21"/>
                <w:highlight w:val="none"/>
                <w:lang w:val="en-US" w:eastAsia="zh-CN"/>
              </w:rPr>
              <w:t>三档（</w:t>
            </w:r>
            <w:r>
              <w:rPr>
                <w:rFonts w:hint="default" w:ascii="Arial" w:hAnsi="Arial" w:cs="Arial"/>
                <w:caps w:val="0"/>
                <w:color w:val="auto"/>
                <w:spacing w:val="0"/>
                <w:sz w:val="21"/>
                <w:szCs w:val="21"/>
                <w:highlight w:val="none"/>
                <w:lang w:val="en-US" w:eastAsia="zh-CN"/>
              </w:rPr>
              <w:t>12</w:t>
            </w:r>
            <w:r>
              <w:rPr>
                <w:rFonts w:hint="default" w:ascii="Arial" w:hAnsi="Arial" w:eastAsia="宋体" w:cs="Arial"/>
                <w:caps w:val="0"/>
                <w:color w:val="auto"/>
                <w:spacing w:val="0"/>
                <w:sz w:val="21"/>
                <w:szCs w:val="21"/>
                <w:highlight w:val="none"/>
                <w:lang w:val="en-US" w:eastAsia="zh-CN"/>
              </w:rPr>
              <w:t>分）：在满足采购需求（标本运输时间≤24 小时且全程符合冷链运输要求）的基础上，承诺标本运输时间≤6 小时（样本运输时间指样本从医院出发至为本项目提供检测服务的实验室</w:t>
            </w:r>
            <w:r>
              <w:rPr>
                <w:rFonts w:hint="default" w:ascii="Arial" w:hAnsi="Arial" w:eastAsia="宋体" w:cs="Arial"/>
                <w:i w:val="0"/>
                <w:iCs w:val="0"/>
                <w:caps w:val="0"/>
                <w:color w:val="auto"/>
                <w:spacing w:val="0"/>
                <w:kern w:val="0"/>
                <w:sz w:val="21"/>
                <w:szCs w:val="21"/>
                <w:highlight w:val="none"/>
                <w:u w:val="none"/>
                <w:lang w:val="en-US" w:eastAsia="zh-CN" w:bidi="ar"/>
              </w:rPr>
              <w:t>之间的时长</w:t>
            </w:r>
            <w:r>
              <w:rPr>
                <w:rFonts w:hint="default" w:ascii="Arial" w:hAnsi="Arial" w:eastAsia="宋体" w:cs="Arial"/>
                <w:caps w:val="0"/>
                <w:color w:val="auto"/>
                <w:spacing w:val="0"/>
                <w:sz w:val="21"/>
                <w:szCs w:val="21"/>
                <w:highlight w:val="none"/>
                <w:lang w:val="en-US" w:eastAsia="zh-CN"/>
              </w:rPr>
              <w:t>），在本地区提供</w:t>
            </w:r>
            <w:r>
              <w:rPr>
                <w:rFonts w:hint="default" w:ascii="Arial" w:hAnsi="Arial" w:cs="Arial"/>
                <w:caps w:val="0"/>
                <w:color w:val="auto"/>
                <w:spacing w:val="0"/>
                <w:sz w:val="21"/>
                <w:szCs w:val="21"/>
                <w:highlight w:val="none"/>
                <w:lang w:val="en-US" w:eastAsia="zh-CN"/>
              </w:rPr>
              <w:t>冷链物流</w:t>
            </w:r>
            <w:r>
              <w:rPr>
                <w:rFonts w:hint="default" w:ascii="Arial" w:hAnsi="Arial" w:eastAsia="宋体" w:cs="Arial"/>
                <w:caps w:val="0"/>
                <w:color w:val="auto"/>
                <w:spacing w:val="0"/>
                <w:sz w:val="21"/>
                <w:szCs w:val="21"/>
                <w:highlight w:val="none"/>
                <w:lang w:val="en-US" w:eastAsia="zh-CN"/>
              </w:rPr>
              <w:t>运输车辆</w:t>
            </w:r>
            <w:r>
              <w:rPr>
                <w:rFonts w:hint="eastAsia" w:ascii="Arial" w:hAnsi="Arial" w:cs="Arial"/>
                <w:caps w:val="0"/>
                <w:color w:val="auto"/>
                <w:spacing w:val="0"/>
                <w:sz w:val="21"/>
                <w:szCs w:val="21"/>
                <w:highlight w:val="none"/>
                <w:lang w:val="en-US" w:eastAsia="zh-CN"/>
              </w:rPr>
              <w:t>2</w:t>
            </w:r>
            <w:r>
              <w:rPr>
                <w:rFonts w:hint="default" w:ascii="Arial" w:hAnsi="Arial" w:eastAsia="宋体" w:cs="Arial"/>
                <w:caps w:val="0"/>
                <w:color w:val="auto"/>
                <w:spacing w:val="0"/>
                <w:sz w:val="21"/>
                <w:szCs w:val="21"/>
                <w:highlight w:val="none"/>
                <w:lang w:val="en-US" w:eastAsia="zh-CN"/>
              </w:rPr>
              <w:t>辆，满足多个院区标本运输应急，且提供物流人员培训方案、具有完善的物流运输规章制度。</w:t>
            </w:r>
          </w:p>
          <w:p w14:paraId="6D264E63">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注：未提供标本接收及运输方案或未满足要求的本项不予计分；</w:t>
            </w:r>
          </w:p>
        </w:tc>
      </w:tr>
      <w:tr w14:paraId="30EF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tcBorders>
              <w:left w:val="single" w:color="auto" w:sz="4" w:space="0"/>
              <w:right w:val="single" w:color="auto" w:sz="4" w:space="0"/>
            </w:tcBorders>
            <w:noWrap w:val="0"/>
            <w:vAlign w:val="center"/>
          </w:tcPr>
          <w:p w14:paraId="6B2156F0">
            <w:pPr>
              <w:adjustRightInd w:val="0"/>
              <w:spacing w:line="400" w:lineRule="exact"/>
              <w:jc w:val="center"/>
              <w:textAlignment w:val="baseline"/>
              <w:rPr>
                <w:rFonts w:hint="default" w:ascii="Arial" w:hAnsi="Arial" w:eastAsia="宋体" w:cs="Arial"/>
                <w:b/>
                <w:color w:val="auto"/>
                <w:szCs w:val="21"/>
                <w:highlight w:val="none"/>
              </w:rPr>
            </w:pPr>
          </w:p>
        </w:tc>
        <w:tc>
          <w:tcPr>
            <w:tcW w:w="966" w:type="dxa"/>
            <w:vMerge w:val="continue"/>
            <w:tcBorders>
              <w:left w:val="single" w:color="auto" w:sz="4" w:space="0"/>
              <w:right w:val="single" w:color="auto" w:sz="4" w:space="0"/>
            </w:tcBorders>
            <w:noWrap w:val="0"/>
            <w:vAlign w:val="center"/>
          </w:tcPr>
          <w:p w14:paraId="2924E611">
            <w:pPr>
              <w:adjustRightInd w:val="0"/>
              <w:spacing w:line="400" w:lineRule="exact"/>
              <w:ind w:left="-105" w:leftChars="-50" w:right="-105" w:rightChars="-50"/>
              <w:jc w:val="center"/>
              <w:textAlignment w:val="baseline"/>
              <w:rPr>
                <w:rFonts w:hint="default" w:ascii="Arial" w:hAnsi="Arial" w:eastAsia="宋体" w:cs="Arial"/>
                <w:b/>
                <w:bCs/>
                <w:color w:val="auto"/>
                <w:szCs w:val="21"/>
                <w:highlight w:val="none"/>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14:paraId="6AF32A2A">
            <w:pPr>
              <w:adjustRightInd w:val="0"/>
              <w:snapToGrid w:val="0"/>
              <w:spacing w:line="400" w:lineRule="exact"/>
              <w:jc w:val="center"/>
              <w:textAlignment w:val="baseline"/>
              <w:rPr>
                <w:rFonts w:hint="default" w:ascii="Arial" w:hAnsi="Arial" w:eastAsia="宋体" w:cs="Arial"/>
                <w:bCs/>
                <w:color w:val="auto"/>
                <w:szCs w:val="21"/>
                <w:highlight w:val="none"/>
              </w:rPr>
            </w:pPr>
            <w:r>
              <w:rPr>
                <w:rFonts w:hint="default" w:ascii="Arial" w:hAnsi="Arial" w:eastAsia="宋体" w:cs="Arial"/>
                <w:color w:val="auto"/>
                <w:szCs w:val="21"/>
                <w:highlight w:val="none"/>
              </w:rPr>
              <w:t>硬件设施分（满分9分）</w:t>
            </w:r>
          </w:p>
        </w:tc>
        <w:tc>
          <w:tcPr>
            <w:tcW w:w="6301" w:type="dxa"/>
            <w:tcBorders>
              <w:top w:val="single" w:color="auto" w:sz="4" w:space="0"/>
              <w:left w:val="single" w:color="auto" w:sz="4" w:space="0"/>
              <w:bottom w:val="single" w:color="auto" w:sz="4" w:space="0"/>
              <w:right w:val="single" w:color="auto" w:sz="4" w:space="0"/>
            </w:tcBorders>
            <w:noWrap w:val="0"/>
            <w:vAlign w:val="center"/>
          </w:tcPr>
          <w:p w14:paraId="69C14334">
            <w:pPr>
              <w:pStyle w:val="27"/>
              <w:spacing w:line="288" w:lineRule="auto"/>
              <w:rPr>
                <w:rFonts w:hint="default" w:ascii="Arial" w:hAnsi="Arial" w:cs="Arial"/>
                <w:bCs/>
                <w:color w:val="auto"/>
                <w:highlight w:val="none"/>
              </w:rPr>
            </w:pPr>
            <w:r>
              <w:rPr>
                <w:rFonts w:hint="default" w:ascii="Arial" w:hAnsi="Arial" w:cs="Arial"/>
                <w:bCs/>
                <w:color w:val="auto"/>
                <w:highlight w:val="none"/>
              </w:rPr>
              <w:t>评标委员会根据投标文件中供应商提供的</w:t>
            </w:r>
            <w:r>
              <w:rPr>
                <w:rFonts w:hint="default" w:ascii="Arial" w:hAnsi="Arial" w:cs="Arial"/>
                <w:bCs/>
                <w:color w:val="auto"/>
                <w:highlight w:val="none"/>
                <w:lang w:val="en-US" w:eastAsia="zh-CN"/>
              </w:rPr>
              <w:t>技术平台</w:t>
            </w:r>
            <w:r>
              <w:rPr>
                <w:rFonts w:hint="default" w:ascii="Arial" w:hAnsi="Arial" w:cs="Arial"/>
                <w:bCs/>
                <w:color w:val="auto"/>
                <w:highlight w:val="none"/>
              </w:rPr>
              <w:t>优劣程度进行综合评审并独立打分：</w:t>
            </w:r>
          </w:p>
          <w:p w14:paraId="50580737">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一档（3分）：提供拟投入本项目设备明细表并列清拟投入设备，所提供设备满足采购需求</w:t>
            </w:r>
            <w:r>
              <w:rPr>
                <w:rFonts w:hint="default" w:ascii="Arial" w:hAnsi="Arial" w:cs="Arial"/>
                <w:bCs/>
                <w:color w:val="auto"/>
                <w:highlight w:val="none"/>
                <w:lang w:eastAsia="zh-CN"/>
              </w:rPr>
              <w:t>，</w:t>
            </w:r>
            <w:r>
              <w:rPr>
                <w:rFonts w:hint="default" w:ascii="Arial" w:hAnsi="Arial" w:cs="Arial"/>
                <w:bCs/>
                <w:color w:val="auto"/>
                <w:highlight w:val="none"/>
                <w:lang w:val="en-US" w:eastAsia="zh-CN"/>
              </w:rPr>
              <w:t>含有第一代测序平台</w:t>
            </w:r>
            <w:r>
              <w:rPr>
                <w:rFonts w:hint="default" w:ascii="Arial" w:hAnsi="Arial" w:cs="Arial"/>
                <w:bCs/>
                <w:color w:val="auto"/>
                <w:highlight w:val="none"/>
              </w:rPr>
              <w:t>；</w:t>
            </w:r>
          </w:p>
          <w:p w14:paraId="11B46905">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二档（6分）：提供拟投入本项目设备明细表并列清拟投入设备</w:t>
            </w:r>
            <w:r>
              <w:rPr>
                <w:rFonts w:hint="default" w:ascii="Arial" w:hAnsi="Arial" w:cs="Arial"/>
                <w:bCs/>
                <w:color w:val="auto"/>
                <w:highlight w:val="none"/>
                <w:lang w:eastAsia="zh-CN"/>
              </w:rPr>
              <w:t>，</w:t>
            </w:r>
            <w:r>
              <w:rPr>
                <w:rFonts w:hint="default" w:ascii="Arial" w:hAnsi="Arial" w:cs="Arial"/>
                <w:bCs/>
                <w:color w:val="auto"/>
                <w:highlight w:val="none"/>
                <w:lang w:val="en-US" w:eastAsia="zh-CN"/>
              </w:rPr>
              <w:t>含有第一代测序平台、第二代测序平台、质谱平台等</w:t>
            </w:r>
            <w:r>
              <w:rPr>
                <w:rFonts w:hint="default" w:ascii="Arial" w:hAnsi="Arial" w:cs="Arial"/>
                <w:bCs/>
                <w:color w:val="auto"/>
                <w:highlight w:val="none"/>
              </w:rPr>
              <w:t>，所提供设备均出自正规有资质厂家，所提供设备符合国家安全、质量要求，投标文件中提供相关证明材料（包括主要设备合格证、税票及简介，主要设备生产厂家简介、资质等）；</w:t>
            </w:r>
          </w:p>
          <w:p w14:paraId="3E7E200D">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三档（9分）：提供拟投入本项目设备明细表并列清拟投入设备，</w:t>
            </w:r>
            <w:r>
              <w:rPr>
                <w:rFonts w:hint="default" w:ascii="Arial" w:hAnsi="Arial" w:cs="Arial"/>
                <w:bCs/>
                <w:color w:val="auto"/>
                <w:highlight w:val="none"/>
                <w:lang w:val="en-US" w:eastAsia="zh-CN"/>
              </w:rPr>
              <w:t>含有</w:t>
            </w:r>
            <w:r>
              <w:rPr>
                <w:rFonts w:hint="default" w:ascii="Arial" w:hAnsi="Arial" w:eastAsia="宋体" w:cs="Arial"/>
                <w:color w:val="auto"/>
                <w:sz w:val="21"/>
                <w:szCs w:val="21"/>
                <w:highlight w:val="none"/>
                <w:lang w:val="en-US" w:eastAsia="zh-CN"/>
              </w:rPr>
              <w:t>第一代基因测序平台、第二代基因测序平台、质谱平台、流式细胞仪平台、</w:t>
            </w:r>
            <w:r>
              <w:rPr>
                <w:rFonts w:hint="default" w:ascii="Arial" w:hAnsi="Arial" w:cs="Arial"/>
                <w:color w:val="auto"/>
                <w:sz w:val="21"/>
                <w:szCs w:val="21"/>
                <w:highlight w:val="none"/>
                <w:lang w:val="en-US" w:eastAsia="zh-CN"/>
              </w:rPr>
              <w:t>血液平台、免疫平台</w:t>
            </w:r>
            <w:r>
              <w:rPr>
                <w:rFonts w:hint="default" w:ascii="Arial" w:hAnsi="Arial" w:eastAsia="宋体" w:cs="Arial"/>
                <w:color w:val="auto"/>
                <w:sz w:val="21"/>
                <w:szCs w:val="21"/>
                <w:highlight w:val="none"/>
                <w:lang w:val="en-US" w:eastAsia="zh-CN"/>
              </w:rPr>
              <w:t>等，</w:t>
            </w:r>
            <w:r>
              <w:rPr>
                <w:rFonts w:hint="default" w:ascii="Arial" w:hAnsi="Arial" w:cs="Arial"/>
                <w:bCs/>
                <w:color w:val="auto"/>
                <w:highlight w:val="none"/>
              </w:rPr>
              <w:t>所提供设备均出自正规有资质的厂家，所提供设备符合国家安全、质量要求，同时具有实用性、设备先进。投标文件中提供相关证明材料（包括主要设备合格证、税票及简介，主要设备生产厂家简介、资质等）。</w:t>
            </w:r>
          </w:p>
          <w:p w14:paraId="30961BE8">
            <w:pPr>
              <w:pStyle w:val="27"/>
              <w:spacing w:line="288" w:lineRule="auto"/>
              <w:ind w:firstLine="420" w:firstLineChars="200"/>
              <w:rPr>
                <w:rFonts w:hint="default" w:ascii="Arial" w:hAnsi="Arial" w:cs="Arial"/>
                <w:color w:val="auto"/>
                <w:highlight w:val="none"/>
              </w:rPr>
            </w:pPr>
            <w:r>
              <w:rPr>
                <w:rFonts w:hint="default" w:ascii="Arial" w:hAnsi="Arial" w:cs="Arial"/>
                <w:bCs/>
                <w:color w:val="auto"/>
                <w:highlight w:val="none"/>
              </w:rPr>
              <w:t>注：未提供仪器设备情况或未满足要求不得分；</w:t>
            </w:r>
          </w:p>
        </w:tc>
      </w:tr>
      <w:tr w14:paraId="44F1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tcBorders>
              <w:left w:val="single" w:color="auto" w:sz="4" w:space="0"/>
              <w:right w:val="single" w:color="auto" w:sz="4" w:space="0"/>
            </w:tcBorders>
            <w:noWrap w:val="0"/>
            <w:vAlign w:val="center"/>
          </w:tcPr>
          <w:p w14:paraId="347FA902">
            <w:pPr>
              <w:adjustRightInd w:val="0"/>
              <w:spacing w:line="400" w:lineRule="exact"/>
              <w:jc w:val="center"/>
              <w:textAlignment w:val="baseline"/>
              <w:rPr>
                <w:rFonts w:hint="default" w:ascii="Arial" w:hAnsi="Arial" w:eastAsia="宋体" w:cs="Arial"/>
                <w:b/>
                <w:color w:val="auto"/>
                <w:szCs w:val="21"/>
                <w:highlight w:val="none"/>
              </w:rPr>
            </w:pPr>
          </w:p>
        </w:tc>
        <w:tc>
          <w:tcPr>
            <w:tcW w:w="966" w:type="dxa"/>
            <w:vMerge w:val="continue"/>
            <w:tcBorders>
              <w:left w:val="single" w:color="auto" w:sz="4" w:space="0"/>
              <w:right w:val="single" w:color="auto" w:sz="4" w:space="0"/>
            </w:tcBorders>
            <w:noWrap w:val="0"/>
            <w:vAlign w:val="center"/>
          </w:tcPr>
          <w:p w14:paraId="4561FAFD">
            <w:pPr>
              <w:adjustRightInd w:val="0"/>
              <w:spacing w:line="400" w:lineRule="exact"/>
              <w:ind w:left="-105" w:leftChars="-50" w:right="-105" w:rightChars="-50"/>
              <w:jc w:val="center"/>
              <w:textAlignment w:val="baseline"/>
              <w:rPr>
                <w:rFonts w:hint="default" w:ascii="Arial" w:hAnsi="Arial" w:eastAsia="宋体" w:cs="Arial"/>
                <w:b/>
                <w:bCs/>
                <w:color w:val="auto"/>
                <w:szCs w:val="21"/>
                <w:highlight w:val="none"/>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14:paraId="54E9331F">
            <w:pPr>
              <w:pStyle w:val="27"/>
              <w:spacing w:line="400" w:lineRule="exact"/>
              <w:jc w:val="center"/>
              <w:rPr>
                <w:rFonts w:hint="default" w:ascii="Arial" w:hAnsi="Arial" w:cs="Arial"/>
                <w:bCs/>
                <w:color w:val="auto"/>
                <w:highlight w:val="none"/>
              </w:rPr>
            </w:pPr>
            <w:r>
              <w:rPr>
                <w:rFonts w:hint="default" w:ascii="Arial" w:hAnsi="Arial" w:cs="Arial"/>
                <w:bCs/>
                <w:color w:val="auto"/>
                <w:highlight w:val="none"/>
              </w:rPr>
              <w:t>应急预案</w:t>
            </w:r>
          </w:p>
          <w:p w14:paraId="159C5E0F">
            <w:pPr>
              <w:pStyle w:val="27"/>
              <w:spacing w:line="400" w:lineRule="exact"/>
              <w:rPr>
                <w:rFonts w:hint="default" w:ascii="Arial" w:hAnsi="Arial" w:cs="Arial"/>
                <w:bCs/>
                <w:color w:val="auto"/>
                <w:highlight w:val="none"/>
              </w:rPr>
            </w:pPr>
            <w:r>
              <w:rPr>
                <w:rFonts w:hint="default" w:ascii="Arial" w:hAnsi="Arial" w:cs="Arial"/>
                <w:bCs/>
                <w:color w:val="auto"/>
                <w:highlight w:val="none"/>
              </w:rPr>
              <w:t>（满分9分）</w:t>
            </w:r>
          </w:p>
        </w:tc>
        <w:tc>
          <w:tcPr>
            <w:tcW w:w="6301" w:type="dxa"/>
            <w:tcBorders>
              <w:top w:val="single" w:color="auto" w:sz="4" w:space="0"/>
              <w:left w:val="single" w:color="auto" w:sz="4" w:space="0"/>
              <w:bottom w:val="single" w:color="auto" w:sz="4" w:space="0"/>
              <w:right w:val="single" w:color="auto" w:sz="4" w:space="0"/>
            </w:tcBorders>
            <w:noWrap w:val="0"/>
            <w:vAlign w:val="top"/>
          </w:tcPr>
          <w:p w14:paraId="2F45E5F3">
            <w:pPr>
              <w:pStyle w:val="27"/>
              <w:spacing w:line="288" w:lineRule="auto"/>
              <w:ind w:firstLine="420" w:firstLineChars="200"/>
              <w:rPr>
                <w:rFonts w:hint="default" w:ascii="Arial" w:hAnsi="Arial" w:cs="Arial"/>
                <w:bCs/>
                <w:color w:val="auto"/>
                <w:highlight w:val="none"/>
              </w:rPr>
            </w:pPr>
            <w:r>
              <w:rPr>
                <w:rFonts w:hint="default" w:ascii="Arial" w:hAnsi="Arial" w:cs="Arial"/>
                <w:bCs/>
                <w:color w:val="auto"/>
                <w:highlight w:val="none"/>
              </w:rPr>
              <w:t>评标委员会根据投标文件中供应商提供的应急预案</w:t>
            </w:r>
            <w:r>
              <w:rPr>
                <w:rFonts w:hint="default" w:ascii="Arial" w:hAnsi="Arial" w:cs="Arial"/>
                <w:color w:val="auto"/>
                <w:highlight w:val="none"/>
                <w:lang w:eastAsia="zh-CN"/>
              </w:rPr>
              <w:t>（包括生物安全事故、HIV职业暴露紧急、化学品泄漏应急处理、电气设备故障应急、火灾应急处理、人员紧急撤离等突发事件应急处理方案）</w:t>
            </w:r>
            <w:r>
              <w:rPr>
                <w:rFonts w:hint="default" w:ascii="Arial" w:hAnsi="Arial" w:cs="Arial"/>
                <w:bCs/>
                <w:color w:val="auto"/>
                <w:highlight w:val="none"/>
              </w:rPr>
              <w:t>的优劣程度进行综合评审并独立打分：</w:t>
            </w:r>
          </w:p>
          <w:p w14:paraId="33FB213B">
            <w:pPr>
              <w:spacing w:line="288" w:lineRule="auto"/>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一档（3分）：应急预案安全保障措施一般</w:t>
            </w:r>
            <w:r>
              <w:rPr>
                <w:rFonts w:hint="default" w:ascii="Arial" w:hAnsi="Arial" w:cs="Arial"/>
                <w:bCs/>
                <w:color w:val="auto"/>
                <w:szCs w:val="21"/>
                <w:highlight w:val="none"/>
                <w:lang w:eastAsia="zh-CN"/>
              </w:rPr>
              <w:t>，</w:t>
            </w:r>
            <w:r>
              <w:rPr>
                <w:rFonts w:hint="default" w:ascii="Arial" w:hAnsi="Arial" w:cs="Arial"/>
                <w:color w:val="auto"/>
                <w:highlight w:val="none"/>
                <w:lang w:eastAsia="zh-CN"/>
              </w:rPr>
              <w:t>方案覆盖的突发事件场景≤</w:t>
            </w:r>
            <w:r>
              <w:rPr>
                <w:rFonts w:hint="default" w:ascii="Arial" w:hAnsi="Arial" w:cs="Arial"/>
                <w:color w:val="auto"/>
                <w:highlight w:val="none"/>
                <w:lang w:val="en-US" w:eastAsia="zh-CN"/>
              </w:rPr>
              <w:t>3</w:t>
            </w:r>
            <w:r>
              <w:rPr>
                <w:rFonts w:hint="default" w:ascii="Arial" w:hAnsi="Arial" w:cs="Arial"/>
                <w:color w:val="auto"/>
                <w:highlight w:val="none"/>
                <w:lang w:eastAsia="zh-CN"/>
              </w:rPr>
              <w:t>类</w:t>
            </w:r>
            <w:r>
              <w:rPr>
                <w:rFonts w:hint="default" w:ascii="Arial" w:hAnsi="Arial" w:eastAsia="宋体" w:cs="Arial"/>
                <w:bCs/>
                <w:color w:val="auto"/>
                <w:szCs w:val="21"/>
                <w:highlight w:val="none"/>
              </w:rPr>
              <w:t>；</w:t>
            </w:r>
          </w:p>
          <w:p w14:paraId="7377376B">
            <w:pPr>
              <w:spacing w:line="288" w:lineRule="auto"/>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二档（6分）：应急预案安全保障措施较完善、可行</w:t>
            </w:r>
            <w:r>
              <w:rPr>
                <w:rFonts w:hint="default" w:ascii="Arial" w:hAnsi="Arial" w:cs="Arial"/>
                <w:bCs/>
                <w:color w:val="auto"/>
                <w:szCs w:val="21"/>
                <w:highlight w:val="none"/>
                <w:lang w:eastAsia="zh-CN"/>
              </w:rPr>
              <w:t>，</w:t>
            </w:r>
            <w:r>
              <w:rPr>
                <w:rFonts w:hint="default" w:ascii="Arial" w:hAnsi="Arial" w:cs="Arial"/>
                <w:color w:val="auto"/>
                <w:highlight w:val="none"/>
                <w:lang w:eastAsia="zh-CN"/>
              </w:rPr>
              <w:t>方案覆盖 ≥</w:t>
            </w:r>
            <w:r>
              <w:rPr>
                <w:rFonts w:hint="default" w:ascii="Arial" w:hAnsi="Arial" w:cs="Arial"/>
                <w:color w:val="auto"/>
                <w:highlight w:val="none"/>
                <w:lang w:val="en-US" w:eastAsia="zh-CN"/>
              </w:rPr>
              <w:t>4</w:t>
            </w:r>
            <w:r>
              <w:rPr>
                <w:rFonts w:hint="default" w:ascii="Arial" w:hAnsi="Arial" w:cs="Arial"/>
                <w:color w:val="auto"/>
                <w:highlight w:val="none"/>
                <w:lang w:eastAsia="zh-CN"/>
              </w:rPr>
              <w:t xml:space="preserve"> 类场景</w:t>
            </w:r>
            <w:r>
              <w:rPr>
                <w:rFonts w:hint="default" w:ascii="Arial" w:hAnsi="Arial" w:eastAsia="宋体" w:cs="Arial"/>
                <w:bCs/>
                <w:color w:val="auto"/>
                <w:szCs w:val="21"/>
                <w:highlight w:val="none"/>
              </w:rPr>
              <w:t>；</w:t>
            </w:r>
          </w:p>
          <w:p w14:paraId="05F206FD">
            <w:pPr>
              <w:spacing w:line="288" w:lineRule="auto"/>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三档（9分）：供应商提供满足安全管理制度安全保障措施、消防事故应急处理方案、水电、卫生、交通等突发事件应急处理方案，</w:t>
            </w:r>
            <w:r>
              <w:rPr>
                <w:rFonts w:hint="default" w:ascii="Arial" w:hAnsi="Arial" w:cs="Arial"/>
                <w:color w:val="auto"/>
                <w:highlight w:val="none"/>
                <w:lang w:eastAsia="zh-CN"/>
              </w:rPr>
              <w:t xml:space="preserve">方案覆盖 </w:t>
            </w:r>
            <w:r>
              <w:rPr>
                <w:rFonts w:hint="default" w:ascii="Arial" w:hAnsi="Arial" w:cs="Arial"/>
                <w:color w:val="auto"/>
                <w:highlight w:val="none"/>
                <w:lang w:val="en-US" w:eastAsia="zh-CN"/>
              </w:rPr>
              <w:t>6</w:t>
            </w:r>
            <w:r>
              <w:rPr>
                <w:rFonts w:hint="default" w:ascii="Arial" w:hAnsi="Arial" w:cs="Arial"/>
                <w:color w:val="auto"/>
                <w:highlight w:val="none"/>
                <w:lang w:eastAsia="zh-CN"/>
              </w:rPr>
              <w:t xml:space="preserve"> 类场景，</w:t>
            </w:r>
            <w:r>
              <w:rPr>
                <w:rFonts w:hint="default" w:ascii="Arial" w:hAnsi="Arial" w:eastAsia="宋体" w:cs="Arial"/>
                <w:bCs/>
                <w:color w:val="auto"/>
                <w:szCs w:val="21"/>
                <w:highlight w:val="none"/>
              </w:rPr>
              <w:t>具有针对性。</w:t>
            </w:r>
          </w:p>
          <w:p w14:paraId="044EC135">
            <w:pPr>
              <w:spacing w:line="288" w:lineRule="auto"/>
              <w:ind w:firstLine="420" w:firstLineChars="200"/>
              <w:rPr>
                <w:rFonts w:hint="default" w:ascii="Arial" w:hAnsi="Arial" w:eastAsia="宋体" w:cs="Arial"/>
                <w:bCs/>
                <w:color w:val="auto"/>
                <w:szCs w:val="21"/>
                <w:highlight w:val="none"/>
              </w:rPr>
            </w:pPr>
            <w:r>
              <w:rPr>
                <w:rFonts w:hint="default" w:ascii="Arial" w:hAnsi="Arial" w:eastAsia="宋体" w:cs="Arial"/>
                <w:bCs/>
                <w:color w:val="auto"/>
                <w:szCs w:val="21"/>
                <w:highlight w:val="none"/>
              </w:rPr>
              <w:t>注：未提供应急预案本项不予计分。</w:t>
            </w:r>
          </w:p>
        </w:tc>
      </w:tr>
      <w:tr w14:paraId="4EE8A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restart"/>
            <w:tcBorders>
              <w:left w:val="single" w:color="auto" w:sz="4" w:space="0"/>
              <w:right w:val="single" w:color="auto" w:sz="4" w:space="0"/>
            </w:tcBorders>
            <w:noWrap w:val="0"/>
            <w:vAlign w:val="center"/>
          </w:tcPr>
          <w:p w14:paraId="77759CE1">
            <w:pPr>
              <w:adjustRightInd w:val="0"/>
              <w:spacing w:line="400" w:lineRule="exact"/>
              <w:jc w:val="center"/>
              <w:textAlignment w:val="baseline"/>
              <w:rPr>
                <w:rFonts w:hint="default" w:ascii="Arial" w:hAnsi="Arial" w:eastAsia="宋体" w:cs="Arial"/>
                <w:b/>
                <w:color w:val="auto"/>
                <w:szCs w:val="21"/>
                <w:highlight w:val="none"/>
              </w:rPr>
            </w:pPr>
            <w:r>
              <w:rPr>
                <w:rFonts w:hint="default" w:ascii="Arial" w:hAnsi="Arial" w:eastAsia="宋体" w:cs="Arial"/>
                <w:b/>
                <w:color w:val="auto"/>
                <w:szCs w:val="21"/>
                <w:highlight w:val="none"/>
              </w:rPr>
              <w:t>2</w:t>
            </w:r>
          </w:p>
        </w:tc>
        <w:tc>
          <w:tcPr>
            <w:tcW w:w="966" w:type="dxa"/>
            <w:vMerge w:val="restart"/>
            <w:tcBorders>
              <w:left w:val="single" w:color="auto" w:sz="4" w:space="0"/>
              <w:right w:val="single" w:color="auto" w:sz="4" w:space="0"/>
            </w:tcBorders>
            <w:noWrap w:val="0"/>
            <w:vAlign w:val="center"/>
          </w:tcPr>
          <w:p w14:paraId="4DBEA550">
            <w:pPr>
              <w:spacing w:line="400" w:lineRule="exact"/>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商务资信分</w:t>
            </w:r>
          </w:p>
          <w:p w14:paraId="4DB7B87A">
            <w:pPr>
              <w:spacing w:line="400" w:lineRule="exact"/>
              <w:jc w:val="center"/>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w:t>
            </w:r>
            <w:r>
              <w:rPr>
                <w:rFonts w:hint="default" w:ascii="Arial" w:hAnsi="Arial" w:eastAsia="宋体" w:cs="Arial"/>
                <w:b/>
                <w:color w:val="auto"/>
                <w:szCs w:val="21"/>
                <w:highlight w:val="none"/>
              </w:rPr>
              <w:t>满分</w:t>
            </w:r>
            <w:r>
              <w:rPr>
                <w:rFonts w:hint="eastAsia" w:ascii="Arial" w:hAnsi="Arial" w:eastAsia="宋体" w:cs="Arial"/>
                <w:b/>
                <w:color w:val="auto"/>
                <w:szCs w:val="21"/>
                <w:highlight w:val="none"/>
                <w:lang w:val="en-US" w:eastAsia="zh-CN"/>
              </w:rPr>
              <w:t>2</w:t>
            </w:r>
            <w:r>
              <w:rPr>
                <w:rFonts w:hint="eastAsia" w:ascii="Arial" w:hAnsi="Arial" w:cs="Arial"/>
                <w:b/>
                <w:color w:val="auto"/>
                <w:szCs w:val="21"/>
                <w:highlight w:val="none"/>
                <w:lang w:val="en-US" w:eastAsia="zh-CN"/>
              </w:rPr>
              <w:t>4</w:t>
            </w:r>
            <w:r>
              <w:rPr>
                <w:rFonts w:hint="default" w:ascii="Arial" w:hAnsi="Arial" w:eastAsia="宋体" w:cs="Arial"/>
                <w:b/>
                <w:color w:val="auto"/>
                <w:szCs w:val="21"/>
                <w:highlight w:val="none"/>
              </w:rPr>
              <w:t>分</w:t>
            </w:r>
            <w:r>
              <w:rPr>
                <w:rFonts w:hint="default" w:ascii="Arial" w:hAnsi="Arial" w:eastAsia="宋体" w:cs="Arial"/>
                <w:b/>
                <w:bCs/>
                <w:color w:val="auto"/>
                <w:szCs w:val="21"/>
                <w:highlight w:val="none"/>
              </w:rPr>
              <w:t>）</w:t>
            </w:r>
          </w:p>
        </w:tc>
        <w:tc>
          <w:tcPr>
            <w:tcW w:w="1308" w:type="dxa"/>
            <w:tcBorders>
              <w:top w:val="single" w:color="auto" w:sz="4" w:space="0"/>
              <w:left w:val="single" w:color="auto" w:sz="4" w:space="0"/>
              <w:bottom w:val="single" w:color="auto" w:sz="4" w:space="0"/>
              <w:right w:val="single" w:color="auto" w:sz="4" w:space="0"/>
            </w:tcBorders>
            <w:noWrap w:val="0"/>
            <w:vAlign w:val="center"/>
          </w:tcPr>
          <w:p w14:paraId="31D3BBCC">
            <w:pPr>
              <w:pStyle w:val="27"/>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Cs/>
                <w:color w:val="auto"/>
                <w:highlight w:val="none"/>
              </w:rPr>
            </w:pPr>
            <w:r>
              <w:rPr>
                <w:rFonts w:hint="default" w:ascii="Arial" w:hAnsi="Arial" w:cs="Arial"/>
                <w:b/>
                <w:bCs/>
                <w:color w:val="auto"/>
                <w:highlight w:val="none"/>
                <w:lang w:eastAsia="zh-CN"/>
              </w:rPr>
              <w:t>人员配备方案</w:t>
            </w:r>
            <w:r>
              <w:rPr>
                <w:rFonts w:hint="default" w:ascii="Arial" w:hAnsi="Arial" w:cs="Arial"/>
                <w:b/>
                <w:bCs/>
                <w:color w:val="auto"/>
                <w:kern w:val="0"/>
                <w:highlight w:val="none"/>
                <w:lang w:eastAsia="zh-CN" w:bidi="ar"/>
              </w:rPr>
              <w:t>分</w:t>
            </w:r>
            <w:r>
              <w:rPr>
                <w:rFonts w:hint="default" w:ascii="Arial" w:hAnsi="Arial" w:eastAsia="宋体" w:cs="Arial"/>
                <w:b/>
                <w:bCs/>
                <w:color w:val="auto"/>
                <w:kern w:val="21"/>
                <w:sz w:val="21"/>
                <w:szCs w:val="21"/>
                <w:highlight w:val="none"/>
                <w:lang w:val="en-US" w:eastAsia="zh-CN" w:bidi="ar-SA"/>
              </w:rPr>
              <w:t>（满分</w:t>
            </w:r>
            <w:r>
              <w:rPr>
                <w:rFonts w:hint="eastAsia" w:ascii="Arial" w:hAnsi="Arial" w:cs="Arial"/>
                <w:b/>
                <w:bCs/>
                <w:color w:val="auto"/>
                <w:kern w:val="21"/>
                <w:sz w:val="21"/>
                <w:szCs w:val="21"/>
                <w:highlight w:val="none"/>
                <w:lang w:val="en-US" w:eastAsia="zh-CN" w:bidi="ar-SA"/>
              </w:rPr>
              <w:t>9</w:t>
            </w:r>
            <w:r>
              <w:rPr>
                <w:rFonts w:hint="default" w:ascii="Arial" w:hAnsi="Arial" w:eastAsia="宋体" w:cs="Arial"/>
                <w:b/>
                <w:bCs/>
                <w:color w:val="auto"/>
                <w:kern w:val="21"/>
                <w:sz w:val="21"/>
                <w:szCs w:val="21"/>
                <w:highlight w:val="none"/>
                <w:lang w:val="en-US" w:eastAsia="zh-CN" w:bidi="ar-SA"/>
              </w:rPr>
              <w:t>分）</w:t>
            </w:r>
          </w:p>
        </w:tc>
        <w:tc>
          <w:tcPr>
            <w:tcW w:w="6301" w:type="dxa"/>
            <w:tcBorders>
              <w:top w:val="single" w:color="auto" w:sz="4" w:space="0"/>
              <w:left w:val="single" w:color="auto" w:sz="4" w:space="0"/>
              <w:bottom w:val="single" w:color="auto" w:sz="4" w:space="0"/>
              <w:right w:val="single" w:color="auto" w:sz="4" w:space="0"/>
            </w:tcBorders>
            <w:noWrap w:val="0"/>
            <w:vAlign w:val="top"/>
          </w:tcPr>
          <w:p w14:paraId="56DF4549">
            <w:pPr>
              <w:keepNext w:val="0"/>
              <w:keepLines w:val="0"/>
              <w:pageBreakBefore w:val="0"/>
              <w:widowControl w:val="0"/>
              <w:kinsoku/>
              <w:wordWrap/>
              <w:overflowPunct/>
              <w:topLinePunct w:val="0"/>
              <w:autoSpaceDE/>
              <w:autoSpaceDN/>
              <w:bidi w:val="0"/>
              <w:adjustRightInd/>
              <w:snapToGrid/>
              <w:spacing w:line="312" w:lineRule="auto"/>
              <w:ind w:left="105" w:leftChars="50" w:right="42" w:rightChars="20"/>
              <w:textAlignment w:val="auto"/>
              <w:rPr>
                <w:rFonts w:hint="default" w:ascii="Arial" w:hAnsi="Arial" w:eastAsia="宋体" w:cs="Arial"/>
                <w:color w:val="auto"/>
                <w:spacing w:val="7"/>
                <w:highlight w:val="none"/>
                <w:lang w:eastAsia="zh-CN"/>
              </w:rPr>
            </w:pPr>
            <w:r>
              <w:rPr>
                <w:rFonts w:hint="default" w:ascii="Arial" w:hAnsi="Arial" w:eastAsia="宋体" w:cs="Arial"/>
                <w:color w:val="auto"/>
                <w:spacing w:val="7"/>
                <w:highlight w:val="none"/>
                <w:lang w:eastAsia="zh-CN"/>
              </w:rPr>
              <w:t>①</w:t>
            </w:r>
            <w:r>
              <w:rPr>
                <w:rFonts w:hint="default" w:ascii="Arial" w:hAnsi="Arial" w:cs="Arial"/>
                <w:color w:val="auto"/>
                <w:kern w:val="0"/>
                <w:highlight w:val="none"/>
                <w:lang w:eastAsia="zh-CN" w:bidi="ar"/>
              </w:rPr>
              <w:t>拟投入本项目从事检验或病理业务相关工作人员具有相关专业（包括但不限于</w:t>
            </w:r>
            <w:r>
              <w:rPr>
                <w:rFonts w:hint="default" w:ascii="Arial" w:hAnsi="Arial" w:cs="Arial"/>
                <w:color w:val="auto"/>
                <w:highlight w:val="none"/>
              </w:rPr>
              <w:t>临床医学检验技术、病理学技术、临床执业医师等</w:t>
            </w:r>
            <w:r>
              <w:rPr>
                <w:rFonts w:hint="default" w:ascii="Arial" w:hAnsi="Arial" w:cs="Arial"/>
                <w:color w:val="auto"/>
                <w:kern w:val="0"/>
                <w:highlight w:val="none"/>
                <w:lang w:eastAsia="zh-CN" w:bidi="ar"/>
              </w:rPr>
              <w:t>）</w:t>
            </w:r>
            <w:r>
              <w:rPr>
                <w:rFonts w:hint="default" w:ascii="Arial" w:hAnsi="Arial" w:cs="Arial"/>
                <w:color w:val="auto"/>
                <w:kern w:val="0"/>
                <w:highlight w:val="none"/>
                <w:lang w:val="en-US" w:eastAsia="zh-CN" w:bidi="ar"/>
              </w:rPr>
              <w:t>，</w:t>
            </w:r>
            <w:r>
              <w:rPr>
                <w:rFonts w:hint="default" w:ascii="Arial" w:hAnsi="Arial" w:cs="Arial"/>
                <w:color w:val="auto"/>
                <w:kern w:val="0"/>
                <w:highlight w:val="none"/>
                <w:lang w:eastAsia="zh-CN" w:bidi="ar"/>
              </w:rPr>
              <w:t>具有中级技术职称的，每提供一个得</w:t>
            </w:r>
            <w:r>
              <w:rPr>
                <w:rFonts w:hint="default" w:ascii="Arial" w:hAnsi="Arial" w:cs="Arial"/>
                <w:color w:val="auto"/>
                <w:kern w:val="0"/>
                <w:highlight w:val="none"/>
                <w:lang w:val="en-US" w:eastAsia="zh-CN" w:bidi="ar"/>
              </w:rPr>
              <w:t>0.5</w:t>
            </w:r>
            <w:r>
              <w:rPr>
                <w:rFonts w:hint="default" w:ascii="Arial" w:hAnsi="Arial" w:cs="Arial"/>
                <w:color w:val="auto"/>
                <w:kern w:val="0"/>
                <w:highlight w:val="none"/>
                <w:lang w:eastAsia="zh-CN" w:bidi="ar"/>
              </w:rPr>
              <w:t>分，满分</w:t>
            </w:r>
            <w:r>
              <w:rPr>
                <w:rFonts w:hint="eastAsia" w:ascii="Arial" w:hAnsi="Arial" w:cs="Arial"/>
                <w:color w:val="auto"/>
                <w:kern w:val="0"/>
                <w:highlight w:val="none"/>
                <w:lang w:val="en-US" w:eastAsia="zh-CN" w:bidi="ar"/>
              </w:rPr>
              <w:t>7</w:t>
            </w:r>
            <w:r>
              <w:rPr>
                <w:rFonts w:hint="default" w:ascii="Arial" w:hAnsi="Arial" w:cs="Arial"/>
                <w:color w:val="auto"/>
                <w:kern w:val="0"/>
                <w:highlight w:val="none"/>
                <w:lang w:eastAsia="zh-CN" w:bidi="ar"/>
              </w:rPr>
              <w:t>分。</w:t>
            </w:r>
          </w:p>
          <w:p w14:paraId="5D553C3D">
            <w:pPr>
              <w:keepNext w:val="0"/>
              <w:keepLines w:val="0"/>
              <w:pageBreakBefore w:val="0"/>
              <w:widowControl w:val="0"/>
              <w:kinsoku/>
              <w:wordWrap/>
              <w:overflowPunct/>
              <w:topLinePunct w:val="0"/>
              <w:autoSpaceDE/>
              <w:autoSpaceDN/>
              <w:bidi w:val="0"/>
              <w:adjustRightInd/>
              <w:snapToGrid/>
              <w:spacing w:line="312" w:lineRule="auto"/>
              <w:ind w:left="105" w:leftChars="50" w:right="42" w:rightChars="20"/>
              <w:textAlignment w:val="auto"/>
              <w:rPr>
                <w:rFonts w:hint="default" w:ascii="Arial" w:hAnsi="Arial" w:cs="Arial"/>
                <w:color w:val="auto"/>
                <w:highlight w:val="none"/>
              </w:rPr>
            </w:pPr>
            <w:r>
              <w:rPr>
                <w:rFonts w:hint="default" w:ascii="Arial" w:hAnsi="Arial" w:eastAsia="宋体" w:cs="Arial"/>
                <w:color w:val="auto"/>
                <w:spacing w:val="7"/>
                <w:highlight w:val="none"/>
                <w:lang w:eastAsia="zh-CN"/>
              </w:rPr>
              <w:t>②</w:t>
            </w:r>
            <w:r>
              <w:rPr>
                <w:rFonts w:hint="default" w:ascii="Arial" w:hAnsi="Arial" w:cs="Arial"/>
                <w:color w:val="auto"/>
                <w:kern w:val="0"/>
                <w:highlight w:val="none"/>
                <w:lang w:eastAsia="zh-CN" w:bidi="ar"/>
              </w:rPr>
              <w:t>拟投入本项目从事检验或病理业务相关工作人员具有相关专业（包括但不限于</w:t>
            </w:r>
            <w:r>
              <w:rPr>
                <w:rFonts w:hint="default" w:ascii="Arial" w:hAnsi="Arial" w:cs="Arial"/>
                <w:color w:val="auto"/>
                <w:highlight w:val="none"/>
              </w:rPr>
              <w:t>临床医学检验技术、病理学技术、临床执业医师等</w:t>
            </w:r>
            <w:r>
              <w:rPr>
                <w:rFonts w:hint="default" w:ascii="Arial" w:hAnsi="Arial" w:cs="Arial"/>
                <w:color w:val="auto"/>
                <w:kern w:val="0"/>
                <w:highlight w:val="none"/>
                <w:lang w:eastAsia="zh-CN" w:bidi="ar"/>
              </w:rPr>
              <w:t>）副高</w:t>
            </w:r>
            <w:r>
              <w:rPr>
                <w:rFonts w:hint="default" w:ascii="Arial" w:hAnsi="Arial" w:cs="Arial"/>
                <w:color w:val="auto"/>
                <w:kern w:val="0"/>
                <w:highlight w:val="none"/>
                <w:lang w:val="en-US" w:eastAsia="zh-CN" w:bidi="ar"/>
              </w:rPr>
              <w:t>及</w:t>
            </w:r>
            <w:r>
              <w:rPr>
                <w:rFonts w:hint="default" w:ascii="Arial" w:hAnsi="Arial" w:cs="Arial"/>
                <w:color w:val="auto"/>
                <w:kern w:val="0"/>
                <w:highlight w:val="none"/>
                <w:lang w:eastAsia="zh-CN" w:bidi="ar"/>
              </w:rPr>
              <w:t xml:space="preserve">以上职称的，每提供一个得 </w:t>
            </w:r>
            <w:r>
              <w:rPr>
                <w:rFonts w:hint="default" w:ascii="Arial" w:hAnsi="Arial" w:cs="Arial"/>
                <w:color w:val="auto"/>
                <w:kern w:val="0"/>
                <w:highlight w:val="none"/>
                <w:lang w:val="en-US" w:eastAsia="zh-CN" w:bidi="ar"/>
              </w:rPr>
              <w:t>1</w:t>
            </w:r>
            <w:r>
              <w:rPr>
                <w:rFonts w:hint="default" w:ascii="Arial" w:hAnsi="Arial" w:cs="Arial"/>
                <w:color w:val="auto"/>
                <w:kern w:val="0"/>
                <w:highlight w:val="none"/>
                <w:lang w:eastAsia="zh-CN" w:bidi="ar"/>
              </w:rPr>
              <w:t>分，</w:t>
            </w:r>
            <w:r>
              <w:rPr>
                <w:rFonts w:hint="default" w:ascii="Arial" w:hAnsi="Arial" w:cs="Arial"/>
                <w:color w:val="auto"/>
                <w:kern w:val="0"/>
                <w:highlight w:val="none"/>
                <w:lang w:val="en-US" w:eastAsia="zh-CN" w:bidi="ar"/>
              </w:rPr>
              <w:t>满分</w:t>
            </w:r>
            <w:r>
              <w:rPr>
                <w:rFonts w:hint="eastAsia" w:ascii="Arial" w:hAnsi="Arial" w:cs="Arial"/>
                <w:color w:val="auto"/>
                <w:kern w:val="0"/>
                <w:highlight w:val="none"/>
                <w:lang w:val="en-US" w:eastAsia="zh-CN" w:bidi="ar"/>
              </w:rPr>
              <w:t>2</w:t>
            </w:r>
            <w:r>
              <w:rPr>
                <w:rFonts w:hint="default" w:ascii="Arial" w:hAnsi="Arial" w:cs="Arial"/>
                <w:color w:val="auto"/>
                <w:kern w:val="0"/>
                <w:highlight w:val="none"/>
                <w:lang w:val="en-US" w:eastAsia="zh-CN" w:bidi="ar"/>
              </w:rPr>
              <w:t>分</w:t>
            </w:r>
            <w:r>
              <w:rPr>
                <w:rFonts w:hint="default" w:ascii="Arial" w:hAnsi="Arial" w:cs="Arial"/>
                <w:color w:val="auto"/>
                <w:kern w:val="0"/>
                <w:highlight w:val="none"/>
                <w:lang w:eastAsia="zh-CN" w:bidi="ar"/>
              </w:rPr>
              <w:t>。</w:t>
            </w:r>
          </w:p>
          <w:p w14:paraId="4AC863E1">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Arial" w:hAnsi="Arial" w:eastAsia="宋体" w:cs="Arial"/>
                <w:bCs/>
                <w:color w:val="auto"/>
                <w:szCs w:val="21"/>
                <w:highlight w:val="none"/>
              </w:rPr>
            </w:pPr>
            <w:r>
              <w:rPr>
                <w:rFonts w:hint="default" w:ascii="Arial" w:hAnsi="Arial" w:cs="Arial"/>
                <w:color w:val="auto"/>
                <w:kern w:val="0"/>
                <w:highlight w:val="none"/>
                <w:lang w:eastAsia="zh-CN" w:bidi="ar"/>
              </w:rPr>
              <w:t>注：须提供人员一览表、职称证书复印件及在职证明材料（包括</w:t>
            </w:r>
            <w:r>
              <w:rPr>
                <w:rFonts w:hint="default" w:ascii="Arial" w:hAnsi="Arial" w:cs="Arial"/>
                <w:color w:val="auto"/>
                <w:highlight w:val="none"/>
                <w:lang w:eastAsia="zh-CN"/>
              </w:rPr>
              <w:t>供应商</w:t>
            </w:r>
            <w:r>
              <w:rPr>
                <w:rFonts w:hint="default" w:ascii="Arial" w:hAnsi="Arial" w:cs="Arial"/>
                <w:color w:val="auto"/>
                <w:highlight w:val="none"/>
              </w:rPr>
              <w:t>为其依法缴纳</w:t>
            </w:r>
            <w:r>
              <w:rPr>
                <w:rFonts w:hint="default" w:ascii="Arial" w:hAnsi="Arial" w:cs="Arial"/>
                <w:color w:val="auto"/>
                <w:kern w:val="0"/>
                <w:highlight w:val="none"/>
                <w:lang w:eastAsia="zh-CN" w:bidi="ar"/>
              </w:rPr>
              <w:t>投标截止日前</w:t>
            </w:r>
            <w:r>
              <w:rPr>
                <w:rFonts w:hint="default" w:ascii="Arial" w:hAnsi="Arial" w:cs="Arial"/>
                <w:color w:val="auto"/>
                <w:kern w:val="0"/>
                <w:highlight w:val="none"/>
                <w:lang w:val="en-US" w:eastAsia="zh-CN" w:bidi="ar"/>
              </w:rPr>
              <w:t>6个月</w:t>
            </w:r>
            <w:r>
              <w:rPr>
                <w:rFonts w:hint="default" w:ascii="Arial" w:hAnsi="Arial" w:cs="Arial"/>
                <w:color w:val="auto"/>
                <w:kern w:val="0"/>
                <w:highlight w:val="none"/>
                <w:lang w:eastAsia="zh-CN" w:bidi="ar"/>
              </w:rPr>
              <w:t>内</w:t>
            </w:r>
            <w:r>
              <w:rPr>
                <w:rFonts w:hint="eastAsia" w:ascii="Arial" w:hAnsi="Arial" w:cs="Arial"/>
                <w:color w:val="auto"/>
                <w:kern w:val="0"/>
                <w:highlight w:val="none"/>
                <w:lang w:val="en-US" w:eastAsia="zh-CN" w:bidi="ar"/>
              </w:rPr>
              <w:t>任意1个月</w:t>
            </w:r>
            <w:r>
              <w:rPr>
                <w:rFonts w:hint="default" w:ascii="Arial" w:hAnsi="Arial" w:cs="Arial"/>
                <w:color w:val="auto"/>
                <w:highlight w:val="none"/>
              </w:rPr>
              <w:t>社保证明</w:t>
            </w:r>
            <w:r>
              <w:rPr>
                <w:rFonts w:hint="default" w:ascii="Arial" w:hAnsi="Arial" w:cs="Arial"/>
                <w:color w:val="auto"/>
                <w:highlight w:val="none"/>
                <w:lang w:val="en-US" w:eastAsia="zh-CN"/>
              </w:rPr>
              <w:t>和</w:t>
            </w:r>
            <w:r>
              <w:rPr>
                <w:rFonts w:hint="default" w:ascii="Arial" w:hAnsi="Arial" w:cs="Arial"/>
                <w:color w:val="auto"/>
                <w:kern w:val="0"/>
                <w:highlight w:val="none"/>
                <w:lang w:eastAsia="zh-CN" w:bidi="ar"/>
              </w:rPr>
              <w:t>劳动合同复印件）的有效证明材料，供应商成立不足一个月的，提供成立以来人员证明材料</w:t>
            </w:r>
            <w:r>
              <w:rPr>
                <w:rFonts w:hint="eastAsia" w:ascii="Arial" w:hAnsi="Arial" w:cs="Arial"/>
                <w:color w:val="auto"/>
                <w:kern w:val="0"/>
                <w:highlight w:val="none"/>
                <w:lang w:eastAsia="zh-CN" w:bidi="ar"/>
              </w:rPr>
              <w:t>，</w:t>
            </w:r>
            <w:r>
              <w:rPr>
                <w:rFonts w:hint="default" w:ascii="Arial" w:hAnsi="Arial" w:cs="Arial"/>
                <w:color w:val="auto"/>
                <w:kern w:val="0"/>
                <w:highlight w:val="none"/>
                <w:lang w:eastAsia="zh-CN" w:bidi="ar"/>
              </w:rPr>
              <w:t>同一人获得多个职称的只按最高级别职称资格证评审得分，不提供不得分。</w:t>
            </w:r>
          </w:p>
        </w:tc>
      </w:tr>
      <w:tr w14:paraId="2609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tcBorders>
              <w:left w:val="single" w:color="auto" w:sz="4" w:space="0"/>
              <w:right w:val="single" w:color="auto" w:sz="4" w:space="0"/>
            </w:tcBorders>
            <w:noWrap w:val="0"/>
            <w:vAlign w:val="center"/>
          </w:tcPr>
          <w:p w14:paraId="4510B8D8">
            <w:pPr>
              <w:adjustRightInd w:val="0"/>
              <w:spacing w:line="400" w:lineRule="exact"/>
              <w:jc w:val="center"/>
              <w:textAlignment w:val="baseline"/>
              <w:rPr>
                <w:rFonts w:hint="default" w:ascii="Arial" w:hAnsi="Arial" w:eastAsia="宋体" w:cs="Arial"/>
                <w:b/>
                <w:color w:val="auto"/>
                <w:szCs w:val="21"/>
                <w:highlight w:val="none"/>
              </w:rPr>
            </w:pPr>
          </w:p>
        </w:tc>
        <w:tc>
          <w:tcPr>
            <w:tcW w:w="966" w:type="dxa"/>
            <w:vMerge w:val="continue"/>
            <w:tcBorders>
              <w:left w:val="single" w:color="auto" w:sz="4" w:space="0"/>
              <w:right w:val="single" w:color="auto" w:sz="4" w:space="0"/>
            </w:tcBorders>
            <w:noWrap w:val="0"/>
            <w:vAlign w:val="center"/>
          </w:tcPr>
          <w:p w14:paraId="50A33428">
            <w:pPr>
              <w:spacing w:line="400" w:lineRule="exact"/>
              <w:jc w:val="center"/>
              <w:rPr>
                <w:rFonts w:hint="default" w:ascii="Arial" w:hAnsi="Arial" w:eastAsia="宋体" w:cs="Arial"/>
                <w:b/>
                <w:bCs/>
                <w:color w:val="auto"/>
                <w:szCs w:val="21"/>
                <w:highlight w:val="none"/>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14:paraId="34E65BE2">
            <w:pPr>
              <w:spacing w:line="400" w:lineRule="exact"/>
              <w:jc w:val="center"/>
              <w:rPr>
                <w:rFonts w:hint="default" w:ascii="Arial" w:hAnsi="Arial" w:eastAsia="宋体" w:cs="Arial"/>
                <w:b/>
                <w:color w:val="auto"/>
                <w:szCs w:val="21"/>
                <w:highlight w:val="none"/>
              </w:rPr>
            </w:pPr>
            <w:r>
              <w:rPr>
                <w:rFonts w:hint="default" w:ascii="Arial" w:hAnsi="Arial" w:eastAsia="宋体" w:cs="Arial"/>
                <w:bCs/>
                <w:color w:val="auto"/>
                <w:szCs w:val="21"/>
                <w:highlight w:val="none"/>
              </w:rPr>
              <w:t>信誉分（满分</w:t>
            </w:r>
            <w:r>
              <w:rPr>
                <w:rFonts w:hint="eastAsia" w:ascii="Arial" w:hAnsi="Arial" w:cs="Arial"/>
                <w:bCs/>
                <w:color w:val="auto"/>
                <w:szCs w:val="21"/>
                <w:highlight w:val="none"/>
                <w:lang w:val="en-US" w:eastAsia="zh-CN"/>
              </w:rPr>
              <w:t>7</w:t>
            </w:r>
            <w:r>
              <w:rPr>
                <w:rFonts w:hint="default" w:ascii="Arial" w:hAnsi="Arial" w:eastAsia="宋体" w:cs="Arial"/>
                <w:bCs/>
                <w:color w:val="auto"/>
                <w:szCs w:val="21"/>
                <w:highlight w:val="none"/>
              </w:rPr>
              <w:t>分）</w:t>
            </w:r>
          </w:p>
        </w:tc>
        <w:tc>
          <w:tcPr>
            <w:tcW w:w="6301" w:type="dxa"/>
            <w:tcBorders>
              <w:top w:val="single" w:color="auto" w:sz="4" w:space="0"/>
              <w:left w:val="single" w:color="auto" w:sz="4" w:space="0"/>
              <w:bottom w:val="single" w:color="auto" w:sz="4" w:space="0"/>
              <w:right w:val="single" w:color="auto" w:sz="4" w:space="0"/>
            </w:tcBorders>
            <w:noWrap w:val="0"/>
            <w:vAlign w:val="top"/>
          </w:tcPr>
          <w:p w14:paraId="1577434B">
            <w:pPr>
              <w:spacing w:line="288" w:lineRule="auto"/>
              <w:rPr>
                <w:rFonts w:hint="default" w:ascii="Arial" w:hAnsi="Arial" w:cs="Arial"/>
                <w:color w:val="auto"/>
                <w:kern w:val="0"/>
                <w:szCs w:val="21"/>
                <w:highlight w:val="none"/>
                <w:lang w:bidi="ar"/>
              </w:rPr>
            </w:pPr>
            <w:r>
              <w:rPr>
                <w:rFonts w:hint="default" w:ascii="Arial" w:hAnsi="Arial" w:cs="Arial"/>
                <w:color w:val="auto"/>
                <w:kern w:val="0"/>
                <w:szCs w:val="21"/>
                <w:highlight w:val="none"/>
                <w:lang w:eastAsia="zh-CN" w:bidi="ar"/>
              </w:rPr>
              <w:t>（</w:t>
            </w:r>
            <w:r>
              <w:rPr>
                <w:rFonts w:hint="default" w:ascii="Arial" w:hAnsi="Arial" w:cs="Arial"/>
                <w:color w:val="auto"/>
                <w:kern w:val="0"/>
                <w:szCs w:val="21"/>
                <w:highlight w:val="none"/>
                <w:lang w:val="en-US" w:eastAsia="zh-CN" w:bidi="ar"/>
              </w:rPr>
              <w:t>1</w:t>
            </w:r>
            <w:r>
              <w:rPr>
                <w:rFonts w:hint="default" w:ascii="Arial" w:hAnsi="Arial" w:cs="Arial"/>
                <w:color w:val="auto"/>
                <w:kern w:val="0"/>
                <w:szCs w:val="21"/>
                <w:highlight w:val="none"/>
                <w:lang w:eastAsia="zh-CN" w:bidi="ar"/>
              </w:rPr>
              <w:t>）</w:t>
            </w:r>
            <w:r>
              <w:rPr>
                <w:rFonts w:hint="default" w:ascii="Arial" w:hAnsi="Arial" w:cs="Arial"/>
                <w:color w:val="auto"/>
                <w:kern w:val="0"/>
                <w:szCs w:val="21"/>
                <w:highlight w:val="none"/>
                <w:lang w:bidi="ar"/>
              </w:rPr>
              <w:t>BRCA1/2基因突变检测，肺癌多基因检测（小PANEL)，每提供1个检测试剂盒获批国家药品监督管理局（NMPA）三类注册证的得</w:t>
            </w:r>
            <w:r>
              <w:rPr>
                <w:rFonts w:hint="eastAsia" w:ascii="Arial" w:hAnsi="Arial" w:cs="Arial"/>
                <w:color w:val="auto"/>
                <w:kern w:val="0"/>
                <w:szCs w:val="21"/>
                <w:highlight w:val="none"/>
                <w:lang w:val="en-US" w:eastAsia="zh-CN" w:bidi="ar"/>
              </w:rPr>
              <w:t>1</w:t>
            </w:r>
            <w:r>
              <w:rPr>
                <w:rFonts w:hint="default" w:ascii="Arial" w:hAnsi="Arial" w:cs="Arial"/>
                <w:color w:val="auto"/>
                <w:kern w:val="0"/>
                <w:szCs w:val="21"/>
                <w:highlight w:val="none"/>
                <w:lang w:bidi="ar"/>
              </w:rPr>
              <w:t>分，满分</w:t>
            </w:r>
            <w:r>
              <w:rPr>
                <w:rFonts w:hint="eastAsia" w:ascii="Arial" w:hAnsi="Arial" w:cs="Arial"/>
                <w:color w:val="auto"/>
                <w:kern w:val="0"/>
                <w:szCs w:val="21"/>
                <w:highlight w:val="none"/>
                <w:lang w:val="en-US" w:eastAsia="zh-CN" w:bidi="ar"/>
              </w:rPr>
              <w:t>2</w:t>
            </w:r>
            <w:r>
              <w:rPr>
                <w:rFonts w:hint="default" w:ascii="Arial" w:hAnsi="Arial" w:cs="Arial"/>
                <w:color w:val="auto"/>
                <w:kern w:val="0"/>
                <w:szCs w:val="21"/>
                <w:highlight w:val="none"/>
                <w:lang w:bidi="ar"/>
              </w:rPr>
              <w:t>分。</w:t>
            </w:r>
          </w:p>
          <w:p w14:paraId="0E552D63">
            <w:pPr>
              <w:spacing w:line="288" w:lineRule="auto"/>
              <w:rPr>
                <w:rFonts w:hint="default" w:ascii="Arial" w:hAnsi="Arial" w:eastAsia="宋体" w:cs="Arial"/>
                <w:color w:val="auto"/>
                <w:kern w:val="0"/>
                <w:szCs w:val="21"/>
                <w:highlight w:val="none"/>
                <w:lang w:bidi="ar"/>
              </w:rPr>
            </w:pPr>
            <w:r>
              <w:rPr>
                <w:rFonts w:hint="default" w:ascii="Arial" w:hAnsi="Arial" w:cs="Arial"/>
                <w:color w:val="auto"/>
                <w:kern w:val="0"/>
                <w:szCs w:val="21"/>
                <w:highlight w:val="none"/>
                <w:lang w:eastAsia="zh-CN" w:bidi="ar"/>
              </w:rPr>
              <w:t>（</w:t>
            </w:r>
            <w:r>
              <w:rPr>
                <w:rFonts w:hint="default" w:ascii="Arial" w:hAnsi="Arial" w:cs="Arial"/>
                <w:color w:val="auto"/>
                <w:kern w:val="0"/>
                <w:szCs w:val="21"/>
                <w:highlight w:val="none"/>
                <w:lang w:val="en-US" w:eastAsia="zh-CN" w:bidi="ar"/>
              </w:rPr>
              <w:t>2</w:t>
            </w:r>
            <w:r>
              <w:rPr>
                <w:rFonts w:hint="default" w:ascii="Arial" w:hAnsi="Arial" w:cs="Arial"/>
                <w:color w:val="auto"/>
                <w:kern w:val="0"/>
                <w:szCs w:val="21"/>
                <w:highlight w:val="none"/>
                <w:lang w:eastAsia="zh-CN" w:bidi="ar"/>
              </w:rPr>
              <w:t>）</w:t>
            </w:r>
            <w:r>
              <w:rPr>
                <w:rFonts w:hint="default" w:ascii="Arial" w:hAnsi="Arial" w:eastAsia="宋体" w:cs="Arial"/>
                <w:color w:val="auto"/>
                <w:kern w:val="0"/>
                <w:szCs w:val="21"/>
                <w:highlight w:val="none"/>
                <w:lang w:bidi="ar"/>
              </w:rPr>
              <w:t>供应商具有有效的ISO9001质量体系认证、ISO14001环境体系认证、ISO45001职业健康安全体系认证、ISO27001信息安全体系认证</w:t>
            </w:r>
            <w:r>
              <w:rPr>
                <w:rFonts w:hint="default" w:ascii="Arial" w:hAnsi="Arial" w:cs="Arial"/>
                <w:color w:val="auto"/>
                <w:kern w:val="0"/>
                <w:szCs w:val="21"/>
                <w:highlight w:val="none"/>
                <w:lang w:eastAsia="zh-CN" w:bidi="ar"/>
              </w:rPr>
              <w:t>、</w:t>
            </w:r>
            <w:r>
              <w:rPr>
                <w:rFonts w:hint="default" w:ascii="Arial" w:hAnsi="Arial" w:cs="Arial"/>
                <w:color w:val="auto"/>
                <w:highlight w:val="none"/>
              </w:rPr>
              <w:t>ISO15189认证</w:t>
            </w:r>
            <w:r>
              <w:rPr>
                <w:rFonts w:hint="default" w:ascii="Arial" w:hAnsi="Arial" w:cs="Arial"/>
                <w:color w:val="auto"/>
                <w:highlight w:val="none"/>
                <w:lang w:eastAsia="zh-CN"/>
              </w:rPr>
              <w:t>、</w:t>
            </w:r>
            <w:r>
              <w:rPr>
                <w:rFonts w:hint="default" w:ascii="Arial" w:hAnsi="Arial" w:cs="Arial"/>
                <w:color w:val="auto"/>
                <w:highlight w:val="none"/>
              </w:rPr>
              <w:t>CNAS认证</w:t>
            </w:r>
            <w:r>
              <w:rPr>
                <w:rFonts w:hint="default" w:ascii="Arial" w:hAnsi="Arial" w:eastAsia="宋体" w:cs="Arial"/>
                <w:color w:val="auto"/>
                <w:kern w:val="0"/>
                <w:szCs w:val="21"/>
                <w:highlight w:val="none"/>
                <w:lang w:bidi="ar"/>
              </w:rPr>
              <w:t>，每提供一项得0.5分，满分</w:t>
            </w:r>
            <w:r>
              <w:rPr>
                <w:rFonts w:hint="default" w:ascii="Arial" w:hAnsi="Arial" w:cs="Arial"/>
                <w:color w:val="auto"/>
                <w:kern w:val="0"/>
                <w:szCs w:val="21"/>
                <w:highlight w:val="none"/>
                <w:lang w:val="en-US" w:eastAsia="zh-CN" w:bidi="ar"/>
              </w:rPr>
              <w:t>3</w:t>
            </w:r>
            <w:r>
              <w:rPr>
                <w:rFonts w:hint="default" w:ascii="Arial" w:hAnsi="Arial" w:eastAsia="宋体" w:cs="Arial"/>
                <w:color w:val="auto"/>
                <w:kern w:val="0"/>
                <w:szCs w:val="21"/>
                <w:highlight w:val="none"/>
                <w:lang w:bidi="ar"/>
              </w:rPr>
              <w:t>分。</w:t>
            </w:r>
          </w:p>
          <w:p w14:paraId="0E09D8EC">
            <w:pPr>
              <w:spacing w:line="288" w:lineRule="auto"/>
              <w:rPr>
                <w:rFonts w:hint="default" w:ascii="Arial" w:hAnsi="Arial" w:cs="Arial"/>
                <w:color w:val="auto"/>
                <w:highlight w:val="none"/>
              </w:rPr>
            </w:pPr>
            <w:r>
              <w:rPr>
                <w:rFonts w:hint="default" w:ascii="Arial" w:hAnsi="Arial" w:eastAsia="宋体" w:cs="Arial"/>
                <w:color w:val="auto"/>
                <w:kern w:val="0"/>
                <w:szCs w:val="21"/>
                <w:highlight w:val="none"/>
                <w:lang w:bidi="ar"/>
              </w:rPr>
              <w:t>注：以上须提供相关证书复印件加盖供应商公章。</w:t>
            </w:r>
          </w:p>
          <w:p w14:paraId="7D9A1B55">
            <w:pPr>
              <w:spacing w:line="288" w:lineRule="auto"/>
              <w:rPr>
                <w:rFonts w:hint="default" w:ascii="Arial" w:hAnsi="Arial" w:eastAsia="宋体" w:cs="Arial"/>
                <w:color w:val="auto"/>
                <w:highlight w:val="none"/>
                <w:lang w:eastAsia="zh-CN"/>
              </w:rPr>
            </w:pPr>
            <w:r>
              <w:rPr>
                <w:rFonts w:hint="default" w:ascii="Arial" w:hAnsi="Arial" w:cs="Arial"/>
                <w:color w:val="auto"/>
                <w:highlight w:val="none"/>
                <w:lang w:eastAsia="zh-CN"/>
              </w:rPr>
              <w:t>（</w:t>
            </w:r>
            <w:r>
              <w:rPr>
                <w:rFonts w:hint="default" w:ascii="Arial" w:hAnsi="Arial" w:cs="Arial"/>
                <w:color w:val="auto"/>
                <w:highlight w:val="none"/>
                <w:lang w:val="en-US" w:eastAsia="zh-CN"/>
              </w:rPr>
              <w:t>3</w:t>
            </w:r>
            <w:r>
              <w:rPr>
                <w:rFonts w:hint="default" w:ascii="Arial" w:hAnsi="Arial" w:cs="Arial"/>
                <w:color w:val="auto"/>
                <w:highlight w:val="none"/>
                <w:lang w:eastAsia="zh-CN"/>
              </w:rPr>
              <w:t>）供应商具有《医学检验生物样本冷链物流运作规范》国家标准达标企业证书、血液样品货物运输鉴定书（或CNAS货物运输条件鉴定书），每提供一项得1分，满分2分。提供车辆行驶证复印件，车辆购买发票，租用车辆的提供车辆租赁合同或租赁费支付发票（投标文件中提供相关证明材料并加盖供应商公章，不提供不得分）</w:t>
            </w:r>
          </w:p>
        </w:tc>
      </w:tr>
      <w:tr w14:paraId="607A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4" w:type="dxa"/>
            <w:vMerge w:val="continue"/>
            <w:tcBorders>
              <w:left w:val="single" w:color="auto" w:sz="4" w:space="0"/>
              <w:bottom w:val="single" w:color="auto" w:sz="4" w:space="0"/>
              <w:right w:val="single" w:color="auto" w:sz="4" w:space="0"/>
            </w:tcBorders>
            <w:noWrap w:val="0"/>
            <w:vAlign w:val="center"/>
          </w:tcPr>
          <w:p w14:paraId="37F694D6">
            <w:pPr>
              <w:adjustRightInd w:val="0"/>
              <w:spacing w:line="400" w:lineRule="exact"/>
              <w:jc w:val="center"/>
              <w:textAlignment w:val="baseline"/>
              <w:rPr>
                <w:rFonts w:hint="default" w:ascii="Arial" w:hAnsi="Arial" w:eastAsia="宋体" w:cs="Arial"/>
                <w:b/>
                <w:color w:val="auto"/>
                <w:szCs w:val="21"/>
                <w:highlight w:val="none"/>
              </w:rPr>
            </w:pPr>
          </w:p>
        </w:tc>
        <w:tc>
          <w:tcPr>
            <w:tcW w:w="966" w:type="dxa"/>
            <w:vMerge w:val="continue"/>
            <w:tcBorders>
              <w:left w:val="single" w:color="auto" w:sz="4" w:space="0"/>
              <w:bottom w:val="single" w:color="auto" w:sz="4" w:space="0"/>
              <w:right w:val="single" w:color="auto" w:sz="4" w:space="0"/>
            </w:tcBorders>
            <w:noWrap w:val="0"/>
            <w:vAlign w:val="center"/>
          </w:tcPr>
          <w:p w14:paraId="11570588">
            <w:pPr>
              <w:spacing w:line="400" w:lineRule="exact"/>
              <w:jc w:val="center"/>
              <w:rPr>
                <w:rFonts w:hint="default" w:ascii="Arial" w:hAnsi="Arial" w:eastAsia="宋体" w:cs="Arial"/>
                <w:b/>
                <w:bCs/>
                <w:color w:val="auto"/>
                <w:szCs w:val="21"/>
                <w:highlight w:val="none"/>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14:paraId="13E0D2D9">
            <w:pPr>
              <w:spacing w:line="400" w:lineRule="exact"/>
              <w:jc w:val="center"/>
              <w:rPr>
                <w:rFonts w:hint="default" w:ascii="Arial" w:hAnsi="Arial" w:eastAsia="宋体" w:cs="Arial"/>
                <w:b/>
                <w:color w:val="auto"/>
                <w:szCs w:val="21"/>
                <w:highlight w:val="none"/>
              </w:rPr>
            </w:pPr>
            <w:r>
              <w:rPr>
                <w:rFonts w:hint="default" w:ascii="Arial" w:hAnsi="Arial" w:eastAsia="宋体" w:cs="Arial"/>
                <w:bCs/>
                <w:color w:val="auto"/>
                <w:szCs w:val="21"/>
                <w:highlight w:val="none"/>
              </w:rPr>
              <w:t>业绩分（满分8分）</w:t>
            </w:r>
          </w:p>
        </w:tc>
        <w:tc>
          <w:tcPr>
            <w:tcW w:w="6301" w:type="dxa"/>
            <w:tcBorders>
              <w:top w:val="single" w:color="auto" w:sz="4" w:space="0"/>
              <w:left w:val="single" w:color="auto" w:sz="4" w:space="0"/>
              <w:bottom w:val="single" w:color="auto" w:sz="4" w:space="0"/>
              <w:right w:val="single" w:color="auto" w:sz="4" w:space="0"/>
            </w:tcBorders>
            <w:noWrap w:val="0"/>
            <w:vAlign w:val="top"/>
          </w:tcPr>
          <w:p w14:paraId="35E595D4">
            <w:pPr>
              <w:spacing w:line="288" w:lineRule="auto"/>
              <w:rPr>
                <w:rFonts w:hint="eastAsia" w:ascii="Arial" w:hAnsi="Arial" w:eastAsia="宋体" w:cs="Arial"/>
                <w:color w:val="auto"/>
                <w:szCs w:val="21"/>
                <w:highlight w:val="none"/>
                <w:lang w:eastAsia="zh-CN"/>
              </w:rPr>
            </w:pPr>
            <w:r>
              <w:rPr>
                <w:rFonts w:hint="default" w:ascii="Arial" w:hAnsi="Arial" w:eastAsia="宋体" w:cs="Arial"/>
                <w:color w:val="auto"/>
                <w:szCs w:val="21"/>
                <w:highlight w:val="none"/>
              </w:rPr>
              <w:t>202</w:t>
            </w:r>
            <w:r>
              <w:rPr>
                <w:rFonts w:hint="default" w:ascii="Arial" w:hAnsi="Arial" w:eastAsia="宋体" w:cs="Arial"/>
                <w:color w:val="auto"/>
                <w:szCs w:val="21"/>
                <w:highlight w:val="none"/>
                <w:lang w:val="en-US" w:eastAsia="zh-CN"/>
              </w:rPr>
              <w:t>2</w:t>
            </w:r>
            <w:r>
              <w:rPr>
                <w:rFonts w:hint="default" w:ascii="Arial" w:hAnsi="Arial" w:eastAsia="宋体" w:cs="Arial"/>
                <w:color w:val="auto"/>
                <w:szCs w:val="21"/>
                <w:highlight w:val="none"/>
              </w:rPr>
              <w:t>年1月1日以来供应商有类似项目（承接外送检测服务）的业绩，每项得</w:t>
            </w:r>
            <w:r>
              <w:rPr>
                <w:rFonts w:hint="eastAsia" w:ascii="Arial" w:hAnsi="Arial" w:cs="Arial"/>
                <w:color w:val="auto"/>
                <w:szCs w:val="21"/>
                <w:highlight w:val="none"/>
                <w:lang w:val="en-US" w:eastAsia="zh-CN"/>
              </w:rPr>
              <w:t>1</w:t>
            </w:r>
            <w:r>
              <w:rPr>
                <w:rFonts w:hint="default" w:ascii="Arial" w:hAnsi="Arial" w:eastAsia="宋体" w:cs="Arial"/>
                <w:color w:val="auto"/>
                <w:szCs w:val="21"/>
                <w:highlight w:val="none"/>
              </w:rPr>
              <w:t>分，满</w:t>
            </w:r>
            <w:bookmarkStart w:id="176" w:name="_GoBack"/>
            <w:bookmarkEnd w:id="176"/>
            <w:r>
              <w:rPr>
                <w:rFonts w:hint="default" w:ascii="Arial" w:hAnsi="Arial" w:eastAsia="宋体" w:cs="Arial"/>
                <w:color w:val="auto"/>
                <w:szCs w:val="21"/>
                <w:highlight w:val="none"/>
              </w:rPr>
              <w:t>分</w:t>
            </w:r>
            <w:r>
              <w:rPr>
                <w:rFonts w:hint="eastAsia" w:ascii="Arial" w:hAnsi="Arial" w:cs="Arial"/>
                <w:color w:val="auto"/>
                <w:szCs w:val="21"/>
                <w:highlight w:val="none"/>
                <w:lang w:val="en-US" w:eastAsia="zh-CN"/>
              </w:rPr>
              <w:t>8</w:t>
            </w:r>
            <w:r>
              <w:rPr>
                <w:rFonts w:hint="default" w:ascii="Arial" w:hAnsi="Arial" w:eastAsia="宋体" w:cs="Arial"/>
                <w:color w:val="auto"/>
                <w:szCs w:val="21"/>
                <w:highlight w:val="none"/>
              </w:rPr>
              <w:t>分。提供合同或者中标/成交通知书复印件加盖供应商公章</w:t>
            </w:r>
            <w:r>
              <w:rPr>
                <w:rFonts w:hint="default" w:ascii="Arial" w:hAnsi="Arial" w:eastAsia="宋体" w:cs="Arial"/>
                <w:color w:val="auto"/>
                <w:kern w:val="0"/>
                <w:szCs w:val="21"/>
                <w:highlight w:val="none"/>
                <w:lang w:val="en-US" w:eastAsia="zh-CN" w:bidi="ar"/>
              </w:rPr>
              <w:t>，</w:t>
            </w:r>
            <w:r>
              <w:rPr>
                <w:rFonts w:hint="default" w:ascii="Arial" w:hAnsi="Arial" w:eastAsia="宋体" w:cs="Arial"/>
                <w:color w:val="auto"/>
                <w:szCs w:val="21"/>
                <w:highlight w:val="none"/>
              </w:rPr>
              <w:t>未提供者不得分。</w:t>
            </w:r>
          </w:p>
        </w:tc>
      </w:tr>
    </w:tbl>
    <w:p w14:paraId="02DFAC8F">
      <w:pPr>
        <w:ind w:firstLine="210" w:firstLineChars="100"/>
        <w:rPr>
          <w:rFonts w:ascii="Arial" w:hAnsi="Arial" w:cs="Arial"/>
          <w:color w:val="auto"/>
          <w:highlight w:val="none"/>
          <w:lang w:val="zh-CN"/>
        </w:rPr>
      </w:pPr>
    </w:p>
    <w:p w14:paraId="7A66620C">
      <w:pPr>
        <w:ind w:firstLine="210" w:firstLineChars="100"/>
        <w:rPr>
          <w:rFonts w:ascii="Arial" w:hAnsi="Arial" w:cs="Arial"/>
          <w:color w:val="auto"/>
          <w:highlight w:val="none"/>
          <w:lang w:val="zh-CN"/>
        </w:rPr>
      </w:pPr>
      <w:r>
        <w:rPr>
          <w:rFonts w:ascii="Arial" w:hAnsi="Arial" w:cs="Arial"/>
          <w:color w:val="auto"/>
          <w:highlight w:val="none"/>
          <w:lang w:val="zh-CN"/>
        </w:rPr>
        <w:t>（2）投标报价分</w:t>
      </w:r>
    </w:p>
    <w:tbl>
      <w:tblPr>
        <w:tblStyle w:val="52"/>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547"/>
        <w:gridCol w:w="4163"/>
        <w:gridCol w:w="806"/>
        <w:gridCol w:w="2377"/>
      </w:tblGrid>
      <w:tr w14:paraId="7AB1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644" w:type="dxa"/>
            <w:noWrap w:val="0"/>
            <w:vAlign w:val="center"/>
          </w:tcPr>
          <w:p w14:paraId="2CD00CDF">
            <w:pPr>
              <w:spacing w:line="288" w:lineRule="auto"/>
              <w:jc w:val="center"/>
              <w:rPr>
                <w:rFonts w:ascii="Arial" w:hAnsi="Arial" w:eastAsia="宋体" w:cs="Arial"/>
                <w:b/>
                <w:color w:val="auto"/>
                <w:szCs w:val="21"/>
                <w:highlight w:val="none"/>
              </w:rPr>
            </w:pPr>
            <w:r>
              <w:rPr>
                <w:rFonts w:ascii="Arial" w:hAnsi="Arial" w:eastAsia="宋体" w:cs="Arial"/>
                <w:b/>
                <w:color w:val="auto"/>
                <w:szCs w:val="21"/>
                <w:highlight w:val="none"/>
              </w:rPr>
              <w:t>序号</w:t>
            </w:r>
          </w:p>
        </w:tc>
        <w:tc>
          <w:tcPr>
            <w:tcW w:w="1547" w:type="dxa"/>
            <w:noWrap w:val="0"/>
            <w:vAlign w:val="center"/>
          </w:tcPr>
          <w:p w14:paraId="71AC41BF">
            <w:pPr>
              <w:spacing w:line="288" w:lineRule="auto"/>
              <w:jc w:val="center"/>
              <w:rPr>
                <w:rFonts w:ascii="Arial" w:hAnsi="Arial" w:eastAsia="宋体" w:cs="Arial"/>
                <w:b/>
                <w:color w:val="auto"/>
                <w:szCs w:val="21"/>
                <w:highlight w:val="none"/>
              </w:rPr>
            </w:pPr>
            <w:r>
              <w:rPr>
                <w:rFonts w:ascii="Arial" w:hAnsi="Arial" w:eastAsia="宋体" w:cs="Arial"/>
                <w:b/>
                <w:color w:val="auto"/>
                <w:szCs w:val="21"/>
                <w:highlight w:val="none"/>
              </w:rPr>
              <w:t>类型</w:t>
            </w:r>
          </w:p>
        </w:tc>
        <w:tc>
          <w:tcPr>
            <w:tcW w:w="4163" w:type="dxa"/>
            <w:noWrap w:val="0"/>
            <w:vAlign w:val="center"/>
          </w:tcPr>
          <w:p w14:paraId="10702408">
            <w:pPr>
              <w:spacing w:line="288" w:lineRule="auto"/>
              <w:jc w:val="center"/>
              <w:rPr>
                <w:rFonts w:ascii="Arial" w:hAnsi="Arial" w:eastAsia="宋体" w:cs="Arial"/>
                <w:b/>
                <w:color w:val="auto"/>
                <w:szCs w:val="21"/>
                <w:highlight w:val="none"/>
              </w:rPr>
            </w:pPr>
            <w:r>
              <w:rPr>
                <w:rFonts w:ascii="Arial" w:hAnsi="Arial" w:eastAsia="宋体" w:cs="Arial"/>
                <w:b/>
                <w:color w:val="auto"/>
                <w:szCs w:val="21"/>
                <w:highlight w:val="none"/>
              </w:rPr>
              <w:t>评分标准</w:t>
            </w:r>
          </w:p>
        </w:tc>
        <w:tc>
          <w:tcPr>
            <w:tcW w:w="806" w:type="dxa"/>
            <w:noWrap w:val="0"/>
            <w:vAlign w:val="center"/>
          </w:tcPr>
          <w:p w14:paraId="21D02680">
            <w:pPr>
              <w:spacing w:line="288" w:lineRule="auto"/>
              <w:jc w:val="center"/>
              <w:rPr>
                <w:rFonts w:ascii="Arial" w:hAnsi="Arial" w:eastAsia="宋体" w:cs="Arial"/>
                <w:b/>
                <w:color w:val="auto"/>
                <w:szCs w:val="21"/>
                <w:highlight w:val="none"/>
              </w:rPr>
            </w:pPr>
            <w:r>
              <w:rPr>
                <w:rFonts w:ascii="Arial" w:hAnsi="Arial" w:eastAsia="宋体" w:cs="Arial"/>
                <w:b/>
                <w:color w:val="auto"/>
                <w:szCs w:val="21"/>
                <w:highlight w:val="none"/>
              </w:rPr>
              <w:t>分值权重</w:t>
            </w:r>
          </w:p>
        </w:tc>
        <w:tc>
          <w:tcPr>
            <w:tcW w:w="2377" w:type="dxa"/>
            <w:noWrap w:val="0"/>
            <w:vAlign w:val="center"/>
          </w:tcPr>
          <w:p w14:paraId="0F950AB6">
            <w:pPr>
              <w:spacing w:line="288" w:lineRule="auto"/>
              <w:jc w:val="center"/>
              <w:rPr>
                <w:rFonts w:ascii="Arial" w:hAnsi="Arial" w:eastAsia="宋体" w:cs="Arial"/>
                <w:b/>
                <w:color w:val="auto"/>
                <w:szCs w:val="21"/>
                <w:highlight w:val="none"/>
              </w:rPr>
            </w:pPr>
            <w:r>
              <w:rPr>
                <w:rFonts w:ascii="Arial" w:hAnsi="Arial" w:eastAsia="宋体" w:cs="Arial"/>
                <w:b/>
                <w:color w:val="auto"/>
                <w:szCs w:val="21"/>
                <w:highlight w:val="none"/>
              </w:rPr>
              <w:t>说明</w:t>
            </w:r>
          </w:p>
        </w:tc>
      </w:tr>
      <w:tr w14:paraId="53ED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6" w:hRule="atLeast"/>
          <w:jc w:val="center"/>
        </w:trPr>
        <w:tc>
          <w:tcPr>
            <w:tcW w:w="644" w:type="dxa"/>
            <w:noWrap w:val="0"/>
            <w:vAlign w:val="center"/>
          </w:tcPr>
          <w:p w14:paraId="2D34A9C4">
            <w:pPr>
              <w:spacing w:line="288" w:lineRule="auto"/>
              <w:jc w:val="center"/>
              <w:rPr>
                <w:rFonts w:ascii="Arial" w:hAnsi="Arial" w:eastAsia="宋体" w:cs="Arial"/>
                <w:b/>
                <w:color w:val="auto"/>
                <w:szCs w:val="21"/>
                <w:highlight w:val="none"/>
              </w:rPr>
            </w:pPr>
            <w:r>
              <w:rPr>
                <w:rFonts w:ascii="Arial" w:hAnsi="Arial" w:eastAsia="宋体" w:cs="Arial"/>
                <w:b/>
                <w:color w:val="auto"/>
                <w:szCs w:val="21"/>
                <w:highlight w:val="none"/>
              </w:rPr>
              <w:t>1</w:t>
            </w:r>
          </w:p>
        </w:tc>
        <w:tc>
          <w:tcPr>
            <w:tcW w:w="1547" w:type="dxa"/>
            <w:noWrap w:val="0"/>
            <w:vAlign w:val="center"/>
          </w:tcPr>
          <w:p w14:paraId="6D12A0BD">
            <w:pPr>
              <w:spacing w:line="288" w:lineRule="auto"/>
              <w:jc w:val="center"/>
              <w:rPr>
                <w:rFonts w:ascii="Arial" w:hAnsi="Arial" w:eastAsia="宋体" w:cs="Arial"/>
                <w:color w:val="auto"/>
                <w:szCs w:val="21"/>
                <w:highlight w:val="none"/>
              </w:rPr>
            </w:pPr>
            <w:r>
              <w:rPr>
                <w:rFonts w:ascii="Arial" w:hAnsi="Arial" w:eastAsia="宋体" w:cs="Arial"/>
                <w:color w:val="auto"/>
                <w:szCs w:val="21"/>
                <w:highlight w:val="none"/>
              </w:rPr>
              <w:t>投标报价分（</w:t>
            </w:r>
            <w:r>
              <w:rPr>
                <w:rFonts w:hint="eastAsia" w:ascii="Arial" w:hAnsi="Arial" w:cs="Arial"/>
                <w:color w:val="auto"/>
                <w:szCs w:val="21"/>
                <w:highlight w:val="none"/>
                <w:lang w:val="en-US" w:eastAsia="zh-CN"/>
              </w:rPr>
              <w:t>15</w:t>
            </w:r>
            <w:r>
              <w:rPr>
                <w:rFonts w:ascii="Arial" w:hAnsi="Arial" w:eastAsia="宋体" w:cs="Arial"/>
                <w:color w:val="auto"/>
                <w:szCs w:val="21"/>
                <w:highlight w:val="none"/>
              </w:rPr>
              <w:t>分）</w:t>
            </w:r>
          </w:p>
        </w:tc>
        <w:tc>
          <w:tcPr>
            <w:tcW w:w="4163" w:type="dxa"/>
            <w:noWrap w:val="0"/>
            <w:vAlign w:val="center"/>
          </w:tcPr>
          <w:p w14:paraId="666C9101">
            <w:pPr>
              <w:spacing w:line="288" w:lineRule="auto"/>
              <w:rPr>
                <w:rFonts w:ascii="Arial" w:hAnsi="Arial" w:eastAsia="宋体" w:cs="Arial"/>
                <w:color w:val="auto"/>
                <w:szCs w:val="21"/>
                <w:highlight w:val="none"/>
              </w:rPr>
            </w:pPr>
            <w:r>
              <w:rPr>
                <w:rFonts w:ascii="Arial" w:hAnsi="Arial" w:eastAsia="宋体" w:cs="Arial"/>
                <w:bCs/>
                <w:color w:val="auto"/>
                <w:szCs w:val="21"/>
                <w:highlight w:val="none"/>
              </w:rPr>
              <w:t>以满足招标文件要求且投标价格</w:t>
            </w:r>
            <w:r>
              <w:rPr>
                <w:rFonts w:ascii="Arial" w:hAnsi="Arial" w:eastAsia="宋体" w:cs="Arial"/>
                <w:b/>
                <w:bCs/>
                <w:color w:val="auto"/>
                <w:szCs w:val="21"/>
                <w:highlight w:val="none"/>
              </w:rPr>
              <w:t>（</w:t>
            </w:r>
            <w:r>
              <w:rPr>
                <w:rFonts w:hint="eastAsia" w:ascii="Arial" w:hAnsi="Arial" w:cs="Arial"/>
                <w:b/>
                <w:bCs/>
                <w:color w:val="auto"/>
                <w:sz w:val="21"/>
                <w:szCs w:val="21"/>
                <w:highlight w:val="none"/>
                <w:lang w:val="en-US" w:eastAsia="zh-CN"/>
              </w:rPr>
              <w:t>2025年</w:t>
            </w:r>
            <w:r>
              <w:rPr>
                <w:rFonts w:hint="eastAsia" w:ascii="Arial" w:hAnsi="Arial" w:cs="Arial"/>
                <w:b/>
                <w:bCs/>
                <w:i w:val="0"/>
                <w:iCs w:val="0"/>
                <w:color w:val="auto"/>
                <w:kern w:val="0"/>
                <w:sz w:val="21"/>
                <w:szCs w:val="21"/>
                <w:highlight w:val="none"/>
                <w:u w:val="none"/>
                <w:lang w:val="en-US" w:eastAsia="zh-CN" w:bidi="ar"/>
              </w:rPr>
              <w:t>参考</w:t>
            </w:r>
            <w:r>
              <w:rPr>
                <w:rFonts w:hint="default" w:ascii="Arial" w:hAnsi="Arial" w:eastAsia="宋体" w:cs="Arial"/>
                <w:b/>
                <w:bCs/>
                <w:i w:val="0"/>
                <w:iCs w:val="0"/>
                <w:color w:val="auto"/>
                <w:kern w:val="0"/>
                <w:sz w:val="21"/>
                <w:szCs w:val="21"/>
                <w:highlight w:val="none"/>
                <w:u w:val="none"/>
                <w:lang w:val="en-US" w:eastAsia="zh-CN" w:bidi="ar"/>
              </w:rPr>
              <w:t>外送数量</w:t>
            </w:r>
            <w:r>
              <w:rPr>
                <w:rFonts w:hint="eastAsia" w:ascii="Arial" w:hAnsi="Arial" w:cs="Arial"/>
                <w:b/>
                <w:bCs/>
                <w:i w:val="0"/>
                <w:iCs w:val="0"/>
                <w:color w:val="auto"/>
                <w:kern w:val="0"/>
                <w:sz w:val="21"/>
                <w:szCs w:val="21"/>
                <w:highlight w:val="none"/>
                <w:u w:val="none"/>
                <w:lang w:val="en-US" w:eastAsia="zh-CN" w:bidi="ar"/>
              </w:rPr>
              <w:t>*单价</w:t>
            </w:r>
            <w:r>
              <w:rPr>
                <w:rFonts w:ascii="Arial" w:hAnsi="Arial" w:eastAsia="宋体" w:cs="Arial"/>
                <w:b/>
                <w:bCs/>
                <w:color w:val="auto"/>
                <w:szCs w:val="21"/>
                <w:highlight w:val="none"/>
              </w:rPr>
              <w:t>）</w:t>
            </w:r>
            <w:r>
              <w:rPr>
                <w:rFonts w:ascii="Arial" w:hAnsi="Arial" w:eastAsia="宋体" w:cs="Arial"/>
                <w:bCs/>
                <w:color w:val="auto"/>
                <w:szCs w:val="21"/>
                <w:highlight w:val="none"/>
              </w:rPr>
              <w:t>最低的为评标基准价，其价格分为</w:t>
            </w:r>
            <w:r>
              <w:rPr>
                <w:rFonts w:hint="eastAsia" w:ascii="Arial" w:hAnsi="Arial" w:cs="Arial"/>
                <w:bCs/>
                <w:color w:val="auto"/>
                <w:szCs w:val="21"/>
                <w:highlight w:val="none"/>
                <w:lang w:val="en-US" w:eastAsia="zh-CN"/>
              </w:rPr>
              <w:t>15</w:t>
            </w:r>
            <w:r>
              <w:rPr>
                <w:rFonts w:ascii="Arial" w:hAnsi="Arial" w:eastAsia="宋体" w:cs="Arial"/>
                <w:bCs/>
                <w:color w:val="auto"/>
                <w:szCs w:val="21"/>
                <w:highlight w:val="none"/>
              </w:rPr>
              <w:t>分。其他供应商的价格分统一按照下列公式计算：投标报价得分=（评标基准价/投标报价）×</w:t>
            </w:r>
            <w:r>
              <w:rPr>
                <w:rFonts w:hint="eastAsia" w:ascii="Arial" w:hAnsi="Arial" w:cs="Arial"/>
                <w:bCs/>
                <w:color w:val="auto"/>
                <w:szCs w:val="21"/>
                <w:highlight w:val="none"/>
                <w:lang w:val="en-US" w:eastAsia="zh-CN"/>
              </w:rPr>
              <w:t>15</w:t>
            </w:r>
            <w:r>
              <w:rPr>
                <w:rFonts w:ascii="Arial" w:hAnsi="Arial" w:eastAsia="宋体" w:cs="Arial"/>
                <w:bCs/>
                <w:color w:val="auto"/>
                <w:szCs w:val="21"/>
                <w:highlight w:val="none"/>
              </w:rPr>
              <w:t>。</w:t>
            </w:r>
          </w:p>
        </w:tc>
        <w:tc>
          <w:tcPr>
            <w:tcW w:w="806" w:type="dxa"/>
            <w:noWrap w:val="0"/>
            <w:vAlign w:val="center"/>
          </w:tcPr>
          <w:p w14:paraId="79EA7FC7">
            <w:pPr>
              <w:spacing w:line="288" w:lineRule="auto"/>
              <w:jc w:val="center"/>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15</w:t>
            </w:r>
          </w:p>
        </w:tc>
        <w:tc>
          <w:tcPr>
            <w:tcW w:w="2377" w:type="dxa"/>
            <w:noWrap w:val="0"/>
            <w:vAlign w:val="center"/>
          </w:tcPr>
          <w:p w14:paraId="39B50E5D">
            <w:pPr>
              <w:spacing w:line="288" w:lineRule="auto"/>
              <w:rPr>
                <w:rFonts w:ascii="Arial" w:hAnsi="Arial" w:eastAsia="宋体" w:cs="Arial"/>
                <w:color w:val="auto"/>
                <w:szCs w:val="21"/>
                <w:highlight w:val="none"/>
              </w:rPr>
            </w:pPr>
            <w:r>
              <w:rPr>
                <w:rFonts w:ascii="Arial" w:hAnsi="Arial" w:eastAsia="宋体" w:cs="Arial"/>
                <w:bCs/>
                <w:color w:val="auto"/>
                <w:szCs w:val="21"/>
                <w:highlight w:val="none"/>
              </w:rPr>
              <w:t>投标报价计算时均为供应商的实际投标报价进行政策性扣除后的价格，最终中标金额＝投标报价。政策性扣除计算方法见后。</w:t>
            </w:r>
          </w:p>
        </w:tc>
      </w:tr>
    </w:tbl>
    <w:p w14:paraId="0EC63474">
      <w:pPr>
        <w:spacing w:before="120" w:line="320" w:lineRule="atLeast"/>
        <w:ind w:firstLine="316" w:firstLineChars="150"/>
        <w:rPr>
          <w:rFonts w:ascii="Arial" w:hAnsi="Arial" w:cs="Arial"/>
          <w:b/>
          <w:bCs/>
          <w:color w:val="auto"/>
          <w:kern w:val="0"/>
          <w:szCs w:val="21"/>
          <w:highlight w:val="none"/>
        </w:rPr>
      </w:pPr>
      <w:r>
        <w:rPr>
          <w:rFonts w:ascii="Arial" w:hAnsi="Arial" w:cs="Arial"/>
          <w:b/>
          <w:bCs/>
          <w:color w:val="auto"/>
          <w:kern w:val="0"/>
          <w:szCs w:val="21"/>
          <w:highlight w:val="none"/>
        </w:rPr>
        <w:t>注：政策性扣除计算方法</w:t>
      </w:r>
      <w:bookmarkStart w:id="73" w:name="_Hlk132881338"/>
    </w:p>
    <w:bookmarkEnd w:id="73"/>
    <w:p w14:paraId="6592C9FF">
      <w:pPr>
        <w:spacing w:before="120" w:line="320" w:lineRule="atLeast"/>
        <w:ind w:firstLine="420" w:firstLineChars="200"/>
        <w:rPr>
          <w:rFonts w:ascii="Arial" w:hAnsi="Arial" w:cs="Arial"/>
          <w:color w:val="auto"/>
          <w:szCs w:val="21"/>
          <w:highlight w:val="none"/>
        </w:rPr>
      </w:pPr>
      <w:bookmarkStart w:id="74" w:name="_Hlk132881368"/>
      <w:r>
        <w:rPr>
          <w:rFonts w:ascii="Arial" w:hAnsi="Arial" w:cs="Arial"/>
          <w:color w:val="auto"/>
          <w:szCs w:val="21"/>
          <w:highlight w:val="none"/>
        </w:rPr>
        <w:t>供应商投标报价将按相应比例进行扣除，用扣除后的价格参与评审（计算价格分），价格扣除比例分别如下：</w:t>
      </w:r>
    </w:p>
    <w:tbl>
      <w:tblPr>
        <w:tblStyle w:val="52"/>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5D79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563A7BFF">
            <w:pPr>
              <w:spacing w:before="120" w:line="320" w:lineRule="atLeast"/>
              <w:jc w:val="center"/>
              <w:rPr>
                <w:rFonts w:ascii="Arial" w:hAnsi="Arial" w:eastAsia="宋体" w:cs="Arial"/>
                <w:color w:val="auto"/>
                <w:szCs w:val="21"/>
                <w:highlight w:val="none"/>
              </w:rPr>
            </w:pPr>
            <w:bookmarkStart w:id="75" w:name="_Hlk132881358"/>
            <w:r>
              <w:rPr>
                <w:rFonts w:ascii="Arial" w:hAnsi="Arial" w:eastAsia="宋体" w:cs="Arial"/>
                <w:color w:val="auto"/>
                <w:szCs w:val="21"/>
                <w:highlight w:val="none"/>
              </w:rPr>
              <w:t>独立投标</w:t>
            </w:r>
          </w:p>
        </w:tc>
        <w:tc>
          <w:tcPr>
            <w:tcW w:w="4962" w:type="dxa"/>
            <w:noWrap w:val="0"/>
            <w:vAlign w:val="top"/>
          </w:tcPr>
          <w:p w14:paraId="607C07F2">
            <w:pPr>
              <w:spacing w:before="120" w:line="320" w:lineRule="atLeast"/>
              <w:rPr>
                <w:rFonts w:ascii="Arial" w:hAnsi="Arial" w:eastAsia="宋体" w:cs="Arial"/>
                <w:color w:val="auto"/>
                <w:szCs w:val="21"/>
                <w:highlight w:val="none"/>
              </w:rPr>
            </w:pPr>
            <w:r>
              <w:rPr>
                <w:rFonts w:ascii="Arial" w:hAnsi="Arial" w:eastAsia="宋体" w:cs="Arial"/>
                <w:color w:val="auto"/>
                <w:szCs w:val="21"/>
                <w:highlight w:val="none"/>
              </w:rPr>
              <w:t>供应商均为所列企业之一（小型企业、微型企业、残疾人福利企业、监狱企业）</w:t>
            </w:r>
          </w:p>
        </w:tc>
        <w:tc>
          <w:tcPr>
            <w:tcW w:w="2551" w:type="dxa"/>
            <w:noWrap w:val="0"/>
            <w:vAlign w:val="top"/>
          </w:tcPr>
          <w:p w14:paraId="6B5F8C6A">
            <w:pPr>
              <w:spacing w:before="120" w:line="320" w:lineRule="atLeast"/>
              <w:rPr>
                <w:rFonts w:ascii="Arial" w:hAnsi="Arial" w:eastAsia="宋体" w:cs="Arial"/>
                <w:color w:val="auto"/>
                <w:szCs w:val="21"/>
                <w:highlight w:val="none"/>
              </w:rPr>
            </w:pPr>
            <w:r>
              <w:rPr>
                <w:rFonts w:ascii="Arial" w:hAnsi="Arial" w:eastAsia="宋体" w:cs="Arial"/>
                <w:color w:val="auto"/>
                <w:szCs w:val="21"/>
                <w:highlight w:val="none"/>
              </w:rPr>
              <w:t>价格扣除响应报价的10%</w:t>
            </w:r>
          </w:p>
        </w:tc>
      </w:tr>
      <w:tr w14:paraId="3E3A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noWrap w:val="0"/>
            <w:vAlign w:val="top"/>
          </w:tcPr>
          <w:p w14:paraId="4FB3DE9E">
            <w:pPr>
              <w:spacing w:before="120" w:line="320" w:lineRule="atLeast"/>
              <w:jc w:val="center"/>
              <w:rPr>
                <w:rFonts w:ascii="Arial" w:hAnsi="Arial" w:eastAsia="宋体" w:cs="Arial"/>
                <w:color w:val="auto"/>
                <w:szCs w:val="21"/>
                <w:highlight w:val="none"/>
              </w:rPr>
            </w:pPr>
            <w:r>
              <w:rPr>
                <w:rFonts w:ascii="Arial" w:hAnsi="Arial" w:eastAsia="宋体" w:cs="Arial"/>
                <w:color w:val="auto"/>
                <w:szCs w:val="21"/>
                <w:highlight w:val="none"/>
              </w:rPr>
              <w:t>联合体或</w:t>
            </w:r>
          </w:p>
          <w:p w14:paraId="78F153AB">
            <w:pPr>
              <w:spacing w:before="120" w:line="320" w:lineRule="atLeast"/>
              <w:jc w:val="center"/>
              <w:rPr>
                <w:rFonts w:ascii="Arial" w:hAnsi="Arial" w:eastAsia="宋体" w:cs="Arial"/>
                <w:color w:val="auto"/>
                <w:szCs w:val="21"/>
                <w:highlight w:val="none"/>
              </w:rPr>
            </w:pPr>
            <w:r>
              <w:rPr>
                <w:rFonts w:ascii="Arial" w:hAnsi="Arial" w:eastAsia="宋体" w:cs="Arial"/>
                <w:color w:val="auto"/>
                <w:szCs w:val="21"/>
                <w:highlight w:val="none"/>
              </w:rPr>
              <w:t>分包</w:t>
            </w:r>
          </w:p>
        </w:tc>
        <w:tc>
          <w:tcPr>
            <w:tcW w:w="4962" w:type="dxa"/>
            <w:noWrap w:val="0"/>
            <w:vAlign w:val="top"/>
          </w:tcPr>
          <w:p w14:paraId="404C86DA">
            <w:pPr>
              <w:spacing w:before="120" w:line="320" w:lineRule="atLeast"/>
              <w:rPr>
                <w:rFonts w:ascii="Arial" w:hAnsi="Arial" w:eastAsia="宋体" w:cs="Arial"/>
                <w:color w:val="auto"/>
                <w:szCs w:val="21"/>
                <w:highlight w:val="none"/>
              </w:rPr>
            </w:pPr>
            <w:r>
              <w:rPr>
                <w:rFonts w:ascii="Arial" w:hAnsi="Arial" w:eastAsia="宋体" w:cs="Arial"/>
                <w:color w:val="auto"/>
                <w:szCs w:val="21"/>
                <w:highlight w:val="none"/>
              </w:rPr>
              <w:t>小微企业承接的金额比例为100%</w:t>
            </w:r>
          </w:p>
        </w:tc>
        <w:tc>
          <w:tcPr>
            <w:tcW w:w="2551" w:type="dxa"/>
            <w:noWrap w:val="0"/>
            <w:vAlign w:val="top"/>
          </w:tcPr>
          <w:p w14:paraId="0A128EFC">
            <w:pPr>
              <w:spacing w:before="120" w:line="320" w:lineRule="atLeast"/>
              <w:rPr>
                <w:rFonts w:ascii="Arial" w:hAnsi="Arial" w:eastAsia="宋体" w:cs="Arial"/>
                <w:color w:val="auto"/>
                <w:szCs w:val="21"/>
                <w:highlight w:val="none"/>
              </w:rPr>
            </w:pPr>
            <w:r>
              <w:rPr>
                <w:rFonts w:ascii="Arial" w:hAnsi="Arial" w:eastAsia="宋体" w:cs="Arial"/>
                <w:color w:val="auto"/>
                <w:szCs w:val="21"/>
                <w:highlight w:val="none"/>
              </w:rPr>
              <w:t>价格扣除响应报价的10%</w:t>
            </w:r>
          </w:p>
        </w:tc>
      </w:tr>
      <w:tr w14:paraId="539D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noWrap w:val="0"/>
            <w:vAlign w:val="top"/>
          </w:tcPr>
          <w:p w14:paraId="11EC01A4">
            <w:pPr>
              <w:spacing w:before="120" w:line="320" w:lineRule="atLeast"/>
              <w:rPr>
                <w:rFonts w:ascii="Arial" w:hAnsi="Arial" w:eastAsia="宋体" w:cs="Arial"/>
                <w:color w:val="auto"/>
                <w:szCs w:val="21"/>
                <w:highlight w:val="none"/>
              </w:rPr>
            </w:pPr>
          </w:p>
        </w:tc>
        <w:tc>
          <w:tcPr>
            <w:tcW w:w="4962" w:type="dxa"/>
            <w:noWrap w:val="0"/>
            <w:vAlign w:val="top"/>
          </w:tcPr>
          <w:p w14:paraId="1FA92E3E">
            <w:pPr>
              <w:spacing w:before="120" w:line="320" w:lineRule="atLeast"/>
              <w:rPr>
                <w:rFonts w:ascii="Arial" w:hAnsi="Arial" w:eastAsia="宋体" w:cs="Arial"/>
                <w:color w:val="auto"/>
                <w:szCs w:val="21"/>
                <w:highlight w:val="none"/>
              </w:rPr>
            </w:pPr>
            <w:r>
              <w:rPr>
                <w:rFonts w:ascii="Arial" w:hAnsi="Arial" w:eastAsia="宋体" w:cs="Arial"/>
                <w:color w:val="auto"/>
                <w:szCs w:val="21"/>
                <w:highlight w:val="none"/>
              </w:rPr>
              <w:t>小微企业承接的金额比例达到合同总金额30%以上</w:t>
            </w:r>
          </w:p>
        </w:tc>
        <w:tc>
          <w:tcPr>
            <w:tcW w:w="2551" w:type="dxa"/>
            <w:noWrap w:val="0"/>
            <w:vAlign w:val="top"/>
          </w:tcPr>
          <w:p w14:paraId="031AA679">
            <w:pPr>
              <w:spacing w:before="120" w:line="320" w:lineRule="atLeast"/>
              <w:rPr>
                <w:rFonts w:ascii="Arial" w:hAnsi="Arial" w:eastAsia="宋体" w:cs="Arial"/>
                <w:color w:val="auto"/>
                <w:szCs w:val="21"/>
                <w:highlight w:val="none"/>
              </w:rPr>
            </w:pPr>
            <w:r>
              <w:rPr>
                <w:rFonts w:ascii="Arial" w:hAnsi="Arial" w:eastAsia="宋体" w:cs="Arial"/>
                <w:color w:val="auto"/>
                <w:szCs w:val="21"/>
                <w:highlight w:val="none"/>
              </w:rPr>
              <w:t>价格扣除响应报价的4%</w:t>
            </w:r>
          </w:p>
        </w:tc>
      </w:tr>
      <w:tr w14:paraId="1EF6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noWrap w:val="0"/>
            <w:vAlign w:val="top"/>
          </w:tcPr>
          <w:p w14:paraId="4011CA8B">
            <w:pPr>
              <w:spacing w:before="120" w:line="320" w:lineRule="atLeast"/>
              <w:rPr>
                <w:rFonts w:ascii="Arial" w:hAnsi="Arial" w:eastAsia="宋体" w:cs="Arial"/>
                <w:color w:val="auto"/>
                <w:szCs w:val="21"/>
                <w:highlight w:val="none"/>
              </w:rPr>
            </w:pPr>
            <w:r>
              <w:rPr>
                <w:rFonts w:ascii="Arial" w:hAnsi="Arial" w:eastAsia="宋体" w:cs="Arial"/>
                <w:color w:val="auto"/>
                <w:szCs w:val="21"/>
                <w:highlight w:val="none"/>
              </w:rPr>
              <w:t>注：未提供《中小企业声明函》、《分包意向协议书》或《联合体协议书》或不符合条件的，不享受价格扣除优惠。</w:t>
            </w:r>
          </w:p>
        </w:tc>
      </w:tr>
      <w:bookmarkEnd w:id="74"/>
      <w:bookmarkEnd w:id="75"/>
    </w:tbl>
    <w:p w14:paraId="321A723C">
      <w:pPr>
        <w:rPr>
          <w:rFonts w:ascii="Arial" w:hAnsi="Arial" w:cs="Arial"/>
          <w:color w:val="auto"/>
          <w:highlight w:val="none"/>
        </w:rPr>
      </w:pPr>
    </w:p>
    <w:p w14:paraId="499A24C1">
      <w:pPr>
        <w:ind w:firstLine="315" w:firstLineChars="150"/>
        <w:rPr>
          <w:rFonts w:ascii="Arial" w:hAnsi="Arial" w:cs="Arial"/>
          <w:color w:val="auto"/>
          <w:highlight w:val="none"/>
        </w:rPr>
      </w:pPr>
      <w:r>
        <w:rPr>
          <w:rFonts w:ascii="Arial" w:hAnsi="Arial" w:cs="Arial"/>
          <w:color w:val="auto"/>
          <w:highlight w:val="none"/>
        </w:rPr>
        <w:t>（3）综合评分</w:t>
      </w:r>
    </w:p>
    <w:tbl>
      <w:tblPr>
        <w:tblStyle w:val="52"/>
        <w:tblW w:w="8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2756"/>
        <w:gridCol w:w="2564"/>
        <w:gridCol w:w="1977"/>
      </w:tblGrid>
      <w:tr w14:paraId="67D7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1561" w:type="dxa"/>
            <w:noWrap w:val="0"/>
            <w:vAlign w:val="center"/>
          </w:tcPr>
          <w:p w14:paraId="26D5BD80">
            <w:pPr>
              <w:jc w:val="center"/>
              <w:rPr>
                <w:rFonts w:ascii="Arial" w:hAnsi="Arial" w:eastAsia="宋体" w:cs="Arial"/>
                <w:b/>
                <w:color w:val="auto"/>
                <w:szCs w:val="21"/>
                <w:highlight w:val="none"/>
              </w:rPr>
            </w:pPr>
            <w:r>
              <w:rPr>
                <w:rFonts w:ascii="Arial" w:hAnsi="Arial" w:eastAsia="宋体" w:cs="Arial"/>
                <w:b/>
                <w:color w:val="auto"/>
                <w:szCs w:val="21"/>
                <w:highlight w:val="none"/>
              </w:rPr>
              <w:t>分项</w:t>
            </w:r>
          </w:p>
        </w:tc>
        <w:tc>
          <w:tcPr>
            <w:tcW w:w="2756" w:type="dxa"/>
            <w:noWrap w:val="0"/>
            <w:vAlign w:val="center"/>
          </w:tcPr>
          <w:p w14:paraId="73C1172C">
            <w:pPr>
              <w:jc w:val="center"/>
              <w:rPr>
                <w:rFonts w:ascii="Arial" w:hAnsi="Arial" w:eastAsia="宋体" w:cs="Arial"/>
                <w:b/>
                <w:color w:val="auto"/>
                <w:szCs w:val="21"/>
                <w:highlight w:val="none"/>
              </w:rPr>
            </w:pPr>
            <w:r>
              <w:rPr>
                <w:rFonts w:ascii="Arial" w:hAnsi="Arial" w:eastAsia="宋体" w:cs="Arial"/>
                <w:b/>
                <w:color w:val="auto"/>
                <w:szCs w:val="21"/>
                <w:highlight w:val="none"/>
              </w:rPr>
              <w:t>技术及商务资信分</w:t>
            </w:r>
          </w:p>
        </w:tc>
        <w:tc>
          <w:tcPr>
            <w:tcW w:w="2564" w:type="dxa"/>
            <w:noWrap w:val="0"/>
            <w:vAlign w:val="center"/>
          </w:tcPr>
          <w:p w14:paraId="0790E242">
            <w:pPr>
              <w:jc w:val="center"/>
              <w:rPr>
                <w:rFonts w:ascii="Arial" w:hAnsi="Arial" w:eastAsia="宋体" w:cs="Arial"/>
                <w:b/>
                <w:color w:val="auto"/>
                <w:szCs w:val="21"/>
                <w:highlight w:val="none"/>
              </w:rPr>
            </w:pPr>
            <w:r>
              <w:rPr>
                <w:rFonts w:ascii="Arial" w:hAnsi="Arial" w:eastAsia="宋体" w:cs="Arial"/>
                <w:b/>
                <w:color w:val="auto"/>
                <w:szCs w:val="21"/>
                <w:highlight w:val="none"/>
              </w:rPr>
              <w:t>投标报价得分</w:t>
            </w:r>
          </w:p>
        </w:tc>
        <w:tc>
          <w:tcPr>
            <w:tcW w:w="1977" w:type="dxa"/>
            <w:noWrap w:val="0"/>
            <w:vAlign w:val="center"/>
          </w:tcPr>
          <w:p w14:paraId="1CD85818">
            <w:pPr>
              <w:jc w:val="center"/>
              <w:rPr>
                <w:rFonts w:ascii="Arial" w:hAnsi="Arial" w:eastAsia="宋体" w:cs="Arial"/>
                <w:b/>
                <w:color w:val="auto"/>
                <w:szCs w:val="21"/>
                <w:highlight w:val="none"/>
              </w:rPr>
            </w:pPr>
            <w:r>
              <w:rPr>
                <w:rFonts w:ascii="Arial" w:hAnsi="Arial" w:eastAsia="宋体" w:cs="Arial"/>
                <w:b/>
                <w:color w:val="auto"/>
                <w:szCs w:val="21"/>
                <w:highlight w:val="none"/>
              </w:rPr>
              <w:t>总分</w:t>
            </w:r>
          </w:p>
        </w:tc>
      </w:tr>
      <w:tr w14:paraId="2996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561" w:type="dxa"/>
            <w:noWrap w:val="0"/>
            <w:vAlign w:val="center"/>
          </w:tcPr>
          <w:p w14:paraId="4709FBA9">
            <w:pPr>
              <w:jc w:val="center"/>
              <w:rPr>
                <w:rFonts w:ascii="Arial" w:hAnsi="Arial" w:eastAsia="宋体" w:cs="Arial"/>
                <w:b/>
                <w:color w:val="auto"/>
                <w:szCs w:val="21"/>
                <w:highlight w:val="none"/>
              </w:rPr>
            </w:pPr>
            <w:r>
              <w:rPr>
                <w:rFonts w:ascii="Arial" w:hAnsi="Arial" w:eastAsia="宋体" w:cs="Arial"/>
                <w:b/>
                <w:color w:val="auto"/>
                <w:szCs w:val="21"/>
                <w:highlight w:val="none"/>
              </w:rPr>
              <w:t>分值</w:t>
            </w:r>
          </w:p>
        </w:tc>
        <w:tc>
          <w:tcPr>
            <w:tcW w:w="2756" w:type="dxa"/>
            <w:noWrap w:val="0"/>
            <w:vAlign w:val="center"/>
          </w:tcPr>
          <w:p w14:paraId="3D4D2213">
            <w:pPr>
              <w:jc w:val="center"/>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85</w:t>
            </w:r>
          </w:p>
        </w:tc>
        <w:tc>
          <w:tcPr>
            <w:tcW w:w="2564" w:type="dxa"/>
            <w:noWrap w:val="0"/>
            <w:vAlign w:val="center"/>
          </w:tcPr>
          <w:p w14:paraId="126B1600">
            <w:pPr>
              <w:jc w:val="center"/>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15</w:t>
            </w:r>
          </w:p>
        </w:tc>
        <w:tc>
          <w:tcPr>
            <w:tcW w:w="1977" w:type="dxa"/>
            <w:noWrap w:val="0"/>
            <w:vAlign w:val="center"/>
          </w:tcPr>
          <w:p w14:paraId="39EDA3A0">
            <w:pPr>
              <w:jc w:val="center"/>
              <w:rPr>
                <w:rFonts w:ascii="Arial" w:hAnsi="Arial" w:eastAsia="宋体" w:cs="Arial"/>
                <w:color w:val="auto"/>
                <w:szCs w:val="21"/>
                <w:highlight w:val="none"/>
              </w:rPr>
            </w:pPr>
            <w:r>
              <w:rPr>
                <w:rFonts w:ascii="Arial" w:hAnsi="Arial" w:eastAsia="宋体" w:cs="Arial"/>
                <w:color w:val="auto"/>
                <w:szCs w:val="21"/>
                <w:highlight w:val="none"/>
              </w:rPr>
              <w:t>100</w:t>
            </w:r>
          </w:p>
        </w:tc>
      </w:tr>
      <w:tr w14:paraId="4B31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858" w:type="dxa"/>
            <w:gridSpan w:val="4"/>
            <w:noWrap w:val="0"/>
            <w:vAlign w:val="center"/>
          </w:tcPr>
          <w:p w14:paraId="39C37B9E">
            <w:pPr>
              <w:rPr>
                <w:rFonts w:ascii="Arial" w:hAnsi="Arial" w:eastAsia="宋体" w:cs="Arial"/>
                <w:color w:val="auto"/>
                <w:szCs w:val="21"/>
                <w:highlight w:val="none"/>
              </w:rPr>
            </w:pPr>
            <w:r>
              <w:rPr>
                <w:rFonts w:ascii="Arial" w:hAnsi="Arial" w:eastAsia="宋体" w:cs="Arial"/>
                <w:color w:val="auto"/>
                <w:szCs w:val="21"/>
                <w:highlight w:val="none"/>
              </w:rPr>
              <w:t>综合评分=技术及商务资信分+投标报价得分（</w:t>
            </w:r>
            <w:r>
              <w:rPr>
                <w:rFonts w:ascii="Arial" w:hAnsi="Arial" w:eastAsia="宋体" w:cs="Arial"/>
                <w:color w:val="auto"/>
                <w:highlight w:val="none"/>
              </w:rPr>
              <w:t>注：各</w:t>
            </w:r>
            <w:r>
              <w:rPr>
                <w:rFonts w:ascii="Arial" w:hAnsi="Arial" w:eastAsia="宋体" w:cs="Arial"/>
                <w:color w:val="auto"/>
                <w:szCs w:val="21"/>
                <w:highlight w:val="none"/>
              </w:rPr>
              <w:t>项评分分值计算保留小数点后两位，小数点后第三位“四舍五入”）</w:t>
            </w:r>
          </w:p>
        </w:tc>
      </w:tr>
    </w:tbl>
    <w:p w14:paraId="22D4D2B0">
      <w:pPr>
        <w:pStyle w:val="165"/>
        <w:snapToGrid w:val="0"/>
        <w:spacing w:line="288" w:lineRule="auto"/>
        <w:ind w:firstLine="0" w:firstLineChars="0"/>
        <w:rPr>
          <w:rFonts w:ascii="Arial" w:hAnsi="Arial" w:cs="Arial"/>
          <w:b/>
          <w:color w:val="auto"/>
          <w:kern w:val="0"/>
          <w:szCs w:val="21"/>
          <w:highlight w:val="none"/>
        </w:rPr>
      </w:pPr>
    </w:p>
    <w:p w14:paraId="53132B09">
      <w:pPr>
        <w:pStyle w:val="165"/>
        <w:snapToGrid w:val="0"/>
        <w:spacing w:line="288" w:lineRule="auto"/>
        <w:ind w:firstLine="0" w:firstLineChars="0"/>
        <w:rPr>
          <w:rFonts w:ascii="Arial" w:hAnsi="Arial" w:cs="Arial"/>
          <w:b/>
          <w:color w:val="auto"/>
          <w:kern w:val="0"/>
          <w:szCs w:val="21"/>
          <w:highlight w:val="none"/>
        </w:rPr>
      </w:pPr>
    </w:p>
    <w:p w14:paraId="5F61DE82">
      <w:pPr>
        <w:pStyle w:val="165"/>
        <w:snapToGrid w:val="0"/>
        <w:spacing w:line="288" w:lineRule="auto"/>
        <w:ind w:firstLine="0" w:firstLineChars="0"/>
        <w:rPr>
          <w:rFonts w:ascii="Arial" w:hAnsi="Arial" w:cs="Arial"/>
          <w:b/>
          <w:color w:val="auto"/>
          <w:kern w:val="0"/>
          <w:szCs w:val="21"/>
          <w:highlight w:val="none"/>
        </w:rPr>
      </w:pPr>
    </w:p>
    <w:p w14:paraId="2BBE7462">
      <w:pPr>
        <w:spacing w:line="528" w:lineRule="exact"/>
        <w:ind w:firstLine="280" w:firstLineChars="100"/>
        <w:rPr>
          <w:rFonts w:ascii="Arial" w:hAnsi="Arial" w:cs="Arial"/>
          <w:color w:val="auto"/>
          <w:sz w:val="28"/>
          <w:szCs w:val="28"/>
          <w:highlight w:val="none"/>
        </w:rPr>
      </w:pPr>
      <w:bookmarkStart w:id="76" w:name="_Hlk132878602"/>
      <w:r>
        <w:rPr>
          <w:rFonts w:ascii="Arial" w:hAnsi="Arial" w:cs="Arial"/>
          <w:color w:val="auto"/>
          <w:sz w:val="28"/>
          <w:szCs w:val="28"/>
          <w:highlight w:val="none"/>
        </w:rPr>
        <w:br w:type="page"/>
      </w:r>
      <w:r>
        <w:rPr>
          <w:rFonts w:ascii="Arial" w:hAnsi="Arial" w:cs="Arial"/>
          <w:color w:val="auto"/>
          <w:sz w:val="28"/>
          <w:szCs w:val="28"/>
          <w:highlight w:val="none"/>
        </w:rPr>
        <w:t xml:space="preserve">附件1：                </w:t>
      </w:r>
    </w:p>
    <w:p w14:paraId="7B7D16DF">
      <w:pPr>
        <w:spacing w:line="528" w:lineRule="exact"/>
        <w:ind w:firstLine="280" w:firstLineChars="100"/>
        <w:jc w:val="center"/>
        <w:rPr>
          <w:rFonts w:ascii="Arial" w:hAnsi="Arial" w:cs="Arial"/>
          <w:color w:val="auto"/>
          <w:sz w:val="28"/>
          <w:szCs w:val="28"/>
          <w:highlight w:val="none"/>
        </w:rPr>
      </w:pPr>
      <w:r>
        <w:rPr>
          <w:rFonts w:ascii="Arial" w:hAnsi="Arial" w:cs="Arial"/>
          <w:color w:val="auto"/>
          <w:sz w:val="28"/>
          <w:szCs w:val="28"/>
          <w:highlight w:val="none"/>
        </w:rPr>
        <w:t>中小微企业划型标准</w:t>
      </w:r>
    </w:p>
    <w:tbl>
      <w:tblPr>
        <w:tblStyle w:val="52"/>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330A49E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3B7A0CED">
            <w:pPr>
              <w:widowControl/>
              <w:jc w:val="left"/>
              <w:rPr>
                <w:rFonts w:ascii="Arial" w:hAnsi="Arial" w:eastAsia="宋体" w:cs="Arial"/>
                <w:color w:val="auto"/>
                <w:szCs w:val="21"/>
                <w:highlight w:val="none"/>
              </w:rPr>
            </w:pPr>
            <w:r>
              <w:rPr>
                <w:rFonts w:ascii="Arial" w:hAnsi="Arial" w:eastAsia="宋体" w:cs="Arial"/>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63B1233B">
            <w:pPr>
              <w:widowControl/>
              <w:jc w:val="left"/>
              <w:rPr>
                <w:rFonts w:ascii="Arial" w:hAnsi="Arial" w:eastAsia="宋体" w:cs="Arial"/>
                <w:color w:val="auto"/>
                <w:szCs w:val="21"/>
                <w:highlight w:val="none"/>
              </w:rPr>
            </w:pPr>
            <w:r>
              <w:rPr>
                <w:rFonts w:ascii="Arial" w:hAnsi="Arial" w:eastAsia="宋体" w:cs="Arial"/>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28A1C3A6">
            <w:pPr>
              <w:widowControl/>
              <w:jc w:val="left"/>
              <w:rPr>
                <w:rFonts w:ascii="Arial" w:hAnsi="Arial" w:eastAsia="宋体" w:cs="Arial"/>
                <w:color w:val="auto"/>
                <w:szCs w:val="21"/>
                <w:highlight w:val="none"/>
              </w:rPr>
            </w:pPr>
            <w:r>
              <w:rPr>
                <w:rFonts w:ascii="Arial" w:hAnsi="Arial" w:eastAsia="宋体" w:cs="Arial"/>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3213716E">
            <w:pPr>
              <w:widowControl/>
              <w:jc w:val="left"/>
              <w:rPr>
                <w:rFonts w:ascii="Arial" w:hAnsi="Arial" w:eastAsia="宋体" w:cs="Arial"/>
                <w:color w:val="auto"/>
                <w:szCs w:val="21"/>
                <w:highlight w:val="none"/>
              </w:rPr>
            </w:pPr>
            <w:r>
              <w:rPr>
                <w:rFonts w:ascii="Arial" w:hAnsi="Arial" w:eastAsia="宋体" w:cs="Arial"/>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0A26D175">
            <w:pPr>
              <w:widowControl/>
              <w:jc w:val="left"/>
              <w:rPr>
                <w:rFonts w:ascii="Arial" w:hAnsi="Arial" w:eastAsia="宋体" w:cs="Arial"/>
                <w:color w:val="auto"/>
                <w:szCs w:val="21"/>
                <w:highlight w:val="none"/>
              </w:rPr>
            </w:pPr>
            <w:r>
              <w:rPr>
                <w:rFonts w:ascii="Arial" w:hAnsi="Arial" w:eastAsia="宋体" w:cs="Arial"/>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1CC71C5B">
            <w:pPr>
              <w:widowControl/>
              <w:jc w:val="left"/>
              <w:rPr>
                <w:rFonts w:ascii="Arial" w:hAnsi="Arial" w:eastAsia="宋体" w:cs="Arial"/>
                <w:color w:val="auto"/>
                <w:szCs w:val="21"/>
                <w:highlight w:val="none"/>
              </w:rPr>
            </w:pPr>
            <w:r>
              <w:rPr>
                <w:rFonts w:ascii="Arial" w:hAnsi="Arial" w:eastAsia="宋体" w:cs="Arial"/>
                <w:color w:val="auto"/>
                <w:szCs w:val="21"/>
                <w:highlight w:val="none"/>
              </w:rPr>
              <w:t>微型</w:t>
            </w:r>
          </w:p>
        </w:tc>
      </w:tr>
      <w:tr w14:paraId="78D72CB6">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226FC361">
            <w:pPr>
              <w:widowControl/>
              <w:jc w:val="center"/>
              <w:rPr>
                <w:rFonts w:ascii="Arial" w:hAnsi="Arial" w:eastAsia="宋体" w:cs="Arial"/>
                <w:color w:val="auto"/>
                <w:szCs w:val="21"/>
                <w:highlight w:val="none"/>
              </w:rPr>
            </w:pPr>
            <w:r>
              <w:rPr>
                <w:rFonts w:ascii="Arial" w:hAnsi="Arial" w:eastAsia="宋体" w:cs="Arial"/>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2DBB58B7">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A51A71">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265F086">
            <w:pPr>
              <w:widowControl/>
              <w:jc w:val="left"/>
              <w:rPr>
                <w:rFonts w:ascii="Arial" w:hAnsi="Arial" w:eastAsia="宋体" w:cs="Arial"/>
                <w:color w:val="auto"/>
                <w:szCs w:val="21"/>
                <w:highlight w:val="none"/>
              </w:rPr>
            </w:pPr>
            <w:r>
              <w:rPr>
                <w:rFonts w:ascii="Arial" w:hAnsi="Arial" w:eastAsia="宋体" w:cs="Arial"/>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6EA64170">
            <w:pPr>
              <w:widowControl/>
              <w:jc w:val="left"/>
              <w:rPr>
                <w:rFonts w:ascii="Arial" w:hAnsi="Arial" w:eastAsia="宋体" w:cs="Arial"/>
                <w:color w:val="auto"/>
                <w:szCs w:val="21"/>
                <w:highlight w:val="none"/>
              </w:rPr>
            </w:pPr>
            <w:r>
              <w:rPr>
                <w:rFonts w:ascii="Arial" w:hAnsi="Arial" w:eastAsia="宋体" w:cs="Arial"/>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0459B48B">
            <w:pPr>
              <w:widowControl/>
              <w:jc w:val="left"/>
              <w:rPr>
                <w:rFonts w:ascii="Arial" w:hAnsi="Arial" w:eastAsia="宋体" w:cs="Arial"/>
                <w:color w:val="auto"/>
                <w:szCs w:val="21"/>
                <w:highlight w:val="none"/>
              </w:rPr>
            </w:pPr>
            <w:r>
              <w:rPr>
                <w:rFonts w:ascii="Arial" w:hAnsi="Arial" w:eastAsia="宋体" w:cs="Arial"/>
                <w:color w:val="auto"/>
                <w:szCs w:val="21"/>
                <w:highlight w:val="none"/>
              </w:rPr>
              <w:t>Y＜50</w:t>
            </w:r>
          </w:p>
        </w:tc>
      </w:tr>
      <w:tr w14:paraId="59A2167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DBAADD0">
            <w:pPr>
              <w:widowControl/>
              <w:jc w:val="center"/>
              <w:rPr>
                <w:rFonts w:ascii="Arial" w:hAnsi="Arial" w:eastAsia="宋体" w:cs="Arial"/>
                <w:color w:val="auto"/>
                <w:szCs w:val="21"/>
                <w:highlight w:val="none"/>
              </w:rPr>
            </w:pPr>
            <w:r>
              <w:rPr>
                <w:rFonts w:ascii="Arial" w:hAnsi="Arial" w:eastAsia="宋体" w:cs="Arial"/>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3BDCC88F">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D1F6DCF">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F044A44">
            <w:pPr>
              <w:widowControl/>
              <w:jc w:val="left"/>
              <w:rPr>
                <w:rFonts w:ascii="Arial" w:hAnsi="Arial" w:eastAsia="宋体" w:cs="Arial"/>
                <w:color w:val="auto"/>
                <w:szCs w:val="21"/>
                <w:highlight w:val="none"/>
              </w:rPr>
            </w:pPr>
            <w:r>
              <w:rPr>
                <w:rFonts w:ascii="Arial" w:hAnsi="Arial" w:eastAsia="宋体" w:cs="Arial"/>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9CDAAF">
            <w:pPr>
              <w:widowControl/>
              <w:jc w:val="left"/>
              <w:rPr>
                <w:rFonts w:ascii="Arial" w:hAnsi="Arial" w:eastAsia="宋体" w:cs="Arial"/>
                <w:color w:val="auto"/>
                <w:szCs w:val="21"/>
                <w:highlight w:val="none"/>
              </w:rPr>
            </w:pPr>
            <w:r>
              <w:rPr>
                <w:rFonts w:ascii="Arial" w:hAnsi="Arial" w:eastAsia="宋体" w:cs="Arial"/>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3BA63AB3">
            <w:pPr>
              <w:widowControl/>
              <w:jc w:val="left"/>
              <w:rPr>
                <w:rFonts w:ascii="Arial" w:hAnsi="Arial" w:eastAsia="宋体" w:cs="Arial"/>
                <w:color w:val="auto"/>
                <w:szCs w:val="21"/>
                <w:highlight w:val="none"/>
              </w:rPr>
            </w:pPr>
            <w:r>
              <w:rPr>
                <w:rFonts w:ascii="Arial" w:hAnsi="Arial" w:eastAsia="宋体" w:cs="Arial"/>
                <w:color w:val="auto"/>
                <w:szCs w:val="21"/>
                <w:highlight w:val="none"/>
              </w:rPr>
              <w:t>X＜20</w:t>
            </w:r>
          </w:p>
        </w:tc>
      </w:tr>
      <w:tr w14:paraId="2DDC052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4736286">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F5EB579">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77E202C">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0D62B19">
            <w:pPr>
              <w:widowControl/>
              <w:jc w:val="left"/>
              <w:rPr>
                <w:rFonts w:ascii="Arial" w:hAnsi="Arial" w:eastAsia="宋体" w:cs="Arial"/>
                <w:color w:val="auto"/>
                <w:szCs w:val="21"/>
                <w:highlight w:val="none"/>
              </w:rPr>
            </w:pPr>
            <w:r>
              <w:rPr>
                <w:rFonts w:ascii="Arial" w:hAnsi="Arial" w:eastAsia="宋体" w:cs="Arial"/>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54B4D2A9">
            <w:pPr>
              <w:widowControl/>
              <w:jc w:val="left"/>
              <w:rPr>
                <w:rFonts w:ascii="Arial" w:hAnsi="Arial" w:eastAsia="宋体" w:cs="Arial"/>
                <w:color w:val="auto"/>
                <w:szCs w:val="21"/>
                <w:highlight w:val="none"/>
              </w:rPr>
            </w:pPr>
            <w:r>
              <w:rPr>
                <w:rFonts w:ascii="Arial" w:hAnsi="Arial" w:eastAsia="宋体" w:cs="Arial"/>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1E1B021F">
            <w:pPr>
              <w:widowControl/>
              <w:jc w:val="left"/>
              <w:rPr>
                <w:rFonts w:ascii="Arial" w:hAnsi="Arial" w:eastAsia="宋体" w:cs="Arial"/>
                <w:color w:val="auto"/>
                <w:szCs w:val="21"/>
                <w:highlight w:val="none"/>
              </w:rPr>
            </w:pPr>
            <w:r>
              <w:rPr>
                <w:rFonts w:ascii="Arial" w:hAnsi="Arial" w:eastAsia="宋体" w:cs="Arial"/>
                <w:color w:val="auto"/>
                <w:szCs w:val="21"/>
                <w:highlight w:val="none"/>
              </w:rPr>
              <w:t>Y＜300</w:t>
            </w:r>
          </w:p>
        </w:tc>
      </w:tr>
      <w:tr w14:paraId="1032AEC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49A1616">
            <w:pPr>
              <w:widowControl/>
              <w:jc w:val="center"/>
              <w:rPr>
                <w:rFonts w:ascii="Arial" w:hAnsi="Arial" w:eastAsia="宋体" w:cs="Arial"/>
                <w:color w:val="auto"/>
                <w:szCs w:val="21"/>
                <w:highlight w:val="none"/>
              </w:rPr>
            </w:pPr>
            <w:r>
              <w:rPr>
                <w:rFonts w:ascii="Arial" w:hAnsi="Arial" w:eastAsia="宋体" w:cs="Arial"/>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774636D7">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6C016F1">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39A0050">
            <w:pPr>
              <w:widowControl/>
              <w:jc w:val="left"/>
              <w:rPr>
                <w:rFonts w:ascii="Arial" w:hAnsi="Arial" w:eastAsia="宋体" w:cs="Arial"/>
                <w:color w:val="auto"/>
                <w:szCs w:val="21"/>
                <w:highlight w:val="none"/>
              </w:rPr>
            </w:pPr>
            <w:r>
              <w:rPr>
                <w:rFonts w:ascii="Arial" w:hAnsi="Arial" w:eastAsia="宋体" w:cs="Arial"/>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4B51279D">
            <w:pPr>
              <w:widowControl/>
              <w:jc w:val="left"/>
              <w:rPr>
                <w:rFonts w:ascii="Arial" w:hAnsi="Arial" w:eastAsia="宋体" w:cs="Arial"/>
                <w:color w:val="auto"/>
                <w:szCs w:val="21"/>
                <w:highlight w:val="none"/>
              </w:rPr>
            </w:pPr>
            <w:r>
              <w:rPr>
                <w:rFonts w:ascii="Arial" w:hAnsi="Arial" w:eastAsia="宋体" w:cs="Arial"/>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22467687">
            <w:pPr>
              <w:widowControl/>
              <w:jc w:val="left"/>
              <w:rPr>
                <w:rFonts w:ascii="Arial" w:hAnsi="Arial" w:eastAsia="宋体" w:cs="Arial"/>
                <w:color w:val="auto"/>
                <w:szCs w:val="21"/>
                <w:highlight w:val="none"/>
              </w:rPr>
            </w:pPr>
            <w:r>
              <w:rPr>
                <w:rFonts w:ascii="Arial" w:hAnsi="Arial" w:eastAsia="宋体" w:cs="Arial"/>
                <w:color w:val="auto"/>
                <w:szCs w:val="21"/>
                <w:highlight w:val="none"/>
              </w:rPr>
              <w:t>Y＜300</w:t>
            </w:r>
          </w:p>
        </w:tc>
      </w:tr>
      <w:tr w14:paraId="4D2C0C6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3622527">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5C2BF86">
            <w:pPr>
              <w:widowControl/>
              <w:jc w:val="left"/>
              <w:rPr>
                <w:rFonts w:ascii="Arial" w:hAnsi="Arial" w:eastAsia="宋体" w:cs="Arial"/>
                <w:color w:val="auto"/>
                <w:szCs w:val="21"/>
                <w:highlight w:val="none"/>
              </w:rPr>
            </w:pPr>
            <w:r>
              <w:rPr>
                <w:rFonts w:ascii="Arial" w:hAnsi="Arial" w:eastAsia="宋体" w:cs="Arial"/>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0376C25B">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5C045A3">
            <w:pPr>
              <w:widowControl/>
              <w:jc w:val="left"/>
              <w:rPr>
                <w:rFonts w:ascii="Arial" w:hAnsi="Arial" w:eastAsia="宋体" w:cs="Arial"/>
                <w:color w:val="auto"/>
                <w:szCs w:val="21"/>
                <w:highlight w:val="none"/>
              </w:rPr>
            </w:pPr>
            <w:r>
              <w:rPr>
                <w:rFonts w:ascii="Arial" w:hAnsi="Arial" w:eastAsia="宋体" w:cs="Arial"/>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7D279EF4">
            <w:pPr>
              <w:widowControl/>
              <w:jc w:val="left"/>
              <w:rPr>
                <w:rFonts w:ascii="Arial" w:hAnsi="Arial" w:eastAsia="宋体" w:cs="Arial"/>
                <w:color w:val="auto"/>
                <w:szCs w:val="21"/>
                <w:highlight w:val="none"/>
              </w:rPr>
            </w:pPr>
            <w:r>
              <w:rPr>
                <w:rFonts w:ascii="Arial" w:hAnsi="Arial" w:eastAsia="宋体" w:cs="Arial"/>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3C86656A">
            <w:pPr>
              <w:widowControl/>
              <w:jc w:val="left"/>
              <w:rPr>
                <w:rFonts w:ascii="Arial" w:hAnsi="Arial" w:eastAsia="宋体" w:cs="Arial"/>
                <w:color w:val="auto"/>
                <w:szCs w:val="21"/>
                <w:highlight w:val="none"/>
              </w:rPr>
            </w:pPr>
            <w:r>
              <w:rPr>
                <w:rFonts w:ascii="Arial" w:hAnsi="Arial" w:eastAsia="宋体" w:cs="Arial"/>
                <w:color w:val="auto"/>
                <w:szCs w:val="21"/>
                <w:highlight w:val="none"/>
              </w:rPr>
              <w:t>Z＜300</w:t>
            </w:r>
          </w:p>
        </w:tc>
      </w:tr>
      <w:tr w14:paraId="7541AAE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5283C95">
            <w:pPr>
              <w:widowControl/>
              <w:ind w:firstLine="315" w:firstLineChars="150"/>
              <w:rPr>
                <w:rFonts w:ascii="Arial" w:hAnsi="Arial" w:eastAsia="宋体" w:cs="Arial"/>
                <w:color w:val="auto"/>
                <w:szCs w:val="21"/>
                <w:highlight w:val="none"/>
              </w:rPr>
            </w:pPr>
            <w:r>
              <w:rPr>
                <w:rFonts w:ascii="Arial" w:hAnsi="Arial" w:eastAsia="宋体" w:cs="Arial"/>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78324BB1">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A711E53">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4641AA0">
            <w:pPr>
              <w:widowControl/>
              <w:jc w:val="left"/>
              <w:rPr>
                <w:rFonts w:ascii="Arial" w:hAnsi="Arial" w:eastAsia="宋体" w:cs="Arial"/>
                <w:color w:val="auto"/>
                <w:szCs w:val="21"/>
                <w:highlight w:val="none"/>
              </w:rPr>
            </w:pPr>
            <w:r>
              <w:rPr>
                <w:rFonts w:ascii="Arial" w:hAnsi="Arial" w:eastAsia="宋体" w:cs="Arial"/>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7EB40061">
            <w:pPr>
              <w:widowControl/>
              <w:jc w:val="left"/>
              <w:rPr>
                <w:rFonts w:ascii="Arial" w:hAnsi="Arial" w:eastAsia="宋体" w:cs="Arial"/>
                <w:color w:val="auto"/>
                <w:szCs w:val="21"/>
                <w:highlight w:val="none"/>
              </w:rPr>
            </w:pPr>
            <w:r>
              <w:rPr>
                <w:rFonts w:ascii="Arial" w:hAnsi="Arial" w:eastAsia="宋体" w:cs="Arial"/>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1A62FAB8">
            <w:pPr>
              <w:widowControl/>
              <w:jc w:val="left"/>
              <w:rPr>
                <w:rFonts w:ascii="Arial" w:hAnsi="Arial" w:eastAsia="宋体" w:cs="Arial"/>
                <w:color w:val="auto"/>
                <w:szCs w:val="21"/>
                <w:highlight w:val="none"/>
              </w:rPr>
            </w:pPr>
            <w:r>
              <w:rPr>
                <w:rFonts w:ascii="Arial" w:hAnsi="Arial" w:eastAsia="宋体" w:cs="Arial"/>
                <w:color w:val="auto"/>
                <w:szCs w:val="21"/>
                <w:highlight w:val="none"/>
              </w:rPr>
              <w:t>X＜5</w:t>
            </w:r>
          </w:p>
        </w:tc>
      </w:tr>
      <w:tr w14:paraId="3F969FE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1E079AA">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D8702B8">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317AC4">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DAF2E49">
            <w:pPr>
              <w:widowControl/>
              <w:jc w:val="left"/>
              <w:rPr>
                <w:rFonts w:ascii="Arial" w:hAnsi="Arial" w:eastAsia="宋体" w:cs="Arial"/>
                <w:color w:val="auto"/>
                <w:szCs w:val="21"/>
                <w:highlight w:val="none"/>
              </w:rPr>
            </w:pPr>
            <w:r>
              <w:rPr>
                <w:rFonts w:ascii="Arial" w:hAnsi="Arial" w:eastAsia="宋体" w:cs="Arial"/>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38EA0275">
            <w:pPr>
              <w:widowControl/>
              <w:jc w:val="left"/>
              <w:rPr>
                <w:rFonts w:ascii="Arial" w:hAnsi="Arial" w:eastAsia="宋体" w:cs="Arial"/>
                <w:color w:val="auto"/>
                <w:szCs w:val="21"/>
                <w:highlight w:val="none"/>
              </w:rPr>
            </w:pPr>
            <w:r>
              <w:rPr>
                <w:rFonts w:ascii="Arial" w:hAnsi="Arial" w:eastAsia="宋体" w:cs="Arial"/>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6AAA15BB">
            <w:pPr>
              <w:widowControl/>
              <w:jc w:val="left"/>
              <w:rPr>
                <w:rFonts w:ascii="Arial" w:hAnsi="Arial" w:eastAsia="宋体" w:cs="Arial"/>
                <w:color w:val="auto"/>
                <w:szCs w:val="21"/>
                <w:highlight w:val="none"/>
              </w:rPr>
            </w:pPr>
            <w:r>
              <w:rPr>
                <w:rFonts w:ascii="Arial" w:hAnsi="Arial" w:eastAsia="宋体" w:cs="Arial"/>
                <w:color w:val="auto"/>
                <w:szCs w:val="21"/>
                <w:highlight w:val="none"/>
              </w:rPr>
              <w:t>Y＜1000</w:t>
            </w:r>
          </w:p>
        </w:tc>
      </w:tr>
      <w:tr w14:paraId="3DD63F6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FC5E084">
            <w:pPr>
              <w:widowControl/>
              <w:jc w:val="center"/>
              <w:rPr>
                <w:rFonts w:ascii="Arial" w:hAnsi="Arial" w:eastAsia="宋体" w:cs="Arial"/>
                <w:color w:val="auto"/>
                <w:szCs w:val="21"/>
                <w:highlight w:val="none"/>
              </w:rPr>
            </w:pPr>
            <w:r>
              <w:rPr>
                <w:rFonts w:ascii="Arial" w:hAnsi="Arial" w:eastAsia="宋体" w:cs="Arial"/>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47835A7C">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78A9936">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99911DE">
            <w:pPr>
              <w:widowControl/>
              <w:jc w:val="left"/>
              <w:rPr>
                <w:rFonts w:ascii="Arial" w:hAnsi="Arial" w:eastAsia="宋体" w:cs="Arial"/>
                <w:color w:val="auto"/>
                <w:szCs w:val="21"/>
                <w:highlight w:val="none"/>
              </w:rPr>
            </w:pPr>
            <w:r>
              <w:rPr>
                <w:rFonts w:ascii="Arial" w:hAnsi="Arial" w:eastAsia="宋体" w:cs="Arial"/>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4291D11F">
            <w:pPr>
              <w:widowControl/>
              <w:jc w:val="left"/>
              <w:rPr>
                <w:rFonts w:ascii="Arial" w:hAnsi="Arial" w:eastAsia="宋体" w:cs="Arial"/>
                <w:color w:val="auto"/>
                <w:szCs w:val="21"/>
                <w:highlight w:val="none"/>
              </w:rPr>
            </w:pPr>
            <w:r>
              <w:rPr>
                <w:rFonts w:ascii="Arial" w:hAnsi="Arial" w:eastAsia="宋体" w:cs="Arial"/>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70ADBE35">
            <w:pPr>
              <w:widowControl/>
              <w:jc w:val="left"/>
              <w:rPr>
                <w:rFonts w:ascii="Arial" w:hAnsi="Arial" w:eastAsia="宋体" w:cs="Arial"/>
                <w:color w:val="auto"/>
                <w:szCs w:val="21"/>
                <w:highlight w:val="none"/>
              </w:rPr>
            </w:pPr>
            <w:r>
              <w:rPr>
                <w:rFonts w:ascii="Arial" w:hAnsi="Arial" w:eastAsia="宋体" w:cs="Arial"/>
                <w:color w:val="auto"/>
                <w:szCs w:val="21"/>
                <w:highlight w:val="none"/>
              </w:rPr>
              <w:t>X＜10</w:t>
            </w:r>
          </w:p>
        </w:tc>
      </w:tr>
      <w:tr w14:paraId="774BCA4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CD68371">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943FCAB">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0E2BA10">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EF62644">
            <w:pPr>
              <w:widowControl/>
              <w:jc w:val="left"/>
              <w:rPr>
                <w:rFonts w:ascii="Arial" w:hAnsi="Arial" w:eastAsia="宋体" w:cs="Arial"/>
                <w:color w:val="auto"/>
                <w:szCs w:val="21"/>
                <w:highlight w:val="none"/>
              </w:rPr>
            </w:pPr>
            <w:r>
              <w:rPr>
                <w:rFonts w:ascii="Arial" w:hAnsi="Arial" w:eastAsia="宋体" w:cs="Arial"/>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8F44097">
            <w:pPr>
              <w:widowControl/>
              <w:jc w:val="left"/>
              <w:rPr>
                <w:rFonts w:ascii="Arial" w:hAnsi="Arial" w:eastAsia="宋体" w:cs="Arial"/>
                <w:color w:val="auto"/>
                <w:szCs w:val="21"/>
                <w:highlight w:val="none"/>
              </w:rPr>
            </w:pPr>
            <w:r>
              <w:rPr>
                <w:rFonts w:ascii="Arial" w:hAnsi="Arial" w:eastAsia="宋体" w:cs="Arial"/>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293AEA16">
            <w:pPr>
              <w:widowControl/>
              <w:jc w:val="left"/>
              <w:rPr>
                <w:rFonts w:ascii="Arial" w:hAnsi="Arial" w:eastAsia="宋体" w:cs="Arial"/>
                <w:color w:val="auto"/>
                <w:szCs w:val="21"/>
                <w:highlight w:val="none"/>
              </w:rPr>
            </w:pPr>
            <w:r>
              <w:rPr>
                <w:rFonts w:ascii="Arial" w:hAnsi="Arial" w:eastAsia="宋体" w:cs="Arial"/>
                <w:color w:val="auto"/>
                <w:szCs w:val="21"/>
                <w:highlight w:val="none"/>
              </w:rPr>
              <w:t>Y＜100</w:t>
            </w:r>
          </w:p>
        </w:tc>
      </w:tr>
      <w:tr w14:paraId="1C6C674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A3D5B4D">
            <w:pPr>
              <w:widowControl/>
              <w:jc w:val="center"/>
              <w:rPr>
                <w:rFonts w:ascii="Arial" w:hAnsi="Arial" w:eastAsia="宋体" w:cs="Arial"/>
                <w:color w:val="auto"/>
                <w:szCs w:val="21"/>
                <w:highlight w:val="none"/>
              </w:rPr>
            </w:pPr>
            <w:r>
              <w:rPr>
                <w:rFonts w:ascii="Arial" w:hAnsi="Arial" w:eastAsia="宋体" w:cs="Arial"/>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6A609F8">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9AEC26D">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427C7B">
            <w:pPr>
              <w:widowControl/>
              <w:jc w:val="left"/>
              <w:rPr>
                <w:rFonts w:ascii="Arial" w:hAnsi="Arial" w:eastAsia="宋体" w:cs="Arial"/>
                <w:color w:val="auto"/>
                <w:szCs w:val="21"/>
                <w:highlight w:val="none"/>
              </w:rPr>
            </w:pPr>
            <w:r>
              <w:rPr>
                <w:rFonts w:ascii="Arial" w:hAnsi="Arial" w:eastAsia="宋体" w:cs="Arial"/>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E8F2102">
            <w:pPr>
              <w:widowControl/>
              <w:jc w:val="left"/>
              <w:rPr>
                <w:rFonts w:ascii="Arial" w:hAnsi="Arial" w:eastAsia="宋体" w:cs="Arial"/>
                <w:color w:val="auto"/>
                <w:szCs w:val="21"/>
                <w:highlight w:val="none"/>
              </w:rPr>
            </w:pPr>
            <w:r>
              <w:rPr>
                <w:rFonts w:ascii="Arial" w:hAnsi="Arial" w:eastAsia="宋体" w:cs="Arial"/>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64EAE438">
            <w:pPr>
              <w:widowControl/>
              <w:jc w:val="left"/>
              <w:rPr>
                <w:rFonts w:ascii="Arial" w:hAnsi="Arial" w:eastAsia="宋体" w:cs="Arial"/>
                <w:color w:val="auto"/>
                <w:szCs w:val="21"/>
                <w:highlight w:val="none"/>
              </w:rPr>
            </w:pPr>
            <w:r>
              <w:rPr>
                <w:rFonts w:ascii="Arial" w:hAnsi="Arial" w:eastAsia="宋体" w:cs="Arial"/>
                <w:color w:val="auto"/>
                <w:szCs w:val="21"/>
                <w:highlight w:val="none"/>
              </w:rPr>
              <w:t>X＜20</w:t>
            </w:r>
          </w:p>
        </w:tc>
      </w:tr>
      <w:tr w14:paraId="36AA592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B4A87B0">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398383D">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D6A8AF6">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4725CF1">
            <w:pPr>
              <w:widowControl/>
              <w:jc w:val="left"/>
              <w:rPr>
                <w:rFonts w:ascii="Arial" w:hAnsi="Arial" w:eastAsia="宋体" w:cs="Arial"/>
                <w:color w:val="auto"/>
                <w:szCs w:val="21"/>
                <w:highlight w:val="none"/>
              </w:rPr>
            </w:pPr>
            <w:r>
              <w:rPr>
                <w:rFonts w:ascii="Arial" w:hAnsi="Arial" w:eastAsia="宋体" w:cs="Arial"/>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5E0148A8">
            <w:pPr>
              <w:widowControl/>
              <w:jc w:val="left"/>
              <w:rPr>
                <w:rFonts w:ascii="Arial" w:hAnsi="Arial" w:eastAsia="宋体" w:cs="Arial"/>
                <w:color w:val="auto"/>
                <w:szCs w:val="21"/>
                <w:highlight w:val="none"/>
              </w:rPr>
            </w:pPr>
            <w:r>
              <w:rPr>
                <w:rFonts w:ascii="Arial" w:hAnsi="Arial" w:eastAsia="宋体" w:cs="Arial"/>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4E35BA13">
            <w:pPr>
              <w:widowControl/>
              <w:jc w:val="left"/>
              <w:rPr>
                <w:rFonts w:ascii="Arial" w:hAnsi="Arial" w:eastAsia="宋体" w:cs="Arial"/>
                <w:color w:val="auto"/>
                <w:szCs w:val="21"/>
                <w:highlight w:val="none"/>
              </w:rPr>
            </w:pPr>
            <w:r>
              <w:rPr>
                <w:rFonts w:ascii="Arial" w:hAnsi="Arial" w:eastAsia="宋体" w:cs="Arial"/>
                <w:color w:val="auto"/>
                <w:szCs w:val="21"/>
                <w:highlight w:val="none"/>
              </w:rPr>
              <w:t>Y＜200</w:t>
            </w:r>
          </w:p>
        </w:tc>
      </w:tr>
      <w:tr w14:paraId="5602225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E3E7AE2">
            <w:pPr>
              <w:widowControl/>
              <w:jc w:val="center"/>
              <w:rPr>
                <w:rFonts w:ascii="Arial" w:hAnsi="Arial" w:eastAsia="宋体" w:cs="Arial"/>
                <w:color w:val="auto"/>
                <w:szCs w:val="21"/>
                <w:highlight w:val="none"/>
              </w:rPr>
            </w:pPr>
            <w:r>
              <w:rPr>
                <w:rFonts w:ascii="Arial" w:hAnsi="Arial" w:eastAsia="宋体" w:cs="Arial"/>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799DA3B">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914FBD1">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413C093">
            <w:pPr>
              <w:widowControl/>
              <w:jc w:val="left"/>
              <w:rPr>
                <w:rFonts w:ascii="Arial" w:hAnsi="Arial" w:eastAsia="宋体" w:cs="Arial"/>
                <w:color w:val="auto"/>
                <w:szCs w:val="21"/>
                <w:highlight w:val="none"/>
              </w:rPr>
            </w:pPr>
            <w:r>
              <w:rPr>
                <w:rFonts w:ascii="Arial" w:hAnsi="Arial" w:eastAsia="宋体" w:cs="Arial"/>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3DB78407">
            <w:pPr>
              <w:widowControl/>
              <w:jc w:val="left"/>
              <w:rPr>
                <w:rFonts w:ascii="Arial" w:hAnsi="Arial" w:eastAsia="宋体" w:cs="Arial"/>
                <w:color w:val="auto"/>
                <w:szCs w:val="21"/>
                <w:highlight w:val="none"/>
              </w:rPr>
            </w:pPr>
            <w:r>
              <w:rPr>
                <w:rFonts w:ascii="Arial" w:hAnsi="Arial" w:eastAsia="宋体" w:cs="Arial"/>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0948B52D">
            <w:pPr>
              <w:widowControl/>
              <w:jc w:val="left"/>
              <w:rPr>
                <w:rFonts w:ascii="Arial" w:hAnsi="Arial" w:eastAsia="宋体" w:cs="Arial"/>
                <w:color w:val="auto"/>
                <w:szCs w:val="21"/>
                <w:highlight w:val="none"/>
              </w:rPr>
            </w:pPr>
            <w:r>
              <w:rPr>
                <w:rFonts w:ascii="Arial" w:hAnsi="Arial" w:eastAsia="宋体" w:cs="Arial"/>
                <w:color w:val="auto"/>
                <w:szCs w:val="21"/>
                <w:highlight w:val="none"/>
              </w:rPr>
              <w:t>X＜20</w:t>
            </w:r>
          </w:p>
        </w:tc>
      </w:tr>
      <w:tr w14:paraId="3418CFF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28EF5C9">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255C710">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EA74479">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22C9F5B">
            <w:pPr>
              <w:widowControl/>
              <w:jc w:val="left"/>
              <w:rPr>
                <w:rFonts w:ascii="Arial" w:hAnsi="Arial" w:eastAsia="宋体" w:cs="Arial"/>
                <w:color w:val="auto"/>
                <w:szCs w:val="21"/>
                <w:highlight w:val="none"/>
              </w:rPr>
            </w:pPr>
            <w:r>
              <w:rPr>
                <w:rFonts w:ascii="Arial" w:hAnsi="Arial" w:eastAsia="宋体" w:cs="Arial"/>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5B2D6E5">
            <w:pPr>
              <w:widowControl/>
              <w:jc w:val="left"/>
              <w:rPr>
                <w:rFonts w:ascii="Arial" w:hAnsi="Arial" w:eastAsia="宋体" w:cs="Arial"/>
                <w:color w:val="auto"/>
                <w:szCs w:val="21"/>
                <w:highlight w:val="none"/>
              </w:rPr>
            </w:pPr>
            <w:r>
              <w:rPr>
                <w:rFonts w:ascii="Arial" w:hAnsi="Arial" w:eastAsia="宋体" w:cs="Arial"/>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1709DC67">
            <w:pPr>
              <w:widowControl/>
              <w:jc w:val="left"/>
              <w:rPr>
                <w:rFonts w:ascii="Arial" w:hAnsi="Arial" w:eastAsia="宋体" w:cs="Arial"/>
                <w:color w:val="auto"/>
                <w:szCs w:val="21"/>
                <w:highlight w:val="none"/>
              </w:rPr>
            </w:pPr>
            <w:r>
              <w:rPr>
                <w:rFonts w:ascii="Arial" w:hAnsi="Arial" w:eastAsia="宋体" w:cs="Arial"/>
                <w:color w:val="auto"/>
                <w:szCs w:val="21"/>
                <w:highlight w:val="none"/>
              </w:rPr>
              <w:t>Y＜100</w:t>
            </w:r>
          </w:p>
        </w:tc>
      </w:tr>
      <w:tr w14:paraId="5ED5EB9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04D8824">
            <w:pPr>
              <w:widowControl/>
              <w:jc w:val="center"/>
              <w:rPr>
                <w:rFonts w:ascii="Arial" w:hAnsi="Arial" w:eastAsia="宋体" w:cs="Arial"/>
                <w:color w:val="auto"/>
                <w:szCs w:val="21"/>
                <w:highlight w:val="none"/>
              </w:rPr>
            </w:pPr>
            <w:r>
              <w:rPr>
                <w:rFonts w:ascii="Arial" w:hAnsi="Arial" w:eastAsia="宋体" w:cs="Arial"/>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5BEFACB3">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5E928F4">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367C666">
            <w:pPr>
              <w:widowControl/>
              <w:jc w:val="left"/>
              <w:rPr>
                <w:rFonts w:ascii="Arial" w:hAnsi="Arial" w:eastAsia="宋体" w:cs="Arial"/>
                <w:color w:val="auto"/>
                <w:szCs w:val="21"/>
                <w:highlight w:val="none"/>
              </w:rPr>
            </w:pPr>
            <w:r>
              <w:rPr>
                <w:rFonts w:ascii="Arial" w:hAnsi="Arial" w:eastAsia="宋体" w:cs="Arial"/>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577B3BA5">
            <w:pPr>
              <w:widowControl/>
              <w:jc w:val="left"/>
              <w:rPr>
                <w:rFonts w:ascii="Arial" w:hAnsi="Arial" w:eastAsia="宋体" w:cs="Arial"/>
                <w:color w:val="auto"/>
                <w:szCs w:val="21"/>
                <w:highlight w:val="none"/>
              </w:rPr>
            </w:pPr>
            <w:r>
              <w:rPr>
                <w:rFonts w:ascii="Arial" w:hAnsi="Arial" w:eastAsia="宋体" w:cs="Arial"/>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67AB1F5">
            <w:pPr>
              <w:widowControl/>
              <w:jc w:val="left"/>
              <w:rPr>
                <w:rFonts w:ascii="Arial" w:hAnsi="Arial" w:eastAsia="宋体" w:cs="Arial"/>
                <w:color w:val="auto"/>
                <w:szCs w:val="21"/>
                <w:highlight w:val="none"/>
              </w:rPr>
            </w:pPr>
            <w:r>
              <w:rPr>
                <w:rFonts w:ascii="Arial" w:hAnsi="Arial" w:eastAsia="宋体" w:cs="Arial"/>
                <w:color w:val="auto"/>
                <w:szCs w:val="21"/>
                <w:highlight w:val="none"/>
              </w:rPr>
              <w:t>X＜20</w:t>
            </w:r>
          </w:p>
        </w:tc>
      </w:tr>
      <w:tr w14:paraId="097BB11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F722461">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0E0E3E0">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D257518">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B9E6F22">
            <w:pPr>
              <w:widowControl/>
              <w:jc w:val="left"/>
              <w:rPr>
                <w:rFonts w:ascii="Arial" w:hAnsi="Arial" w:eastAsia="宋体" w:cs="Arial"/>
                <w:color w:val="auto"/>
                <w:szCs w:val="21"/>
                <w:highlight w:val="none"/>
              </w:rPr>
            </w:pPr>
            <w:r>
              <w:rPr>
                <w:rFonts w:ascii="Arial" w:hAnsi="Arial" w:eastAsia="宋体" w:cs="Arial"/>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46A2D870">
            <w:pPr>
              <w:widowControl/>
              <w:jc w:val="left"/>
              <w:rPr>
                <w:rFonts w:ascii="Arial" w:hAnsi="Arial" w:eastAsia="宋体" w:cs="Arial"/>
                <w:color w:val="auto"/>
                <w:szCs w:val="21"/>
                <w:highlight w:val="none"/>
              </w:rPr>
            </w:pPr>
            <w:r>
              <w:rPr>
                <w:rFonts w:ascii="Arial" w:hAnsi="Arial" w:eastAsia="宋体" w:cs="Arial"/>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492B8B6">
            <w:pPr>
              <w:widowControl/>
              <w:jc w:val="left"/>
              <w:rPr>
                <w:rFonts w:ascii="Arial" w:hAnsi="Arial" w:eastAsia="宋体" w:cs="Arial"/>
                <w:color w:val="auto"/>
                <w:szCs w:val="21"/>
                <w:highlight w:val="none"/>
              </w:rPr>
            </w:pPr>
            <w:r>
              <w:rPr>
                <w:rFonts w:ascii="Arial" w:hAnsi="Arial" w:eastAsia="宋体" w:cs="Arial"/>
                <w:color w:val="auto"/>
                <w:szCs w:val="21"/>
                <w:highlight w:val="none"/>
              </w:rPr>
              <w:t>Y＜100</w:t>
            </w:r>
          </w:p>
        </w:tc>
      </w:tr>
      <w:tr w14:paraId="647F862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DC24DEA">
            <w:pPr>
              <w:widowControl/>
              <w:jc w:val="center"/>
              <w:rPr>
                <w:rFonts w:ascii="Arial" w:hAnsi="Arial" w:eastAsia="宋体" w:cs="Arial"/>
                <w:color w:val="auto"/>
                <w:szCs w:val="21"/>
                <w:highlight w:val="none"/>
              </w:rPr>
            </w:pPr>
            <w:r>
              <w:rPr>
                <w:rFonts w:ascii="Arial" w:hAnsi="Arial" w:eastAsia="宋体" w:cs="Arial"/>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1EA0861B">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81AFEDD">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E704D32">
            <w:pPr>
              <w:widowControl/>
              <w:jc w:val="left"/>
              <w:rPr>
                <w:rFonts w:ascii="Arial" w:hAnsi="Arial" w:eastAsia="宋体" w:cs="Arial"/>
                <w:color w:val="auto"/>
                <w:szCs w:val="21"/>
                <w:highlight w:val="none"/>
              </w:rPr>
            </w:pPr>
            <w:r>
              <w:rPr>
                <w:rFonts w:ascii="Arial" w:hAnsi="Arial" w:eastAsia="宋体" w:cs="Arial"/>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26A72CCA">
            <w:pPr>
              <w:widowControl/>
              <w:jc w:val="left"/>
              <w:rPr>
                <w:rFonts w:ascii="Arial" w:hAnsi="Arial" w:eastAsia="宋体" w:cs="Arial"/>
                <w:color w:val="auto"/>
                <w:szCs w:val="21"/>
                <w:highlight w:val="none"/>
              </w:rPr>
            </w:pPr>
            <w:r>
              <w:rPr>
                <w:rFonts w:ascii="Arial" w:hAnsi="Arial" w:eastAsia="宋体"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1CB2ABEE">
            <w:pPr>
              <w:widowControl/>
              <w:jc w:val="left"/>
              <w:rPr>
                <w:rFonts w:ascii="Arial" w:hAnsi="Arial" w:eastAsia="宋体" w:cs="Arial"/>
                <w:color w:val="auto"/>
                <w:szCs w:val="21"/>
                <w:highlight w:val="none"/>
              </w:rPr>
            </w:pPr>
            <w:r>
              <w:rPr>
                <w:rFonts w:ascii="Arial" w:hAnsi="Arial" w:eastAsia="宋体" w:cs="Arial"/>
                <w:color w:val="auto"/>
                <w:szCs w:val="21"/>
                <w:highlight w:val="none"/>
              </w:rPr>
              <w:t>X＜10</w:t>
            </w:r>
          </w:p>
        </w:tc>
      </w:tr>
      <w:tr w14:paraId="3C12A45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ABA2C83">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6A3964">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7E45DB4">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7D572F8">
            <w:pPr>
              <w:widowControl/>
              <w:jc w:val="left"/>
              <w:rPr>
                <w:rFonts w:ascii="Arial" w:hAnsi="Arial" w:eastAsia="宋体" w:cs="Arial"/>
                <w:color w:val="auto"/>
                <w:szCs w:val="21"/>
                <w:highlight w:val="none"/>
              </w:rPr>
            </w:pPr>
            <w:r>
              <w:rPr>
                <w:rFonts w:ascii="Arial" w:hAnsi="Arial" w:eastAsia="宋体" w:cs="Arial"/>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B3B021B">
            <w:pPr>
              <w:widowControl/>
              <w:jc w:val="left"/>
              <w:rPr>
                <w:rFonts w:ascii="Arial" w:hAnsi="Arial" w:eastAsia="宋体" w:cs="Arial"/>
                <w:color w:val="auto"/>
                <w:szCs w:val="21"/>
                <w:highlight w:val="none"/>
              </w:rPr>
            </w:pPr>
            <w:r>
              <w:rPr>
                <w:rFonts w:ascii="Arial" w:hAnsi="Arial" w:eastAsia="宋体" w:cs="Arial"/>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E60E930">
            <w:pPr>
              <w:widowControl/>
              <w:jc w:val="left"/>
              <w:rPr>
                <w:rFonts w:ascii="Arial" w:hAnsi="Arial" w:eastAsia="宋体" w:cs="Arial"/>
                <w:color w:val="auto"/>
                <w:szCs w:val="21"/>
                <w:highlight w:val="none"/>
              </w:rPr>
            </w:pPr>
            <w:r>
              <w:rPr>
                <w:rFonts w:ascii="Arial" w:hAnsi="Arial" w:eastAsia="宋体" w:cs="Arial"/>
                <w:color w:val="auto"/>
                <w:szCs w:val="21"/>
                <w:highlight w:val="none"/>
              </w:rPr>
              <w:t>Y＜100</w:t>
            </w:r>
          </w:p>
        </w:tc>
      </w:tr>
      <w:tr w14:paraId="3B9CE19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8D81C30">
            <w:pPr>
              <w:widowControl/>
              <w:jc w:val="center"/>
              <w:rPr>
                <w:rFonts w:ascii="Arial" w:hAnsi="Arial" w:eastAsia="宋体" w:cs="Arial"/>
                <w:color w:val="auto"/>
                <w:szCs w:val="21"/>
                <w:highlight w:val="none"/>
              </w:rPr>
            </w:pPr>
            <w:r>
              <w:rPr>
                <w:rFonts w:ascii="Arial" w:hAnsi="Arial" w:eastAsia="宋体" w:cs="Arial"/>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460A1E22">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0FF5703">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848CEDE">
            <w:pPr>
              <w:widowControl/>
              <w:jc w:val="left"/>
              <w:rPr>
                <w:rFonts w:ascii="Arial" w:hAnsi="Arial" w:eastAsia="宋体" w:cs="Arial"/>
                <w:color w:val="auto"/>
                <w:szCs w:val="21"/>
                <w:highlight w:val="none"/>
              </w:rPr>
            </w:pPr>
            <w:r>
              <w:rPr>
                <w:rFonts w:ascii="Arial" w:hAnsi="Arial" w:eastAsia="宋体" w:cs="Arial"/>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D1FE24F">
            <w:pPr>
              <w:widowControl/>
              <w:jc w:val="left"/>
              <w:rPr>
                <w:rFonts w:ascii="Arial" w:hAnsi="Arial" w:eastAsia="宋体" w:cs="Arial"/>
                <w:color w:val="auto"/>
                <w:szCs w:val="21"/>
                <w:highlight w:val="none"/>
              </w:rPr>
            </w:pPr>
            <w:r>
              <w:rPr>
                <w:rFonts w:ascii="Arial" w:hAnsi="Arial" w:eastAsia="宋体"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4A432CD5">
            <w:pPr>
              <w:widowControl/>
              <w:jc w:val="left"/>
              <w:rPr>
                <w:rFonts w:ascii="Arial" w:hAnsi="Arial" w:eastAsia="宋体" w:cs="Arial"/>
                <w:color w:val="auto"/>
                <w:szCs w:val="21"/>
                <w:highlight w:val="none"/>
              </w:rPr>
            </w:pPr>
            <w:r>
              <w:rPr>
                <w:rFonts w:ascii="Arial" w:hAnsi="Arial" w:eastAsia="宋体" w:cs="Arial"/>
                <w:color w:val="auto"/>
                <w:szCs w:val="21"/>
                <w:highlight w:val="none"/>
              </w:rPr>
              <w:t>X＜10</w:t>
            </w:r>
          </w:p>
        </w:tc>
      </w:tr>
      <w:tr w14:paraId="7405CC9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43590A6">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48851A">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5D5A78E">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22BB095">
            <w:pPr>
              <w:widowControl/>
              <w:jc w:val="left"/>
              <w:rPr>
                <w:rFonts w:ascii="Arial" w:hAnsi="Arial" w:eastAsia="宋体" w:cs="Arial"/>
                <w:color w:val="auto"/>
                <w:szCs w:val="21"/>
                <w:highlight w:val="none"/>
              </w:rPr>
            </w:pPr>
            <w:r>
              <w:rPr>
                <w:rFonts w:ascii="Arial" w:hAnsi="Arial" w:eastAsia="宋体" w:cs="Arial"/>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69BF9353">
            <w:pPr>
              <w:widowControl/>
              <w:jc w:val="left"/>
              <w:rPr>
                <w:rFonts w:ascii="Arial" w:hAnsi="Arial" w:eastAsia="宋体" w:cs="Arial"/>
                <w:color w:val="auto"/>
                <w:szCs w:val="21"/>
                <w:highlight w:val="none"/>
              </w:rPr>
            </w:pPr>
            <w:r>
              <w:rPr>
                <w:rFonts w:ascii="Arial" w:hAnsi="Arial" w:eastAsia="宋体" w:cs="Arial"/>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6BA32A4">
            <w:pPr>
              <w:widowControl/>
              <w:jc w:val="left"/>
              <w:rPr>
                <w:rFonts w:ascii="Arial" w:hAnsi="Arial" w:eastAsia="宋体" w:cs="Arial"/>
                <w:color w:val="auto"/>
                <w:szCs w:val="21"/>
                <w:highlight w:val="none"/>
              </w:rPr>
            </w:pPr>
            <w:r>
              <w:rPr>
                <w:rFonts w:ascii="Arial" w:hAnsi="Arial" w:eastAsia="宋体" w:cs="Arial"/>
                <w:color w:val="auto"/>
                <w:szCs w:val="21"/>
                <w:highlight w:val="none"/>
              </w:rPr>
              <w:t>Y＜100</w:t>
            </w:r>
          </w:p>
        </w:tc>
      </w:tr>
      <w:tr w14:paraId="4C7FDDA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E7B0C7C">
            <w:pPr>
              <w:widowControl/>
              <w:jc w:val="center"/>
              <w:rPr>
                <w:rFonts w:ascii="Arial" w:hAnsi="Arial" w:eastAsia="宋体" w:cs="Arial"/>
                <w:color w:val="auto"/>
                <w:szCs w:val="21"/>
                <w:highlight w:val="none"/>
              </w:rPr>
            </w:pPr>
            <w:r>
              <w:rPr>
                <w:rFonts w:ascii="Arial" w:hAnsi="Arial" w:eastAsia="宋体" w:cs="Arial"/>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7A0072B1">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69EB878">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E56906D">
            <w:pPr>
              <w:widowControl/>
              <w:jc w:val="left"/>
              <w:rPr>
                <w:rFonts w:ascii="Arial" w:hAnsi="Arial" w:eastAsia="宋体" w:cs="Arial"/>
                <w:color w:val="auto"/>
                <w:szCs w:val="21"/>
                <w:highlight w:val="none"/>
              </w:rPr>
            </w:pPr>
            <w:r>
              <w:rPr>
                <w:rFonts w:ascii="Arial" w:hAnsi="Arial" w:eastAsia="宋体" w:cs="Arial"/>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7656EB9E">
            <w:pPr>
              <w:widowControl/>
              <w:jc w:val="left"/>
              <w:rPr>
                <w:rFonts w:ascii="Arial" w:hAnsi="Arial" w:eastAsia="宋体" w:cs="Arial"/>
                <w:color w:val="auto"/>
                <w:szCs w:val="21"/>
                <w:highlight w:val="none"/>
              </w:rPr>
            </w:pPr>
            <w:r>
              <w:rPr>
                <w:rFonts w:ascii="Arial" w:hAnsi="Arial" w:eastAsia="宋体"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09312C53">
            <w:pPr>
              <w:widowControl/>
              <w:jc w:val="left"/>
              <w:rPr>
                <w:rFonts w:ascii="Arial" w:hAnsi="Arial" w:eastAsia="宋体" w:cs="Arial"/>
                <w:color w:val="auto"/>
                <w:szCs w:val="21"/>
                <w:highlight w:val="none"/>
              </w:rPr>
            </w:pPr>
            <w:r>
              <w:rPr>
                <w:rFonts w:ascii="Arial" w:hAnsi="Arial" w:eastAsia="宋体" w:cs="Arial"/>
                <w:color w:val="auto"/>
                <w:szCs w:val="21"/>
                <w:highlight w:val="none"/>
              </w:rPr>
              <w:t>X＜10</w:t>
            </w:r>
          </w:p>
        </w:tc>
      </w:tr>
      <w:tr w14:paraId="7F6D443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81D7397">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0107F35">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D1F409F">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3E0BE8D">
            <w:pPr>
              <w:widowControl/>
              <w:jc w:val="left"/>
              <w:rPr>
                <w:rFonts w:ascii="Arial" w:hAnsi="Arial" w:eastAsia="宋体" w:cs="Arial"/>
                <w:color w:val="auto"/>
                <w:szCs w:val="21"/>
                <w:highlight w:val="none"/>
              </w:rPr>
            </w:pPr>
            <w:r>
              <w:rPr>
                <w:rFonts w:ascii="Arial" w:hAnsi="Arial" w:eastAsia="宋体" w:cs="Arial"/>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6516BE79">
            <w:pPr>
              <w:widowControl/>
              <w:jc w:val="left"/>
              <w:rPr>
                <w:rFonts w:ascii="Arial" w:hAnsi="Arial" w:eastAsia="宋体" w:cs="Arial"/>
                <w:color w:val="auto"/>
                <w:szCs w:val="21"/>
                <w:highlight w:val="none"/>
              </w:rPr>
            </w:pPr>
            <w:r>
              <w:rPr>
                <w:rFonts w:ascii="Arial" w:hAnsi="Arial" w:eastAsia="宋体" w:cs="Arial"/>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6949BE94">
            <w:pPr>
              <w:widowControl/>
              <w:jc w:val="left"/>
              <w:rPr>
                <w:rFonts w:ascii="Arial" w:hAnsi="Arial" w:eastAsia="宋体" w:cs="Arial"/>
                <w:color w:val="auto"/>
                <w:szCs w:val="21"/>
                <w:highlight w:val="none"/>
              </w:rPr>
            </w:pPr>
            <w:r>
              <w:rPr>
                <w:rFonts w:ascii="Arial" w:hAnsi="Arial" w:eastAsia="宋体" w:cs="Arial"/>
                <w:color w:val="auto"/>
                <w:szCs w:val="21"/>
                <w:highlight w:val="none"/>
              </w:rPr>
              <w:t>Y＜100</w:t>
            </w:r>
          </w:p>
        </w:tc>
      </w:tr>
      <w:tr w14:paraId="0D45E8B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FA3ACC9">
            <w:pPr>
              <w:widowControl/>
              <w:jc w:val="center"/>
              <w:rPr>
                <w:rFonts w:ascii="Arial" w:hAnsi="Arial" w:eastAsia="宋体" w:cs="Arial"/>
                <w:color w:val="auto"/>
                <w:szCs w:val="21"/>
                <w:highlight w:val="none"/>
              </w:rPr>
            </w:pPr>
            <w:r>
              <w:rPr>
                <w:rFonts w:ascii="Arial" w:hAnsi="Arial" w:eastAsia="宋体" w:cs="Arial"/>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756C8D8D">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7EC9494">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BBB2A92">
            <w:pPr>
              <w:widowControl/>
              <w:jc w:val="left"/>
              <w:rPr>
                <w:rFonts w:ascii="Arial" w:hAnsi="Arial" w:eastAsia="宋体" w:cs="Arial"/>
                <w:color w:val="auto"/>
                <w:szCs w:val="21"/>
                <w:highlight w:val="none"/>
              </w:rPr>
            </w:pPr>
            <w:r>
              <w:rPr>
                <w:rFonts w:ascii="Arial" w:hAnsi="Arial" w:eastAsia="宋体" w:cs="Arial"/>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2269BE99">
            <w:pPr>
              <w:widowControl/>
              <w:jc w:val="left"/>
              <w:rPr>
                <w:rFonts w:ascii="Arial" w:hAnsi="Arial" w:eastAsia="宋体" w:cs="Arial"/>
                <w:color w:val="auto"/>
                <w:szCs w:val="21"/>
                <w:highlight w:val="none"/>
              </w:rPr>
            </w:pPr>
            <w:r>
              <w:rPr>
                <w:rFonts w:ascii="Arial" w:hAnsi="Arial" w:eastAsia="宋体"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0F85">
            <w:pPr>
              <w:widowControl/>
              <w:jc w:val="left"/>
              <w:rPr>
                <w:rFonts w:ascii="Arial" w:hAnsi="Arial" w:eastAsia="宋体" w:cs="Arial"/>
                <w:color w:val="auto"/>
                <w:szCs w:val="21"/>
                <w:highlight w:val="none"/>
              </w:rPr>
            </w:pPr>
            <w:r>
              <w:rPr>
                <w:rFonts w:ascii="Arial" w:hAnsi="Arial" w:eastAsia="宋体" w:cs="Arial"/>
                <w:color w:val="auto"/>
                <w:szCs w:val="21"/>
                <w:highlight w:val="none"/>
              </w:rPr>
              <w:t>X＜10</w:t>
            </w:r>
          </w:p>
        </w:tc>
      </w:tr>
      <w:tr w14:paraId="6357760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A6B4AA2">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358BABE">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BE7AC08">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A255E2E">
            <w:pPr>
              <w:widowControl/>
              <w:jc w:val="left"/>
              <w:rPr>
                <w:rFonts w:ascii="Arial" w:hAnsi="Arial" w:eastAsia="宋体" w:cs="Arial"/>
                <w:color w:val="auto"/>
                <w:szCs w:val="21"/>
                <w:highlight w:val="none"/>
              </w:rPr>
            </w:pPr>
            <w:r>
              <w:rPr>
                <w:rFonts w:ascii="Arial" w:hAnsi="Arial" w:eastAsia="宋体" w:cs="Arial"/>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7B47839">
            <w:pPr>
              <w:widowControl/>
              <w:jc w:val="left"/>
              <w:rPr>
                <w:rFonts w:ascii="Arial" w:hAnsi="Arial" w:eastAsia="宋体" w:cs="Arial"/>
                <w:color w:val="auto"/>
                <w:szCs w:val="21"/>
                <w:highlight w:val="none"/>
              </w:rPr>
            </w:pPr>
            <w:r>
              <w:rPr>
                <w:rFonts w:ascii="Arial" w:hAnsi="Arial" w:eastAsia="宋体" w:cs="Arial"/>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33A68159">
            <w:pPr>
              <w:widowControl/>
              <w:jc w:val="left"/>
              <w:rPr>
                <w:rFonts w:ascii="Arial" w:hAnsi="Arial" w:eastAsia="宋体" w:cs="Arial"/>
                <w:color w:val="auto"/>
                <w:szCs w:val="21"/>
                <w:highlight w:val="none"/>
              </w:rPr>
            </w:pPr>
            <w:r>
              <w:rPr>
                <w:rFonts w:ascii="Arial" w:hAnsi="Arial" w:eastAsia="宋体" w:cs="Arial"/>
                <w:color w:val="auto"/>
                <w:szCs w:val="21"/>
                <w:highlight w:val="none"/>
              </w:rPr>
              <w:t>Y＜50</w:t>
            </w:r>
          </w:p>
        </w:tc>
      </w:tr>
      <w:tr w14:paraId="292EBDE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59F57F7">
            <w:pPr>
              <w:widowControl/>
              <w:jc w:val="center"/>
              <w:rPr>
                <w:rFonts w:ascii="Arial" w:hAnsi="Arial" w:eastAsia="宋体" w:cs="Arial"/>
                <w:color w:val="auto"/>
                <w:szCs w:val="21"/>
                <w:highlight w:val="none"/>
              </w:rPr>
            </w:pPr>
            <w:r>
              <w:rPr>
                <w:rFonts w:ascii="Arial" w:hAnsi="Arial" w:eastAsia="宋体" w:cs="Arial"/>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0A9D5011">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DF40914">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ED6DEA4">
            <w:pPr>
              <w:widowControl/>
              <w:jc w:val="left"/>
              <w:rPr>
                <w:rFonts w:ascii="Arial" w:hAnsi="Arial" w:eastAsia="宋体" w:cs="Arial"/>
                <w:color w:val="auto"/>
                <w:szCs w:val="21"/>
                <w:highlight w:val="none"/>
              </w:rPr>
            </w:pPr>
            <w:r>
              <w:rPr>
                <w:rFonts w:ascii="Arial" w:hAnsi="Arial" w:eastAsia="宋体" w:cs="Arial"/>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72F7660B">
            <w:pPr>
              <w:widowControl/>
              <w:jc w:val="left"/>
              <w:rPr>
                <w:rFonts w:ascii="Arial" w:hAnsi="Arial" w:eastAsia="宋体" w:cs="Arial"/>
                <w:color w:val="auto"/>
                <w:szCs w:val="21"/>
                <w:highlight w:val="none"/>
              </w:rPr>
            </w:pPr>
            <w:r>
              <w:rPr>
                <w:rFonts w:ascii="Arial" w:hAnsi="Arial" w:eastAsia="宋体" w:cs="Arial"/>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4CC7320F">
            <w:pPr>
              <w:widowControl/>
              <w:jc w:val="left"/>
              <w:rPr>
                <w:rFonts w:ascii="Arial" w:hAnsi="Arial" w:eastAsia="宋体" w:cs="Arial"/>
                <w:color w:val="auto"/>
                <w:szCs w:val="21"/>
                <w:highlight w:val="none"/>
              </w:rPr>
            </w:pPr>
            <w:r>
              <w:rPr>
                <w:rFonts w:ascii="Arial" w:hAnsi="Arial" w:eastAsia="宋体" w:cs="Arial"/>
                <w:color w:val="auto"/>
                <w:szCs w:val="21"/>
                <w:highlight w:val="none"/>
              </w:rPr>
              <w:t>X＜100</w:t>
            </w:r>
          </w:p>
        </w:tc>
      </w:tr>
      <w:tr w14:paraId="000AD6C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128361E">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3638AC">
            <w:pPr>
              <w:widowControl/>
              <w:jc w:val="left"/>
              <w:rPr>
                <w:rFonts w:ascii="Arial" w:hAnsi="Arial" w:eastAsia="宋体" w:cs="Arial"/>
                <w:color w:val="auto"/>
                <w:szCs w:val="21"/>
                <w:highlight w:val="none"/>
              </w:rPr>
            </w:pPr>
            <w:r>
              <w:rPr>
                <w:rFonts w:ascii="Arial" w:hAnsi="Arial" w:eastAsia="宋体" w:cs="Arial"/>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A226AE3">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07F2DDD">
            <w:pPr>
              <w:widowControl/>
              <w:jc w:val="left"/>
              <w:rPr>
                <w:rFonts w:ascii="Arial" w:hAnsi="Arial" w:eastAsia="宋体" w:cs="Arial"/>
                <w:color w:val="auto"/>
                <w:szCs w:val="21"/>
                <w:highlight w:val="none"/>
              </w:rPr>
            </w:pPr>
            <w:r>
              <w:rPr>
                <w:rFonts w:ascii="Arial" w:hAnsi="Arial" w:eastAsia="宋体" w:cs="Arial"/>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662FA40">
            <w:pPr>
              <w:widowControl/>
              <w:jc w:val="left"/>
              <w:rPr>
                <w:rFonts w:ascii="Arial" w:hAnsi="Arial" w:eastAsia="宋体" w:cs="Arial"/>
                <w:color w:val="auto"/>
                <w:szCs w:val="21"/>
                <w:highlight w:val="none"/>
              </w:rPr>
            </w:pPr>
            <w:r>
              <w:rPr>
                <w:rFonts w:ascii="Arial" w:hAnsi="Arial" w:eastAsia="宋体" w:cs="Arial"/>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686EB58">
            <w:pPr>
              <w:widowControl/>
              <w:jc w:val="left"/>
              <w:rPr>
                <w:rFonts w:ascii="Arial" w:hAnsi="Arial" w:eastAsia="宋体" w:cs="Arial"/>
                <w:color w:val="auto"/>
                <w:szCs w:val="21"/>
                <w:highlight w:val="none"/>
              </w:rPr>
            </w:pPr>
            <w:r>
              <w:rPr>
                <w:rFonts w:ascii="Arial" w:hAnsi="Arial" w:eastAsia="宋体" w:cs="Arial"/>
                <w:color w:val="auto"/>
                <w:szCs w:val="21"/>
                <w:highlight w:val="none"/>
              </w:rPr>
              <w:t>Y＜2000</w:t>
            </w:r>
          </w:p>
        </w:tc>
      </w:tr>
      <w:tr w14:paraId="309DEC4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E6D4945">
            <w:pPr>
              <w:widowControl/>
              <w:jc w:val="center"/>
              <w:rPr>
                <w:rFonts w:ascii="Arial" w:hAnsi="Arial" w:eastAsia="宋体" w:cs="Arial"/>
                <w:color w:val="auto"/>
                <w:szCs w:val="21"/>
                <w:highlight w:val="none"/>
              </w:rPr>
            </w:pPr>
            <w:r>
              <w:rPr>
                <w:rFonts w:ascii="Arial" w:hAnsi="Arial" w:eastAsia="宋体" w:cs="Arial"/>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6DCAF369">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6E1F458">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35E822D">
            <w:pPr>
              <w:widowControl/>
              <w:jc w:val="left"/>
              <w:rPr>
                <w:rFonts w:ascii="Arial" w:hAnsi="Arial" w:eastAsia="宋体" w:cs="Arial"/>
                <w:color w:val="auto"/>
                <w:szCs w:val="21"/>
                <w:highlight w:val="none"/>
              </w:rPr>
            </w:pPr>
            <w:r>
              <w:rPr>
                <w:rFonts w:ascii="Arial" w:hAnsi="Arial" w:eastAsia="宋体" w:cs="Arial"/>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8BBA1A5">
            <w:pPr>
              <w:widowControl/>
              <w:jc w:val="left"/>
              <w:rPr>
                <w:rFonts w:ascii="Arial" w:hAnsi="Arial" w:eastAsia="宋体" w:cs="Arial"/>
                <w:color w:val="auto"/>
                <w:szCs w:val="21"/>
                <w:highlight w:val="none"/>
              </w:rPr>
            </w:pPr>
            <w:r>
              <w:rPr>
                <w:rFonts w:ascii="Arial" w:hAnsi="Arial" w:eastAsia="宋体" w:cs="Arial"/>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2FB14748">
            <w:pPr>
              <w:widowControl/>
              <w:jc w:val="left"/>
              <w:rPr>
                <w:rFonts w:ascii="Arial" w:hAnsi="Arial" w:eastAsia="宋体" w:cs="Arial"/>
                <w:color w:val="auto"/>
                <w:szCs w:val="21"/>
                <w:highlight w:val="none"/>
              </w:rPr>
            </w:pPr>
            <w:r>
              <w:rPr>
                <w:rFonts w:ascii="Arial" w:hAnsi="Arial" w:eastAsia="宋体" w:cs="Arial"/>
                <w:color w:val="auto"/>
                <w:szCs w:val="21"/>
                <w:highlight w:val="none"/>
              </w:rPr>
              <w:t>X＜100</w:t>
            </w:r>
          </w:p>
        </w:tc>
      </w:tr>
      <w:tr w14:paraId="6AF0C21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4AD10E0">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F401D1B">
            <w:pPr>
              <w:widowControl/>
              <w:jc w:val="left"/>
              <w:rPr>
                <w:rFonts w:ascii="Arial" w:hAnsi="Arial" w:eastAsia="宋体" w:cs="Arial"/>
                <w:color w:val="auto"/>
                <w:szCs w:val="21"/>
                <w:highlight w:val="none"/>
              </w:rPr>
            </w:pPr>
            <w:r>
              <w:rPr>
                <w:rFonts w:ascii="Arial" w:hAnsi="Arial" w:eastAsia="宋体"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40C9F69">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007ED3B">
            <w:pPr>
              <w:widowControl/>
              <w:jc w:val="left"/>
              <w:rPr>
                <w:rFonts w:ascii="Arial" w:hAnsi="Arial" w:eastAsia="宋体" w:cs="Arial"/>
                <w:color w:val="auto"/>
                <w:szCs w:val="21"/>
                <w:highlight w:val="none"/>
              </w:rPr>
            </w:pPr>
            <w:r>
              <w:rPr>
                <w:rFonts w:ascii="Arial" w:hAnsi="Arial" w:eastAsia="宋体" w:cs="Arial"/>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4A180308">
            <w:pPr>
              <w:widowControl/>
              <w:jc w:val="left"/>
              <w:rPr>
                <w:rFonts w:ascii="Arial" w:hAnsi="Arial" w:eastAsia="宋体" w:cs="Arial"/>
                <w:color w:val="auto"/>
                <w:szCs w:val="21"/>
                <w:highlight w:val="none"/>
              </w:rPr>
            </w:pPr>
            <w:r>
              <w:rPr>
                <w:rFonts w:ascii="Arial" w:hAnsi="Arial" w:eastAsia="宋体" w:cs="Arial"/>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3464BF58">
            <w:pPr>
              <w:widowControl/>
              <w:jc w:val="left"/>
              <w:rPr>
                <w:rFonts w:ascii="Arial" w:hAnsi="Arial" w:eastAsia="宋体" w:cs="Arial"/>
                <w:color w:val="auto"/>
                <w:szCs w:val="21"/>
                <w:highlight w:val="none"/>
              </w:rPr>
            </w:pPr>
            <w:r>
              <w:rPr>
                <w:rFonts w:ascii="Arial" w:hAnsi="Arial" w:eastAsia="宋体" w:cs="Arial"/>
                <w:color w:val="auto"/>
                <w:szCs w:val="21"/>
                <w:highlight w:val="none"/>
              </w:rPr>
              <w:t>Y＜500</w:t>
            </w:r>
          </w:p>
        </w:tc>
      </w:tr>
      <w:tr w14:paraId="69111F1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E9F7E5A">
            <w:pPr>
              <w:widowControl/>
              <w:jc w:val="center"/>
              <w:rPr>
                <w:rFonts w:ascii="Arial" w:hAnsi="Arial" w:eastAsia="宋体" w:cs="Arial"/>
                <w:color w:val="auto"/>
                <w:szCs w:val="21"/>
                <w:highlight w:val="none"/>
              </w:rPr>
            </w:pPr>
            <w:r>
              <w:rPr>
                <w:rFonts w:ascii="Arial" w:hAnsi="Arial" w:eastAsia="宋体" w:cs="Arial"/>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3862CA78">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2204840">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AA83DA">
            <w:pPr>
              <w:widowControl/>
              <w:jc w:val="left"/>
              <w:rPr>
                <w:rFonts w:ascii="Arial" w:hAnsi="Arial" w:eastAsia="宋体" w:cs="Arial"/>
                <w:color w:val="auto"/>
                <w:szCs w:val="21"/>
                <w:highlight w:val="none"/>
              </w:rPr>
            </w:pPr>
            <w:r>
              <w:rPr>
                <w:rFonts w:ascii="Arial" w:hAnsi="Arial" w:eastAsia="宋体" w:cs="Arial"/>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459E48B">
            <w:pPr>
              <w:widowControl/>
              <w:jc w:val="left"/>
              <w:rPr>
                <w:rFonts w:ascii="Arial" w:hAnsi="Arial" w:eastAsia="宋体" w:cs="Arial"/>
                <w:color w:val="auto"/>
                <w:szCs w:val="21"/>
                <w:highlight w:val="none"/>
              </w:rPr>
            </w:pPr>
            <w:r>
              <w:rPr>
                <w:rFonts w:ascii="Arial" w:hAnsi="Arial" w:eastAsia="宋体"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2DF3463">
            <w:pPr>
              <w:widowControl/>
              <w:jc w:val="left"/>
              <w:rPr>
                <w:rFonts w:ascii="Arial" w:hAnsi="Arial" w:eastAsia="宋体" w:cs="Arial"/>
                <w:color w:val="auto"/>
                <w:szCs w:val="21"/>
                <w:highlight w:val="none"/>
              </w:rPr>
            </w:pPr>
            <w:r>
              <w:rPr>
                <w:rFonts w:ascii="Arial" w:hAnsi="Arial" w:eastAsia="宋体" w:cs="Arial"/>
                <w:color w:val="auto"/>
                <w:szCs w:val="21"/>
                <w:highlight w:val="none"/>
              </w:rPr>
              <w:t>X＜10</w:t>
            </w:r>
          </w:p>
        </w:tc>
      </w:tr>
      <w:tr w14:paraId="2DD837A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FC330BC">
            <w:pPr>
              <w:widowControl/>
              <w:jc w:val="left"/>
              <w:rPr>
                <w:rFonts w:ascii="Arial" w:hAnsi="Arial" w:eastAsia="宋体"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210A02">
            <w:pPr>
              <w:widowControl/>
              <w:jc w:val="left"/>
              <w:rPr>
                <w:rFonts w:ascii="Arial" w:hAnsi="Arial" w:eastAsia="宋体" w:cs="Arial"/>
                <w:color w:val="auto"/>
                <w:szCs w:val="21"/>
                <w:highlight w:val="none"/>
              </w:rPr>
            </w:pPr>
            <w:r>
              <w:rPr>
                <w:rFonts w:ascii="Arial" w:hAnsi="Arial" w:eastAsia="宋体" w:cs="Arial"/>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0354F5F1">
            <w:pPr>
              <w:widowControl/>
              <w:jc w:val="left"/>
              <w:rPr>
                <w:rFonts w:ascii="Arial" w:hAnsi="Arial" w:eastAsia="宋体" w:cs="Arial"/>
                <w:color w:val="auto"/>
                <w:szCs w:val="21"/>
                <w:highlight w:val="none"/>
              </w:rPr>
            </w:pPr>
            <w:r>
              <w:rPr>
                <w:rFonts w:ascii="Arial" w:hAnsi="Arial" w:eastAsia="宋体"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7A97200">
            <w:pPr>
              <w:widowControl/>
              <w:jc w:val="left"/>
              <w:rPr>
                <w:rFonts w:ascii="Arial" w:hAnsi="Arial" w:eastAsia="宋体" w:cs="Arial"/>
                <w:color w:val="auto"/>
                <w:szCs w:val="21"/>
                <w:highlight w:val="none"/>
              </w:rPr>
            </w:pPr>
            <w:r>
              <w:rPr>
                <w:rFonts w:ascii="Arial" w:hAnsi="Arial" w:eastAsia="宋体" w:cs="Arial"/>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26E35D9B">
            <w:pPr>
              <w:widowControl/>
              <w:jc w:val="left"/>
              <w:rPr>
                <w:rFonts w:ascii="Arial" w:hAnsi="Arial" w:eastAsia="宋体" w:cs="Arial"/>
                <w:color w:val="auto"/>
                <w:szCs w:val="21"/>
                <w:highlight w:val="none"/>
              </w:rPr>
            </w:pPr>
            <w:r>
              <w:rPr>
                <w:rFonts w:ascii="Arial" w:hAnsi="Arial" w:eastAsia="宋体" w:cs="Arial"/>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27BD5467">
            <w:pPr>
              <w:widowControl/>
              <w:jc w:val="left"/>
              <w:rPr>
                <w:rFonts w:ascii="Arial" w:hAnsi="Arial" w:eastAsia="宋体" w:cs="Arial"/>
                <w:color w:val="auto"/>
                <w:szCs w:val="21"/>
                <w:highlight w:val="none"/>
              </w:rPr>
            </w:pPr>
            <w:r>
              <w:rPr>
                <w:rFonts w:ascii="Arial" w:hAnsi="Arial" w:eastAsia="宋体" w:cs="Arial"/>
                <w:color w:val="auto"/>
                <w:szCs w:val="21"/>
                <w:highlight w:val="none"/>
              </w:rPr>
              <w:t>Y＜100</w:t>
            </w:r>
          </w:p>
        </w:tc>
      </w:tr>
      <w:tr w14:paraId="5A60FA45">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4B0886F">
            <w:pPr>
              <w:widowControl/>
              <w:jc w:val="center"/>
              <w:rPr>
                <w:rFonts w:ascii="Arial" w:hAnsi="Arial" w:eastAsia="宋体" w:cs="Arial"/>
                <w:color w:val="auto"/>
                <w:szCs w:val="21"/>
                <w:highlight w:val="none"/>
              </w:rPr>
            </w:pPr>
            <w:r>
              <w:rPr>
                <w:rFonts w:ascii="Arial" w:hAnsi="Arial" w:eastAsia="宋体" w:cs="Arial"/>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556C47C2">
            <w:pPr>
              <w:widowControl/>
              <w:jc w:val="left"/>
              <w:rPr>
                <w:rFonts w:ascii="Arial" w:hAnsi="Arial" w:eastAsia="宋体" w:cs="Arial"/>
                <w:color w:val="auto"/>
                <w:szCs w:val="21"/>
                <w:highlight w:val="none"/>
              </w:rPr>
            </w:pPr>
            <w:r>
              <w:rPr>
                <w:rFonts w:ascii="Arial" w:hAnsi="Arial" w:eastAsia="宋体"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C5615D">
            <w:pPr>
              <w:widowControl/>
              <w:jc w:val="left"/>
              <w:rPr>
                <w:rFonts w:ascii="Arial" w:hAnsi="Arial" w:eastAsia="宋体" w:cs="Arial"/>
                <w:color w:val="auto"/>
                <w:szCs w:val="21"/>
                <w:highlight w:val="none"/>
              </w:rPr>
            </w:pPr>
            <w:r>
              <w:rPr>
                <w:rFonts w:ascii="Arial" w:hAnsi="Arial" w:eastAsia="宋体"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F221AB2">
            <w:pPr>
              <w:widowControl/>
              <w:jc w:val="left"/>
              <w:rPr>
                <w:rFonts w:ascii="Arial" w:hAnsi="Arial" w:eastAsia="宋体" w:cs="Arial"/>
                <w:color w:val="auto"/>
                <w:szCs w:val="21"/>
                <w:highlight w:val="none"/>
              </w:rPr>
            </w:pPr>
            <w:r>
              <w:rPr>
                <w:rFonts w:ascii="Arial" w:hAnsi="Arial" w:eastAsia="宋体" w:cs="Arial"/>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50FB13C">
            <w:pPr>
              <w:widowControl/>
              <w:jc w:val="left"/>
              <w:rPr>
                <w:rFonts w:ascii="Arial" w:hAnsi="Arial" w:eastAsia="宋体" w:cs="Arial"/>
                <w:color w:val="auto"/>
                <w:szCs w:val="21"/>
                <w:highlight w:val="none"/>
              </w:rPr>
            </w:pPr>
            <w:r>
              <w:rPr>
                <w:rFonts w:ascii="Arial" w:hAnsi="Arial" w:eastAsia="宋体"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27ACE30">
            <w:pPr>
              <w:widowControl/>
              <w:jc w:val="left"/>
              <w:rPr>
                <w:rFonts w:ascii="Arial" w:hAnsi="Arial" w:eastAsia="宋体" w:cs="Arial"/>
                <w:color w:val="auto"/>
                <w:szCs w:val="21"/>
                <w:highlight w:val="none"/>
              </w:rPr>
            </w:pPr>
            <w:r>
              <w:rPr>
                <w:rFonts w:ascii="Arial" w:hAnsi="Arial" w:eastAsia="宋体" w:cs="Arial"/>
                <w:color w:val="auto"/>
                <w:szCs w:val="21"/>
                <w:highlight w:val="none"/>
              </w:rPr>
              <w:t>X＜10</w:t>
            </w:r>
          </w:p>
        </w:tc>
      </w:tr>
    </w:tbl>
    <w:p w14:paraId="02DA7F86">
      <w:pPr>
        <w:spacing w:line="360" w:lineRule="auto"/>
        <w:ind w:firstLine="525" w:firstLineChars="250"/>
        <w:rPr>
          <w:rFonts w:ascii="Arial" w:hAnsi="Arial" w:cs="Arial"/>
          <w:color w:val="auto"/>
          <w:szCs w:val="21"/>
          <w:highlight w:val="none"/>
        </w:rPr>
      </w:pPr>
      <w:r>
        <w:rPr>
          <w:rFonts w:ascii="Arial" w:hAnsi="Arial" w:cs="Arial"/>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76"/>
    <w:p w14:paraId="2CE43E15">
      <w:pPr>
        <w:spacing w:line="360" w:lineRule="auto"/>
        <w:outlineLvl w:val="0"/>
        <w:rPr>
          <w:rFonts w:ascii="Arial" w:hAnsi="Arial" w:cs="Arial"/>
          <w:color w:val="auto"/>
          <w:szCs w:val="21"/>
          <w:highlight w:val="none"/>
        </w:rPr>
        <w:sectPr>
          <w:pgSz w:w="11906" w:h="16838"/>
          <w:pgMar w:top="993" w:right="1133" w:bottom="1246" w:left="1418" w:header="851" w:footer="992" w:gutter="0"/>
          <w:cols w:space="720" w:num="1"/>
          <w:titlePg/>
          <w:docGrid w:linePitch="312" w:charSpace="0"/>
        </w:sectPr>
      </w:pPr>
    </w:p>
    <w:p w14:paraId="67A4A080">
      <w:pPr>
        <w:spacing w:line="360" w:lineRule="auto"/>
        <w:rPr>
          <w:rFonts w:ascii="Arial" w:hAnsi="Arial" w:cs="Arial"/>
          <w:color w:val="auto"/>
          <w:sz w:val="28"/>
          <w:szCs w:val="28"/>
          <w:highlight w:val="none"/>
        </w:rPr>
      </w:pPr>
      <w:r>
        <w:rPr>
          <w:rFonts w:ascii="Arial" w:hAnsi="Arial" w:cs="Arial"/>
          <w:color w:val="auto"/>
          <w:position w:val="-335"/>
          <w:sz w:val="20"/>
          <w:szCs w:val="20"/>
          <w:highlight w:val="none"/>
        </w:rPr>
        <w:drawing>
          <wp:anchor distT="0" distB="0" distL="114300" distR="114300" simplePos="0" relativeHeight="251659264" behindDoc="0" locked="0" layoutInCell="1" allowOverlap="1">
            <wp:simplePos x="0" y="0"/>
            <wp:positionH relativeFrom="column">
              <wp:posOffset>711835</wp:posOffset>
            </wp:positionH>
            <wp:positionV relativeFrom="paragraph">
              <wp:posOffset>149860</wp:posOffset>
            </wp:positionV>
            <wp:extent cx="5137785" cy="7490460"/>
            <wp:effectExtent l="0" t="0" r="5715" b="15240"/>
            <wp:wrapSquare wrapText="bothSides"/>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22"/>
                    <a:stretch>
                      <a:fillRect/>
                    </a:stretch>
                  </pic:blipFill>
                  <pic:spPr>
                    <a:xfrm>
                      <a:off x="0" y="0"/>
                      <a:ext cx="5137785" cy="7490460"/>
                    </a:xfrm>
                    <a:prstGeom prst="rect">
                      <a:avLst/>
                    </a:prstGeom>
                    <a:noFill/>
                    <a:ln>
                      <a:noFill/>
                    </a:ln>
                  </pic:spPr>
                </pic:pic>
              </a:graphicData>
            </a:graphic>
          </wp:anchor>
        </w:drawing>
      </w:r>
      <w:r>
        <w:rPr>
          <w:rFonts w:ascii="Arial" w:hAnsi="Arial" w:cs="Arial"/>
          <w:color w:val="auto"/>
          <w:sz w:val="28"/>
          <w:szCs w:val="28"/>
          <w:highlight w:val="none"/>
        </w:rPr>
        <w:t>附件2：</w:t>
      </w:r>
    </w:p>
    <w:p w14:paraId="0656845D">
      <w:pPr>
        <w:pStyle w:val="2"/>
        <w:jc w:val="center"/>
        <w:rPr>
          <w:rFonts w:ascii="Arial" w:hAnsi="Arial" w:cs="Arial"/>
          <w:bCs w:val="0"/>
          <w:color w:val="auto"/>
          <w:sz w:val="24"/>
          <w:highlight w:val="none"/>
        </w:rPr>
      </w:pPr>
      <w:bookmarkStart w:id="77" w:name="_Hlk132879714"/>
      <w:bookmarkStart w:id="78" w:name="_Hlk132881438"/>
      <w:bookmarkStart w:id="79" w:name="_Hlk132879681"/>
      <w:r>
        <w:rPr>
          <w:rStyle w:val="63"/>
          <w:rFonts w:ascii="Arial" w:hAnsi="Arial" w:cs="Arial"/>
          <w:b/>
          <w:bCs/>
          <w:color w:val="auto"/>
          <w:highlight w:val="none"/>
        </w:rPr>
        <w:br w:type="page"/>
      </w:r>
      <w:bookmarkStart w:id="80" w:name="_Toc24637"/>
      <w:r>
        <w:rPr>
          <w:rStyle w:val="63"/>
          <w:rFonts w:ascii="Arial" w:hAnsi="Arial" w:cs="Arial"/>
          <w:b/>
          <w:bCs/>
          <w:color w:val="auto"/>
          <w:highlight w:val="none"/>
        </w:rPr>
        <w:t>第五章  合同主要条款格式</w:t>
      </w:r>
      <w:bookmarkEnd w:id="80"/>
    </w:p>
    <w:bookmarkEnd w:id="77"/>
    <w:p w14:paraId="70A034CE">
      <w:pPr>
        <w:pStyle w:val="2"/>
        <w:spacing w:before="0" w:after="0" w:line="400" w:lineRule="exact"/>
        <w:jc w:val="center"/>
        <w:rPr>
          <w:rFonts w:ascii="Arial" w:hAnsi="Arial" w:cs="Arial"/>
          <w:color w:val="auto"/>
          <w:sz w:val="32"/>
          <w:szCs w:val="32"/>
          <w:highlight w:val="none"/>
        </w:rPr>
      </w:pPr>
      <w:bookmarkStart w:id="81" w:name="_Toc17947"/>
      <w:bookmarkStart w:id="82" w:name="_Toc4840"/>
      <w:bookmarkStart w:id="83" w:name="_Toc29300"/>
      <w:bookmarkStart w:id="84" w:name="_Toc26228"/>
      <w:r>
        <w:rPr>
          <w:rFonts w:ascii="Arial" w:hAnsi="Arial" w:cs="Arial"/>
          <w:color w:val="auto"/>
          <w:sz w:val="32"/>
          <w:szCs w:val="32"/>
          <w:highlight w:val="none"/>
        </w:rPr>
        <w:t>广西壮族自治区采购合同</w:t>
      </w:r>
      <w:bookmarkEnd w:id="81"/>
      <w:bookmarkEnd w:id="82"/>
      <w:bookmarkEnd w:id="83"/>
      <w:bookmarkEnd w:id="84"/>
    </w:p>
    <w:p w14:paraId="4B17E3B3">
      <w:pPr>
        <w:snapToGrid w:val="0"/>
        <w:spacing w:line="400" w:lineRule="exact"/>
        <w:rPr>
          <w:rFonts w:ascii="Arial" w:hAnsi="Arial" w:cs="Arial"/>
          <w:color w:val="auto"/>
          <w:szCs w:val="21"/>
          <w:highlight w:val="none"/>
        </w:rPr>
      </w:pPr>
    </w:p>
    <w:p w14:paraId="73E26072">
      <w:pPr>
        <w:snapToGrid w:val="0"/>
        <w:spacing w:line="400" w:lineRule="exact"/>
        <w:rPr>
          <w:rFonts w:ascii="Arial" w:hAnsi="Arial" w:cs="Arial"/>
          <w:color w:val="auto"/>
          <w:szCs w:val="21"/>
          <w:highlight w:val="none"/>
        </w:rPr>
      </w:pPr>
      <w:r>
        <w:rPr>
          <w:rFonts w:ascii="Arial" w:hAnsi="Arial" w:cs="Arial"/>
          <w:color w:val="auto"/>
          <w:szCs w:val="21"/>
          <w:highlight w:val="none"/>
        </w:rPr>
        <w:t>合同编号：</w:t>
      </w:r>
    </w:p>
    <w:p w14:paraId="63D6E863">
      <w:pPr>
        <w:snapToGrid w:val="0"/>
        <w:spacing w:line="400" w:lineRule="exact"/>
        <w:rPr>
          <w:rFonts w:ascii="Arial" w:hAnsi="Arial" w:cs="Arial"/>
          <w:color w:val="auto"/>
          <w:szCs w:val="21"/>
          <w:highlight w:val="none"/>
        </w:rPr>
      </w:pPr>
      <w:r>
        <w:rPr>
          <w:rFonts w:ascii="Arial" w:hAnsi="Arial" w:cs="Arial"/>
          <w:color w:val="auto"/>
          <w:szCs w:val="21"/>
          <w:highlight w:val="none"/>
        </w:rPr>
        <w:t xml:space="preserve">采购单位（甲方）：   </w:t>
      </w:r>
    </w:p>
    <w:p w14:paraId="5BCA5062">
      <w:pPr>
        <w:snapToGrid w:val="0"/>
        <w:spacing w:line="400" w:lineRule="exact"/>
        <w:rPr>
          <w:rFonts w:ascii="Arial" w:hAnsi="Arial" w:cs="Arial"/>
          <w:color w:val="auto"/>
          <w:szCs w:val="21"/>
          <w:highlight w:val="none"/>
          <w:u w:val="single"/>
        </w:rPr>
      </w:pPr>
      <w:r>
        <w:rPr>
          <w:rFonts w:ascii="Arial" w:hAnsi="Arial" w:cs="Arial"/>
          <w:color w:val="auto"/>
          <w:szCs w:val="21"/>
          <w:highlight w:val="none"/>
        </w:rPr>
        <w:t>供 应 商（乙方）</w:t>
      </w:r>
      <w:r>
        <w:rPr>
          <w:rFonts w:ascii="Arial" w:hAnsi="Arial" w:cs="Arial"/>
          <w:color w:val="auto"/>
          <w:szCs w:val="21"/>
          <w:highlight w:val="none"/>
          <w:u w:val="single"/>
        </w:rPr>
        <w:t xml:space="preserve">：                    </w:t>
      </w:r>
    </w:p>
    <w:p w14:paraId="7B6EA17C">
      <w:pPr>
        <w:snapToGrid w:val="0"/>
        <w:spacing w:line="400" w:lineRule="exact"/>
        <w:rPr>
          <w:rFonts w:ascii="Arial" w:hAnsi="Arial" w:cs="Arial"/>
          <w:color w:val="auto"/>
          <w:szCs w:val="21"/>
          <w:highlight w:val="none"/>
        </w:rPr>
      </w:pPr>
      <w:r>
        <w:rPr>
          <w:rFonts w:ascii="Arial" w:hAnsi="Arial" w:cs="Arial"/>
          <w:color w:val="auto"/>
          <w:szCs w:val="21"/>
          <w:highlight w:val="none"/>
        </w:rPr>
        <w:t>签  订  地  点：</w:t>
      </w:r>
      <w:r>
        <w:rPr>
          <w:rFonts w:ascii="Arial" w:hAnsi="Arial" w:cs="Arial"/>
          <w:color w:val="auto"/>
          <w:szCs w:val="21"/>
          <w:highlight w:val="none"/>
          <w:u w:val="single"/>
        </w:rPr>
        <w:t xml:space="preserve">      </w:t>
      </w:r>
    </w:p>
    <w:p w14:paraId="1AC3B8FB">
      <w:pPr>
        <w:snapToGrid w:val="0"/>
        <w:spacing w:line="400" w:lineRule="exact"/>
        <w:rPr>
          <w:rFonts w:ascii="Arial" w:hAnsi="Arial" w:cs="Arial"/>
          <w:color w:val="auto"/>
          <w:szCs w:val="21"/>
          <w:highlight w:val="none"/>
        </w:rPr>
      </w:pPr>
      <w:r>
        <w:rPr>
          <w:rFonts w:ascii="Arial" w:hAnsi="Arial" w:cs="Arial"/>
          <w:color w:val="auto"/>
          <w:szCs w:val="21"/>
          <w:highlight w:val="none"/>
        </w:rPr>
        <w:t>签 订 时 间：</w:t>
      </w:r>
      <w:r>
        <w:rPr>
          <w:rFonts w:ascii="Arial" w:hAnsi="Arial" w:cs="Arial"/>
          <w:color w:val="auto"/>
          <w:szCs w:val="21"/>
          <w:highlight w:val="none"/>
          <w:u w:val="single"/>
        </w:rPr>
        <w:t xml:space="preserve">      年    月     日 </w:t>
      </w:r>
    </w:p>
    <w:p w14:paraId="0A8A5E1F">
      <w:pPr>
        <w:pStyle w:val="27"/>
        <w:spacing w:line="400" w:lineRule="exact"/>
        <w:ind w:firstLine="420" w:firstLineChars="200"/>
        <w:rPr>
          <w:rFonts w:ascii="Arial" w:hAnsi="Arial" w:cs="Arial"/>
          <w:color w:val="auto"/>
          <w:highlight w:val="none"/>
        </w:rPr>
      </w:pPr>
    </w:p>
    <w:p w14:paraId="567D57C7">
      <w:pPr>
        <w:pStyle w:val="27"/>
        <w:spacing w:line="400" w:lineRule="exact"/>
        <w:ind w:firstLine="420" w:firstLineChars="200"/>
        <w:rPr>
          <w:rFonts w:ascii="Arial" w:hAnsi="Arial" w:cs="Arial"/>
          <w:color w:val="auto"/>
          <w:highlight w:val="none"/>
        </w:rPr>
      </w:pPr>
      <w:r>
        <w:rPr>
          <w:rFonts w:ascii="Arial" w:hAnsi="Arial" w:cs="Arial"/>
          <w:color w:val="auto"/>
          <w:highlight w:val="none"/>
        </w:rPr>
        <w:t>根据《中华人民共和国政府采购法》、《中华人民共和国民法典》等法律、法规规定，按照采购文件规定条款和</w:t>
      </w:r>
      <w:r>
        <w:rPr>
          <w:rFonts w:hint="eastAsia" w:ascii="Arial" w:hAnsi="Arial" w:cs="Arial"/>
          <w:color w:val="auto"/>
          <w:highlight w:val="none"/>
        </w:rPr>
        <w:t>中标供应商投标文件</w:t>
      </w:r>
      <w:r>
        <w:rPr>
          <w:rFonts w:ascii="Arial" w:hAnsi="Arial" w:cs="Arial"/>
          <w:color w:val="auto"/>
          <w:highlight w:val="none"/>
        </w:rPr>
        <w:t>及其承诺，甲乙双方签订本合同。</w:t>
      </w:r>
    </w:p>
    <w:p w14:paraId="3BFF8619">
      <w:pPr>
        <w:numPr>
          <w:ilvl w:val="0"/>
          <w:numId w:val="3"/>
        </w:numPr>
        <w:snapToGrid w:val="0"/>
        <w:spacing w:line="400" w:lineRule="exact"/>
        <w:outlineLvl w:val="0"/>
        <w:rPr>
          <w:rFonts w:ascii="Arial" w:hAnsi="Arial" w:cs="Arial"/>
          <w:b/>
          <w:color w:val="auto"/>
          <w:szCs w:val="21"/>
          <w:highlight w:val="none"/>
        </w:rPr>
      </w:pPr>
      <w:bookmarkStart w:id="85" w:name="_Toc7481"/>
      <w:bookmarkStart w:id="86" w:name="_Toc7736"/>
      <w:bookmarkStart w:id="87" w:name="_Toc7817"/>
      <w:bookmarkStart w:id="88" w:name="_Toc15995"/>
      <w:r>
        <w:rPr>
          <w:rFonts w:ascii="Arial" w:hAnsi="Arial" w:cs="Arial"/>
          <w:b/>
          <w:color w:val="auto"/>
          <w:szCs w:val="21"/>
          <w:highlight w:val="none"/>
        </w:rPr>
        <w:t>合同标的</w:t>
      </w:r>
      <w:bookmarkEnd w:id="85"/>
      <w:bookmarkEnd w:id="86"/>
      <w:bookmarkEnd w:id="87"/>
      <w:bookmarkEnd w:id="88"/>
    </w:p>
    <w:tbl>
      <w:tblPr>
        <w:tblStyle w:val="52"/>
        <w:tblW w:w="9435" w:type="dxa"/>
        <w:jc w:val="center"/>
        <w:tblLayout w:type="fixed"/>
        <w:tblCellMar>
          <w:top w:w="0" w:type="dxa"/>
          <w:left w:w="108" w:type="dxa"/>
          <w:bottom w:w="0" w:type="dxa"/>
          <w:right w:w="108" w:type="dxa"/>
        </w:tblCellMar>
      </w:tblPr>
      <w:tblGrid>
        <w:gridCol w:w="429"/>
        <w:gridCol w:w="1024"/>
        <w:gridCol w:w="676"/>
        <w:gridCol w:w="755"/>
        <w:gridCol w:w="682"/>
        <w:gridCol w:w="903"/>
        <w:gridCol w:w="2369"/>
        <w:gridCol w:w="1207"/>
        <w:gridCol w:w="1390"/>
      </w:tblGrid>
      <w:tr w14:paraId="0B45CE34">
        <w:tblPrEx>
          <w:tblCellMar>
            <w:top w:w="0" w:type="dxa"/>
            <w:left w:w="108" w:type="dxa"/>
            <w:bottom w:w="0" w:type="dxa"/>
            <w:right w:w="108" w:type="dxa"/>
          </w:tblCellMar>
        </w:tblPrEx>
        <w:trPr>
          <w:trHeight w:val="1265" w:hRule="atLeast"/>
          <w:jc w:val="center"/>
        </w:trPr>
        <w:tc>
          <w:tcPr>
            <w:tcW w:w="429" w:type="dxa"/>
            <w:tcBorders>
              <w:top w:val="single" w:color="000000" w:sz="4" w:space="0"/>
              <w:left w:val="single" w:color="000000" w:sz="4" w:space="0"/>
              <w:bottom w:val="single" w:color="000000" w:sz="4" w:space="0"/>
              <w:right w:val="single" w:color="000000" w:sz="4" w:space="0"/>
            </w:tcBorders>
            <w:noWrap w:val="0"/>
            <w:vAlign w:val="center"/>
          </w:tcPr>
          <w:p w14:paraId="36E5CC3C">
            <w:pPr>
              <w:widowControl/>
              <w:jc w:val="center"/>
              <w:textAlignment w:val="center"/>
              <w:rPr>
                <w:rFonts w:ascii="Arial" w:hAnsi="Arial" w:eastAsia="宋体" w:cs="Arial"/>
                <w:b/>
                <w:bCs/>
                <w:color w:val="auto"/>
                <w:szCs w:val="21"/>
                <w:highlight w:val="none"/>
              </w:rPr>
            </w:pPr>
            <w:r>
              <w:rPr>
                <w:rFonts w:ascii="Arial" w:hAnsi="Arial" w:eastAsia="宋体" w:cs="Arial"/>
                <w:b/>
                <w:bCs/>
                <w:color w:val="auto"/>
                <w:kern w:val="0"/>
                <w:szCs w:val="21"/>
                <w:highlight w:val="none"/>
                <w:lang w:bidi="ar"/>
              </w:rPr>
              <w:t>序号</w:t>
            </w:r>
          </w:p>
        </w:tc>
        <w:tc>
          <w:tcPr>
            <w:tcW w:w="1024" w:type="dxa"/>
            <w:tcBorders>
              <w:top w:val="single" w:color="000000" w:sz="4" w:space="0"/>
              <w:left w:val="single" w:color="000000" w:sz="4" w:space="0"/>
              <w:bottom w:val="single" w:color="000000" w:sz="4" w:space="0"/>
              <w:right w:val="single" w:color="000000" w:sz="4" w:space="0"/>
            </w:tcBorders>
            <w:noWrap w:val="0"/>
            <w:vAlign w:val="center"/>
          </w:tcPr>
          <w:p w14:paraId="4B18DFB0">
            <w:pPr>
              <w:widowControl/>
              <w:jc w:val="center"/>
              <w:textAlignment w:val="center"/>
              <w:rPr>
                <w:rFonts w:ascii="Arial" w:hAnsi="Arial" w:eastAsia="宋体" w:cs="Arial"/>
                <w:b/>
                <w:bCs/>
                <w:color w:val="auto"/>
                <w:szCs w:val="21"/>
                <w:highlight w:val="none"/>
              </w:rPr>
            </w:pPr>
            <w:r>
              <w:rPr>
                <w:rFonts w:ascii="Arial" w:hAnsi="Arial" w:eastAsia="宋体" w:cs="Arial"/>
                <w:b/>
                <w:bCs/>
                <w:color w:val="auto"/>
                <w:kern w:val="0"/>
                <w:szCs w:val="21"/>
                <w:highlight w:val="none"/>
                <w:lang w:bidi="ar"/>
              </w:rPr>
              <w:t>标段名称</w:t>
            </w:r>
          </w:p>
        </w:tc>
        <w:tc>
          <w:tcPr>
            <w:tcW w:w="676" w:type="dxa"/>
            <w:tcBorders>
              <w:top w:val="single" w:color="000000" w:sz="4" w:space="0"/>
              <w:left w:val="single" w:color="000000" w:sz="4" w:space="0"/>
              <w:bottom w:val="single" w:color="000000" w:sz="4" w:space="0"/>
              <w:right w:val="single" w:color="000000" w:sz="4" w:space="0"/>
            </w:tcBorders>
            <w:noWrap w:val="0"/>
            <w:vAlign w:val="center"/>
          </w:tcPr>
          <w:p w14:paraId="6675753D">
            <w:pPr>
              <w:widowControl/>
              <w:jc w:val="center"/>
              <w:textAlignment w:val="center"/>
              <w:rPr>
                <w:rFonts w:ascii="Arial" w:hAnsi="Arial" w:eastAsia="宋体" w:cs="Arial"/>
                <w:b/>
                <w:bCs/>
                <w:color w:val="auto"/>
                <w:szCs w:val="21"/>
                <w:highlight w:val="none"/>
              </w:rPr>
            </w:pPr>
            <w:r>
              <w:rPr>
                <w:rFonts w:hint="eastAsia" w:ascii="Arial" w:hAnsi="Arial" w:eastAsia="宋体" w:cs="Arial"/>
                <w:b/>
                <w:bCs/>
                <w:color w:val="auto"/>
                <w:kern w:val="0"/>
                <w:szCs w:val="21"/>
                <w:highlight w:val="none"/>
                <w:lang w:bidi="ar"/>
              </w:rPr>
              <w:t>服务期</w:t>
            </w: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21889506">
            <w:pPr>
              <w:widowControl/>
              <w:jc w:val="center"/>
              <w:textAlignment w:val="center"/>
              <w:rPr>
                <w:rFonts w:ascii="Arial" w:hAnsi="Arial" w:eastAsia="宋体" w:cs="Arial"/>
                <w:b/>
                <w:bCs/>
                <w:color w:val="auto"/>
                <w:szCs w:val="21"/>
                <w:highlight w:val="none"/>
              </w:rPr>
            </w:pPr>
            <w:r>
              <w:rPr>
                <w:rFonts w:ascii="Arial" w:hAnsi="Arial" w:eastAsia="宋体" w:cs="Arial"/>
                <w:b/>
                <w:bCs/>
                <w:color w:val="auto"/>
                <w:kern w:val="0"/>
                <w:szCs w:val="21"/>
                <w:highlight w:val="none"/>
                <w:lang w:bidi="ar"/>
              </w:rPr>
              <w:t>项目名称</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76DFA07B">
            <w:pPr>
              <w:widowControl/>
              <w:jc w:val="center"/>
              <w:textAlignment w:val="center"/>
              <w:rPr>
                <w:rFonts w:ascii="Arial" w:hAnsi="Arial" w:eastAsia="宋体" w:cs="Arial"/>
                <w:b/>
                <w:bCs/>
                <w:color w:val="auto"/>
                <w:szCs w:val="21"/>
                <w:highlight w:val="none"/>
              </w:rPr>
            </w:pPr>
            <w:r>
              <w:rPr>
                <w:rFonts w:ascii="Arial" w:hAnsi="Arial" w:eastAsia="宋体" w:cs="Arial"/>
                <w:b/>
                <w:bCs/>
                <w:color w:val="auto"/>
                <w:kern w:val="0"/>
                <w:szCs w:val="21"/>
                <w:highlight w:val="none"/>
                <w:lang w:bidi="ar"/>
              </w:rPr>
              <w:t>标本名称</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14CD9B9C">
            <w:pPr>
              <w:widowControl/>
              <w:jc w:val="center"/>
              <w:textAlignment w:val="center"/>
              <w:rPr>
                <w:rFonts w:ascii="Arial" w:hAnsi="Arial" w:eastAsia="宋体" w:cs="Arial"/>
                <w:b/>
                <w:bCs/>
                <w:color w:val="auto"/>
                <w:szCs w:val="21"/>
                <w:highlight w:val="none"/>
              </w:rPr>
            </w:pPr>
            <w:r>
              <w:rPr>
                <w:rFonts w:ascii="Arial" w:hAnsi="Arial" w:eastAsia="宋体" w:cs="Arial"/>
                <w:b/>
                <w:bCs/>
                <w:color w:val="auto"/>
                <w:kern w:val="0"/>
                <w:szCs w:val="21"/>
                <w:highlight w:val="none"/>
                <w:lang w:bidi="ar"/>
              </w:rPr>
              <w:t>检测方法</w:t>
            </w: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66A318F2">
            <w:pPr>
              <w:widowControl/>
              <w:jc w:val="center"/>
              <w:textAlignment w:val="center"/>
              <w:rPr>
                <w:rFonts w:ascii="Arial" w:hAnsi="Arial" w:eastAsia="宋体" w:cs="Arial"/>
                <w:b/>
                <w:bCs/>
                <w:color w:val="auto"/>
                <w:szCs w:val="21"/>
                <w:highlight w:val="none"/>
              </w:rPr>
            </w:pPr>
            <w:r>
              <w:rPr>
                <w:rFonts w:ascii="Arial" w:hAnsi="Arial" w:eastAsia="宋体" w:cs="Arial"/>
                <w:b/>
                <w:bCs/>
                <w:color w:val="auto"/>
                <w:kern w:val="0"/>
                <w:szCs w:val="21"/>
                <w:highlight w:val="none"/>
                <w:lang w:bidi="ar"/>
              </w:rPr>
              <w:t>参数要求</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4444D5C9">
            <w:pPr>
              <w:widowControl/>
              <w:jc w:val="center"/>
              <w:textAlignment w:val="center"/>
              <w:rPr>
                <w:rFonts w:ascii="Arial" w:hAnsi="Arial" w:eastAsia="宋体" w:cs="Arial"/>
                <w:b/>
                <w:bCs/>
                <w:color w:val="auto"/>
                <w:szCs w:val="21"/>
                <w:highlight w:val="none"/>
              </w:rPr>
            </w:pPr>
            <w:r>
              <w:rPr>
                <w:rFonts w:ascii="Arial" w:hAnsi="Arial" w:eastAsia="宋体" w:cs="Arial"/>
                <w:b/>
                <w:bCs/>
                <w:color w:val="auto"/>
                <w:kern w:val="0"/>
                <w:szCs w:val="21"/>
                <w:highlight w:val="none"/>
                <w:lang w:bidi="ar"/>
              </w:rPr>
              <w:t>计算单位</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45DC4F0D">
            <w:pPr>
              <w:widowControl/>
              <w:jc w:val="center"/>
              <w:textAlignment w:val="center"/>
              <w:rPr>
                <w:rFonts w:ascii="Arial" w:hAnsi="Arial" w:eastAsia="宋体" w:cs="Arial"/>
                <w:b/>
                <w:bCs/>
                <w:color w:val="auto"/>
                <w:szCs w:val="21"/>
                <w:highlight w:val="none"/>
              </w:rPr>
            </w:pPr>
            <w:r>
              <w:rPr>
                <w:rFonts w:ascii="Arial" w:hAnsi="Arial" w:eastAsia="宋体" w:cs="Arial"/>
                <w:b/>
                <w:bCs/>
                <w:color w:val="auto"/>
                <w:kern w:val="0"/>
                <w:szCs w:val="21"/>
                <w:highlight w:val="none"/>
                <w:lang w:bidi="ar"/>
              </w:rPr>
              <w:t>单项报价（元）</w:t>
            </w:r>
          </w:p>
        </w:tc>
      </w:tr>
      <w:tr w14:paraId="3401CB73">
        <w:tblPrEx>
          <w:tblCellMar>
            <w:top w:w="0" w:type="dxa"/>
            <w:left w:w="108" w:type="dxa"/>
            <w:bottom w:w="0" w:type="dxa"/>
            <w:right w:w="108" w:type="dxa"/>
          </w:tblCellMar>
        </w:tblPrEx>
        <w:trPr>
          <w:trHeight w:val="437" w:hRule="atLeast"/>
          <w:jc w:val="center"/>
        </w:trPr>
        <w:tc>
          <w:tcPr>
            <w:tcW w:w="429" w:type="dxa"/>
            <w:vMerge w:val="restart"/>
            <w:tcBorders>
              <w:top w:val="single" w:color="000000" w:sz="4" w:space="0"/>
              <w:left w:val="single" w:color="000000" w:sz="4" w:space="0"/>
              <w:bottom w:val="single" w:color="000000" w:sz="4" w:space="0"/>
              <w:right w:val="single" w:color="000000" w:sz="4" w:space="0"/>
            </w:tcBorders>
            <w:noWrap w:val="0"/>
            <w:vAlign w:val="center"/>
          </w:tcPr>
          <w:p w14:paraId="0FE127AC">
            <w:pPr>
              <w:widowControl/>
              <w:jc w:val="center"/>
              <w:textAlignment w:val="center"/>
              <w:rPr>
                <w:rFonts w:ascii="Arial" w:hAnsi="Arial" w:eastAsia="宋体" w:cs="Arial"/>
                <w:color w:val="auto"/>
                <w:szCs w:val="21"/>
                <w:highlight w:val="none"/>
              </w:rPr>
            </w:pPr>
          </w:p>
        </w:tc>
        <w:tc>
          <w:tcPr>
            <w:tcW w:w="1024" w:type="dxa"/>
            <w:vMerge w:val="restart"/>
            <w:tcBorders>
              <w:top w:val="single" w:color="000000" w:sz="4" w:space="0"/>
              <w:left w:val="single" w:color="000000" w:sz="4" w:space="0"/>
              <w:bottom w:val="single" w:color="000000" w:sz="4" w:space="0"/>
              <w:right w:val="single" w:color="000000" w:sz="4" w:space="0"/>
            </w:tcBorders>
            <w:noWrap w:val="0"/>
            <w:vAlign w:val="center"/>
          </w:tcPr>
          <w:p w14:paraId="07F4E1EC">
            <w:pPr>
              <w:widowControl/>
              <w:jc w:val="center"/>
              <w:textAlignment w:val="center"/>
              <w:rPr>
                <w:rFonts w:ascii="Arial" w:hAnsi="Arial" w:eastAsia="宋体" w:cs="Arial"/>
                <w:color w:val="auto"/>
                <w:szCs w:val="21"/>
                <w:highlight w:val="none"/>
              </w:rPr>
            </w:pPr>
          </w:p>
        </w:tc>
        <w:tc>
          <w:tcPr>
            <w:tcW w:w="676" w:type="dxa"/>
            <w:vMerge w:val="restart"/>
            <w:tcBorders>
              <w:top w:val="single" w:color="000000" w:sz="4" w:space="0"/>
              <w:left w:val="single" w:color="000000" w:sz="4" w:space="0"/>
              <w:bottom w:val="single" w:color="000000" w:sz="4" w:space="0"/>
              <w:right w:val="single" w:color="000000" w:sz="4" w:space="0"/>
            </w:tcBorders>
            <w:noWrap w:val="0"/>
            <w:vAlign w:val="center"/>
          </w:tcPr>
          <w:p w14:paraId="62467D4E">
            <w:pPr>
              <w:widowControl/>
              <w:jc w:val="center"/>
              <w:textAlignment w:val="center"/>
              <w:rPr>
                <w:rFonts w:ascii="Arial" w:hAnsi="Arial" w:eastAsia="宋体" w:cs="Arial"/>
                <w:color w:val="auto"/>
                <w:szCs w:val="21"/>
                <w:highlight w:val="none"/>
              </w:rPr>
            </w:pP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42595413">
            <w:pPr>
              <w:widowControl/>
              <w:jc w:val="left"/>
              <w:textAlignment w:val="center"/>
              <w:rPr>
                <w:rFonts w:ascii="Arial" w:hAnsi="Arial" w:eastAsia="宋体" w:cs="Arial"/>
                <w:color w:val="auto"/>
                <w:szCs w:val="21"/>
                <w:highlight w:val="none"/>
              </w:rPr>
            </w:pP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1102591C">
            <w:pPr>
              <w:widowControl/>
              <w:jc w:val="left"/>
              <w:textAlignment w:val="center"/>
              <w:rPr>
                <w:rFonts w:ascii="Arial" w:hAnsi="Arial" w:eastAsia="宋体" w:cs="Arial"/>
                <w:color w:val="auto"/>
                <w:szCs w:val="21"/>
                <w:highlight w:val="none"/>
              </w:rPr>
            </w:pP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040BD446">
            <w:pPr>
              <w:widowControl/>
              <w:jc w:val="left"/>
              <w:textAlignment w:val="center"/>
              <w:rPr>
                <w:rFonts w:ascii="Arial" w:hAnsi="Arial" w:eastAsia="宋体" w:cs="Arial"/>
                <w:color w:val="auto"/>
                <w:szCs w:val="21"/>
                <w:highlight w:val="none"/>
              </w:rPr>
            </w:pP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2E826142">
            <w:pPr>
              <w:widowControl/>
              <w:jc w:val="left"/>
              <w:textAlignment w:val="center"/>
              <w:rPr>
                <w:rFonts w:ascii="Arial" w:hAnsi="Arial" w:eastAsia="宋体" w:cs="Arial"/>
                <w:color w:val="auto"/>
                <w:szCs w:val="21"/>
                <w:highlight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747A2802">
            <w:pPr>
              <w:widowControl/>
              <w:jc w:val="center"/>
              <w:textAlignment w:val="center"/>
              <w:rPr>
                <w:rFonts w:ascii="Arial" w:hAnsi="Arial" w:eastAsia="宋体" w:cs="Arial"/>
                <w:color w:val="auto"/>
                <w:szCs w:val="21"/>
                <w:highlight w:val="none"/>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0A9260A8">
            <w:pPr>
              <w:widowControl/>
              <w:jc w:val="center"/>
              <w:textAlignment w:val="center"/>
              <w:rPr>
                <w:rFonts w:ascii="Arial" w:hAnsi="Arial" w:eastAsia="宋体" w:cs="Arial"/>
                <w:color w:val="auto"/>
                <w:szCs w:val="21"/>
                <w:highlight w:val="none"/>
              </w:rPr>
            </w:pPr>
          </w:p>
        </w:tc>
      </w:tr>
      <w:tr w14:paraId="405AABC9">
        <w:tblPrEx>
          <w:tblCellMar>
            <w:top w:w="0" w:type="dxa"/>
            <w:left w:w="108" w:type="dxa"/>
            <w:bottom w:w="0" w:type="dxa"/>
            <w:right w:w="108" w:type="dxa"/>
          </w:tblCellMar>
        </w:tblPrEx>
        <w:trPr>
          <w:trHeight w:val="531" w:hRule="atLeast"/>
          <w:jc w:val="center"/>
        </w:trPr>
        <w:tc>
          <w:tcPr>
            <w:tcW w:w="4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630157">
            <w:pPr>
              <w:jc w:val="center"/>
              <w:rPr>
                <w:rFonts w:ascii="Arial" w:hAnsi="Arial" w:eastAsia="宋体" w:cs="Arial"/>
                <w:color w:val="auto"/>
                <w:szCs w:val="21"/>
                <w:highlight w:val="none"/>
              </w:rPr>
            </w:pPr>
          </w:p>
        </w:tc>
        <w:tc>
          <w:tcPr>
            <w:tcW w:w="102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E1AC14">
            <w:pPr>
              <w:jc w:val="center"/>
              <w:rPr>
                <w:rFonts w:ascii="Arial" w:hAnsi="Arial" w:eastAsia="宋体" w:cs="Arial"/>
                <w:color w:val="auto"/>
                <w:szCs w:val="21"/>
                <w:highlight w:val="none"/>
              </w:rPr>
            </w:pPr>
          </w:p>
        </w:tc>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B738C5">
            <w:pPr>
              <w:jc w:val="center"/>
              <w:rPr>
                <w:rFonts w:ascii="Arial" w:hAnsi="Arial" w:eastAsia="宋体" w:cs="Arial"/>
                <w:color w:val="auto"/>
                <w:szCs w:val="21"/>
                <w:highlight w:val="none"/>
              </w:rPr>
            </w:pP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132DA1B4">
            <w:pPr>
              <w:widowControl/>
              <w:jc w:val="left"/>
              <w:textAlignment w:val="center"/>
              <w:rPr>
                <w:rFonts w:ascii="Arial" w:hAnsi="Arial" w:eastAsia="宋体" w:cs="Arial"/>
                <w:color w:val="auto"/>
                <w:szCs w:val="21"/>
                <w:highlight w:val="none"/>
              </w:rPr>
            </w:pP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6A6D5D0B">
            <w:pPr>
              <w:widowControl/>
              <w:jc w:val="left"/>
              <w:textAlignment w:val="center"/>
              <w:rPr>
                <w:rFonts w:ascii="Arial" w:hAnsi="Arial" w:eastAsia="宋体" w:cs="Arial"/>
                <w:color w:val="auto"/>
                <w:szCs w:val="21"/>
                <w:highlight w:val="none"/>
              </w:rPr>
            </w:pP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141997FE">
            <w:pPr>
              <w:widowControl/>
              <w:jc w:val="left"/>
              <w:textAlignment w:val="center"/>
              <w:rPr>
                <w:rFonts w:ascii="Arial" w:hAnsi="Arial" w:eastAsia="宋体" w:cs="Arial"/>
                <w:color w:val="auto"/>
                <w:szCs w:val="21"/>
                <w:highlight w:val="none"/>
              </w:rPr>
            </w:pP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465856C0">
            <w:pPr>
              <w:widowControl/>
              <w:jc w:val="left"/>
              <w:textAlignment w:val="center"/>
              <w:rPr>
                <w:rFonts w:ascii="Arial" w:hAnsi="Arial" w:eastAsia="宋体" w:cs="Arial"/>
                <w:color w:val="auto"/>
                <w:szCs w:val="21"/>
                <w:highlight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7350A8E1">
            <w:pPr>
              <w:widowControl/>
              <w:jc w:val="center"/>
              <w:textAlignment w:val="center"/>
              <w:rPr>
                <w:rFonts w:ascii="Arial" w:hAnsi="Arial" w:eastAsia="宋体" w:cs="Arial"/>
                <w:color w:val="auto"/>
                <w:szCs w:val="21"/>
                <w:highlight w:val="none"/>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3333DA75">
            <w:pPr>
              <w:widowControl/>
              <w:jc w:val="center"/>
              <w:textAlignment w:val="center"/>
              <w:rPr>
                <w:rFonts w:ascii="Arial" w:hAnsi="Arial" w:eastAsia="宋体" w:cs="Arial"/>
                <w:color w:val="auto"/>
                <w:szCs w:val="21"/>
                <w:highlight w:val="none"/>
              </w:rPr>
            </w:pPr>
          </w:p>
        </w:tc>
      </w:tr>
      <w:tr w14:paraId="57A9CC08">
        <w:tblPrEx>
          <w:tblCellMar>
            <w:top w:w="0" w:type="dxa"/>
            <w:left w:w="108" w:type="dxa"/>
            <w:bottom w:w="0" w:type="dxa"/>
            <w:right w:w="108" w:type="dxa"/>
          </w:tblCellMar>
        </w:tblPrEx>
        <w:trPr>
          <w:trHeight w:val="565" w:hRule="atLeast"/>
          <w:jc w:val="center"/>
        </w:trPr>
        <w:tc>
          <w:tcPr>
            <w:tcW w:w="4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2CD8A0">
            <w:pPr>
              <w:jc w:val="center"/>
              <w:rPr>
                <w:rFonts w:ascii="Arial" w:hAnsi="Arial" w:eastAsia="宋体" w:cs="Arial"/>
                <w:color w:val="auto"/>
                <w:szCs w:val="21"/>
                <w:highlight w:val="none"/>
              </w:rPr>
            </w:pPr>
          </w:p>
        </w:tc>
        <w:tc>
          <w:tcPr>
            <w:tcW w:w="102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D9951E">
            <w:pPr>
              <w:jc w:val="center"/>
              <w:rPr>
                <w:rFonts w:ascii="Arial" w:hAnsi="Arial" w:eastAsia="宋体" w:cs="Arial"/>
                <w:color w:val="auto"/>
                <w:szCs w:val="21"/>
                <w:highlight w:val="none"/>
              </w:rPr>
            </w:pPr>
          </w:p>
        </w:tc>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37F58F">
            <w:pPr>
              <w:jc w:val="center"/>
              <w:rPr>
                <w:rFonts w:ascii="Arial" w:hAnsi="Arial" w:eastAsia="宋体" w:cs="Arial"/>
                <w:color w:val="auto"/>
                <w:szCs w:val="21"/>
                <w:highlight w:val="none"/>
              </w:rPr>
            </w:pP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319630DA">
            <w:pPr>
              <w:widowControl/>
              <w:jc w:val="left"/>
              <w:textAlignment w:val="center"/>
              <w:rPr>
                <w:rFonts w:ascii="Arial" w:hAnsi="Arial" w:eastAsia="宋体" w:cs="Arial"/>
                <w:color w:val="auto"/>
                <w:szCs w:val="21"/>
                <w:highlight w:val="none"/>
              </w:rPr>
            </w:pP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6FF9C0C4">
            <w:pPr>
              <w:widowControl/>
              <w:jc w:val="left"/>
              <w:textAlignment w:val="center"/>
              <w:rPr>
                <w:rFonts w:ascii="Arial" w:hAnsi="Arial" w:eastAsia="宋体" w:cs="Arial"/>
                <w:color w:val="auto"/>
                <w:szCs w:val="21"/>
                <w:highlight w:val="none"/>
              </w:rPr>
            </w:pP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60A716BB">
            <w:pPr>
              <w:widowControl/>
              <w:jc w:val="left"/>
              <w:textAlignment w:val="center"/>
              <w:rPr>
                <w:rFonts w:ascii="Arial" w:hAnsi="Arial" w:eastAsia="宋体" w:cs="Arial"/>
                <w:color w:val="auto"/>
                <w:szCs w:val="21"/>
                <w:highlight w:val="none"/>
              </w:rPr>
            </w:pP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4B10879D">
            <w:pPr>
              <w:widowControl/>
              <w:jc w:val="left"/>
              <w:textAlignment w:val="center"/>
              <w:rPr>
                <w:rFonts w:ascii="Arial" w:hAnsi="Arial" w:eastAsia="宋体" w:cs="Arial"/>
                <w:color w:val="auto"/>
                <w:szCs w:val="21"/>
                <w:highlight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37DC739F">
            <w:pPr>
              <w:widowControl/>
              <w:jc w:val="center"/>
              <w:textAlignment w:val="center"/>
              <w:rPr>
                <w:rFonts w:ascii="Arial" w:hAnsi="Arial" w:eastAsia="宋体" w:cs="Arial"/>
                <w:color w:val="auto"/>
                <w:szCs w:val="21"/>
                <w:highlight w:val="none"/>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3AD6EEA4">
            <w:pPr>
              <w:widowControl/>
              <w:jc w:val="center"/>
              <w:textAlignment w:val="center"/>
              <w:rPr>
                <w:rFonts w:ascii="Arial" w:hAnsi="Arial" w:eastAsia="宋体" w:cs="Arial"/>
                <w:color w:val="auto"/>
                <w:szCs w:val="21"/>
                <w:highlight w:val="none"/>
              </w:rPr>
            </w:pPr>
          </w:p>
        </w:tc>
      </w:tr>
      <w:tr w14:paraId="5A926859">
        <w:tblPrEx>
          <w:tblCellMar>
            <w:top w:w="0" w:type="dxa"/>
            <w:left w:w="108" w:type="dxa"/>
            <w:bottom w:w="0" w:type="dxa"/>
            <w:right w:w="108" w:type="dxa"/>
          </w:tblCellMar>
        </w:tblPrEx>
        <w:trPr>
          <w:trHeight w:val="667" w:hRule="atLeast"/>
          <w:jc w:val="center"/>
        </w:trPr>
        <w:tc>
          <w:tcPr>
            <w:tcW w:w="4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427C9C">
            <w:pPr>
              <w:jc w:val="center"/>
              <w:rPr>
                <w:rFonts w:ascii="Arial" w:hAnsi="Arial" w:eastAsia="宋体" w:cs="Arial"/>
                <w:color w:val="auto"/>
                <w:szCs w:val="21"/>
                <w:highlight w:val="none"/>
              </w:rPr>
            </w:pPr>
          </w:p>
        </w:tc>
        <w:tc>
          <w:tcPr>
            <w:tcW w:w="102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783EBF">
            <w:pPr>
              <w:jc w:val="center"/>
              <w:rPr>
                <w:rFonts w:ascii="Arial" w:hAnsi="Arial" w:eastAsia="宋体" w:cs="Arial"/>
                <w:color w:val="auto"/>
                <w:szCs w:val="21"/>
                <w:highlight w:val="none"/>
              </w:rPr>
            </w:pPr>
          </w:p>
        </w:tc>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957B8D">
            <w:pPr>
              <w:jc w:val="center"/>
              <w:rPr>
                <w:rFonts w:ascii="Arial" w:hAnsi="Arial" w:eastAsia="宋体" w:cs="Arial"/>
                <w:color w:val="auto"/>
                <w:szCs w:val="21"/>
                <w:highlight w:val="none"/>
              </w:rPr>
            </w:pP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2405780B">
            <w:pPr>
              <w:widowControl/>
              <w:jc w:val="left"/>
              <w:textAlignment w:val="center"/>
              <w:rPr>
                <w:rFonts w:ascii="Arial" w:hAnsi="Arial" w:eastAsia="宋体" w:cs="Arial"/>
                <w:color w:val="auto"/>
                <w:szCs w:val="21"/>
                <w:highlight w:val="none"/>
              </w:rPr>
            </w:pP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34A3148E">
            <w:pPr>
              <w:widowControl/>
              <w:jc w:val="left"/>
              <w:textAlignment w:val="center"/>
              <w:rPr>
                <w:rFonts w:ascii="Arial" w:hAnsi="Arial" w:eastAsia="宋体" w:cs="Arial"/>
                <w:color w:val="auto"/>
                <w:szCs w:val="21"/>
                <w:highlight w:val="none"/>
              </w:rPr>
            </w:pP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59E13204">
            <w:pPr>
              <w:widowControl/>
              <w:jc w:val="left"/>
              <w:textAlignment w:val="center"/>
              <w:rPr>
                <w:rFonts w:ascii="Arial" w:hAnsi="Arial" w:eastAsia="宋体" w:cs="Arial"/>
                <w:color w:val="auto"/>
                <w:szCs w:val="21"/>
                <w:highlight w:val="none"/>
              </w:rPr>
            </w:pP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6C2BF7CA">
            <w:pPr>
              <w:widowControl/>
              <w:jc w:val="left"/>
              <w:textAlignment w:val="center"/>
              <w:rPr>
                <w:rFonts w:ascii="Arial" w:hAnsi="Arial" w:eastAsia="宋体" w:cs="Arial"/>
                <w:color w:val="auto"/>
                <w:szCs w:val="21"/>
                <w:highlight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6C9B3D11">
            <w:pPr>
              <w:widowControl/>
              <w:jc w:val="center"/>
              <w:textAlignment w:val="center"/>
              <w:rPr>
                <w:rFonts w:ascii="Arial" w:hAnsi="Arial" w:eastAsia="宋体" w:cs="Arial"/>
                <w:color w:val="auto"/>
                <w:szCs w:val="21"/>
                <w:highlight w:val="none"/>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39082E75">
            <w:pPr>
              <w:widowControl/>
              <w:jc w:val="center"/>
              <w:textAlignment w:val="center"/>
              <w:rPr>
                <w:rFonts w:ascii="Arial" w:hAnsi="Arial" w:eastAsia="宋体" w:cs="Arial"/>
                <w:color w:val="auto"/>
                <w:szCs w:val="21"/>
                <w:highlight w:val="none"/>
              </w:rPr>
            </w:pPr>
          </w:p>
        </w:tc>
      </w:tr>
      <w:tr w14:paraId="587E3E20">
        <w:tblPrEx>
          <w:tblCellMar>
            <w:top w:w="0" w:type="dxa"/>
            <w:left w:w="108" w:type="dxa"/>
            <w:bottom w:w="0" w:type="dxa"/>
            <w:right w:w="108" w:type="dxa"/>
          </w:tblCellMar>
        </w:tblPrEx>
        <w:trPr>
          <w:trHeight w:val="769" w:hRule="atLeast"/>
          <w:jc w:val="center"/>
        </w:trPr>
        <w:tc>
          <w:tcPr>
            <w:tcW w:w="4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0F4E6">
            <w:pPr>
              <w:jc w:val="center"/>
              <w:rPr>
                <w:rFonts w:ascii="Arial" w:hAnsi="Arial" w:eastAsia="宋体" w:cs="Arial"/>
                <w:color w:val="auto"/>
                <w:szCs w:val="21"/>
                <w:highlight w:val="none"/>
              </w:rPr>
            </w:pPr>
          </w:p>
        </w:tc>
        <w:tc>
          <w:tcPr>
            <w:tcW w:w="102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928657">
            <w:pPr>
              <w:jc w:val="center"/>
              <w:rPr>
                <w:rFonts w:ascii="Arial" w:hAnsi="Arial" w:eastAsia="宋体" w:cs="Arial"/>
                <w:color w:val="auto"/>
                <w:szCs w:val="21"/>
                <w:highlight w:val="none"/>
              </w:rPr>
            </w:pPr>
          </w:p>
        </w:tc>
        <w:tc>
          <w:tcPr>
            <w:tcW w:w="6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26FFB">
            <w:pPr>
              <w:jc w:val="center"/>
              <w:rPr>
                <w:rFonts w:ascii="Arial" w:hAnsi="Arial" w:eastAsia="宋体" w:cs="Arial"/>
                <w:color w:val="auto"/>
                <w:szCs w:val="21"/>
                <w:highlight w:val="none"/>
              </w:rPr>
            </w:pP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021C1CE0">
            <w:pPr>
              <w:widowControl/>
              <w:jc w:val="left"/>
              <w:textAlignment w:val="center"/>
              <w:rPr>
                <w:rFonts w:ascii="Arial" w:hAnsi="Arial" w:eastAsia="宋体" w:cs="Arial"/>
                <w:color w:val="auto"/>
                <w:szCs w:val="21"/>
                <w:highlight w:val="none"/>
              </w:rPr>
            </w:pPr>
            <w:r>
              <w:rPr>
                <w:rFonts w:ascii="Arial" w:hAnsi="Arial" w:eastAsia="宋体" w:cs="Arial"/>
                <w:color w:val="auto"/>
                <w:szCs w:val="21"/>
                <w:highlight w:val="none"/>
              </w:rPr>
              <w:t>......</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068F020C">
            <w:pPr>
              <w:widowControl/>
              <w:jc w:val="left"/>
              <w:textAlignment w:val="center"/>
              <w:rPr>
                <w:rFonts w:ascii="Arial" w:hAnsi="Arial" w:eastAsia="宋体" w:cs="Arial"/>
                <w:color w:val="auto"/>
                <w:szCs w:val="21"/>
                <w:highlight w:val="none"/>
              </w:rPr>
            </w:pP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12D2D19D">
            <w:pPr>
              <w:widowControl/>
              <w:jc w:val="left"/>
              <w:textAlignment w:val="center"/>
              <w:rPr>
                <w:rFonts w:ascii="Arial" w:hAnsi="Arial" w:eastAsia="宋体" w:cs="Arial"/>
                <w:color w:val="auto"/>
                <w:szCs w:val="21"/>
                <w:highlight w:val="none"/>
              </w:rPr>
            </w:pPr>
          </w:p>
        </w:tc>
        <w:tc>
          <w:tcPr>
            <w:tcW w:w="2369" w:type="dxa"/>
            <w:tcBorders>
              <w:top w:val="single" w:color="000000" w:sz="4" w:space="0"/>
              <w:left w:val="single" w:color="000000" w:sz="4" w:space="0"/>
              <w:bottom w:val="single" w:color="000000" w:sz="4" w:space="0"/>
              <w:right w:val="single" w:color="000000" w:sz="4" w:space="0"/>
            </w:tcBorders>
            <w:noWrap w:val="0"/>
            <w:vAlign w:val="center"/>
          </w:tcPr>
          <w:p w14:paraId="421D816C">
            <w:pPr>
              <w:widowControl/>
              <w:jc w:val="left"/>
              <w:textAlignment w:val="center"/>
              <w:rPr>
                <w:rFonts w:ascii="Arial" w:hAnsi="Arial" w:eastAsia="宋体" w:cs="Arial"/>
                <w:color w:val="auto"/>
                <w:szCs w:val="21"/>
                <w:highlight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4DF5D598">
            <w:pPr>
              <w:widowControl/>
              <w:jc w:val="center"/>
              <w:textAlignment w:val="center"/>
              <w:rPr>
                <w:rFonts w:ascii="Arial" w:hAnsi="Arial" w:eastAsia="宋体" w:cs="Arial"/>
                <w:color w:val="auto"/>
                <w:szCs w:val="21"/>
                <w:highlight w:val="none"/>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622EBAFA">
            <w:pPr>
              <w:widowControl/>
              <w:jc w:val="center"/>
              <w:textAlignment w:val="center"/>
              <w:rPr>
                <w:rFonts w:ascii="Arial" w:hAnsi="Arial" w:eastAsia="宋体" w:cs="Arial"/>
                <w:color w:val="auto"/>
                <w:szCs w:val="21"/>
                <w:highlight w:val="none"/>
              </w:rPr>
            </w:pPr>
          </w:p>
        </w:tc>
      </w:tr>
      <w:tr w14:paraId="27978D47">
        <w:tblPrEx>
          <w:tblCellMar>
            <w:top w:w="0" w:type="dxa"/>
            <w:left w:w="108" w:type="dxa"/>
            <w:bottom w:w="0" w:type="dxa"/>
            <w:right w:w="108" w:type="dxa"/>
          </w:tblCellMar>
        </w:tblPrEx>
        <w:trPr>
          <w:trHeight w:val="649" w:hRule="atLeast"/>
          <w:jc w:val="center"/>
        </w:trPr>
        <w:tc>
          <w:tcPr>
            <w:tcW w:w="9435" w:type="dxa"/>
            <w:gridSpan w:val="9"/>
            <w:tcBorders>
              <w:top w:val="single" w:color="000000" w:sz="4" w:space="0"/>
              <w:left w:val="single" w:color="000000" w:sz="4" w:space="0"/>
              <w:bottom w:val="single" w:color="000000" w:sz="4" w:space="0"/>
              <w:right w:val="single" w:color="000000" w:sz="4" w:space="0"/>
            </w:tcBorders>
            <w:noWrap w:val="0"/>
            <w:vAlign w:val="center"/>
          </w:tcPr>
          <w:p w14:paraId="7727D869">
            <w:pPr>
              <w:widowControl/>
              <w:jc w:val="left"/>
              <w:textAlignment w:val="center"/>
              <w:rPr>
                <w:rFonts w:hint="default" w:ascii="Arial" w:hAnsi="Arial" w:eastAsia="宋体" w:cs="Arial"/>
                <w:color w:val="auto"/>
                <w:szCs w:val="21"/>
                <w:highlight w:val="none"/>
                <w:lang w:val="en-US" w:eastAsia="zh-CN"/>
              </w:rPr>
            </w:pPr>
            <w:r>
              <w:rPr>
                <w:rFonts w:hint="eastAsia" w:ascii="Arial" w:hAnsi="Arial" w:cs="Arial"/>
                <w:b/>
                <w:bCs/>
                <w:color w:val="auto"/>
                <w:szCs w:val="21"/>
                <w:highlight w:val="none"/>
                <w:lang w:val="en-US" w:eastAsia="zh-CN"/>
              </w:rPr>
              <w:t>本项目暂定合同价为：</w:t>
            </w:r>
            <w:r>
              <w:rPr>
                <w:rFonts w:hint="eastAsia" w:ascii="Arial" w:hAnsi="Arial" w:cs="Arial"/>
                <w:b/>
                <w:bCs/>
                <w:color w:val="auto"/>
                <w:kern w:val="0"/>
                <w:szCs w:val="21"/>
                <w:highlight w:val="none"/>
                <w:lang w:val="en-US" w:eastAsia="zh-CN"/>
              </w:rPr>
              <w:t>11400000元</w:t>
            </w:r>
          </w:p>
        </w:tc>
      </w:tr>
    </w:tbl>
    <w:p w14:paraId="560B64EF">
      <w:pPr>
        <w:pStyle w:val="143"/>
        <w:ind w:firstLine="422"/>
        <w:rPr>
          <w:rFonts w:ascii="Arial" w:hAnsi="Arial" w:cs="Arial"/>
          <w:b/>
          <w:color w:val="auto"/>
          <w:sz w:val="21"/>
          <w:szCs w:val="21"/>
          <w:highlight w:val="none"/>
        </w:rPr>
      </w:pPr>
      <w:bookmarkStart w:id="89" w:name="_Toc9402"/>
      <w:r>
        <w:rPr>
          <w:rFonts w:ascii="Arial" w:hAnsi="Arial" w:cs="Arial"/>
          <w:b/>
          <w:color w:val="auto"/>
          <w:sz w:val="21"/>
          <w:szCs w:val="21"/>
          <w:highlight w:val="none"/>
        </w:rPr>
        <w:t>注：</w:t>
      </w:r>
    </w:p>
    <w:p w14:paraId="42BD224E">
      <w:pPr>
        <w:pStyle w:val="143"/>
        <w:ind w:firstLine="420"/>
        <w:rPr>
          <w:rFonts w:ascii="Arial" w:hAnsi="Arial" w:cs="Arial"/>
          <w:color w:val="auto"/>
          <w:sz w:val="21"/>
          <w:szCs w:val="21"/>
          <w:highlight w:val="none"/>
        </w:rPr>
      </w:pPr>
      <w:r>
        <w:rPr>
          <w:rFonts w:ascii="Arial" w:hAnsi="Arial" w:cs="Arial"/>
          <w:color w:val="auto"/>
          <w:sz w:val="21"/>
          <w:szCs w:val="21"/>
          <w:highlight w:val="none"/>
        </w:rPr>
        <w:t>1.投标报价指完成本项目服务所含的所有投标报价中应包含所有货物和服务内容，</w:t>
      </w:r>
      <w:r>
        <w:rPr>
          <w:rFonts w:hint="eastAsia" w:ascii="Arial" w:hAnsi="Arial" w:cs="Arial"/>
          <w:color w:val="auto"/>
          <w:sz w:val="21"/>
          <w:szCs w:val="21"/>
          <w:highlight w:val="none"/>
        </w:rPr>
        <w:t>中标</w:t>
      </w:r>
      <w:r>
        <w:rPr>
          <w:rFonts w:ascii="Arial" w:hAnsi="Arial" w:cs="Arial"/>
          <w:color w:val="auto"/>
          <w:sz w:val="21"/>
          <w:szCs w:val="21"/>
          <w:highlight w:val="none"/>
        </w:rPr>
        <w:t>后采购人不再另行支付额外费用，报价相关费用包含但不限于检测费、运输费、培训费、咨询费、差旅费、邮寄费、人工费、招标代理服务费等各种费用及必要的保险费用和各项税金等所有费用的总和；</w:t>
      </w:r>
    </w:p>
    <w:p w14:paraId="68CD3DC2">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2.本项目预算为预估价，仅供各潜在投标人报价提供参考，实际外送检验项目数量以医院实际需求为准，按实结算，结算时按实际发生使用量和中标单价计算费用，但费用总金额不超过该项目预算金额。</w:t>
      </w:r>
    </w:p>
    <w:p w14:paraId="311FA39E">
      <w:pPr>
        <w:pStyle w:val="143"/>
        <w:ind w:firstLine="420"/>
        <w:rPr>
          <w:rFonts w:ascii="Arial" w:hAnsi="Arial" w:cs="Arial"/>
          <w:color w:val="auto"/>
          <w:sz w:val="21"/>
          <w:szCs w:val="21"/>
          <w:highlight w:val="none"/>
        </w:rPr>
      </w:pPr>
      <w:r>
        <w:rPr>
          <w:rFonts w:hint="eastAsia" w:ascii="Arial" w:hAnsi="Arial" w:cs="Arial"/>
          <w:color w:val="auto"/>
          <w:sz w:val="21"/>
          <w:szCs w:val="21"/>
          <w:highlight w:val="none"/>
        </w:rPr>
        <w:t>3</w:t>
      </w:r>
      <w:r>
        <w:rPr>
          <w:rFonts w:ascii="Arial" w:hAnsi="Arial" w:cs="Arial"/>
          <w:color w:val="auto"/>
          <w:sz w:val="21"/>
          <w:szCs w:val="21"/>
          <w:highlight w:val="none"/>
        </w:rPr>
        <w:t>.乙方的投标报价应依据</w:t>
      </w:r>
      <w:r>
        <w:rPr>
          <w:rFonts w:hint="eastAsia" w:ascii="Arial" w:hAnsi="Arial" w:cs="Arial"/>
          <w:color w:val="auto"/>
          <w:sz w:val="21"/>
          <w:szCs w:val="21"/>
          <w:highlight w:val="none"/>
        </w:rPr>
        <w:t>据招标文件的要求及本项目技术要求一览表中医学检验项目清单及单项控制价为基准进行报价，合同一旦签订，此合同价格在合同实施期间将不因市场价格的变化而调整；但若国家出台统一指导价或物价部门出台相应收费条码后，与项目中标价格相比较，按照就低不就高的原则，相应收费项目由</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进行收费，并按要求4、要求5的原则进行实际结算</w:t>
      </w:r>
      <w:r>
        <w:rPr>
          <w:rFonts w:ascii="Arial" w:hAnsi="Arial" w:cs="Arial"/>
          <w:color w:val="auto"/>
          <w:sz w:val="21"/>
          <w:szCs w:val="21"/>
          <w:highlight w:val="none"/>
        </w:rPr>
        <w:t>；</w:t>
      </w:r>
    </w:p>
    <w:p w14:paraId="48A42591">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4</w:t>
      </w:r>
      <w:r>
        <w:rPr>
          <w:rFonts w:ascii="Arial" w:hAnsi="Arial" w:cs="Arial"/>
          <w:color w:val="auto"/>
          <w:sz w:val="21"/>
          <w:szCs w:val="21"/>
          <w:highlight w:val="none"/>
        </w:rPr>
        <w:t>. 本项目外送医学检验项目单项计费价格以实际价格金额进行报价，要求每项报价均不高于单项计费基准价</w:t>
      </w:r>
      <w:r>
        <w:rPr>
          <w:rFonts w:hint="eastAsia" w:ascii="Arial" w:hAnsi="Arial" w:cs="Arial"/>
          <w:b/>
          <w:bCs/>
          <w:color w:val="auto"/>
          <w:sz w:val="21"/>
          <w:szCs w:val="21"/>
          <w:highlight w:val="none"/>
        </w:rPr>
        <w:t>。</w:t>
      </w:r>
    </w:p>
    <w:p w14:paraId="39640769">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5</w:t>
      </w:r>
      <w:r>
        <w:rPr>
          <w:rFonts w:ascii="Arial" w:hAnsi="Arial" w:cs="Arial"/>
          <w:color w:val="auto"/>
          <w:sz w:val="21"/>
          <w:szCs w:val="21"/>
          <w:highlight w:val="none"/>
        </w:rPr>
        <w:t xml:space="preserve">. </w:t>
      </w:r>
      <w:r>
        <w:rPr>
          <w:rFonts w:hint="eastAsia" w:ascii="Arial" w:hAnsi="Arial" w:cs="Arial"/>
          <w:color w:val="auto"/>
          <w:sz w:val="21"/>
          <w:szCs w:val="21"/>
          <w:highlight w:val="none"/>
        </w:rPr>
        <w:t>送检样本按实际中标价的九折进行结算</w:t>
      </w:r>
      <w:r>
        <w:rPr>
          <w:rFonts w:hint="eastAsia" w:ascii="Arial" w:hAnsi="Arial" w:cs="Arial"/>
          <w:color w:val="auto"/>
          <w:sz w:val="21"/>
          <w:szCs w:val="21"/>
          <w:highlight w:val="none"/>
          <w:lang w:eastAsia="zh-CN"/>
        </w:rPr>
        <w:t>（但若国家出台统一指导价或物价部门出台相应收费条码后，与项目中标价格相比较，按照就低不就高的原则，</w:t>
      </w:r>
      <w:r>
        <w:rPr>
          <w:rFonts w:hint="eastAsia" w:ascii="Arial" w:hAnsi="Arial" w:cs="Arial"/>
          <w:color w:val="auto"/>
          <w:sz w:val="21"/>
          <w:szCs w:val="21"/>
          <w:highlight w:val="none"/>
          <w:lang w:val="en-US" w:eastAsia="zh-CN"/>
        </w:rPr>
        <w:t>按低价格的九折结算</w:t>
      </w: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rPr>
        <w:t>，凡由采购人收费的，即检测机构实际结算金额=外送医学检验项目单项计费实际中标价*90%*实际外送的医学检验项目数量，结算折扣(90%)不作为价格竞争</w:t>
      </w: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rPr>
        <w:t>凡采购人无法收费的项目，采购人仅负责送检标本的质量与安全监管，项目收费</w:t>
      </w:r>
      <w:r>
        <w:rPr>
          <w:rFonts w:hint="eastAsia" w:ascii="Arial" w:hAnsi="Arial" w:cs="Arial"/>
          <w:color w:val="auto"/>
          <w:sz w:val="21"/>
          <w:szCs w:val="21"/>
          <w:highlight w:val="none"/>
          <w:lang w:val="en-US" w:eastAsia="zh-CN"/>
        </w:rPr>
        <w:t>中标人</w:t>
      </w:r>
      <w:r>
        <w:rPr>
          <w:rFonts w:hint="eastAsia" w:ascii="Arial" w:hAnsi="Arial" w:cs="Arial"/>
          <w:color w:val="auto"/>
          <w:sz w:val="21"/>
          <w:szCs w:val="21"/>
          <w:highlight w:val="none"/>
        </w:rPr>
        <w:t>可委托采购人采购的第三方平台规范收取，委托收费的标准不得高于实际中标价，检测机构实际结算金额由其与第三方平台按检测费用的90%进行结算。第三方平台提供外送样本管理系统，及院内标本收集、交接，协助结算等服务。</w:t>
      </w:r>
    </w:p>
    <w:p w14:paraId="5EB72C66">
      <w:pPr>
        <w:pStyle w:val="143"/>
        <w:ind w:firstLine="420"/>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rPr>
        <w:t>送检样本按实际中标价的九折进行结算的基础上，系统服务费按不超过检测费用(含微信、支付宝或银行转账服务费)5%由</w:t>
      </w:r>
      <w:r>
        <w:rPr>
          <w:rFonts w:hint="eastAsia" w:ascii="Arial" w:hAnsi="Arial" w:cs="Arial"/>
          <w:color w:val="auto"/>
          <w:sz w:val="21"/>
          <w:szCs w:val="21"/>
          <w:highlight w:val="none"/>
          <w:lang w:val="en-US" w:eastAsia="zh-CN"/>
        </w:rPr>
        <w:t>中标供应商</w:t>
      </w:r>
      <w:r>
        <w:rPr>
          <w:rFonts w:hint="eastAsia" w:ascii="Arial" w:hAnsi="Arial" w:cs="Arial"/>
          <w:color w:val="auto"/>
          <w:sz w:val="21"/>
          <w:szCs w:val="21"/>
          <w:highlight w:val="none"/>
        </w:rPr>
        <w:t>与第三方服务平台另行结算。</w:t>
      </w:r>
    </w:p>
    <w:p w14:paraId="489FD8B2">
      <w:pPr>
        <w:pStyle w:val="143"/>
        <w:ind w:firstLine="420"/>
        <w:rPr>
          <w:rFonts w:ascii="Arial" w:hAnsi="Arial" w:cs="Arial"/>
          <w:b/>
          <w:color w:val="auto"/>
          <w:sz w:val="21"/>
          <w:szCs w:val="21"/>
          <w:highlight w:val="none"/>
        </w:rPr>
      </w:pPr>
      <w:r>
        <w:rPr>
          <w:rFonts w:hint="eastAsia" w:ascii="Arial" w:hAnsi="Arial" w:cs="Arial"/>
          <w:color w:val="auto"/>
          <w:sz w:val="21"/>
          <w:szCs w:val="21"/>
          <w:highlight w:val="none"/>
          <w:lang w:val="en-US" w:eastAsia="zh-CN"/>
        </w:rPr>
        <w:t>6</w:t>
      </w:r>
      <w:r>
        <w:rPr>
          <w:rFonts w:ascii="Arial" w:hAnsi="Arial" w:cs="Arial"/>
          <w:color w:val="auto"/>
          <w:sz w:val="21"/>
          <w:szCs w:val="21"/>
          <w:highlight w:val="none"/>
        </w:rPr>
        <w:t>.外送医学检验、</w:t>
      </w:r>
      <w:r>
        <w:rPr>
          <w:rFonts w:hint="eastAsia" w:ascii="Arial" w:hAnsi="Arial" w:cs="Arial"/>
          <w:color w:val="auto"/>
          <w:sz w:val="21"/>
          <w:szCs w:val="21"/>
          <w:highlight w:val="none"/>
          <w:lang w:eastAsia="zh-CN"/>
        </w:rPr>
        <w:t>病理诊断</w:t>
      </w:r>
      <w:r>
        <w:rPr>
          <w:rFonts w:ascii="Arial" w:hAnsi="Arial" w:cs="Arial"/>
          <w:color w:val="auto"/>
          <w:sz w:val="21"/>
          <w:szCs w:val="21"/>
          <w:highlight w:val="none"/>
        </w:rPr>
        <w:t>等检测项目</w:t>
      </w:r>
      <w:r>
        <w:rPr>
          <w:rFonts w:hint="eastAsia" w:ascii="Arial" w:hAnsi="Arial" w:cs="Arial"/>
          <w:color w:val="auto"/>
          <w:sz w:val="21"/>
          <w:szCs w:val="21"/>
          <w:highlight w:val="none"/>
        </w:rPr>
        <w:t>报价要符合相关物</w:t>
      </w:r>
      <w:r>
        <w:rPr>
          <w:rFonts w:ascii="Arial" w:hAnsi="Arial" w:cs="Arial"/>
          <w:color w:val="auto"/>
          <w:sz w:val="21"/>
          <w:szCs w:val="21"/>
          <w:highlight w:val="none"/>
        </w:rPr>
        <w:t>价部门的定价规则，否则甲方有权要求乙方赔偿相关损失；情节严重者，甲方</w:t>
      </w:r>
      <w:r>
        <w:rPr>
          <w:rFonts w:hint="eastAsia" w:ascii="Arial" w:hAnsi="Arial" w:cs="Arial"/>
          <w:color w:val="auto"/>
          <w:sz w:val="21"/>
          <w:szCs w:val="21"/>
          <w:highlight w:val="none"/>
        </w:rPr>
        <w:t>可以终止合同，重新选择合格</w:t>
      </w:r>
      <w:r>
        <w:rPr>
          <w:rFonts w:ascii="Arial" w:hAnsi="Arial" w:cs="Arial"/>
          <w:color w:val="auto"/>
          <w:sz w:val="21"/>
          <w:szCs w:val="21"/>
          <w:highlight w:val="none"/>
        </w:rPr>
        <w:t>供应商签订合同。</w:t>
      </w:r>
    </w:p>
    <w:p w14:paraId="6729E123">
      <w:pPr>
        <w:pStyle w:val="143"/>
        <w:ind w:firstLine="422"/>
        <w:rPr>
          <w:rFonts w:hint="eastAsia" w:ascii="Arial" w:hAnsi="Arial" w:cs="Arial"/>
          <w:b w:val="0"/>
          <w:bCs w:val="0"/>
          <w:color w:val="auto"/>
          <w:sz w:val="21"/>
          <w:szCs w:val="21"/>
          <w:highlight w:val="none"/>
        </w:rPr>
      </w:pPr>
      <w:bookmarkStart w:id="90" w:name="_Toc10908"/>
      <w:bookmarkStart w:id="91" w:name="_Toc4274"/>
      <w:bookmarkStart w:id="92" w:name="_Toc4696"/>
      <w:r>
        <w:rPr>
          <w:rFonts w:hint="eastAsia" w:ascii="Arial" w:hAnsi="Arial" w:cs="Arial"/>
          <w:b/>
          <w:bCs/>
          <w:color w:val="auto"/>
          <w:sz w:val="21"/>
          <w:szCs w:val="21"/>
          <w:highlight w:val="none"/>
          <w:lang w:val="en-US" w:eastAsia="zh-CN"/>
        </w:rPr>
        <w:t>7</w:t>
      </w:r>
      <w:r>
        <w:rPr>
          <w:rFonts w:hint="eastAsia" w:ascii="Arial" w:hAnsi="Arial" w:cs="Arial"/>
          <w:b/>
          <w:bCs/>
          <w:color w:val="auto"/>
          <w:sz w:val="21"/>
          <w:szCs w:val="21"/>
          <w:highlight w:val="none"/>
        </w:rPr>
        <w:t>.</w:t>
      </w:r>
      <w:r>
        <w:rPr>
          <w:rFonts w:hint="eastAsia" w:ascii="Arial" w:hAnsi="Arial" w:cs="Arial"/>
          <w:b w:val="0"/>
          <w:bCs w:val="0"/>
          <w:color w:val="auto"/>
          <w:sz w:val="21"/>
          <w:szCs w:val="21"/>
          <w:highlight w:val="none"/>
        </w:rPr>
        <w:t>本项目允许中标后分包，且需经招标人书面同意后方可分包，分包指标数量不超过招标数量的7%（即本次招标拟送检项共76项，分包项数不得超过5项），主体单位须明确各方承担的检验项内容，分包承担主体应当具备相应资质条件且不得再次分包。</w:t>
      </w:r>
    </w:p>
    <w:p w14:paraId="31452A79">
      <w:pPr>
        <w:pStyle w:val="143"/>
        <w:ind w:firstLine="422"/>
        <w:rPr>
          <w:rFonts w:hint="eastAsia" w:ascii="Arial" w:hAnsi="Arial" w:cs="Arial"/>
          <w:b/>
          <w:bCs/>
          <w:color w:val="auto"/>
          <w:sz w:val="21"/>
          <w:szCs w:val="21"/>
          <w:highlight w:val="none"/>
          <w:lang w:val="en-US" w:eastAsia="zh-CN"/>
        </w:rPr>
      </w:pPr>
      <w:r>
        <w:rPr>
          <w:rFonts w:hint="eastAsia" w:ascii="Arial" w:hAnsi="Arial" w:cs="Arial"/>
          <w:b/>
          <w:bCs/>
          <w:color w:val="auto"/>
          <w:sz w:val="21"/>
          <w:szCs w:val="21"/>
          <w:highlight w:val="none"/>
          <w:lang w:val="en-US" w:eastAsia="zh-CN"/>
        </w:rPr>
        <w:t>8.检测机构提供的检查结果如出现自相矛盾、偏离较大等情况，经医院审核，该项送检费用应不予收取费用并重新进行检测；</w:t>
      </w:r>
      <w:r>
        <w:rPr>
          <w:rFonts w:hint="eastAsia" w:ascii="Arial" w:hAnsi="Arial" w:cs="Arial"/>
          <w:b w:val="0"/>
          <w:bCs w:val="0"/>
          <w:color w:val="auto"/>
          <w:sz w:val="21"/>
          <w:szCs w:val="21"/>
          <w:highlight w:val="none"/>
        </w:rPr>
        <w:t>如造成医疗事故或者纠纷，需按照造成事故的相应责任比例进行赔偿</w:t>
      </w:r>
      <w:r>
        <w:rPr>
          <w:rFonts w:hint="eastAsia" w:ascii="Arial" w:hAnsi="Arial" w:cs="Arial"/>
          <w:b w:val="0"/>
          <w:bCs w:val="0"/>
          <w:color w:val="auto"/>
          <w:sz w:val="21"/>
          <w:szCs w:val="21"/>
          <w:highlight w:val="none"/>
          <w:lang w:eastAsia="zh-CN"/>
        </w:rPr>
        <w:t>。</w:t>
      </w:r>
    </w:p>
    <w:p w14:paraId="45EF20A5">
      <w:pPr>
        <w:pStyle w:val="143"/>
        <w:ind w:firstLine="422"/>
        <w:rPr>
          <w:rFonts w:hint="eastAsia" w:ascii="Arial" w:hAnsi="Arial" w:cs="Arial"/>
          <w:b w:val="0"/>
          <w:bCs w:val="0"/>
          <w:color w:val="auto"/>
          <w:sz w:val="21"/>
          <w:szCs w:val="21"/>
          <w:highlight w:val="none"/>
          <w:lang w:val="en-US" w:eastAsia="zh-CN"/>
        </w:rPr>
      </w:pPr>
      <w:r>
        <w:rPr>
          <w:rFonts w:hint="eastAsia" w:ascii="Arial" w:hAnsi="Arial" w:cs="Arial"/>
          <w:b/>
          <w:bCs/>
          <w:color w:val="auto"/>
          <w:sz w:val="21"/>
          <w:szCs w:val="21"/>
          <w:highlight w:val="none"/>
          <w:lang w:val="en-US" w:eastAsia="zh-CN"/>
        </w:rPr>
        <w:t>9.</w:t>
      </w:r>
      <w:r>
        <w:rPr>
          <w:rFonts w:hint="eastAsia" w:ascii="Arial" w:hAnsi="Arial" w:cs="Arial"/>
          <w:b w:val="0"/>
          <w:bCs w:val="0"/>
          <w:color w:val="auto"/>
          <w:sz w:val="21"/>
          <w:szCs w:val="21"/>
          <w:highlight w:val="none"/>
          <w:lang w:val="en-US" w:eastAsia="zh-CN"/>
        </w:rPr>
        <w:t>检测机构应直接向患者开具检测费发票，且发票上的“货物或应税劳务、服务名称”一栏需准确填写具体的检测项目名称，要与患者实际接受的检测服务内容一致；发票金额应与患者实际支付的检测费用相符。</w:t>
      </w:r>
    </w:p>
    <w:p w14:paraId="27036100">
      <w:pPr>
        <w:pStyle w:val="143"/>
        <w:ind w:firstLine="422"/>
        <w:rPr>
          <w:rFonts w:hint="default" w:ascii="Arial" w:hAnsi="Arial"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10.检测机构应向医院提供所有外送医学检验、病理诊断等检测项目对应的检测仪器设备资料、试剂说明书、标准操作流程（SOP）、检测报告单样本等核心资料，医院核对已中标外送项目是否符合广西壮族自治区相关管理规定及现行医疗服务价格、医保监管政策要求。确认具备对应广西医疗服务收费标准的项目将按相应收费标准进行收费</w:t>
      </w:r>
    </w:p>
    <w:p w14:paraId="6F639F6E">
      <w:pPr>
        <w:snapToGrid w:val="0"/>
        <w:spacing w:line="400" w:lineRule="exact"/>
        <w:ind w:firstLine="420" w:firstLineChars="200"/>
        <w:outlineLvl w:val="0"/>
        <w:rPr>
          <w:rFonts w:hint="default" w:ascii="Arial" w:hAnsi="Arial" w:eastAsia="宋体" w:cs="Arial"/>
          <w:b/>
          <w:color w:val="auto"/>
          <w:szCs w:val="21"/>
          <w:highlight w:val="none"/>
          <w:lang w:val="en-US" w:eastAsia="zh-CN"/>
        </w:rPr>
      </w:pPr>
      <w:r>
        <w:rPr>
          <w:rFonts w:hint="eastAsia" w:ascii="Arial" w:hAnsi="Arial" w:cs="Arial"/>
          <w:b w:val="0"/>
          <w:bCs/>
          <w:color w:val="auto"/>
          <w:szCs w:val="21"/>
          <w:highlight w:val="none"/>
          <w:lang w:val="en-US" w:eastAsia="zh-CN"/>
        </w:rPr>
        <w:t>11</w:t>
      </w:r>
      <w:r>
        <w:rPr>
          <w:rFonts w:hint="eastAsia" w:ascii="Arial" w:hAnsi="Arial" w:cs="Arial"/>
          <w:b/>
          <w:color w:val="auto"/>
          <w:szCs w:val="21"/>
          <w:highlight w:val="none"/>
          <w:lang w:val="en-US" w:eastAsia="zh-CN"/>
        </w:rPr>
        <w:t>.</w:t>
      </w:r>
      <w:r>
        <w:rPr>
          <w:rFonts w:hint="eastAsia" w:ascii="Arial" w:hAnsi="Arial" w:cs="Arial"/>
          <w:color w:val="auto"/>
          <w:kern w:val="0"/>
          <w:szCs w:val="21"/>
          <w:highlight w:val="none"/>
          <w:lang w:val="en-US" w:eastAsia="zh-CN"/>
        </w:rPr>
        <w:t>因国家政策等原因需要变更检测地址须及时与甲方协商，必要时可签订补充协议。</w:t>
      </w:r>
    </w:p>
    <w:p w14:paraId="766EA97D">
      <w:pPr>
        <w:snapToGrid w:val="0"/>
        <w:spacing w:line="400" w:lineRule="exact"/>
        <w:ind w:firstLine="422" w:firstLineChars="200"/>
        <w:outlineLvl w:val="0"/>
        <w:rPr>
          <w:rFonts w:ascii="Arial" w:hAnsi="Arial" w:cs="Arial"/>
          <w:b/>
          <w:color w:val="auto"/>
          <w:szCs w:val="21"/>
          <w:highlight w:val="none"/>
        </w:rPr>
      </w:pPr>
      <w:r>
        <w:rPr>
          <w:rFonts w:hint="eastAsia" w:ascii="Arial" w:hAnsi="Arial" w:cs="Arial"/>
          <w:b/>
          <w:color w:val="auto"/>
          <w:szCs w:val="21"/>
          <w:highlight w:val="none"/>
        </w:rPr>
        <w:t>第二条 服务要求</w:t>
      </w:r>
    </w:p>
    <w:p w14:paraId="62E6AC62">
      <w:pPr>
        <w:pStyle w:val="143"/>
        <w:ind w:firstLine="420"/>
        <w:rPr>
          <w:rFonts w:ascii="Arial" w:hAnsi="Arial" w:cs="Arial"/>
          <w:color w:val="auto"/>
          <w:sz w:val="21"/>
          <w:szCs w:val="21"/>
          <w:highlight w:val="none"/>
        </w:rPr>
      </w:pPr>
      <w:r>
        <w:rPr>
          <w:rFonts w:ascii="Arial" w:hAnsi="Arial" w:cs="Arial"/>
          <w:color w:val="auto"/>
          <w:sz w:val="21"/>
          <w:szCs w:val="21"/>
          <w:highlight w:val="none"/>
        </w:rPr>
        <w:t>1.</w:t>
      </w:r>
      <w:r>
        <w:rPr>
          <w:rFonts w:hint="eastAsia" w:ascii="Arial" w:hAnsi="Arial" w:cs="Arial"/>
          <w:color w:val="auto"/>
          <w:sz w:val="21"/>
          <w:szCs w:val="21"/>
          <w:highlight w:val="none"/>
        </w:rPr>
        <w:t>乙方</w:t>
      </w:r>
      <w:r>
        <w:rPr>
          <w:rFonts w:ascii="Arial" w:hAnsi="Arial" w:cs="Arial"/>
          <w:color w:val="auto"/>
          <w:sz w:val="21"/>
          <w:szCs w:val="21"/>
          <w:highlight w:val="none"/>
        </w:rPr>
        <w:t>需严格遵守国家和</w:t>
      </w:r>
      <w:r>
        <w:rPr>
          <w:rFonts w:hint="eastAsia" w:ascii="Arial" w:hAnsi="Arial" w:cs="Arial"/>
          <w:color w:val="auto"/>
          <w:sz w:val="21"/>
          <w:szCs w:val="21"/>
          <w:highlight w:val="none"/>
        </w:rPr>
        <w:t>甲方</w:t>
      </w:r>
      <w:r>
        <w:rPr>
          <w:rFonts w:ascii="Arial" w:hAnsi="Arial" w:cs="Arial"/>
          <w:color w:val="auto"/>
          <w:sz w:val="21"/>
          <w:szCs w:val="21"/>
          <w:highlight w:val="none"/>
        </w:rPr>
        <w:t>的相关规定，秉着诚实守信的原则做好服务工作；</w:t>
      </w:r>
    </w:p>
    <w:p w14:paraId="29C8E30C">
      <w:pPr>
        <w:pStyle w:val="143"/>
        <w:ind w:firstLine="420"/>
        <w:rPr>
          <w:rFonts w:ascii="Arial" w:hAnsi="Arial" w:cs="Arial"/>
          <w:color w:val="auto"/>
          <w:sz w:val="21"/>
          <w:szCs w:val="21"/>
          <w:highlight w:val="none"/>
        </w:rPr>
      </w:pPr>
      <w:r>
        <w:rPr>
          <w:rFonts w:ascii="Arial" w:hAnsi="Arial" w:cs="Arial"/>
          <w:color w:val="auto"/>
          <w:sz w:val="21"/>
          <w:szCs w:val="21"/>
          <w:highlight w:val="none"/>
        </w:rPr>
        <w:t>2.</w:t>
      </w:r>
      <w:r>
        <w:rPr>
          <w:rFonts w:hint="eastAsia" w:ascii="Arial" w:hAnsi="Arial" w:cs="Arial"/>
          <w:color w:val="auto"/>
          <w:sz w:val="21"/>
          <w:szCs w:val="21"/>
          <w:highlight w:val="none"/>
        </w:rPr>
        <w:t>乙方</w:t>
      </w:r>
      <w:r>
        <w:rPr>
          <w:rFonts w:ascii="Arial" w:hAnsi="Arial" w:cs="Arial"/>
          <w:color w:val="auto"/>
          <w:sz w:val="21"/>
          <w:szCs w:val="21"/>
          <w:highlight w:val="none"/>
        </w:rPr>
        <w:t>对</w:t>
      </w:r>
      <w:r>
        <w:rPr>
          <w:rFonts w:hint="eastAsia" w:ascii="Arial" w:hAnsi="Arial" w:cs="Arial"/>
          <w:color w:val="auto"/>
          <w:sz w:val="21"/>
          <w:szCs w:val="21"/>
          <w:highlight w:val="none"/>
        </w:rPr>
        <w:t>甲方</w:t>
      </w:r>
      <w:r>
        <w:rPr>
          <w:rFonts w:ascii="Arial" w:hAnsi="Arial" w:cs="Arial"/>
          <w:color w:val="auto"/>
          <w:sz w:val="21"/>
          <w:szCs w:val="21"/>
          <w:highlight w:val="none"/>
        </w:rPr>
        <w:t>提供的技术资料负有保密责任；</w:t>
      </w:r>
    </w:p>
    <w:p w14:paraId="1EC0DFB8">
      <w:pPr>
        <w:pStyle w:val="143"/>
        <w:ind w:firstLine="420"/>
        <w:rPr>
          <w:rFonts w:ascii="Arial" w:hAnsi="Arial" w:cs="Arial"/>
          <w:color w:val="auto"/>
          <w:sz w:val="21"/>
          <w:szCs w:val="21"/>
          <w:highlight w:val="none"/>
        </w:rPr>
      </w:pPr>
      <w:r>
        <w:rPr>
          <w:rFonts w:ascii="Arial" w:hAnsi="Arial" w:cs="Arial"/>
          <w:color w:val="auto"/>
          <w:sz w:val="21"/>
          <w:szCs w:val="21"/>
          <w:highlight w:val="none"/>
        </w:rPr>
        <w:t>3.检测结果报告系统须与</w:t>
      </w:r>
      <w:r>
        <w:rPr>
          <w:rFonts w:hint="eastAsia" w:ascii="Arial" w:hAnsi="Arial" w:cs="Arial"/>
          <w:color w:val="auto"/>
          <w:sz w:val="21"/>
          <w:szCs w:val="21"/>
          <w:highlight w:val="none"/>
        </w:rPr>
        <w:t>甲方</w:t>
      </w:r>
      <w:r>
        <w:rPr>
          <w:rFonts w:ascii="Arial" w:hAnsi="Arial" w:cs="Arial"/>
          <w:color w:val="auto"/>
          <w:sz w:val="21"/>
          <w:szCs w:val="21"/>
          <w:highlight w:val="none"/>
        </w:rPr>
        <w:t>引进的</w:t>
      </w:r>
      <w:r>
        <w:rPr>
          <w:rFonts w:hint="eastAsia" w:ascii="Arial" w:hAnsi="Arial" w:cs="Arial"/>
          <w:color w:val="auto"/>
          <w:sz w:val="21"/>
          <w:szCs w:val="21"/>
          <w:highlight w:val="none"/>
        </w:rPr>
        <w:t>第三方服务平台系统</w:t>
      </w:r>
      <w:r>
        <w:rPr>
          <w:rFonts w:ascii="Arial" w:hAnsi="Arial" w:cs="Arial"/>
          <w:color w:val="auto"/>
          <w:sz w:val="21"/>
          <w:szCs w:val="21"/>
          <w:highlight w:val="none"/>
        </w:rPr>
        <w:t>进行对接，可以自主查看报告进度及打印报告，对接产生的费用由</w:t>
      </w:r>
      <w:r>
        <w:rPr>
          <w:rFonts w:hint="eastAsia" w:ascii="Arial" w:hAnsi="Arial" w:cs="Arial"/>
          <w:color w:val="auto"/>
          <w:sz w:val="21"/>
          <w:szCs w:val="21"/>
          <w:highlight w:val="none"/>
        </w:rPr>
        <w:t>乙方</w:t>
      </w:r>
      <w:r>
        <w:rPr>
          <w:rFonts w:ascii="Arial" w:hAnsi="Arial" w:cs="Arial"/>
          <w:color w:val="auto"/>
          <w:sz w:val="21"/>
          <w:szCs w:val="21"/>
          <w:highlight w:val="none"/>
        </w:rPr>
        <w:t>承担。系统服务费按不超过检测费用</w:t>
      </w:r>
      <w:r>
        <w:rPr>
          <w:rFonts w:hint="eastAsia" w:ascii="Arial" w:hAnsi="Arial" w:cs="Arial"/>
          <w:color w:val="auto"/>
          <w:sz w:val="21"/>
          <w:szCs w:val="21"/>
          <w:highlight w:val="none"/>
          <w:lang w:eastAsia="zh-CN"/>
        </w:rPr>
        <w:t>（含微信、支付宝或银行转账服务费）</w:t>
      </w:r>
      <w:r>
        <w:rPr>
          <w:rFonts w:ascii="Arial" w:hAnsi="Arial" w:cs="Arial"/>
          <w:color w:val="auto"/>
          <w:sz w:val="21"/>
          <w:szCs w:val="21"/>
          <w:highlight w:val="none"/>
        </w:rPr>
        <w:t>5%由</w:t>
      </w:r>
      <w:r>
        <w:rPr>
          <w:rFonts w:hint="eastAsia" w:ascii="Arial" w:hAnsi="Arial" w:cs="Arial"/>
          <w:color w:val="auto"/>
          <w:sz w:val="21"/>
          <w:szCs w:val="21"/>
          <w:highlight w:val="none"/>
        </w:rPr>
        <w:t>乙方</w:t>
      </w:r>
      <w:r>
        <w:rPr>
          <w:rFonts w:ascii="Arial" w:hAnsi="Arial" w:cs="Arial"/>
          <w:color w:val="auto"/>
          <w:sz w:val="21"/>
          <w:szCs w:val="21"/>
          <w:highlight w:val="none"/>
        </w:rPr>
        <w:t>支付给第三方服务平台。</w:t>
      </w:r>
    </w:p>
    <w:p w14:paraId="32346E6E">
      <w:pPr>
        <w:pStyle w:val="143"/>
        <w:ind w:firstLine="420"/>
        <w:rPr>
          <w:rFonts w:ascii="Arial" w:hAnsi="Arial" w:cs="Arial"/>
          <w:color w:val="auto"/>
          <w:sz w:val="21"/>
          <w:szCs w:val="21"/>
          <w:highlight w:val="none"/>
        </w:rPr>
      </w:pPr>
      <w:r>
        <w:rPr>
          <w:rFonts w:ascii="Arial" w:hAnsi="Arial" w:cs="Arial"/>
          <w:color w:val="auto"/>
          <w:sz w:val="21"/>
          <w:szCs w:val="21"/>
          <w:highlight w:val="none"/>
        </w:rPr>
        <w:t>4.</w:t>
      </w:r>
      <w:r>
        <w:rPr>
          <w:rFonts w:hint="eastAsia" w:ascii="Arial" w:hAnsi="Arial" w:cs="Arial"/>
          <w:color w:val="auto"/>
          <w:sz w:val="21"/>
          <w:szCs w:val="21"/>
          <w:highlight w:val="none"/>
        </w:rPr>
        <w:t>乙方</w:t>
      </w:r>
      <w:r>
        <w:rPr>
          <w:rFonts w:ascii="Arial" w:hAnsi="Arial" w:cs="Arial"/>
          <w:color w:val="auto"/>
          <w:sz w:val="21"/>
          <w:szCs w:val="21"/>
          <w:highlight w:val="none"/>
        </w:rPr>
        <w:t>保证能及时为临床科室医生、管理部门提供相关的医学培训和各种咨询服务。</w:t>
      </w:r>
    </w:p>
    <w:p w14:paraId="588AC98D">
      <w:pPr>
        <w:pStyle w:val="143"/>
        <w:ind w:firstLine="420"/>
        <w:rPr>
          <w:rFonts w:ascii="Arial" w:hAnsi="Arial" w:cs="Arial"/>
          <w:color w:val="auto"/>
          <w:sz w:val="21"/>
          <w:szCs w:val="21"/>
          <w:highlight w:val="none"/>
        </w:rPr>
      </w:pPr>
      <w:r>
        <w:rPr>
          <w:rFonts w:ascii="Arial" w:hAnsi="Arial" w:cs="Arial"/>
          <w:color w:val="auto"/>
          <w:sz w:val="21"/>
          <w:szCs w:val="21"/>
          <w:highlight w:val="none"/>
        </w:rPr>
        <w:t>5.建立“危急值报告制度”，提供24小时电话随时服务，危急值专人电话跟进，出现危急值及时报告到采购人临床科室及检验科，确保患者检测信息与临床医生的畅通</w:t>
      </w:r>
      <w:r>
        <w:rPr>
          <w:rFonts w:ascii="Arial" w:hAnsi="Arial" w:cs="Arial"/>
          <w:b/>
          <w:bCs/>
          <w:color w:val="auto"/>
          <w:sz w:val="21"/>
          <w:szCs w:val="21"/>
          <w:highlight w:val="none"/>
        </w:rPr>
        <w:t>（附上服务人员名单及联系方式）</w:t>
      </w:r>
      <w:r>
        <w:rPr>
          <w:rFonts w:ascii="Arial" w:hAnsi="Arial" w:cs="Arial"/>
          <w:color w:val="auto"/>
          <w:sz w:val="21"/>
          <w:szCs w:val="21"/>
          <w:highlight w:val="none"/>
        </w:rPr>
        <w:t>；</w:t>
      </w:r>
    </w:p>
    <w:p w14:paraId="2EDFB368">
      <w:pPr>
        <w:pStyle w:val="143"/>
        <w:ind w:firstLine="420"/>
        <w:rPr>
          <w:rFonts w:ascii="Arial" w:hAnsi="Arial" w:cs="Arial"/>
          <w:color w:val="auto"/>
          <w:sz w:val="21"/>
          <w:szCs w:val="21"/>
          <w:highlight w:val="none"/>
        </w:rPr>
      </w:pPr>
      <w:r>
        <w:rPr>
          <w:rFonts w:ascii="Arial" w:hAnsi="Arial" w:cs="Arial"/>
          <w:color w:val="auto"/>
          <w:sz w:val="21"/>
          <w:szCs w:val="21"/>
          <w:highlight w:val="none"/>
        </w:rPr>
        <w:t>6.</w:t>
      </w:r>
      <w:r>
        <w:rPr>
          <w:rFonts w:hint="eastAsia" w:ascii="Arial" w:hAnsi="Arial" w:cs="Arial"/>
          <w:color w:val="auto"/>
          <w:sz w:val="21"/>
          <w:szCs w:val="21"/>
          <w:highlight w:val="none"/>
        </w:rPr>
        <w:t>乙方</w:t>
      </w:r>
      <w:r>
        <w:rPr>
          <w:rFonts w:ascii="Arial" w:hAnsi="Arial" w:cs="Arial"/>
          <w:color w:val="auto"/>
          <w:sz w:val="21"/>
          <w:szCs w:val="21"/>
          <w:highlight w:val="none"/>
        </w:rPr>
        <w:t>服务人员每月定期回访，临床科室医生、管理部门发现的问题及时解决并处理。</w:t>
      </w:r>
    </w:p>
    <w:p w14:paraId="7E94FDE5">
      <w:pPr>
        <w:pStyle w:val="143"/>
        <w:ind w:firstLine="420"/>
        <w:rPr>
          <w:rFonts w:ascii="Arial" w:hAnsi="Arial" w:cs="Arial"/>
          <w:color w:val="auto"/>
          <w:sz w:val="21"/>
          <w:szCs w:val="21"/>
          <w:highlight w:val="none"/>
        </w:rPr>
      </w:pPr>
      <w:r>
        <w:rPr>
          <w:rFonts w:ascii="Arial" w:hAnsi="Arial" w:cs="Arial"/>
          <w:color w:val="auto"/>
          <w:sz w:val="21"/>
          <w:szCs w:val="21"/>
          <w:highlight w:val="none"/>
        </w:rPr>
        <w:t>7.</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应根据</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需求提供检测原始数据</w:t>
      </w:r>
      <w:r>
        <w:rPr>
          <w:rFonts w:ascii="Arial" w:hAnsi="Arial" w:cs="Arial"/>
          <w:color w:val="auto"/>
          <w:sz w:val="21"/>
          <w:szCs w:val="21"/>
          <w:highlight w:val="none"/>
        </w:rPr>
        <w:t>；</w:t>
      </w:r>
    </w:p>
    <w:p w14:paraId="4C09952B">
      <w:pPr>
        <w:pStyle w:val="143"/>
        <w:ind w:firstLine="420"/>
        <w:rPr>
          <w:rFonts w:ascii="Arial" w:hAnsi="Arial" w:cs="Arial"/>
          <w:color w:val="auto"/>
          <w:sz w:val="21"/>
          <w:szCs w:val="21"/>
          <w:highlight w:val="none"/>
        </w:rPr>
      </w:pPr>
      <w:r>
        <w:rPr>
          <w:rFonts w:ascii="Arial" w:hAnsi="Arial" w:cs="Arial"/>
          <w:color w:val="auto"/>
          <w:sz w:val="21"/>
          <w:szCs w:val="21"/>
          <w:highlight w:val="none"/>
        </w:rPr>
        <w:t>8.</w:t>
      </w:r>
      <w:r>
        <w:rPr>
          <w:rFonts w:hint="eastAsia" w:ascii="Arial" w:hAnsi="Arial" w:cs="Arial"/>
          <w:color w:val="auto"/>
          <w:sz w:val="21"/>
          <w:szCs w:val="21"/>
          <w:highlight w:val="none"/>
        </w:rPr>
        <w:t>电子报告发出时间不得超过12个工作日</w:t>
      </w:r>
      <w:r>
        <w:rPr>
          <w:rFonts w:ascii="Arial" w:hAnsi="Arial" w:cs="Arial"/>
          <w:color w:val="auto"/>
          <w:sz w:val="21"/>
          <w:szCs w:val="21"/>
          <w:highlight w:val="none"/>
        </w:rPr>
        <w:t>，如有特殊情况应及时通知</w:t>
      </w:r>
      <w:r>
        <w:rPr>
          <w:rFonts w:hint="eastAsia" w:ascii="Arial" w:hAnsi="Arial" w:cs="Arial"/>
          <w:color w:val="auto"/>
          <w:sz w:val="21"/>
          <w:szCs w:val="21"/>
          <w:highlight w:val="none"/>
        </w:rPr>
        <w:t>甲方</w:t>
      </w:r>
      <w:r>
        <w:rPr>
          <w:rFonts w:ascii="Arial" w:hAnsi="Arial" w:cs="Arial"/>
          <w:color w:val="auto"/>
          <w:sz w:val="21"/>
          <w:szCs w:val="21"/>
          <w:highlight w:val="none"/>
        </w:rPr>
        <w:t>；</w:t>
      </w:r>
    </w:p>
    <w:p w14:paraId="40E0D9C5">
      <w:pPr>
        <w:pStyle w:val="143"/>
        <w:ind w:firstLine="420"/>
        <w:rPr>
          <w:rFonts w:ascii="Arial" w:hAnsi="Arial" w:cs="Arial"/>
          <w:color w:val="auto"/>
          <w:sz w:val="21"/>
          <w:szCs w:val="21"/>
          <w:highlight w:val="none"/>
        </w:rPr>
      </w:pPr>
      <w:r>
        <w:rPr>
          <w:rFonts w:ascii="Arial" w:hAnsi="Arial" w:cs="Arial"/>
          <w:color w:val="auto"/>
          <w:sz w:val="21"/>
          <w:szCs w:val="21"/>
          <w:highlight w:val="none"/>
        </w:rPr>
        <w:t>9.阳性结果须按要求进行复核、确认。确诊阳性或疑似阳性患者，</w:t>
      </w:r>
      <w:r>
        <w:rPr>
          <w:rFonts w:hint="eastAsia" w:ascii="Arial" w:hAnsi="Arial" w:cs="Arial"/>
          <w:color w:val="auto"/>
          <w:sz w:val="21"/>
          <w:szCs w:val="21"/>
          <w:highlight w:val="none"/>
        </w:rPr>
        <w:t>乙方</w:t>
      </w:r>
      <w:r>
        <w:rPr>
          <w:rFonts w:ascii="Arial" w:hAnsi="Arial" w:cs="Arial"/>
          <w:color w:val="auto"/>
          <w:sz w:val="21"/>
          <w:szCs w:val="21"/>
          <w:highlight w:val="none"/>
        </w:rPr>
        <w:t>应配合</w:t>
      </w:r>
      <w:r>
        <w:rPr>
          <w:rFonts w:hint="eastAsia" w:ascii="Arial" w:hAnsi="Arial" w:cs="Arial"/>
          <w:color w:val="auto"/>
          <w:sz w:val="21"/>
          <w:szCs w:val="21"/>
          <w:highlight w:val="none"/>
        </w:rPr>
        <w:t>甲方</w:t>
      </w:r>
      <w:r>
        <w:rPr>
          <w:rFonts w:ascii="Arial" w:hAnsi="Arial" w:cs="Arial"/>
          <w:color w:val="auto"/>
          <w:sz w:val="21"/>
          <w:szCs w:val="21"/>
          <w:highlight w:val="none"/>
        </w:rPr>
        <w:t>随访及治疗提供相关技术支持；</w:t>
      </w:r>
    </w:p>
    <w:p w14:paraId="5FD086C2">
      <w:pPr>
        <w:pStyle w:val="143"/>
        <w:ind w:firstLine="420"/>
        <w:rPr>
          <w:rFonts w:ascii="Arial" w:hAnsi="Arial" w:cs="Arial"/>
          <w:color w:val="auto"/>
          <w:sz w:val="21"/>
          <w:szCs w:val="21"/>
          <w:highlight w:val="none"/>
        </w:rPr>
      </w:pPr>
      <w:r>
        <w:rPr>
          <w:rFonts w:ascii="Arial" w:hAnsi="Arial" w:cs="Arial"/>
          <w:color w:val="auto"/>
          <w:sz w:val="21"/>
          <w:szCs w:val="21"/>
          <w:highlight w:val="none"/>
        </w:rPr>
        <w:t>10.</w:t>
      </w:r>
      <w:r>
        <w:rPr>
          <w:rFonts w:hint="eastAsia" w:ascii="Arial" w:hAnsi="Arial" w:cs="Arial"/>
          <w:color w:val="auto"/>
          <w:sz w:val="21"/>
          <w:szCs w:val="21"/>
          <w:highlight w:val="none"/>
        </w:rPr>
        <w:t>乙方不收取费用</w:t>
      </w:r>
      <w:r>
        <w:rPr>
          <w:rFonts w:ascii="Arial" w:hAnsi="Arial" w:cs="Arial"/>
          <w:color w:val="auto"/>
          <w:sz w:val="21"/>
          <w:szCs w:val="21"/>
          <w:highlight w:val="none"/>
        </w:rPr>
        <w:t>提供该项目所需的宣教资料、知情同意书、采样滤纸片等相关物品。如需邮寄样本或报告，相关费用由</w:t>
      </w:r>
      <w:r>
        <w:rPr>
          <w:rFonts w:hint="eastAsia" w:ascii="Arial" w:hAnsi="Arial" w:cs="Arial"/>
          <w:color w:val="auto"/>
          <w:sz w:val="21"/>
          <w:szCs w:val="21"/>
          <w:highlight w:val="none"/>
        </w:rPr>
        <w:t>乙方</w:t>
      </w:r>
      <w:r>
        <w:rPr>
          <w:rFonts w:ascii="Arial" w:hAnsi="Arial" w:cs="Arial"/>
          <w:color w:val="auto"/>
          <w:sz w:val="21"/>
          <w:szCs w:val="21"/>
          <w:highlight w:val="none"/>
        </w:rPr>
        <w:t>负责；</w:t>
      </w:r>
    </w:p>
    <w:p w14:paraId="6FBFA4FC">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11. 标本的采集、接收和运输说明</w:t>
      </w:r>
    </w:p>
    <w:p w14:paraId="1041F415">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（1）标本的采集由</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临床科室负责；</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引进的第三方服务平台收集后的标本接收、运输费用由供应商负责；</w:t>
      </w:r>
    </w:p>
    <w:p w14:paraId="46A8ED9E">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（2）</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临床科室需按操作规范采集标本，</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配置</w:t>
      </w:r>
      <w:r>
        <w:rPr>
          <w:rFonts w:hint="eastAsia" w:ascii="Arial" w:hAnsi="Arial" w:cs="Arial"/>
          <w:color w:val="auto"/>
          <w:sz w:val="21"/>
          <w:szCs w:val="21"/>
          <w:highlight w:val="none"/>
          <w:lang w:val="en-US" w:eastAsia="zh-CN"/>
        </w:rPr>
        <w:t>标本运输车辆、</w:t>
      </w:r>
      <w:r>
        <w:rPr>
          <w:rFonts w:hint="eastAsia" w:ascii="Arial" w:hAnsi="Arial" w:cs="Arial"/>
          <w:color w:val="auto"/>
          <w:sz w:val="21"/>
          <w:szCs w:val="21"/>
          <w:highlight w:val="none"/>
        </w:rPr>
        <w:t>专用标本运送箱，运送箱必须保证运输标本所需温度并有相应的温度记录，按规定进行清洁消毒，保证标本的质量和生物安全；</w:t>
      </w:r>
    </w:p>
    <w:p w14:paraId="1951C2C5">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（3）每天（周一至周日，8：30-17:00）上门收取标本次数不低于一次，具体上门时间由</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决定。有时间限制的检测样本，须在检测时间窗内完成。所有标本均按标本所需的温度和时限保存条件运输，如遇特殊情况或节假日的标本接收双方协商解决；</w:t>
      </w:r>
    </w:p>
    <w:p w14:paraId="087C4931">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（4）规范标本接收、登记和包装流程，保证标本质量和安全，确保标本顺利交接，方便查核；</w:t>
      </w:r>
    </w:p>
    <w:p w14:paraId="0B03C075">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（5）标本接收人员负责标本质量的初检、标识的核对，标本的接收登记及包装储存；</w:t>
      </w:r>
    </w:p>
    <w:p w14:paraId="6FE6A043">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（6）</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所收集的标本，只能用于</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申请项目的检测，不能用于其它涉及隐私项目及生物安全的项目，检测后按规定进行销毁处理；</w:t>
      </w:r>
    </w:p>
    <w:p w14:paraId="16BDC347">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13.</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必须接受</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对承担检验任务工作质量情况的监督检查和考核，若不能在规定时间内按时出具报告，当月发现一次的予以警告，第二次扣除上月检测费用的50%，第三次扣除上月全部检测费用。若检测结果出现错误，则由</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重新送检，费用由</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承担。</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负责因检测质量等原因引起的医疗纠纷，并承担相应的后果。</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有权依法解除合同；</w:t>
      </w:r>
    </w:p>
    <w:p w14:paraId="32A96953">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14.供应商能按时完成</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安排的临时性和应急性任务；</w:t>
      </w:r>
    </w:p>
    <w:p w14:paraId="24975CF1">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15.项目管理要求：</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须制定符合本项目要求的各项管理服务质量指标，建立相应管理制度、管理架构，接受</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监督,作为协议附件提供给检验科存档。</w:t>
      </w:r>
    </w:p>
    <w:p w14:paraId="6AA22F35">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16.</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标本接收人员发生职业暴露等情况，由</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自行处理。</w:t>
      </w:r>
    </w:p>
    <w:p w14:paraId="318CB863">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17.若</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检验科、病理科或实验室等有意向开展相应检测项目，</w:t>
      </w:r>
      <w:r>
        <w:rPr>
          <w:rFonts w:hint="eastAsia" w:ascii="Arial" w:hAnsi="Arial" w:cs="Arial"/>
          <w:color w:val="auto"/>
          <w:sz w:val="21"/>
          <w:szCs w:val="21"/>
          <w:highlight w:val="none"/>
          <w:lang w:val="en-US" w:eastAsia="zh-CN"/>
        </w:rPr>
        <w:t>乙方</w:t>
      </w:r>
      <w:r>
        <w:rPr>
          <w:rFonts w:hint="eastAsia" w:ascii="Arial" w:hAnsi="Arial" w:cs="Arial"/>
          <w:color w:val="auto"/>
          <w:sz w:val="21"/>
          <w:szCs w:val="21"/>
          <w:highlight w:val="none"/>
        </w:rPr>
        <w:t>需协助完成其项目开展所需的技术帮扶，并随时将项目移交</w:t>
      </w:r>
      <w:r>
        <w:rPr>
          <w:rFonts w:hint="eastAsia" w:ascii="Arial" w:hAnsi="Arial" w:cs="Arial"/>
          <w:color w:val="auto"/>
          <w:sz w:val="21"/>
          <w:szCs w:val="21"/>
          <w:highlight w:val="none"/>
          <w:lang w:val="en-US" w:eastAsia="zh-CN"/>
        </w:rPr>
        <w:t>甲方</w:t>
      </w:r>
      <w:r>
        <w:rPr>
          <w:rFonts w:hint="eastAsia" w:ascii="Arial" w:hAnsi="Arial" w:cs="Arial"/>
          <w:color w:val="auto"/>
          <w:sz w:val="21"/>
          <w:szCs w:val="21"/>
          <w:highlight w:val="none"/>
        </w:rPr>
        <w:t>检测科室自行开展。</w:t>
      </w:r>
    </w:p>
    <w:p w14:paraId="299EBC82">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18.如因院内仪器故障等不可抗力导致相关检测项目暂时无法开展，可依据检测方法，临时承接对应项目的检测工作。</w:t>
      </w:r>
    </w:p>
    <w:p w14:paraId="08CD0D69">
      <w:pPr>
        <w:pStyle w:val="143"/>
        <w:ind w:firstLine="420"/>
        <w:rPr>
          <w:rFonts w:hint="eastAsia" w:ascii="Arial" w:hAnsi="Arial" w:cs="Arial"/>
          <w:strike/>
          <w:dstrike w:val="0"/>
          <w:color w:val="auto"/>
          <w:sz w:val="21"/>
          <w:szCs w:val="21"/>
          <w:highlight w:val="none"/>
        </w:rPr>
      </w:pPr>
      <w:r>
        <w:rPr>
          <w:rFonts w:hint="eastAsia" w:ascii="Arial" w:hAnsi="Arial" w:cs="Arial"/>
          <w:color w:val="auto"/>
          <w:sz w:val="21"/>
          <w:szCs w:val="21"/>
          <w:highlight w:val="none"/>
        </w:rPr>
        <w:t>19.在协议有效期内，若上级卫生行政部门发布文件对检测工作提出新要求，双方可根据相关要求对合作内容进行相应调整。</w:t>
      </w:r>
    </w:p>
    <w:p w14:paraId="0CDCAD3B">
      <w:pPr>
        <w:pStyle w:val="143"/>
        <w:ind w:firstLine="422"/>
        <w:rPr>
          <w:rFonts w:ascii="Arial" w:hAnsi="Arial" w:cs="Arial"/>
          <w:color w:val="auto"/>
          <w:sz w:val="21"/>
          <w:szCs w:val="21"/>
          <w:highlight w:val="none"/>
        </w:rPr>
      </w:pPr>
      <w:r>
        <w:rPr>
          <w:rFonts w:hint="eastAsia" w:ascii="Arial" w:hAnsi="Arial" w:cs="Arial"/>
          <w:b/>
          <w:bCs/>
          <w:color w:val="auto"/>
          <w:sz w:val="21"/>
          <w:szCs w:val="21"/>
          <w:highlight w:val="none"/>
        </w:rPr>
        <w:t xml:space="preserve">第三条 </w:t>
      </w:r>
      <w:r>
        <w:rPr>
          <w:rFonts w:ascii="Arial" w:hAnsi="Arial" w:cs="Arial"/>
          <w:b/>
          <w:bCs/>
          <w:color w:val="auto"/>
          <w:sz w:val="21"/>
          <w:szCs w:val="21"/>
          <w:highlight w:val="none"/>
        </w:rPr>
        <w:t>第三方医检数据对接要求及方案</w:t>
      </w:r>
    </w:p>
    <w:p w14:paraId="3ECA66D4">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1.送检样本申请单信息及样本信息</w:t>
      </w:r>
    </w:p>
    <w:p w14:paraId="5CF3C465">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包括检测项目信息、受检者信息、申请单临床信息、样本信息以及物流信息</w:t>
      </w:r>
    </w:p>
    <w:p w14:paraId="7D370548">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2.检测样本收样质控数据</w:t>
      </w:r>
    </w:p>
    <w:p w14:paraId="7C1DD197">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包括收样签收状态以及质控数据</w:t>
      </w:r>
    </w:p>
    <w:p w14:paraId="1DB8A949">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3.检测样本实验记录操作单数据</w:t>
      </w:r>
    </w:p>
    <w:p w14:paraId="4079B5DD">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包括样本在检测过程中各步骤的实验记录操作单数据，需包括关键设备及试剂耗材信息以及检测结果记录信息。</w:t>
      </w:r>
    </w:p>
    <w:p w14:paraId="2BFB1027">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4.检测样本下机原始数据及分析后的结果数据</w:t>
      </w:r>
    </w:p>
    <w:p w14:paraId="567D6A45">
      <w:pPr>
        <w:pStyle w:val="143"/>
        <w:ind w:firstLine="420"/>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rPr>
        <w:t>针对测序项目需要上传原始下机原始数据以及生信二级分析后的结果数据、测序质控数据等</w:t>
      </w:r>
      <w:r>
        <w:rPr>
          <w:rFonts w:hint="eastAsia" w:ascii="Arial" w:hAnsi="Arial" w:cs="Arial"/>
          <w:color w:val="auto"/>
          <w:sz w:val="21"/>
          <w:szCs w:val="21"/>
          <w:highlight w:val="none"/>
          <w:lang w:eastAsia="zh-CN"/>
        </w:rPr>
        <w:t>。</w:t>
      </w:r>
    </w:p>
    <w:p w14:paraId="5D7E2381">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5.检测样本报告</w:t>
      </w:r>
    </w:p>
    <w:p w14:paraId="485BEAB1">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包含样本检测报告数据，提供PDF，建议同时上传检测报告结构化数据。</w:t>
      </w:r>
    </w:p>
    <w:p w14:paraId="66C72311">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6.季度质检数据</w:t>
      </w:r>
    </w:p>
    <w:p w14:paraId="108B365D">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包含检测人员资质、室内质控记录、室间质评成绩、实验室间比对记录及比对记录、设备校准、关键试剂耗材使用记录。</w:t>
      </w:r>
    </w:p>
    <w:p w14:paraId="66455B8F">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7.精准检测公共服务平台提供REST接口，以提供给第三方医检机构LIMS系统进行对接同步数据。</w:t>
      </w:r>
    </w:p>
    <w:p w14:paraId="1681F4E8">
      <w:pPr>
        <w:pStyle w:val="143"/>
        <w:ind w:firstLine="420"/>
        <w:rPr>
          <w:rFonts w:hint="eastAsia" w:ascii="Arial" w:hAnsi="Arial" w:cs="Arial"/>
          <w:color w:val="auto"/>
          <w:sz w:val="21"/>
          <w:szCs w:val="21"/>
          <w:highlight w:val="none"/>
        </w:rPr>
      </w:pPr>
      <w:r>
        <w:rPr>
          <w:rFonts w:hint="eastAsia" w:ascii="Arial" w:hAnsi="Arial" w:cs="Arial"/>
          <w:color w:val="auto"/>
          <w:sz w:val="21"/>
          <w:szCs w:val="21"/>
          <w:highlight w:val="none"/>
        </w:rPr>
        <w:t>8.暂无条件进行系统对接的第三方医检机构，也可以通过登录精准检测公共服务平台登录账号，通过上传excel方式提交数据。</w:t>
      </w:r>
    </w:p>
    <w:p w14:paraId="7B03A713">
      <w:pPr>
        <w:snapToGrid w:val="0"/>
        <w:spacing w:line="400" w:lineRule="exact"/>
        <w:ind w:firstLine="422" w:firstLineChars="200"/>
        <w:outlineLvl w:val="0"/>
        <w:rPr>
          <w:rFonts w:ascii="Arial" w:hAnsi="Arial" w:cs="Arial"/>
          <w:b/>
          <w:color w:val="auto"/>
          <w:szCs w:val="21"/>
          <w:highlight w:val="none"/>
        </w:rPr>
      </w:pPr>
      <w:r>
        <w:rPr>
          <w:rFonts w:ascii="Arial" w:hAnsi="Arial" w:cs="Arial"/>
          <w:b/>
          <w:color w:val="auto"/>
          <w:szCs w:val="21"/>
          <w:highlight w:val="none"/>
        </w:rPr>
        <w:t>第</w:t>
      </w:r>
      <w:r>
        <w:rPr>
          <w:rFonts w:hint="eastAsia" w:ascii="Arial" w:hAnsi="Arial" w:cs="Arial"/>
          <w:b/>
          <w:color w:val="auto"/>
          <w:szCs w:val="21"/>
          <w:highlight w:val="none"/>
        </w:rPr>
        <w:t>四</w:t>
      </w:r>
      <w:r>
        <w:rPr>
          <w:rFonts w:ascii="Arial" w:hAnsi="Arial" w:cs="Arial"/>
          <w:b/>
          <w:color w:val="auto"/>
          <w:szCs w:val="21"/>
          <w:highlight w:val="none"/>
        </w:rPr>
        <w:t>条　合同金额</w:t>
      </w:r>
      <w:bookmarkEnd w:id="89"/>
      <w:bookmarkEnd w:id="90"/>
      <w:bookmarkEnd w:id="91"/>
      <w:bookmarkEnd w:id="92"/>
    </w:p>
    <w:p w14:paraId="4746DE90">
      <w:pPr>
        <w:snapToGrid w:val="0"/>
        <w:spacing w:line="400" w:lineRule="exact"/>
        <w:ind w:firstLine="422" w:firstLineChars="200"/>
        <w:rPr>
          <w:rFonts w:ascii="Arial" w:hAnsi="Arial" w:cs="Arial"/>
          <w:color w:val="auto"/>
          <w:highlight w:val="none"/>
        </w:rPr>
      </w:pPr>
      <w:r>
        <w:rPr>
          <w:rFonts w:ascii="Arial" w:hAnsi="Arial" w:cs="Arial"/>
          <w:b/>
          <w:color w:val="auto"/>
          <w:szCs w:val="21"/>
          <w:highlight w:val="none"/>
        </w:rPr>
        <w:t>本</w:t>
      </w:r>
      <w:r>
        <w:rPr>
          <w:rFonts w:hint="eastAsia" w:ascii="Arial" w:hAnsi="Arial" w:cs="Arial"/>
          <w:b/>
          <w:color w:val="auto"/>
          <w:szCs w:val="21"/>
          <w:highlight w:val="none"/>
          <w:lang w:val="en-US" w:eastAsia="zh-CN"/>
        </w:rPr>
        <w:t>项目</w:t>
      </w:r>
      <w:r>
        <w:rPr>
          <w:rFonts w:ascii="Arial" w:hAnsi="Arial" w:cs="Arial"/>
          <w:b/>
          <w:color w:val="auto"/>
          <w:szCs w:val="21"/>
          <w:highlight w:val="none"/>
        </w:rPr>
        <w:t>合同金额(预算金额)为人民币：</w:t>
      </w:r>
      <w:r>
        <w:rPr>
          <w:rFonts w:ascii="Arial" w:hAnsi="Arial" w:cs="Arial"/>
          <w:bCs/>
          <w:color w:val="auto"/>
          <w:szCs w:val="21"/>
          <w:highlight w:val="none"/>
          <w:u w:val="single"/>
        </w:rPr>
        <w:t xml:space="preserve">          </w:t>
      </w:r>
      <w:r>
        <w:rPr>
          <w:rFonts w:ascii="Arial" w:hAnsi="Arial" w:cs="Arial"/>
          <w:bCs/>
          <w:color w:val="auto"/>
          <w:szCs w:val="21"/>
          <w:highlight w:val="none"/>
        </w:rPr>
        <w:t>，单价详见投标报价明细表</w:t>
      </w:r>
      <w:r>
        <w:rPr>
          <w:rFonts w:ascii="Arial" w:hAnsi="Arial" w:cs="Arial"/>
          <w:color w:val="auto"/>
          <w:szCs w:val="21"/>
          <w:highlight w:val="none"/>
        </w:rPr>
        <w:t>。</w:t>
      </w:r>
    </w:p>
    <w:p w14:paraId="0062DF65">
      <w:pPr>
        <w:snapToGrid w:val="0"/>
        <w:spacing w:line="400" w:lineRule="exact"/>
        <w:ind w:firstLine="422" w:firstLineChars="200"/>
        <w:outlineLvl w:val="0"/>
        <w:rPr>
          <w:rFonts w:ascii="Arial" w:hAnsi="Arial" w:cs="Arial"/>
          <w:b/>
          <w:color w:val="auto"/>
          <w:szCs w:val="21"/>
          <w:highlight w:val="none"/>
        </w:rPr>
      </w:pPr>
      <w:bookmarkStart w:id="93" w:name="_Toc12330"/>
      <w:bookmarkStart w:id="94" w:name="_Toc17773"/>
      <w:bookmarkStart w:id="95" w:name="_Toc17782"/>
      <w:bookmarkStart w:id="96" w:name="_Toc915"/>
      <w:r>
        <w:rPr>
          <w:rFonts w:ascii="Arial" w:hAnsi="Arial" w:cs="Arial"/>
          <w:b/>
          <w:color w:val="auto"/>
          <w:szCs w:val="21"/>
          <w:highlight w:val="none"/>
        </w:rPr>
        <w:t>第</w:t>
      </w:r>
      <w:r>
        <w:rPr>
          <w:rFonts w:hint="eastAsia" w:ascii="Arial" w:hAnsi="Arial" w:cs="Arial"/>
          <w:b/>
          <w:color w:val="auto"/>
          <w:szCs w:val="21"/>
          <w:highlight w:val="none"/>
        </w:rPr>
        <w:t>五</w:t>
      </w:r>
      <w:r>
        <w:rPr>
          <w:rFonts w:ascii="Arial" w:hAnsi="Arial" w:cs="Arial"/>
          <w:b/>
          <w:color w:val="auto"/>
          <w:szCs w:val="21"/>
          <w:highlight w:val="none"/>
        </w:rPr>
        <w:t>条　</w:t>
      </w:r>
      <w:bookmarkEnd w:id="93"/>
      <w:bookmarkEnd w:id="94"/>
      <w:r>
        <w:rPr>
          <w:rFonts w:hint="eastAsia" w:ascii="Arial" w:hAnsi="Arial" w:cs="Arial"/>
          <w:b/>
          <w:color w:val="auto"/>
          <w:szCs w:val="21"/>
          <w:highlight w:val="none"/>
        </w:rPr>
        <w:t>质量保证</w:t>
      </w:r>
      <w:bookmarkEnd w:id="95"/>
      <w:bookmarkEnd w:id="96"/>
    </w:p>
    <w:p w14:paraId="4B324165">
      <w:pPr>
        <w:snapToGrid w:val="0"/>
        <w:spacing w:line="400" w:lineRule="exact"/>
        <w:ind w:firstLine="420" w:firstLineChars="200"/>
        <w:rPr>
          <w:rFonts w:ascii="Arial" w:hAnsi="Arial" w:cs="Arial"/>
          <w:color w:val="auto"/>
          <w:szCs w:val="21"/>
          <w:highlight w:val="none"/>
        </w:rPr>
      </w:pPr>
      <w:r>
        <w:rPr>
          <w:rFonts w:ascii="Arial" w:hAnsi="Arial" w:cs="Arial"/>
          <w:color w:val="auto"/>
          <w:szCs w:val="21"/>
          <w:highlight w:val="none"/>
        </w:rPr>
        <w:t>1.</w:t>
      </w:r>
      <w:r>
        <w:rPr>
          <w:rFonts w:hint="eastAsia" w:ascii="Arial" w:hAnsi="Arial" w:cs="Arial"/>
          <w:color w:val="auto"/>
          <w:szCs w:val="21"/>
          <w:highlight w:val="none"/>
        </w:rPr>
        <w:t>乙方所提供的服务及服务内容必须符合招标文件要求，与投标文件承诺相一致，有国家强制性标准的，还必须符合国家强制性标准的规定，没有国家强制性标准但有其他强制性标准的，必须符合其他强制性标准的规定</w:t>
      </w:r>
      <w:r>
        <w:rPr>
          <w:rFonts w:ascii="Arial" w:hAnsi="Arial" w:cs="Arial"/>
          <w:color w:val="auto"/>
          <w:szCs w:val="21"/>
          <w:highlight w:val="none"/>
        </w:rPr>
        <w:t>。</w:t>
      </w:r>
    </w:p>
    <w:p w14:paraId="484EC8D8">
      <w:pPr>
        <w:snapToGrid w:val="0"/>
        <w:spacing w:line="400" w:lineRule="exact"/>
        <w:ind w:firstLine="420" w:firstLineChars="200"/>
        <w:rPr>
          <w:rFonts w:ascii="Arial" w:hAnsi="Arial" w:cs="Arial"/>
          <w:color w:val="auto"/>
          <w:szCs w:val="21"/>
          <w:highlight w:val="none"/>
          <w:u w:val="single"/>
        </w:rPr>
      </w:pPr>
      <w:r>
        <w:rPr>
          <w:rFonts w:ascii="Arial" w:hAnsi="Arial" w:cs="Arial"/>
          <w:color w:val="auto"/>
          <w:szCs w:val="21"/>
          <w:highlight w:val="none"/>
        </w:rPr>
        <w:t>2.乙方提供的服务承诺、质保期及其它具体约定事项。（见合同附件）</w:t>
      </w:r>
    </w:p>
    <w:p w14:paraId="2E9EF8D5">
      <w:pPr>
        <w:snapToGrid w:val="0"/>
        <w:spacing w:line="400" w:lineRule="exact"/>
        <w:ind w:firstLine="422" w:firstLineChars="200"/>
        <w:outlineLvl w:val="0"/>
        <w:rPr>
          <w:rFonts w:hint="eastAsia" w:ascii="Arial" w:hAnsi="Arial" w:cs="Arial"/>
          <w:b/>
          <w:color w:val="auto"/>
          <w:szCs w:val="21"/>
          <w:highlight w:val="none"/>
        </w:rPr>
      </w:pPr>
      <w:bookmarkStart w:id="97" w:name="_Toc29372"/>
      <w:bookmarkStart w:id="98" w:name="_Toc12009"/>
      <w:bookmarkStart w:id="99" w:name="_Toc31306"/>
      <w:bookmarkStart w:id="100" w:name="_Toc5033"/>
      <w:r>
        <w:rPr>
          <w:rFonts w:hint="eastAsia" w:ascii="Arial" w:hAnsi="Arial" w:cs="Arial"/>
          <w:b/>
          <w:color w:val="auto"/>
          <w:szCs w:val="21"/>
          <w:highlight w:val="none"/>
        </w:rPr>
        <w:t>第六条 权利保证</w:t>
      </w:r>
      <w:bookmarkEnd w:id="97"/>
      <w:bookmarkEnd w:id="98"/>
    </w:p>
    <w:p w14:paraId="037A25C5">
      <w:pPr>
        <w:snapToGrid w:val="0"/>
        <w:spacing w:line="400" w:lineRule="exact"/>
        <w:ind w:firstLine="420" w:firstLineChars="200"/>
        <w:rPr>
          <w:rFonts w:ascii="Arial" w:hAnsi="Arial" w:cs="Arial"/>
          <w:color w:val="auto"/>
          <w:szCs w:val="21"/>
          <w:highlight w:val="none"/>
        </w:rPr>
      </w:pPr>
      <w:r>
        <w:rPr>
          <w:rFonts w:ascii="Arial" w:hAnsi="Arial" w:cs="Arial"/>
          <w:color w:val="auto"/>
          <w:szCs w:val="21"/>
          <w:highlight w:val="none"/>
        </w:rPr>
        <w:t>1</w:t>
      </w:r>
      <w:r>
        <w:rPr>
          <w:rFonts w:hint="eastAsia" w:ascii="Arial" w:hAnsi="Arial" w:cs="Arial"/>
          <w:color w:val="auto"/>
          <w:szCs w:val="21"/>
          <w:highlight w:val="none"/>
        </w:rPr>
        <w:t>.</w:t>
      </w:r>
      <w:r>
        <w:rPr>
          <w:rFonts w:ascii="Arial" w:hAnsi="Arial" w:cs="Arial"/>
          <w:color w:val="auto"/>
          <w:szCs w:val="21"/>
          <w:highlight w:val="none"/>
        </w:rPr>
        <w:t>乙方应保证所提供服务在使用时不会侵犯任何第三方的专利权、商标权、工业设计权等知识产权及其他合法权利，且所有权、处分权等没有受到任何限制。</w:t>
      </w:r>
    </w:p>
    <w:p w14:paraId="02788905">
      <w:pPr>
        <w:snapToGrid w:val="0"/>
        <w:spacing w:line="400" w:lineRule="exact"/>
        <w:ind w:firstLine="420" w:firstLineChars="200"/>
        <w:rPr>
          <w:rFonts w:ascii="Arial" w:hAnsi="Arial" w:cs="Arial"/>
          <w:color w:val="auto"/>
          <w:szCs w:val="21"/>
          <w:highlight w:val="none"/>
        </w:rPr>
      </w:pPr>
      <w:r>
        <w:rPr>
          <w:rFonts w:ascii="Arial" w:hAnsi="Arial" w:cs="Arial"/>
          <w:color w:val="auto"/>
          <w:szCs w:val="21"/>
          <w:highlight w:val="none"/>
        </w:rPr>
        <w:t>2</w:t>
      </w:r>
      <w:r>
        <w:rPr>
          <w:rFonts w:hint="eastAsia" w:ascii="Arial" w:hAnsi="Arial" w:cs="Arial"/>
          <w:color w:val="auto"/>
          <w:szCs w:val="21"/>
          <w:highlight w:val="none"/>
        </w:rPr>
        <w:t>.</w:t>
      </w:r>
      <w:r>
        <w:rPr>
          <w:rFonts w:ascii="Arial" w:hAnsi="Arial" w:cs="Arial"/>
          <w:color w:val="auto"/>
          <w:szCs w:val="21"/>
          <w:highlight w:val="none"/>
        </w:rPr>
        <w:t>没有甲方事先书面同意，乙方不得将由甲方提供的有关合同或者任何合同条文、样品或者资料提供给与履行本合同无关的任何其他人。即使向履行本合同有关的人员提供，也应注意保密并限于履行合同的必需范围。乙方的保密义务持续有效，不因为本合同履行终止、解除或者无效而解除。</w:t>
      </w:r>
    </w:p>
    <w:p w14:paraId="1E9DFFCC">
      <w:pPr>
        <w:snapToGrid w:val="0"/>
        <w:spacing w:line="400" w:lineRule="exact"/>
        <w:ind w:firstLine="422" w:firstLineChars="200"/>
        <w:outlineLvl w:val="0"/>
        <w:rPr>
          <w:rFonts w:ascii="Arial" w:hAnsi="Arial" w:cs="Arial"/>
          <w:color w:val="auto"/>
          <w:szCs w:val="21"/>
          <w:highlight w:val="none"/>
        </w:rPr>
      </w:pPr>
      <w:bookmarkStart w:id="101" w:name="_Toc32094"/>
      <w:bookmarkStart w:id="102" w:name="_Toc32454"/>
      <w:r>
        <w:rPr>
          <w:rFonts w:ascii="Arial" w:hAnsi="Arial" w:cs="Arial"/>
          <w:b/>
          <w:color w:val="auto"/>
          <w:szCs w:val="21"/>
          <w:highlight w:val="none"/>
        </w:rPr>
        <w:t>第</w:t>
      </w:r>
      <w:r>
        <w:rPr>
          <w:rFonts w:hint="eastAsia" w:ascii="Arial" w:hAnsi="Arial" w:cs="Arial"/>
          <w:b/>
          <w:color w:val="auto"/>
          <w:szCs w:val="21"/>
          <w:highlight w:val="none"/>
        </w:rPr>
        <w:t>七</w:t>
      </w:r>
      <w:r>
        <w:rPr>
          <w:rFonts w:ascii="Arial" w:hAnsi="Arial" w:cs="Arial"/>
          <w:b/>
          <w:color w:val="auto"/>
          <w:szCs w:val="21"/>
          <w:highlight w:val="none"/>
        </w:rPr>
        <w:t>条　付款方式</w:t>
      </w:r>
      <w:bookmarkEnd w:id="99"/>
      <w:bookmarkEnd w:id="100"/>
      <w:bookmarkEnd w:id="101"/>
      <w:bookmarkEnd w:id="102"/>
    </w:p>
    <w:p w14:paraId="67FAE7FD">
      <w:pPr>
        <w:spacing w:line="440" w:lineRule="exact"/>
        <w:ind w:firstLine="420" w:firstLineChars="200"/>
        <w:rPr>
          <w:rFonts w:ascii="Arial" w:hAnsi="Arial" w:cs="Arial"/>
          <w:color w:val="auto"/>
          <w:highlight w:val="none"/>
        </w:rPr>
      </w:pPr>
      <w:bookmarkStart w:id="103" w:name="_Toc27060"/>
      <w:r>
        <w:rPr>
          <w:rFonts w:hint="eastAsia" w:ascii="Arial" w:hAnsi="Arial" w:cs="Arial"/>
          <w:color w:val="auto"/>
          <w:highlight w:val="none"/>
          <w:u w:val="single"/>
        </w:rPr>
        <w:t>乙方每半年将医学检验、病理诊断等检测项目服务对账信息以《服务对账单》形式提交给甲方，双方进行核对确认。若有异议的，双方应在3个工作日内解决，甲方确认数据为双方唯一最终结算依据</w:t>
      </w:r>
      <w:r>
        <w:rPr>
          <w:rFonts w:hint="eastAsia" w:ascii="Arial" w:hAnsi="Arial" w:cs="Arial"/>
          <w:color w:val="auto"/>
          <w:highlight w:val="none"/>
          <w:u w:val="single"/>
          <w:lang w:eastAsia="zh-CN"/>
        </w:rPr>
        <w:t>，</w:t>
      </w:r>
      <w:r>
        <w:rPr>
          <w:rFonts w:hint="eastAsia" w:ascii="Arial" w:hAnsi="Arial" w:cs="Arial"/>
          <w:color w:val="auto"/>
          <w:highlight w:val="none"/>
          <w:u w:val="single"/>
        </w:rPr>
        <w:t>确认无误后，由</w:t>
      </w:r>
      <w:r>
        <w:rPr>
          <w:rFonts w:hint="eastAsia" w:ascii="Arial" w:hAnsi="Arial" w:cs="Arial"/>
          <w:color w:val="auto"/>
          <w:highlight w:val="none"/>
          <w:u w:val="single"/>
          <w:lang w:val="en-US" w:eastAsia="zh-CN"/>
        </w:rPr>
        <w:t>甲方</w:t>
      </w:r>
      <w:r>
        <w:rPr>
          <w:rFonts w:hint="eastAsia" w:ascii="Arial" w:hAnsi="Arial" w:cs="Arial"/>
          <w:color w:val="auto"/>
          <w:highlight w:val="none"/>
          <w:u w:val="single"/>
        </w:rPr>
        <w:t>按医院实际收费数量x中标单价x90%进行结算。付款前，乙方须提供符合要求的发票给甲方，甲方按发票金额在30个工作日内支付半年服务价款，以银行转账方式结算。乙方应当确保发票真实无误且合法有效，如发现存在虚假发票或违规发票的，乙方须赔偿甲方发票票面金额一倍的违约金，且甲方有权终止合同，因终止合同而产生的一切损失均由乙方承担。</w:t>
      </w:r>
    </w:p>
    <w:p w14:paraId="0FDF396D">
      <w:pPr>
        <w:snapToGrid w:val="0"/>
        <w:spacing w:line="400" w:lineRule="exact"/>
        <w:ind w:left="454" w:leftChars="216"/>
        <w:outlineLvl w:val="0"/>
        <w:rPr>
          <w:rFonts w:ascii="Arial" w:hAnsi="Arial" w:cs="Arial"/>
          <w:b/>
          <w:color w:val="auto"/>
          <w:szCs w:val="21"/>
          <w:highlight w:val="none"/>
        </w:rPr>
      </w:pPr>
      <w:bookmarkStart w:id="104" w:name="_Toc14088"/>
      <w:bookmarkStart w:id="105" w:name="_Toc30723"/>
      <w:bookmarkStart w:id="106" w:name="_Toc17524"/>
      <w:r>
        <w:rPr>
          <w:rFonts w:hint="eastAsia" w:ascii="Arial" w:hAnsi="Arial" w:cs="Arial"/>
          <w:b/>
          <w:color w:val="auto"/>
          <w:szCs w:val="21"/>
          <w:highlight w:val="none"/>
        </w:rPr>
        <w:t xml:space="preserve">第八条  </w:t>
      </w:r>
      <w:r>
        <w:rPr>
          <w:rFonts w:ascii="Arial" w:hAnsi="Arial" w:cs="Arial"/>
          <w:b/>
          <w:color w:val="auto"/>
          <w:szCs w:val="21"/>
          <w:highlight w:val="none"/>
        </w:rPr>
        <w:t>履约保证金：</w:t>
      </w:r>
      <w:bookmarkEnd w:id="103"/>
      <w:bookmarkEnd w:id="104"/>
      <w:bookmarkEnd w:id="105"/>
      <w:bookmarkEnd w:id="106"/>
    </w:p>
    <w:p w14:paraId="263E1984">
      <w:pPr>
        <w:pStyle w:val="27"/>
        <w:adjustRightInd w:val="0"/>
        <w:snapToGrid w:val="0"/>
        <w:spacing w:line="312" w:lineRule="auto"/>
        <w:ind w:firstLine="422" w:firstLineChars="200"/>
        <w:rPr>
          <w:rFonts w:ascii="Arial" w:hAnsi="Arial" w:cs="Arial"/>
          <w:b/>
          <w:color w:val="auto"/>
          <w:highlight w:val="none"/>
        </w:rPr>
      </w:pPr>
      <w:bookmarkStart w:id="107" w:name="_Toc699"/>
      <w:bookmarkStart w:id="108" w:name="_Toc32338"/>
      <w:r>
        <w:rPr>
          <w:rFonts w:ascii="Arial" w:hAnsi="Arial" w:cs="Arial"/>
          <w:b/>
          <w:color w:val="auto"/>
          <w:szCs w:val="21"/>
          <w:highlight w:val="none"/>
        </w:rPr>
        <w:t>履约保证金金额（人民币）：</w:t>
      </w:r>
      <w:bookmarkEnd w:id="107"/>
      <w:bookmarkEnd w:id="108"/>
      <w:bookmarkStart w:id="109" w:name="_Toc11409"/>
      <w:bookmarkStart w:id="110" w:name="_Toc2226"/>
      <w:r>
        <w:rPr>
          <w:rFonts w:hint="eastAsia" w:ascii="Arial" w:hAnsi="Arial" w:cs="Arial"/>
          <w:b/>
          <w:color w:val="auto"/>
          <w:szCs w:val="21"/>
          <w:highlight w:val="none"/>
        </w:rPr>
        <w:t>按预算金额的5%，如为中小微型企业，履约保证金金额为预算金额的2%。</w:t>
      </w:r>
      <w:r>
        <w:rPr>
          <w:rFonts w:hint="eastAsia" w:ascii="Arial" w:hAnsi="Arial" w:cs="Arial"/>
          <w:b/>
          <w:color w:val="auto"/>
          <w:highlight w:val="none"/>
        </w:rPr>
        <w:t>履约保证金递交方式：银行转账、支票、汇票、本票或者银行、保险机构出具的保函等非现金方式。</w:t>
      </w:r>
    </w:p>
    <w:p w14:paraId="069715FC">
      <w:pPr>
        <w:snapToGrid w:val="0"/>
        <w:spacing w:line="400" w:lineRule="exact"/>
        <w:ind w:left="-61" w:leftChars="-29" w:firstLine="517" w:firstLineChars="245"/>
        <w:outlineLvl w:val="0"/>
        <w:rPr>
          <w:rFonts w:ascii="Arial" w:hAnsi="Arial" w:cs="Arial"/>
          <w:b/>
          <w:color w:val="auto"/>
          <w:szCs w:val="21"/>
          <w:highlight w:val="none"/>
        </w:rPr>
      </w:pPr>
      <w:r>
        <w:rPr>
          <w:rFonts w:ascii="Arial" w:hAnsi="Arial" w:cs="Arial"/>
          <w:b/>
          <w:color w:val="auto"/>
          <w:szCs w:val="21"/>
          <w:highlight w:val="none"/>
        </w:rPr>
        <w:t>履约保证金缴纳信息：账户：</w:t>
      </w:r>
      <w:r>
        <w:rPr>
          <w:rFonts w:hint="eastAsia" w:ascii="Arial" w:hAnsi="Arial" w:cs="Arial"/>
          <w:b/>
          <w:color w:val="auto"/>
          <w:szCs w:val="21"/>
          <w:highlight w:val="none"/>
          <w:lang w:eastAsia="zh-CN"/>
        </w:rPr>
        <w:t>桂林医科大学第一附属医院</w:t>
      </w:r>
      <w:r>
        <w:rPr>
          <w:rFonts w:ascii="Arial" w:hAnsi="Arial" w:cs="Arial"/>
          <w:b/>
          <w:color w:val="auto"/>
          <w:szCs w:val="21"/>
          <w:highlight w:val="none"/>
        </w:rPr>
        <w:t>，账号：4500 1635 4100 5050 1922，开户行：中国建设银行股份有限公司桂林叠彩支行</w:t>
      </w:r>
      <w:bookmarkEnd w:id="109"/>
      <w:bookmarkEnd w:id="110"/>
    </w:p>
    <w:p w14:paraId="71992160">
      <w:pPr>
        <w:snapToGrid w:val="0"/>
        <w:spacing w:line="400" w:lineRule="exact"/>
        <w:ind w:left="-61" w:leftChars="-29" w:firstLine="517" w:firstLineChars="245"/>
        <w:outlineLvl w:val="0"/>
        <w:rPr>
          <w:rFonts w:ascii="Arial" w:hAnsi="Arial" w:cs="Arial"/>
          <w:b/>
          <w:color w:val="auto"/>
          <w:szCs w:val="21"/>
          <w:highlight w:val="none"/>
          <w:u w:val="single"/>
        </w:rPr>
      </w:pPr>
      <w:bookmarkStart w:id="111" w:name="_Toc25408"/>
      <w:bookmarkStart w:id="112" w:name="_Toc30605"/>
      <w:r>
        <w:rPr>
          <w:rFonts w:ascii="Arial" w:hAnsi="Arial" w:cs="Arial"/>
          <w:b/>
          <w:color w:val="auto"/>
          <w:szCs w:val="21"/>
          <w:highlight w:val="none"/>
        </w:rPr>
        <w:t>为确保本项目正常运转，乙方必须在合同签订前向甲方缴纳履约保证金。</w:t>
      </w:r>
      <w:r>
        <w:rPr>
          <w:rFonts w:ascii="Arial" w:hAnsi="Arial" w:cs="Arial"/>
          <w:color w:val="auto"/>
          <w:highlight w:val="none"/>
        </w:rPr>
        <w:t>履约保证金采用银行转账交纳方式的，</w:t>
      </w:r>
      <w:r>
        <w:rPr>
          <w:rFonts w:hint="eastAsia" w:ascii="Arial" w:hAnsi="Arial" w:cs="Arial"/>
          <w:color w:val="auto"/>
          <w:highlight w:val="none"/>
        </w:rPr>
        <w:t>乙方</w:t>
      </w:r>
      <w:r>
        <w:rPr>
          <w:rFonts w:ascii="Arial" w:hAnsi="Arial" w:cs="Arial"/>
          <w:color w:val="auto"/>
          <w:highlight w:val="none"/>
        </w:rPr>
        <w:t>在签订合同前交至</w:t>
      </w:r>
      <w:r>
        <w:rPr>
          <w:rFonts w:hint="eastAsia" w:ascii="Arial" w:hAnsi="Arial" w:cs="Arial"/>
          <w:color w:val="auto"/>
          <w:highlight w:val="none"/>
        </w:rPr>
        <w:t>甲方</w:t>
      </w:r>
      <w:r>
        <w:rPr>
          <w:rFonts w:ascii="Arial" w:hAnsi="Arial" w:cs="Arial"/>
          <w:color w:val="auto"/>
          <w:highlight w:val="none"/>
        </w:rPr>
        <w:t>指定账户并且到账</w:t>
      </w:r>
      <w:r>
        <w:rPr>
          <w:rFonts w:hint="eastAsia" w:ascii="Arial" w:hAnsi="Arial" w:cs="Arial"/>
          <w:color w:val="auto"/>
          <w:highlight w:val="none"/>
        </w:rPr>
        <w:t>；</w:t>
      </w:r>
      <w:r>
        <w:rPr>
          <w:rFonts w:ascii="Arial" w:hAnsi="Arial" w:cs="Arial"/>
          <w:color w:val="auto"/>
          <w:highlight w:val="none"/>
        </w:rPr>
        <w:t>履约保证金采用支票、汇票或本票交纳方式的，</w:t>
      </w:r>
      <w:r>
        <w:rPr>
          <w:rFonts w:hint="eastAsia" w:ascii="Arial" w:hAnsi="Arial" w:cs="Arial"/>
          <w:color w:val="auto"/>
          <w:highlight w:val="none"/>
        </w:rPr>
        <w:t>乙方</w:t>
      </w:r>
      <w:r>
        <w:rPr>
          <w:rFonts w:ascii="Arial" w:hAnsi="Arial" w:cs="Arial"/>
          <w:color w:val="auto"/>
          <w:highlight w:val="none"/>
        </w:rPr>
        <w:t>在签订合同前，向</w:t>
      </w:r>
      <w:r>
        <w:rPr>
          <w:rFonts w:hint="eastAsia" w:ascii="Arial" w:hAnsi="Arial" w:cs="Arial"/>
          <w:color w:val="auto"/>
          <w:highlight w:val="none"/>
        </w:rPr>
        <w:t>甲方</w:t>
      </w:r>
      <w:r>
        <w:rPr>
          <w:rFonts w:ascii="Arial" w:hAnsi="Arial" w:cs="Arial"/>
          <w:color w:val="auto"/>
          <w:highlight w:val="none"/>
        </w:rPr>
        <w:t>提交支票、汇票或本票原件</w:t>
      </w:r>
      <w:r>
        <w:rPr>
          <w:rFonts w:hint="eastAsia" w:ascii="Arial" w:hAnsi="Arial" w:cs="Arial"/>
          <w:color w:val="auto"/>
          <w:highlight w:val="none"/>
        </w:rPr>
        <w:t>；履约保证金采用银行、保险机构出具的保函交纳方式的，乙方在签订合同前，向甲方提交保函原件。</w:t>
      </w:r>
      <w:r>
        <w:rPr>
          <w:rFonts w:ascii="Arial" w:hAnsi="Arial" w:cs="Arial"/>
          <w:b/>
          <w:color w:val="auto"/>
          <w:szCs w:val="21"/>
          <w:highlight w:val="none"/>
        </w:rPr>
        <w:t>乙方不按双方签订的合同规定履约，则没收其全部履约保证金，履约保证金不足以赔偿损失的，按实际损失赔偿。履约保证金在乙方按约定的服务标准及合同规定履约完毕并无其他违约情况的，甲方于1个月内将履约保证金以银行转账方式如数退还（无息）。</w:t>
      </w:r>
      <w:bookmarkEnd w:id="111"/>
      <w:bookmarkEnd w:id="112"/>
    </w:p>
    <w:p w14:paraId="745FADDE">
      <w:pPr>
        <w:snapToGrid w:val="0"/>
        <w:spacing w:line="400" w:lineRule="exact"/>
        <w:ind w:left="-61" w:leftChars="-29" w:firstLine="517" w:firstLineChars="245"/>
        <w:outlineLvl w:val="0"/>
        <w:rPr>
          <w:rFonts w:ascii="Arial" w:hAnsi="Arial" w:cs="Arial"/>
          <w:b/>
          <w:color w:val="auto"/>
          <w:szCs w:val="21"/>
          <w:highlight w:val="none"/>
        </w:rPr>
      </w:pPr>
      <w:bookmarkStart w:id="113" w:name="_Toc13560"/>
      <w:bookmarkStart w:id="114" w:name="_Toc11273"/>
      <w:bookmarkStart w:id="115" w:name="_Toc17891"/>
      <w:bookmarkStart w:id="116" w:name="_Toc948"/>
      <w:r>
        <w:rPr>
          <w:rFonts w:ascii="Arial" w:hAnsi="Arial" w:cs="Arial"/>
          <w:b/>
          <w:color w:val="auto"/>
          <w:szCs w:val="21"/>
          <w:highlight w:val="none"/>
        </w:rPr>
        <w:t>第</w:t>
      </w:r>
      <w:r>
        <w:rPr>
          <w:rFonts w:hint="eastAsia" w:ascii="Arial" w:hAnsi="Arial" w:cs="Arial"/>
          <w:b/>
          <w:color w:val="auto"/>
          <w:szCs w:val="21"/>
          <w:highlight w:val="none"/>
        </w:rPr>
        <w:t>九</w:t>
      </w:r>
      <w:r>
        <w:rPr>
          <w:rFonts w:ascii="Arial" w:hAnsi="Arial" w:cs="Arial"/>
          <w:b/>
          <w:color w:val="auto"/>
          <w:szCs w:val="21"/>
          <w:highlight w:val="none"/>
        </w:rPr>
        <w:t>条  税费本合同执行中相关的一切税费均由乙方负担。</w:t>
      </w:r>
      <w:bookmarkEnd w:id="113"/>
      <w:bookmarkEnd w:id="114"/>
      <w:bookmarkEnd w:id="115"/>
      <w:bookmarkEnd w:id="116"/>
    </w:p>
    <w:p w14:paraId="0719F097">
      <w:pPr>
        <w:pStyle w:val="27"/>
        <w:snapToGrid w:val="0"/>
        <w:spacing w:line="400" w:lineRule="exact"/>
        <w:ind w:firstLine="413" w:firstLineChars="196"/>
        <w:outlineLvl w:val="0"/>
        <w:rPr>
          <w:rFonts w:ascii="Arial" w:hAnsi="Arial" w:cs="Arial"/>
          <w:b/>
          <w:color w:val="auto"/>
          <w:highlight w:val="none"/>
        </w:rPr>
      </w:pPr>
      <w:bookmarkStart w:id="117" w:name="_Toc10649"/>
      <w:bookmarkStart w:id="118" w:name="_Toc757"/>
      <w:bookmarkStart w:id="119" w:name="_Toc4928"/>
      <w:bookmarkStart w:id="120" w:name="_Toc12000"/>
      <w:r>
        <w:rPr>
          <w:rFonts w:ascii="Arial" w:hAnsi="Arial" w:cs="Arial"/>
          <w:b/>
          <w:color w:val="auto"/>
          <w:highlight w:val="none"/>
        </w:rPr>
        <w:t>第</w:t>
      </w:r>
      <w:r>
        <w:rPr>
          <w:rFonts w:hint="eastAsia" w:ascii="Arial" w:hAnsi="Arial" w:cs="Arial"/>
          <w:b/>
          <w:color w:val="auto"/>
          <w:highlight w:val="none"/>
        </w:rPr>
        <w:t>十</w:t>
      </w:r>
      <w:r>
        <w:rPr>
          <w:rFonts w:ascii="Arial" w:hAnsi="Arial" w:cs="Arial"/>
          <w:b/>
          <w:color w:val="auto"/>
          <w:highlight w:val="none"/>
        </w:rPr>
        <w:t xml:space="preserve">条  </w:t>
      </w:r>
      <w:r>
        <w:rPr>
          <w:rFonts w:hint="eastAsia" w:ascii="Arial" w:hAnsi="Arial" w:cs="Arial"/>
          <w:b/>
          <w:color w:val="auto"/>
          <w:highlight w:val="none"/>
        </w:rPr>
        <w:t>交付及</w:t>
      </w:r>
      <w:r>
        <w:rPr>
          <w:rFonts w:ascii="Arial" w:hAnsi="Arial" w:cs="Arial"/>
          <w:b/>
          <w:color w:val="auto"/>
          <w:highlight w:val="none"/>
        </w:rPr>
        <w:t>验收</w:t>
      </w:r>
      <w:bookmarkEnd w:id="117"/>
      <w:bookmarkEnd w:id="118"/>
      <w:bookmarkEnd w:id="119"/>
      <w:bookmarkEnd w:id="120"/>
    </w:p>
    <w:p w14:paraId="1F8A7C9E">
      <w:pPr>
        <w:pStyle w:val="27"/>
        <w:snapToGrid w:val="0"/>
        <w:spacing w:line="400" w:lineRule="exact"/>
        <w:ind w:firstLine="420" w:firstLineChars="200"/>
        <w:rPr>
          <w:rFonts w:hint="eastAsia" w:ascii="Arial" w:hAnsi="Arial" w:cs="Arial"/>
          <w:color w:val="auto"/>
          <w:highlight w:val="none"/>
        </w:rPr>
      </w:pPr>
      <w:r>
        <w:rPr>
          <w:rFonts w:hint="eastAsia" w:ascii="Arial" w:hAnsi="Arial" w:cs="Arial"/>
          <w:color w:val="auto"/>
          <w:highlight w:val="none"/>
        </w:rPr>
        <w:t>1.服务期限：    年   月   日起至   年  月  日，服务地点：</w:t>
      </w:r>
      <w:r>
        <w:rPr>
          <w:rFonts w:hint="eastAsia" w:ascii="Arial" w:hAnsi="Arial" w:cs="Arial"/>
          <w:color w:val="auto"/>
          <w:highlight w:val="none"/>
          <w:u w:val="single"/>
        </w:rPr>
        <w:t xml:space="preserve">          </w:t>
      </w:r>
      <w:r>
        <w:rPr>
          <w:rFonts w:hint="eastAsia" w:ascii="Arial" w:hAnsi="Arial" w:cs="Arial"/>
          <w:color w:val="auto"/>
          <w:highlight w:val="none"/>
        </w:rPr>
        <w:t>。</w:t>
      </w:r>
    </w:p>
    <w:p w14:paraId="7006645C">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2.乙方应按投标文件的承诺向甲方提供相应的服务，并提供所服务内容的相关技术资料。</w:t>
      </w:r>
    </w:p>
    <w:p w14:paraId="35119CFD">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3.乙方提供不符合投标文件和本合同规定的服务成果，甲方有权拒绝接受。</w:t>
      </w:r>
    </w:p>
    <w:p w14:paraId="3CB77FBC">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28864B99">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5.甲乙双方应按照《广西壮族自治区政府采购项目履约验收管理办法》、双方合同、投标文件验收。</w:t>
      </w:r>
    </w:p>
    <w:p w14:paraId="607994BB">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6.甲方在初步验收或者最终验收过程中如发现乙方提供的服务成果不满足招标文件、投标文件及本合同规定的，可暂缓向乙方付款，直到乙方及时完善并提交相应的服务成果且经甲方验收合格后，方可办理付款。</w:t>
      </w:r>
    </w:p>
    <w:p w14:paraId="5C760B01">
      <w:pPr>
        <w:snapToGrid w:val="0"/>
        <w:spacing w:line="400" w:lineRule="exact"/>
        <w:ind w:firstLine="420" w:firstLineChars="200"/>
        <w:rPr>
          <w:rFonts w:ascii="Arial" w:hAnsi="Arial" w:cs="Arial"/>
          <w:color w:val="auto"/>
          <w:szCs w:val="21"/>
          <w:highlight w:val="none"/>
        </w:rPr>
      </w:pPr>
      <w:r>
        <w:rPr>
          <w:rFonts w:hint="eastAsia" w:ascii="Arial" w:hAnsi="Arial" w:cs="Arial"/>
          <w:color w:val="auto"/>
          <w:szCs w:val="21"/>
          <w:highlight w:val="none"/>
        </w:rPr>
        <w:t>7.甲方验收时以书面形式提出异议的，乙方应自收到甲方书面异议后五个工作日内及时予以解决，否则甲方有权不出具服务验收合格单。</w:t>
      </w:r>
    </w:p>
    <w:p w14:paraId="7B36D895">
      <w:pPr>
        <w:snapToGrid w:val="0"/>
        <w:spacing w:line="400" w:lineRule="exact"/>
        <w:ind w:firstLine="422" w:firstLineChars="200"/>
        <w:outlineLvl w:val="0"/>
        <w:rPr>
          <w:rFonts w:ascii="Arial" w:hAnsi="Arial" w:cs="Arial"/>
          <w:b/>
          <w:color w:val="auto"/>
          <w:szCs w:val="21"/>
          <w:highlight w:val="none"/>
        </w:rPr>
      </w:pPr>
      <w:bookmarkStart w:id="121" w:name="_Toc25528"/>
      <w:bookmarkStart w:id="122" w:name="_Toc22962"/>
      <w:bookmarkStart w:id="123" w:name="_Toc22152"/>
      <w:bookmarkStart w:id="124" w:name="_Toc8675"/>
      <w:r>
        <w:rPr>
          <w:rFonts w:hint="eastAsia" w:ascii="Arial" w:hAnsi="Arial" w:cs="Arial"/>
          <w:b/>
          <w:color w:val="auto"/>
          <w:szCs w:val="21"/>
          <w:highlight w:val="none"/>
        </w:rPr>
        <w:t>第十一条 双方的权利与义务</w:t>
      </w:r>
      <w:bookmarkEnd w:id="121"/>
      <w:bookmarkEnd w:id="122"/>
    </w:p>
    <w:p w14:paraId="20C56185">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（一）甲方的权利义务</w:t>
      </w:r>
    </w:p>
    <w:p w14:paraId="5EEE8642">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1、甲方负责组织医生开检验单，组织护士采血，收集检验标本，并对标本来源的合法性、准确性和完整性负责，确保样本信息与检验申请单的信息相符。甲方未履行上述职责导致乙方出具的检验报告出现相应错误或检验报告与患者不符的责任由甲方承担。</w:t>
      </w:r>
    </w:p>
    <w:p w14:paraId="21464823">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2、甲方负责组织医务人员按照乙方提供的《诊断项目总汇》和《样本采集手册》(以乙方提供的最新版本为准)中的要求和规定同乙方进行检验委托服务。</w:t>
      </w:r>
    </w:p>
    <w:p w14:paraId="3E42C75D">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3、甲方应按乙方所提供《诊断项目总汇》和《样本采集手册》(均以乙方提供的最新版本为准)内容所列的方法和方式正确填写申请单信息、标本采集、处理和保存送检样本，并应尽到告知其委托方(如患者)相关检验项目的风险义务。</w:t>
      </w:r>
    </w:p>
    <w:p w14:paraId="5F3C1340">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4、甲方工作人员应与乙方工作人员在以下环节进行签字确认：标本交接、申请单交接、知情同意</w:t>
      </w:r>
    </w:p>
    <w:p w14:paraId="26AB422F">
      <w:pPr>
        <w:snapToGrid w:val="0"/>
        <w:spacing w:line="400" w:lineRule="exact"/>
        <w:rPr>
          <w:rFonts w:hint="eastAsia" w:ascii="Arial" w:hAnsi="Arial" w:cs="Arial"/>
          <w:color w:val="auto"/>
          <w:szCs w:val="21"/>
          <w:highlight w:val="none"/>
        </w:rPr>
      </w:pPr>
      <w:r>
        <w:rPr>
          <w:rFonts w:hint="eastAsia" w:ascii="Arial" w:hAnsi="Arial" w:cs="Arial"/>
          <w:color w:val="auto"/>
          <w:szCs w:val="21"/>
          <w:highlight w:val="none"/>
        </w:rPr>
        <w:t>书交接、耗材交接、特殊物品回执交接、其他物品交接、纸质报告单交接、结算票据、发票签收回执的交接。</w:t>
      </w:r>
    </w:p>
    <w:p w14:paraId="32F67DCE">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5、甲方对在合同有效期内从乙方知悉的关于乙方的经营信息、检验技术信息等一切非公开的保密</w:t>
      </w:r>
    </w:p>
    <w:p w14:paraId="0CD9798D">
      <w:pPr>
        <w:snapToGrid w:val="0"/>
        <w:spacing w:line="400" w:lineRule="exact"/>
        <w:rPr>
          <w:rFonts w:hint="eastAsia" w:ascii="Arial" w:hAnsi="Arial" w:cs="Arial"/>
          <w:color w:val="auto"/>
          <w:szCs w:val="21"/>
          <w:highlight w:val="none"/>
        </w:rPr>
      </w:pPr>
      <w:r>
        <w:rPr>
          <w:rFonts w:hint="eastAsia" w:ascii="Arial" w:hAnsi="Arial" w:cs="Arial"/>
          <w:color w:val="auto"/>
          <w:szCs w:val="21"/>
          <w:highlight w:val="none"/>
        </w:rPr>
        <w:t>信息负有保密义务。未经乙方书面同意，甲方不得将上述信息泄露给任何第三方。</w:t>
      </w:r>
    </w:p>
    <w:p w14:paraId="419FE79D">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6、在甲方向乙方交付检验申请单后乙方样本未上机检测之前，甲方口头向乙方申请变更检验内容(如增加检验项目或变更检验项目)的，甲方应在口头申请后5 日内以书面形式向乙方补充提供变更后的检验申请单原件、传真件或扫描件，乙方按照变更后的检验项目进行检验及收取检验服务费；乙方出具检验报告单的时限从乙方收到甲方的口头变更检验项目申请之日起重新计算，甲方未在上述约定时间内通过书面形式补充提供变更后的检验申请单的，乙方出具检验报告单时限可以顺延。</w:t>
      </w:r>
    </w:p>
    <w:p w14:paraId="6F2D3E2D">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7、甲方委托乙方对大量(</w:t>
      </w:r>
      <w:r>
        <w:rPr>
          <w:rFonts w:hint="eastAsia" w:ascii="Arial" w:hAnsi="Arial" w:cs="Arial"/>
          <w:color w:val="auto"/>
          <w:szCs w:val="21"/>
          <w:highlight w:val="none"/>
          <w:u w:val="single"/>
        </w:rPr>
        <w:t xml:space="preserve">   </w:t>
      </w:r>
      <w:r>
        <w:rPr>
          <w:rFonts w:hint="eastAsia" w:ascii="Arial" w:hAnsi="Arial" w:cs="Arial"/>
          <w:color w:val="auto"/>
          <w:szCs w:val="21"/>
          <w:highlight w:val="none"/>
        </w:rPr>
        <w:t xml:space="preserve"> 例以上)体检项目标本和科研项目标本进行检验的，需提前3天书面或口头通知乙方，以便乙方提前做好检验准备，否则，乙方出具报告的时间将延长。</w:t>
      </w:r>
    </w:p>
    <w:p w14:paraId="4E7D5B17">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8、甲方应配合支持乙方系统与甲方引进的精准检测公共平台系统对接，涉及的具体内容如有必要双方再另行签署相关协议，甲乙双方保证其使用的系统未侵犯任何第三方的合法权益并承担相应的责任。</w:t>
      </w:r>
    </w:p>
    <w:p w14:paraId="2ADA86A2">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9、乙方定期或不定期以(包括不限于)电子邮件或快递等任一形式发送对账单到甲方指定地址及联系人，甲方指定联系人发生变动时，应主动告知乙方。甲方应在5 日内以相同形式回复。</w:t>
      </w:r>
    </w:p>
    <w:p w14:paraId="37C10AD3">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10、若特殊检验、病理诊断项目涉及需要受检者知情同意的，原则上应使用乙方的知情同意书模版。若甲方要求使用非乙方知情同意书模版的，甲方承诺其已使用符合医学伦理要求的知情同意书向受检者进行知情同意，否则由甲方承担过错责任。</w:t>
      </w:r>
    </w:p>
    <w:p w14:paraId="66246D64">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11、甲方应按合同约定及时向乙方支付服务费用。</w:t>
      </w:r>
    </w:p>
    <w:p w14:paraId="3C22FBFD">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12、法律、法规、政策规定的其他权利、义务。</w:t>
      </w:r>
    </w:p>
    <w:p w14:paraId="7C912FD5">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（二）乙方的权利义务</w:t>
      </w:r>
    </w:p>
    <w:p w14:paraId="31FF9279">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1、乙方应按招标文件、投标文件和承诺规定的服务内容向甲方提供相应服务。</w:t>
      </w:r>
    </w:p>
    <w:p w14:paraId="64D70C43">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2、甲方按乙方《诊断项目总汇》、《采样手册》（包括其修改版，作为附件并视为本合同不可分割的部分），上所述各项目的要求，包括样品的状态、数量及检验方法的说明，进行采集样本，并应将病人的常规个人资料、临床诊断、医生和院方必要信息、特殊要求在申请单上填明。</w:t>
      </w:r>
    </w:p>
    <w:p w14:paraId="14FAB25C">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3、乙方保证按国家检验规范进行操作，并对标本的检验报告承担相应的责任。非因乙方原因导致检验报告错误的，乙方不承担责任。</w:t>
      </w:r>
    </w:p>
    <w:p w14:paraId="35E1B915">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4、乙方有为甲方保密的义务，在未经甲方同意或授权前提下，乙方不得向甲方及以外的任何单位或个人泄露甲方委托检验的项目、检验的内容、检验的结果，但受检者及其授权代理人查询、咨询其检验项目事宜的除外。</w:t>
      </w:r>
    </w:p>
    <w:p w14:paraId="7B345171">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5、乙方如需召回检验报告的，可通过电话、邮寄、传真、电子邮件、当面告知等任一方式通知甲</w:t>
      </w:r>
    </w:p>
    <w:p w14:paraId="22495BD9">
      <w:pPr>
        <w:snapToGrid w:val="0"/>
        <w:spacing w:line="400" w:lineRule="exact"/>
        <w:rPr>
          <w:rFonts w:hint="eastAsia" w:ascii="Arial" w:hAnsi="Arial" w:cs="Arial"/>
          <w:color w:val="auto"/>
          <w:szCs w:val="21"/>
          <w:highlight w:val="none"/>
        </w:rPr>
      </w:pPr>
      <w:r>
        <w:rPr>
          <w:rFonts w:hint="eastAsia" w:ascii="Arial" w:hAnsi="Arial" w:cs="Arial"/>
          <w:color w:val="auto"/>
          <w:szCs w:val="21"/>
          <w:highlight w:val="none"/>
        </w:rPr>
        <w:t>方召回检验报告，并通过上述形式提供新的检验报告。甲方应在收到最新检验报告单后及时变更检验报告内容，并告知受检者，否则应承担相应的责任。</w:t>
      </w:r>
    </w:p>
    <w:p w14:paraId="188AD4D2">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6、甲乙双方应按危急值报告制度共同管理，出现危急值时，乙方应以电话、短信、邮箱等任一形</w:t>
      </w:r>
    </w:p>
    <w:p w14:paraId="173F7B9F">
      <w:pPr>
        <w:snapToGrid w:val="0"/>
        <w:spacing w:line="400" w:lineRule="exact"/>
        <w:rPr>
          <w:rFonts w:hint="eastAsia" w:ascii="Arial" w:hAnsi="Arial" w:cs="Arial"/>
          <w:color w:val="auto"/>
          <w:szCs w:val="21"/>
          <w:highlight w:val="none"/>
        </w:rPr>
      </w:pPr>
      <w:r>
        <w:rPr>
          <w:rFonts w:hint="eastAsia" w:ascii="Arial" w:hAnsi="Arial" w:cs="Arial"/>
          <w:color w:val="auto"/>
          <w:szCs w:val="21"/>
          <w:highlight w:val="none"/>
        </w:rPr>
        <w:t>式发送至甲方指定的联系方式并确认甲方已收到信息，即完成通知义务，甲方应按流程规定立即通知临床科室及相关医师。甲方联系方式发生变更的，应当提前天书面告知乙方，乙方接到书面变更通知后，按变更后的方式执行。</w:t>
      </w:r>
    </w:p>
    <w:p w14:paraId="634BC7A9">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7、剩余标本(如有)由乙方依据相关法律法规及规定保存、处置，甲方如对检测结果有异议的，应</w:t>
      </w:r>
    </w:p>
    <w:p w14:paraId="35B22BC6">
      <w:pPr>
        <w:snapToGrid w:val="0"/>
        <w:spacing w:line="400" w:lineRule="exact"/>
        <w:rPr>
          <w:rFonts w:hint="eastAsia" w:ascii="Arial" w:hAnsi="Arial" w:cs="Arial"/>
          <w:color w:val="auto"/>
          <w:szCs w:val="21"/>
          <w:highlight w:val="none"/>
        </w:rPr>
      </w:pPr>
      <w:r>
        <w:rPr>
          <w:rFonts w:hint="eastAsia" w:ascii="Arial" w:hAnsi="Arial" w:cs="Arial"/>
          <w:color w:val="auto"/>
          <w:szCs w:val="21"/>
          <w:highlight w:val="none"/>
        </w:rPr>
        <w:t>在标本保存期限内提出，否则，视为甲方对乙方出具的检测结果无异议。</w:t>
      </w:r>
    </w:p>
    <w:p w14:paraId="22997A71">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8、乙方对检验结果的质量问题负全部责任。</w:t>
      </w:r>
    </w:p>
    <w:p w14:paraId="34AC61EA">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9、乙方应当在检验项目发生变化或价格发生变化时向甲方提供更改清单。清单详细列出检验项目、检测内容、检测方法、检验标本和价格等更改的内容。</w:t>
      </w:r>
    </w:p>
    <w:p w14:paraId="2CC86641">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10、甲方送检的所有标本，除甲方明确委托的检测项目外，乙方不得将该标本用于其它项目检测或用途。</w:t>
      </w:r>
    </w:p>
    <w:p w14:paraId="2E4F4A21">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11、甲方的所有送检标本最终由乙方按临床检验常规管理规范进行销毁，特殊情况应严格按照《中</w:t>
      </w:r>
    </w:p>
    <w:p w14:paraId="7C8F36AD">
      <w:pPr>
        <w:snapToGrid w:val="0"/>
        <w:spacing w:line="400" w:lineRule="exact"/>
        <w:rPr>
          <w:rFonts w:hint="eastAsia" w:ascii="Arial" w:hAnsi="Arial" w:cs="Arial"/>
          <w:color w:val="auto"/>
          <w:szCs w:val="21"/>
          <w:highlight w:val="none"/>
        </w:rPr>
      </w:pPr>
      <w:r>
        <w:rPr>
          <w:rFonts w:hint="eastAsia" w:ascii="Arial" w:hAnsi="Arial" w:cs="Arial"/>
          <w:color w:val="auto"/>
          <w:szCs w:val="21"/>
          <w:highlight w:val="none"/>
        </w:rPr>
        <w:t>华人民共和国人类遗传资源管理条例》相关规定执行。乙方保证对所有送检标本、检验结果及其它相关资料保密，如有泄露，责任由乙方承担。</w:t>
      </w:r>
    </w:p>
    <w:p w14:paraId="06438475">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12、乙方有权要求甲方按合同约定及时支付服务费用。</w:t>
      </w:r>
    </w:p>
    <w:p w14:paraId="0849F34E">
      <w:pPr>
        <w:snapToGrid w:val="0"/>
        <w:spacing w:line="400" w:lineRule="exact"/>
        <w:ind w:firstLine="420" w:firstLineChars="200"/>
        <w:rPr>
          <w:rFonts w:hint="eastAsia" w:ascii="Arial" w:hAnsi="Arial" w:cs="Arial"/>
          <w:color w:val="auto"/>
          <w:szCs w:val="21"/>
          <w:highlight w:val="none"/>
        </w:rPr>
      </w:pPr>
      <w:r>
        <w:rPr>
          <w:rFonts w:hint="eastAsia" w:ascii="Arial" w:hAnsi="Arial" w:cs="Arial"/>
          <w:color w:val="auto"/>
          <w:szCs w:val="21"/>
          <w:highlight w:val="none"/>
        </w:rPr>
        <w:t>13、法律、法规、政策规定的其他权利、义务。</w:t>
      </w:r>
    </w:p>
    <w:p w14:paraId="1C3797B5">
      <w:pPr>
        <w:snapToGrid w:val="0"/>
        <w:spacing w:line="400" w:lineRule="exact"/>
        <w:ind w:firstLine="422" w:firstLineChars="200"/>
        <w:outlineLvl w:val="0"/>
        <w:rPr>
          <w:rFonts w:ascii="Arial" w:hAnsi="Arial" w:cs="Arial"/>
          <w:b/>
          <w:color w:val="auto"/>
          <w:szCs w:val="21"/>
          <w:highlight w:val="none"/>
        </w:rPr>
      </w:pPr>
      <w:bookmarkStart w:id="125" w:name="_Toc22794"/>
      <w:bookmarkStart w:id="126" w:name="_Toc20038"/>
      <w:r>
        <w:rPr>
          <w:rFonts w:ascii="Arial" w:hAnsi="Arial" w:cs="Arial"/>
          <w:b/>
          <w:color w:val="auto"/>
          <w:szCs w:val="21"/>
          <w:highlight w:val="none"/>
        </w:rPr>
        <w:t>第</w:t>
      </w:r>
      <w:r>
        <w:rPr>
          <w:rFonts w:hint="eastAsia" w:ascii="Arial" w:hAnsi="Arial" w:cs="Arial"/>
          <w:b/>
          <w:color w:val="auto"/>
          <w:szCs w:val="21"/>
          <w:highlight w:val="none"/>
        </w:rPr>
        <w:t>十二</w:t>
      </w:r>
      <w:r>
        <w:rPr>
          <w:rFonts w:ascii="Arial" w:hAnsi="Arial" w:cs="Arial"/>
          <w:b/>
          <w:color w:val="auto"/>
          <w:szCs w:val="21"/>
          <w:highlight w:val="none"/>
        </w:rPr>
        <w:t>条　违约责任</w:t>
      </w:r>
      <w:bookmarkEnd w:id="123"/>
      <w:bookmarkEnd w:id="124"/>
      <w:bookmarkEnd w:id="125"/>
      <w:bookmarkEnd w:id="126"/>
    </w:p>
    <w:p w14:paraId="3D1757C7">
      <w:pPr>
        <w:pStyle w:val="27"/>
        <w:snapToGrid w:val="0"/>
        <w:spacing w:line="400" w:lineRule="exact"/>
        <w:ind w:firstLine="420" w:firstLineChars="200"/>
        <w:rPr>
          <w:rFonts w:hint="eastAsia" w:ascii="Arial" w:hAnsi="Arial" w:cs="Arial"/>
          <w:color w:val="auto"/>
          <w:highlight w:val="none"/>
        </w:rPr>
      </w:pPr>
      <w:bookmarkStart w:id="127" w:name="_Toc21588"/>
      <w:r>
        <w:rPr>
          <w:rFonts w:hint="eastAsia" w:ascii="Arial" w:hAnsi="Arial" w:cs="Arial"/>
          <w:color w:val="auto"/>
          <w:highlight w:val="none"/>
        </w:rPr>
        <w:t>1、乙方所提供的服务质量不合格的，应及时调整，调整不及时造成甲方经济损失的由乙方承担。累计发生</w:t>
      </w:r>
      <w:r>
        <w:rPr>
          <w:rFonts w:hint="eastAsia" w:ascii="Arial" w:hAnsi="Arial" w:cs="Arial"/>
          <w:color w:val="auto"/>
          <w:highlight w:val="none"/>
          <w:lang w:val="en-US" w:eastAsia="zh-CN"/>
        </w:rPr>
        <w:t>3</w:t>
      </w:r>
      <w:r>
        <w:rPr>
          <w:rFonts w:hint="eastAsia" w:ascii="Arial" w:hAnsi="Arial" w:cs="Arial"/>
          <w:color w:val="auto"/>
          <w:highlight w:val="none"/>
        </w:rPr>
        <w:t>次或造成损失达</w:t>
      </w:r>
      <w:r>
        <w:rPr>
          <w:rFonts w:hint="eastAsia" w:ascii="Arial" w:hAnsi="Arial" w:cs="Arial"/>
          <w:color w:val="auto"/>
          <w:highlight w:val="none"/>
          <w:lang w:val="en-US" w:eastAsia="zh-CN"/>
        </w:rPr>
        <w:t>50000</w:t>
      </w:r>
      <w:r>
        <w:rPr>
          <w:rFonts w:hint="eastAsia" w:ascii="Arial" w:hAnsi="Arial" w:cs="Arial"/>
          <w:color w:val="auto"/>
          <w:highlight w:val="none"/>
        </w:rPr>
        <w:t>元，甲方有权解除合同，乙方应向甲方支付违约金</w:t>
      </w:r>
      <w:r>
        <w:rPr>
          <w:rFonts w:hint="eastAsia" w:ascii="Arial" w:hAnsi="Arial" w:cs="Arial"/>
          <w:color w:val="auto"/>
          <w:highlight w:val="none"/>
          <w:lang w:val="en-US" w:eastAsia="zh-CN"/>
        </w:rPr>
        <w:t>100000元</w:t>
      </w:r>
      <w:r>
        <w:rPr>
          <w:rFonts w:hint="eastAsia" w:ascii="Arial" w:hAnsi="Arial" w:cs="Arial"/>
          <w:color w:val="auto"/>
          <w:highlight w:val="none"/>
        </w:rPr>
        <w:t>并赔偿甲方全部损失。</w:t>
      </w:r>
    </w:p>
    <w:p w14:paraId="6DE45035">
      <w:pPr>
        <w:pStyle w:val="27"/>
        <w:snapToGrid w:val="0"/>
        <w:spacing w:line="400" w:lineRule="exact"/>
        <w:ind w:firstLine="420" w:firstLineChars="200"/>
        <w:rPr>
          <w:rFonts w:hint="eastAsia" w:ascii="Arial" w:hAnsi="Arial" w:cs="Arial"/>
          <w:color w:val="auto"/>
          <w:highlight w:val="none"/>
        </w:rPr>
      </w:pPr>
      <w:r>
        <w:rPr>
          <w:rFonts w:hint="eastAsia" w:ascii="Arial" w:hAnsi="Arial" w:cs="Arial"/>
          <w:color w:val="auto"/>
          <w:highlight w:val="none"/>
        </w:rPr>
        <w:t>2、甲方延期付款的，每延期一天向乙方偿付延期款额</w:t>
      </w:r>
      <w:r>
        <w:rPr>
          <w:rFonts w:hint="eastAsia" w:ascii="Arial" w:hAnsi="Arial" w:cs="Arial"/>
          <w:color w:val="auto"/>
          <w:highlight w:val="none"/>
          <w:lang w:val="en-US" w:eastAsia="zh-CN"/>
        </w:rPr>
        <w:t>1</w:t>
      </w:r>
      <w:r>
        <w:rPr>
          <w:rFonts w:hint="eastAsia" w:ascii="Arial" w:hAnsi="Arial" w:cs="Arial"/>
          <w:color w:val="auto"/>
          <w:highlight w:val="none"/>
        </w:rPr>
        <w:t>‰滞纳金，但滞纳金累计不得超过延期款额</w:t>
      </w:r>
      <w:r>
        <w:rPr>
          <w:rFonts w:hint="eastAsia" w:ascii="Arial" w:hAnsi="Arial" w:cs="Arial"/>
          <w:color w:val="auto"/>
          <w:highlight w:val="none"/>
          <w:lang w:val="en-US" w:eastAsia="zh-CN"/>
        </w:rPr>
        <w:t>3</w:t>
      </w:r>
      <w:r>
        <w:rPr>
          <w:rFonts w:hint="eastAsia" w:ascii="Arial" w:hAnsi="Arial" w:cs="Arial"/>
          <w:color w:val="auto"/>
          <w:highlight w:val="none"/>
        </w:rPr>
        <w:t>%。同时，乙方有权中止合同，造成的全部损失由甲方承担。</w:t>
      </w:r>
    </w:p>
    <w:p w14:paraId="614EDBDE">
      <w:pPr>
        <w:pStyle w:val="27"/>
        <w:snapToGrid w:val="0"/>
        <w:spacing w:line="400" w:lineRule="exact"/>
        <w:ind w:firstLine="420" w:firstLineChars="200"/>
        <w:rPr>
          <w:rFonts w:hint="eastAsia" w:ascii="Arial" w:hAnsi="Arial" w:cs="Arial"/>
          <w:color w:val="auto"/>
          <w:highlight w:val="none"/>
        </w:rPr>
      </w:pPr>
      <w:r>
        <w:rPr>
          <w:rFonts w:hint="eastAsia" w:ascii="Arial" w:hAnsi="Arial" w:cs="Arial"/>
          <w:color w:val="auto"/>
          <w:highlight w:val="none"/>
        </w:rPr>
        <w:t>3、乙方提供的服务如果侵犯了第三方合法权益而引发的任何纠纷或诉讼，均由乙方负责交涉并承担全部责任。累计发生</w:t>
      </w:r>
      <w:r>
        <w:rPr>
          <w:rFonts w:hint="eastAsia" w:ascii="Arial" w:hAnsi="Arial" w:cs="Arial"/>
          <w:color w:val="auto"/>
          <w:highlight w:val="none"/>
          <w:lang w:val="en-US" w:eastAsia="zh-CN"/>
        </w:rPr>
        <w:t>3</w:t>
      </w:r>
      <w:r>
        <w:rPr>
          <w:rFonts w:hint="eastAsia" w:ascii="Arial" w:hAnsi="Arial" w:cs="Arial"/>
          <w:color w:val="auto"/>
          <w:highlight w:val="none"/>
        </w:rPr>
        <w:t>次或导致甲方被追索主张责任的，甲方有权解除合同，乙方应向甲方支付违约金</w:t>
      </w:r>
      <w:r>
        <w:rPr>
          <w:rFonts w:hint="eastAsia" w:ascii="Arial" w:hAnsi="Arial" w:cs="Arial"/>
          <w:color w:val="auto"/>
          <w:highlight w:val="none"/>
          <w:lang w:val="en-US" w:eastAsia="zh-CN"/>
        </w:rPr>
        <w:t>100000元</w:t>
      </w:r>
      <w:r>
        <w:rPr>
          <w:rFonts w:hint="eastAsia" w:ascii="Arial" w:hAnsi="Arial" w:cs="Arial"/>
          <w:color w:val="auto"/>
          <w:highlight w:val="none"/>
        </w:rPr>
        <w:t>并赔偿甲方全部损失。</w:t>
      </w:r>
    </w:p>
    <w:p w14:paraId="2C853E24">
      <w:pPr>
        <w:pStyle w:val="27"/>
        <w:snapToGrid w:val="0"/>
        <w:spacing w:line="400" w:lineRule="exact"/>
        <w:ind w:firstLine="420" w:firstLineChars="200"/>
        <w:rPr>
          <w:rFonts w:hint="eastAsia" w:ascii="Arial" w:hAnsi="Arial" w:cs="Arial"/>
          <w:color w:val="auto"/>
          <w:highlight w:val="none"/>
        </w:rPr>
      </w:pPr>
      <w:r>
        <w:rPr>
          <w:rFonts w:hint="eastAsia" w:ascii="Arial" w:hAnsi="Arial" w:cs="Arial"/>
          <w:color w:val="auto"/>
          <w:highlight w:val="none"/>
        </w:rPr>
        <w:t>4、因乙方原因导致血样等标本损坏、损失、丢失的，乙方应承担相应的法律责任</w:t>
      </w:r>
      <w:r>
        <w:rPr>
          <w:rFonts w:hint="eastAsia" w:ascii="Arial" w:hAnsi="Arial" w:cs="Arial"/>
          <w:color w:val="auto"/>
          <w:highlight w:val="none"/>
          <w:lang w:eastAsia="zh-CN"/>
        </w:rPr>
        <w:t>，每发生一次，乙方应向甲方支付违约金</w:t>
      </w:r>
      <w:r>
        <w:rPr>
          <w:rFonts w:hint="eastAsia" w:ascii="Arial" w:hAnsi="Arial" w:cs="Arial"/>
          <w:color w:val="auto"/>
          <w:highlight w:val="none"/>
          <w:lang w:val="en-US" w:eastAsia="zh-CN"/>
        </w:rPr>
        <w:t>20000元</w:t>
      </w:r>
      <w:r>
        <w:rPr>
          <w:rFonts w:hint="eastAsia" w:ascii="Arial" w:hAnsi="Arial" w:cs="Arial"/>
          <w:color w:val="auto"/>
          <w:highlight w:val="none"/>
        </w:rPr>
        <w:t>；乙方未按合同约定提供服务的，甲方有权书面督促乙方整改，乙方应在收到甲方书面通知之日起七日内给予书面答复并进行整改，逾期未整改或整改不合格的，甲方有权无条件解除合同，造成的全部损失由乙方承担。乙方应向甲方支付违约金</w:t>
      </w:r>
      <w:r>
        <w:rPr>
          <w:rFonts w:hint="eastAsia" w:ascii="Arial" w:hAnsi="Arial" w:cs="Arial"/>
          <w:color w:val="auto"/>
          <w:highlight w:val="none"/>
          <w:lang w:val="en-US" w:eastAsia="zh-CN"/>
        </w:rPr>
        <w:t>100000元</w:t>
      </w:r>
      <w:r>
        <w:rPr>
          <w:rFonts w:hint="eastAsia" w:ascii="Arial" w:hAnsi="Arial" w:cs="Arial"/>
          <w:color w:val="auto"/>
          <w:highlight w:val="none"/>
        </w:rPr>
        <w:t>并赔偿甲方全部损失。</w:t>
      </w:r>
    </w:p>
    <w:p w14:paraId="1A4FD18B">
      <w:pPr>
        <w:pStyle w:val="27"/>
        <w:snapToGrid w:val="0"/>
        <w:spacing w:line="400" w:lineRule="exact"/>
        <w:ind w:firstLine="420" w:firstLineChars="200"/>
        <w:rPr>
          <w:rFonts w:hint="eastAsia" w:ascii="Arial" w:hAnsi="Arial" w:cs="Arial"/>
          <w:color w:val="auto"/>
          <w:highlight w:val="none"/>
          <w:lang w:val="en-US" w:eastAsia="zh-CN"/>
        </w:rPr>
      </w:pPr>
      <w:r>
        <w:rPr>
          <w:rFonts w:hint="eastAsia" w:ascii="Arial" w:hAnsi="Arial" w:cs="Arial"/>
          <w:color w:val="auto"/>
          <w:highlight w:val="none"/>
          <w:lang w:val="en-US" w:eastAsia="zh-CN"/>
        </w:rPr>
        <w:t>5、乙方擅自将本合同项下义务全部或部分转让给第三方，甲方有权解除合同，乙方应向甲方支付违约金100000元，并赔偿甲方全部损失。</w:t>
      </w:r>
    </w:p>
    <w:p w14:paraId="43347471">
      <w:pPr>
        <w:pStyle w:val="27"/>
        <w:snapToGrid w:val="0"/>
        <w:spacing w:line="400" w:lineRule="exact"/>
        <w:ind w:firstLine="420" w:firstLineChars="200"/>
        <w:rPr>
          <w:rFonts w:hint="eastAsia" w:ascii="Arial" w:hAnsi="Arial" w:eastAsia="宋体" w:cs="Arial"/>
          <w:color w:val="auto"/>
          <w:highlight w:val="none"/>
          <w:lang w:val="en-US" w:eastAsia="zh-CN"/>
        </w:rPr>
      </w:pPr>
      <w:r>
        <w:rPr>
          <w:rFonts w:hint="eastAsia" w:ascii="Arial" w:hAnsi="Arial" w:cs="Arial"/>
          <w:color w:val="auto"/>
          <w:highlight w:val="none"/>
          <w:lang w:val="en-US" w:eastAsia="zh-CN"/>
        </w:rPr>
        <w:t>乙方泄露因本合同而获悉的甲方非公开信息的，每发生一次，乙方应向甲方支付违约金5000元，累计发生2次或造成甲方损失超过50000元或严重损害甲方声誉的，甲方有权解除合同，乙方应向甲方支付违约金100000元，并赔偿甲方全部损失。</w:t>
      </w:r>
    </w:p>
    <w:p w14:paraId="5A3E2F4A">
      <w:pPr>
        <w:pStyle w:val="27"/>
        <w:numPr>
          <w:ilvl w:val="0"/>
          <w:numId w:val="4"/>
        </w:numPr>
        <w:snapToGrid w:val="0"/>
        <w:spacing w:line="400" w:lineRule="exact"/>
        <w:ind w:firstLine="420" w:firstLineChars="200"/>
        <w:rPr>
          <w:rFonts w:hint="default" w:eastAsia="宋体"/>
          <w:color w:val="auto"/>
          <w:highlight w:val="none"/>
          <w:lang w:val="en-US" w:eastAsia="zh-CN"/>
        </w:rPr>
      </w:pPr>
      <w:r>
        <w:rPr>
          <w:rFonts w:hint="eastAsia" w:ascii="Arial" w:hAnsi="Arial" w:cs="Arial"/>
          <w:color w:val="auto"/>
          <w:highlight w:val="none"/>
        </w:rPr>
        <w:t>因甲方原因导致乙方不能按合同约定提供约定服务的，乙方有权要求甲方在一个月内解决，逾期未解决的，甲方应承担相应的责任；乙方有权无条件解除合同，造成的全部损失由甲方承担。</w:t>
      </w:r>
    </w:p>
    <w:p w14:paraId="3BB9052F">
      <w:pPr>
        <w:pStyle w:val="27"/>
        <w:snapToGrid w:val="0"/>
        <w:spacing w:line="400" w:lineRule="exact"/>
        <w:ind w:firstLine="420" w:firstLineChars="200"/>
        <w:rPr>
          <w:rFonts w:hint="eastAsia" w:ascii="Arial" w:hAnsi="Arial" w:cs="Arial"/>
          <w:color w:val="auto"/>
          <w:highlight w:val="none"/>
        </w:rPr>
      </w:pPr>
      <w:r>
        <w:rPr>
          <w:rFonts w:hint="eastAsia" w:ascii="Arial" w:hAnsi="Arial" w:cs="Arial"/>
          <w:color w:val="auto"/>
          <w:highlight w:val="none"/>
          <w:lang w:val="en-US" w:eastAsia="zh-CN"/>
        </w:rPr>
        <w:t>7、（1）</w:t>
      </w:r>
      <w:r>
        <w:rPr>
          <w:rFonts w:hint="eastAsia" w:ascii="Arial" w:hAnsi="Arial" w:cs="Arial"/>
          <w:color w:val="auto"/>
          <w:highlight w:val="none"/>
        </w:rPr>
        <w:t>若乙方未通过我院引进的第三方服务平台系统进行对接，擅自与患者私下交易，一经查实按该例金额扣其履约保证金</w:t>
      </w:r>
      <w:r>
        <w:rPr>
          <w:rFonts w:hint="eastAsia" w:ascii="Arial" w:hAnsi="Arial" w:cs="Arial"/>
          <w:color w:val="auto"/>
          <w:highlight w:val="none"/>
          <w:lang w:eastAsia="zh-CN"/>
        </w:rPr>
        <w:t>；（</w:t>
      </w:r>
      <w:r>
        <w:rPr>
          <w:rFonts w:hint="eastAsia" w:ascii="Arial" w:hAnsi="Arial" w:cs="Arial"/>
          <w:color w:val="auto"/>
          <w:highlight w:val="none"/>
          <w:lang w:val="en-US" w:eastAsia="zh-CN"/>
        </w:rPr>
        <w:t>2）</w:t>
      </w:r>
      <w:r>
        <w:rPr>
          <w:rFonts w:hint="eastAsia" w:ascii="Arial" w:hAnsi="Arial" w:cs="Arial"/>
          <w:color w:val="auto"/>
          <w:highlight w:val="none"/>
        </w:rPr>
        <w:t>若乙方虚假承诺，无法完成合同约定提供的任一项检测服务，甲方有权无条件解除合同并扣其全部履约保证金。</w:t>
      </w:r>
    </w:p>
    <w:p w14:paraId="6163C75C">
      <w:pPr>
        <w:pStyle w:val="27"/>
        <w:snapToGrid w:val="0"/>
        <w:spacing w:line="400" w:lineRule="exact"/>
        <w:ind w:firstLine="420" w:firstLineChars="200"/>
        <w:rPr>
          <w:rFonts w:ascii="Arial" w:hAnsi="Arial" w:cs="Arial"/>
          <w:color w:val="auto"/>
          <w:highlight w:val="none"/>
        </w:rPr>
      </w:pPr>
      <w:r>
        <w:rPr>
          <w:rFonts w:hint="eastAsia" w:ascii="Arial" w:hAnsi="Arial" w:cs="Arial"/>
          <w:color w:val="auto"/>
          <w:highlight w:val="none"/>
          <w:lang w:val="en-US" w:eastAsia="zh-CN"/>
        </w:rPr>
        <w:t>8、</w:t>
      </w:r>
      <w:r>
        <w:rPr>
          <w:rFonts w:hint="eastAsia" w:ascii="Arial" w:hAnsi="Arial" w:cs="Arial"/>
          <w:color w:val="auto"/>
          <w:highlight w:val="none"/>
        </w:rPr>
        <w:t>其他违约行为按违约款额3‰收取违约金并赔偿经济损失。</w:t>
      </w:r>
    </w:p>
    <w:p w14:paraId="061B7E99">
      <w:pPr>
        <w:pStyle w:val="27"/>
        <w:snapToGrid w:val="0"/>
        <w:spacing w:line="400" w:lineRule="exact"/>
        <w:ind w:firstLine="413" w:firstLineChars="196"/>
        <w:outlineLvl w:val="0"/>
        <w:rPr>
          <w:rFonts w:ascii="Arial" w:hAnsi="Arial" w:cs="Arial"/>
          <w:b/>
          <w:color w:val="auto"/>
          <w:highlight w:val="none"/>
        </w:rPr>
      </w:pPr>
      <w:bookmarkStart w:id="128" w:name="_Toc16199"/>
      <w:bookmarkStart w:id="129" w:name="_Toc3770"/>
      <w:bookmarkStart w:id="130" w:name="_Toc28621"/>
      <w:r>
        <w:rPr>
          <w:rFonts w:ascii="Arial" w:hAnsi="Arial" w:cs="Arial"/>
          <w:b/>
          <w:color w:val="auto"/>
          <w:highlight w:val="none"/>
        </w:rPr>
        <w:t>第</w:t>
      </w:r>
      <w:r>
        <w:rPr>
          <w:rFonts w:hint="eastAsia" w:ascii="Arial" w:hAnsi="Arial" w:cs="Arial"/>
          <w:b/>
          <w:color w:val="auto"/>
          <w:highlight w:val="none"/>
        </w:rPr>
        <w:t>十三</w:t>
      </w:r>
      <w:r>
        <w:rPr>
          <w:rFonts w:ascii="Arial" w:hAnsi="Arial" w:cs="Arial"/>
          <w:b/>
          <w:color w:val="auto"/>
          <w:highlight w:val="none"/>
        </w:rPr>
        <w:t>条 不可抗力事件处理</w:t>
      </w:r>
      <w:bookmarkEnd w:id="127"/>
      <w:bookmarkEnd w:id="128"/>
      <w:bookmarkEnd w:id="129"/>
      <w:bookmarkEnd w:id="130"/>
    </w:p>
    <w:p w14:paraId="3AC2A789">
      <w:pPr>
        <w:pStyle w:val="27"/>
        <w:snapToGrid w:val="0"/>
        <w:spacing w:line="400" w:lineRule="exact"/>
        <w:ind w:firstLine="420" w:firstLineChars="200"/>
        <w:rPr>
          <w:rFonts w:ascii="Arial" w:hAnsi="Arial" w:cs="Arial"/>
          <w:color w:val="auto"/>
          <w:highlight w:val="none"/>
        </w:rPr>
      </w:pPr>
      <w:r>
        <w:rPr>
          <w:rFonts w:ascii="Arial" w:hAnsi="Arial" w:cs="Arial"/>
          <w:color w:val="auto"/>
          <w:highlight w:val="none"/>
        </w:rPr>
        <w:t>1.在合同有效期内，任何一方因不可抗力事件导致不能履行合同，则合同履行期可延长，其延长期与不可抗力影响期相同。</w:t>
      </w:r>
    </w:p>
    <w:p w14:paraId="2AF3D8DA">
      <w:pPr>
        <w:pStyle w:val="27"/>
        <w:snapToGrid w:val="0"/>
        <w:spacing w:line="400" w:lineRule="exact"/>
        <w:ind w:firstLine="420" w:firstLineChars="200"/>
        <w:rPr>
          <w:rFonts w:ascii="Arial" w:hAnsi="Arial" w:cs="Arial"/>
          <w:color w:val="auto"/>
          <w:highlight w:val="none"/>
        </w:rPr>
      </w:pPr>
      <w:r>
        <w:rPr>
          <w:rFonts w:ascii="Arial" w:hAnsi="Arial" w:cs="Arial"/>
          <w:color w:val="auto"/>
          <w:highlight w:val="none"/>
        </w:rPr>
        <w:t>2.不可抗力事件发生后，应立即通知对方，并寄送有关权威机构出具的证明。</w:t>
      </w:r>
    </w:p>
    <w:p w14:paraId="04199065">
      <w:pPr>
        <w:pStyle w:val="27"/>
        <w:snapToGrid w:val="0"/>
        <w:spacing w:line="400" w:lineRule="exact"/>
        <w:ind w:firstLine="420" w:firstLineChars="200"/>
        <w:rPr>
          <w:rFonts w:ascii="Arial" w:hAnsi="Arial" w:cs="Arial"/>
          <w:color w:val="auto"/>
          <w:highlight w:val="none"/>
        </w:rPr>
      </w:pPr>
      <w:r>
        <w:rPr>
          <w:rFonts w:ascii="Arial" w:hAnsi="Arial" w:cs="Arial"/>
          <w:color w:val="auto"/>
          <w:highlight w:val="none"/>
        </w:rPr>
        <w:t>3.不可抗力事件延续一百二十天以上，双方应通过友好协商，确定是否继续履行合同。</w:t>
      </w:r>
    </w:p>
    <w:p w14:paraId="217343EB">
      <w:pPr>
        <w:snapToGrid w:val="0"/>
        <w:spacing w:line="400" w:lineRule="exact"/>
        <w:ind w:firstLine="422" w:firstLineChars="200"/>
        <w:outlineLvl w:val="0"/>
        <w:rPr>
          <w:rFonts w:ascii="Arial" w:hAnsi="Arial" w:cs="Arial"/>
          <w:b/>
          <w:color w:val="auto"/>
          <w:szCs w:val="21"/>
          <w:highlight w:val="none"/>
        </w:rPr>
      </w:pPr>
      <w:bookmarkStart w:id="131" w:name="_Toc21238"/>
      <w:bookmarkStart w:id="132" w:name="_Toc18212"/>
      <w:bookmarkStart w:id="133" w:name="_Toc27608"/>
      <w:bookmarkStart w:id="134" w:name="_Toc12882"/>
      <w:r>
        <w:rPr>
          <w:rFonts w:hint="eastAsia" w:ascii="Arial" w:hAnsi="Arial" w:cs="Arial"/>
          <w:b/>
          <w:color w:val="auto"/>
          <w:szCs w:val="21"/>
          <w:highlight w:val="none"/>
        </w:rPr>
        <w:t>4.如合同执行期间与国家新政策或规定不符，则经双方协商一致后做相应的调整，如协商不成则合同终止，双方互不追究责任。</w:t>
      </w:r>
    </w:p>
    <w:p w14:paraId="144A2D10">
      <w:pPr>
        <w:snapToGrid w:val="0"/>
        <w:spacing w:line="400" w:lineRule="exact"/>
        <w:ind w:firstLine="422" w:firstLineChars="200"/>
        <w:outlineLvl w:val="0"/>
        <w:rPr>
          <w:rFonts w:ascii="Arial" w:hAnsi="Arial" w:cs="Arial"/>
          <w:color w:val="auto"/>
          <w:szCs w:val="21"/>
          <w:highlight w:val="none"/>
        </w:rPr>
      </w:pPr>
      <w:r>
        <w:rPr>
          <w:rFonts w:ascii="Arial" w:hAnsi="Arial" w:cs="Arial"/>
          <w:b/>
          <w:color w:val="auto"/>
          <w:szCs w:val="21"/>
          <w:highlight w:val="none"/>
        </w:rPr>
        <w:t>第十</w:t>
      </w:r>
      <w:r>
        <w:rPr>
          <w:rFonts w:hint="eastAsia" w:ascii="Arial" w:hAnsi="Arial" w:cs="Arial"/>
          <w:b/>
          <w:color w:val="auto"/>
          <w:szCs w:val="21"/>
          <w:highlight w:val="none"/>
        </w:rPr>
        <w:t>四</w:t>
      </w:r>
      <w:r>
        <w:rPr>
          <w:rFonts w:ascii="Arial" w:hAnsi="Arial" w:cs="Arial"/>
          <w:b/>
          <w:color w:val="auto"/>
          <w:szCs w:val="21"/>
          <w:highlight w:val="none"/>
        </w:rPr>
        <w:t>条  合同争议解决</w:t>
      </w:r>
      <w:bookmarkEnd w:id="131"/>
      <w:bookmarkEnd w:id="132"/>
      <w:bookmarkEnd w:id="133"/>
      <w:bookmarkEnd w:id="134"/>
    </w:p>
    <w:p w14:paraId="486FA789">
      <w:pPr>
        <w:snapToGrid w:val="0"/>
        <w:spacing w:line="400" w:lineRule="exact"/>
        <w:ind w:firstLine="420" w:firstLineChars="200"/>
        <w:rPr>
          <w:rFonts w:ascii="Arial" w:hAnsi="Arial" w:cs="Arial"/>
          <w:color w:val="auto"/>
          <w:szCs w:val="21"/>
          <w:highlight w:val="none"/>
        </w:rPr>
      </w:pPr>
      <w:r>
        <w:rPr>
          <w:rFonts w:ascii="Arial" w:hAnsi="Arial" w:cs="Arial"/>
          <w:color w:val="auto"/>
          <w:szCs w:val="21"/>
          <w:highlight w:val="none"/>
        </w:rPr>
        <w:t>1.因服务成果质量问题发生争议的，应邀请国家认可的质量检测机构对服务成果质量进行鉴定。服务成果符合标准的，鉴定费由甲方承担；服务成果不符合标准的，鉴定费由乙方承担。</w:t>
      </w:r>
    </w:p>
    <w:p w14:paraId="4CE319AC">
      <w:pPr>
        <w:snapToGrid w:val="0"/>
        <w:spacing w:line="400" w:lineRule="exact"/>
        <w:ind w:firstLine="420" w:firstLineChars="200"/>
        <w:rPr>
          <w:rFonts w:ascii="Arial" w:hAnsi="Arial" w:cs="Arial"/>
          <w:color w:val="auto"/>
          <w:szCs w:val="21"/>
          <w:highlight w:val="none"/>
        </w:rPr>
      </w:pPr>
      <w:r>
        <w:rPr>
          <w:rFonts w:ascii="Arial" w:hAnsi="Arial" w:cs="Arial"/>
          <w:color w:val="auto"/>
          <w:szCs w:val="21"/>
          <w:highlight w:val="none"/>
        </w:rPr>
        <w:t>2.因履行本合同引起的或与本合同有关的争议，甲乙双方应首先通过友好协商解决，如果协商不能解决，向甲方所在地人民法院提起诉讼。</w:t>
      </w:r>
    </w:p>
    <w:p w14:paraId="0D8A7AC3">
      <w:pPr>
        <w:snapToGrid w:val="0"/>
        <w:spacing w:line="400" w:lineRule="exact"/>
        <w:ind w:firstLine="420" w:firstLineChars="200"/>
        <w:outlineLvl w:val="1"/>
        <w:rPr>
          <w:rFonts w:ascii="Arial" w:hAnsi="Arial" w:cs="Arial"/>
          <w:color w:val="auto"/>
          <w:szCs w:val="21"/>
          <w:highlight w:val="none"/>
        </w:rPr>
      </w:pPr>
      <w:bookmarkStart w:id="135" w:name="_Toc31417"/>
      <w:bookmarkStart w:id="136" w:name="_Toc22149"/>
      <w:r>
        <w:rPr>
          <w:rFonts w:ascii="Arial" w:hAnsi="Arial" w:cs="Arial"/>
          <w:color w:val="auto"/>
          <w:szCs w:val="21"/>
          <w:highlight w:val="none"/>
        </w:rPr>
        <w:t>3.诉讼期间，本合同继续履行。</w:t>
      </w:r>
      <w:bookmarkEnd w:id="135"/>
      <w:bookmarkEnd w:id="136"/>
    </w:p>
    <w:p w14:paraId="6639ACE9">
      <w:pPr>
        <w:pStyle w:val="27"/>
        <w:snapToGrid w:val="0"/>
        <w:spacing w:line="400" w:lineRule="exact"/>
        <w:ind w:firstLine="413" w:firstLineChars="196"/>
        <w:outlineLvl w:val="0"/>
        <w:rPr>
          <w:rFonts w:ascii="Arial" w:hAnsi="Arial" w:cs="Arial"/>
          <w:b/>
          <w:color w:val="auto"/>
          <w:highlight w:val="none"/>
        </w:rPr>
      </w:pPr>
      <w:bookmarkStart w:id="137" w:name="_Toc1419"/>
      <w:bookmarkStart w:id="138" w:name="_Toc5896"/>
      <w:bookmarkStart w:id="139" w:name="_Toc21868"/>
      <w:bookmarkStart w:id="140" w:name="_Toc11045"/>
      <w:r>
        <w:rPr>
          <w:rFonts w:ascii="Arial" w:hAnsi="Arial" w:cs="Arial"/>
          <w:b/>
          <w:color w:val="auto"/>
          <w:highlight w:val="none"/>
        </w:rPr>
        <w:t>第十</w:t>
      </w:r>
      <w:r>
        <w:rPr>
          <w:rFonts w:hint="eastAsia" w:ascii="Arial" w:hAnsi="Arial" w:cs="Arial"/>
          <w:b/>
          <w:color w:val="auto"/>
          <w:highlight w:val="none"/>
        </w:rPr>
        <w:t>五</w:t>
      </w:r>
      <w:r>
        <w:rPr>
          <w:rFonts w:ascii="Arial" w:hAnsi="Arial" w:cs="Arial"/>
          <w:b/>
          <w:color w:val="auto"/>
          <w:highlight w:val="none"/>
        </w:rPr>
        <w:t>条 诉讼</w:t>
      </w:r>
      <w:bookmarkEnd w:id="137"/>
      <w:bookmarkEnd w:id="138"/>
      <w:bookmarkEnd w:id="139"/>
      <w:bookmarkEnd w:id="140"/>
    </w:p>
    <w:p w14:paraId="2454A017">
      <w:pPr>
        <w:pStyle w:val="27"/>
        <w:snapToGrid w:val="0"/>
        <w:spacing w:line="400" w:lineRule="exact"/>
        <w:rPr>
          <w:rFonts w:ascii="Arial" w:hAnsi="Arial" w:cs="Arial"/>
          <w:color w:val="auto"/>
          <w:highlight w:val="none"/>
        </w:rPr>
      </w:pPr>
      <w:r>
        <w:rPr>
          <w:rFonts w:ascii="Arial" w:hAnsi="Arial" w:cs="Arial"/>
          <w:color w:val="auto"/>
          <w:highlight w:val="none"/>
        </w:rPr>
        <w:t xml:space="preserve">    双方在执行合同中所发生的一切争议，应通过协商解决。如果协商不能解决，可甲方所在地人民法院提起诉讼。</w:t>
      </w:r>
    </w:p>
    <w:p w14:paraId="46AC01BC">
      <w:pPr>
        <w:pStyle w:val="27"/>
        <w:snapToGrid w:val="0"/>
        <w:spacing w:line="400" w:lineRule="exact"/>
        <w:ind w:left="561" w:leftChars="267"/>
        <w:outlineLvl w:val="0"/>
        <w:rPr>
          <w:rFonts w:ascii="Arial" w:hAnsi="Arial" w:cs="Arial"/>
          <w:b/>
          <w:color w:val="auto"/>
          <w:highlight w:val="none"/>
        </w:rPr>
      </w:pPr>
      <w:bookmarkStart w:id="141" w:name="_Toc19533"/>
      <w:bookmarkStart w:id="142" w:name="_Toc9751"/>
      <w:bookmarkStart w:id="143" w:name="_Toc22352"/>
      <w:bookmarkStart w:id="144" w:name="_Toc30102"/>
      <w:r>
        <w:rPr>
          <w:rFonts w:ascii="Arial" w:hAnsi="Arial" w:cs="Arial"/>
          <w:b/>
          <w:color w:val="auto"/>
          <w:highlight w:val="none"/>
        </w:rPr>
        <w:t>第十</w:t>
      </w:r>
      <w:r>
        <w:rPr>
          <w:rFonts w:hint="eastAsia" w:ascii="Arial" w:hAnsi="Arial" w:cs="Arial"/>
          <w:b/>
          <w:color w:val="auto"/>
          <w:highlight w:val="none"/>
        </w:rPr>
        <w:t>六</w:t>
      </w:r>
      <w:r>
        <w:rPr>
          <w:rFonts w:ascii="Arial" w:hAnsi="Arial" w:cs="Arial"/>
          <w:b/>
          <w:color w:val="auto"/>
          <w:highlight w:val="none"/>
        </w:rPr>
        <w:t>条 合同生效及其它</w:t>
      </w:r>
      <w:bookmarkEnd w:id="141"/>
      <w:bookmarkEnd w:id="142"/>
      <w:bookmarkEnd w:id="143"/>
      <w:bookmarkEnd w:id="144"/>
    </w:p>
    <w:p w14:paraId="63FC3598">
      <w:pPr>
        <w:pStyle w:val="27"/>
        <w:snapToGrid w:val="0"/>
        <w:spacing w:line="400" w:lineRule="exact"/>
        <w:ind w:firstLine="422" w:firstLineChars="200"/>
        <w:rPr>
          <w:rFonts w:ascii="Arial" w:hAnsi="Arial" w:cs="Arial"/>
          <w:b/>
          <w:color w:val="auto"/>
          <w:highlight w:val="none"/>
        </w:rPr>
      </w:pPr>
      <w:r>
        <w:rPr>
          <w:rFonts w:ascii="Arial" w:hAnsi="Arial" w:cs="Arial"/>
          <w:b/>
          <w:color w:val="auto"/>
          <w:highlight w:val="none"/>
        </w:rPr>
        <w:t>1.合同经双方法定代表人(负责人)或授权代表签字并加盖单位公章后生效。</w:t>
      </w:r>
    </w:p>
    <w:p w14:paraId="3A0D9C5B">
      <w:pPr>
        <w:pStyle w:val="27"/>
        <w:snapToGrid w:val="0"/>
        <w:spacing w:line="400" w:lineRule="exact"/>
        <w:ind w:firstLine="422" w:firstLineChars="200"/>
        <w:rPr>
          <w:rFonts w:ascii="Arial" w:hAnsi="Arial" w:cs="Arial"/>
          <w:b/>
          <w:color w:val="auto"/>
          <w:highlight w:val="none"/>
        </w:rPr>
      </w:pPr>
      <w:r>
        <w:rPr>
          <w:rFonts w:hint="eastAsia" w:ascii="Arial" w:hAnsi="Arial" w:cs="Arial"/>
          <w:b/>
          <w:color w:val="auto"/>
          <w:highlight w:val="none"/>
        </w:rPr>
        <w:t>2</w:t>
      </w:r>
      <w:r>
        <w:rPr>
          <w:rFonts w:ascii="Arial" w:hAnsi="Arial" w:cs="Arial"/>
          <w:b/>
          <w:color w:val="auto"/>
          <w:highlight w:val="none"/>
        </w:rPr>
        <w:t>.本合同未尽事宜，遵照《中华人民共和国民法典》有关条文执行。</w:t>
      </w:r>
    </w:p>
    <w:p w14:paraId="3B55C6D8">
      <w:pPr>
        <w:snapToGrid w:val="0"/>
        <w:spacing w:line="400" w:lineRule="exact"/>
        <w:ind w:firstLine="422" w:firstLineChars="200"/>
        <w:outlineLvl w:val="0"/>
        <w:rPr>
          <w:rFonts w:hint="eastAsia" w:ascii="Arial" w:hAnsi="Arial" w:cs="Arial"/>
          <w:b/>
          <w:color w:val="auto"/>
          <w:szCs w:val="21"/>
          <w:highlight w:val="none"/>
        </w:rPr>
      </w:pPr>
      <w:bookmarkStart w:id="145" w:name="_Toc9863"/>
      <w:bookmarkStart w:id="146" w:name="_Toc14623"/>
      <w:bookmarkStart w:id="147" w:name="_Toc14137"/>
      <w:bookmarkStart w:id="148" w:name="_Toc18098"/>
      <w:r>
        <w:rPr>
          <w:rFonts w:ascii="Arial" w:hAnsi="Arial" w:cs="Arial"/>
          <w:b/>
          <w:color w:val="auto"/>
          <w:szCs w:val="21"/>
          <w:highlight w:val="none"/>
        </w:rPr>
        <w:t>第十</w:t>
      </w:r>
      <w:r>
        <w:rPr>
          <w:rFonts w:hint="eastAsia" w:ascii="Arial" w:hAnsi="Arial" w:cs="Arial"/>
          <w:b/>
          <w:color w:val="auto"/>
          <w:szCs w:val="21"/>
          <w:highlight w:val="none"/>
        </w:rPr>
        <w:t>七</w:t>
      </w:r>
      <w:r>
        <w:rPr>
          <w:rFonts w:ascii="Arial" w:hAnsi="Arial" w:cs="Arial"/>
          <w:b/>
          <w:color w:val="auto"/>
          <w:szCs w:val="21"/>
          <w:highlight w:val="none"/>
        </w:rPr>
        <w:t>条　合同的变更、终止与转让</w:t>
      </w:r>
      <w:bookmarkEnd w:id="145"/>
      <w:bookmarkEnd w:id="146"/>
      <w:bookmarkEnd w:id="147"/>
      <w:bookmarkEnd w:id="148"/>
    </w:p>
    <w:p w14:paraId="443249B0">
      <w:pPr>
        <w:snapToGrid w:val="0"/>
        <w:spacing w:line="400" w:lineRule="exact"/>
        <w:ind w:firstLine="420" w:firstLineChars="200"/>
        <w:rPr>
          <w:rFonts w:ascii="Arial" w:hAnsi="Arial" w:cs="Arial"/>
          <w:color w:val="auto"/>
          <w:szCs w:val="21"/>
          <w:highlight w:val="none"/>
        </w:rPr>
      </w:pPr>
      <w:r>
        <w:rPr>
          <w:rFonts w:ascii="Arial" w:hAnsi="Arial" w:cs="Arial"/>
          <w:color w:val="auto"/>
          <w:szCs w:val="21"/>
          <w:highlight w:val="none"/>
        </w:rPr>
        <w:t>1.除《中华人民共和国政府采购法》第五十条规定的情形外，本合同一经签订，甲乙双方不得擅自变更、中止或终止。</w:t>
      </w:r>
    </w:p>
    <w:p w14:paraId="6891B1D4">
      <w:pPr>
        <w:pStyle w:val="27"/>
        <w:snapToGrid w:val="0"/>
        <w:spacing w:line="400" w:lineRule="exact"/>
        <w:ind w:firstLine="411" w:firstLineChars="196"/>
        <w:outlineLvl w:val="1"/>
        <w:rPr>
          <w:rFonts w:ascii="Arial" w:hAnsi="Arial" w:cs="Arial"/>
          <w:b/>
          <w:color w:val="auto"/>
          <w:highlight w:val="none"/>
        </w:rPr>
      </w:pPr>
      <w:bookmarkStart w:id="149" w:name="_Toc15800"/>
      <w:bookmarkStart w:id="150" w:name="_Toc1740"/>
      <w:r>
        <w:rPr>
          <w:rFonts w:ascii="Arial" w:hAnsi="Arial" w:cs="Arial"/>
          <w:color w:val="auto"/>
          <w:highlight w:val="none"/>
        </w:rPr>
        <w:t>2.乙方不得擅自转让其应履行的合同义务。</w:t>
      </w:r>
      <w:bookmarkEnd w:id="149"/>
      <w:bookmarkEnd w:id="150"/>
    </w:p>
    <w:p w14:paraId="2F13E926">
      <w:pPr>
        <w:spacing w:line="400" w:lineRule="exact"/>
        <w:ind w:firstLine="422" w:firstLineChars="200"/>
        <w:rPr>
          <w:rFonts w:ascii="Arial" w:hAnsi="Arial" w:cs="Arial"/>
          <w:b/>
          <w:color w:val="auto"/>
          <w:szCs w:val="21"/>
          <w:highlight w:val="none"/>
        </w:rPr>
      </w:pPr>
      <w:r>
        <w:rPr>
          <w:rFonts w:ascii="Arial" w:hAnsi="Arial" w:cs="Arial"/>
          <w:b/>
          <w:color w:val="auto"/>
          <w:szCs w:val="21"/>
          <w:highlight w:val="none"/>
        </w:rPr>
        <w:t>第十</w:t>
      </w:r>
      <w:r>
        <w:rPr>
          <w:rFonts w:hint="eastAsia" w:ascii="Arial" w:hAnsi="Arial" w:cs="Arial"/>
          <w:b/>
          <w:color w:val="auto"/>
          <w:szCs w:val="21"/>
          <w:highlight w:val="none"/>
        </w:rPr>
        <w:t>八</w:t>
      </w:r>
      <w:r>
        <w:rPr>
          <w:rFonts w:ascii="Arial" w:hAnsi="Arial" w:cs="Arial"/>
          <w:b/>
          <w:color w:val="auto"/>
          <w:szCs w:val="21"/>
          <w:highlight w:val="none"/>
        </w:rPr>
        <w:t>条　本合同记载地址视为送达地址，送达地址变更需采用书面形式。</w:t>
      </w:r>
    </w:p>
    <w:p w14:paraId="1E450B0D">
      <w:pPr>
        <w:spacing w:line="400" w:lineRule="exact"/>
        <w:ind w:firstLine="422" w:firstLineChars="200"/>
        <w:rPr>
          <w:rFonts w:ascii="Arial" w:hAnsi="Arial" w:cs="Arial"/>
          <w:b/>
          <w:color w:val="auto"/>
          <w:szCs w:val="21"/>
          <w:highlight w:val="none"/>
        </w:rPr>
      </w:pPr>
      <w:r>
        <w:rPr>
          <w:rFonts w:ascii="Arial" w:hAnsi="Arial" w:cs="Arial"/>
          <w:b/>
          <w:color w:val="auto"/>
          <w:szCs w:val="21"/>
          <w:highlight w:val="none"/>
        </w:rPr>
        <w:t>本合同尾部及《医疗卫生机构医药产品廉洁购销合同》载明的乙方地址及联系人用于接收往来函件及诉讼法律文书，且适用于因本合同履行相关的一切纠纷处理程序（如仲裁、诉讼、执行等）的送达。如有变更，乙方需以书面方式通知甲方，未书面通知变更的，凡向合同记载地址或联系方式、联系人发送的文件及信息，无论是否实际收到，均视为有效送达 。</w:t>
      </w:r>
    </w:p>
    <w:p w14:paraId="3DA636AB">
      <w:pPr>
        <w:spacing w:line="400" w:lineRule="exact"/>
        <w:ind w:firstLine="422" w:firstLineChars="200"/>
        <w:rPr>
          <w:rFonts w:ascii="Arial" w:hAnsi="Arial" w:cs="Arial"/>
          <w:b/>
          <w:color w:val="auto"/>
          <w:szCs w:val="21"/>
          <w:highlight w:val="none"/>
        </w:rPr>
      </w:pPr>
      <w:r>
        <w:rPr>
          <w:rFonts w:ascii="Arial" w:hAnsi="Arial" w:cs="Arial"/>
          <w:b/>
          <w:color w:val="auto"/>
          <w:szCs w:val="21"/>
          <w:highlight w:val="none"/>
        </w:rPr>
        <w:t>第十</w:t>
      </w:r>
      <w:r>
        <w:rPr>
          <w:rFonts w:hint="eastAsia" w:ascii="Arial" w:hAnsi="Arial" w:cs="Arial"/>
          <w:b/>
          <w:color w:val="auto"/>
          <w:szCs w:val="21"/>
          <w:highlight w:val="none"/>
        </w:rPr>
        <w:t>九</w:t>
      </w:r>
      <w:r>
        <w:rPr>
          <w:rFonts w:ascii="Arial" w:hAnsi="Arial" w:cs="Arial"/>
          <w:b/>
          <w:color w:val="auto"/>
          <w:szCs w:val="21"/>
          <w:highlight w:val="none"/>
        </w:rPr>
        <w:t>条　本合同一式七份，甲方执伍份，乙方执一份，代理机构执一份。本合同经甲乙双方签字盖章后生效，补充协议含售后服务承诺书等，与本合同具有同等法律效力。如甲乙双方合同条款内容不一致者，以在甲方存档者为正本。</w:t>
      </w:r>
    </w:p>
    <w:p w14:paraId="39A7328A">
      <w:pPr>
        <w:spacing w:line="400" w:lineRule="exact"/>
        <w:ind w:firstLine="422" w:firstLineChars="200"/>
        <w:rPr>
          <w:rFonts w:ascii="Arial" w:hAnsi="Arial" w:cs="Arial"/>
          <w:b/>
          <w:color w:val="auto"/>
          <w:szCs w:val="21"/>
          <w:highlight w:val="none"/>
        </w:rPr>
      </w:pPr>
      <w:r>
        <w:rPr>
          <w:rFonts w:ascii="Arial" w:hAnsi="Arial" w:cs="Arial"/>
          <w:b/>
          <w:color w:val="auto"/>
          <w:szCs w:val="21"/>
          <w:highlight w:val="none"/>
        </w:rPr>
        <w:t>第</w:t>
      </w:r>
      <w:r>
        <w:rPr>
          <w:rFonts w:hint="eastAsia" w:ascii="Arial" w:hAnsi="Arial" w:cs="Arial"/>
          <w:b/>
          <w:color w:val="auto"/>
          <w:szCs w:val="21"/>
          <w:highlight w:val="none"/>
        </w:rPr>
        <w:t>二十</w:t>
      </w:r>
      <w:r>
        <w:rPr>
          <w:rFonts w:ascii="Arial" w:hAnsi="Arial" w:cs="Arial"/>
          <w:b/>
          <w:color w:val="auto"/>
          <w:szCs w:val="21"/>
          <w:highlight w:val="none"/>
        </w:rPr>
        <w:t>条　本合同如有未尽事宜，甲乙双方另行协商。</w:t>
      </w:r>
    </w:p>
    <w:tbl>
      <w:tblPr>
        <w:tblStyle w:val="52"/>
        <w:tblW w:w="0" w:type="auto"/>
        <w:tblInd w:w="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92"/>
      </w:tblGrid>
      <w:tr w14:paraId="13F4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4516" w:type="dxa"/>
            <w:noWrap w:val="0"/>
            <w:vAlign w:val="center"/>
          </w:tcPr>
          <w:p w14:paraId="36FF8978">
            <w:pPr>
              <w:snapToGrid w:val="0"/>
              <w:rPr>
                <w:rFonts w:ascii="Arial" w:hAnsi="Arial" w:eastAsia="宋体" w:cs="Arial"/>
                <w:color w:val="auto"/>
                <w:szCs w:val="21"/>
                <w:highlight w:val="none"/>
              </w:rPr>
            </w:pPr>
            <w:r>
              <w:rPr>
                <w:rFonts w:ascii="Arial" w:hAnsi="Arial" w:eastAsia="宋体" w:cs="Arial"/>
                <w:color w:val="auto"/>
                <w:szCs w:val="21"/>
                <w:highlight w:val="none"/>
              </w:rPr>
              <w:t>甲方（章）：</w:t>
            </w:r>
            <w:r>
              <w:rPr>
                <w:rFonts w:hint="eastAsia" w:ascii="Arial" w:hAnsi="Arial" w:eastAsia="宋体" w:cs="Arial"/>
                <w:color w:val="auto"/>
                <w:szCs w:val="21"/>
                <w:highlight w:val="none"/>
                <w:lang w:eastAsia="zh-CN"/>
              </w:rPr>
              <w:t>桂林医科大学第一附属医院</w:t>
            </w:r>
            <w:r>
              <w:rPr>
                <w:rFonts w:ascii="Arial" w:hAnsi="Arial" w:eastAsia="宋体" w:cs="Arial"/>
                <w:color w:val="auto"/>
                <w:szCs w:val="21"/>
                <w:highlight w:val="none"/>
              </w:rPr>
              <w:t xml:space="preserve"> </w:t>
            </w:r>
          </w:p>
          <w:p w14:paraId="1F9310D1">
            <w:pPr>
              <w:snapToGrid w:val="0"/>
              <w:ind w:firstLine="2310" w:firstLineChars="1100"/>
              <w:rPr>
                <w:rFonts w:ascii="Arial" w:hAnsi="Arial" w:eastAsia="宋体" w:cs="Arial"/>
                <w:color w:val="auto"/>
                <w:szCs w:val="21"/>
                <w:highlight w:val="none"/>
              </w:rPr>
            </w:pPr>
            <w:r>
              <w:rPr>
                <w:rFonts w:ascii="Arial" w:hAnsi="Arial" w:eastAsia="宋体" w:cs="Arial"/>
                <w:color w:val="auto"/>
                <w:szCs w:val="21"/>
                <w:highlight w:val="none"/>
              </w:rPr>
              <w:t xml:space="preserve"> 年    月    日</w:t>
            </w:r>
          </w:p>
        </w:tc>
        <w:tc>
          <w:tcPr>
            <w:tcW w:w="4592" w:type="dxa"/>
            <w:noWrap w:val="0"/>
            <w:vAlign w:val="center"/>
          </w:tcPr>
          <w:p w14:paraId="75164DAD">
            <w:pPr>
              <w:snapToGrid w:val="0"/>
              <w:rPr>
                <w:rFonts w:ascii="Arial" w:hAnsi="Arial" w:eastAsia="宋体" w:cs="Arial"/>
                <w:color w:val="auto"/>
                <w:szCs w:val="21"/>
                <w:highlight w:val="none"/>
              </w:rPr>
            </w:pPr>
            <w:r>
              <w:rPr>
                <w:rFonts w:ascii="Arial" w:hAnsi="Arial" w:eastAsia="宋体" w:cs="Arial"/>
                <w:color w:val="auto"/>
                <w:szCs w:val="21"/>
                <w:highlight w:val="none"/>
              </w:rPr>
              <w:t xml:space="preserve">乙方（章）：    </w:t>
            </w:r>
          </w:p>
          <w:p w14:paraId="21908B84">
            <w:pPr>
              <w:snapToGrid w:val="0"/>
              <w:ind w:firstLine="2520" w:firstLineChars="1200"/>
              <w:rPr>
                <w:rFonts w:ascii="Arial" w:hAnsi="Arial" w:eastAsia="宋体" w:cs="Arial"/>
                <w:color w:val="auto"/>
                <w:szCs w:val="21"/>
                <w:highlight w:val="none"/>
              </w:rPr>
            </w:pPr>
            <w:r>
              <w:rPr>
                <w:rFonts w:ascii="Arial" w:hAnsi="Arial" w:eastAsia="宋体" w:cs="Arial"/>
                <w:color w:val="auto"/>
                <w:szCs w:val="21"/>
                <w:highlight w:val="none"/>
              </w:rPr>
              <w:t>年    月    日</w:t>
            </w:r>
          </w:p>
        </w:tc>
      </w:tr>
      <w:tr w14:paraId="51B4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rPr>
        <w:tc>
          <w:tcPr>
            <w:tcW w:w="4516" w:type="dxa"/>
            <w:noWrap w:val="0"/>
            <w:vAlign w:val="center"/>
          </w:tcPr>
          <w:p w14:paraId="584328DF">
            <w:pPr>
              <w:snapToGrid w:val="0"/>
              <w:rPr>
                <w:rFonts w:ascii="Arial" w:hAnsi="Arial" w:eastAsia="宋体" w:cs="Arial"/>
                <w:color w:val="auto"/>
                <w:szCs w:val="21"/>
                <w:highlight w:val="none"/>
              </w:rPr>
            </w:pPr>
            <w:r>
              <w:rPr>
                <w:rFonts w:ascii="Arial" w:hAnsi="Arial" w:eastAsia="宋体" w:cs="Arial"/>
                <w:color w:val="auto"/>
                <w:szCs w:val="21"/>
                <w:highlight w:val="none"/>
              </w:rPr>
              <w:t>单位地址：桂林市秀峰区乐群路15号</w:t>
            </w:r>
          </w:p>
        </w:tc>
        <w:tc>
          <w:tcPr>
            <w:tcW w:w="4592" w:type="dxa"/>
            <w:noWrap w:val="0"/>
            <w:vAlign w:val="center"/>
          </w:tcPr>
          <w:p w14:paraId="7571E704">
            <w:pPr>
              <w:snapToGrid w:val="0"/>
              <w:rPr>
                <w:rFonts w:ascii="Arial" w:hAnsi="Arial" w:eastAsia="宋体" w:cs="Arial"/>
                <w:color w:val="auto"/>
                <w:szCs w:val="21"/>
                <w:highlight w:val="none"/>
              </w:rPr>
            </w:pPr>
            <w:r>
              <w:rPr>
                <w:rFonts w:ascii="Arial" w:hAnsi="Arial" w:eastAsia="宋体" w:cs="Arial"/>
                <w:color w:val="auto"/>
                <w:szCs w:val="21"/>
                <w:highlight w:val="none"/>
              </w:rPr>
              <w:t>单位地址：</w:t>
            </w:r>
          </w:p>
        </w:tc>
      </w:tr>
      <w:tr w14:paraId="0E19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4516" w:type="dxa"/>
            <w:noWrap w:val="0"/>
            <w:vAlign w:val="center"/>
          </w:tcPr>
          <w:p w14:paraId="3F6682AD">
            <w:pPr>
              <w:snapToGrid w:val="0"/>
              <w:rPr>
                <w:rFonts w:ascii="Arial" w:hAnsi="Arial" w:eastAsia="宋体" w:cs="Arial"/>
                <w:color w:val="auto"/>
                <w:szCs w:val="21"/>
                <w:highlight w:val="none"/>
              </w:rPr>
            </w:pPr>
            <w:r>
              <w:rPr>
                <w:rFonts w:ascii="Arial" w:hAnsi="Arial" w:eastAsia="宋体" w:cs="Arial"/>
                <w:color w:val="auto"/>
                <w:szCs w:val="21"/>
                <w:highlight w:val="none"/>
              </w:rPr>
              <w:t>法定代表人：</w:t>
            </w:r>
          </w:p>
        </w:tc>
        <w:tc>
          <w:tcPr>
            <w:tcW w:w="4592" w:type="dxa"/>
            <w:noWrap w:val="0"/>
            <w:vAlign w:val="center"/>
          </w:tcPr>
          <w:p w14:paraId="29B482F1">
            <w:pPr>
              <w:snapToGrid w:val="0"/>
              <w:rPr>
                <w:rFonts w:ascii="Arial" w:hAnsi="Arial" w:eastAsia="宋体" w:cs="Arial"/>
                <w:color w:val="auto"/>
                <w:szCs w:val="21"/>
                <w:highlight w:val="none"/>
              </w:rPr>
            </w:pPr>
            <w:r>
              <w:rPr>
                <w:rFonts w:ascii="Arial" w:hAnsi="Arial" w:eastAsia="宋体" w:cs="Arial"/>
                <w:color w:val="auto"/>
                <w:szCs w:val="21"/>
                <w:highlight w:val="none"/>
              </w:rPr>
              <w:t>法定代表人：</w:t>
            </w:r>
          </w:p>
        </w:tc>
      </w:tr>
      <w:tr w14:paraId="4B14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4516" w:type="dxa"/>
            <w:noWrap w:val="0"/>
            <w:vAlign w:val="center"/>
          </w:tcPr>
          <w:p w14:paraId="1EF3A4E9">
            <w:pPr>
              <w:snapToGrid w:val="0"/>
              <w:rPr>
                <w:rFonts w:ascii="Arial" w:hAnsi="Arial" w:eastAsia="宋体" w:cs="Arial"/>
                <w:color w:val="auto"/>
                <w:szCs w:val="21"/>
                <w:highlight w:val="none"/>
              </w:rPr>
            </w:pPr>
            <w:r>
              <w:rPr>
                <w:rFonts w:ascii="Arial" w:hAnsi="Arial" w:eastAsia="宋体" w:cs="Arial"/>
                <w:color w:val="auto"/>
                <w:szCs w:val="21"/>
                <w:highlight w:val="none"/>
              </w:rPr>
              <w:t>委托代理人：</w:t>
            </w:r>
          </w:p>
        </w:tc>
        <w:tc>
          <w:tcPr>
            <w:tcW w:w="4592" w:type="dxa"/>
            <w:noWrap w:val="0"/>
            <w:vAlign w:val="center"/>
          </w:tcPr>
          <w:p w14:paraId="3F9C097E">
            <w:pPr>
              <w:snapToGrid w:val="0"/>
              <w:rPr>
                <w:rFonts w:ascii="Arial" w:hAnsi="Arial" w:eastAsia="宋体" w:cs="Arial"/>
                <w:color w:val="auto"/>
                <w:szCs w:val="21"/>
                <w:highlight w:val="none"/>
              </w:rPr>
            </w:pPr>
            <w:r>
              <w:rPr>
                <w:rFonts w:ascii="Arial" w:hAnsi="Arial" w:eastAsia="宋体" w:cs="Arial"/>
                <w:color w:val="auto"/>
                <w:szCs w:val="21"/>
                <w:highlight w:val="none"/>
              </w:rPr>
              <w:t>委托代理人</w:t>
            </w:r>
          </w:p>
        </w:tc>
      </w:tr>
      <w:tr w14:paraId="5446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4516" w:type="dxa"/>
            <w:noWrap w:val="0"/>
            <w:vAlign w:val="center"/>
          </w:tcPr>
          <w:p w14:paraId="51079C54">
            <w:pPr>
              <w:snapToGrid w:val="0"/>
              <w:rPr>
                <w:rFonts w:ascii="Arial" w:hAnsi="Arial" w:eastAsia="宋体" w:cs="Arial"/>
                <w:color w:val="auto"/>
                <w:szCs w:val="21"/>
                <w:highlight w:val="none"/>
              </w:rPr>
            </w:pPr>
            <w:r>
              <w:rPr>
                <w:rFonts w:ascii="Arial" w:hAnsi="Arial" w:eastAsia="宋体" w:cs="Arial"/>
                <w:color w:val="auto"/>
                <w:szCs w:val="21"/>
                <w:highlight w:val="none"/>
              </w:rPr>
              <w:t>电话：0773-2802050招标办</w:t>
            </w:r>
          </w:p>
        </w:tc>
        <w:tc>
          <w:tcPr>
            <w:tcW w:w="4592" w:type="dxa"/>
            <w:noWrap w:val="0"/>
            <w:vAlign w:val="center"/>
          </w:tcPr>
          <w:p w14:paraId="2B3B7409">
            <w:pPr>
              <w:snapToGrid w:val="0"/>
              <w:rPr>
                <w:rFonts w:ascii="Arial" w:hAnsi="Arial" w:eastAsia="宋体" w:cs="Arial"/>
                <w:color w:val="auto"/>
                <w:szCs w:val="21"/>
                <w:highlight w:val="none"/>
              </w:rPr>
            </w:pPr>
            <w:r>
              <w:rPr>
                <w:rFonts w:ascii="Arial" w:hAnsi="Arial" w:eastAsia="宋体" w:cs="Arial"/>
                <w:color w:val="auto"/>
                <w:szCs w:val="21"/>
                <w:highlight w:val="none"/>
              </w:rPr>
              <w:t>电话：</w:t>
            </w:r>
          </w:p>
        </w:tc>
      </w:tr>
      <w:tr w14:paraId="1A9B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4A9CCECB">
            <w:pPr>
              <w:snapToGrid w:val="0"/>
              <w:rPr>
                <w:rFonts w:ascii="Arial" w:hAnsi="Arial" w:eastAsia="宋体" w:cs="Arial"/>
                <w:color w:val="auto"/>
                <w:szCs w:val="21"/>
                <w:highlight w:val="none"/>
              </w:rPr>
            </w:pPr>
            <w:r>
              <w:rPr>
                <w:rFonts w:ascii="Arial" w:hAnsi="Arial" w:eastAsia="宋体" w:cs="Arial"/>
                <w:color w:val="auto"/>
                <w:szCs w:val="21"/>
                <w:highlight w:val="none"/>
              </w:rPr>
              <w:t>电子邮箱：</w:t>
            </w:r>
          </w:p>
        </w:tc>
        <w:tc>
          <w:tcPr>
            <w:tcW w:w="4592" w:type="dxa"/>
            <w:noWrap w:val="0"/>
            <w:vAlign w:val="center"/>
          </w:tcPr>
          <w:p w14:paraId="0FA7AA85">
            <w:pPr>
              <w:snapToGrid w:val="0"/>
              <w:rPr>
                <w:rFonts w:ascii="Arial" w:hAnsi="Arial" w:eastAsia="宋体" w:cs="Arial"/>
                <w:color w:val="auto"/>
                <w:szCs w:val="21"/>
                <w:highlight w:val="none"/>
              </w:rPr>
            </w:pPr>
            <w:r>
              <w:rPr>
                <w:rFonts w:ascii="Arial" w:hAnsi="Arial" w:eastAsia="宋体" w:cs="Arial"/>
                <w:color w:val="auto"/>
                <w:szCs w:val="21"/>
                <w:highlight w:val="none"/>
              </w:rPr>
              <w:t>电子邮箱：</w:t>
            </w:r>
          </w:p>
        </w:tc>
      </w:tr>
      <w:tr w14:paraId="2359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516" w:type="dxa"/>
            <w:noWrap w:val="0"/>
            <w:vAlign w:val="center"/>
          </w:tcPr>
          <w:p w14:paraId="0A94A80D">
            <w:pPr>
              <w:snapToGrid w:val="0"/>
              <w:rPr>
                <w:rFonts w:ascii="Arial" w:hAnsi="Arial" w:eastAsia="宋体" w:cs="Arial"/>
                <w:color w:val="auto"/>
                <w:szCs w:val="21"/>
                <w:highlight w:val="none"/>
              </w:rPr>
            </w:pPr>
            <w:r>
              <w:rPr>
                <w:rFonts w:ascii="Arial" w:hAnsi="Arial" w:eastAsia="宋体" w:cs="Arial"/>
                <w:color w:val="auto"/>
                <w:szCs w:val="21"/>
                <w:highlight w:val="none"/>
              </w:rPr>
              <w:t>开户银行：</w:t>
            </w:r>
          </w:p>
        </w:tc>
        <w:tc>
          <w:tcPr>
            <w:tcW w:w="4592" w:type="dxa"/>
            <w:noWrap w:val="0"/>
            <w:vAlign w:val="center"/>
          </w:tcPr>
          <w:p w14:paraId="19B7AF50">
            <w:pPr>
              <w:snapToGrid w:val="0"/>
              <w:rPr>
                <w:rFonts w:ascii="Arial" w:hAnsi="Arial" w:eastAsia="宋体" w:cs="Arial"/>
                <w:color w:val="auto"/>
                <w:szCs w:val="21"/>
                <w:highlight w:val="none"/>
              </w:rPr>
            </w:pPr>
            <w:r>
              <w:rPr>
                <w:rFonts w:ascii="Arial" w:hAnsi="Arial" w:eastAsia="宋体" w:cs="Arial"/>
                <w:color w:val="auto"/>
                <w:szCs w:val="21"/>
                <w:highlight w:val="none"/>
              </w:rPr>
              <w:t>开户银行：</w:t>
            </w:r>
          </w:p>
        </w:tc>
      </w:tr>
      <w:tr w14:paraId="3033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450595D7">
            <w:pPr>
              <w:snapToGrid w:val="0"/>
              <w:rPr>
                <w:rFonts w:ascii="Arial" w:hAnsi="Arial" w:eastAsia="宋体" w:cs="Arial"/>
                <w:color w:val="auto"/>
                <w:szCs w:val="21"/>
                <w:highlight w:val="none"/>
              </w:rPr>
            </w:pPr>
            <w:r>
              <w:rPr>
                <w:rFonts w:ascii="Arial" w:hAnsi="Arial" w:eastAsia="宋体" w:cs="Arial"/>
                <w:color w:val="auto"/>
                <w:szCs w:val="21"/>
                <w:highlight w:val="none"/>
              </w:rPr>
              <w:t>账号：</w:t>
            </w:r>
          </w:p>
        </w:tc>
        <w:tc>
          <w:tcPr>
            <w:tcW w:w="4592" w:type="dxa"/>
            <w:noWrap w:val="0"/>
            <w:vAlign w:val="center"/>
          </w:tcPr>
          <w:p w14:paraId="20EBF950">
            <w:pPr>
              <w:snapToGrid w:val="0"/>
              <w:rPr>
                <w:rFonts w:ascii="Arial" w:hAnsi="Arial" w:eastAsia="宋体" w:cs="Arial"/>
                <w:color w:val="auto"/>
                <w:szCs w:val="21"/>
                <w:highlight w:val="none"/>
              </w:rPr>
            </w:pPr>
            <w:r>
              <w:rPr>
                <w:rFonts w:ascii="Arial" w:hAnsi="Arial" w:eastAsia="宋体" w:cs="Arial"/>
                <w:color w:val="auto"/>
                <w:szCs w:val="21"/>
                <w:highlight w:val="none"/>
              </w:rPr>
              <w:t>账号：</w:t>
            </w:r>
          </w:p>
        </w:tc>
      </w:tr>
      <w:tr w14:paraId="2679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0F7F508E">
            <w:pPr>
              <w:snapToGrid w:val="0"/>
              <w:rPr>
                <w:rFonts w:ascii="Arial" w:hAnsi="Arial" w:eastAsia="宋体" w:cs="Arial"/>
                <w:color w:val="auto"/>
                <w:szCs w:val="21"/>
                <w:highlight w:val="none"/>
              </w:rPr>
            </w:pPr>
            <w:r>
              <w:rPr>
                <w:rFonts w:ascii="Arial" w:hAnsi="Arial" w:eastAsia="宋体" w:cs="Arial"/>
                <w:color w:val="auto"/>
                <w:szCs w:val="21"/>
                <w:highlight w:val="none"/>
              </w:rPr>
              <w:t>邮政编码：</w:t>
            </w:r>
          </w:p>
        </w:tc>
        <w:tc>
          <w:tcPr>
            <w:tcW w:w="4592" w:type="dxa"/>
            <w:noWrap w:val="0"/>
            <w:vAlign w:val="center"/>
          </w:tcPr>
          <w:p w14:paraId="753890C7">
            <w:pPr>
              <w:snapToGrid w:val="0"/>
              <w:rPr>
                <w:rFonts w:ascii="Arial" w:hAnsi="Arial" w:eastAsia="宋体" w:cs="Arial"/>
                <w:color w:val="auto"/>
                <w:szCs w:val="21"/>
                <w:highlight w:val="none"/>
              </w:rPr>
            </w:pPr>
            <w:r>
              <w:rPr>
                <w:rFonts w:ascii="Arial" w:hAnsi="Arial" w:eastAsia="宋体" w:cs="Arial"/>
                <w:color w:val="auto"/>
                <w:szCs w:val="21"/>
                <w:highlight w:val="none"/>
              </w:rPr>
              <w:t>邮政编码：</w:t>
            </w:r>
          </w:p>
        </w:tc>
      </w:tr>
    </w:tbl>
    <w:p w14:paraId="2A4EA99A">
      <w:pPr>
        <w:snapToGrid w:val="0"/>
        <w:spacing w:line="400" w:lineRule="exact"/>
        <w:ind w:firstLine="420" w:firstLineChars="200"/>
        <w:rPr>
          <w:rFonts w:ascii="Arial" w:hAnsi="Arial" w:cs="Arial"/>
          <w:color w:val="auto"/>
          <w:szCs w:val="21"/>
          <w:highlight w:val="none"/>
        </w:rPr>
      </w:pPr>
    </w:p>
    <w:p w14:paraId="503817FE">
      <w:pPr>
        <w:spacing w:line="400" w:lineRule="exact"/>
        <w:jc w:val="center"/>
        <w:rPr>
          <w:rFonts w:ascii="Arial" w:hAnsi="Arial" w:cs="Arial"/>
          <w:b/>
          <w:color w:val="auto"/>
          <w:sz w:val="36"/>
          <w:szCs w:val="36"/>
          <w:highlight w:val="none"/>
        </w:rPr>
      </w:pPr>
      <w:r>
        <w:rPr>
          <w:rFonts w:ascii="Arial" w:hAnsi="Arial" w:cs="Arial"/>
          <w:color w:val="auto"/>
          <w:sz w:val="32"/>
          <w:szCs w:val="32"/>
          <w:highlight w:val="none"/>
        </w:rPr>
        <w:br w:type="page"/>
      </w:r>
      <w:r>
        <w:rPr>
          <w:rFonts w:ascii="Arial" w:hAnsi="Arial" w:cs="Arial"/>
          <w:b/>
          <w:color w:val="auto"/>
          <w:sz w:val="36"/>
          <w:szCs w:val="36"/>
          <w:highlight w:val="none"/>
        </w:rPr>
        <w:t>医疗卫生机构医药产品廉洁购销合同</w:t>
      </w:r>
    </w:p>
    <w:p w14:paraId="3F9F1866">
      <w:pPr>
        <w:spacing w:line="400" w:lineRule="exact"/>
        <w:rPr>
          <w:rFonts w:ascii="Arial" w:hAnsi="Arial" w:cs="Arial"/>
          <w:b/>
          <w:color w:val="auto"/>
          <w:sz w:val="24"/>
          <w:highlight w:val="none"/>
        </w:rPr>
      </w:pPr>
    </w:p>
    <w:p w14:paraId="5B55FEE4">
      <w:pPr>
        <w:spacing w:line="400" w:lineRule="exact"/>
        <w:rPr>
          <w:rFonts w:hint="eastAsia" w:ascii="Arial" w:hAnsi="Arial" w:eastAsia="宋体" w:cs="Arial"/>
          <w:b/>
          <w:color w:val="auto"/>
          <w:szCs w:val="21"/>
          <w:highlight w:val="none"/>
          <w:lang w:eastAsia="zh-CN"/>
        </w:rPr>
      </w:pPr>
      <w:r>
        <w:rPr>
          <w:rFonts w:ascii="Arial" w:hAnsi="Arial" w:cs="Arial"/>
          <w:b/>
          <w:color w:val="auto"/>
          <w:szCs w:val="21"/>
          <w:highlight w:val="none"/>
        </w:rPr>
        <w:t>甲方（医疗卫生机构）：</w:t>
      </w:r>
      <w:r>
        <w:rPr>
          <w:rFonts w:hint="eastAsia" w:ascii="Arial" w:hAnsi="Arial" w:cs="Arial"/>
          <w:b/>
          <w:color w:val="auto"/>
          <w:szCs w:val="21"/>
          <w:highlight w:val="none"/>
          <w:lang w:eastAsia="zh-CN"/>
        </w:rPr>
        <w:t>桂林医科大学第一附属医院</w:t>
      </w:r>
    </w:p>
    <w:p w14:paraId="28572FEA">
      <w:pPr>
        <w:spacing w:line="400" w:lineRule="exact"/>
        <w:rPr>
          <w:rFonts w:ascii="Arial" w:hAnsi="Arial" w:cs="Arial"/>
          <w:b/>
          <w:color w:val="auto"/>
          <w:szCs w:val="21"/>
          <w:highlight w:val="none"/>
        </w:rPr>
      </w:pPr>
      <w:r>
        <w:rPr>
          <w:rFonts w:ascii="Arial" w:hAnsi="Arial" w:cs="Arial"/>
          <w:b/>
          <w:color w:val="auto"/>
          <w:szCs w:val="21"/>
          <w:highlight w:val="none"/>
        </w:rPr>
        <w:t>乙方（医药生产经营企业及其代理人）：</w:t>
      </w:r>
    </w:p>
    <w:p w14:paraId="2525B32A">
      <w:pPr>
        <w:spacing w:line="400" w:lineRule="exact"/>
        <w:ind w:firstLine="420" w:firstLineChars="200"/>
        <w:rPr>
          <w:rFonts w:ascii="Arial" w:hAnsi="Arial" w:cs="Arial"/>
          <w:color w:val="auto"/>
          <w:szCs w:val="21"/>
          <w:highlight w:val="none"/>
        </w:rPr>
      </w:pPr>
      <w:r>
        <w:rPr>
          <w:rFonts w:ascii="Arial" w:hAnsi="Arial" w:cs="Arial"/>
          <w:color w:val="auto"/>
          <w:szCs w:val="21"/>
          <w:highlight w:val="none"/>
        </w:rPr>
        <w:t>为进一步加强医疗卫生行风建设，规范医疗卫生机构医药购销行为，有效防范商业贿赂行为，营造公平交易、诚实守信的购销环境，经甲、乙双方协商，同意签订本合同，并共同遵守：</w:t>
      </w:r>
    </w:p>
    <w:p w14:paraId="3257A8B7">
      <w:pPr>
        <w:spacing w:line="400" w:lineRule="exact"/>
        <w:ind w:firstLine="430" w:firstLineChars="205"/>
        <w:rPr>
          <w:rFonts w:ascii="Arial" w:hAnsi="Arial" w:cs="Arial"/>
          <w:color w:val="auto"/>
          <w:szCs w:val="21"/>
          <w:highlight w:val="none"/>
        </w:rPr>
      </w:pPr>
      <w:r>
        <w:rPr>
          <w:rFonts w:ascii="Arial" w:hAnsi="Arial" w:cs="Arial"/>
          <w:color w:val="auto"/>
          <w:szCs w:val="21"/>
          <w:highlight w:val="none"/>
        </w:rPr>
        <w:t>一、甲乙双方按照《民法典》及医药产品购销合同约定购销药品、医用设备、医用耗材试剂等医药产品。</w:t>
      </w:r>
    </w:p>
    <w:p w14:paraId="41F6A08C">
      <w:pPr>
        <w:spacing w:line="400" w:lineRule="exact"/>
        <w:ind w:firstLine="430" w:firstLineChars="205"/>
        <w:rPr>
          <w:rFonts w:ascii="Arial" w:hAnsi="Arial" w:cs="Arial"/>
          <w:color w:val="auto"/>
          <w:szCs w:val="21"/>
          <w:highlight w:val="none"/>
        </w:rPr>
      </w:pPr>
      <w:r>
        <w:rPr>
          <w:rFonts w:ascii="Arial" w:hAnsi="Arial" w:cs="Arial"/>
          <w:color w:val="auto"/>
          <w:szCs w:val="21"/>
          <w:highlight w:val="none"/>
        </w:rPr>
        <w:t>二、甲方应当严格执行医药产品购销合同验收、入库制度，对采购医药产品及发票进行查验，不得违反有关规定合同外采购、违价采购或从非规定渠道采购。</w:t>
      </w:r>
    </w:p>
    <w:p w14:paraId="2EE32D13">
      <w:pPr>
        <w:spacing w:line="400" w:lineRule="exact"/>
        <w:ind w:firstLine="430" w:firstLineChars="205"/>
        <w:rPr>
          <w:rFonts w:ascii="Arial" w:hAnsi="Arial" w:cs="Arial"/>
          <w:color w:val="auto"/>
          <w:szCs w:val="21"/>
          <w:highlight w:val="none"/>
        </w:rPr>
      </w:pPr>
      <w:r>
        <w:rPr>
          <w:rFonts w:ascii="Arial" w:hAnsi="Arial" w:cs="Arial"/>
          <w:color w:val="auto"/>
          <w:szCs w:val="21"/>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03246975">
      <w:pPr>
        <w:spacing w:line="400" w:lineRule="exact"/>
        <w:ind w:firstLine="430" w:firstLineChars="205"/>
        <w:rPr>
          <w:rFonts w:ascii="Arial" w:hAnsi="Arial" w:cs="Arial"/>
          <w:color w:val="auto"/>
          <w:szCs w:val="21"/>
          <w:highlight w:val="none"/>
        </w:rPr>
      </w:pPr>
      <w:r>
        <w:rPr>
          <w:rFonts w:ascii="Arial" w:hAnsi="Arial" w:cs="Arial"/>
          <w:color w:val="auto"/>
          <w:szCs w:val="21"/>
          <w:highlight w:val="none"/>
        </w:rPr>
        <w:t>四、严禁甲方工作人员利用任何途径和方式，为乙方统计医师个人及临床科室有关医药产品用量信息，或为乙方统计提供便利。</w:t>
      </w:r>
    </w:p>
    <w:p w14:paraId="44E8A485">
      <w:pPr>
        <w:spacing w:line="400" w:lineRule="exact"/>
        <w:ind w:firstLine="430" w:firstLineChars="205"/>
        <w:rPr>
          <w:rFonts w:ascii="Arial" w:hAnsi="Arial" w:cs="Arial"/>
          <w:color w:val="auto"/>
          <w:szCs w:val="21"/>
          <w:highlight w:val="none"/>
        </w:rPr>
      </w:pPr>
      <w:r>
        <w:rPr>
          <w:rFonts w:ascii="Arial" w:hAnsi="Arial" w:cs="Arial"/>
          <w:color w:val="auto"/>
          <w:szCs w:val="21"/>
          <w:highlight w:val="none"/>
        </w:rPr>
        <w:t>五、乙方不得以回扣、宴请等方式影响甲方工作人员采购或使用医药产品的选择权，不得在学术活动中提供旅游、超标准支付食宿费用。</w:t>
      </w:r>
    </w:p>
    <w:p w14:paraId="29A8227C">
      <w:pPr>
        <w:spacing w:line="400" w:lineRule="exact"/>
        <w:ind w:firstLine="430" w:firstLineChars="205"/>
        <w:rPr>
          <w:rFonts w:ascii="Arial" w:hAnsi="Arial" w:cs="Arial"/>
          <w:color w:val="auto"/>
          <w:szCs w:val="21"/>
          <w:highlight w:val="none"/>
        </w:rPr>
      </w:pPr>
      <w:r>
        <w:rPr>
          <w:rFonts w:ascii="Arial" w:hAnsi="Arial" w:cs="Arial"/>
          <w:color w:val="auto"/>
          <w:szCs w:val="21"/>
          <w:highlight w:val="none"/>
        </w:rPr>
        <w:t>六、乙方指定</w:t>
      </w:r>
      <w:r>
        <w:rPr>
          <w:rFonts w:ascii="Arial" w:hAnsi="Arial" w:cs="Arial"/>
          <w:color w:val="auto"/>
          <w:szCs w:val="21"/>
          <w:highlight w:val="none"/>
          <w:u w:val="single"/>
        </w:rPr>
        <w:t xml:space="preserve">                  </w:t>
      </w:r>
      <w:r>
        <w:rPr>
          <w:rFonts w:ascii="Arial" w:hAnsi="Arial" w:cs="Arial"/>
          <w:color w:val="auto"/>
          <w:szCs w:val="21"/>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13FF5267">
      <w:pPr>
        <w:spacing w:line="400" w:lineRule="exact"/>
        <w:ind w:firstLine="430" w:firstLineChars="205"/>
        <w:rPr>
          <w:rFonts w:ascii="Arial" w:hAnsi="Arial" w:cs="Arial"/>
          <w:color w:val="auto"/>
          <w:szCs w:val="21"/>
          <w:highlight w:val="none"/>
        </w:rPr>
      </w:pPr>
      <w:r>
        <w:rPr>
          <w:rFonts w:ascii="Arial" w:hAnsi="Arial" w:cs="Arial"/>
          <w:color w:val="auto"/>
          <w:szCs w:val="21"/>
          <w:highlight w:val="none"/>
        </w:rPr>
        <w:t>七、乙方如违反本合同，一经发现，甲方有权终止购销合同，并向有关卫生计生行政部门报告。如乙方被列入商业贿赂不良记录，则按照《国家卫生计生委关于建立医药购销领域商业贿赂不良记录的规定》（国卫法制发[2013]50号）相关规定处理。</w:t>
      </w:r>
    </w:p>
    <w:p w14:paraId="172F81FC">
      <w:pPr>
        <w:spacing w:line="400" w:lineRule="exact"/>
        <w:ind w:firstLine="430" w:firstLineChars="205"/>
        <w:rPr>
          <w:rFonts w:ascii="Arial" w:hAnsi="Arial" w:cs="Arial"/>
          <w:color w:val="auto"/>
          <w:szCs w:val="21"/>
          <w:highlight w:val="none"/>
        </w:rPr>
      </w:pPr>
      <w:r>
        <w:rPr>
          <w:rFonts w:ascii="Arial" w:hAnsi="Arial" w:cs="Arial"/>
          <w:color w:val="auto"/>
          <w:szCs w:val="21"/>
          <w:highlight w:val="none"/>
        </w:rPr>
        <w:t>八、本合同作为医药产品购销合同的重要组成部分，与购销合同一并执行，具有同等的法律效力。</w:t>
      </w:r>
    </w:p>
    <w:p w14:paraId="38D6D25F">
      <w:pPr>
        <w:spacing w:line="400" w:lineRule="exact"/>
        <w:ind w:firstLine="430" w:firstLineChars="205"/>
        <w:rPr>
          <w:rFonts w:ascii="Arial" w:hAnsi="Arial" w:cs="Arial"/>
          <w:color w:val="auto"/>
          <w:szCs w:val="21"/>
          <w:highlight w:val="none"/>
        </w:rPr>
      </w:pPr>
      <w:r>
        <w:rPr>
          <w:rFonts w:ascii="Arial" w:hAnsi="Arial" w:cs="Arial"/>
          <w:color w:val="auto"/>
          <w:szCs w:val="21"/>
          <w:highlight w:val="none"/>
        </w:rPr>
        <w:t>九、本合同一式七份，甲方执伍份，乙方执一份，代理机构执一份，并从签订之日起生效。</w:t>
      </w:r>
    </w:p>
    <w:p w14:paraId="53E22327">
      <w:pPr>
        <w:spacing w:line="400" w:lineRule="exact"/>
        <w:rPr>
          <w:rFonts w:ascii="Arial" w:hAnsi="Arial" w:cs="Arial"/>
          <w:b/>
          <w:color w:val="auto"/>
          <w:szCs w:val="21"/>
          <w:highlight w:val="none"/>
        </w:rPr>
      </w:pPr>
      <w:r>
        <w:rPr>
          <w:rFonts w:ascii="Arial" w:hAnsi="Arial" w:cs="Arial"/>
          <w:b/>
          <w:color w:val="auto"/>
          <w:szCs w:val="21"/>
          <w:highlight w:val="none"/>
        </w:rPr>
        <w:t>甲方（盖章）：</w:t>
      </w:r>
      <w:r>
        <w:rPr>
          <w:rFonts w:hint="eastAsia" w:ascii="Arial" w:hAnsi="Arial" w:cs="Arial"/>
          <w:b/>
          <w:color w:val="auto"/>
          <w:szCs w:val="21"/>
          <w:highlight w:val="none"/>
          <w:lang w:eastAsia="zh-CN"/>
        </w:rPr>
        <w:t>桂林医科大学第一附属医院</w:t>
      </w:r>
      <w:r>
        <w:rPr>
          <w:rFonts w:ascii="Arial" w:hAnsi="Arial" w:cs="Arial"/>
          <w:b/>
          <w:color w:val="auto"/>
          <w:szCs w:val="21"/>
          <w:highlight w:val="none"/>
        </w:rPr>
        <w:t xml:space="preserve">                         乙方（盖章）：</w:t>
      </w:r>
    </w:p>
    <w:p w14:paraId="07BA003A">
      <w:pPr>
        <w:spacing w:line="400" w:lineRule="exact"/>
        <w:rPr>
          <w:rFonts w:ascii="Arial" w:hAnsi="Arial" w:cs="Arial"/>
          <w:b/>
          <w:color w:val="auto"/>
          <w:szCs w:val="21"/>
          <w:highlight w:val="none"/>
        </w:rPr>
      </w:pPr>
      <w:r>
        <w:rPr>
          <w:rFonts w:ascii="Arial" w:hAnsi="Arial" w:cs="Arial"/>
          <w:b/>
          <w:color w:val="auto"/>
          <w:szCs w:val="21"/>
          <w:highlight w:val="none"/>
        </w:rPr>
        <w:t>法定代表人（负责人）：                                   法定代表人（负责人）：</w:t>
      </w:r>
    </w:p>
    <w:p w14:paraId="4FAF615B">
      <w:pPr>
        <w:spacing w:line="400" w:lineRule="exact"/>
        <w:rPr>
          <w:rFonts w:ascii="Arial" w:hAnsi="Arial" w:cs="Arial"/>
          <w:b/>
          <w:color w:val="auto"/>
          <w:szCs w:val="21"/>
          <w:highlight w:val="none"/>
          <w:u w:val="single"/>
        </w:rPr>
      </w:pPr>
      <w:r>
        <w:rPr>
          <w:rFonts w:ascii="Arial" w:hAnsi="Arial" w:cs="Arial"/>
          <w:b/>
          <w:color w:val="auto"/>
          <w:szCs w:val="21"/>
          <w:highlight w:val="none"/>
        </w:rPr>
        <w:t>经办人签名：                                             经办人签名：</w:t>
      </w:r>
    </w:p>
    <w:p w14:paraId="5143765E">
      <w:pPr>
        <w:spacing w:line="400" w:lineRule="exact"/>
        <w:rPr>
          <w:rFonts w:ascii="Arial" w:hAnsi="Arial" w:cs="Arial"/>
          <w:b/>
          <w:color w:val="auto"/>
          <w:szCs w:val="21"/>
          <w:highlight w:val="none"/>
        </w:rPr>
      </w:pPr>
      <w:r>
        <w:rPr>
          <w:rFonts w:ascii="Arial" w:hAnsi="Arial" w:cs="Arial"/>
          <w:b/>
          <w:color w:val="auto"/>
          <w:szCs w:val="21"/>
          <w:highlight w:val="none"/>
        </w:rPr>
        <w:t>年   月   日                                             年   月   日</w:t>
      </w:r>
    </w:p>
    <w:p w14:paraId="10C9425B">
      <w:pPr>
        <w:spacing w:before="120" w:line="320" w:lineRule="atLeast"/>
        <w:jc w:val="left"/>
        <w:outlineLvl w:val="1"/>
        <w:rPr>
          <w:rFonts w:ascii="Arial" w:hAnsi="Arial" w:cs="Arial"/>
          <w:color w:val="auto"/>
          <w:highlight w:val="none"/>
        </w:rPr>
      </w:pPr>
      <w:r>
        <w:rPr>
          <w:rFonts w:ascii="Arial" w:hAnsi="Arial" w:cs="Arial"/>
          <w:color w:val="auto"/>
          <w:highlight w:val="none"/>
        </w:rPr>
        <w:br w:type="page"/>
      </w:r>
      <w:bookmarkEnd w:id="78"/>
    </w:p>
    <w:bookmarkEnd w:id="79"/>
    <w:p w14:paraId="27D2E70F">
      <w:pPr>
        <w:pStyle w:val="2"/>
        <w:jc w:val="center"/>
        <w:rPr>
          <w:rFonts w:ascii="Arial" w:hAnsi="Arial" w:cs="Arial"/>
          <w:color w:val="auto"/>
          <w:highlight w:val="none"/>
        </w:rPr>
      </w:pPr>
      <w:bookmarkStart w:id="151" w:name="_Toc412"/>
      <w:r>
        <w:rPr>
          <w:rFonts w:ascii="Arial" w:hAnsi="Arial" w:cs="Arial"/>
          <w:color w:val="auto"/>
          <w:highlight w:val="none"/>
        </w:rPr>
        <w:t>第六章  投标文件格式</w:t>
      </w:r>
      <w:bookmarkEnd w:id="151"/>
    </w:p>
    <w:p w14:paraId="136DDFEB">
      <w:pPr>
        <w:rPr>
          <w:rFonts w:ascii="Arial" w:hAnsi="Arial" w:cs="Arial"/>
          <w:color w:val="auto"/>
          <w:sz w:val="28"/>
          <w:szCs w:val="28"/>
          <w:highlight w:val="none"/>
        </w:rPr>
      </w:pPr>
    </w:p>
    <w:p w14:paraId="0B6A853D">
      <w:pPr>
        <w:rPr>
          <w:rFonts w:ascii="Arial" w:hAnsi="Arial" w:cs="Arial"/>
          <w:color w:val="auto"/>
          <w:sz w:val="28"/>
          <w:szCs w:val="28"/>
          <w:highlight w:val="none"/>
        </w:rPr>
      </w:pPr>
    </w:p>
    <w:p w14:paraId="71E9B23F">
      <w:pPr>
        <w:rPr>
          <w:rFonts w:ascii="Arial" w:hAnsi="Arial" w:cs="Arial"/>
          <w:color w:val="auto"/>
          <w:sz w:val="28"/>
          <w:szCs w:val="28"/>
          <w:highlight w:val="none"/>
        </w:rPr>
      </w:pPr>
    </w:p>
    <w:p w14:paraId="6086A943">
      <w:pPr>
        <w:rPr>
          <w:rFonts w:ascii="Arial" w:hAnsi="Arial" w:cs="Arial"/>
          <w:color w:val="auto"/>
          <w:sz w:val="28"/>
          <w:szCs w:val="28"/>
          <w:highlight w:val="none"/>
        </w:rPr>
      </w:pPr>
    </w:p>
    <w:p w14:paraId="5F7D6189">
      <w:pPr>
        <w:spacing w:line="500" w:lineRule="exact"/>
        <w:ind w:firstLine="560" w:firstLineChars="200"/>
        <w:rPr>
          <w:rFonts w:ascii="Arial" w:hAnsi="Arial" w:cs="Arial"/>
          <w:color w:val="auto"/>
          <w:sz w:val="28"/>
          <w:szCs w:val="28"/>
          <w:highlight w:val="none"/>
        </w:rPr>
      </w:pPr>
      <w:r>
        <w:rPr>
          <w:rFonts w:ascii="Arial" w:hAnsi="Arial" w:cs="Arial"/>
          <w:color w:val="auto"/>
          <w:sz w:val="28"/>
          <w:szCs w:val="28"/>
          <w:highlight w:val="none"/>
        </w:rPr>
        <w:t>注：有签字、盖章要求的应按要求</w:t>
      </w:r>
      <w:bookmarkStart w:id="152" w:name="_Hlk89032274"/>
      <w:r>
        <w:rPr>
          <w:rFonts w:ascii="Arial" w:hAnsi="Arial" w:cs="Arial"/>
          <w:color w:val="auto"/>
          <w:sz w:val="28"/>
          <w:szCs w:val="28"/>
          <w:highlight w:val="none"/>
        </w:rPr>
        <w:t>签字（签章）、盖章（签章）</w:t>
      </w:r>
      <w:bookmarkEnd w:id="152"/>
      <w:r>
        <w:rPr>
          <w:rFonts w:ascii="Arial" w:hAnsi="Arial" w:cs="Arial"/>
          <w:color w:val="auto"/>
          <w:sz w:val="28"/>
          <w:szCs w:val="28"/>
          <w:highlight w:val="none"/>
        </w:rPr>
        <w:t>。</w:t>
      </w:r>
    </w:p>
    <w:p w14:paraId="1042263F">
      <w:pPr>
        <w:snapToGrid w:val="0"/>
        <w:spacing w:before="120" w:beforeLines="50" w:after="50" w:line="440" w:lineRule="exact"/>
        <w:jc w:val="left"/>
        <w:outlineLvl w:val="1"/>
        <w:rPr>
          <w:rFonts w:ascii="Arial" w:hAnsi="Arial" w:cs="Arial"/>
          <w:bCs/>
          <w:color w:val="auto"/>
          <w:sz w:val="24"/>
          <w:highlight w:val="none"/>
        </w:rPr>
      </w:pPr>
      <w:r>
        <w:rPr>
          <w:rFonts w:ascii="Arial" w:hAnsi="Arial" w:cs="Arial"/>
          <w:color w:val="auto"/>
          <w:highlight w:val="none"/>
        </w:rPr>
        <w:br w:type="page"/>
      </w:r>
      <w:bookmarkStart w:id="153" w:name="_Toc254970557"/>
      <w:bookmarkStart w:id="154" w:name="_Toc254970698"/>
      <w:r>
        <w:rPr>
          <w:rFonts w:ascii="Arial" w:hAnsi="Arial" w:cs="Arial"/>
          <w:bCs/>
          <w:color w:val="auto"/>
          <w:sz w:val="24"/>
          <w:highlight w:val="none"/>
        </w:rPr>
        <w:t xml:space="preserve">1．投标文件封面参考格式（资格证明文件）： </w:t>
      </w:r>
    </w:p>
    <w:p w14:paraId="71AD47F3">
      <w:pPr>
        <w:snapToGrid w:val="0"/>
        <w:spacing w:before="120" w:beforeLines="50" w:after="50" w:line="360" w:lineRule="exact"/>
        <w:rPr>
          <w:rFonts w:ascii="Arial" w:hAnsi="Arial" w:cs="Arial"/>
          <w:color w:val="auto"/>
          <w:sz w:val="24"/>
          <w:highlight w:val="none"/>
        </w:rPr>
      </w:pPr>
    </w:p>
    <w:p w14:paraId="08C9BB17">
      <w:pPr>
        <w:snapToGrid w:val="0"/>
        <w:spacing w:before="120" w:beforeLines="50" w:after="50" w:line="360" w:lineRule="exact"/>
        <w:jc w:val="center"/>
        <w:rPr>
          <w:rFonts w:ascii="Arial" w:hAnsi="Arial" w:cs="Arial"/>
          <w:bCs/>
          <w:color w:val="auto"/>
          <w:sz w:val="24"/>
          <w:highlight w:val="none"/>
        </w:rPr>
      </w:pPr>
    </w:p>
    <w:p w14:paraId="5CBC140D">
      <w:pPr>
        <w:snapToGrid w:val="0"/>
        <w:spacing w:before="120"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电子投标文件</w:t>
      </w:r>
    </w:p>
    <w:p w14:paraId="4AECD3E0">
      <w:pPr>
        <w:snapToGrid w:val="0"/>
        <w:spacing w:before="120" w:beforeLines="50" w:after="50" w:line="360" w:lineRule="exact"/>
        <w:jc w:val="center"/>
        <w:rPr>
          <w:rFonts w:ascii="Arial" w:hAnsi="Arial" w:cs="Arial"/>
          <w:b/>
          <w:bCs/>
          <w:color w:val="auto"/>
          <w:sz w:val="44"/>
          <w:szCs w:val="44"/>
          <w:highlight w:val="none"/>
        </w:rPr>
      </w:pPr>
    </w:p>
    <w:p w14:paraId="4D30D20E">
      <w:pPr>
        <w:snapToGrid w:val="0"/>
        <w:spacing w:before="120" w:beforeLines="50" w:after="50" w:line="360" w:lineRule="exact"/>
        <w:jc w:val="center"/>
        <w:rPr>
          <w:rFonts w:ascii="Arial" w:hAnsi="Arial" w:cs="Arial"/>
          <w:b/>
          <w:bCs/>
          <w:color w:val="auto"/>
          <w:sz w:val="44"/>
          <w:szCs w:val="44"/>
          <w:highlight w:val="none"/>
        </w:rPr>
      </w:pPr>
    </w:p>
    <w:p w14:paraId="706BD248">
      <w:pPr>
        <w:snapToGrid w:val="0"/>
        <w:spacing w:before="120"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资格证明文件</w:t>
      </w:r>
    </w:p>
    <w:p w14:paraId="43AD3F1B">
      <w:pPr>
        <w:snapToGrid w:val="0"/>
        <w:spacing w:before="120" w:beforeLines="50" w:after="50" w:line="360" w:lineRule="exact"/>
        <w:rPr>
          <w:rFonts w:ascii="Arial" w:hAnsi="Arial" w:cs="Arial"/>
          <w:bCs/>
          <w:color w:val="auto"/>
          <w:sz w:val="24"/>
          <w:highlight w:val="none"/>
        </w:rPr>
      </w:pPr>
    </w:p>
    <w:p w14:paraId="4E2AC608">
      <w:pPr>
        <w:snapToGrid w:val="0"/>
        <w:spacing w:before="120" w:beforeLines="50" w:after="50" w:line="360" w:lineRule="exact"/>
        <w:rPr>
          <w:rFonts w:ascii="Arial" w:hAnsi="Arial" w:cs="Arial"/>
          <w:bCs/>
          <w:color w:val="auto"/>
          <w:sz w:val="24"/>
          <w:highlight w:val="none"/>
        </w:rPr>
      </w:pPr>
    </w:p>
    <w:p w14:paraId="09B1D546">
      <w:pPr>
        <w:snapToGrid w:val="0"/>
        <w:spacing w:before="120" w:beforeLines="50" w:after="50" w:line="360" w:lineRule="exact"/>
        <w:rPr>
          <w:rFonts w:ascii="Arial" w:hAnsi="Arial" w:cs="Arial"/>
          <w:bCs/>
          <w:color w:val="auto"/>
          <w:sz w:val="24"/>
          <w:highlight w:val="none"/>
        </w:rPr>
      </w:pPr>
    </w:p>
    <w:p w14:paraId="43336CAB">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 xml:space="preserve">项目名称： </w:t>
      </w:r>
    </w:p>
    <w:p w14:paraId="3A708CED">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项目编号：</w:t>
      </w:r>
    </w:p>
    <w:p w14:paraId="5DD0610F">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分标号：（若无留空或写“/”）</w:t>
      </w:r>
    </w:p>
    <w:p w14:paraId="29995F0F">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供应商名称：</w:t>
      </w:r>
    </w:p>
    <w:p w14:paraId="0567A094">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供应商地址：</w:t>
      </w:r>
    </w:p>
    <w:p w14:paraId="7FBCD58B">
      <w:pPr>
        <w:pStyle w:val="7"/>
        <w:snapToGrid w:val="0"/>
        <w:spacing w:before="50" w:after="50" w:line="360" w:lineRule="exact"/>
        <w:ind w:firstLine="960" w:firstLineChars="400"/>
        <w:rPr>
          <w:rFonts w:ascii="Arial" w:hAnsi="Arial" w:cs="Arial"/>
          <w:bCs/>
          <w:color w:val="auto"/>
          <w:sz w:val="24"/>
          <w:szCs w:val="24"/>
          <w:highlight w:val="none"/>
        </w:rPr>
      </w:pPr>
    </w:p>
    <w:p w14:paraId="009983F9">
      <w:pPr>
        <w:snapToGrid w:val="0"/>
        <w:spacing w:before="120" w:beforeLines="50" w:after="50" w:line="360" w:lineRule="exact"/>
        <w:jc w:val="center"/>
        <w:rPr>
          <w:rFonts w:ascii="Arial" w:hAnsi="Arial" w:cs="Arial"/>
          <w:color w:val="auto"/>
          <w:sz w:val="24"/>
          <w:highlight w:val="none"/>
        </w:rPr>
      </w:pPr>
      <w:r>
        <w:rPr>
          <w:rFonts w:ascii="Arial" w:hAnsi="Arial" w:cs="Arial"/>
          <w:color w:val="auto"/>
          <w:sz w:val="24"/>
          <w:highlight w:val="none"/>
        </w:rPr>
        <w:t xml:space="preserve">                        年  月  日</w:t>
      </w:r>
    </w:p>
    <w:p w14:paraId="1F80A21C">
      <w:pPr>
        <w:snapToGrid w:val="0"/>
        <w:spacing w:before="120" w:beforeLines="50" w:after="50" w:line="360" w:lineRule="exact"/>
        <w:rPr>
          <w:rFonts w:ascii="Arial" w:hAnsi="Arial" w:cs="Arial"/>
          <w:b/>
          <w:bCs/>
          <w:color w:val="auto"/>
          <w:sz w:val="24"/>
          <w:highlight w:val="none"/>
        </w:rPr>
      </w:pPr>
      <w:r>
        <w:rPr>
          <w:rFonts w:ascii="Arial" w:hAnsi="Arial" w:cs="Arial"/>
          <w:color w:val="auto"/>
          <w:highlight w:val="none"/>
        </w:rPr>
        <w:br w:type="page"/>
      </w:r>
      <w:bookmarkEnd w:id="153"/>
      <w:bookmarkEnd w:id="154"/>
      <w:r>
        <w:rPr>
          <w:rFonts w:ascii="Arial" w:hAnsi="Arial" w:cs="Arial"/>
          <w:b/>
          <w:bCs/>
          <w:color w:val="auto"/>
          <w:sz w:val="24"/>
          <w:highlight w:val="none"/>
        </w:rPr>
        <w:t xml:space="preserve"> </w:t>
      </w:r>
    </w:p>
    <w:p w14:paraId="1A102BA2">
      <w:pPr>
        <w:snapToGrid w:val="0"/>
        <w:spacing w:before="50" w:after="50" w:line="440" w:lineRule="exact"/>
        <w:ind w:firstLine="138" w:firstLineChars="49"/>
        <w:jc w:val="center"/>
        <w:rPr>
          <w:rFonts w:ascii="Arial" w:hAnsi="Arial" w:cs="Arial"/>
          <w:b/>
          <w:color w:val="auto"/>
          <w:sz w:val="28"/>
          <w:szCs w:val="28"/>
          <w:highlight w:val="none"/>
        </w:rPr>
      </w:pPr>
      <w:r>
        <w:rPr>
          <w:rFonts w:ascii="Arial" w:hAnsi="Arial" w:cs="Arial"/>
          <w:b/>
          <w:color w:val="auto"/>
          <w:sz w:val="28"/>
          <w:szCs w:val="28"/>
          <w:highlight w:val="none"/>
        </w:rPr>
        <w:t>目录</w:t>
      </w:r>
    </w:p>
    <w:p w14:paraId="4AEAAA31">
      <w:pPr>
        <w:snapToGrid w:val="0"/>
        <w:spacing w:before="50" w:after="50" w:line="440" w:lineRule="exact"/>
        <w:ind w:firstLine="118" w:firstLineChars="49"/>
        <w:jc w:val="center"/>
        <w:rPr>
          <w:rFonts w:ascii="Arial" w:hAnsi="Arial" w:cs="Arial"/>
          <w:b/>
          <w:color w:val="auto"/>
          <w:sz w:val="24"/>
          <w:highlight w:val="none"/>
        </w:rPr>
      </w:pPr>
      <w:r>
        <w:rPr>
          <w:rFonts w:ascii="Arial" w:hAnsi="Arial" w:cs="Arial"/>
          <w:b/>
          <w:color w:val="auto"/>
          <w:sz w:val="24"/>
          <w:highlight w:val="none"/>
        </w:rPr>
        <w:t>（应有页码）</w:t>
      </w:r>
    </w:p>
    <w:p w14:paraId="7965E880">
      <w:pPr>
        <w:snapToGrid w:val="0"/>
        <w:spacing w:before="50" w:after="50" w:line="440" w:lineRule="exact"/>
        <w:rPr>
          <w:rFonts w:ascii="Arial" w:hAnsi="Arial" w:cs="Arial"/>
          <w:b/>
          <w:color w:val="auto"/>
          <w:sz w:val="24"/>
          <w:highlight w:val="none"/>
        </w:rPr>
      </w:pPr>
      <w:r>
        <w:rPr>
          <w:rFonts w:ascii="Arial" w:hAnsi="Arial" w:cs="Arial"/>
          <w:b/>
          <w:color w:val="auto"/>
          <w:sz w:val="24"/>
          <w:highlight w:val="none"/>
        </w:rPr>
        <w:br w:type="page"/>
      </w:r>
      <w:r>
        <w:rPr>
          <w:rFonts w:ascii="Arial" w:hAnsi="Arial" w:cs="Arial"/>
          <w:b/>
          <w:color w:val="auto"/>
          <w:szCs w:val="21"/>
          <w:highlight w:val="none"/>
        </w:rPr>
        <w:t>1．投标声明书格式：</w:t>
      </w:r>
    </w:p>
    <w:p w14:paraId="1B52D117">
      <w:pPr>
        <w:snapToGrid w:val="0"/>
        <w:spacing w:before="50" w:after="50" w:line="440" w:lineRule="exact"/>
        <w:ind w:firstLine="157" w:firstLineChars="49"/>
        <w:jc w:val="left"/>
        <w:rPr>
          <w:rFonts w:ascii="Arial" w:hAnsi="Arial" w:cs="Arial"/>
          <w:b/>
          <w:bCs/>
          <w:color w:val="auto"/>
          <w:sz w:val="32"/>
          <w:szCs w:val="32"/>
          <w:highlight w:val="none"/>
        </w:rPr>
      </w:pPr>
    </w:p>
    <w:p w14:paraId="03573FE8">
      <w:pPr>
        <w:snapToGrid w:val="0"/>
        <w:spacing w:before="120" w:beforeLines="50" w:after="50" w:line="360" w:lineRule="exact"/>
        <w:jc w:val="center"/>
        <w:rPr>
          <w:rFonts w:ascii="Arial" w:hAnsi="Arial" w:cs="Arial"/>
          <w:b/>
          <w:color w:val="auto"/>
          <w:szCs w:val="21"/>
          <w:highlight w:val="none"/>
        </w:rPr>
      </w:pPr>
      <w:r>
        <w:rPr>
          <w:rFonts w:ascii="Arial" w:hAnsi="Arial" w:cs="Arial"/>
          <w:b/>
          <w:color w:val="auto"/>
          <w:szCs w:val="21"/>
          <w:highlight w:val="none"/>
        </w:rPr>
        <w:t>投标声明书</w:t>
      </w:r>
    </w:p>
    <w:p w14:paraId="3615E024">
      <w:pPr>
        <w:snapToGrid w:val="0"/>
        <w:spacing w:before="120" w:beforeLines="50" w:after="50" w:line="360" w:lineRule="exact"/>
        <w:jc w:val="center"/>
        <w:rPr>
          <w:rFonts w:ascii="Arial" w:hAnsi="Arial" w:cs="Arial"/>
          <w:color w:val="auto"/>
          <w:szCs w:val="21"/>
          <w:highlight w:val="none"/>
        </w:rPr>
      </w:pPr>
    </w:p>
    <w:p w14:paraId="2EC04411">
      <w:pPr>
        <w:snapToGrid w:val="0"/>
        <w:spacing w:before="120" w:beforeLines="50" w:after="50" w:line="360" w:lineRule="exact"/>
        <w:rPr>
          <w:rFonts w:ascii="Arial" w:hAnsi="Arial" w:cs="Arial"/>
          <w:color w:val="auto"/>
          <w:szCs w:val="21"/>
          <w:highlight w:val="none"/>
        </w:rPr>
      </w:pPr>
      <w:r>
        <w:rPr>
          <w:rFonts w:ascii="Arial" w:hAnsi="Arial" w:cs="Arial"/>
          <w:color w:val="auto"/>
          <w:szCs w:val="21"/>
          <w:highlight w:val="none"/>
        </w:rPr>
        <w:t>致：</w:t>
      </w:r>
      <w:r>
        <w:rPr>
          <w:rFonts w:ascii="Arial" w:hAnsi="Arial" w:cs="Arial"/>
          <w:i/>
          <w:iCs/>
          <w:color w:val="auto"/>
          <w:szCs w:val="21"/>
          <w:highlight w:val="none"/>
          <w:u w:val="single"/>
        </w:rPr>
        <w:t>（采购人名称）</w:t>
      </w:r>
      <w:r>
        <w:rPr>
          <w:rFonts w:ascii="Arial" w:hAnsi="Arial" w:cs="Arial"/>
          <w:color w:val="auto"/>
          <w:szCs w:val="21"/>
          <w:highlight w:val="none"/>
        </w:rPr>
        <w:t>：</w:t>
      </w:r>
    </w:p>
    <w:p w14:paraId="7D6A183A">
      <w:pPr>
        <w:snapToGrid w:val="0"/>
        <w:spacing w:before="120" w:beforeLines="50" w:after="50" w:line="360" w:lineRule="exact"/>
        <w:ind w:firstLine="630" w:firstLineChars="300"/>
        <w:rPr>
          <w:rFonts w:ascii="Arial" w:hAnsi="Arial" w:cs="Arial"/>
          <w:color w:val="auto"/>
          <w:szCs w:val="21"/>
          <w:highlight w:val="none"/>
        </w:rPr>
      </w:pPr>
      <w:r>
        <w:rPr>
          <w:rFonts w:ascii="Arial" w:hAnsi="Arial" w:cs="Arial"/>
          <w:i/>
          <w:iCs/>
          <w:color w:val="auto"/>
          <w:szCs w:val="21"/>
          <w:highlight w:val="none"/>
          <w:u w:val="single"/>
        </w:rPr>
        <w:t>（供应商名称）</w:t>
      </w:r>
      <w:r>
        <w:rPr>
          <w:rFonts w:ascii="Arial" w:hAnsi="Arial" w:cs="Arial"/>
          <w:color w:val="auto"/>
          <w:szCs w:val="21"/>
          <w:highlight w:val="none"/>
        </w:rPr>
        <w:t>系中华人民共和国合法企业，</w:t>
      </w:r>
      <w:r>
        <w:rPr>
          <w:rFonts w:ascii="Arial" w:hAnsi="Arial" w:cs="Arial"/>
          <w:color w:val="auto"/>
          <w:szCs w:val="21"/>
          <w:highlight w:val="none"/>
          <w:u w:val="single"/>
        </w:rPr>
        <w:t xml:space="preserve"> </w:t>
      </w:r>
      <w:r>
        <w:rPr>
          <w:rFonts w:ascii="Arial" w:hAnsi="Arial" w:cs="Arial"/>
          <w:i/>
          <w:iCs/>
          <w:color w:val="auto"/>
          <w:szCs w:val="21"/>
          <w:highlight w:val="none"/>
          <w:u w:val="single"/>
        </w:rPr>
        <w:t xml:space="preserve"> （经营地址）  </w:t>
      </w:r>
      <w:r>
        <w:rPr>
          <w:rFonts w:ascii="Arial" w:hAnsi="Arial" w:cs="Arial"/>
          <w:color w:val="auto"/>
          <w:szCs w:val="21"/>
          <w:highlight w:val="none"/>
          <w:u w:val="single"/>
        </w:rPr>
        <w:t xml:space="preserve"> </w:t>
      </w:r>
      <w:r>
        <w:rPr>
          <w:rFonts w:ascii="Arial" w:hAnsi="Arial" w:cs="Arial"/>
          <w:color w:val="auto"/>
          <w:szCs w:val="21"/>
          <w:highlight w:val="none"/>
        </w:rPr>
        <w:t>。</w:t>
      </w:r>
    </w:p>
    <w:p w14:paraId="19D7BFA4">
      <w:pPr>
        <w:snapToGrid w:val="0"/>
        <w:spacing w:before="120" w:beforeLines="50" w:after="50" w:line="360" w:lineRule="exact"/>
        <w:ind w:firstLine="645"/>
        <w:rPr>
          <w:rFonts w:ascii="Arial" w:hAnsi="Arial" w:cs="Arial"/>
          <w:color w:val="auto"/>
          <w:szCs w:val="21"/>
          <w:highlight w:val="none"/>
        </w:rPr>
      </w:pPr>
      <w:r>
        <w:rPr>
          <w:rFonts w:ascii="Arial" w:hAnsi="Arial" w:cs="Arial"/>
          <w:color w:val="auto"/>
          <w:szCs w:val="21"/>
          <w:highlight w:val="none"/>
        </w:rPr>
        <w:t>我</w:t>
      </w:r>
      <w:r>
        <w:rPr>
          <w:rFonts w:ascii="Arial" w:hAnsi="Arial" w:cs="Arial"/>
          <w:i/>
          <w:iCs/>
          <w:color w:val="auto"/>
          <w:szCs w:val="21"/>
          <w:highlight w:val="none"/>
          <w:u w:val="single"/>
        </w:rPr>
        <w:t xml:space="preserve">（姓名） </w:t>
      </w:r>
      <w:r>
        <w:rPr>
          <w:rFonts w:ascii="Arial" w:hAnsi="Arial" w:cs="Arial"/>
          <w:color w:val="auto"/>
          <w:szCs w:val="21"/>
          <w:highlight w:val="none"/>
        </w:rPr>
        <w:t>系</w:t>
      </w:r>
      <w:r>
        <w:rPr>
          <w:rFonts w:ascii="Arial" w:hAnsi="Arial" w:cs="Arial"/>
          <w:i/>
          <w:iCs/>
          <w:color w:val="auto"/>
          <w:szCs w:val="21"/>
          <w:highlight w:val="none"/>
          <w:u w:val="single"/>
        </w:rPr>
        <w:t>（供应商名称）</w:t>
      </w:r>
      <w:r>
        <w:rPr>
          <w:rFonts w:ascii="Arial" w:hAnsi="Arial" w:cs="Arial"/>
          <w:color w:val="auto"/>
          <w:szCs w:val="21"/>
          <w:highlight w:val="none"/>
        </w:rPr>
        <w:t xml:space="preserve">的法定代表人，我方愿意参加贵方组织的 </w:t>
      </w:r>
      <w:r>
        <w:rPr>
          <w:rFonts w:ascii="Arial" w:hAnsi="Arial" w:cs="Arial"/>
          <w:i/>
          <w:iCs/>
          <w:color w:val="auto"/>
          <w:szCs w:val="21"/>
          <w:highlight w:val="none"/>
          <w:u w:val="single"/>
        </w:rPr>
        <w:t xml:space="preserve">（项目名称） </w:t>
      </w:r>
      <w:r>
        <w:rPr>
          <w:rFonts w:ascii="Arial" w:hAnsi="Arial" w:cs="Arial"/>
          <w:color w:val="auto"/>
          <w:szCs w:val="21"/>
          <w:highlight w:val="none"/>
        </w:rPr>
        <w:t>项目的投标，为便于贵方公正、择优地确定中标供应商及其投标产品和服务，我方就本次投标有关事项郑重声明如下：</w:t>
      </w:r>
    </w:p>
    <w:p w14:paraId="6C9410DA">
      <w:pPr>
        <w:snapToGrid w:val="0"/>
        <w:spacing w:before="120"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（1）我方向贵方提交的所有投标文件、资料都是准确的和真实的。</w:t>
      </w:r>
    </w:p>
    <w:p w14:paraId="4280035D">
      <w:pPr>
        <w:snapToGrid w:val="0"/>
        <w:spacing w:before="120"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（2）我方不是采购人的附属机构；也不是为本项目提供整体设计、规范编制或者项目管理、监理、检测等服务的供应商或其附属机构。</w:t>
      </w:r>
    </w:p>
    <w:p w14:paraId="44422604">
      <w:pPr>
        <w:snapToGrid w:val="0"/>
        <w:spacing w:before="120"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（3）我方承诺在参加本政府采购项目活动前，没有被纳入政府部门或银行认定的失信名单，我方具有良好的商业信誉。</w:t>
      </w:r>
    </w:p>
    <w:p w14:paraId="5218DAC8">
      <w:pPr>
        <w:snapToGrid w:val="0"/>
        <w:spacing w:before="120"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4）我方及本人承诺在参加本政府采购项目活动前三年内，在经营活动中没有重大违法记录。重大违法记录是指供供应商因违法经营受到刑事处罚或者责令停产停业、吊销许可证或者执照、较大数额罚款等行政处罚。如我方提供的声明不实，则自愿承担《政府采购法》有关提供虚假材料的规定给予的处罚。</w:t>
      </w:r>
    </w:p>
    <w:p w14:paraId="14F45829">
      <w:pPr>
        <w:snapToGrid w:val="0"/>
        <w:spacing w:before="120"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（5）我方承诺具有履行本项目合同所必需的设备和专业技术能力。</w:t>
      </w:r>
    </w:p>
    <w:p w14:paraId="27302B4B">
      <w:pPr>
        <w:snapToGrid w:val="0"/>
        <w:spacing w:before="120"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6）我方承诺未被列入失信被执行人、重大税收违法失信主体、政府采购严重违法失信行为记录名单，如我方提供的声明不实，则接受本次投标作为否决投标的处理，并根据财库〔2016〕125号《财政部关于在政府采购活动中查询及使用信用记录有关问题的通知》规定接受失信联合惩戒。</w:t>
      </w:r>
    </w:p>
    <w:p w14:paraId="0C974FEA">
      <w:pPr>
        <w:snapToGrid w:val="0"/>
        <w:spacing w:before="120"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（7）我方承诺中标后按规定缴纳代理服务费。</w:t>
      </w:r>
    </w:p>
    <w:p w14:paraId="76B95CF9">
      <w:pPr>
        <w:snapToGrid w:val="0"/>
        <w:spacing w:before="120" w:beforeLines="50" w:line="360" w:lineRule="exact"/>
        <w:ind w:firstLine="420" w:firstLineChars="200"/>
        <w:rPr>
          <w:rFonts w:ascii="Arial" w:hAnsi="Arial" w:cs="Arial"/>
          <w:color w:val="auto"/>
          <w:szCs w:val="21"/>
          <w:highlight w:val="none"/>
        </w:rPr>
      </w:pPr>
      <w:r>
        <w:rPr>
          <w:rFonts w:ascii="Arial" w:hAnsi="Arial" w:cs="Arial"/>
          <w:color w:val="auto"/>
          <w:szCs w:val="21"/>
          <w:highlight w:val="none"/>
        </w:rPr>
        <w:t>我方对以上声明负全部法律责任。如有虚假或隐瞒，我方愿意承担一切后果，并不再寻求任何旨在减轻或免除法律责任的辩解。</w:t>
      </w:r>
    </w:p>
    <w:p w14:paraId="19472FCF">
      <w:pPr>
        <w:snapToGrid w:val="0"/>
        <w:spacing w:before="120" w:beforeLines="50" w:line="360" w:lineRule="exact"/>
        <w:ind w:firstLine="420" w:firstLineChars="200"/>
        <w:rPr>
          <w:rFonts w:ascii="Arial" w:hAnsi="Arial" w:cs="Arial"/>
          <w:color w:val="auto"/>
          <w:szCs w:val="21"/>
          <w:highlight w:val="none"/>
        </w:rPr>
      </w:pPr>
    </w:p>
    <w:p w14:paraId="077D07B5">
      <w:pPr>
        <w:snapToGrid w:val="0"/>
        <w:spacing w:before="120" w:beforeLines="50" w:after="50" w:line="360" w:lineRule="exact"/>
        <w:ind w:firstLine="210" w:firstLineChars="100"/>
        <w:jc w:val="right"/>
        <w:rPr>
          <w:rFonts w:ascii="Arial" w:hAnsi="Arial" w:cs="Arial"/>
          <w:color w:val="auto"/>
          <w:szCs w:val="21"/>
          <w:highlight w:val="none"/>
        </w:rPr>
      </w:pPr>
      <w:bookmarkStart w:id="155" w:name="_Hlk88990289"/>
      <w:r>
        <w:rPr>
          <w:rFonts w:ascii="Arial" w:hAnsi="Arial" w:cs="Arial"/>
          <w:color w:val="auto"/>
          <w:szCs w:val="21"/>
          <w:highlight w:val="none"/>
        </w:rPr>
        <w:t>供应商名称（电子签章）</w:t>
      </w:r>
      <w:bookmarkEnd w:id="155"/>
      <w:r>
        <w:rPr>
          <w:rFonts w:ascii="Arial" w:hAnsi="Arial" w:cs="Arial"/>
          <w:color w:val="auto"/>
          <w:szCs w:val="21"/>
          <w:highlight w:val="none"/>
        </w:rPr>
        <w:t>：</w:t>
      </w:r>
      <w:r>
        <w:rPr>
          <w:rFonts w:ascii="Arial" w:hAnsi="Arial" w:cs="Arial"/>
          <w:color w:val="auto"/>
          <w:szCs w:val="21"/>
          <w:highlight w:val="none"/>
          <w:u w:val="single"/>
        </w:rPr>
        <w:t xml:space="preserve">         </w:t>
      </w:r>
      <w:r>
        <w:rPr>
          <w:rFonts w:ascii="Arial" w:hAnsi="Arial" w:cs="Arial"/>
          <w:color w:val="auto"/>
          <w:szCs w:val="21"/>
          <w:highlight w:val="none"/>
        </w:rPr>
        <w:t xml:space="preserve">                                          </w:t>
      </w:r>
    </w:p>
    <w:p w14:paraId="05827748">
      <w:pPr>
        <w:snapToGrid w:val="0"/>
        <w:spacing w:before="120" w:beforeLines="50" w:after="50" w:line="360" w:lineRule="exact"/>
        <w:ind w:firstLine="210" w:firstLineChars="100"/>
        <w:jc w:val="right"/>
        <w:rPr>
          <w:rFonts w:ascii="Arial" w:hAnsi="Arial" w:cs="Arial"/>
          <w:color w:val="auto"/>
          <w:szCs w:val="21"/>
          <w:highlight w:val="none"/>
        </w:rPr>
      </w:pPr>
      <w:r>
        <w:rPr>
          <w:rFonts w:ascii="Arial" w:hAnsi="Arial" w:cs="Arial"/>
          <w:color w:val="auto"/>
          <w:szCs w:val="21"/>
          <w:highlight w:val="none"/>
        </w:rPr>
        <w:t>年    月    日</w:t>
      </w:r>
    </w:p>
    <w:p w14:paraId="06EEF78D">
      <w:pPr>
        <w:snapToGrid w:val="0"/>
        <w:spacing w:before="120" w:beforeLines="50" w:after="50" w:line="360" w:lineRule="exact"/>
        <w:rPr>
          <w:rFonts w:ascii="Arial" w:hAnsi="Arial" w:cs="Arial"/>
          <w:color w:val="auto"/>
          <w:szCs w:val="21"/>
          <w:highlight w:val="none"/>
        </w:rPr>
      </w:pPr>
      <w:r>
        <w:rPr>
          <w:rFonts w:ascii="Arial" w:hAnsi="Arial" w:cs="Arial"/>
          <w:color w:val="auto"/>
          <w:szCs w:val="21"/>
          <w:highlight w:val="none"/>
        </w:rPr>
        <w:br w:type="page"/>
      </w:r>
      <w:r>
        <w:rPr>
          <w:rFonts w:ascii="Arial" w:hAnsi="Arial" w:cs="Arial"/>
          <w:color w:val="auto"/>
          <w:szCs w:val="21"/>
          <w:highlight w:val="none"/>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电子签章）。</w:t>
      </w:r>
    </w:p>
    <w:p w14:paraId="5EA356A8">
      <w:pPr>
        <w:snapToGrid w:val="0"/>
        <w:spacing w:before="120" w:beforeLines="50" w:after="50" w:line="440" w:lineRule="exact"/>
        <w:rPr>
          <w:rFonts w:ascii="Arial" w:hAnsi="Arial" w:cs="Arial"/>
          <w:color w:val="auto"/>
          <w:sz w:val="18"/>
          <w:szCs w:val="18"/>
          <w:highlight w:val="none"/>
        </w:rPr>
      </w:pPr>
    </w:p>
    <w:p w14:paraId="78605753">
      <w:pPr>
        <w:snapToGrid w:val="0"/>
        <w:spacing w:before="120" w:beforeLines="50" w:after="50" w:line="440" w:lineRule="exact"/>
        <w:rPr>
          <w:rFonts w:ascii="Arial" w:hAnsi="Arial" w:cs="Arial"/>
          <w:b/>
          <w:color w:val="auto"/>
          <w:szCs w:val="21"/>
          <w:highlight w:val="none"/>
        </w:rPr>
      </w:pPr>
      <w:r>
        <w:rPr>
          <w:rFonts w:ascii="Arial" w:hAnsi="Arial" w:cs="Arial"/>
          <w:color w:val="auto"/>
          <w:szCs w:val="21"/>
          <w:highlight w:val="none"/>
        </w:rPr>
        <w:t>3．财务状况报告（表）复印件或银行出具的资信证明复印件。</w:t>
      </w:r>
      <w:r>
        <w:rPr>
          <w:rFonts w:ascii="Arial" w:hAnsi="Arial" w:cs="Arial"/>
          <w:color w:val="auto"/>
          <w:highlight w:val="none"/>
        </w:rPr>
        <w:t>对于从取得营业执照时间起到截标时间为止不足1年的供应商，只需提交</w:t>
      </w:r>
      <w:r>
        <w:rPr>
          <w:rFonts w:ascii="Arial" w:hAnsi="Arial" w:cs="Arial"/>
          <w:color w:val="auto"/>
          <w:szCs w:val="21"/>
          <w:highlight w:val="none"/>
        </w:rPr>
        <w:t>截标时间前一个月的财务状况报告（表）复印件。（按“评审方法及标准” “资格审查表”规定提供）。（加盖供应商电子签章）。</w:t>
      </w:r>
    </w:p>
    <w:p w14:paraId="55E9837A">
      <w:pPr>
        <w:snapToGrid w:val="0"/>
        <w:spacing w:before="120" w:beforeLines="50" w:after="50" w:line="440" w:lineRule="exact"/>
        <w:rPr>
          <w:rFonts w:ascii="Arial" w:hAnsi="Arial" w:cs="Arial"/>
          <w:color w:val="auto"/>
          <w:szCs w:val="21"/>
          <w:highlight w:val="none"/>
        </w:rPr>
      </w:pPr>
    </w:p>
    <w:p w14:paraId="6BA4BFA2">
      <w:pPr>
        <w:snapToGrid w:val="0"/>
        <w:spacing w:before="120" w:beforeLines="50" w:after="50" w:line="440" w:lineRule="exact"/>
        <w:rPr>
          <w:rFonts w:ascii="Arial" w:hAnsi="Arial" w:cs="Arial"/>
          <w:color w:val="auto"/>
          <w:highlight w:val="none"/>
        </w:rPr>
      </w:pPr>
      <w:r>
        <w:rPr>
          <w:rFonts w:ascii="Arial" w:hAnsi="Arial" w:cs="Arial"/>
          <w:color w:val="auto"/>
          <w:highlight w:val="none"/>
        </w:rPr>
        <w:t>4．依法缴纳税费证明和社会保险缴纳证明材料。供应商成立不足1个月的，无须提供缴纳税费证明及社保缴费证明。依法免税或不需要缴纳社会保障资金的供应商，须提供相应文件证明其依法免税或不需要缴纳社会保障资金。</w:t>
      </w:r>
      <w:r>
        <w:rPr>
          <w:rFonts w:ascii="Arial" w:hAnsi="Arial" w:cs="Arial"/>
          <w:color w:val="auto"/>
          <w:szCs w:val="21"/>
          <w:highlight w:val="none"/>
        </w:rPr>
        <w:t>（按“评审方法及标准” “资格审查表”规定提供）（加盖供应商电子签章）。</w:t>
      </w:r>
    </w:p>
    <w:p w14:paraId="4A34B052">
      <w:pPr>
        <w:snapToGrid w:val="0"/>
        <w:spacing w:before="120" w:beforeLines="50" w:after="50" w:line="360" w:lineRule="exact"/>
        <w:rPr>
          <w:rFonts w:ascii="Arial" w:hAnsi="Arial" w:cs="Arial"/>
          <w:color w:val="auto"/>
          <w:szCs w:val="21"/>
          <w:highlight w:val="none"/>
        </w:rPr>
      </w:pPr>
    </w:p>
    <w:p w14:paraId="5556933C">
      <w:pPr>
        <w:snapToGrid w:val="0"/>
        <w:spacing w:before="50" w:after="120" w:afterLines="50" w:line="440" w:lineRule="exact"/>
        <w:jc w:val="left"/>
        <w:rPr>
          <w:rFonts w:ascii="Arial" w:hAnsi="Arial" w:cs="Arial"/>
          <w:b/>
          <w:color w:val="auto"/>
          <w:szCs w:val="21"/>
          <w:highlight w:val="none"/>
        </w:rPr>
      </w:pPr>
      <w:r>
        <w:rPr>
          <w:rFonts w:ascii="Arial" w:hAnsi="Arial" w:cs="Arial"/>
          <w:color w:val="auto"/>
          <w:szCs w:val="21"/>
          <w:highlight w:val="none"/>
        </w:rPr>
        <w:t>5．具备法律、行政法规规定的其他要求的证明材料</w:t>
      </w:r>
      <w:r>
        <w:rPr>
          <w:rFonts w:ascii="Arial" w:hAnsi="Arial" w:cs="Arial"/>
          <w:color w:val="auto"/>
          <w:highlight w:val="none"/>
        </w:rPr>
        <w:t>（</w:t>
      </w:r>
      <w:r>
        <w:rPr>
          <w:rFonts w:ascii="Arial" w:hAnsi="Arial" w:cs="Arial"/>
          <w:color w:val="auto"/>
          <w:szCs w:val="21"/>
          <w:highlight w:val="none"/>
        </w:rPr>
        <w:t>按“评审方法及标准” “资格审查表”规定提供</w:t>
      </w:r>
      <w:r>
        <w:rPr>
          <w:rFonts w:ascii="Arial" w:hAnsi="Arial" w:cs="Arial"/>
          <w:color w:val="auto"/>
          <w:highlight w:val="none"/>
        </w:rPr>
        <w:t>）。</w:t>
      </w:r>
      <w:r>
        <w:rPr>
          <w:rFonts w:ascii="Arial" w:hAnsi="Arial" w:cs="Arial"/>
          <w:b/>
          <w:color w:val="auto"/>
          <w:szCs w:val="21"/>
          <w:highlight w:val="none"/>
        </w:rPr>
        <w:t>（如招标文件有要求时提供）</w:t>
      </w:r>
    </w:p>
    <w:p w14:paraId="29868F08">
      <w:pPr>
        <w:snapToGrid w:val="0"/>
        <w:spacing w:before="50" w:after="120" w:afterLines="50" w:line="440" w:lineRule="exact"/>
        <w:jc w:val="left"/>
        <w:rPr>
          <w:rFonts w:ascii="Arial" w:hAnsi="Arial" w:cs="Arial"/>
          <w:color w:val="auto"/>
          <w:szCs w:val="21"/>
          <w:highlight w:val="none"/>
        </w:rPr>
      </w:pPr>
    </w:p>
    <w:p w14:paraId="4F06CE62">
      <w:pPr>
        <w:widowControl/>
        <w:jc w:val="left"/>
        <w:rPr>
          <w:rFonts w:ascii="Arial" w:hAnsi="Arial" w:cs="Arial"/>
          <w:b/>
          <w:color w:val="auto"/>
          <w:szCs w:val="21"/>
          <w:highlight w:val="none"/>
        </w:rPr>
      </w:pPr>
      <w:r>
        <w:rPr>
          <w:rFonts w:ascii="Arial" w:hAnsi="Arial" w:cs="Arial"/>
          <w:b/>
          <w:bCs/>
          <w:color w:val="auto"/>
          <w:szCs w:val="21"/>
          <w:highlight w:val="none"/>
        </w:rPr>
        <w:t>6．</w:t>
      </w:r>
      <w:r>
        <w:rPr>
          <w:rFonts w:ascii="Arial" w:hAnsi="Arial" w:cs="Arial"/>
          <w:b/>
          <w:bCs/>
          <w:color w:val="auto"/>
          <w:highlight w:val="none"/>
        </w:rPr>
        <w:t>满足供应商特定资格条件的其他证明材料</w:t>
      </w:r>
      <w:r>
        <w:rPr>
          <w:rFonts w:ascii="Arial" w:hAnsi="Arial" w:cs="Arial"/>
          <w:b/>
          <w:bCs/>
          <w:color w:val="auto"/>
          <w:szCs w:val="21"/>
          <w:highlight w:val="none"/>
        </w:rPr>
        <w:t>加盖供应商电子签章</w:t>
      </w:r>
      <w:r>
        <w:rPr>
          <w:rFonts w:ascii="Arial" w:hAnsi="Arial" w:cs="Arial"/>
          <w:b/>
          <w:bCs/>
          <w:color w:val="auto"/>
          <w:highlight w:val="none"/>
        </w:rPr>
        <w:t>（</w:t>
      </w:r>
      <w:r>
        <w:rPr>
          <w:rFonts w:ascii="Arial" w:hAnsi="Arial" w:cs="Arial"/>
          <w:b/>
          <w:bCs/>
          <w:color w:val="auto"/>
          <w:szCs w:val="21"/>
          <w:highlight w:val="none"/>
        </w:rPr>
        <w:t>按“评审方法及标准” “资格审查表”“</w:t>
      </w:r>
      <w:r>
        <w:rPr>
          <w:rFonts w:ascii="Arial" w:hAnsi="Arial" w:cs="Arial"/>
          <w:b/>
          <w:bCs/>
          <w:color w:val="auto"/>
          <w:szCs w:val="21"/>
          <w:highlight w:val="none"/>
          <w:lang w:val="zh-CN"/>
        </w:rPr>
        <w:t xml:space="preserve"> 供应商应符合的</w:t>
      </w:r>
      <w:r>
        <w:rPr>
          <w:rFonts w:ascii="Arial" w:hAnsi="Arial" w:cs="Arial"/>
          <w:b/>
          <w:bCs/>
          <w:color w:val="auto"/>
          <w:szCs w:val="21"/>
          <w:highlight w:val="none"/>
        </w:rPr>
        <w:t>特定资格条件”规定提供</w:t>
      </w:r>
      <w:r>
        <w:rPr>
          <w:rFonts w:ascii="Arial" w:hAnsi="Arial" w:cs="Arial"/>
          <w:b/>
          <w:bCs/>
          <w:color w:val="auto"/>
          <w:highlight w:val="none"/>
        </w:rPr>
        <w:t>）。</w:t>
      </w:r>
      <w:r>
        <w:rPr>
          <w:rFonts w:ascii="Arial" w:hAnsi="Arial" w:cs="Arial"/>
          <w:b/>
          <w:color w:val="auto"/>
          <w:szCs w:val="21"/>
          <w:highlight w:val="none"/>
        </w:rPr>
        <w:t>（如招标文件有要求时提供）</w:t>
      </w:r>
    </w:p>
    <w:p w14:paraId="712E87A1">
      <w:pPr>
        <w:snapToGrid w:val="0"/>
        <w:spacing w:before="50" w:after="120" w:afterLines="50" w:line="360" w:lineRule="auto"/>
        <w:jc w:val="left"/>
        <w:rPr>
          <w:rFonts w:ascii="Arial" w:hAnsi="Arial" w:cs="Arial"/>
          <w:color w:val="auto"/>
          <w:szCs w:val="21"/>
          <w:highlight w:val="none"/>
        </w:rPr>
        <w:sectPr>
          <w:headerReference r:id="rId14" w:type="default"/>
          <w:footerReference r:id="rId15" w:type="default"/>
          <w:pgSz w:w="11906" w:h="16838"/>
          <w:pgMar w:top="1418" w:right="1133" w:bottom="1246" w:left="1418" w:header="851" w:footer="992" w:gutter="0"/>
          <w:cols w:space="720" w:num="1"/>
          <w:docGrid w:linePitch="312" w:charSpace="0"/>
        </w:sectPr>
      </w:pPr>
    </w:p>
    <w:p w14:paraId="27667187">
      <w:pPr>
        <w:snapToGrid w:val="0"/>
        <w:spacing w:before="50" w:after="120" w:afterLines="50" w:line="360" w:lineRule="auto"/>
        <w:jc w:val="left"/>
        <w:rPr>
          <w:rFonts w:ascii="Arial" w:hAnsi="Arial" w:cs="Arial"/>
          <w:color w:val="auto"/>
          <w:szCs w:val="21"/>
          <w:highlight w:val="none"/>
        </w:rPr>
      </w:pPr>
      <w:r>
        <w:rPr>
          <w:rFonts w:ascii="Arial" w:hAnsi="Arial" w:cs="Arial"/>
          <w:color w:val="auto"/>
          <w:szCs w:val="21"/>
          <w:highlight w:val="none"/>
        </w:rPr>
        <w:t>6.1投标人直接控股股东信息表</w:t>
      </w:r>
    </w:p>
    <w:tbl>
      <w:tblPr>
        <w:tblStyle w:val="52"/>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668D8BEE">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23AD6E2">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ADCC7D5">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10B6813">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47762A">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750D559">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备注</w:t>
            </w:r>
          </w:p>
        </w:tc>
      </w:tr>
      <w:tr w14:paraId="53A7F66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22AB677">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09B1197">
            <w:pPr>
              <w:spacing w:line="360" w:lineRule="auto"/>
              <w:jc w:val="center"/>
              <w:rPr>
                <w:rFonts w:ascii="Arial" w:hAnsi="Arial" w:eastAsia="宋体"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97DA104">
            <w:pPr>
              <w:spacing w:line="360" w:lineRule="auto"/>
              <w:jc w:val="center"/>
              <w:rPr>
                <w:rFonts w:ascii="Arial" w:hAnsi="Arial" w:eastAsia="宋体"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D4D0F08">
            <w:pPr>
              <w:spacing w:line="360" w:lineRule="auto"/>
              <w:jc w:val="center"/>
              <w:rPr>
                <w:rFonts w:ascii="Arial" w:hAnsi="Arial" w:eastAsia="宋体"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B4F7B7">
            <w:pPr>
              <w:spacing w:line="360" w:lineRule="auto"/>
              <w:jc w:val="center"/>
              <w:rPr>
                <w:rFonts w:ascii="Arial" w:hAnsi="Arial" w:eastAsia="宋体" w:cs="Arial"/>
                <w:color w:val="auto"/>
                <w:szCs w:val="21"/>
                <w:highlight w:val="none"/>
              </w:rPr>
            </w:pPr>
          </w:p>
        </w:tc>
      </w:tr>
      <w:tr w14:paraId="7AE0337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DD8F2FA">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7687587">
            <w:pPr>
              <w:spacing w:line="360" w:lineRule="auto"/>
              <w:jc w:val="center"/>
              <w:rPr>
                <w:rFonts w:ascii="Arial" w:hAnsi="Arial" w:eastAsia="宋体"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4534681">
            <w:pPr>
              <w:spacing w:line="360" w:lineRule="auto"/>
              <w:jc w:val="center"/>
              <w:rPr>
                <w:rFonts w:ascii="Arial" w:hAnsi="Arial" w:eastAsia="宋体"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6F615DE">
            <w:pPr>
              <w:spacing w:line="360" w:lineRule="auto"/>
              <w:jc w:val="center"/>
              <w:rPr>
                <w:rFonts w:ascii="Arial" w:hAnsi="Arial" w:eastAsia="宋体"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46A7DD">
            <w:pPr>
              <w:spacing w:line="360" w:lineRule="auto"/>
              <w:jc w:val="center"/>
              <w:rPr>
                <w:rFonts w:ascii="Arial" w:hAnsi="Arial" w:eastAsia="宋体" w:cs="Arial"/>
                <w:color w:val="auto"/>
                <w:szCs w:val="21"/>
                <w:highlight w:val="none"/>
              </w:rPr>
            </w:pPr>
          </w:p>
        </w:tc>
      </w:tr>
      <w:tr w14:paraId="3D2688F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20DDEF0">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1CE6C08">
            <w:pPr>
              <w:spacing w:line="360" w:lineRule="auto"/>
              <w:jc w:val="center"/>
              <w:rPr>
                <w:rFonts w:ascii="Arial" w:hAnsi="Arial" w:eastAsia="宋体"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707971E">
            <w:pPr>
              <w:spacing w:line="360" w:lineRule="auto"/>
              <w:jc w:val="center"/>
              <w:rPr>
                <w:rFonts w:ascii="Arial" w:hAnsi="Arial" w:eastAsia="宋体"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4C637A5">
            <w:pPr>
              <w:spacing w:line="360" w:lineRule="auto"/>
              <w:jc w:val="center"/>
              <w:rPr>
                <w:rFonts w:ascii="Arial" w:hAnsi="Arial" w:eastAsia="宋体"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1ADBA50">
            <w:pPr>
              <w:spacing w:line="360" w:lineRule="auto"/>
              <w:jc w:val="center"/>
              <w:rPr>
                <w:rFonts w:ascii="Arial" w:hAnsi="Arial" w:eastAsia="宋体" w:cs="Arial"/>
                <w:color w:val="auto"/>
                <w:szCs w:val="21"/>
                <w:highlight w:val="none"/>
              </w:rPr>
            </w:pPr>
          </w:p>
        </w:tc>
      </w:tr>
      <w:tr w14:paraId="50B7B21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1F3FA84">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0384281">
            <w:pPr>
              <w:spacing w:line="360" w:lineRule="auto"/>
              <w:jc w:val="center"/>
              <w:rPr>
                <w:rFonts w:ascii="Arial" w:hAnsi="Arial" w:eastAsia="宋体"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6CC19E0">
            <w:pPr>
              <w:spacing w:line="360" w:lineRule="auto"/>
              <w:jc w:val="center"/>
              <w:rPr>
                <w:rFonts w:ascii="Arial" w:hAnsi="Arial" w:eastAsia="宋体"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43B8C80">
            <w:pPr>
              <w:spacing w:line="360" w:lineRule="auto"/>
              <w:jc w:val="center"/>
              <w:rPr>
                <w:rFonts w:ascii="Arial" w:hAnsi="Arial" w:eastAsia="宋体"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219F77">
            <w:pPr>
              <w:spacing w:line="360" w:lineRule="auto"/>
              <w:jc w:val="center"/>
              <w:rPr>
                <w:rFonts w:ascii="Arial" w:hAnsi="Arial" w:eastAsia="宋体" w:cs="Arial"/>
                <w:color w:val="auto"/>
                <w:szCs w:val="21"/>
                <w:highlight w:val="none"/>
              </w:rPr>
            </w:pPr>
          </w:p>
        </w:tc>
      </w:tr>
    </w:tbl>
    <w:p w14:paraId="40804C90">
      <w:pPr>
        <w:snapToGrid w:val="0"/>
        <w:spacing w:line="360" w:lineRule="auto"/>
        <w:jc w:val="left"/>
        <w:rPr>
          <w:rFonts w:ascii="Arial" w:hAnsi="Arial" w:cs="Arial"/>
          <w:color w:val="auto"/>
          <w:szCs w:val="21"/>
          <w:highlight w:val="none"/>
        </w:rPr>
      </w:pPr>
      <w:r>
        <w:rPr>
          <w:rFonts w:ascii="Arial" w:hAnsi="Arial" w:cs="Arial"/>
          <w:color w:val="auto"/>
          <w:szCs w:val="21"/>
          <w:highlight w:val="none"/>
        </w:rPr>
        <w:t>注：</w:t>
      </w:r>
    </w:p>
    <w:p w14:paraId="2A303167">
      <w:pPr>
        <w:snapToGrid w:val="0"/>
        <w:spacing w:line="360" w:lineRule="auto"/>
        <w:jc w:val="left"/>
        <w:rPr>
          <w:rFonts w:ascii="Arial" w:hAnsi="Arial" w:cs="Arial"/>
          <w:color w:val="auto"/>
          <w:szCs w:val="21"/>
          <w:highlight w:val="none"/>
        </w:rPr>
      </w:pPr>
      <w:r>
        <w:rPr>
          <w:rFonts w:ascii="Arial" w:hAnsi="Arial" w:cs="Arial"/>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8B580A7">
      <w:pPr>
        <w:snapToGrid w:val="0"/>
        <w:spacing w:line="360" w:lineRule="auto"/>
        <w:jc w:val="left"/>
        <w:rPr>
          <w:rFonts w:ascii="Arial" w:hAnsi="Arial" w:cs="Arial"/>
          <w:color w:val="auto"/>
          <w:szCs w:val="21"/>
          <w:highlight w:val="none"/>
        </w:rPr>
      </w:pPr>
      <w:r>
        <w:rPr>
          <w:rFonts w:ascii="Arial" w:hAnsi="Arial" w:cs="Arial"/>
          <w:color w:val="auto"/>
          <w:szCs w:val="21"/>
          <w:highlight w:val="none"/>
        </w:rPr>
        <w:t>2.本表所指的控股关系仅限于直接控股关系，不包括间接的控股关系。公司实际控制人与公司之间的关系不属于本表所指的直接控股关系。</w:t>
      </w:r>
    </w:p>
    <w:p w14:paraId="35AB380D">
      <w:pPr>
        <w:snapToGrid w:val="0"/>
        <w:spacing w:line="360" w:lineRule="auto"/>
        <w:jc w:val="left"/>
        <w:rPr>
          <w:rFonts w:ascii="Arial" w:hAnsi="Arial" w:cs="Arial"/>
          <w:color w:val="auto"/>
          <w:szCs w:val="21"/>
          <w:highlight w:val="none"/>
        </w:rPr>
      </w:pPr>
      <w:r>
        <w:rPr>
          <w:rFonts w:ascii="Arial" w:hAnsi="Arial" w:cs="Arial"/>
          <w:color w:val="auto"/>
          <w:szCs w:val="21"/>
          <w:highlight w:val="none"/>
        </w:rPr>
        <w:t>3.供应商不存在直接控股股东的，则填“无”。</w:t>
      </w:r>
    </w:p>
    <w:p w14:paraId="066B8BB5">
      <w:pPr>
        <w:snapToGrid w:val="0"/>
        <w:spacing w:line="360" w:lineRule="auto"/>
        <w:jc w:val="left"/>
        <w:rPr>
          <w:rFonts w:ascii="Arial" w:hAnsi="Arial" w:cs="Arial"/>
          <w:color w:val="auto"/>
          <w:szCs w:val="21"/>
          <w:highlight w:val="none"/>
        </w:rPr>
      </w:pPr>
    </w:p>
    <w:p w14:paraId="2D725248">
      <w:pPr>
        <w:snapToGrid w:val="0"/>
        <w:spacing w:line="360" w:lineRule="auto"/>
        <w:jc w:val="left"/>
        <w:rPr>
          <w:rFonts w:ascii="Arial" w:hAnsi="Arial" w:cs="Arial"/>
          <w:color w:val="auto"/>
          <w:szCs w:val="21"/>
          <w:highlight w:val="none"/>
        </w:rPr>
      </w:pPr>
    </w:p>
    <w:p w14:paraId="0DAAE501">
      <w:pPr>
        <w:snapToGrid w:val="0"/>
        <w:spacing w:line="360" w:lineRule="auto"/>
        <w:jc w:val="left"/>
        <w:rPr>
          <w:rFonts w:ascii="Arial" w:hAnsi="Arial" w:cs="Arial"/>
          <w:color w:val="auto"/>
          <w:szCs w:val="21"/>
          <w:highlight w:val="none"/>
        </w:rPr>
      </w:pPr>
    </w:p>
    <w:p w14:paraId="3AFAE8A6">
      <w:pPr>
        <w:snapToGrid w:val="0"/>
        <w:spacing w:line="360" w:lineRule="auto"/>
        <w:jc w:val="left"/>
        <w:rPr>
          <w:rFonts w:ascii="Arial" w:hAnsi="Arial" w:cs="Arial"/>
          <w:color w:val="auto"/>
          <w:szCs w:val="21"/>
          <w:highlight w:val="none"/>
        </w:rPr>
      </w:pPr>
    </w:p>
    <w:p w14:paraId="209D10E4">
      <w:pPr>
        <w:snapToGrid w:val="0"/>
        <w:spacing w:line="360" w:lineRule="auto"/>
        <w:jc w:val="left"/>
        <w:rPr>
          <w:rFonts w:ascii="Arial" w:hAnsi="Arial" w:cs="Arial"/>
          <w:color w:val="auto"/>
          <w:szCs w:val="21"/>
          <w:highlight w:val="none"/>
        </w:rPr>
      </w:pPr>
    </w:p>
    <w:p w14:paraId="120F9ED4">
      <w:pPr>
        <w:snapToGrid w:val="0"/>
        <w:spacing w:line="360" w:lineRule="auto"/>
        <w:ind w:firstLine="4410" w:firstLineChars="2100"/>
        <w:rPr>
          <w:rFonts w:ascii="Arial" w:hAnsi="Arial" w:cs="Arial"/>
          <w:color w:val="auto"/>
          <w:szCs w:val="21"/>
          <w:highlight w:val="none"/>
        </w:rPr>
      </w:pPr>
      <w:r>
        <w:rPr>
          <w:rFonts w:ascii="Arial" w:hAnsi="Arial" w:cs="Arial"/>
          <w:color w:val="auto"/>
          <w:szCs w:val="21"/>
          <w:highlight w:val="none"/>
        </w:rPr>
        <w:t>供应商名称(电子签章)：</w:t>
      </w:r>
    </w:p>
    <w:p w14:paraId="6F1998AE">
      <w:pPr>
        <w:snapToGrid w:val="0"/>
        <w:spacing w:line="360" w:lineRule="auto"/>
        <w:ind w:firstLine="4515" w:firstLineChars="2150"/>
        <w:rPr>
          <w:rFonts w:ascii="Arial" w:hAnsi="Arial" w:cs="Arial"/>
          <w:color w:val="auto"/>
          <w:szCs w:val="21"/>
          <w:highlight w:val="none"/>
        </w:rPr>
      </w:pPr>
      <w:r>
        <w:rPr>
          <w:rFonts w:ascii="Arial" w:hAnsi="Arial" w:cs="Arial"/>
          <w:color w:val="auto"/>
          <w:szCs w:val="21"/>
          <w:highlight w:val="none"/>
        </w:rPr>
        <w:t>日期：  年  月   日</w:t>
      </w:r>
    </w:p>
    <w:p w14:paraId="01D7F0E5">
      <w:pPr>
        <w:snapToGrid w:val="0"/>
        <w:spacing w:line="360" w:lineRule="auto"/>
        <w:jc w:val="left"/>
        <w:rPr>
          <w:rFonts w:ascii="Arial" w:hAnsi="Arial" w:cs="Arial"/>
          <w:color w:val="auto"/>
          <w:szCs w:val="21"/>
          <w:highlight w:val="none"/>
        </w:rPr>
      </w:pPr>
      <w:r>
        <w:rPr>
          <w:rFonts w:ascii="Arial" w:hAnsi="Arial" w:cs="Arial"/>
          <w:color w:val="auto"/>
          <w:szCs w:val="21"/>
          <w:highlight w:val="none"/>
        </w:rPr>
        <w:br w:type="page"/>
      </w:r>
      <w:r>
        <w:rPr>
          <w:rFonts w:ascii="Arial" w:hAnsi="Arial" w:cs="Arial"/>
          <w:color w:val="auto"/>
          <w:szCs w:val="21"/>
          <w:highlight w:val="none"/>
        </w:rPr>
        <w:t>6.2投标人直接管理关系信息表</w:t>
      </w:r>
    </w:p>
    <w:tbl>
      <w:tblPr>
        <w:tblStyle w:val="52"/>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EF49B25">
        <w:tblPrEx>
          <w:shd w:val="clear" w:color="auto" w:fill="FBFBFB"/>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3CB758E6">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41AAF7A">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4254D910">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478EF78">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备注</w:t>
            </w:r>
          </w:p>
        </w:tc>
      </w:tr>
      <w:tr w14:paraId="0B9BF2B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F5380C0">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6C5E89F1">
            <w:pPr>
              <w:spacing w:line="360" w:lineRule="auto"/>
              <w:jc w:val="center"/>
              <w:rPr>
                <w:rFonts w:ascii="Arial" w:hAnsi="Arial" w:eastAsia="宋体"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60E56510">
            <w:pPr>
              <w:spacing w:line="360" w:lineRule="auto"/>
              <w:jc w:val="center"/>
              <w:rPr>
                <w:rFonts w:ascii="Arial" w:hAnsi="Arial" w:eastAsia="宋体"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05E5FB3">
            <w:pPr>
              <w:spacing w:line="360" w:lineRule="auto"/>
              <w:jc w:val="center"/>
              <w:rPr>
                <w:rFonts w:ascii="Arial" w:hAnsi="Arial" w:eastAsia="宋体" w:cs="Arial"/>
                <w:color w:val="auto"/>
                <w:szCs w:val="21"/>
                <w:highlight w:val="none"/>
              </w:rPr>
            </w:pPr>
          </w:p>
        </w:tc>
      </w:tr>
      <w:tr w14:paraId="66CE083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90B3B69">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22EAAC61">
            <w:pPr>
              <w:spacing w:line="360" w:lineRule="auto"/>
              <w:jc w:val="center"/>
              <w:rPr>
                <w:rFonts w:ascii="Arial" w:hAnsi="Arial" w:eastAsia="宋体"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299583C6">
            <w:pPr>
              <w:spacing w:line="360" w:lineRule="auto"/>
              <w:jc w:val="center"/>
              <w:rPr>
                <w:rFonts w:ascii="Arial" w:hAnsi="Arial" w:eastAsia="宋体"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6BE14772">
            <w:pPr>
              <w:spacing w:line="360" w:lineRule="auto"/>
              <w:jc w:val="center"/>
              <w:rPr>
                <w:rFonts w:ascii="Arial" w:hAnsi="Arial" w:eastAsia="宋体" w:cs="Arial"/>
                <w:color w:val="auto"/>
                <w:szCs w:val="21"/>
                <w:highlight w:val="none"/>
              </w:rPr>
            </w:pPr>
          </w:p>
        </w:tc>
      </w:tr>
      <w:tr w14:paraId="6386FB1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385D17E3">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CF0A304">
            <w:pPr>
              <w:spacing w:line="360" w:lineRule="auto"/>
              <w:jc w:val="center"/>
              <w:rPr>
                <w:rFonts w:ascii="Arial" w:hAnsi="Arial" w:eastAsia="宋体"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BA9DA27">
            <w:pPr>
              <w:spacing w:line="360" w:lineRule="auto"/>
              <w:jc w:val="center"/>
              <w:rPr>
                <w:rFonts w:ascii="Arial" w:hAnsi="Arial" w:eastAsia="宋体"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95FCCEC">
            <w:pPr>
              <w:spacing w:line="360" w:lineRule="auto"/>
              <w:jc w:val="center"/>
              <w:rPr>
                <w:rFonts w:ascii="Arial" w:hAnsi="Arial" w:eastAsia="宋体" w:cs="Arial"/>
                <w:color w:val="auto"/>
                <w:szCs w:val="21"/>
                <w:highlight w:val="none"/>
              </w:rPr>
            </w:pPr>
          </w:p>
        </w:tc>
      </w:tr>
      <w:tr w14:paraId="0A14BEB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D7517AA">
            <w:pPr>
              <w:spacing w:line="360" w:lineRule="auto"/>
              <w:jc w:val="center"/>
              <w:rPr>
                <w:rFonts w:ascii="Arial" w:hAnsi="Arial" w:eastAsia="宋体" w:cs="Arial"/>
                <w:color w:val="auto"/>
                <w:szCs w:val="21"/>
                <w:highlight w:val="none"/>
              </w:rPr>
            </w:pPr>
            <w:r>
              <w:rPr>
                <w:rFonts w:ascii="Arial" w:hAnsi="Arial" w:eastAsia="宋体" w:cs="Arial"/>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608CE5F0">
            <w:pPr>
              <w:spacing w:line="360" w:lineRule="auto"/>
              <w:jc w:val="center"/>
              <w:rPr>
                <w:rFonts w:ascii="Arial" w:hAnsi="Arial" w:eastAsia="宋体"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97F9051">
            <w:pPr>
              <w:spacing w:line="360" w:lineRule="auto"/>
              <w:jc w:val="center"/>
              <w:rPr>
                <w:rFonts w:ascii="Arial" w:hAnsi="Arial" w:eastAsia="宋体"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343413B">
            <w:pPr>
              <w:spacing w:line="360" w:lineRule="auto"/>
              <w:jc w:val="center"/>
              <w:rPr>
                <w:rFonts w:ascii="Arial" w:hAnsi="Arial" w:eastAsia="宋体" w:cs="Arial"/>
                <w:color w:val="auto"/>
                <w:szCs w:val="21"/>
                <w:highlight w:val="none"/>
              </w:rPr>
            </w:pPr>
          </w:p>
        </w:tc>
      </w:tr>
    </w:tbl>
    <w:p w14:paraId="516EBA6A">
      <w:pPr>
        <w:snapToGrid w:val="0"/>
        <w:spacing w:line="360" w:lineRule="auto"/>
        <w:jc w:val="left"/>
        <w:rPr>
          <w:rFonts w:ascii="Arial" w:hAnsi="Arial" w:cs="Arial"/>
          <w:color w:val="auto"/>
          <w:szCs w:val="21"/>
          <w:highlight w:val="none"/>
        </w:rPr>
      </w:pPr>
      <w:r>
        <w:rPr>
          <w:rFonts w:ascii="Arial" w:hAnsi="Arial" w:cs="Arial"/>
          <w:color w:val="auto"/>
          <w:szCs w:val="21"/>
          <w:highlight w:val="none"/>
        </w:rPr>
        <w:t>注：</w:t>
      </w:r>
    </w:p>
    <w:p w14:paraId="5CD79491">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1.管理关系：是指不具有出资持股关系的其他单位之间存在的管理与被管理关系，如一些上下级关系的事业单位和团体组织。</w:t>
      </w:r>
    </w:p>
    <w:p w14:paraId="71E276A4">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2.本表所指的管理关系仅限于直接管理关系，不包括间接的管理关系。</w:t>
      </w:r>
    </w:p>
    <w:p w14:paraId="42732CC1">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3.供应商不存在直接管理关系的，则填“无”。</w:t>
      </w:r>
    </w:p>
    <w:p w14:paraId="68AA1E09">
      <w:pPr>
        <w:snapToGrid w:val="0"/>
        <w:spacing w:line="360" w:lineRule="auto"/>
        <w:jc w:val="left"/>
        <w:rPr>
          <w:rFonts w:ascii="Arial" w:hAnsi="Arial" w:cs="Arial"/>
          <w:color w:val="auto"/>
          <w:szCs w:val="21"/>
          <w:highlight w:val="none"/>
        </w:rPr>
      </w:pPr>
    </w:p>
    <w:p w14:paraId="47E645F8">
      <w:pPr>
        <w:snapToGrid w:val="0"/>
        <w:spacing w:line="360" w:lineRule="auto"/>
        <w:jc w:val="left"/>
        <w:rPr>
          <w:rFonts w:ascii="Arial" w:hAnsi="Arial" w:cs="Arial"/>
          <w:color w:val="auto"/>
          <w:szCs w:val="21"/>
          <w:highlight w:val="none"/>
        </w:rPr>
      </w:pPr>
    </w:p>
    <w:p w14:paraId="3F73BF77">
      <w:pPr>
        <w:snapToGrid w:val="0"/>
        <w:spacing w:line="360" w:lineRule="auto"/>
        <w:jc w:val="left"/>
        <w:rPr>
          <w:rFonts w:ascii="Arial" w:hAnsi="Arial" w:cs="Arial"/>
          <w:color w:val="auto"/>
          <w:szCs w:val="21"/>
          <w:highlight w:val="none"/>
        </w:rPr>
      </w:pPr>
    </w:p>
    <w:p w14:paraId="7E362A1E">
      <w:pPr>
        <w:snapToGrid w:val="0"/>
        <w:spacing w:line="360" w:lineRule="auto"/>
        <w:jc w:val="left"/>
        <w:rPr>
          <w:rFonts w:ascii="Arial" w:hAnsi="Arial" w:cs="Arial"/>
          <w:color w:val="auto"/>
          <w:szCs w:val="21"/>
          <w:highlight w:val="none"/>
        </w:rPr>
      </w:pPr>
    </w:p>
    <w:p w14:paraId="15957253">
      <w:pPr>
        <w:snapToGrid w:val="0"/>
        <w:spacing w:line="360" w:lineRule="auto"/>
        <w:ind w:firstLine="4410" w:firstLineChars="2100"/>
        <w:rPr>
          <w:rFonts w:ascii="Arial" w:hAnsi="Arial" w:cs="Arial"/>
          <w:color w:val="auto"/>
          <w:szCs w:val="21"/>
          <w:highlight w:val="none"/>
        </w:rPr>
      </w:pPr>
      <w:r>
        <w:rPr>
          <w:rFonts w:ascii="Arial" w:hAnsi="Arial" w:cs="Arial"/>
          <w:color w:val="auto"/>
          <w:szCs w:val="21"/>
          <w:highlight w:val="none"/>
        </w:rPr>
        <w:t>供应商名称(电子签章)：</w:t>
      </w:r>
    </w:p>
    <w:p w14:paraId="59491100">
      <w:pPr>
        <w:snapToGrid w:val="0"/>
        <w:spacing w:line="360" w:lineRule="auto"/>
        <w:ind w:firstLine="4515" w:firstLineChars="2150"/>
        <w:rPr>
          <w:rFonts w:ascii="Arial" w:hAnsi="Arial" w:cs="Arial"/>
          <w:color w:val="auto"/>
          <w:szCs w:val="21"/>
          <w:highlight w:val="none"/>
        </w:rPr>
      </w:pPr>
      <w:r>
        <w:rPr>
          <w:rFonts w:ascii="Arial" w:hAnsi="Arial" w:cs="Arial"/>
          <w:color w:val="auto"/>
          <w:szCs w:val="21"/>
          <w:highlight w:val="none"/>
        </w:rPr>
        <w:t>日期：  年  月   日</w:t>
      </w:r>
    </w:p>
    <w:p w14:paraId="2E5271BC">
      <w:pPr>
        <w:snapToGrid w:val="0"/>
        <w:spacing w:before="50" w:after="120" w:afterLines="50" w:line="440" w:lineRule="exact"/>
        <w:jc w:val="left"/>
        <w:rPr>
          <w:rFonts w:ascii="Arial" w:hAnsi="Arial" w:cs="Arial"/>
          <w:b/>
          <w:color w:val="auto"/>
          <w:szCs w:val="21"/>
          <w:highlight w:val="none"/>
        </w:rPr>
      </w:pPr>
    </w:p>
    <w:p w14:paraId="5680AA12">
      <w:pPr>
        <w:snapToGrid w:val="0"/>
        <w:spacing w:before="50" w:after="120" w:afterLines="50" w:line="440" w:lineRule="exact"/>
        <w:jc w:val="left"/>
        <w:rPr>
          <w:rFonts w:ascii="Arial" w:hAnsi="Arial" w:cs="Arial"/>
          <w:color w:val="auto"/>
          <w:highlight w:val="none"/>
        </w:rPr>
      </w:pPr>
    </w:p>
    <w:p w14:paraId="75DDA361">
      <w:pPr>
        <w:snapToGrid w:val="0"/>
        <w:spacing w:before="50" w:after="120" w:afterLines="50"/>
        <w:jc w:val="left"/>
        <w:rPr>
          <w:rFonts w:ascii="Arial" w:hAnsi="Arial" w:cs="Arial"/>
          <w:color w:val="auto"/>
          <w:szCs w:val="21"/>
          <w:highlight w:val="none"/>
        </w:rPr>
      </w:pPr>
    </w:p>
    <w:p w14:paraId="2F6BCA0A">
      <w:pPr>
        <w:pStyle w:val="7"/>
        <w:overflowPunct w:val="0"/>
        <w:spacing w:line="360" w:lineRule="auto"/>
        <w:ind w:firstLine="367" w:firstLineChars="175"/>
        <w:rPr>
          <w:color w:val="auto"/>
          <w:szCs w:val="21"/>
          <w:highlight w:val="none"/>
        </w:rPr>
      </w:pPr>
      <w:r>
        <w:rPr>
          <w:rFonts w:hint="eastAsia" w:ascii="Arial" w:hAnsi="Arial" w:cs="Arial"/>
          <w:color w:val="auto"/>
          <w:szCs w:val="21"/>
          <w:highlight w:val="none"/>
        </w:rPr>
        <w:br w:type="page"/>
      </w:r>
    </w:p>
    <w:p w14:paraId="6175E3D7">
      <w:pPr>
        <w:snapToGrid w:val="0"/>
        <w:spacing w:before="50" w:after="120" w:afterLines="50" w:line="360" w:lineRule="auto"/>
        <w:jc w:val="left"/>
        <w:rPr>
          <w:rFonts w:ascii="Arial" w:hAnsi="Arial" w:cs="Arial"/>
          <w:color w:val="auto"/>
          <w:szCs w:val="21"/>
          <w:highlight w:val="none"/>
        </w:rPr>
      </w:pPr>
    </w:p>
    <w:p w14:paraId="50D0E634">
      <w:pPr>
        <w:snapToGrid w:val="0"/>
        <w:spacing w:before="50" w:after="120" w:afterLines="50" w:line="400" w:lineRule="exact"/>
        <w:jc w:val="left"/>
        <w:rPr>
          <w:rFonts w:ascii="Arial" w:hAnsi="Arial" w:cs="Arial"/>
          <w:bCs/>
          <w:color w:val="auto"/>
          <w:sz w:val="24"/>
          <w:highlight w:val="none"/>
        </w:rPr>
      </w:pPr>
      <w:r>
        <w:rPr>
          <w:rFonts w:hint="eastAsia" w:ascii="Arial" w:hAnsi="Arial" w:cs="Arial"/>
          <w:color w:val="auto"/>
          <w:szCs w:val="21"/>
          <w:highlight w:val="none"/>
          <w:lang w:val="en-US" w:eastAsia="zh-CN"/>
        </w:rPr>
        <w:t>7</w:t>
      </w:r>
      <w:r>
        <w:rPr>
          <w:rFonts w:ascii="Arial" w:hAnsi="Arial" w:cs="Arial"/>
          <w:color w:val="auto"/>
          <w:szCs w:val="21"/>
          <w:highlight w:val="none"/>
        </w:rPr>
        <w:t>.</w:t>
      </w:r>
      <w:r>
        <w:rPr>
          <w:rFonts w:hint="eastAsia" w:ascii="Arial" w:hAnsi="Arial" w:cs="Arial"/>
          <w:color w:val="auto"/>
          <w:szCs w:val="21"/>
          <w:highlight w:val="none"/>
        </w:rPr>
        <w:t xml:space="preserve"> </w:t>
      </w:r>
      <w:r>
        <w:rPr>
          <w:rFonts w:ascii="Arial" w:hAnsi="Arial" w:cs="Arial"/>
          <w:color w:val="auto"/>
          <w:szCs w:val="21"/>
          <w:highlight w:val="none"/>
        </w:rPr>
        <w:t>供应商认为应当要提交的其他资格证明材料。</w:t>
      </w:r>
      <w:r>
        <w:rPr>
          <w:rFonts w:ascii="Arial" w:hAnsi="Arial" w:cs="Arial"/>
          <w:bCs/>
          <w:color w:val="auto"/>
          <w:sz w:val="24"/>
          <w:highlight w:val="none"/>
        </w:rPr>
        <w:t xml:space="preserve"> </w:t>
      </w:r>
    </w:p>
    <w:p w14:paraId="16162AE5">
      <w:pPr>
        <w:spacing w:line="276" w:lineRule="auto"/>
        <w:rPr>
          <w:rFonts w:ascii="Arial" w:hAnsi="Arial" w:cs="Arial"/>
          <w:bCs/>
          <w:color w:val="auto"/>
          <w:sz w:val="24"/>
          <w:highlight w:val="none"/>
        </w:rPr>
      </w:pPr>
    </w:p>
    <w:p w14:paraId="5D120BF9">
      <w:pPr>
        <w:snapToGrid w:val="0"/>
        <w:spacing w:before="120" w:beforeLines="50" w:after="50" w:line="440" w:lineRule="exact"/>
        <w:jc w:val="left"/>
        <w:outlineLvl w:val="1"/>
        <w:rPr>
          <w:rFonts w:ascii="Arial" w:hAnsi="Arial" w:cs="Arial"/>
          <w:bCs/>
          <w:color w:val="auto"/>
          <w:sz w:val="24"/>
          <w:highlight w:val="none"/>
        </w:rPr>
      </w:pPr>
      <w:r>
        <w:rPr>
          <w:rFonts w:ascii="Arial" w:hAnsi="Arial" w:cs="Arial"/>
          <w:color w:val="auto"/>
          <w:szCs w:val="21"/>
          <w:highlight w:val="none"/>
        </w:rPr>
        <w:br w:type="page"/>
      </w:r>
      <w:r>
        <w:rPr>
          <w:rFonts w:ascii="Arial" w:hAnsi="Arial" w:cs="Arial"/>
          <w:bCs/>
          <w:color w:val="auto"/>
          <w:sz w:val="24"/>
          <w:highlight w:val="none"/>
        </w:rPr>
        <w:t>2．投标文件封面参考格式（商务技术文件）：</w:t>
      </w:r>
    </w:p>
    <w:p w14:paraId="7BAB0BB9">
      <w:pPr>
        <w:snapToGrid w:val="0"/>
        <w:spacing w:before="120" w:beforeLines="50" w:after="50" w:line="360" w:lineRule="exact"/>
        <w:rPr>
          <w:rFonts w:ascii="Arial" w:hAnsi="Arial" w:cs="Arial"/>
          <w:color w:val="auto"/>
          <w:sz w:val="24"/>
          <w:highlight w:val="none"/>
        </w:rPr>
      </w:pPr>
    </w:p>
    <w:p w14:paraId="20B0EA66">
      <w:pPr>
        <w:snapToGrid w:val="0"/>
        <w:spacing w:before="120" w:beforeLines="50" w:after="50" w:line="360" w:lineRule="exact"/>
        <w:jc w:val="center"/>
        <w:rPr>
          <w:rFonts w:ascii="Arial" w:hAnsi="Arial" w:cs="Arial"/>
          <w:bCs/>
          <w:color w:val="auto"/>
          <w:sz w:val="24"/>
          <w:highlight w:val="none"/>
        </w:rPr>
      </w:pPr>
    </w:p>
    <w:p w14:paraId="256B774D">
      <w:pPr>
        <w:snapToGrid w:val="0"/>
        <w:spacing w:before="120"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电子投标文件</w:t>
      </w:r>
    </w:p>
    <w:p w14:paraId="74F4FD44">
      <w:pPr>
        <w:snapToGrid w:val="0"/>
        <w:spacing w:before="120" w:beforeLines="50" w:after="50" w:line="360" w:lineRule="exact"/>
        <w:jc w:val="center"/>
        <w:rPr>
          <w:rFonts w:ascii="Arial" w:hAnsi="Arial" w:cs="Arial"/>
          <w:b/>
          <w:bCs/>
          <w:color w:val="auto"/>
          <w:sz w:val="44"/>
          <w:szCs w:val="44"/>
          <w:highlight w:val="none"/>
        </w:rPr>
      </w:pPr>
    </w:p>
    <w:p w14:paraId="000EC272">
      <w:pPr>
        <w:snapToGrid w:val="0"/>
        <w:spacing w:before="120" w:beforeLines="50" w:after="50" w:line="360" w:lineRule="exact"/>
        <w:jc w:val="center"/>
        <w:rPr>
          <w:rFonts w:ascii="Arial" w:hAnsi="Arial" w:cs="Arial"/>
          <w:b/>
          <w:bCs/>
          <w:color w:val="auto"/>
          <w:sz w:val="44"/>
          <w:szCs w:val="44"/>
          <w:highlight w:val="none"/>
        </w:rPr>
      </w:pPr>
    </w:p>
    <w:p w14:paraId="73654E37">
      <w:pPr>
        <w:snapToGrid w:val="0"/>
        <w:spacing w:before="120"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商务技术文件</w:t>
      </w:r>
    </w:p>
    <w:p w14:paraId="6030A131">
      <w:pPr>
        <w:snapToGrid w:val="0"/>
        <w:spacing w:before="120" w:beforeLines="50" w:after="50" w:line="360" w:lineRule="exact"/>
        <w:rPr>
          <w:rFonts w:ascii="Arial" w:hAnsi="Arial" w:cs="Arial"/>
          <w:bCs/>
          <w:color w:val="auto"/>
          <w:sz w:val="24"/>
          <w:highlight w:val="none"/>
        </w:rPr>
      </w:pPr>
    </w:p>
    <w:p w14:paraId="6F92A623">
      <w:pPr>
        <w:snapToGrid w:val="0"/>
        <w:spacing w:before="120" w:beforeLines="50" w:after="50" w:line="360" w:lineRule="exact"/>
        <w:rPr>
          <w:rFonts w:ascii="Arial" w:hAnsi="Arial" w:cs="Arial"/>
          <w:bCs/>
          <w:color w:val="auto"/>
          <w:sz w:val="24"/>
          <w:highlight w:val="none"/>
        </w:rPr>
      </w:pPr>
    </w:p>
    <w:p w14:paraId="5E61291F">
      <w:pPr>
        <w:snapToGrid w:val="0"/>
        <w:spacing w:before="120" w:beforeLines="50" w:after="50" w:line="360" w:lineRule="exact"/>
        <w:rPr>
          <w:rFonts w:ascii="Arial" w:hAnsi="Arial" w:cs="Arial"/>
          <w:bCs/>
          <w:color w:val="auto"/>
          <w:sz w:val="24"/>
          <w:highlight w:val="none"/>
        </w:rPr>
      </w:pPr>
    </w:p>
    <w:p w14:paraId="645D7C8B">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 xml:space="preserve">项目名称： </w:t>
      </w:r>
    </w:p>
    <w:p w14:paraId="7C96DD47">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项目编号：</w:t>
      </w:r>
    </w:p>
    <w:p w14:paraId="2584F52F">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分标号：（若无留空或写“/”）</w:t>
      </w:r>
    </w:p>
    <w:p w14:paraId="2C0C85B1">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供应商名称：</w:t>
      </w:r>
    </w:p>
    <w:p w14:paraId="2AF2C2AE">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供应商地址：</w:t>
      </w:r>
    </w:p>
    <w:p w14:paraId="24DCDFE8">
      <w:pPr>
        <w:pStyle w:val="7"/>
        <w:snapToGrid w:val="0"/>
        <w:spacing w:before="50" w:after="50" w:line="360" w:lineRule="exact"/>
        <w:ind w:firstLine="960" w:firstLineChars="400"/>
        <w:rPr>
          <w:rFonts w:ascii="Arial" w:hAnsi="Arial" w:cs="Arial"/>
          <w:bCs/>
          <w:color w:val="auto"/>
          <w:sz w:val="24"/>
          <w:szCs w:val="24"/>
          <w:highlight w:val="none"/>
        </w:rPr>
      </w:pPr>
    </w:p>
    <w:p w14:paraId="4DA99326">
      <w:pPr>
        <w:snapToGrid w:val="0"/>
        <w:spacing w:before="120" w:beforeLines="50" w:after="50" w:line="360" w:lineRule="exact"/>
        <w:jc w:val="center"/>
        <w:rPr>
          <w:rFonts w:ascii="Arial" w:hAnsi="Arial" w:cs="Arial"/>
          <w:color w:val="auto"/>
          <w:sz w:val="24"/>
          <w:highlight w:val="none"/>
        </w:rPr>
      </w:pPr>
      <w:r>
        <w:rPr>
          <w:rFonts w:ascii="Arial" w:hAnsi="Arial" w:cs="Arial"/>
          <w:color w:val="auto"/>
          <w:sz w:val="24"/>
          <w:highlight w:val="none"/>
        </w:rPr>
        <w:t xml:space="preserve">                        年  月  日</w:t>
      </w:r>
    </w:p>
    <w:p w14:paraId="1781DD2E">
      <w:pPr>
        <w:snapToGrid w:val="0"/>
        <w:spacing w:before="50" w:after="50" w:line="440" w:lineRule="exact"/>
        <w:ind w:firstLine="102" w:firstLineChars="49"/>
        <w:jc w:val="center"/>
        <w:rPr>
          <w:rFonts w:ascii="Arial" w:hAnsi="Arial" w:cs="Arial"/>
          <w:b/>
          <w:color w:val="auto"/>
          <w:sz w:val="28"/>
          <w:szCs w:val="28"/>
          <w:highlight w:val="none"/>
        </w:rPr>
      </w:pPr>
      <w:r>
        <w:rPr>
          <w:rFonts w:ascii="Arial" w:hAnsi="Arial" w:cs="Arial"/>
          <w:color w:val="auto"/>
          <w:highlight w:val="none"/>
        </w:rPr>
        <w:br w:type="page"/>
      </w:r>
      <w:r>
        <w:rPr>
          <w:rFonts w:ascii="Arial" w:hAnsi="Arial" w:cs="Arial"/>
          <w:b/>
          <w:color w:val="auto"/>
          <w:sz w:val="28"/>
          <w:szCs w:val="28"/>
          <w:highlight w:val="none"/>
        </w:rPr>
        <w:t>目录</w:t>
      </w:r>
    </w:p>
    <w:p w14:paraId="3596F62E">
      <w:pPr>
        <w:snapToGrid w:val="0"/>
        <w:spacing w:before="50" w:after="50" w:line="440" w:lineRule="exact"/>
        <w:ind w:firstLine="118" w:firstLineChars="49"/>
        <w:jc w:val="center"/>
        <w:rPr>
          <w:rFonts w:ascii="Arial" w:hAnsi="Arial" w:cs="Arial"/>
          <w:b/>
          <w:color w:val="auto"/>
          <w:sz w:val="24"/>
          <w:highlight w:val="none"/>
        </w:rPr>
      </w:pPr>
      <w:r>
        <w:rPr>
          <w:rFonts w:ascii="Arial" w:hAnsi="Arial" w:cs="Arial"/>
          <w:b/>
          <w:color w:val="auto"/>
          <w:sz w:val="24"/>
          <w:highlight w:val="none"/>
        </w:rPr>
        <w:t>（应有页码）</w:t>
      </w:r>
    </w:p>
    <w:p w14:paraId="6B6564D6">
      <w:pPr>
        <w:jc w:val="center"/>
        <w:rPr>
          <w:rFonts w:ascii="Arial" w:hAnsi="Arial" w:cs="Arial"/>
          <w:color w:val="auto"/>
          <w:highlight w:val="none"/>
        </w:rPr>
      </w:pPr>
      <w:r>
        <w:rPr>
          <w:rFonts w:ascii="Arial" w:hAnsi="Arial" w:cs="Arial"/>
          <w:color w:val="auto"/>
          <w:highlight w:val="none"/>
        </w:rPr>
        <w:br w:type="page"/>
      </w:r>
    </w:p>
    <w:p w14:paraId="3C62BB20">
      <w:pPr>
        <w:rPr>
          <w:rFonts w:ascii="Arial" w:hAnsi="Arial" w:cs="Arial"/>
          <w:b/>
          <w:color w:val="auto"/>
          <w:szCs w:val="21"/>
          <w:highlight w:val="none"/>
        </w:rPr>
      </w:pPr>
      <w:bookmarkStart w:id="156" w:name="_Toc462223472"/>
      <w:bookmarkStart w:id="157" w:name="_Toc462320613"/>
      <w:bookmarkStart w:id="158" w:name="_Toc455309222"/>
      <w:r>
        <w:rPr>
          <w:rFonts w:ascii="Arial" w:hAnsi="Arial" w:cs="Arial"/>
          <w:color w:val="auto"/>
          <w:szCs w:val="21"/>
          <w:highlight w:val="none"/>
        </w:rPr>
        <w:t>1．法定代表人身份证明</w:t>
      </w:r>
      <w:r>
        <w:rPr>
          <w:rFonts w:ascii="Arial" w:hAnsi="Arial" w:cs="Arial"/>
          <w:b/>
          <w:color w:val="auto"/>
          <w:szCs w:val="21"/>
          <w:highlight w:val="none"/>
        </w:rPr>
        <w:t>（无授权代表时提供）：</w:t>
      </w:r>
    </w:p>
    <w:p w14:paraId="21E71257">
      <w:pPr>
        <w:jc w:val="center"/>
        <w:rPr>
          <w:rFonts w:ascii="Arial" w:hAnsi="Arial" w:cs="Arial"/>
          <w:color w:val="auto"/>
          <w:highlight w:val="none"/>
        </w:rPr>
      </w:pPr>
    </w:p>
    <w:bookmarkEnd w:id="156"/>
    <w:bookmarkEnd w:id="157"/>
    <w:bookmarkEnd w:id="158"/>
    <w:p w14:paraId="1BFA6DA9">
      <w:pPr>
        <w:snapToGrid w:val="0"/>
        <w:spacing w:before="120" w:beforeLines="50" w:after="50" w:line="440" w:lineRule="exact"/>
        <w:jc w:val="center"/>
        <w:rPr>
          <w:rFonts w:ascii="Arial" w:hAnsi="Arial" w:cs="Arial"/>
          <w:b/>
          <w:color w:val="auto"/>
          <w:szCs w:val="21"/>
          <w:highlight w:val="none"/>
        </w:rPr>
      </w:pPr>
      <w:r>
        <w:rPr>
          <w:rFonts w:ascii="Arial" w:hAnsi="Arial" w:cs="Arial"/>
          <w:b/>
          <w:color w:val="auto"/>
          <w:szCs w:val="21"/>
          <w:highlight w:val="none"/>
        </w:rPr>
        <w:t>法定代表人身份证明</w:t>
      </w:r>
    </w:p>
    <w:p w14:paraId="2F13BBA8">
      <w:pPr>
        <w:spacing w:line="360" w:lineRule="auto"/>
        <w:rPr>
          <w:rFonts w:ascii="Arial" w:hAnsi="Arial" w:cs="Arial"/>
          <w:color w:val="auto"/>
          <w:highlight w:val="none"/>
        </w:rPr>
      </w:pPr>
    </w:p>
    <w:p w14:paraId="36BC7DEA">
      <w:pPr>
        <w:spacing w:line="540" w:lineRule="exact"/>
        <w:rPr>
          <w:rFonts w:ascii="Arial" w:hAnsi="Arial" w:cs="Arial"/>
          <w:color w:val="auto"/>
          <w:szCs w:val="21"/>
          <w:highlight w:val="none"/>
        </w:rPr>
      </w:pPr>
      <w:r>
        <w:rPr>
          <w:rFonts w:ascii="Arial" w:hAnsi="Arial" w:cs="Arial"/>
          <w:color w:val="auto"/>
          <w:szCs w:val="21"/>
          <w:highlight w:val="none"/>
        </w:rPr>
        <w:t>供应商名称：</w:t>
      </w:r>
      <w:r>
        <w:rPr>
          <w:rFonts w:ascii="Arial" w:hAnsi="Arial" w:cs="Arial"/>
          <w:color w:val="auto"/>
          <w:szCs w:val="21"/>
          <w:highlight w:val="none"/>
          <w:u w:val="single"/>
        </w:rPr>
        <w:t xml:space="preserve">                                         </w:t>
      </w:r>
    </w:p>
    <w:p w14:paraId="214938EC">
      <w:pPr>
        <w:spacing w:line="540" w:lineRule="exact"/>
        <w:rPr>
          <w:rFonts w:ascii="Arial" w:hAnsi="Arial" w:cs="Arial"/>
          <w:color w:val="auto"/>
          <w:szCs w:val="21"/>
          <w:highlight w:val="none"/>
        </w:rPr>
      </w:pPr>
      <w:r>
        <w:rPr>
          <w:rFonts w:ascii="Arial" w:hAnsi="Arial" w:cs="Arial"/>
          <w:color w:val="auto"/>
          <w:szCs w:val="21"/>
          <w:highlight w:val="none"/>
        </w:rPr>
        <w:t>单位性质：</w:t>
      </w:r>
      <w:r>
        <w:rPr>
          <w:rFonts w:ascii="Arial" w:hAnsi="Arial" w:cs="Arial"/>
          <w:color w:val="auto"/>
          <w:szCs w:val="21"/>
          <w:highlight w:val="none"/>
          <w:u w:val="single"/>
        </w:rPr>
        <w:t xml:space="preserve">                                           </w:t>
      </w:r>
    </w:p>
    <w:p w14:paraId="142483EF">
      <w:pPr>
        <w:spacing w:line="540" w:lineRule="exact"/>
        <w:rPr>
          <w:rFonts w:ascii="Arial" w:hAnsi="Arial" w:cs="Arial"/>
          <w:color w:val="auto"/>
          <w:szCs w:val="21"/>
          <w:highlight w:val="none"/>
        </w:rPr>
      </w:pPr>
      <w:r>
        <w:rPr>
          <w:rFonts w:ascii="Arial" w:hAnsi="Arial" w:cs="Arial"/>
          <w:color w:val="auto"/>
          <w:szCs w:val="21"/>
          <w:highlight w:val="none"/>
        </w:rPr>
        <w:t>地址：</w:t>
      </w:r>
      <w:r>
        <w:rPr>
          <w:rFonts w:ascii="Arial" w:hAnsi="Arial" w:cs="Arial"/>
          <w:color w:val="auto"/>
          <w:szCs w:val="21"/>
          <w:highlight w:val="none"/>
          <w:u w:val="single"/>
        </w:rPr>
        <w:t xml:space="preserve">                                               </w:t>
      </w:r>
    </w:p>
    <w:p w14:paraId="26B1EE03">
      <w:pPr>
        <w:spacing w:line="540" w:lineRule="exact"/>
        <w:rPr>
          <w:rFonts w:ascii="Arial" w:hAnsi="Arial" w:cs="Arial"/>
          <w:color w:val="auto"/>
          <w:szCs w:val="21"/>
          <w:highlight w:val="none"/>
          <w:u w:val="single"/>
        </w:rPr>
      </w:pPr>
      <w:r>
        <w:rPr>
          <w:rFonts w:ascii="Arial" w:hAnsi="Arial" w:cs="Arial"/>
          <w:color w:val="auto"/>
          <w:szCs w:val="21"/>
          <w:highlight w:val="none"/>
        </w:rPr>
        <w:t>成立时间：</w:t>
      </w:r>
      <w:r>
        <w:rPr>
          <w:rFonts w:ascii="Arial" w:hAnsi="Arial" w:cs="Arial"/>
          <w:color w:val="auto"/>
          <w:szCs w:val="21"/>
          <w:highlight w:val="none"/>
          <w:u w:val="single"/>
        </w:rPr>
        <w:t xml:space="preserve">          年        月        日</w:t>
      </w:r>
    </w:p>
    <w:p w14:paraId="6DE5BC8F">
      <w:pPr>
        <w:spacing w:line="540" w:lineRule="exact"/>
        <w:rPr>
          <w:rFonts w:ascii="Arial" w:hAnsi="Arial" w:cs="Arial"/>
          <w:color w:val="auto"/>
          <w:szCs w:val="21"/>
          <w:highlight w:val="none"/>
        </w:rPr>
      </w:pPr>
      <w:r>
        <w:rPr>
          <w:rFonts w:ascii="Arial" w:hAnsi="Arial" w:cs="Arial"/>
          <w:color w:val="auto"/>
          <w:szCs w:val="21"/>
          <w:highlight w:val="none"/>
        </w:rPr>
        <w:t>经营期限：</w:t>
      </w:r>
      <w:r>
        <w:rPr>
          <w:rFonts w:ascii="Arial" w:hAnsi="Arial" w:cs="Arial"/>
          <w:color w:val="auto"/>
          <w:szCs w:val="21"/>
          <w:highlight w:val="none"/>
          <w:u w:val="single"/>
        </w:rPr>
        <w:t xml:space="preserve">                                           </w:t>
      </w:r>
    </w:p>
    <w:p w14:paraId="320963CC">
      <w:pPr>
        <w:spacing w:line="540" w:lineRule="exact"/>
        <w:rPr>
          <w:rFonts w:ascii="Arial" w:hAnsi="Arial" w:cs="Arial"/>
          <w:color w:val="auto"/>
          <w:szCs w:val="21"/>
          <w:highlight w:val="none"/>
        </w:rPr>
      </w:pPr>
      <w:r>
        <w:rPr>
          <w:rFonts w:ascii="Arial" w:hAnsi="Arial" w:cs="Arial"/>
          <w:color w:val="auto"/>
          <w:szCs w:val="21"/>
          <w:highlight w:val="none"/>
        </w:rPr>
        <w:t>姓名：</w:t>
      </w:r>
      <w:r>
        <w:rPr>
          <w:rFonts w:ascii="Arial" w:hAnsi="Arial" w:cs="Arial"/>
          <w:color w:val="auto"/>
          <w:szCs w:val="21"/>
          <w:highlight w:val="none"/>
          <w:u w:val="single"/>
        </w:rPr>
        <w:t xml:space="preserve">                   </w:t>
      </w:r>
      <w:r>
        <w:rPr>
          <w:rFonts w:ascii="Arial" w:hAnsi="Arial" w:cs="Arial"/>
          <w:color w:val="auto"/>
          <w:szCs w:val="21"/>
          <w:highlight w:val="none"/>
        </w:rPr>
        <w:t>；性别：</w:t>
      </w:r>
      <w:r>
        <w:rPr>
          <w:rFonts w:ascii="Arial" w:hAnsi="Arial" w:cs="Arial"/>
          <w:color w:val="auto"/>
          <w:szCs w:val="21"/>
          <w:highlight w:val="none"/>
          <w:u w:val="single"/>
        </w:rPr>
        <w:t xml:space="preserve">              </w:t>
      </w:r>
      <w:r>
        <w:rPr>
          <w:rFonts w:ascii="Arial" w:hAnsi="Arial" w:cs="Arial"/>
          <w:color w:val="auto"/>
          <w:szCs w:val="21"/>
          <w:highlight w:val="none"/>
        </w:rPr>
        <w:t xml:space="preserve">        </w:t>
      </w:r>
    </w:p>
    <w:p w14:paraId="4D60A687">
      <w:pPr>
        <w:spacing w:line="540" w:lineRule="exact"/>
        <w:rPr>
          <w:rFonts w:ascii="Arial" w:hAnsi="Arial" w:cs="Arial"/>
          <w:color w:val="auto"/>
          <w:szCs w:val="21"/>
          <w:highlight w:val="none"/>
        </w:rPr>
      </w:pPr>
      <w:r>
        <w:rPr>
          <w:rFonts w:ascii="Arial" w:hAnsi="Arial" w:cs="Arial"/>
          <w:color w:val="auto"/>
          <w:szCs w:val="21"/>
          <w:highlight w:val="none"/>
        </w:rPr>
        <w:t>年龄：</w:t>
      </w:r>
      <w:r>
        <w:rPr>
          <w:rFonts w:ascii="Arial" w:hAnsi="Arial" w:cs="Arial"/>
          <w:color w:val="auto"/>
          <w:szCs w:val="21"/>
          <w:highlight w:val="none"/>
          <w:u w:val="single"/>
        </w:rPr>
        <w:t xml:space="preserve">         </w:t>
      </w:r>
      <w:r>
        <w:rPr>
          <w:rFonts w:ascii="Arial" w:hAnsi="Arial" w:cs="Arial"/>
          <w:color w:val="auto"/>
          <w:szCs w:val="21"/>
          <w:highlight w:val="none"/>
        </w:rPr>
        <w:t>；职务：</w:t>
      </w:r>
      <w:r>
        <w:rPr>
          <w:rFonts w:ascii="Arial" w:hAnsi="Arial" w:cs="Arial"/>
          <w:color w:val="auto"/>
          <w:szCs w:val="21"/>
          <w:highlight w:val="none"/>
          <w:u w:val="single"/>
        </w:rPr>
        <w:t xml:space="preserve">              </w:t>
      </w:r>
      <w:r>
        <w:rPr>
          <w:rFonts w:ascii="Arial" w:hAnsi="Arial" w:cs="Arial"/>
          <w:color w:val="auto"/>
          <w:szCs w:val="21"/>
          <w:highlight w:val="none"/>
        </w:rPr>
        <w:t>；身份证：</w:t>
      </w:r>
      <w:r>
        <w:rPr>
          <w:rFonts w:ascii="Arial" w:hAnsi="Arial" w:cs="Arial"/>
          <w:color w:val="auto"/>
          <w:szCs w:val="21"/>
          <w:highlight w:val="none"/>
          <w:u w:val="single"/>
        </w:rPr>
        <w:t xml:space="preserve">                                      </w:t>
      </w:r>
    </w:p>
    <w:p w14:paraId="37F1A91F">
      <w:pPr>
        <w:spacing w:line="540" w:lineRule="exact"/>
        <w:rPr>
          <w:rFonts w:ascii="Arial" w:hAnsi="Arial" w:cs="Arial"/>
          <w:color w:val="auto"/>
          <w:szCs w:val="21"/>
          <w:highlight w:val="none"/>
        </w:rPr>
      </w:pPr>
      <w:r>
        <w:rPr>
          <w:rFonts w:ascii="Arial" w:hAnsi="Arial" w:cs="Arial"/>
          <w:color w:val="auto"/>
          <w:szCs w:val="21"/>
          <w:highlight w:val="none"/>
        </w:rPr>
        <w:t>系</w:t>
      </w:r>
      <w:r>
        <w:rPr>
          <w:rFonts w:ascii="Arial" w:hAnsi="Arial" w:cs="Arial"/>
          <w:color w:val="auto"/>
          <w:szCs w:val="21"/>
          <w:highlight w:val="none"/>
          <w:u w:val="single"/>
        </w:rPr>
        <w:t xml:space="preserve">                                      （ 供应商名称）</w:t>
      </w:r>
      <w:r>
        <w:rPr>
          <w:rFonts w:ascii="Arial" w:hAnsi="Arial" w:cs="Arial"/>
          <w:color w:val="auto"/>
          <w:szCs w:val="21"/>
          <w:highlight w:val="none"/>
        </w:rPr>
        <w:t>的法定代表人。</w:t>
      </w:r>
    </w:p>
    <w:p w14:paraId="30C02A68">
      <w:pPr>
        <w:spacing w:line="540" w:lineRule="exact"/>
        <w:rPr>
          <w:rFonts w:ascii="Arial" w:hAnsi="Arial" w:cs="Arial"/>
          <w:color w:val="auto"/>
          <w:szCs w:val="21"/>
          <w:highlight w:val="none"/>
        </w:rPr>
      </w:pPr>
    </w:p>
    <w:p w14:paraId="5C9B4230">
      <w:pPr>
        <w:spacing w:line="540" w:lineRule="exact"/>
        <w:ind w:firstLine="420" w:firstLineChars="200"/>
        <w:rPr>
          <w:rFonts w:ascii="Arial" w:hAnsi="Arial" w:cs="Arial"/>
          <w:color w:val="auto"/>
          <w:szCs w:val="21"/>
          <w:highlight w:val="none"/>
        </w:rPr>
      </w:pPr>
      <w:r>
        <w:rPr>
          <w:rFonts w:ascii="Arial" w:hAnsi="Arial" w:cs="Arial"/>
          <w:color w:val="auto"/>
          <w:szCs w:val="21"/>
          <w:highlight w:val="none"/>
        </w:rPr>
        <w:t>特此证明。</w:t>
      </w:r>
    </w:p>
    <w:p w14:paraId="47A7CA3B">
      <w:pPr>
        <w:spacing w:line="360" w:lineRule="auto"/>
        <w:ind w:firstLine="4830" w:firstLineChars="2300"/>
        <w:rPr>
          <w:rFonts w:ascii="Arial" w:hAnsi="Arial" w:cs="Arial"/>
          <w:color w:val="auto"/>
          <w:szCs w:val="21"/>
          <w:highlight w:val="none"/>
        </w:rPr>
      </w:pPr>
    </w:p>
    <w:p w14:paraId="2B37E19C">
      <w:pPr>
        <w:spacing w:line="360" w:lineRule="auto"/>
        <w:ind w:firstLine="4830" w:firstLineChars="2300"/>
        <w:rPr>
          <w:rFonts w:ascii="Arial" w:hAnsi="Arial" w:cs="Arial"/>
          <w:color w:val="auto"/>
          <w:szCs w:val="21"/>
          <w:highlight w:val="none"/>
        </w:rPr>
      </w:pPr>
    </w:p>
    <w:p w14:paraId="2BE967B3">
      <w:pPr>
        <w:spacing w:line="360" w:lineRule="auto"/>
        <w:ind w:firstLine="4830" w:firstLineChars="2300"/>
        <w:rPr>
          <w:rFonts w:ascii="Arial" w:hAnsi="Arial" w:cs="Arial"/>
          <w:color w:val="auto"/>
          <w:szCs w:val="21"/>
          <w:highlight w:val="none"/>
        </w:rPr>
      </w:pPr>
      <w:r>
        <w:rPr>
          <w:rFonts w:ascii="Arial" w:hAnsi="Arial" w:cs="Arial"/>
          <w:color w:val="auto"/>
          <w:szCs w:val="21"/>
          <w:highlight w:val="none"/>
        </w:rPr>
        <w:t>供应商名称(电子签章)：</w:t>
      </w:r>
      <w:r>
        <w:rPr>
          <w:rFonts w:ascii="Arial" w:hAnsi="Arial" w:cs="Arial"/>
          <w:color w:val="auto"/>
          <w:szCs w:val="21"/>
          <w:highlight w:val="none"/>
          <w:u w:val="single"/>
        </w:rPr>
        <w:t xml:space="preserve">                </w:t>
      </w:r>
    </w:p>
    <w:p w14:paraId="7C5A09A7">
      <w:pPr>
        <w:spacing w:line="360" w:lineRule="auto"/>
        <w:jc w:val="right"/>
        <w:rPr>
          <w:rFonts w:ascii="Arial" w:hAnsi="Arial" w:cs="Arial"/>
          <w:color w:val="auto"/>
          <w:szCs w:val="21"/>
          <w:highlight w:val="none"/>
        </w:rPr>
      </w:pPr>
      <w:r>
        <w:rPr>
          <w:rFonts w:ascii="Arial" w:hAnsi="Arial" w:cs="Arial"/>
          <w:color w:val="auto"/>
          <w:szCs w:val="21"/>
          <w:highlight w:val="none"/>
        </w:rPr>
        <w:t xml:space="preserve">                                                                                              年       月       日 </w:t>
      </w:r>
    </w:p>
    <w:p w14:paraId="1E6AD0FA">
      <w:pPr>
        <w:spacing w:line="360" w:lineRule="auto"/>
        <w:ind w:firstLine="420" w:firstLineChars="200"/>
        <w:rPr>
          <w:rFonts w:ascii="Arial" w:hAnsi="Arial" w:cs="Arial"/>
          <w:color w:val="auto"/>
          <w:szCs w:val="21"/>
          <w:highlight w:val="none"/>
        </w:rPr>
      </w:pPr>
    </w:p>
    <w:p w14:paraId="5F904E6E">
      <w:pPr>
        <w:spacing w:line="360" w:lineRule="auto"/>
        <w:rPr>
          <w:rFonts w:ascii="Arial" w:hAnsi="Arial" w:cs="Arial"/>
          <w:color w:val="auto"/>
          <w:szCs w:val="21"/>
          <w:highlight w:val="none"/>
        </w:rPr>
      </w:pPr>
      <w:r>
        <w:rPr>
          <w:rFonts w:ascii="Arial" w:hAnsi="Arial" w:cs="Arial"/>
          <w:color w:val="auto"/>
          <w:szCs w:val="21"/>
          <w:highlight w:val="none"/>
        </w:rPr>
        <w:t>附件：法定代表人身份证复印件</w:t>
      </w:r>
    </w:p>
    <w:p w14:paraId="1A12A647">
      <w:pPr>
        <w:spacing w:line="360" w:lineRule="auto"/>
        <w:rPr>
          <w:rFonts w:ascii="Arial" w:hAnsi="Arial" w:cs="Arial"/>
          <w:color w:val="auto"/>
          <w:szCs w:val="21"/>
          <w:highlight w:val="none"/>
        </w:rPr>
      </w:pPr>
    </w:p>
    <w:p w14:paraId="27F4FD38">
      <w:pPr>
        <w:snapToGrid w:val="0"/>
        <w:spacing w:before="120" w:beforeLines="50" w:after="50" w:line="360" w:lineRule="exact"/>
        <w:rPr>
          <w:rFonts w:ascii="Arial" w:hAnsi="Arial" w:cs="Arial"/>
          <w:b/>
          <w:color w:val="auto"/>
          <w:szCs w:val="21"/>
          <w:highlight w:val="none"/>
        </w:rPr>
      </w:pPr>
      <w:r>
        <w:rPr>
          <w:rFonts w:ascii="Arial" w:hAnsi="Arial" w:cs="Arial"/>
          <w:b/>
          <w:color w:val="auto"/>
          <w:szCs w:val="21"/>
          <w:highlight w:val="none"/>
        </w:rPr>
        <w:br w:type="page"/>
      </w:r>
      <w:r>
        <w:rPr>
          <w:rFonts w:ascii="Arial" w:hAnsi="Arial" w:cs="Arial"/>
          <w:b/>
          <w:color w:val="auto"/>
          <w:szCs w:val="21"/>
          <w:highlight w:val="none"/>
        </w:rPr>
        <w:t>1．授权委托书（有授权代表时提供）：</w:t>
      </w:r>
    </w:p>
    <w:p w14:paraId="133A6B2E">
      <w:pPr>
        <w:snapToGrid w:val="0"/>
        <w:spacing w:before="120" w:beforeLines="50" w:after="50" w:line="360" w:lineRule="exact"/>
        <w:rPr>
          <w:rFonts w:ascii="Arial" w:hAnsi="Arial" w:cs="Arial"/>
          <w:b/>
          <w:color w:val="auto"/>
          <w:szCs w:val="21"/>
          <w:highlight w:val="none"/>
        </w:rPr>
      </w:pPr>
    </w:p>
    <w:p w14:paraId="374E42C4">
      <w:pPr>
        <w:snapToGrid w:val="0"/>
        <w:spacing w:before="120" w:beforeLines="50" w:after="50" w:line="440" w:lineRule="exact"/>
        <w:jc w:val="center"/>
        <w:rPr>
          <w:rFonts w:ascii="Arial" w:hAnsi="Arial" w:cs="Arial"/>
          <w:b/>
          <w:color w:val="auto"/>
          <w:szCs w:val="21"/>
          <w:highlight w:val="none"/>
        </w:rPr>
      </w:pPr>
      <w:r>
        <w:rPr>
          <w:rFonts w:ascii="Arial" w:hAnsi="Arial" w:cs="Arial"/>
          <w:b/>
          <w:color w:val="auto"/>
          <w:szCs w:val="21"/>
          <w:highlight w:val="none"/>
        </w:rPr>
        <w:t>法定代表人授权委托书</w:t>
      </w:r>
    </w:p>
    <w:p w14:paraId="10F115C6">
      <w:pPr>
        <w:snapToGrid w:val="0"/>
        <w:spacing w:before="120" w:beforeLines="50" w:after="50" w:line="440" w:lineRule="exact"/>
        <w:rPr>
          <w:rFonts w:ascii="Arial" w:hAnsi="Arial" w:cs="Arial"/>
          <w:b/>
          <w:bCs/>
          <w:color w:val="auto"/>
          <w:szCs w:val="21"/>
          <w:highlight w:val="none"/>
        </w:rPr>
      </w:pPr>
      <w:r>
        <w:rPr>
          <w:rFonts w:ascii="Arial" w:hAnsi="Arial" w:cs="Arial"/>
          <w:bCs/>
          <w:color w:val="auto"/>
          <w:szCs w:val="21"/>
          <w:highlight w:val="none"/>
        </w:rPr>
        <w:t>致：</w:t>
      </w:r>
      <w:r>
        <w:rPr>
          <w:rFonts w:ascii="Arial" w:hAnsi="Arial" w:cs="Arial"/>
          <w:i/>
          <w:iCs/>
          <w:color w:val="auto"/>
          <w:szCs w:val="21"/>
          <w:highlight w:val="none"/>
          <w:u w:val="single"/>
        </w:rPr>
        <w:t>（采购人名称）</w:t>
      </w:r>
      <w:r>
        <w:rPr>
          <w:rFonts w:ascii="Arial" w:hAnsi="Arial" w:cs="Arial"/>
          <w:color w:val="auto"/>
          <w:szCs w:val="21"/>
          <w:highlight w:val="none"/>
        </w:rPr>
        <w:t>：</w:t>
      </w:r>
    </w:p>
    <w:p w14:paraId="30AB71A5">
      <w:pPr>
        <w:snapToGrid w:val="0"/>
        <w:spacing w:before="120" w:beforeLines="50" w:after="50" w:line="440" w:lineRule="exact"/>
        <w:ind w:firstLine="420" w:firstLineChars="200"/>
        <w:rPr>
          <w:rFonts w:ascii="Arial" w:hAnsi="Arial" w:cs="Arial"/>
          <w:color w:val="auto"/>
          <w:szCs w:val="21"/>
          <w:highlight w:val="none"/>
        </w:rPr>
      </w:pPr>
      <w:r>
        <w:rPr>
          <w:rFonts w:ascii="Arial" w:hAnsi="Arial" w:cs="Arial"/>
          <w:color w:val="auto"/>
          <w:szCs w:val="21"/>
          <w:highlight w:val="none"/>
        </w:rPr>
        <w:t>我__</w:t>
      </w:r>
      <w:r>
        <w:rPr>
          <w:rFonts w:ascii="Arial" w:hAnsi="Arial" w:cs="Arial"/>
          <w:i/>
          <w:iCs/>
          <w:color w:val="auto"/>
          <w:szCs w:val="21"/>
          <w:highlight w:val="none"/>
          <w:u w:val="single"/>
        </w:rPr>
        <w:t>（法定代表人姓名）</w:t>
      </w:r>
      <w:r>
        <w:rPr>
          <w:rFonts w:ascii="Arial" w:hAnsi="Arial" w:cs="Arial"/>
          <w:color w:val="auto"/>
          <w:szCs w:val="21"/>
          <w:highlight w:val="none"/>
        </w:rPr>
        <w:t>_系_</w:t>
      </w:r>
      <w:r>
        <w:rPr>
          <w:rFonts w:ascii="Arial" w:hAnsi="Arial" w:cs="Arial"/>
          <w:i/>
          <w:iCs/>
          <w:color w:val="auto"/>
          <w:szCs w:val="21"/>
          <w:highlight w:val="none"/>
          <w:u w:val="single"/>
        </w:rPr>
        <w:t>（供应商名称）</w:t>
      </w:r>
      <w:r>
        <w:rPr>
          <w:rFonts w:ascii="Arial" w:hAnsi="Arial" w:cs="Arial"/>
          <w:color w:val="auto"/>
          <w:szCs w:val="21"/>
          <w:highlight w:val="none"/>
        </w:rPr>
        <w:t xml:space="preserve">_的法定代表人，现授权委托本单位在职职工 </w:t>
      </w:r>
      <w:r>
        <w:rPr>
          <w:rFonts w:ascii="Arial" w:hAnsi="Arial" w:cs="Arial"/>
          <w:color w:val="auto"/>
          <w:szCs w:val="21"/>
          <w:highlight w:val="none"/>
          <w:u w:val="single"/>
        </w:rPr>
        <w:t xml:space="preserve">        </w:t>
      </w:r>
      <w:r>
        <w:rPr>
          <w:rFonts w:ascii="Arial" w:hAnsi="Arial" w:cs="Arial"/>
          <w:color w:val="auto"/>
          <w:szCs w:val="21"/>
          <w:highlight w:val="none"/>
        </w:rPr>
        <w:t>（姓名）以我方的名义参加</w:t>
      </w:r>
      <w:r>
        <w:rPr>
          <w:rFonts w:ascii="Arial" w:hAnsi="Arial" w:cs="Arial"/>
          <w:color w:val="auto"/>
          <w:szCs w:val="21"/>
          <w:highlight w:val="none"/>
          <w:u w:val="single"/>
        </w:rPr>
        <w:t xml:space="preserve"> </w:t>
      </w:r>
      <w:r>
        <w:rPr>
          <w:rFonts w:ascii="Arial" w:hAnsi="Arial" w:cs="Arial"/>
          <w:i/>
          <w:iCs/>
          <w:color w:val="auto"/>
          <w:szCs w:val="21"/>
          <w:highlight w:val="none"/>
          <w:u w:val="single"/>
        </w:rPr>
        <w:t>（项目名称）</w:t>
      </w:r>
      <w:r>
        <w:rPr>
          <w:rFonts w:ascii="Arial" w:hAnsi="Arial" w:cs="Arial"/>
          <w:color w:val="auto"/>
          <w:szCs w:val="21"/>
          <w:highlight w:val="none"/>
          <w:u w:val="single"/>
        </w:rPr>
        <w:t xml:space="preserve"> </w:t>
      </w:r>
      <w:r>
        <w:rPr>
          <w:rFonts w:ascii="Arial" w:hAnsi="Arial" w:cs="Arial"/>
          <w:color w:val="auto"/>
          <w:szCs w:val="21"/>
          <w:highlight w:val="none"/>
        </w:rPr>
        <w:t>项目的投标活动，并代表我方全权办理针对上述项目的投标、开标、评审、签约等具体事务和签署相关文件。</w:t>
      </w:r>
    </w:p>
    <w:p w14:paraId="3CE73897">
      <w:pPr>
        <w:snapToGrid w:val="0"/>
        <w:spacing w:before="120" w:beforeLines="50" w:after="50" w:line="440" w:lineRule="exact"/>
        <w:rPr>
          <w:rFonts w:ascii="Arial" w:hAnsi="Arial" w:cs="Arial"/>
          <w:color w:val="auto"/>
          <w:szCs w:val="21"/>
          <w:highlight w:val="none"/>
        </w:rPr>
      </w:pPr>
      <w:r>
        <w:rPr>
          <w:rFonts w:ascii="Arial" w:hAnsi="Arial" w:cs="Arial"/>
          <w:color w:val="auto"/>
          <w:szCs w:val="21"/>
          <w:highlight w:val="none"/>
        </w:rPr>
        <w:t xml:space="preserve">    我方对被授权人的签名事项负全部责任。</w:t>
      </w:r>
    </w:p>
    <w:p w14:paraId="4AB51268">
      <w:pPr>
        <w:snapToGrid w:val="0"/>
        <w:spacing w:before="120" w:beforeLines="50" w:after="50" w:line="440" w:lineRule="exact"/>
        <w:ind w:firstLine="480"/>
        <w:rPr>
          <w:rFonts w:ascii="Arial" w:hAnsi="Arial" w:cs="Arial"/>
          <w:color w:val="auto"/>
          <w:szCs w:val="21"/>
          <w:highlight w:val="none"/>
        </w:rPr>
      </w:pPr>
      <w:r>
        <w:rPr>
          <w:rFonts w:ascii="Arial" w:hAnsi="Arial" w:cs="Arial"/>
          <w:color w:val="auto"/>
          <w:szCs w:val="21"/>
          <w:highlight w:val="none"/>
        </w:rPr>
        <w:t>在撤销授权的书面通知以前，本授权书一直有效。被授权人在授权书有效期内签署的所有文件不因授权的撤销而失效。</w:t>
      </w:r>
    </w:p>
    <w:p w14:paraId="625FDE61">
      <w:pPr>
        <w:snapToGrid w:val="0"/>
        <w:spacing w:before="120" w:beforeLines="50" w:after="50" w:line="440" w:lineRule="exact"/>
        <w:ind w:firstLine="480"/>
        <w:rPr>
          <w:rFonts w:ascii="Arial" w:hAnsi="Arial" w:cs="Arial"/>
          <w:color w:val="auto"/>
          <w:szCs w:val="21"/>
          <w:highlight w:val="none"/>
        </w:rPr>
      </w:pPr>
      <w:r>
        <w:rPr>
          <w:rFonts w:ascii="Arial" w:hAnsi="Arial" w:cs="Arial"/>
          <w:color w:val="auto"/>
          <w:szCs w:val="21"/>
          <w:highlight w:val="none"/>
        </w:rPr>
        <w:t>被授权人无转委托权，特此委托。</w:t>
      </w:r>
    </w:p>
    <w:p w14:paraId="3D5AD498">
      <w:pPr>
        <w:snapToGrid w:val="0"/>
        <w:spacing w:before="120" w:beforeLines="50" w:after="50" w:line="440" w:lineRule="exact"/>
        <w:rPr>
          <w:rFonts w:ascii="Arial" w:hAnsi="Arial" w:cs="Arial"/>
          <w:color w:val="auto"/>
          <w:szCs w:val="21"/>
          <w:highlight w:val="none"/>
          <w:u w:val="single"/>
        </w:rPr>
      </w:pPr>
      <w:r>
        <w:rPr>
          <w:rFonts w:ascii="Arial" w:hAnsi="Arial" w:cs="Arial"/>
          <w:color w:val="auto"/>
          <w:szCs w:val="21"/>
          <w:highlight w:val="none"/>
        </w:rPr>
        <w:t>被授权人签字或签章：</w:t>
      </w:r>
      <w:r>
        <w:rPr>
          <w:rFonts w:ascii="Arial" w:hAnsi="Arial" w:cs="Arial"/>
          <w:color w:val="auto"/>
          <w:szCs w:val="21"/>
          <w:highlight w:val="none"/>
          <w:u w:val="single"/>
        </w:rPr>
        <w:t xml:space="preserve">          </w:t>
      </w:r>
      <w:r>
        <w:rPr>
          <w:rFonts w:ascii="Arial" w:hAnsi="Arial" w:cs="Arial"/>
          <w:color w:val="auto"/>
          <w:szCs w:val="21"/>
          <w:highlight w:val="none"/>
        </w:rPr>
        <w:t xml:space="preserve">                     法定代表人签字或签章：</w:t>
      </w:r>
      <w:r>
        <w:rPr>
          <w:rFonts w:ascii="Arial" w:hAnsi="Arial" w:cs="Arial"/>
          <w:color w:val="auto"/>
          <w:szCs w:val="21"/>
          <w:highlight w:val="none"/>
          <w:u w:val="single"/>
        </w:rPr>
        <w:t xml:space="preserve">          </w:t>
      </w:r>
    </w:p>
    <w:p w14:paraId="5F7D159A">
      <w:pPr>
        <w:snapToGrid w:val="0"/>
        <w:spacing w:before="120" w:beforeLines="50" w:after="50" w:line="440" w:lineRule="exact"/>
        <w:rPr>
          <w:rFonts w:ascii="Arial" w:hAnsi="Arial" w:cs="Arial"/>
          <w:color w:val="auto"/>
          <w:szCs w:val="21"/>
          <w:highlight w:val="none"/>
        </w:rPr>
      </w:pPr>
      <w:r>
        <w:rPr>
          <w:rFonts w:ascii="Arial" w:hAnsi="Arial" w:cs="Arial"/>
          <w:color w:val="auto"/>
          <w:szCs w:val="21"/>
          <w:highlight w:val="none"/>
        </w:rPr>
        <w:t>职务：</w:t>
      </w:r>
      <w:r>
        <w:rPr>
          <w:rFonts w:ascii="Arial" w:hAnsi="Arial" w:cs="Arial"/>
          <w:color w:val="auto"/>
          <w:szCs w:val="21"/>
          <w:highlight w:val="none"/>
          <w:u w:val="single"/>
        </w:rPr>
        <w:t xml:space="preserve">           </w:t>
      </w:r>
      <w:r>
        <w:rPr>
          <w:rFonts w:ascii="Arial" w:hAnsi="Arial" w:cs="Arial"/>
          <w:color w:val="auto"/>
          <w:szCs w:val="21"/>
          <w:highlight w:val="none"/>
        </w:rPr>
        <w:t xml:space="preserve">                                  职务：</w:t>
      </w:r>
      <w:r>
        <w:rPr>
          <w:rFonts w:ascii="Arial" w:hAnsi="Arial" w:cs="Arial"/>
          <w:color w:val="auto"/>
          <w:szCs w:val="21"/>
          <w:highlight w:val="none"/>
          <w:u w:val="single"/>
        </w:rPr>
        <w:t xml:space="preserve">           </w:t>
      </w:r>
    </w:p>
    <w:p w14:paraId="3BFE535A">
      <w:pPr>
        <w:snapToGrid w:val="0"/>
        <w:spacing w:before="120" w:beforeLines="50" w:after="50" w:line="440" w:lineRule="exact"/>
        <w:rPr>
          <w:rFonts w:ascii="Arial" w:hAnsi="Arial" w:cs="Arial"/>
          <w:color w:val="auto"/>
          <w:szCs w:val="21"/>
          <w:highlight w:val="none"/>
        </w:rPr>
      </w:pPr>
      <w:r>
        <w:rPr>
          <w:rFonts w:ascii="Arial" w:hAnsi="Arial" w:cs="Arial"/>
          <w:color w:val="auto"/>
          <w:szCs w:val="21"/>
          <w:highlight w:val="none"/>
        </w:rPr>
        <w:t>被授权人身份证号码：</w:t>
      </w:r>
      <w:r>
        <w:rPr>
          <w:rFonts w:ascii="Arial" w:hAnsi="Arial" w:cs="Arial"/>
          <w:color w:val="auto"/>
          <w:szCs w:val="21"/>
          <w:highlight w:val="none"/>
          <w:u w:val="single"/>
        </w:rPr>
        <w:t xml:space="preserve">                   </w:t>
      </w:r>
      <w:r>
        <w:rPr>
          <w:rFonts w:ascii="Arial" w:hAnsi="Arial" w:cs="Arial"/>
          <w:color w:val="auto"/>
          <w:szCs w:val="21"/>
          <w:highlight w:val="none"/>
        </w:rPr>
        <w:t xml:space="preserve">            授权人身份证号码：</w:t>
      </w:r>
      <w:r>
        <w:rPr>
          <w:rFonts w:ascii="Arial" w:hAnsi="Arial" w:cs="Arial"/>
          <w:color w:val="auto"/>
          <w:szCs w:val="21"/>
          <w:highlight w:val="none"/>
          <w:u w:val="single"/>
        </w:rPr>
        <w:t xml:space="preserve">                 </w:t>
      </w:r>
    </w:p>
    <w:p w14:paraId="2467B8DE">
      <w:pPr>
        <w:snapToGrid w:val="0"/>
        <w:spacing w:before="120" w:beforeLines="50" w:after="50" w:line="440" w:lineRule="exact"/>
        <w:rPr>
          <w:rFonts w:ascii="Arial" w:hAnsi="Arial" w:cs="Arial"/>
          <w:color w:val="auto"/>
          <w:szCs w:val="21"/>
          <w:highlight w:val="none"/>
        </w:rPr>
      </w:pPr>
      <w:bookmarkStart w:id="159" w:name="_Hlk132880052"/>
      <w:r>
        <w:rPr>
          <w:rFonts w:ascii="Arial" w:hAnsi="Arial" w:cs="Arial"/>
          <w:color w:val="auto"/>
          <w:szCs w:val="21"/>
          <w:highlight w:val="none"/>
        </w:rPr>
        <w:t>被授权人手机号码及邮箱：</w:t>
      </w:r>
      <w:bookmarkEnd w:id="159"/>
      <w:r>
        <w:rPr>
          <w:rFonts w:ascii="Arial" w:hAnsi="Arial" w:cs="Arial"/>
          <w:color w:val="auto"/>
          <w:szCs w:val="21"/>
          <w:highlight w:val="none"/>
        </w:rPr>
        <w:t xml:space="preserve">                                 </w:t>
      </w:r>
    </w:p>
    <w:p w14:paraId="7E38C2AA">
      <w:pPr>
        <w:snapToGrid w:val="0"/>
        <w:spacing w:before="120" w:beforeLines="50" w:after="50" w:line="440" w:lineRule="exact"/>
        <w:ind w:firstLine="5250" w:firstLineChars="2500"/>
        <w:rPr>
          <w:rFonts w:ascii="Arial" w:hAnsi="Arial" w:cs="Arial"/>
          <w:color w:val="auto"/>
          <w:szCs w:val="21"/>
          <w:highlight w:val="none"/>
        </w:rPr>
      </w:pPr>
    </w:p>
    <w:p w14:paraId="206A4EB7">
      <w:pPr>
        <w:snapToGrid w:val="0"/>
        <w:spacing w:before="120" w:beforeLines="50" w:after="50" w:line="440" w:lineRule="exact"/>
        <w:ind w:firstLine="5250" w:firstLineChars="2500"/>
        <w:rPr>
          <w:rFonts w:ascii="Arial" w:hAnsi="Arial" w:cs="Arial"/>
          <w:color w:val="auto"/>
          <w:szCs w:val="21"/>
          <w:highlight w:val="none"/>
        </w:rPr>
      </w:pPr>
      <w:r>
        <w:rPr>
          <w:rFonts w:ascii="Arial" w:hAnsi="Arial" w:cs="Arial"/>
          <w:color w:val="auto"/>
          <w:szCs w:val="21"/>
          <w:highlight w:val="none"/>
        </w:rPr>
        <w:t>供应商名称(电子签章)：</w:t>
      </w:r>
      <w:r>
        <w:rPr>
          <w:rFonts w:ascii="Arial" w:hAnsi="Arial" w:cs="Arial"/>
          <w:color w:val="auto"/>
          <w:szCs w:val="21"/>
          <w:highlight w:val="none"/>
          <w:u w:val="single"/>
        </w:rPr>
        <w:t xml:space="preserve">                </w:t>
      </w:r>
    </w:p>
    <w:p w14:paraId="727F7A81">
      <w:pPr>
        <w:snapToGrid w:val="0"/>
        <w:spacing w:before="120" w:beforeLines="50" w:after="50" w:line="440" w:lineRule="exact"/>
        <w:jc w:val="center"/>
        <w:rPr>
          <w:rFonts w:ascii="Arial" w:hAnsi="Arial" w:cs="Arial"/>
          <w:color w:val="auto"/>
          <w:szCs w:val="21"/>
          <w:highlight w:val="none"/>
        </w:rPr>
      </w:pPr>
      <w:r>
        <w:rPr>
          <w:rFonts w:ascii="Arial" w:hAnsi="Arial" w:cs="Arial"/>
          <w:color w:val="auto"/>
          <w:szCs w:val="21"/>
          <w:highlight w:val="none"/>
        </w:rPr>
        <w:t xml:space="preserve">                                        年    月    日</w:t>
      </w:r>
    </w:p>
    <w:p w14:paraId="6C581943">
      <w:pPr>
        <w:spacing w:line="360" w:lineRule="auto"/>
        <w:rPr>
          <w:rFonts w:ascii="Arial" w:hAnsi="Arial" w:cs="Arial"/>
          <w:color w:val="auto"/>
          <w:szCs w:val="21"/>
          <w:highlight w:val="none"/>
        </w:rPr>
      </w:pPr>
    </w:p>
    <w:p w14:paraId="34CD968A">
      <w:pPr>
        <w:spacing w:line="360" w:lineRule="auto"/>
        <w:rPr>
          <w:rFonts w:ascii="Arial" w:hAnsi="Arial" w:cs="Arial"/>
          <w:color w:val="auto"/>
          <w:szCs w:val="21"/>
          <w:highlight w:val="none"/>
        </w:rPr>
      </w:pPr>
    </w:p>
    <w:p w14:paraId="51D7667E">
      <w:pPr>
        <w:spacing w:line="360" w:lineRule="auto"/>
        <w:rPr>
          <w:rFonts w:ascii="Arial" w:hAnsi="Arial" w:cs="Arial"/>
          <w:color w:val="auto"/>
          <w:szCs w:val="21"/>
          <w:highlight w:val="none"/>
        </w:rPr>
      </w:pPr>
      <w:r>
        <w:rPr>
          <w:rFonts w:ascii="Arial" w:hAnsi="Arial" w:cs="Arial"/>
          <w:color w:val="auto"/>
          <w:szCs w:val="21"/>
          <w:highlight w:val="none"/>
        </w:rPr>
        <w:t>附件：法定代表人身份证复印件及授权代表身份证复印件</w:t>
      </w:r>
    </w:p>
    <w:p w14:paraId="445A0E32">
      <w:pPr>
        <w:snapToGrid w:val="0"/>
        <w:spacing w:before="50" w:after="120" w:afterLines="50" w:line="440" w:lineRule="exact"/>
        <w:jc w:val="left"/>
        <w:rPr>
          <w:rFonts w:ascii="Arial" w:hAnsi="Arial" w:cs="Arial"/>
          <w:color w:val="auto"/>
          <w:szCs w:val="21"/>
          <w:highlight w:val="none"/>
        </w:rPr>
      </w:pPr>
      <w:r>
        <w:rPr>
          <w:rFonts w:ascii="Arial" w:hAnsi="Arial" w:cs="Arial"/>
          <w:color w:val="auto"/>
          <w:highlight w:val="none"/>
        </w:rPr>
        <w:br w:type="page"/>
      </w:r>
      <w:r>
        <w:rPr>
          <w:rFonts w:ascii="Arial" w:hAnsi="Arial" w:cs="Arial"/>
          <w:color w:val="auto"/>
          <w:szCs w:val="21"/>
          <w:highlight w:val="none"/>
        </w:rPr>
        <w:t>2．对本项目第二章《采购需求》的响应表：</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110"/>
        <w:gridCol w:w="4890"/>
        <w:gridCol w:w="1082"/>
      </w:tblGrid>
      <w:tr w14:paraId="301AA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56D34E2">
            <w:pPr>
              <w:snapToGrid w:val="0"/>
              <w:spacing w:before="120" w:beforeLines="50"/>
              <w:jc w:val="center"/>
              <w:rPr>
                <w:rFonts w:ascii="Arial" w:hAnsi="Arial" w:eastAsia="宋体" w:cs="Arial"/>
                <w:color w:val="auto"/>
                <w:szCs w:val="21"/>
                <w:highlight w:val="none"/>
              </w:rPr>
            </w:pPr>
            <w:r>
              <w:rPr>
                <w:rFonts w:ascii="Arial" w:hAnsi="Arial" w:eastAsia="宋体" w:cs="Arial"/>
                <w:color w:val="auto"/>
                <w:szCs w:val="21"/>
                <w:highlight w:val="none"/>
              </w:rPr>
              <w:t>序号</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40843CAF">
            <w:pPr>
              <w:snapToGrid w:val="0"/>
              <w:spacing w:before="120" w:beforeLines="50"/>
              <w:jc w:val="center"/>
              <w:rPr>
                <w:rFonts w:ascii="Arial" w:hAnsi="Arial" w:eastAsia="宋体" w:cs="Arial"/>
                <w:color w:val="auto"/>
                <w:szCs w:val="21"/>
                <w:highlight w:val="none"/>
              </w:rPr>
            </w:pPr>
            <w:r>
              <w:rPr>
                <w:rFonts w:ascii="Arial" w:hAnsi="Arial" w:eastAsia="宋体" w:cs="Arial"/>
                <w:color w:val="auto"/>
                <w:szCs w:val="21"/>
                <w:highlight w:val="none"/>
              </w:rPr>
              <w:t>招标文件的要求</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252872B0">
            <w:pPr>
              <w:snapToGrid w:val="0"/>
              <w:spacing w:before="120" w:beforeLines="50"/>
              <w:jc w:val="center"/>
              <w:rPr>
                <w:rFonts w:ascii="Arial" w:hAnsi="Arial" w:eastAsia="宋体" w:cs="Arial"/>
                <w:color w:val="auto"/>
                <w:szCs w:val="21"/>
                <w:highlight w:val="none"/>
              </w:rPr>
            </w:pPr>
            <w:r>
              <w:rPr>
                <w:rFonts w:ascii="Arial" w:hAnsi="Arial" w:eastAsia="宋体" w:cs="Arial"/>
                <w:color w:val="auto"/>
                <w:szCs w:val="21"/>
                <w:highlight w:val="none"/>
              </w:rPr>
              <w:t>投标文件响应内容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4042276">
            <w:pPr>
              <w:snapToGrid w:val="0"/>
              <w:spacing w:before="120" w:beforeLines="50"/>
              <w:jc w:val="center"/>
              <w:rPr>
                <w:rFonts w:ascii="Arial" w:hAnsi="Arial" w:eastAsia="宋体" w:cs="Arial"/>
                <w:color w:val="auto"/>
                <w:szCs w:val="21"/>
                <w:highlight w:val="none"/>
              </w:rPr>
            </w:pPr>
            <w:r>
              <w:rPr>
                <w:rFonts w:ascii="Arial" w:hAnsi="Arial" w:eastAsia="宋体" w:cs="Arial"/>
                <w:color w:val="auto"/>
                <w:highlight w:val="none"/>
              </w:rPr>
              <w:t>偏离</w:t>
            </w:r>
            <w:r>
              <w:rPr>
                <w:rFonts w:ascii="Arial" w:hAnsi="Arial" w:eastAsia="宋体" w:cs="Arial"/>
                <w:color w:val="auto"/>
                <w:szCs w:val="21"/>
                <w:highlight w:val="none"/>
              </w:rPr>
              <w:t>说明</w:t>
            </w:r>
          </w:p>
        </w:tc>
      </w:tr>
      <w:tr w14:paraId="679984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71078DB">
            <w:pPr>
              <w:snapToGrid w:val="0"/>
              <w:spacing w:before="120" w:beforeLines="50"/>
              <w:jc w:val="center"/>
              <w:rPr>
                <w:rFonts w:ascii="Arial" w:hAnsi="Arial" w:eastAsia="宋体" w:cs="Arial"/>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6989E9E6">
            <w:pPr>
              <w:snapToGrid w:val="0"/>
              <w:spacing w:before="120" w:beforeLines="50"/>
              <w:jc w:val="center"/>
              <w:rPr>
                <w:rFonts w:ascii="Arial" w:hAnsi="Arial" w:eastAsia="宋体" w:cs="Arial"/>
                <w:color w:val="auto"/>
                <w:szCs w:val="21"/>
                <w:highlight w:val="none"/>
              </w:rPr>
            </w:pPr>
          </w:p>
        </w:tc>
        <w:tc>
          <w:tcPr>
            <w:tcW w:w="4890" w:type="dxa"/>
            <w:tcBorders>
              <w:top w:val="single" w:color="auto" w:sz="4" w:space="0"/>
              <w:left w:val="single" w:color="auto" w:sz="4" w:space="0"/>
              <w:bottom w:val="single" w:color="auto" w:sz="4" w:space="0"/>
              <w:right w:val="single" w:color="auto" w:sz="4" w:space="0"/>
            </w:tcBorders>
            <w:noWrap w:val="0"/>
            <w:vAlign w:val="center"/>
          </w:tcPr>
          <w:p w14:paraId="1DDC857B">
            <w:pPr>
              <w:snapToGrid w:val="0"/>
              <w:spacing w:before="120" w:beforeLines="50"/>
              <w:jc w:val="center"/>
              <w:rPr>
                <w:rFonts w:ascii="Arial" w:hAnsi="Arial" w:eastAsia="宋体" w:cs="Arial"/>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0347E71">
            <w:pPr>
              <w:snapToGrid w:val="0"/>
              <w:spacing w:before="120" w:beforeLines="50"/>
              <w:jc w:val="center"/>
              <w:rPr>
                <w:rFonts w:ascii="Arial" w:hAnsi="Arial" w:eastAsia="宋体" w:cs="Arial"/>
                <w:color w:val="auto"/>
                <w:szCs w:val="21"/>
                <w:highlight w:val="none"/>
              </w:rPr>
            </w:pPr>
          </w:p>
        </w:tc>
      </w:tr>
      <w:tr w14:paraId="55E8D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7B2578F">
            <w:pPr>
              <w:snapToGrid w:val="0"/>
              <w:spacing w:before="120" w:beforeLines="50"/>
              <w:jc w:val="center"/>
              <w:rPr>
                <w:rFonts w:ascii="Arial" w:hAnsi="Arial" w:eastAsia="宋体" w:cs="Arial"/>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613204D9">
            <w:pPr>
              <w:spacing w:line="360" w:lineRule="exact"/>
              <w:jc w:val="center"/>
              <w:rPr>
                <w:rFonts w:ascii="Arial" w:hAnsi="Arial" w:eastAsia="宋体" w:cs="Arial"/>
                <w:color w:val="auto"/>
                <w:szCs w:val="21"/>
                <w:highlight w:val="none"/>
              </w:rPr>
            </w:pPr>
          </w:p>
        </w:tc>
        <w:tc>
          <w:tcPr>
            <w:tcW w:w="4890" w:type="dxa"/>
            <w:tcBorders>
              <w:top w:val="single" w:color="auto" w:sz="4" w:space="0"/>
              <w:left w:val="single" w:color="auto" w:sz="4" w:space="0"/>
              <w:bottom w:val="single" w:color="auto" w:sz="4" w:space="0"/>
              <w:right w:val="single" w:color="auto" w:sz="4" w:space="0"/>
            </w:tcBorders>
            <w:noWrap w:val="0"/>
            <w:vAlign w:val="center"/>
          </w:tcPr>
          <w:p w14:paraId="05BF897D">
            <w:pPr>
              <w:snapToGrid w:val="0"/>
              <w:spacing w:before="120" w:beforeLines="50"/>
              <w:jc w:val="center"/>
              <w:rPr>
                <w:rFonts w:ascii="Arial" w:hAnsi="Arial" w:eastAsia="宋体" w:cs="Arial"/>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968F9C1">
            <w:pPr>
              <w:snapToGrid w:val="0"/>
              <w:spacing w:before="120" w:beforeLines="50"/>
              <w:jc w:val="center"/>
              <w:rPr>
                <w:rFonts w:ascii="Arial" w:hAnsi="Arial" w:eastAsia="宋体" w:cs="Arial"/>
                <w:color w:val="auto"/>
                <w:szCs w:val="21"/>
                <w:highlight w:val="none"/>
              </w:rPr>
            </w:pPr>
          </w:p>
        </w:tc>
      </w:tr>
      <w:tr w14:paraId="4D587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4F13F96">
            <w:pPr>
              <w:snapToGrid w:val="0"/>
              <w:spacing w:before="120" w:beforeLines="50"/>
              <w:jc w:val="center"/>
              <w:rPr>
                <w:rFonts w:ascii="Arial" w:hAnsi="Arial" w:eastAsia="宋体" w:cs="Arial"/>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5CDEBCE4">
            <w:pPr>
              <w:spacing w:line="360" w:lineRule="exact"/>
              <w:jc w:val="center"/>
              <w:rPr>
                <w:rFonts w:ascii="Arial" w:hAnsi="Arial" w:eastAsia="宋体" w:cs="Arial"/>
                <w:color w:val="auto"/>
                <w:szCs w:val="21"/>
                <w:highlight w:val="none"/>
              </w:rPr>
            </w:pPr>
            <w:r>
              <w:rPr>
                <w:rFonts w:ascii="Arial" w:hAnsi="Arial" w:eastAsia="宋体" w:cs="Arial"/>
                <w:color w:val="auto"/>
                <w:szCs w:val="21"/>
                <w:highlight w:val="none"/>
              </w:rPr>
              <w:t>……</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12FD7948">
            <w:pPr>
              <w:snapToGrid w:val="0"/>
              <w:spacing w:before="120" w:beforeLines="50"/>
              <w:jc w:val="center"/>
              <w:rPr>
                <w:rFonts w:ascii="Arial" w:hAnsi="Arial" w:eastAsia="宋体" w:cs="Arial"/>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03945AF">
            <w:pPr>
              <w:snapToGrid w:val="0"/>
              <w:spacing w:before="120" w:beforeLines="50"/>
              <w:jc w:val="center"/>
              <w:rPr>
                <w:rFonts w:ascii="Arial" w:hAnsi="Arial" w:eastAsia="宋体" w:cs="Arial"/>
                <w:color w:val="auto"/>
                <w:szCs w:val="21"/>
                <w:highlight w:val="none"/>
              </w:rPr>
            </w:pPr>
          </w:p>
        </w:tc>
      </w:tr>
    </w:tbl>
    <w:p w14:paraId="3E1F5A12">
      <w:pPr>
        <w:pStyle w:val="27"/>
        <w:tabs>
          <w:tab w:val="left" w:pos="2127"/>
        </w:tabs>
        <w:spacing w:line="340" w:lineRule="exact"/>
        <w:ind w:firstLine="420" w:firstLineChars="200"/>
        <w:jc w:val="left"/>
        <w:rPr>
          <w:rFonts w:ascii="Arial" w:hAnsi="Arial" w:cs="Arial"/>
          <w:color w:val="auto"/>
          <w:highlight w:val="none"/>
        </w:rPr>
      </w:pPr>
      <w:bookmarkStart w:id="160" w:name="_Hlk48144603"/>
      <w:bookmarkStart w:id="161" w:name="_Hlk88990584"/>
      <w:r>
        <w:rPr>
          <w:rFonts w:ascii="Arial" w:hAnsi="Arial" w:cs="Arial"/>
          <w:color w:val="auto"/>
          <w:highlight w:val="none"/>
        </w:rPr>
        <w:t>注：</w:t>
      </w:r>
      <w:bookmarkStart w:id="162" w:name="_Hlk19049081"/>
      <w:r>
        <w:rPr>
          <w:rFonts w:ascii="Arial" w:hAnsi="Arial" w:cs="Arial"/>
          <w:color w:val="auto"/>
          <w:highlight w:val="none"/>
        </w:rPr>
        <w:t>（1）本表应对招标文件第二章《采购需求》中所有要求进行响应，并根据响应情况在“偏离说明”栏填写正偏离或负偏离及原因，完全符合的填写“无偏离”。</w:t>
      </w:r>
    </w:p>
    <w:p w14:paraId="0583028F">
      <w:pPr>
        <w:ind w:firstLine="420" w:firstLineChars="200"/>
        <w:rPr>
          <w:rFonts w:ascii="Arial" w:hAnsi="Arial" w:cs="Arial"/>
          <w:color w:val="auto"/>
          <w:highlight w:val="none"/>
        </w:rPr>
      </w:pPr>
      <w:r>
        <w:rPr>
          <w:rFonts w:ascii="Arial" w:hAnsi="Arial" w:cs="Arial"/>
          <w:color w:val="auto"/>
          <w:highlight w:val="none"/>
        </w:rPr>
        <w:t>（2）偏离认定说明详见评审方法及标准。</w:t>
      </w:r>
    </w:p>
    <w:bookmarkEnd w:id="162"/>
    <w:p w14:paraId="248BD005">
      <w:pPr>
        <w:pStyle w:val="27"/>
        <w:tabs>
          <w:tab w:val="left" w:pos="2127"/>
        </w:tabs>
        <w:spacing w:line="340" w:lineRule="exact"/>
        <w:ind w:firstLine="420" w:firstLineChars="200"/>
        <w:jc w:val="left"/>
        <w:rPr>
          <w:rFonts w:ascii="Arial" w:hAnsi="Arial" w:cs="Arial"/>
          <w:color w:val="auto"/>
          <w:highlight w:val="none"/>
        </w:rPr>
      </w:pPr>
      <w:r>
        <w:rPr>
          <w:rFonts w:ascii="Arial" w:hAnsi="Arial" w:cs="Arial"/>
          <w:color w:val="auto"/>
          <w:highlight w:val="none"/>
        </w:rPr>
        <w:t>（3）本表可扩展。</w:t>
      </w:r>
    </w:p>
    <w:bookmarkEnd w:id="160"/>
    <w:p w14:paraId="0D5603C0">
      <w:pPr>
        <w:snapToGrid w:val="0"/>
        <w:spacing w:before="50" w:after="120" w:afterLines="50" w:line="440" w:lineRule="exact"/>
        <w:jc w:val="left"/>
        <w:rPr>
          <w:rFonts w:ascii="Arial" w:hAnsi="Arial" w:cs="Arial"/>
          <w:color w:val="auto"/>
          <w:spacing w:val="20"/>
          <w:szCs w:val="21"/>
          <w:highlight w:val="none"/>
          <w:u w:val="single"/>
        </w:rPr>
      </w:pPr>
      <w:r>
        <w:rPr>
          <w:rFonts w:ascii="Arial" w:hAnsi="Arial" w:cs="Arial"/>
          <w:color w:val="auto"/>
          <w:szCs w:val="21"/>
          <w:highlight w:val="none"/>
        </w:rPr>
        <w:t>供应商名称(电子签章)</w:t>
      </w:r>
      <w:r>
        <w:rPr>
          <w:rFonts w:ascii="Arial" w:hAnsi="Arial" w:cs="Arial"/>
          <w:color w:val="auto"/>
          <w:spacing w:val="20"/>
          <w:szCs w:val="21"/>
          <w:highlight w:val="none"/>
        </w:rPr>
        <w:t>：</w:t>
      </w:r>
      <w:r>
        <w:rPr>
          <w:rFonts w:ascii="Arial" w:hAnsi="Arial" w:cs="Arial"/>
          <w:color w:val="auto"/>
          <w:spacing w:val="20"/>
          <w:szCs w:val="21"/>
          <w:highlight w:val="none"/>
          <w:u w:val="single"/>
        </w:rPr>
        <w:t xml:space="preserve">            </w:t>
      </w:r>
      <w:r>
        <w:rPr>
          <w:rFonts w:ascii="Arial" w:hAnsi="Arial" w:cs="Arial"/>
          <w:color w:val="auto"/>
          <w:spacing w:val="20"/>
          <w:szCs w:val="21"/>
          <w:highlight w:val="none"/>
        </w:rPr>
        <w:t xml:space="preserve">             日  期：</w:t>
      </w:r>
      <w:r>
        <w:rPr>
          <w:rFonts w:ascii="Arial" w:hAnsi="Arial" w:cs="Arial"/>
          <w:color w:val="auto"/>
          <w:spacing w:val="20"/>
          <w:szCs w:val="21"/>
          <w:highlight w:val="none"/>
          <w:u w:val="single"/>
        </w:rPr>
        <w:t xml:space="preserve">        </w:t>
      </w:r>
    </w:p>
    <w:bookmarkEnd w:id="161"/>
    <w:p w14:paraId="696417FE">
      <w:pPr>
        <w:snapToGrid w:val="0"/>
        <w:spacing w:before="50" w:after="120" w:afterLines="50" w:line="440" w:lineRule="exact"/>
        <w:jc w:val="left"/>
        <w:rPr>
          <w:rFonts w:ascii="Arial" w:hAnsi="Arial" w:cs="Arial"/>
          <w:strike/>
          <w:color w:val="auto"/>
          <w:szCs w:val="21"/>
          <w:highlight w:val="none"/>
        </w:rPr>
      </w:pPr>
    </w:p>
    <w:p w14:paraId="56BF32C0">
      <w:pPr>
        <w:snapToGrid w:val="0"/>
        <w:spacing w:before="50" w:after="120" w:afterLines="50" w:line="440" w:lineRule="exact"/>
        <w:jc w:val="left"/>
        <w:rPr>
          <w:rFonts w:ascii="Arial" w:hAnsi="Arial" w:cs="Arial"/>
          <w:color w:val="auto"/>
          <w:szCs w:val="21"/>
          <w:highlight w:val="none"/>
        </w:rPr>
      </w:pPr>
      <w:r>
        <w:rPr>
          <w:rFonts w:ascii="Arial" w:hAnsi="Arial" w:cs="Arial"/>
          <w:color w:val="auto"/>
          <w:szCs w:val="21"/>
          <w:highlight w:val="none"/>
        </w:rPr>
        <w:t>3．售后服务机构概况</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0"/>
        <w:gridCol w:w="1422"/>
        <w:gridCol w:w="191"/>
        <w:gridCol w:w="1440"/>
        <w:gridCol w:w="889"/>
        <w:gridCol w:w="1436"/>
      </w:tblGrid>
      <w:tr w14:paraId="6BF35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2675B3E5">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售后服务机构名称</w:t>
            </w:r>
          </w:p>
        </w:tc>
        <w:tc>
          <w:tcPr>
            <w:tcW w:w="5378" w:type="dxa"/>
            <w:gridSpan w:val="5"/>
            <w:tcBorders>
              <w:top w:val="single" w:color="auto" w:sz="4" w:space="0"/>
              <w:left w:val="single" w:color="auto" w:sz="4" w:space="0"/>
              <w:bottom w:val="single" w:color="auto" w:sz="4" w:space="0"/>
              <w:right w:val="single" w:color="auto" w:sz="4" w:space="0"/>
            </w:tcBorders>
            <w:noWrap w:val="0"/>
            <w:vAlign w:val="top"/>
          </w:tcPr>
          <w:p w14:paraId="1FF077A9">
            <w:pPr>
              <w:snapToGrid w:val="0"/>
              <w:spacing w:before="50" w:after="120" w:afterLines="50" w:line="400" w:lineRule="exact"/>
              <w:jc w:val="left"/>
              <w:rPr>
                <w:rFonts w:ascii="Arial" w:hAnsi="Arial" w:eastAsia="宋体" w:cs="Arial"/>
                <w:color w:val="auto"/>
                <w:szCs w:val="21"/>
                <w:highlight w:val="none"/>
              </w:rPr>
            </w:pPr>
          </w:p>
        </w:tc>
      </w:tr>
      <w:tr w14:paraId="400222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208302E9">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地址</w:t>
            </w:r>
          </w:p>
        </w:tc>
        <w:tc>
          <w:tcPr>
            <w:tcW w:w="5378" w:type="dxa"/>
            <w:gridSpan w:val="5"/>
            <w:tcBorders>
              <w:top w:val="single" w:color="auto" w:sz="4" w:space="0"/>
              <w:left w:val="single" w:color="auto" w:sz="4" w:space="0"/>
              <w:bottom w:val="single" w:color="auto" w:sz="4" w:space="0"/>
              <w:right w:val="single" w:color="auto" w:sz="4" w:space="0"/>
            </w:tcBorders>
            <w:noWrap w:val="0"/>
            <w:vAlign w:val="top"/>
          </w:tcPr>
          <w:p w14:paraId="2BDB5927">
            <w:pPr>
              <w:snapToGrid w:val="0"/>
              <w:spacing w:before="50" w:after="120" w:afterLines="50" w:line="400" w:lineRule="exact"/>
              <w:jc w:val="left"/>
              <w:rPr>
                <w:rFonts w:ascii="Arial" w:hAnsi="Arial" w:eastAsia="宋体" w:cs="Arial"/>
                <w:color w:val="auto"/>
                <w:szCs w:val="21"/>
                <w:highlight w:val="none"/>
              </w:rPr>
            </w:pPr>
          </w:p>
        </w:tc>
      </w:tr>
      <w:tr w14:paraId="7E72E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2E0F6124">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注册资本金</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2478E263">
            <w:pPr>
              <w:snapToGrid w:val="0"/>
              <w:spacing w:before="50" w:after="120" w:afterLines="50" w:line="400" w:lineRule="exact"/>
              <w:jc w:val="left"/>
              <w:rPr>
                <w:rFonts w:ascii="Arial" w:hAnsi="Arial" w:eastAsia="宋体" w:cs="Arial"/>
                <w:color w:val="auto"/>
                <w:szCs w:val="21"/>
                <w:highlight w:val="none"/>
              </w:rPr>
            </w:pPr>
          </w:p>
        </w:tc>
        <w:tc>
          <w:tcPr>
            <w:tcW w:w="2520" w:type="dxa"/>
            <w:gridSpan w:val="3"/>
            <w:tcBorders>
              <w:top w:val="single" w:color="auto" w:sz="4" w:space="0"/>
              <w:left w:val="single" w:color="auto" w:sz="4" w:space="0"/>
              <w:bottom w:val="single" w:color="auto" w:sz="4" w:space="0"/>
              <w:right w:val="single" w:color="auto" w:sz="4" w:space="0"/>
            </w:tcBorders>
            <w:noWrap w:val="0"/>
            <w:vAlign w:val="top"/>
          </w:tcPr>
          <w:p w14:paraId="67F9B7F3">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其中：供应商出资比例</w:t>
            </w:r>
          </w:p>
        </w:tc>
        <w:tc>
          <w:tcPr>
            <w:tcW w:w="1436" w:type="dxa"/>
            <w:tcBorders>
              <w:top w:val="single" w:color="auto" w:sz="4" w:space="0"/>
              <w:left w:val="single" w:color="auto" w:sz="4" w:space="0"/>
              <w:bottom w:val="single" w:color="auto" w:sz="4" w:space="0"/>
              <w:right w:val="single" w:color="auto" w:sz="4" w:space="0"/>
            </w:tcBorders>
            <w:noWrap w:val="0"/>
            <w:vAlign w:val="top"/>
          </w:tcPr>
          <w:p w14:paraId="44746418">
            <w:pPr>
              <w:snapToGrid w:val="0"/>
              <w:spacing w:before="50" w:after="120" w:afterLines="50" w:line="400" w:lineRule="exact"/>
              <w:jc w:val="left"/>
              <w:rPr>
                <w:rFonts w:ascii="Arial" w:hAnsi="Arial" w:eastAsia="宋体" w:cs="Arial"/>
                <w:color w:val="auto"/>
                <w:szCs w:val="21"/>
                <w:highlight w:val="none"/>
              </w:rPr>
            </w:pPr>
          </w:p>
        </w:tc>
      </w:tr>
      <w:tr w14:paraId="5BB49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11DE8AE1">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员工总人数</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53C0BAFD">
            <w:pPr>
              <w:snapToGrid w:val="0"/>
              <w:spacing w:before="50" w:after="120" w:afterLines="50" w:line="400" w:lineRule="exact"/>
              <w:jc w:val="left"/>
              <w:rPr>
                <w:rFonts w:ascii="Arial" w:hAnsi="Arial" w:eastAsia="宋体" w:cs="Arial"/>
                <w:color w:val="auto"/>
                <w:szCs w:val="21"/>
                <w:highlight w:val="none"/>
              </w:rPr>
            </w:pPr>
          </w:p>
        </w:tc>
        <w:tc>
          <w:tcPr>
            <w:tcW w:w="2520" w:type="dxa"/>
            <w:gridSpan w:val="3"/>
            <w:tcBorders>
              <w:top w:val="single" w:color="auto" w:sz="4" w:space="0"/>
              <w:left w:val="single" w:color="auto" w:sz="4" w:space="0"/>
              <w:bottom w:val="single" w:color="auto" w:sz="4" w:space="0"/>
              <w:right w:val="single" w:color="auto" w:sz="4" w:space="0"/>
            </w:tcBorders>
            <w:noWrap w:val="0"/>
            <w:vAlign w:val="top"/>
          </w:tcPr>
          <w:p w14:paraId="183C835C">
            <w:pPr>
              <w:snapToGrid w:val="0"/>
              <w:spacing w:before="50" w:after="120" w:afterLines="50" w:line="400" w:lineRule="exact"/>
              <w:ind w:left="60"/>
              <w:jc w:val="left"/>
              <w:rPr>
                <w:rFonts w:ascii="Arial" w:hAnsi="Arial" w:eastAsia="宋体" w:cs="Arial"/>
                <w:color w:val="auto"/>
                <w:szCs w:val="21"/>
                <w:highlight w:val="none"/>
              </w:rPr>
            </w:pPr>
            <w:r>
              <w:rPr>
                <w:rFonts w:ascii="Arial" w:hAnsi="Arial" w:eastAsia="宋体" w:cs="Arial"/>
                <w:color w:val="auto"/>
                <w:szCs w:val="21"/>
                <w:highlight w:val="none"/>
              </w:rPr>
              <w:t>其中：技术人员数</w:t>
            </w:r>
          </w:p>
        </w:tc>
        <w:tc>
          <w:tcPr>
            <w:tcW w:w="1436" w:type="dxa"/>
            <w:tcBorders>
              <w:top w:val="single" w:color="auto" w:sz="4" w:space="0"/>
              <w:left w:val="single" w:color="auto" w:sz="4" w:space="0"/>
              <w:bottom w:val="single" w:color="auto" w:sz="4" w:space="0"/>
              <w:right w:val="single" w:color="auto" w:sz="4" w:space="0"/>
            </w:tcBorders>
            <w:noWrap w:val="0"/>
            <w:vAlign w:val="top"/>
          </w:tcPr>
          <w:p w14:paraId="426B4059">
            <w:pPr>
              <w:snapToGrid w:val="0"/>
              <w:spacing w:before="50" w:after="120" w:afterLines="50" w:line="400" w:lineRule="exact"/>
              <w:jc w:val="left"/>
              <w:rPr>
                <w:rFonts w:ascii="Arial" w:hAnsi="Arial" w:eastAsia="宋体" w:cs="Arial"/>
                <w:color w:val="auto"/>
                <w:szCs w:val="21"/>
                <w:highlight w:val="none"/>
              </w:rPr>
            </w:pPr>
          </w:p>
        </w:tc>
      </w:tr>
      <w:tr w14:paraId="4AE03D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72B86274">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经营期限</w:t>
            </w:r>
          </w:p>
        </w:tc>
        <w:tc>
          <w:tcPr>
            <w:tcW w:w="5378" w:type="dxa"/>
            <w:gridSpan w:val="5"/>
            <w:tcBorders>
              <w:top w:val="single" w:color="auto" w:sz="4" w:space="0"/>
              <w:left w:val="single" w:color="auto" w:sz="4" w:space="0"/>
              <w:bottom w:val="single" w:color="auto" w:sz="4" w:space="0"/>
              <w:right w:val="single" w:color="auto" w:sz="4" w:space="0"/>
            </w:tcBorders>
            <w:noWrap w:val="0"/>
            <w:vAlign w:val="top"/>
          </w:tcPr>
          <w:p w14:paraId="6939EB20">
            <w:pPr>
              <w:snapToGrid w:val="0"/>
              <w:spacing w:before="50" w:after="120" w:afterLines="50" w:line="400" w:lineRule="exact"/>
              <w:jc w:val="left"/>
              <w:rPr>
                <w:rFonts w:ascii="Arial" w:hAnsi="Arial" w:eastAsia="宋体" w:cs="Arial"/>
                <w:color w:val="auto"/>
                <w:szCs w:val="21"/>
                <w:highlight w:val="none"/>
              </w:rPr>
            </w:pPr>
          </w:p>
        </w:tc>
      </w:tr>
      <w:tr w14:paraId="562DBC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3C69407A">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售后服务协议</w:t>
            </w:r>
          </w:p>
        </w:tc>
        <w:tc>
          <w:tcPr>
            <w:tcW w:w="5378" w:type="dxa"/>
            <w:gridSpan w:val="5"/>
            <w:tcBorders>
              <w:top w:val="single" w:color="auto" w:sz="4" w:space="0"/>
              <w:left w:val="single" w:color="auto" w:sz="4" w:space="0"/>
              <w:bottom w:val="single" w:color="auto" w:sz="4" w:space="0"/>
              <w:right w:val="single" w:color="auto" w:sz="4" w:space="0"/>
            </w:tcBorders>
            <w:noWrap w:val="0"/>
            <w:vAlign w:val="top"/>
          </w:tcPr>
          <w:p w14:paraId="1861E45B">
            <w:pPr>
              <w:snapToGrid w:val="0"/>
              <w:spacing w:before="50" w:after="120" w:afterLines="50" w:line="400" w:lineRule="exact"/>
              <w:jc w:val="left"/>
              <w:rPr>
                <w:rFonts w:ascii="Arial" w:hAnsi="Arial" w:eastAsia="宋体" w:cs="Arial"/>
                <w:color w:val="auto"/>
                <w:szCs w:val="21"/>
                <w:highlight w:val="none"/>
              </w:rPr>
            </w:pPr>
          </w:p>
        </w:tc>
      </w:tr>
      <w:tr w14:paraId="3E0C2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0ED40928">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售后服务内容</w:t>
            </w:r>
          </w:p>
        </w:tc>
        <w:tc>
          <w:tcPr>
            <w:tcW w:w="5378" w:type="dxa"/>
            <w:gridSpan w:val="5"/>
            <w:tcBorders>
              <w:top w:val="single" w:color="auto" w:sz="4" w:space="0"/>
              <w:left w:val="single" w:color="auto" w:sz="4" w:space="0"/>
              <w:bottom w:val="single" w:color="auto" w:sz="4" w:space="0"/>
              <w:right w:val="single" w:color="auto" w:sz="4" w:space="0"/>
            </w:tcBorders>
            <w:noWrap w:val="0"/>
            <w:vAlign w:val="top"/>
          </w:tcPr>
          <w:p w14:paraId="31E99934">
            <w:pPr>
              <w:snapToGrid w:val="0"/>
              <w:spacing w:before="50" w:after="120" w:afterLines="50" w:line="400" w:lineRule="exact"/>
              <w:jc w:val="left"/>
              <w:rPr>
                <w:rFonts w:ascii="Arial" w:hAnsi="Arial" w:eastAsia="宋体" w:cs="Arial"/>
                <w:color w:val="auto"/>
                <w:szCs w:val="21"/>
                <w:highlight w:val="none"/>
              </w:rPr>
            </w:pPr>
          </w:p>
        </w:tc>
      </w:tr>
      <w:tr w14:paraId="613910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4A5E7E1B">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工作业绩</w:t>
            </w:r>
          </w:p>
        </w:tc>
        <w:tc>
          <w:tcPr>
            <w:tcW w:w="5378" w:type="dxa"/>
            <w:gridSpan w:val="5"/>
            <w:tcBorders>
              <w:top w:val="single" w:color="auto" w:sz="4" w:space="0"/>
              <w:left w:val="single" w:color="auto" w:sz="4" w:space="0"/>
              <w:bottom w:val="single" w:color="auto" w:sz="4" w:space="0"/>
              <w:right w:val="single" w:color="auto" w:sz="4" w:space="0"/>
            </w:tcBorders>
            <w:noWrap w:val="0"/>
            <w:vAlign w:val="top"/>
          </w:tcPr>
          <w:p w14:paraId="2B722065">
            <w:pPr>
              <w:snapToGrid w:val="0"/>
              <w:spacing w:before="50" w:after="120" w:afterLines="50" w:line="400" w:lineRule="exact"/>
              <w:jc w:val="left"/>
              <w:rPr>
                <w:rFonts w:ascii="Arial" w:hAnsi="Arial" w:eastAsia="宋体" w:cs="Arial"/>
                <w:color w:val="auto"/>
                <w:szCs w:val="21"/>
                <w:highlight w:val="none"/>
              </w:rPr>
            </w:pPr>
          </w:p>
        </w:tc>
      </w:tr>
      <w:tr w14:paraId="1AFE2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5CED2D16">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服务承诺</w:t>
            </w:r>
          </w:p>
        </w:tc>
        <w:tc>
          <w:tcPr>
            <w:tcW w:w="5378" w:type="dxa"/>
            <w:gridSpan w:val="5"/>
            <w:tcBorders>
              <w:top w:val="single" w:color="auto" w:sz="4" w:space="0"/>
              <w:left w:val="single" w:color="auto" w:sz="4" w:space="0"/>
              <w:bottom w:val="single" w:color="auto" w:sz="4" w:space="0"/>
              <w:right w:val="single" w:color="auto" w:sz="4" w:space="0"/>
            </w:tcBorders>
            <w:noWrap w:val="0"/>
            <w:vAlign w:val="top"/>
          </w:tcPr>
          <w:p w14:paraId="14DF4C5A">
            <w:pPr>
              <w:snapToGrid w:val="0"/>
              <w:spacing w:before="50" w:after="120" w:afterLines="50" w:line="400" w:lineRule="exact"/>
              <w:jc w:val="left"/>
              <w:rPr>
                <w:rFonts w:ascii="Arial" w:hAnsi="Arial" w:eastAsia="宋体" w:cs="Arial"/>
                <w:color w:val="auto"/>
                <w:szCs w:val="21"/>
                <w:highlight w:val="none"/>
              </w:rPr>
            </w:pPr>
          </w:p>
        </w:tc>
      </w:tr>
      <w:tr w14:paraId="4E200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1C4F8132">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业务咨询电话</w:t>
            </w:r>
          </w:p>
        </w:tc>
        <w:tc>
          <w:tcPr>
            <w:tcW w:w="1613" w:type="dxa"/>
            <w:gridSpan w:val="2"/>
            <w:tcBorders>
              <w:top w:val="single" w:color="auto" w:sz="4" w:space="0"/>
              <w:left w:val="single" w:color="auto" w:sz="4" w:space="0"/>
              <w:bottom w:val="single" w:color="auto" w:sz="4" w:space="0"/>
              <w:right w:val="single" w:color="auto" w:sz="2" w:space="0"/>
            </w:tcBorders>
            <w:noWrap w:val="0"/>
            <w:vAlign w:val="top"/>
          </w:tcPr>
          <w:p w14:paraId="16303869">
            <w:pPr>
              <w:snapToGrid w:val="0"/>
              <w:spacing w:before="50" w:after="120" w:afterLines="50" w:line="400" w:lineRule="exact"/>
              <w:jc w:val="left"/>
              <w:rPr>
                <w:rFonts w:ascii="Arial" w:hAnsi="Arial" w:eastAsia="宋体" w:cs="Arial"/>
                <w:color w:val="auto"/>
                <w:szCs w:val="21"/>
                <w:highlight w:val="none"/>
              </w:rPr>
            </w:pPr>
          </w:p>
        </w:tc>
        <w:tc>
          <w:tcPr>
            <w:tcW w:w="1440" w:type="dxa"/>
            <w:tcBorders>
              <w:top w:val="single" w:color="auto" w:sz="4" w:space="0"/>
              <w:left w:val="single" w:color="auto" w:sz="2" w:space="0"/>
              <w:bottom w:val="single" w:color="auto" w:sz="4" w:space="0"/>
              <w:right w:val="single" w:color="auto" w:sz="2" w:space="0"/>
            </w:tcBorders>
            <w:noWrap w:val="0"/>
            <w:vAlign w:val="top"/>
          </w:tcPr>
          <w:p w14:paraId="50BA9601">
            <w:pPr>
              <w:snapToGrid w:val="0"/>
              <w:spacing w:before="50" w:after="120" w:afterLines="50" w:line="400" w:lineRule="exact"/>
              <w:ind w:firstLine="210" w:firstLineChars="100"/>
              <w:jc w:val="left"/>
              <w:rPr>
                <w:rFonts w:ascii="Arial" w:hAnsi="Arial" w:eastAsia="宋体" w:cs="Arial"/>
                <w:color w:val="auto"/>
                <w:szCs w:val="21"/>
                <w:highlight w:val="none"/>
              </w:rPr>
            </w:pPr>
            <w:r>
              <w:rPr>
                <w:rFonts w:ascii="Arial" w:hAnsi="Arial" w:eastAsia="宋体" w:cs="Arial"/>
                <w:color w:val="auto"/>
                <w:szCs w:val="21"/>
                <w:highlight w:val="none"/>
              </w:rPr>
              <w:t>传 真</w:t>
            </w:r>
          </w:p>
        </w:tc>
        <w:tc>
          <w:tcPr>
            <w:tcW w:w="2325" w:type="dxa"/>
            <w:gridSpan w:val="2"/>
            <w:tcBorders>
              <w:top w:val="single" w:color="auto" w:sz="4" w:space="0"/>
              <w:left w:val="single" w:color="auto" w:sz="2" w:space="0"/>
              <w:bottom w:val="single" w:color="auto" w:sz="4" w:space="0"/>
              <w:right w:val="single" w:color="auto" w:sz="2" w:space="0"/>
            </w:tcBorders>
            <w:noWrap w:val="0"/>
            <w:vAlign w:val="top"/>
          </w:tcPr>
          <w:p w14:paraId="7F28907E">
            <w:pPr>
              <w:snapToGrid w:val="0"/>
              <w:spacing w:before="50" w:after="120" w:afterLines="50" w:line="400" w:lineRule="exact"/>
              <w:jc w:val="left"/>
              <w:rPr>
                <w:rFonts w:ascii="Arial" w:hAnsi="Arial" w:eastAsia="宋体" w:cs="Arial"/>
                <w:color w:val="auto"/>
                <w:szCs w:val="21"/>
                <w:highlight w:val="none"/>
              </w:rPr>
            </w:pPr>
          </w:p>
        </w:tc>
      </w:tr>
      <w:tr w14:paraId="6CE18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vAlign w:val="top"/>
          </w:tcPr>
          <w:p w14:paraId="49797FEF">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负责人</w:t>
            </w:r>
          </w:p>
        </w:tc>
        <w:tc>
          <w:tcPr>
            <w:tcW w:w="1613" w:type="dxa"/>
            <w:gridSpan w:val="2"/>
            <w:tcBorders>
              <w:top w:val="single" w:color="auto" w:sz="4" w:space="0"/>
              <w:left w:val="single" w:color="auto" w:sz="4" w:space="0"/>
              <w:bottom w:val="single" w:color="auto" w:sz="4" w:space="0"/>
              <w:right w:val="single" w:color="auto" w:sz="2" w:space="0"/>
            </w:tcBorders>
            <w:noWrap w:val="0"/>
            <w:vAlign w:val="top"/>
          </w:tcPr>
          <w:p w14:paraId="28D1792E">
            <w:pPr>
              <w:snapToGrid w:val="0"/>
              <w:spacing w:before="50" w:after="120" w:afterLines="50" w:line="400" w:lineRule="exact"/>
              <w:jc w:val="left"/>
              <w:rPr>
                <w:rFonts w:ascii="Arial" w:hAnsi="Arial" w:eastAsia="宋体" w:cs="Arial"/>
                <w:color w:val="auto"/>
                <w:szCs w:val="21"/>
                <w:highlight w:val="none"/>
              </w:rPr>
            </w:pPr>
          </w:p>
        </w:tc>
        <w:tc>
          <w:tcPr>
            <w:tcW w:w="1440" w:type="dxa"/>
            <w:tcBorders>
              <w:top w:val="single" w:color="auto" w:sz="4" w:space="0"/>
              <w:left w:val="single" w:color="auto" w:sz="2" w:space="0"/>
              <w:bottom w:val="single" w:color="auto" w:sz="4" w:space="0"/>
              <w:right w:val="single" w:color="auto" w:sz="2" w:space="0"/>
            </w:tcBorders>
            <w:noWrap w:val="0"/>
            <w:vAlign w:val="top"/>
          </w:tcPr>
          <w:p w14:paraId="40094B07">
            <w:pPr>
              <w:snapToGrid w:val="0"/>
              <w:spacing w:before="50" w:after="120" w:afterLines="50" w:line="400" w:lineRule="exact"/>
              <w:jc w:val="left"/>
              <w:rPr>
                <w:rFonts w:ascii="Arial" w:hAnsi="Arial" w:eastAsia="宋体" w:cs="Arial"/>
                <w:color w:val="auto"/>
                <w:szCs w:val="21"/>
                <w:highlight w:val="none"/>
              </w:rPr>
            </w:pPr>
            <w:r>
              <w:rPr>
                <w:rFonts w:ascii="Arial" w:hAnsi="Arial" w:eastAsia="宋体" w:cs="Arial"/>
                <w:color w:val="auto"/>
                <w:szCs w:val="21"/>
                <w:highlight w:val="none"/>
              </w:rPr>
              <w:t>联系电话</w:t>
            </w:r>
          </w:p>
        </w:tc>
        <w:tc>
          <w:tcPr>
            <w:tcW w:w="2325" w:type="dxa"/>
            <w:gridSpan w:val="2"/>
            <w:tcBorders>
              <w:top w:val="single" w:color="auto" w:sz="4" w:space="0"/>
              <w:left w:val="single" w:color="auto" w:sz="2" w:space="0"/>
              <w:bottom w:val="single" w:color="auto" w:sz="4" w:space="0"/>
              <w:right w:val="single" w:color="auto" w:sz="4" w:space="0"/>
            </w:tcBorders>
            <w:noWrap w:val="0"/>
            <w:vAlign w:val="top"/>
          </w:tcPr>
          <w:p w14:paraId="463A67F6">
            <w:pPr>
              <w:snapToGrid w:val="0"/>
              <w:spacing w:before="50" w:after="120" w:afterLines="50" w:line="400" w:lineRule="exact"/>
              <w:jc w:val="left"/>
              <w:rPr>
                <w:rFonts w:ascii="Arial" w:hAnsi="Arial" w:eastAsia="宋体" w:cs="Arial"/>
                <w:color w:val="auto"/>
                <w:szCs w:val="21"/>
                <w:highlight w:val="none"/>
              </w:rPr>
            </w:pPr>
          </w:p>
        </w:tc>
      </w:tr>
    </w:tbl>
    <w:p w14:paraId="6C34657E">
      <w:pPr>
        <w:pStyle w:val="20"/>
        <w:snapToGrid w:val="0"/>
        <w:rPr>
          <w:rFonts w:ascii="Arial" w:hAnsi="Arial" w:cs="Arial"/>
          <w:color w:val="auto"/>
          <w:sz w:val="22"/>
          <w:szCs w:val="20"/>
          <w:highlight w:val="none"/>
        </w:rPr>
      </w:pPr>
    </w:p>
    <w:p w14:paraId="4A027906">
      <w:pPr>
        <w:pStyle w:val="20"/>
        <w:snapToGrid w:val="0"/>
        <w:rPr>
          <w:rFonts w:ascii="Arial" w:hAnsi="Arial" w:cs="Arial"/>
          <w:color w:val="auto"/>
          <w:sz w:val="21"/>
          <w:szCs w:val="21"/>
          <w:highlight w:val="none"/>
        </w:rPr>
      </w:pPr>
      <w:r>
        <w:rPr>
          <w:rFonts w:ascii="Arial" w:hAnsi="Arial" w:cs="Arial"/>
          <w:color w:val="auto"/>
          <w:sz w:val="22"/>
          <w:szCs w:val="20"/>
          <w:highlight w:val="none"/>
        </w:rPr>
        <w:t>供应商名称(电子签章)</w:t>
      </w:r>
      <w:r>
        <w:rPr>
          <w:rFonts w:ascii="Arial" w:hAnsi="Arial" w:cs="Arial"/>
          <w:color w:val="auto"/>
          <w:sz w:val="20"/>
          <w:szCs w:val="20"/>
          <w:highlight w:val="none"/>
        </w:rPr>
        <w:t>：</w:t>
      </w:r>
      <w:r>
        <w:rPr>
          <w:rFonts w:ascii="Arial" w:hAnsi="Arial" w:cs="Arial"/>
          <w:color w:val="auto"/>
          <w:sz w:val="20"/>
          <w:szCs w:val="20"/>
          <w:highlight w:val="none"/>
          <w:u w:val="single"/>
        </w:rPr>
        <w:t xml:space="preserve">               </w:t>
      </w:r>
      <w:r>
        <w:rPr>
          <w:rFonts w:ascii="Arial" w:hAnsi="Arial" w:cs="Arial"/>
          <w:color w:val="auto"/>
          <w:sz w:val="21"/>
          <w:szCs w:val="21"/>
          <w:highlight w:val="none"/>
        </w:rPr>
        <w:t xml:space="preserve">                　 年    月　 日</w:t>
      </w:r>
    </w:p>
    <w:p w14:paraId="7801A577">
      <w:pPr>
        <w:pStyle w:val="16"/>
        <w:snapToGrid w:val="0"/>
        <w:rPr>
          <w:rFonts w:eastAsia="宋体"/>
          <w:color w:val="auto"/>
          <w:sz w:val="21"/>
          <w:szCs w:val="21"/>
          <w:highlight w:val="none"/>
        </w:rPr>
      </w:pPr>
      <w:r>
        <w:rPr>
          <w:rFonts w:eastAsia="宋体"/>
          <w:color w:val="auto"/>
          <w:sz w:val="21"/>
          <w:szCs w:val="21"/>
          <w:highlight w:val="none"/>
        </w:rPr>
        <w:t>注：（1）应提供供应商或其分支机构或其售后服务机构的营业执照复印件；</w:t>
      </w:r>
    </w:p>
    <w:p w14:paraId="7B70A0E5">
      <w:pPr>
        <w:pStyle w:val="16"/>
        <w:snapToGrid w:val="0"/>
        <w:rPr>
          <w:rFonts w:eastAsia="宋体"/>
          <w:color w:val="auto"/>
          <w:sz w:val="21"/>
          <w:szCs w:val="21"/>
          <w:highlight w:val="none"/>
        </w:rPr>
      </w:pPr>
      <w:r>
        <w:rPr>
          <w:rFonts w:eastAsia="宋体"/>
          <w:color w:val="auto"/>
          <w:sz w:val="21"/>
          <w:szCs w:val="21"/>
          <w:highlight w:val="none"/>
        </w:rPr>
        <w:t>（2）供应商授权本地服务机构的，须提供授权书或服务协议复印件。</w:t>
      </w:r>
    </w:p>
    <w:p w14:paraId="14345381">
      <w:pPr>
        <w:pStyle w:val="16"/>
        <w:snapToGrid w:val="0"/>
        <w:rPr>
          <w:rFonts w:eastAsia="宋体"/>
          <w:color w:val="auto"/>
          <w:sz w:val="21"/>
          <w:szCs w:val="21"/>
          <w:highlight w:val="none"/>
        </w:rPr>
      </w:pPr>
      <w:r>
        <w:rPr>
          <w:rFonts w:eastAsia="宋体"/>
          <w:color w:val="auto"/>
          <w:sz w:val="21"/>
          <w:szCs w:val="21"/>
          <w:highlight w:val="none"/>
        </w:rPr>
        <w:t>（3）售后服务机构人员应提供名单及学历、职称、社保等证明；装备应提供发票等证明。</w:t>
      </w:r>
    </w:p>
    <w:p w14:paraId="3C71397E">
      <w:pPr>
        <w:snapToGrid w:val="0"/>
        <w:spacing w:before="50" w:after="120" w:afterLines="50" w:line="440" w:lineRule="exact"/>
        <w:jc w:val="left"/>
        <w:rPr>
          <w:rFonts w:ascii="Arial" w:hAnsi="Arial" w:cs="Arial"/>
          <w:color w:val="auto"/>
          <w:szCs w:val="21"/>
          <w:highlight w:val="none"/>
        </w:rPr>
      </w:pPr>
    </w:p>
    <w:p w14:paraId="22F6E63C">
      <w:pPr>
        <w:snapToGrid w:val="0"/>
        <w:spacing w:before="50" w:after="120" w:afterLines="50" w:line="440" w:lineRule="exact"/>
        <w:jc w:val="left"/>
        <w:rPr>
          <w:rFonts w:ascii="Arial" w:hAnsi="Arial" w:cs="Arial"/>
          <w:color w:val="auto"/>
          <w:szCs w:val="21"/>
          <w:highlight w:val="none"/>
        </w:rPr>
      </w:pPr>
      <w:r>
        <w:rPr>
          <w:rFonts w:ascii="Arial" w:hAnsi="Arial" w:cs="Arial"/>
          <w:color w:val="auto"/>
          <w:szCs w:val="21"/>
          <w:highlight w:val="none"/>
        </w:rPr>
        <w:t>4．服务方案（如有，供应商自行编写）</w:t>
      </w:r>
    </w:p>
    <w:p w14:paraId="5DE42AAE">
      <w:pPr>
        <w:snapToGrid w:val="0"/>
        <w:spacing w:before="50" w:after="120" w:afterLines="50" w:line="440" w:lineRule="exact"/>
        <w:jc w:val="left"/>
        <w:rPr>
          <w:rFonts w:ascii="Arial" w:hAnsi="Arial" w:cs="Arial"/>
          <w:color w:val="auto"/>
          <w:szCs w:val="21"/>
          <w:highlight w:val="none"/>
        </w:rPr>
      </w:pPr>
      <w:r>
        <w:rPr>
          <w:rFonts w:ascii="Arial" w:hAnsi="Arial" w:cs="Arial"/>
          <w:color w:val="auto"/>
          <w:szCs w:val="21"/>
          <w:highlight w:val="none"/>
        </w:rPr>
        <w:t>5.</w:t>
      </w:r>
      <w:r>
        <w:rPr>
          <w:rFonts w:ascii="Arial" w:hAnsi="Arial" w:cs="Arial"/>
          <w:bCs/>
          <w:color w:val="auto"/>
          <w:szCs w:val="21"/>
          <w:highlight w:val="none"/>
        </w:rPr>
        <w:t>管理制度方案</w:t>
      </w:r>
      <w:r>
        <w:rPr>
          <w:rFonts w:ascii="Arial" w:hAnsi="Arial" w:cs="Arial"/>
          <w:color w:val="auto"/>
          <w:szCs w:val="21"/>
          <w:highlight w:val="none"/>
        </w:rPr>
        <w:t>（如有，供应商自行编写）</w:t>
      </w:r>
    </w:p>
    <w:p w14:paraId="3AB9E109">
      <w:pPr>
        <w:snapToGrid w:val="0"/>
        <w:spacing w:before="50" w:after="120" w:afterLines="50" w:line="440" w:lineRule="exact"/>
        <w:jc w:val="left"/>
        <w:rPr>
          <w:rFonts w:ascii="Arial" w:hAnsi="Arial" w:cs="Arial"/>
          <w:strike/>
          <w:color w:val="auto"/>
          <w:szCs w:val="21"/>
          <w:highlight w:val="none"/>
        </w:rPr>
      </w:pPr>
    </w:p>
    <w:p w14:paraId="5281B951">
      <w:pPr>
        <w:snapToGrid w:val="0"/>
        <w:spacing w:before="50" w:after="120" w:afterLines="50" w:line="440" w:lineRule="exact"/>
        <w:jc w:val="left"/>
        <w:rPr>
          <w:rFonts w:ascii="Arial" w:hAnsi="Arial" w:cs="Arial"/>
          <w:bCs/>
          <w:color w:val="auto"/>
          <w:szCs w:val="21"/>
          <w:highlight w:val="none"/>
        </w:rPr>
      </w:pPr>
      <w:r>
        <w:rPr>
          <w:rFonts w:ascii="Arial" w:hAnsi="Arial" w:cs="Arial"/>
          <w:bCs/>
          <w:color w:val="auto"/>
          <w:szCs w:val="21"/>
          <w:highlight w:val="none"/>
        </w:rPr>
        <w:t>6.标本接收及运输方案</w:t>
      </w:r>
      <w:r>
        <w:rPr>
          <w:rFonts w:ascii="Arial" w:hAnsi="Arial" w:cs="Arial"/>
          <w:color w:val="auto"/>
          <w:szCs w:val="21"/>
          <w:highlight w:val="none"/>
        </w:rPr>
        <w:t>（如有，供应商自行编写）</w:t>
      </w:r>
    </w:p>
    <w:p w14:paraId="5A424CD3">
      <w:pPr>
        <w:snapToGrid w:val="0"/>
        <w:spacing w:before="50" w:after="120" w:afterLines="50" w:line="440" w:lineRule="exact"/>
        <w:jc w:val="left"/>
        <w:rPr>
          <w:rFonts w:ascii="Arial" w:hAnsi="Arial" w:cs="Arial"/>
          <w:bCs/>
          <w:color w:val="auto"/>
          <w:szCs w:val="21"/>
          <w:highlight w:val="none"/>
        </w:rPr>
      </w:pPr>
    </w:p>
    <w:p w14:paraId="60D91243">
      <w:pPr>
        <w:snapToGrid w:val="0"/>
        <w:spacing w:before="50" w:after="120" w:afterLines="50" w:line="440" w:lineRule="exact"/>
        <w:jc w:val="left"/>
        <w:rPr>
          <w:rFonts w:ascii="Arial" w:hAnsi="Arial" w:cs="Arial"/>
          <w:bCs/>
          <w:color w:val="auto"/>
          <w:szCs w:val="21"/>
          <w:highlight w:val="none"/>
        </w:rPr>
      </w:pPr>
      <w:r>
        <w:rPr>
          <w:rFonts w:hint="eastAsia" w:ascii="Arial" w:hAnsi="Arial" w:cs="Arial"/>
          <w:bCs/>
          <w:color w:val="auto"/>
          <w:szCs w:val="21"/>
          <w:highlight w:val="none"/>
        </w:rPr>
        <w:t>7.</w:t>
      </w:r>
      <w:r>
        <w:rPr>
          <w:rFonts w:ascii="Arial" w:hAnsi="Arial" w:cs="Arial"/>
          <w:color w:val="auto"/>
          <w:szCs w:val="21"/>
          <w:highlight w:val="none"/>
        </w:rPr>
        <w:t>硬件设施（如有，供应商自行编写）</w:t>
      </w:r>
    </w:p>
    <w:p w14:paraId="16FEA9A4">
      <w:pPr>
        <w:snapToGrid w:val="0"/>
        <w:spacing w:before="50" w:after="120" w:afterLines="50" w:line="440" w:lineRule="exact"/>
        <w:jc w:val="left"/>
        <w:rPr>
          <w:rFonts w:ascii="Arial" w:hAnsi="Arial" w:cs="Arial"/>
          <w:bCs/>
          <w:color w:val="auto"/>
          <w:szCs w:val="21"/>
          <w:highlight w:val="none"/>
        </w:rPr>
      </w:pPr>
    </w:p>
    <w:p w14:paraId="67A233AA">
      <w:pPr>
        <w:snapToGrid w:val="0"/>
        <w:spacing w:before="50" w:after="120" w:afterLines="50" w:line="440" w:lineRule="exact"/>
        <w:jc w:val="left"/>
        <w:rPr>
          <w:rFonts w:ascii="Arial" w:hAnsi="Arial" w:cs="Arial"/>
          <w:bCs/>
          <w:color w:val="auto"/>
          <w:szCs w:val="21"/>
          <w:highlight w:val="none"/>
        </w:rPr>
      </w:pPr>
      <w:r>
        <w:rPr>
          <w:rFonts w:hint="eastAsia" w:ascii="Arial" w:hAnsi="Arial" w:cs="Arial"/>
          <w:bCs/>
          <w:color w:val="auto"/>
          <w:szCs w:val="21"/>
          <w:highlight w:val="none"/>
        </w:rPr>
        <w:t>8.应急预案</w:t>
      </w:r>
      <w:r>
        <w:rPr>
          <w:rFonts w:ascii="Arial" w:hAnsi="Arial" w:cs="Arial"/>
          <w:color w:val="auto"/>
          <w:szCs w:val="21"/>
          <w:highlight w:val="none"/>
        </w:rPr>
        <w:t>（如有，供应商自行编写）</w:t>
      </w:r>
    </w:p>
    <w:p w14:paraId="3740A903">
      <w:pPr>
        <w:snapToGrid w:val="0"/>
        <w:spacing w:before="50" w:after="120" w:afterLines="50" w:line="440" w:lineRule="exact"/>
        <w:jc w:val="left"/>
        <w:rPr>
          <w:rFonts w:ascii="Arial" w:hAnsi="Arial" w:cs="Arial"/>
          <w:bCs/>
          <w:color w:val="auto"/>
          <w:szCs w:val="21"/>
          <w:highlight w:val="none"/>
        </w:rPr>
      </w:pPr>
    </w:p>
    <w:p w14:paraId="78E42D30">
      <w:pPr>
        <w:snapToGrid w:val="0"/>
        <w:spacing w:before="50" w:after="120" w:afterLines="50" w:line="440" w:lineRule="exact"/>
        <w:jc w:val="left"/>
        <w:rPr>
          <w:rFonts w:ascii="Arial" w:hAnsi="Arial" w:cs="Arial"/>
          <w:color w:val="auto"/>
          <w:szCs w:val="21"/>
          <w:highlight w:val="none"/>
        </w:rPr>
      </w:pPr>
      <w:r>
        <w:rPr>
          <w:rFonts w:hint="eastAsia" w:ascii="Arial" w:hAnsi="Arial" w:cs="Arial"/>
          <w:color w:val="auto"/>
          <w:szCs w:val="21"/>
          <w:highlight w:val="none"/>
        </w:rPr>
        <w:t>9</w:t>
      </w:r>
      <w:r>
        <w:rPr>
          <w:rFonts w:ascii="Arial" w:hAnsi="Arial" w:cs="Arial"/>
          <w:color w:val="auto"/>
          <w:szCs w:val="21"/>
          <w:highlight w:val="none"/>
        </w:rPr>
        <w:t>.</w:t>
      </w:r>
      <w:r>
        <w:rPr>
          <w:rFonts w:ascii="Arial" w:hAnsi="Arial" w:cs="Arial"/>
          <w:bCs/>
          <w:color w:val="auto"/>
          <w:szCs w:val="21"/>
          <w:highlight w:val="none"/>
        </w:rPr>
        <w:t>信誉相关证明材料</w:t>
      </w:r>
      <w:r>
        <w:rPr>
          <w:rFonts w:ascii="Arial" w:hAnsi="Arial" w:cs="Arial"/>
          <w:color w:val="auto"/>
          <w:szCs w:val="21"/>
          <w:highlight w:val="none"/>
        </w:rPr>
        <w:t>（如有，供应商自行编写）</w:t>
      </w:r>
    </w:p>
    <w:p w14:paraId="72855FC7">
      <w:pPr>
        <w:snapToGrid w:val="0"/>
        <w:spacing w:before="50" w:after="120" w:afterLines="50" w:line="440" w:lineRule="exact"/>
        <w:jc w:val="left"/>
        <w:rPr>
          <w:rFonts w:ascii="Arial" w:hAnsi="Arial" w:cs="Arial"/>
          <w:color w:val="auto"/>
          <w:szCs w:val="21"/>
          <w:highlight w:val="none"/>
        </w:rPr>
      </w:pPr>
    </w:p>
    <w:p w14:paraId="37377361">
      <w:pPr>
        <w:snapToGrid w:val="0"/>
        <w:spacing w:before="50" w:after="120" w:afterLines="50" w:line="440" w:lineRule="exact"/>
        <w:jc w:val="left"/>
        <w:rPr>
          <w:rFonts w:ascii="Arial" w:hAnsi="Arial" w:cs="Arial"/>
          <w:color w:val="auto"/>
          <w:szCs w:val="21"/>
          <w:highlight w:val="none"/>
        </w:rPr>
      </w:pPr>
      <w:r>
        <w:rPr>
          <w:rFonts w:hint="eastAsia" w:ascii="Arial" w:hAnsi="Arial" w:cs="Arial"/>
          <w:color w:val="auto"/>
          <w:szCs w:val="21"/>
          <w:highlight w:val="none"/>
        </w:rPr>
        <w:t>10.业绩相关证明材料</w:t>
      </w:r>
      <w:r>
        <w:rPr>
          <w:rFonts w:ascii="Arial" w:hAnsi="Arial" w:cs="Arial"/>
          <w:color w:val="auto"/>
          <w:szCs w:val="21"/>
          <w:highlight w:val="none"/>
        </w:rPr>
        <w:t>（如有，供应商自行编写）</w:t>
      </w:r>
    </w:p>
    <w:p w14:paraId="3D4B1AD6">
      <w:pPr>
        <w:snapToGrid w:val="0"/>
        <w:spacing w:before="50" w:after="120" w:afterLines="50" w:line="440" w:lineRule="exact"/>
        <w:jc w:val="left"/>
        <w:rPr>
          <w:rFonts w:ascii="Arial" w:hAnsi="Arial" w:cs="Arial"/>
          <w:strike/>
          <w:color w:val="auto"/>
          <w:szCs w:val="21"/>
          <w:highlight w:val="none"/>
        </w:rPr>
      </w:pPr>
    </w:p>
    <w:p w14:paraId="0475DED3">
      <w:pPr>
        <w:snapToGrid w:val="0"/>
        <w:spacing w:before="50" w:after="120" w:afterLines="50" w:line="440" w:lineRule="exact"/>
        <w:jc w:val="left"/>
        <w:rPr>
          <w:rFonts w:ascii="Arial" w:hAnsi="Arial" w:cs="Arial"/>
          <w:color w:val="auto"/>
          <w:szCs w:val="21"/>
          <w:highlight w:val="none"/>
        </w:rPr>
      </w:pPr>
    </w:p>
    <w:p w14:paraId="0A49C0B3">
      <w:pPr>
        <w:snapToGrid w:val="0"/>
        <w:spacing w:before="50" w:after="120" w:afterLines="50" w:line="440" w:lineRule="exact"/>
        <w:jc w:val="left"/>
        <w:rPr>
          <w:rFonts w:ascii="Arial" w:hAnsi="Arial" w:cs="Arial"/>
          <w:color w:val="auto"/>
          <w:szCs w:val="21"/>
          <w:highlight w:val="none"/>
        </w:rPr>
      </w:pPr>
    </w:p>
    <w:p w14:paraId="1AE70FAF">
      <w:pPr>
        <w:snapToGrid w:val="0"/>
        <w:spacing w:before="50" w:after="120" w:afterLines="50" w:line="440" w:lineRule="exact"/>
        <w:jc w:val="left"/>
        <w:rPr>
          <w:rFonts w:ascii="Arial" w:hAnsi="Arial" w:cs="Arial"/>
          <w:color w:val="auto"/>
          <w:szCs w:val="21"/>
          <w:highlight w:val="none"/>
        </w:rPr>
      </w:pPr>
    </w:p>
    <w:p w14:paraId="270D7BA1">
      <w:pPr>
        <w:snapToGrid w:val="0"/>
        <w:spacing w:before="50" w:after="120" w:afterLines="50" w:line="440" w:lineRule="exact"/>
        <w:jc w:val="left"/>
        <w:rPr>
          <w:rFonts w:ascii="Arial" w:hAnsi="Arial" w:cs="Arial"/>
          <w:color w:val="auto"/>
          <w:szCs w:val="21"/>
          <w:highlight w:val="none"/>
        </w:rPr>
      </w:pPr>
    </w:p>
    <w:p w14:paraId="75C9D526">
      <w:pPr>
        <w:snapToGrid w:val="0"/>
        <w:spacing w:before="50" w:after="120" w:afterLines="50" w:line="440" w:lineRule="exact"/>
        <w:jc w:val="left"/>
        <w:rPr>
          <w:rFonts w:ascii="Arial" w:hAnsi="Arial" w:cs="Arial"/>
          <w:color w:val="auto"/>
          <w:spacing w:val="20"/>
          <w:szCs w:val="21"/>
          <w:highlight w:val="none"/>
          <w:u w:val="single"/>
        </w:rPr>
      </w:pPr>
    </w:p>
    <w:p w14:paraId="44DDABA5">
      <w:pPr>
        <w:snapToGrid w:val="0"/>
        <w:spacing w:before="50" w:after="120" w:afterLines="50" w:line="440" w:lineRule="exact"/>
        <w:jc w:val="left"/>
        <w:rPr>
          <w:rFonts w:ascii="Arial" w:hAnsi="Arial" w:cs="Arial"/>
          <w:color w:val="auto"/>
          <w:spacing w:val="20"/>
          <w:szCs w:val="21"/>
          <w:highlight w:val="none"/>
          <w:u w:val="single"/>
        </w:rPr>
        <w:sectPr>
          <w:pgSz w:w="11906" w:h="16838"/>
          <w:pgMar w:top="1418" w:right="1133" w:bottom="1246" w:left="1418" w:header="851" w:footer="992" w:gutter="0"/>
          <w:cols w:space="720" w:num="1"/>
          <w:docGrid w:linePitch="312" w:charSpace="0"/>
        </w:sectPr>
      </w:pPr>
    </w:p>
    <w:p w14:paraId="26ED076F">
      <w:pPr>
        <w:snapToGrid w:val="0"/>
        <w:spacing w:before="50" w:after="120" w:afterLines="50"/>
        <w:jc w:val="left"/>
        <w:rPr>
          <w:rFonts w:ascii="Arial" w:hAnsi="Arial" w:cs="Arial"/>
          <w:b/>
          <w:color w:val="auto"/>
          <w:szCs w:val="21"/>
          <w:highlight w:val="none"/>
        </w:rPr>
      </w:pPr>
      <w:r>
        <w:rPr>
          <w:rFonts w:hint="eastAsia" w:ascii="Arial" w:hAnsi="Arial" w:cs="Arial"/>
          <w:color w:val="auto"/>
          <w:szCs w:val="21"/>
          <w:highlight w:val="none"/>
        </w:rPr>
        <w:t>11</w:t>
      </w:r>
      <w:r>
        <w:rPr>
          <w:rFonts w:ascii="Arial" w:hAnsi="Arial" w:cs="Arial"/>
          <w:color w:val="auto"/>
          <w:szCs w:val="21"/>
          <w:highlight w:val="none"/>
        </w:rPr>
        <w:t>．近年供应商类似成功案例的业绩证明（附中标书或合同复印件）。</w:t>
      </w:r>
    </w:p>
    <w:p w14:paraId="607F1FA7">
      <w:pPr>
        <w:snapToGrid w:val="0"/>
        <w:spacing w:before="50" w:after="120" w:afterLines="50"/>
        <w:jc w:val="center"/>
        <w:rPr>
          <w:rFonts w:ascii="Arial" w:hAnsi="Arial" w:cs="Arial"/>
          <w:color w:val="auto"/>
          <w:szCs w:val="21"/>
          <w:highlight w:val="none"/>
        </w:rPr>
      </w:pPr>
      <w:r>
        <w:rPr>
          <w:rFonts w:ascii="Arial" w:hAnsi="Arial" w:cs="Arial"/>
          <w:b/>
          <w:color w:val="auto"/>
          <w:szCs w:val="21"/>
          <w:highlight w:val="none"/>
        </w:rPr>
        <w:t>类似成功案例业绩一览表</w:t>
      </w:r>
    </w:p>
    <w:tbl>
      <w:tblPr>
        <w:tblStyle w:val="52"/>
        <w:tblW w:w="1469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6"/>
        <w:gridCol w:w="2820"/>
        <w:gridCol w:w="4095"/>
        <w:gridCol w:w="1965"/>
        <w:gridCol w:w="1200"/>
        <w:gridCol w:w="1335"/>
        <w:gridCol w:w="2790"/>
      </w:tblGrid>
      <w:tr w14:paraId="6C8F1D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9" w:hRule="atLeast"/>
        </w:trPr>
        <w:tc>
          <w:tcPr>
            <w:tcW w:w="486" w:type="dxa"/>
            <w:tcBorders>
              <w:top w:val="single" w:color="auto" w:sz="4" w:space="0"/>
              <w:left w:val="single" w:color="auto" w:sz="4" w:space="0"/>
              <w:bottom w:val="single" w:color="auto" w:sz="4" w:space="0"/>
              <w:right w:val="single" w:color="auto" w:sz="4" w:space="0"/>
            </w:tcBorders>
            <w:noWrap w:val="0"/>
            <w:vAlign w:val="center"/>
          </w:tcPr>
          <w:p w14:paraId="3E12B571">
            <w:pPr>
              <w:snapToGrid w:val="0"/>
              <w:spacing w:line="240" w:lineRule="exact"/>
              <w:jc w:val="center"/>
              <w:rPr>
                <w:rFonts w:ascii="Arial" w:hAnsi="Arial" w:eastAsia="宋体" w:cs="Arial"/>
                <w:color w:val="auto"/>
                <w:szCs w:val="21"/>
                <w:highlight w:val="none"/>
              </w:rPr>
            </w:pPr>
            <w:r>
              <w:rPr>
                <w:rFonts w:ascii="Arial" w:hAnsi="Arial" w:eastAsia="宋体" w:cs="Arial"/>
                <w:color w:val="auto"/>
                <w:szCs w:val="21"/>
                <w:highlight w:val="none"/>
              </w:rPr>
              <w:t>序号</w:t>
            </w:r>
          </w:p>
        </w:tc>
        <w:tc>
          <w:tcPr>
            <w:tcW w:w="2820" w:type="dxa"/>
            <w:tcBorders>
              <w:top w:val="single" w:color="auto" w:sz="4" w:space="0"/>
              <w:left w:val="single" w:color="auto" w:sz="4" w:space="0"/>
              <w:bottom w:val="single" w:color="auto" w:sz="4" w:space="0"/>
              <w:right w:val="single" w:color="auto" w:sz="4" w:space="0"/>
            </w:tcBorders>
            <w:noWrap w:val="0"/>
            <w:vAlign w:val="center"/>
          </w:tcPr>
          <w:p w14:paraId="618ABDA7">
            <w:pPr>
              <w:snapToGrid w:val="0"/>
              <w:spacing w:line="240" w:lineRule="exact"/>
              <w:jc w:val="center"/>
              <w:rPr>
                <w:rFonts w:ascii="Arial" w:hAnsi="Arial" w:eastAsia="宋体" w:cs="Arial"/>
                <w:color w:val="auto"/>
                <w:szCs w:val="21"/>
                <w:highlight w:val="none"/>
              </w:rPr>
            </w:pPr>
            <w:r>
              <w:rPr>
                <w:rFonts w:ascii="Arial" w:hAnsi="Arial" w:eastAsia="宋体" w:cs="Arial"/>
                <w:color w:val="auto"/>
                <w:szCs w:val="21"/>
                <w:highlight w:val="none"/>
              </w:rPr>
              <w:t>甲方单位名称</w:t>
            </w:r>
          </w:p>
        </w:tc>
        <w:tc>
          <w:tcPr>
            <w:tcW w:w="4095" w:type="dxa"/>
            <w:tcBorders>
              <w:top w:val="single" w:color="auto" w:sz="4" w:space="0"/>
              <w:left w:val="single" w:color="auto" w:sz="4" w:space="0"/>
              <w:bottom w:val="single" w:color="auto" w:sz="4" w:space="0"/>
              <w:right w:val="single" w:color="auto" w:sz="4" w:space="0"/>
            </w:tcBorders>
            <w:noWrap w:val="0"/>
            <w:vAlign w:val="center"/>
          </w:tcPr>
          <w:p w14:paraId="7D9D4E9C">
            <w:pPr>
              <w:snapToGrid w:val="0"/>
              <w:spacing w:line="240" w:lineRule="exact"/>
              <w:jc w:val="center"/>
              <w:rPr>
                <w:rFonts w:ascii="Arial" w:hAnsi="Arial" w:eastAsia="宋体" w:cs="Arial"/>
                <w:color w:val="auto"/>
                <w:szCs w:val="21"/>
                <w:highlight w:val="none"/>
              </w:rPr>
            </w:pPr>
            <w:r>
              <w:rPr>
                <w:rFonts w:ascii="Arial" w:hAnsi="Arial" w:eastAsia="宋体" w:cs="Arial"/>
                <w:color w:val="auto"/>
                <w:szCs w:val="21"/>
                <w:highlight w:val="none"/>
              </w:rPr>
              <w:t>项目名称或服务内容</w:t>
            </w:r>
          </w:p>
        </w:tc>
        <w:tc>
          <w:tcPr>
            <w:tcW w:w="1965" w:type="dxa"/>
            <w:tcBorders>
              <w:top w:val="single" w:color="auto" w:sz="4" w:space="0"/>
              <w:left w:val="single" w:color="auto" w:sz="4" w:space="0"/>
              <w:bottom w:val="single" w:color="auto" w:sz="4" w:space="0"/>
              <w:right w:val="single" w:color="auto" w:sz="4" w:space="0"/>
            </w:tcBorders>
            <w:noWrap w:val="0"/>
            <w:vAlign w:val="center"/>
          </w:tcPr>
          <w:p w14:paraId="5A6ED358">
            <w:pPr>
              <w:snapToGrid w:val="0"/>
              <w:spacing w:line="240" w:lineRule="exact"/>
              <w:jc w:val="center"/>
              <w:rPr>
                <w:rFonts w:ascii="Arial" w:hAnsi="Arial" w:eastAsia="宋体" w:cs="Arial"/>
                <w:color w:val="auto"/>
                <w:szCs w:val="21"/>
                <w:highlight w:val="none"/>
              </w:rPr>
            </w:pPr>
            <w:r>
              <w:rPr>
                <w:rFonts w:ascii="Arial" w:hAnsi="Arial" w:eastAsia="宋体" w:cs="Arial"/>
                <w:color w:val="auto"/>
                <w:szCs w:val="21"/>
                <w:highlight w:val="none"/>
              </w:rPr>
              <w:t>服务周期或时间（年/月）</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E60329E">
            <w:pPr>
              <w:snapToGrid w:val="0"/>
              <w:spacing w:line="240" w:lineRule="exact"/>
              <w:jc w:val="center"/>
              <w:rPr>
                <w:rFonts w:ascii="Arial" w:hAnsi="Arial" w:eastAsia="宋体" w:cs="Arial"/>
                <w:color w:val="auto"/>
                <w:szCs w:val="21"/>
                <w:highlight w:val="none"/>
              </w:rPr>
            </w:pPr>
            <w:r>
              <w:rPr>
                <w:rFonts w:ascii="Arial" w:hAnsi="Arial" w:eastAsia="宋体" w:cs="Arial"/>
                <w:color w:val="auto"/>
                <w:szCs w:val="21"/>
                <w:highlight w:val="none"/>
              </w:rPr>
              <w:t>团队人数</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127048E">
            <w:pPr>
              <w:snapToGrid w:val="0"/>
              <w:spacing w:line="240" w:lineRule="exact"/>
              <w:jc w:val="center"/>
              <w:rPr>
                <w:rFonts w:ascii="Arial" w:hAnsi="Arial" w:eastAsia="宋体" w:cs="Arial"/>
                <w:color w:val="auto"/>
                <w:szCs w:val="21"/>
                <w:highlight w:val="none"/>
              </w:rPr>
            </w:pPr>
            <w:r>
              <w:rPr>
                <w:rFonts w:ascii="Arial" w:hAnsi="Arial" w:eastAsia="宋体" w:cs="Arial"/>
                <w:color w:val="auto"/>
                <w:szCs w:val="21"/>
                <w:highlight w:val="none"/>
              </w:rPr>
              <w:t>合同总价（元）</w:t>
            </w:r>
          </w:p>
        </w:tc>
        <w:tc>
          <w:tcPr>
            <w:tcW w:w="2790" w:type="dxa"/>
            <w:tcBorders>
              <w:top w:val="single" w:color="auto" w:sz="4" w:space="0"/>
              <w:left w:val="single" w:color="auto" w:sz="4" w:space="0"/>
              <w:bottom w:val="single" w:color="auto" w:sz="4" w:space="0"/>
              <w:right w:val="single" w:color="auto" w:sz="4" w:space="0"/>
            </w:tcBorders>
            <w:noWrap w:val="0"/>
            <w:vAlign w:val="center"/>
          </w:tcPr>
          <w:p w14:paraId="3F798C13">
            <w:pPr>
              <w:jc w:val="center"/>
              <w:rPr>
                <w:rFonts w:ascii="Arial" w:hAnsi="Arial" w:eastAsia="宋体" w:cs="Arial"/>
                <w:color w:val="auto"/>
                <w:szCs w:val="21"/>
                <w:highlight w:val="none"/>
              </w:rPr>
            </w:pPr>
            <w:r>
              <w:rPr>
                <w:rFonts w:ascii="Arial" w:hAnsi="Arial" w:eastAsia="宋体" w:cs="Arial"/>
                <w:color w:val="auto"/>
                <w:szCs w:val="21"/>
                <w:highlight w:val="none"/>
              </w:rPr>
              <w:t>采购单位联系人及联系电话</w:t>
            </w:r>
          </w:p>
        </w:tc>
      </w:tr>
      <w:tr w14:paraId="0C4E4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6EE81261">
            <w:pPr>
              <w:snapToGrid w:val="0"/>
              <w:spacing w:line="240" w:lineRule="exact"/>
              <w:jc w:val="left"/>
              <w:rPr>
                <w:rFonts w:ascii="Arial" w:hAnsi="Arial" w:eastAsia="宋体" w:cs="Arial"/>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011AB214">
            <w:pPr>
              <w:snapToGrid w:val="0"/>
              <w:spacing w:line="240" w:lineRule="exact"/>
              <w:jc w:val="left"/>
              <w:rPr>
                <w:rFonts w:ascii="Arial" w:hAnsi="Arial" w:eastAsia="宋体" w:cs="Arial"/>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5411602D">
            <w:pPr>
              <w:snapToGrid w:val="0"/>
              <w:spacing w:line="240" w:lineRule="exact"/>
              <w:jc w:val="left"/>
              <w:rPr>
                <w:rFonts w:ascii="Arial" w:hAnsi="Arial" w:eastAsia="宋体" w:cs="Arial"/>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0FEC0C3D">
            <w:pPr>
              <w:snapToGrid w:val="0"/>
              <w:spacing w:line="240" w:lineRule="exact"/>
              <w:jc w:val="left"/>
              <w:rPr>
                <w:rFonts w:ascii="Arial" w:hAnsi="Arial" w:eastAsia="宋体" w:cs="Arial"/>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2E0FAA8B">
            <w:pPr>
              <w:snapToGrid w:val="0"/>
              <w:spacing w:line="240" w:lineRule="exact"/>
              <w:jc w:val="left"/>
              <w:rPr>
                <w:rFonts w:ascii="Arial" w:hAnsi="Arial" w:eastAsia="宋体" w:cs="Arial"/>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102BBDB9">
            <w:pPr>
              <w:snapToGrid w:val="0"/>
              <w:spacing w:line="240" w:lineRule="exact"/>
              <w:jc w:val="left"/>
              <w:rPr>
                <w:rFonts w:ascii="Arial" w:hAnsi="Arial" w:eastAsia="宋体" w:cs="Arial"/>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335AABBD">
            <w:pPr>
              <w:snapToGrid w:val="0"/>
              <w:spacing w:line="240" w:lineRule="exact"/>
              <w:jc w:val="left"/>
              <w:rPr>
                <w:rFonts w:ascii="Arial" w:hAnsi="Arial" w:eastAsia="宋体" w:cs="Arial"/>
                <w:color w:val="auto"/>
                <w:szCs w:val="21"/>
                <w:highlight w:val="none"/>
              </w:rPr>
            </w:pPr>
          </w:p>
        </w:tc>
      </w:tr>
      <w:tr w14:paraId="7BA4B4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2DEDA288">
            <w:pPr>
              <w:snapToGrid w:val="0"/>
              <w:spacing w:before="50" w:after="120" w:afterLines="50" w:line="400" w:lineRule="exact"/>
              <w:jc w:val="left"/>
              <w:rPr>
                <w:rFonts w:ascii="Arial" w:hAnsi="Arial" w:eastAsia="宋体" w:cs="Arial"/>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152DE425">
            <w:pPr>
              <w:snapToGrid w:val="0"/>
              <w:spacing w:before="50" w:after="120" w:afterLines="50" w:line="400" w:lineRule="exact"/>
              <w:jc w:val="left"/>
              <w:rPr>
                <w:rFonts w:ascii="Arial" w:hAnsi="Arial" w:eastAsia="宋体" w:cs="Arial"/>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792805CF">
            <w:pPr>
              <w:snapToGrid w:val="0"/>
              <w:spacing w:before="50" w:after="120" w:afterLines="50" w:line="400" w:lineRule="exact"/>
              <w:jc w:val="left"/>
              <w:rPr>
                <w:rFonts w:ascii="Arial" w:hAnsi="Arial" w:eastAsia="宋体" w:cs="Arial"/>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435B4482">
            <w:pPr>
              <w:snapToGrid w:val="0"/>
              <w:spacing w:before="50" w:after="120" w:afterLines="50" w:line="400" w:lineRule="exact"/>
              <w:jc w:val="left"/>
              <w:rPr>
                <w:rFonts w:ascii="Arial" w:hAnsi="Arial" w:eastAsia="宋体" w:cs="Arial"/>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07B18CB2">
            <w:pPr>
              <w:snapToGrid w:val="0"/>
              <w:spacing w:before="50" w:after="120" w:afterLines="50" w:line="400" w:lineRule="exact"/>
              <w:jc w:val="left"/>
              <w:rPr>
                <w:rFonts w:ascii="Arial" w:hAnsi="Arial" w:eastAsia="宋体" w:cs="Arial"/>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06E447AD">
            <w:pPr>
              <w:snapToGrid w:val="0"/>
              <w:spacing w:before="50" w:after="120" w:afterLines="50" w:line="400" w:lineRule="exact"/>
              <w:jc w:val="left"/>
              <w:rPr>
                <w:rFonts w:ascii="Arial" w:hAnsi="Arial" w:eastAsia="宋体" w:cs="Arial"/>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7D12352C">
            <w:pPr>
              <w:snapToGrid w:val="0"/>
              <w:spacing w:before="50" w:after="120" w:afterLines="50" w:line="400" w:lineRule="exact"/>
              <w:jc w:val="left"/>
              <w:rPr>
                <w:rFonts w:ascii="Arial" w:hAnsi="Arial" w:eastAsia="宋体" w:cs="Arial"/>
                <w:color w:val="auto"/>
                <w:szCs w:val="21"/>
                <w:highlight w:val="none"/>
              </w:rPr>
            </w:pPr>
          </w:p>
        </w:tc>
      </w:tr>
      <w:tr w14:paraId="5F2E42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1039B608">
            <w:pPr>
              <w:snapToGrid w:val="0"/>
              <w:spacing w:before="50" w:after="120" w:afterLines="50" w:line="400" w:lineRule="exact"/>
              <w:jc w:val="left"/>
              <w:rPr>
                <w:rFonts w:ascii="Arial" w:hAnsi="Arial" w:eastAsia="宋体" w:cs="Arial"/>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3E60F160">
            <w:pPr>
              <w:snapToGrid w:val="0"/>
              <w:spacing w:before="50" w:after="120" w:afterLines="50" w:line="400" w:lineRule="exact"/>
              <w:jc w:val="left"/>
              <w:rPr>
                <w:rFonts w:ascii="Arial" w:hAnsi="Arial" w:eastAsia="宋体" w:cs="Arial"/>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319648C0">
            <w:pPr>
              <w:snapToGrid w:val="0"/>
              <w:spacing w:before="50" w:after="120" w:afterLines="50" w:line="400" w:lineRule="exact"/>
              <w:jc w:val="left"/>
              <w:rPr>
                <w:rFonts w:ascii="Arial" w:hAnsi="Arial" w:eastAsia="宋体" w:cs="Arial"/>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32C4EAEF">
            <w:pPr>
              <w:snapToGrid w:val="0"/>
              <w:spacing w:before="50" w:after="120" w:afterLines="50" w:line="400" w:lineRule="exact"/>
              <w:jc w:val="left"/>
              <w:rPr>
                <w:rFonts w:ascii="Arial" w:hAnsi="Arial" w:eastAsia="宋体" w:cs="Arial"/>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6FE99EF4">
            <w:pPr>
              <w:snapToGrid w:val="0"/>
              <w:spacing w:before="50" w:after="120" w:afterLines="50" w:line="400" w:lineRule="exact"/>
              <w:jc w:val="left"/>
              <w:rPr>
                <w:rFonts w:ascii="Arial" w:hAnsi="Arial" w:eastAsia="宋体" w:cs="Arial"/>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4BA99EA7">
            <w:pPr>
              <w:snapToGrid w:val="0"/>
              <w:spacing w:before="50" w:after="120" w:afterLines="50" w:line="400" w:lineRule="exact"/>
              <w:jc w:val="left"/>
              <w:rPr>
                <w:rFonts w:ascii="Arial" w:hAnsi="Arial" w:eastAsia="宋体" w:cs="Arial"/>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4B0C2E20">
            <w:pPr>
              <w:snapToGrid w:val="0"/>
              <w:spacing w:before="50" w:after="120" w:afterLines="50" w:line="400" w:lineRule="exact"/>
              <w:jc w:val="left"/>
              <w:rPr>
                <w:rFonts w:ascii="Arial" w:hAnsi="Arial" w:eastAsia="宋体" w:cs="Arial"/>
                <w:color w:val="auto"/>
                <w:szCs w:val="21"/>
                <w:highlight w:val="none"/>
              </w:rPr>
            </w:pPr>
          </w:p>
        </w:tc>
      </w:tr>
      <w:tr w14:paraId="1866CB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5E3D392E">
            <w:pPr>
              <w:snapToGrid w:val="0"/>
              <w:spacing w:before="50" w:after="120" w:afterLines="50" w:line="400" w:lineRule="exact"/>
              <w:jc w:val="left"/>
              <w:rPr>
                <w:rFonts w:ascii="Arial" w:hAnsi="Arial" w:eastAsia="宋体" w:cs="Arial"/>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52492308">
            <w:pPr>
              <w:snapToGrid w:val="0"/>
              <w:spacing w:before="50" w:after="120" w:afterLines="50" w:line="400" w:lineRule="exact"/>
              <w:jc w:val="left"/>
              <w:rPr>
                <w:rFonts w:ascii="Arial" w:hAnsi="Arial" w:eastAsia="宋体" w:cs="Arial"/>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435291A4">
            <w:pPr>
              <w:snapToGrid w:val="0"/>
              <w:spacing w:before="50" w:after="120" w:afterLines="50" w:line="400" w:lineRule="exact"/>
              <w:jc w:val="left"/>
              <w:rPr>
                <w:rFonts w:ascii="Arial" w:hAnsi="Arial" w:eastAsia="宋体" w:cs="Arial"/>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66C08287">
            <w:pPr>
              <w:snapToGrid w:val="0"/>
              <w:spacing w:before="50" w:after="120" w:afterLines="50" w:line="400" w:lineRule="exact"/>
              <w:jc w:val="left"/>
              <w:rPr>
                <w:rFonts w:ascii="Arial" w:hAnsi="Arial" w:eastAsia="宋体" w:cs="Arial"/>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393CB00C">
            <w:pPr>
              <w:snapToGrid w:val="0"/>
              <w:spacing w:before="50" w:after="120" w:afterLines="50" w:line="400" w:lineRule="exact"/>
              <w:jc w:val="left"/>
              <w:rPr>
                <w:rFonts w:ascii="Arial" w:hAnsi="Arial" w:eastAsia="宋体" w:cs="Arial"/>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22D0825D">
            <w:pPr>
              <w:snapToGrid w:val="0"/>
              <w:spacing w:before="50" w:after="120" w:afterLines="50" w:line="400" w:lineRule="exact"/>
              <w:jc w:val="left"/>
              <w:rPr>
                <w:rFonts w:ascii="Arial" w:hAnsi="Arial" w:eastAsia="宋体" w:cs="Arial"/>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7EC15367">
            <w:pPr>
              <w:snapToGrid w:val="0"/>
              <w:spacing w:before="50" w:after="120" w:afterLines="50" w:line="400" w:lineRule="exact"/>
              <w:jc w:val="left"/>
              <w:rPr>
                <w:rFonts w:ascii="Arial" w:hAnsi="Arial" w:eastAsia="宋体" w:cs="Arial"/>
                <w:color w:val="auto"/>
                <w:szCs w:val="21"/>
                <w:highlight w:val="none"/>
              </w:rPr>
            </w:pPr>
          </w:p>
        </w:tc>
      </w:tr>
      <w:tr w14:paraId="35B90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17FA9F3E">
            <w:pPr>
              <w:snapToGrid w:val="0"/>
              <w:spacing w:before="50" w:after="120" w:afterLines="50" w:line="400" w:lineRule="exact"/>
              <w:jc w:val="left"/>
              <w:rPr>
                <w:rFonts w:ascii="Arial" w:hAnsi="Arial" w:eastAsia="宋体" w:cs="Arial"/>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2762C54F">
            <w:pPr>
              <w:snapToGrid w:val="0"/>
              <w:spacing w:before="50" w:after="120" w:afterLines="50" w:line="400" w:lineRule="exact"/>
              <w:jc w:val="left"/>
              <w:rPr>
                <w:rFonts w:ascii="Arial" w:hAnsi="Arial" w:eastAsia="宋体" w:cs="Arial"/>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41A32204">
            <w:pPr>
              <w:snapToGrid w:val="0"/>
              <w:spacing w:before="50" w:after="120" w:afterLines="50" w:line="400" w:lineRule="exact"/>
              <w:jc w:val="left"/>
              <w:rPr>
                <w:rFonts w:ascii="Arial" w:hAnsi="Arial" w:eastAsia="宋体" w:cs="Arial"/>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42404295">
            <w:pPr>
              <w:snapToGrid w:val="0"/>
              <w:spacing w:before="50" w:after="120" w:afterLines="50" w:line="400" w:lineRule="exact"/>
              <w:jc w:val="left"/>
              <w:rPr>
                <w:rFonts w:ascii="Arial" w:hAnsi="Arial" w:eastAsia="宋体" w:cs="Arial"/>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191015B5">
            <w:pPr>
              <w:snapToGrid w:val="0"/>
              <w:spacing w:before="50" w:after="120" w:afterLines="50" w:line="400" w:lineRule="exact"/>
              <w:jc w:val="left"/>
              <w:rPr>
                <w:rFonts w:ascii="Arial" w:hAnsi="Arial" w:eastAsia="宋体" w:cs="Arial"/>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4F847D8E">
            <w:pPr>
              <w:snapToGrid w:val="0"/>
              <w:spacing w:before="50" w:after="120" w:afterLines="50" w:line="400" w:lineRule="exact"/>
              <w:jc w:val="left"/>
              <w:rPr>
                <w:rFonts w:ascii="Arial" w:hAnsi="Arial" w:eastAsia="宋体" w:cs="Arial"/>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2718C2DD">
            <w:pPr>
              <w:snapToGrid w:val="0"/>
              <w:spacing w:before="50" w:after="120" w:afterLines="50" w:line="400" w:lineRule="exact"/>
              <w:jc w:val="left"/>
              <w:rPr>
                <w:rFonts w:ascii="Arial" w:hAnsi="Arial" w:eastAsia="宋体" w:cs="Arial"/>
                <w:color w:val="auto"/>
                <w:szCs w:val="21"/>
                <w:highlight w:val="none"/>
              </w:rPr>
            </w:pPr>
          </w:p>
        </w:tc>
      </w:tr>
    </w:tbl>
    <w:p w14:paraId="7000BA8D">
      <w:pPr>
        <w:pStyle w:val="16"/>
        <w:snapToGrid w:val="0"/>
        <w:rPr>
          <w:rFonts w:eastAsia="宋体"/>
          <w:color w:val="auto"/>
          <w:sz w:val="21"/>
          <w:szCs w:val="21"/>
          <w:highlight w:val="none"/>
        </w:rPr>
      </w:pPr>
      <w:r>
        <w:rPr>
          <w:rFonts w:eastAsia="宋体"/>
          <w:color w:val="auto"/>
          <w:sz w:val="21"/>
          <w:szCs w:val="21"/>
          <w:highlight w:val="none"/>
        </w:rPr>
        <w:t>注：</w:t>
      </w:r>
    </w:p>
    <w:p w14:paraId="26FD7862">
      <w:pPr>
        <w:pStyle w:val="16"/>
        <w:snapToGrid w:val="0"/>
        <w:rPr>
          <w:rFonts w:eastAsia="宋体"/>
          <w:color w:val="auto"/>
          <w:sz w:val="21"/>
          <w:szCs w:val="21"/>
          <w:highlight w:val="none"/>
        </w:rPr>
      </w:pPr>
      <w:r>
        <w:rPr>
          <w:rFonts w:eastAsia="宋体"/>
          <w:color w:val="auto"/>
          <w:szCs w:val="21"/>
          <w:highlight w:val="none"/>
        </w:rPr>
        <w:t>（1）</w:t>
      </w:r>
      <w:r>
        <w:rPr>
          <w:rFonts w:eastAsia="宋体"/>
          <w:color w:val="auto"/>
          <w:sz w:val="21"/>
          <w:szCs w:val="21"/>
          <w:highlight w:val="none"/>
        </w:rPr>
        <w:t>未附证明材料的业绩无效，证明材料见第四章《评审方法及标准》规定</w:t>
      </w:r>
    </w:p>
    <w:p w14:paraId="7D67C7F4">
      <w:pPr>
        <w:pStyle w:val="16"/>
        <w:snapToGrid w:val="0"/>
        <w:rPr>
          <w:rFonts w:eastAsia="宋体"/>
          <w:color w:val="auto"/>
          <w:sz w:val="21"/>
          <w:szCs w:val="21"/>
          <w:highlight w:val="none"/>
        </w:rPr>
      </w:pPr>
      <w:r>
        <w:rPr>
          <w:rFonts w:eastAsia="宋体"/>
          <w:color w:val="auto"/>
          <w:szCs w:val="21"/>
          <w:highlight w:val="none"/>
        </w:rPr>
        <w:t>（2）</w:t>
      </w:r>
      <w:r>
        <w:rPr>
          <w:rFonts w:eastAsia="宋体"/>
          <w:color w:val="auto"/>
          <w:sz w:val="21"/>
          <w:szCs w:val="21"/>
          <w:highlight w:val="none"/>
        </w:rPr>
        <w:t>类似项目的定义见第四章《评审方法及标准》规定。</w:t>
      </w:r>
    </w:p>
    <w:p w14:paraId="7D1073C5">
      <w:pPr>
        <w:rPr>
          <w:rFonts w:ascii="Arial" w:hAnsi="Arial" w:cs="Arial"/>
          <w:color w:val="auto"/>
          <w:highlight w:val="none"/>
        </w:rPr>
      </w:pPr>
      <w:r>
        <w:rPr>
          <w:rFonts w:ascii="Arial" w:hAnsi="Arial" w:cs="Arial"/>
          <w:color w:val="auto"/>
          <w:szCs w:val="21"/>
          <w:highlight w:val="none"/>
        </w:rPr>
        <w:t>（3）</w:t>
      </w:r>
      <w:bookmarkStart w:id="163" w:name="_Hlk19049505"/>
      <w:r>
        <w:rPr>
          <w:rFonts w:ascii="Arial" w:hAnsi="Arial" w:cs="Arial"/>
          <w:color w:val="auto"/>
          <w:highlight w:val="none"/>
        </w:rPr>
        <w:t>本表可拓展。</w:t>
      </w:r>
      <w:bookmarkEnd w:id="163"/>
    </w:p>
    <w:p w14:paraId="2557EED9">
      <w:pPr>
        <w:snapToGrid w:val="0"/>
        <w:spacing w:before="50"/>
        <w:jc w:val="left"/>
        <w:rPr>
          <w:rFonts w:ascii="Arial" w:hAnsi="Arial" w:cs="Arial"/>
          <w:color w:val="auto"/>
          <w:szCs w:val="21"/>
          <w:highlight w:val="none"/>
        </w:rPr>
      </w:pPr>
      <w:bookmarkStart w:id="164" w:name="_Hlk88990617"/>
    </w:p>
    <w:p w14:paraId="435BAC94">
      <w:pPr>
        <w:snapToGrid w:val="0"/>
        <w:spacing w:before="50"/>
        <w:jc w:val="left"/>
        <w:rPr>
          <w:rFonts w:ascii="Arial" w:hAnsi="Arial" w:cs="Arial"/>
          <w:color w:val="auto"/>
          <w:szCs w:val="21"/>
          <w:highlight w:val="none"/>
        </w:rPr>
      </w:pPr>
      <w:r>
        <w:rPr>
          <w:rFonts w:ascii="Arial" w:hAnsi="Arial" w:cs="Arial"/>
          <w:color w:val="auto"/>
          <w:szCs w:val="21"/>
          <w:highlight w:val="none"/>
        </w:rPr>
        <w:t>供应商名称(电子签章)：</w:t>
      </w:r>
      <w:bookmarkEnd w:id="164"/>
      <w:r>
        <w:rPr>
          <w:rFonts w:ascii="Arial" w:hAnsi="Arial" w:cs="Arial"/>
          <w:color w:val="auto"/>
          <w:szCs w:val="21"/>
          <w:highlight w:val="none"/>
          <w:u w:val="single"/>
        </w:rPr>
        <w:t xml:space="preserve">                 </w:t>
      </w:r>
      <w:r>
        <w:rPr>
          <w:rFonts w:ascii="Arial" w:hAnsi="Arial" w:cs="Arial"/>
          <w:color w:val="auto"/>
          <w:szCs w:val="21"/>
          <w:highlight w:val="none"/>
        </w:rPr>
        <w:t xml:space="preserve">                                            年    月   日</w:t>
      </w:r>
    </w:p>
    <w:p w14:paraId="30BC4588">
      <w:pPr>
        <w:snapToGrid w:val="0"/>
        <w:spacing w:before="50"/>
        <w:jc w:val="left"/>
        <w:rPr>
          <w:rFonts w:ascii="Arial" w:hAnsi="Arial" w:cs="Arial"/>
          <w:color w:val="auto"/>
          <w:szCs w:val="21"/>
          <w:highlight w:val="none"/>
        </w:rPr>
      </w:pPr>
    </w:p>
    <w:p w14:paraId="048D47C9">
      <w:pPr>
        <w:snapToGrid w:val="0"/>
        <w:spacing w:before="50" w:after="120" w:afterLines="50"/>
        <w:jc w:val="left"/>
        <w:rPr>
          <w:rFonts w:ascii="Arial" w:hAnsi="Arial" w:cs="Arial"/>
          <w:color w:val="auto"/>
          <w:szCs w:val="21"/>
          <w:highlight w:val="none"/>
        </w:rPr>
        <w:sectPr>
          <w:headerReference r:id="rId16" w:type="default"/>
          <w:pgSz w:w="16838" w:h="11906" w:orient="landscape"/>
          <w:pgMar w:top="1418" w:right="1304" w:bottom="1418" w:left="1304" w:header="851" w:footer="992" w:gutter="0"/>
          <w:cols w:space="720" w:num="1"/>
          <w:docGrid w:linePitch="312" w:charSpace="0"/>
        </w:sectPr>
      </w:pPr>
    </w:p>
    <w:p w14:paraId="604FA2C3">
      <w:pPr>
        <w:snapToGrid w:val="0"/>
        <w:spacing w:before="50" w:after="120" w:afterLines="50"/>
        <w:jc w:val="left"/>
        <w:outlineLvl w:val="1"/>
        <w:rPr>
          <w:rFonts w:ascii="Arial" w:hAnsi="Arial" w:cs="Arial"/>
          <w:color w:val="auto"/>
          <w:szCs w:val="21"/>
          <w:highlight w:val="none"/>
        </w:rPr>
      </w:pPr>
      <w:bookmarkStart w:id="165" w:name="_Hlk19050322"/>
      <w:r>
        <w:rPr>
          <w:rFonts w:ascii="Arial" w:hAnsi="Arial" w:cs="Arial"/>
          <w:color w:val="auto"/>
          <w:szCs w:val="21"/>
          <w:highlight w:val="none"/>
        </w:rPr>
        <w:t>1</w:t>
      </w:r>
      <w:r>
        <w:rPr>
          <w:rFonts w:hint="eastAsia" w:ascii="Arial" w:hAnsi="Arial" w:cs="Arial"/>
          <w:color w:val="auto"/>
          <w:szCs w:val="21"/>
          <w:highlight w:val="none"/>
        </w:rPr>
        <w:t>2</w:t>
      </w:r>
      <w:r>
        <w:rPr>
          <w:rFonts w:ascii="Arial" w:hAnsi="Arial" w:cs="Arial"/>
          <w:color w:val="auto"/>
          <w:szCs w:val="21"/>
          <w:highlight w:val="none"/>
        </w:rPr>
        <w:t>．符合政府采购政策的证明材料。</w:t>
      </w:r>
    </w:p>
    <w:p w14:paraId="06B90FB5">
      <w:pPr>
        <w:rPr>
          <w:rFonts w:ascii="Arial" w:hAnsi="Arial" w:cs="Arial"/>
          <w:color w:val="auto"/>
          <w:szCs w:val="21"/>
          <w:highlight w:val="none"/>
        </w:rPr>
      </w:pPr>
      <w:r>
        <w:rPr>
          <w:rFonts w:ascii="Arial" w:hAnsi="Arial" w:cs="Arial"/>
          <w:color w:val="auto"/>
          <w:szCs w:val="21"/>
          <w:highlight w:val="none"/>
        </w:rPr>
        <w:t>1</w:t>
      </w:r>
      <w:r>
        <w:rPr>
          <w:rFonts w:hint="eastAsia" w:ascii="Arial" w:hAnsi="Arial" w:cs="Arial"/>
          <w:color w:val="auto"/>
          <w:szCs w:val="21"/>
          <w:highlight w:val="none"/>
        </w:rPr>
        <w:t>2</w:t>
      </w:r>
      <w:r>
        <w:rPr>
          <w:rFonts w:ascii="Arial" w:hAnsi="Arial" w:cs="Arial"/>
          <w:color w:val="auto"/>
          <w:szCs w:val="21"/>
          <w:highlight w:val="none"/>
        </w:rPr>
        <w:t>.1</w:t>
      </w:r>
      <w:r>
        <w:rPr>
          <w:rFonts w:ascii="Arial" w:hAnsi="Arial" w:cs="Arial"/>
          <w:bCs/>
          <w:color w:val="auto"/>
          <w:szCs w:val="21"/>
          <w:highlight w:val="none"/>
        </w:rPr>
        <w:t>中小企业声明函</w:t>
      </w:r>
      <w:r>
        <w:rPr>
          <w:rFonts w:ascii="Arial" w:hAnsi="Arial" w:cs="Arial"/>
          <w:color w:val="auto"/>
          <w:szCs w:val="21"/>
          <w:highlight w:val="none"/>
        </w:rPr>
        <w:t>。</w:t>
      </w:r>
    </w:p>
    <w:p w14:paraId="6C56515A">
      <w:pPr>
        <w:spacing w:line="360" w:lineRule="auto"/>
        <w:ind w:firstLine="3584" w:firstLineChars="1700"/>
        <w:rPr>
          <w:rFonts w:ascii="Arial" w:hAnsi="Arial" w:cs="Arial"/>
          <w:b/>
          <w:color w:val="auto"/>
          <w:szCs w:val="21"/>
          <w:highlight w:val="none"/>
        </w:rPr>
      </w:pPr>
      <w:bookmarkStart w:id="166" w:name="_Hlk60649458"/>
    </w:p>
    <w:bookmarkEnd w:id="166"/>
    <w:p w14:paraId="13394233">
      <w:pPr>
        <w:spacing w:line="360" w:lineRule="auto"/>
        <w:ind w:firstLine="3584" w:firstLineChars="1700"/>
        <w:rPr>
          <w:rFonts w:ascii="Arial" w:hAnsi="Arial" w:cs="Arial"/>
          <w:b/>
          <w:color w:val="auto"/>
          <w:szCs w:val="21"/>
          <w:highlight w:val="none"/>
        </w:rPr>
      </w:pPr>
      <w:r>
        <w:rPr>
          <w:rFonts w:ascii="Arial" w:hAnsi="Arial" w:cs="Arial"/>
          <w:b/>
          <w:color w:val="auto"/>
          <w:szCs w:val="21"/>
          <w:highlight w:val="none"/>
        </w:rPr>
        <w:t>中小企业声明函（服务）</w:t>
      </w:r>
    </w:p>
    <w:p w14:paraId="4DBB7921">
      <w:pPr>
        <w:spacing w:line="360" w:lineRule="auto"/>
        <w:ind w:firstLine="420"/>
        <w:rPr>
          <w:rFonts w:ascii="Arial" w:hAnsi="Arial" w:cs="Arial"/>
          <w:bCs/>
          <w:color w:val="auto"/>
          <w:szCs w:val="21"/>
          <w:highlight w:val="none"/>
        </w:rPr>
      </w:pPr>
      <w:r>
        <w:rPr>
          <w:rFonts w:ascii="Arial" w:hAnsi="Arial" w:cs="Arial"/>
          <w:bCs/>
          <w:color w:val="auto"/>
          <w:szCs w:val="21"/>
          <w:highlight w:val="none"/>
        </w:rPr>
        <w:t>本公司（联合体）郑重声明，根据《政府采购促进中小企业发展管理办法》（财库﹝2020﹞46 号）的规定，本公司（联合体）参加</w:t>
      </w:r>
      <w:r>
        <w:rPr>
          <w:rFonts w:ascii="Arial" w:hAnsi="Arial" w:cs="Arial"/>
          <w:bCs/>
          <w:color w:val="auto"/>
          <w:szCs w:val="21"/>
          <w:highlight w:val="none"/>
          <w:u w:val="single"/>
        </w:rPr>
        <w:t>（单位名称）</w:t>
      </w:r>
      <w:r>
        <w:rPr>
          <w:rFonts w:ascii="Arial" w:hAnsi="Arial" w:cs="Arial"/>
          <w:bCs/>
          <w:color w:val="auto"/>
          <w:szCs w:val="21"/>
          <w:highlight w:val="none"/>
        </w:rPr>
        <w:t>的</w:t>
      </w:r>
      <w:r>
        <w:rPr>
          <w:rFonts w:ascii="Arial" w:hAnsi="Arial" w:cs="Arial"/>
          <w:bCs/>
          <w:color w:val="auto"/>
          <w:szCs w:val="21"/>
          <w:highlight w:val="none"/>
          <w:u w:val="single"/>
        </w:rPr>
        <w:t>（项目名称）</w:t>
      </w:r>
      <w:r>
        <w:rPr>
          <w:rFonts w:ascii="Arial" w:hAnsi="Arial" w:cs="Arial"/>
          <w:bCs/>
          <w:color w:val="auto"/>
          <w:szCs w:val="21"/>
          <w:highlight w:val="none"/>
        </w:rPr>
        <w:t>采购活动，服务全部由符合政策要求的中小企业承接。相关企业（含联合体中的中小企业、签订分包意向协议的中小企业） 的具体情况如下：</w:t>
      </w:r>
    </w:p>
    <w:p w14:paraId="47443C8D">
      <w:pPr>
        <w:spacing w:line="360" w:lineRule="auto"/>
        <w:ind w:firstLine="420"/>
        <w:rPr>
          <w:rFonts w:ascii="Arial" w:hAnsi="Arial" w:cs="Arial"/>
          <w:bCs/>
          <w:color w:val="auto"/>
          <w:szCs w:val="21"/>
          <w:highlight w:val="none"/>
        </w:rPr>
      </w:pPr>
      <w:r>
        <w:rPr>
          <w:rFonts w:ascii="Arial" w:hAnsi="Arial" w:cs="Arial"/>
          <w:bCs/>
          <w:color w:val="auto"/>
          <w:szCs w:val="21"/>
          <w:highlight w:val="none"/>
        </w:rPr>
        <w:t>1.</w:t>
      </w:r>
      <w:r>
        <w:rPr>
          <w:rFonts w:ascii="Arial" w:hAnsi="Arial" w:cs="Arial"/>
          <w:bCs/>
          <w:color w:val="auto"/>
          <w:szCs w:val="21"/>
          <w:highlight w:val="none"/>
          <w:u w:val="single"/>
        </w:rPr>
        <w:t>（标的名称）</w:t>
      </w:r>
      <w:r>
        <w:rPr>
          <w:rFonts w:ascii="Arial" w:hAnsi="Arial" w:cs="Arial"/>
          <w:bCs/>
          <w:color w:val="auto"/>
          <w:szCs w:val="21"/>
          <w:highlight w:val="none"/>
        </w:rPr>
        <w:t>，属于</w:t>
      </w:r>
      <w:r>
        <w:rPr>
          <w:rFonts w:ascii="Arial" w:hAnsi="Arial" w:cs="Arial"/>
          <w:bCs/>
          <w:color w:val="auto"/>
          <w:szCs w:val="21"/>
          <w:highlight w:val="none"/>
          <w:u w:val="single"/>
        </w:rPr>
        <w:t>（招标文件中明确的所属行业）</w:t>
      </w:r>
      <w:r>
        <w:rPr>
          <w:rFonts w:ascii="Arial" w:hAnsi="Arial" w:cs="Arial"/>
          <w:bCs/>
          <w:color w:val="auto"/>
          <w:szCs w:val="21"/>
          <w:highlight w:val="none"/>
        </w:rPr>
        <w:t>行业；承接企业为</w:t>
      </w:r>
      <w:r>
        <w:rPr>
          <w:rFonts w:ascii="Arial" w:hAnsi="Arial" w:cs="Arial"/>
          <w:bCs/>
          <w:color w:val="auto"/>
          <w:szCs w:val="21"/>
          <w:highlight w:val="none"/>
          <w:u w:val="single"/>
        </w:rPr>
        <w:t>（企业名称）</w:t>
      </w:r>
      <w:r>
        <w:rPr>
          <w:rFonts w:ascii="Arial" w:hAnsi="Arial" w:cs="Arial"/>
          <w:bCs/>
          <w:color w:val="auto"/>
          <w:szCs w:val="21"/>
          <w:highlight w:val="none"/>
        </w:rPr>
        <w:t>，从业人员</w:t>
      </w:r>
      <w:r>
        <w:rPr>
          <w:rFonts w:ascii="Arial" w:hAnsi="Arial" w:cs="Arial"/>
          <w:bCs/>
          <w:color w:val="auto"/>
          <w:szCs w:val="21"/>
          <w:highlight w:val="none"/>
          <w:u w:val="single"/>
        </w:rPr>
        <w:t xml:space="preserve">    </w:t>
      </w:r>
      <w:r>
        <w:rPr>
          <w:rFonts w:ascii="Arial" w:hAnsi="Arial" w:cs="Arial"/>
          <w:bCs/>
          <w:color w:val="auto"/>
          <w:szCs w:val="21"/>
          <w:highlight w:val="none"/>
        </w:rPr>
        <w:t>人，营业收入为</w:t>
      </w:r>
      <w:r>
        <w:rPr>
          <w:rFonts w:ascii="Arial" w:hAnsi="Arial" w:cs="Arial"/>
          <w:bCs/>
          <w:color w:val="auto"/>
          <w:szCs w:val="21"/>
          <w:highlight w:val="none"/>
          <w:u w:val="single"/>
        </w:rPr>
        <w:t xml:space="preserve">    </w:t>
      </w:r>
      <w:r>
        <w:rPr>
          <w:rFonts w:ascii="Arial" w:hAnsi="Arial" w:cs="Arial"/>
          <w:bCs/>
          <w:color w:val="auto"/>
          <w:szCs w:val="21"/>
          <w:highlight w:val="none"/>
        </w:rPr>
        <w:t>万元，资产总额为</w:t>
      </w:r>
      <w:r>
        <w:rPr>
          <w:rFonts w:ascii="Arial" w:hAnsi="Arial" w:cs="Arial"/>
          <w:bCs/>
          <w:color w:val="auto"/>
          <w:szCs w:val="21"/>
          <w:highlight w:val="none"/>
          <w:u w:val="single"/>
        </w:rPr>
        <w:t xml:space="preserve">    </w:t>
      </w:r>
      <w:r>
        <w:rPr>
          <w:rFonts w:ascii="Arial" w:hAnsi="Arial" w:cs="Arial"/>
          <w:bCs/>
          <w:color w:val="auto"/>
          <w:szCs w:val="21"/>
          <w:highlight w:val="none"/>
        </w:rPr>
        <w:t>万元，属于</w:t>
      </w:r>
      <w:r>
        <w:rPr>
          <w:rFonts w:ascii="Arial" w:hAnsi="Arial" w:cs="Arial"/>
          <w:bCs/>
          <w:color w:val="auto"/>
          <w:szCs w:val="21"/>
          <w:highlight w:val="none"/>
          <w:u w:val="single"/>
        </w:rPr>
        <w:t>（中型企业、小型企业、微型企业）</w:t>
      </w:r>
      <w:r>
        <w:rPr>
          <w:rFonts w:ascii="Arial" w:hAnsi="Arial" w:cs="Arial"/>
          <w:bCs/>
          <w:color w:val="auto"/>
          <w:szCs w:val="21"/>
          <w:highlight w:val="none"/>
        </w:rPr>
        <w:t>；</w:t>
      </w:r>
    </w:p>
    <w:p w14:paraId="4594C976">
      <w:pPr>
        <w:spacing w:line="360" w:lineRule="auto"/>
        <w:ind w:firstLine="420"/>
        <w:rPr>
          <w:rFonts w:ascii="Arial" w:hAnsi="Arial" w:cs="Arial"/>
          <w:bCs/>
          <w:color w:val="auto"/>
          <w:szCs w:val="21"/>
          <w:highlight w:val="none"/>
        </w:rPr>
      </w:pPr>
      <w:r>
        <w:rPr>
          <w:rFonts w:ascii="Arial" w:hAnsi="Arial" w:cs="Arial"/>
          <w:bCs/>
          <w:color w:val="auto"/>
          <w:szCs w:val="21"/>
          <w:highlight w:val="none"/>
        </w:rPr>
        <w:t>2.</w:t>
      </w:r>
      <w:r>
        <w:rPr>
          <w:rFonts w:ascii="Arial" w:hAnsi="Arial" w:cs="Arial"/>
          <w:bCs/>
          <w:color w:val="auto"/>
          <w:szCs w:val="21"/>
          <w:highlight w:val="none"/>
          <w:u w:val="single"/>
        </w:rPr>
        <w:t>（标的名称）</w:t>
      </w:r>
      <w:r>
        <w:rPr>
          <w:rFonts w:ascii="Arial" w:hAnsi="Arial" w:cs="Arial"/>
          <w:bCs/>
          <w:color w:val="auto"/>
          <w:szCs w:val="21"/>
          <w:highlight w:val="none"/>
        </w:rPr>
        <w:t>，属于</w:t>
      </w:r>
      <w:r>
        <w:rPr>
          <w:rFonts w:ascii="Arial" w:hAnsi="Arial" w:cs="Arial"/>
          <w:bCs/>
          <w:color w:val="auto"/>
          <w:szCs w:val="21"/>
          <w:highlight w:val="none"/>
          <w:u w:val="single"/>
        </w:rPr>
        <w:t>（招标文件中明确的所属行业）</w:t>
      </w:r>
      <w:r>
        <w:rPr>
          <w:rFonts w:ascii="Arial" w:hAnsi="Arial" w:cs="Arial"/>
          <w:bCs/>
          <w:color w:val="auto"/>
          <w:szCs w:val="21"/>
          <w:highlight w:val="none"/>
        </w:rPr>
        <w:t>行业；承接企业为</w:t>
      </w:r>
      <w:r>
        <w:rPr>
          <w:rFonts w:ascii="Arial" w:hAnsi="Arial" w:cs="Arial"/>
          <w:bCs/>
          <w:color w:val="auto"/>
          <w:szCs w:val="21"/>
          <w:highlight w:val="none"/>
          <w:u w:val="single"/>
        </w:rPr>
        <w:t>（企业名称）</w:t>
      </w:r>
      <w:r>
        <w:rPr>
          <w:rFonts w:ascii="Arial" w:hAnsi="Arial" w:cs="Arial"/>
          <w:bCs/>
          <w:color w:val="auto"/>
          <w:szCs w:val="21"/>
          <w:highlight w:val="none"/>
        </w:rPr>
        <w:t>，从业人员</w:t>
      </w:r>
      <w:r>
        <w:rPr>
          <w:rFonts w:ascii="Arial" w:hAnsi="Arial" w:cs="Arial"/>
          <w:bCs/>
          <w:color w:val="auto"/>
          <w:szCs w:val="21"/>
          <w:highlight w:val="none"/>
          <w:u w:val="single"/>
        </w:rPr>
        <w:t xml:space="preserve">       </w:t>
      </w:r>
      <w:r>
        <w:rPr>
          <w:rFonts w:ascii="Arial" w:hAnsi="Arial" w:cs="Arial"/>
          <w:bCs/>
          <w:color w:val="auto"/>
          <w:szCs w:val="21"/>
          <w:highlight w:val="none"/>
        </w:rPr>
        <w:t>人，营业收入为</w:t>
      </w:r>
      <w:r>
        <w:rPr>
          <w:rFonts w:ascii="Arial" w:hAnsi="Arial" w:cs="Arial"/>
          <w:bCs/>
          <w:color w:val="auto"/>
          <w:szCs w:val="21"/>
          <w:highlight w:val="none"/>
          <w:u w:val="single"/>
        </w:rPr>
        <w:t xml:space="preserve">     </w:t>
      </w:r>
      <w:r>
        <w:rPr>
          <w:rFonts w:ascii="Arial" w:hAnsi="Arial" w:cs="Arial"/>
          <w:bCs/>
          <w:color w:val="auto"/>
          <w:szCs w:val="21"/>
          <w:highlight w:val="none"/>
        </w:rPr>
        <w:t>万元，资产总额为</w:t>
      </w:r>
      <w:r>
        <w:rPr>
          <w:rFonts w:ascii="Arial" w:hAnsi="Arial" w:cs="Arial"/>
          <w:bCs/>
          <w:color w:val="auto"/>
          <w:szCs w:val="21"/>
          <w:highlight w:val="none"/>
          <w:u w:val="single"/>
        </w:rPr>
        <w:t xml:space="preserve">       </w:t>
      </w:r>
      <w:r>
        <w:rPr>
          <w:rFonts w:ascii="Arial" w:hAnsi="Arial" w:cs="Arial"/>
          <w:bCs/>
          <w:color w:val="auto"/>
          <w:szCs w:val="21"/>
          <w:highlight w:val="none"/>
        </w:rPr>
        <w:t>万元，属于</w:t>
      </w:r>
      <w:r>
        <w:rPr>
          <w:rFonts w:ascii="Arial" w:hAnsi="Arial" w:cs="Arial"/>
          <w:bCs/>
          <w:color w:val="auto"/>
          <w:szCs w:val="21"/>
          <w:highlight w:val="none"/>
          <w:u w:val="single"/>
        </w:rPr>
        <w:t>（中型企业、小型企业、微型企业）</w:t>
      </w:r>
      <w:r>
        <w:rPr>
          <w:rFonts w:ascii="Arial" w:hAnsi="Arial" w:cs="Arial"/>
          <w:bCs/>
          <w:color w:val="auto"/>
          <w:szCs w:val="21"/>
          <w:highlight w:val="none"/>
        </w:rPr>
        <w:t>；</w:t>
      </w:r>
    </w:p>
    <w:p w14:paraId="45331FB0">
      <w:pPr>
        <w:spacing w:line="360" w:lineRule="auto"/>
        <w:ind w:firstLine="420"/>
        <w:rPr>
          <w:rFonts w:ascii="Arial" w:hAnsi="Arial" w:cs="Arial"/>
          <w:bCs/>
          <w:color w:val="auto"/>
          <w:szCs w:val="21"/>
          <w:highlight w:val="none"/>
        </w:rPr>
      </w:pPr>
      <w:r>
        <w:rPr>
          <w:rFonts w:ascii="Arial" w:hAnsi="Arial" w:cs="Arial"/>
          <w:bCs/>
          <w:color w:val="auto"/>
          <w:szCs w:val="21"/>
          <w:highlight w:val="none"/>
        </w:rPr>
        <w:t>……</w:t>
      </w:r>
    </w:p>
    <w:p w14:paraId="082698FD">
      <w:pPr>
        <w:spacing w:line="360" w:lineRule="auto"/>
        <w:ind w:firstLine="420"/>
        <w:rPr>
          <w:rFonts w:ascii="Arial" w:hAnsi="Arial" w:cs="Arial"/>
          <w:bCs/>
          <w:color w:val="auto"/>
          <w:szCs w:val="21"/>
          <w:highlight w:val="none"/>
        </w:rPr>
      </w:pPr>
      <w:r>
        <w:rPr>
          <w:rFonts w:ascii="Arial" w:hAnsi="Arial" w:cs="Arial"/>
          <w:bCs/>
          <w:color w:val="auto"/>
          <w:szCs w:val="21"/>
          <w:highlight w:val="none"/>
        </w:rPr>
        <w:t>以上企业，不属于大企业的分支机构，不存在控股股东为大企业的情形，也不存在与大企业的负责人为同一人的情形。</w:t>
      </w:r>
    </w:p>
    <w:p w14:paraId="433E6509">
      <w:pPr>
        <w:spacing w:line="360" w:lineRule="auto"/>
        <w:ind w:firstLine="420"/>
        <w:rPr>
          <w:rFonts w:ascii="Arial" w:hAnsi="Arial" w:cs="Arial"/>
          <w:bCs/>
          <w:color w:val="auto"/>
          <w:szCs w:val="21"/>
          <w:highlight w:val="none"/>
        </w:rPr>
      </w:pPr>
      <w:r>
        <w:rPr>
          <w:rFonts w:ascii="Arial" w:hAnsi="Arial" w:cs="Arial"/>
          <w:bCs/>
          <w:color w:val="auto"/>
          <w:szCs w:val="21"/>
          <w:highlight w:val="none"/>
        </w:rPr>
        <w:t>本企业对上述声明内容的真实性负责。如有虚假，将依法承担相应责任。</w:t>
      </w:r>
    </w:p>
    <w:p w14:paraId="010C23F2">
      <w:pPr>
        <w:spacing w:line="360" w:lineRule="auto"/>
        <w:ind w:firstLine="3150" w:firstLineChars="1500"/>
        <w:rPr>
          <w:rFonts w:ascii="Arial" w:hAnsi="Arial" w:cs="Arial"/>
          <w:bCs/>
          <w:color w:val="auto"/>
          <w:szCs w:val="21"/>
          <w:highlight w:val="none"/>
        </w:rPr>
      </w:pPr>
      <w:r>
        <w:rPr>
          <w:rFonts w:ascii="Arial" w:hAnsi="Arial" w:cs="Arial"/>
          <w:bCs/>
          <w:color w:val="auto"/>
          <w:szCs w:val="21"/>
          <w:highlight w:val="none"/>
        </w:rPr>
        <w:t>企业名称（电子签章）：  日期：</w:t>
      </w:r>
    </w:p>
    <w:p w14:paraId="31D7DA2D">
      <w:pPr>
        <w:spacing w:line="360" w:lineRule="auto"/>
        <w:jc w:val="left"/>
        <w:rPr>
          <w:rFonts w:ascii="Arial" w:hAnsi="Arial" w:cs="Arial"/>
          <w:bCs/>
          <w:color w:val="auto"/>
          <w:szCs w:val="21"/>
          <w:highlight w:val="none"/>
        </w:rPr>
      </w:pPr>
      <w:r>
        <w:rPr>
          <w:rFonts w:ascii="Arial" w:hAnsi="Arial" w:cs="Arial"/>
          <w:bCs/>
          <w:color w:val="auto"/>
          <w:szCs w:val="21"/>
          <w:highlight w:val="none"/>
        </w:rPr>
        <w:t>（1）标的名称按照第二章采购需求一览表中的名称填写，</w:t>
      </w:r>
      <w:r>
        <w:rPr>
          <w:rFonts w:ascii="Arial" w:hAnsi="Arial" w:cs="Arial"/>
          <w:color w:val="auto"/>
          <w:szCs w:val="21"/>
          <w:highlight w:val="none"/>
        </w:rPr>
        <w:t>所属行业标明“/”的</w:t>
      </w:r>
      <w:r>
        <w:rPr>
          <w:rFonts w:ascii="Arial" w:hAnsi="Arial" w:cs="Arial"/>
          <w:bCs/>
          <w:color w:val="auto"/>
          <w:szCs w:val="21"/>
          <w:highlight w:val="none"/>
        </w:rPr>
        <w:t>，无需在上表填写。</w:t>
      </w:r>
    </w:p>
    <w:p w14:paraId="0529FC2F">
      <w:pPr>
        <w:spacing w:line="360" w:lineRule="auto"/>
        <w:jc w:val="left"/>
        <w:rPr>
          <w:rFonts w:ascii="Arial" w:hAnsi="Arial" w:cs="Arial"/>
          <w:bCs/>
          <w:color w:val="auto"/>
          <w:szCs w:val="21"/>
          <w:highlight w:val="none"/>
        </w:rPr>
      </w:pPr>
      <w:r>
        <w:rPr>
          <w:rFonts w:ascii="Arial" w:hAnsi="Arial" w:cs="Arial"/>
          <w:bCs/>
          <w:color w:val="auto"/>
          <w:szCs w:val="21"/>
          <w:highlight w:val="none"/>
        </w:rPr>
        <w:t>（2）如供应商为联合体或分包的，声明函中“项目名称”应填写联合体中小微企业承担的具体内容或者小微企业具体分包内容。</w:t>
      </w:r>
    </w:p>
    <w:p w14:paraId="75E0ADCB">
      <w:pPr>
        <w:spacing w:line="360" w:lineRule="auto"/>
        <w:jc w:val="left"/>
        <w:rPr>
          <w:rFonts w:ascii="Arial" w:hAnsi="Arial" w:cs="Arial"/>
          <w:bCs/>
          <w:color w:val="auto"/>
          <w:szCs w:val="21"/>
          <w:highlight w:val="none"/>
        </w:rPr>
      </w:pPr>
      <w:r>
        <w:rPr>
          <w:rFonts w:ascii="Arial" w:hAnsi="Arial" w:cs="Arial"/>
          <w:bCs/>
          <w:color w:val="auto"/>
          <w:szCs w:val="21"/>
          <w:highlight w:val="none"/>
        </w:rPr>
        <w:t>（3）从业人员、营业收入、资产总额填报上一年度数据，无上一年度数据的新成立企业参照国务院批准的中小企业划分标准，根据企业自身情况如实判断。</w:t>
      </w:r>
    </w:p>
    <w:p w14:paraId="4ABEA655">
      <w:pPr>
        <w:spacing w:line="360" w:lineRule="auto"/>
        <w:jc w:val="left"/>
        <w:rPr>
          <w:rFonts w:ascii="Arial" w:hAnsi="Arial" w:cs="Arial"/>
          <w:bCs/>
          <w:color w:val="auto"/>
          <w:szCs w:val="21"/>
          <w:highlight w:val="none"/>
        </w:rPr>
      </w:pPr>
      <w:r>
        <w:rPr>
          <w:rFonts w:ascii="Arial" w:hAnsi="Arial" w:cs="Arial"/>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0F66E788">
      <w:pPr>
        <w:spacing w:line="360" w:lineRule="auto"/>
        <w:jc w:val="left"/>
        <w:rPr>
          <w:rFonts w:ascii="Arial" w:hAnsi="Arial" w:cs="Arial"/>
          <w:bCs/>
          <w:color w:val="auto"/>
          <w:szCs w:val="21"/>
          <w:highlight w:val="none"/>
        </w:rPr>
      </w:pPr>
      <w:r>
        <w:rPr>
          <w:rFonts w:ascii="Arial" w:hAnsi="Arial" w:cs="Arial"/>
          <w:bCs/>
          <w:color w:val="auto"/>
          <w:szCs w:val="21"/>
          <w:highlight w:val="none"/>
        </w:rPr>
        <w:t>（5）根据</w:t>
      </w:r>
      <w:r>
        <w:rPr>
          <w:rFonts w:hint="eastAsia" w:ascii="Arial" w:hAnsi="Arial" w:cs="Arial"/>
          <w:bCs/>
          <w:color w:val="auto"/>
          <w:szCs w:val="21"/>
          <w:highlight w:val="none"/>
        </w:rPr>
        <w:t>国家</w:t>
      </w:r>
      <w:r>
        <w:rPr>
          <w:rFonts w:ascii="Arial" w:hAnsi="Arial" w:cs="Arial"/>
          <w:bCs/>
          <w:color w:val="auto"/>
          <w:szCs w:val="21"/>
          <w:highlight w:val="none"/>
        </w:rPr>
        <w:t>统计局《劳动工资统计报表制度》，从业人员数是指本单位工作，并取得工资</w:t>
      </w:r>
      <w:r>
        <w:rPr>
          <w:rFonts w:hint="eastAsia" w:ascii="Arial" w:hAnsi="Arial" w:cs="Arial"/>
          <w:bCs/>
          <w:color w:val="auto"/>
          <w:szCs w:val="21"/>
          <w:highlight w:val="none"/>
          <w:lang w:val="en-US" w:eastAsia="zh-CN"/>
        </w:rPr>
        <w:t>或</w:t>
      </w:r>
      <w:r>
        <w:rPr>
          <w:rFonts w:ascii="Arial" w:hAnsi="Arial" w:cs="Arial"/>
          <w:bCs/>
          <w:color w:val="auto"/>
          <w:szCs w:val="21"/>
          <w:highlight w:val="none"/>
        </w:rPr>
        <w:t>其他形式劳动报酬的人员数，是在岗职工、劳务派遣人员及其他从业人员之和。</w:t>
      </w:r>
    </w:p>
    <w:p w14:paraId="29431D54">
      <w:pPr>
        <w:spacing w:line="360" w:lineRule="auto"/>
        <w:jc w:val="left"/>
        <w:rPr>
          <w:rFonts w:ascii="Arial" w:hAnsi="Arial" w:cs="Arial"/>
          <w:bCs/>
          <w:color w:val="auto"/>
          <w:szCs w:val="21"/>
          <w:highlight w:val="none"/>
        </w:rPr>
      </w:pPr>
      <w:r>
        <w:rPr>
          <w:rFonts w:ascii="Arial" w:hAnsi="Arial" w:cs="Arial"/>
          <w:bCs/>
          <w:color w:val="auto"/>
          <w:szCs w:val="21"/>
          <w:highlight w:val="none"/>
        </w:rPr>
        <w:t>（6）本声明函由供应商填写，供应商应按中小企业划分标准《关于印发中小企业划型标准规定的通知》（工信部联企业〔2011〕300号</w:t>
      </w:r>
      <w:r>
        <w:rPr>
          <w:rFonts w:ascii="Arial" w:hAnsi="Arial" w:cs="Arial"/>
          <w:color w:val="auto"/>
          <w:szCs w:val="21"/>
          <w:highlight w:val="none"/>
        </w:rPr>
        <w:t>以及《金融业企业划型标准规定》（银发〔2015〕309号）</w:t>
      </w:r>
      <w:r>
        <w:rPr>
          <w:rFonts w:ascii="Arial" w:hAnsi="Arial" w:cs="Arial"/>
          <w:bCs/>
          <w:color w:val="auto"/>
          <w:szCs w:val="21"/>
          <w:highlight w:val="none"/>
        </w:rPr>
        <w:t>）判断是否为中小企业。</w:t>
      </w:r>
    </w:p>
    <w:p w14:paraId="2F214C56">
      <w:pPr>
        <w:spacing w:line="360" w:lineRule="auto"/>
        <w:jc w:val="left"/>
        <w:rPr>
          <w:rFonts w:ascii="Arial" w:hAnsi="Arial" w:cs="Arial"/>
          <w:bCs/>
          <w:color w:val="auto"/>
          <w:szCs w:val="21"/>
          <w:highlight w:val="none"/>
        </w:rPr>
      </w:pPr>
      <w:r>
        <w:rPr>
          <w:rFonts w:ascii="Arial" w:hAnsi="Arial" w:cs="Arial"/>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389D2E84">
      <w:pPr>
        <w:spacing w:line="360" w:lineRule="auto"/>
        <w:jc w:val="left"/>
        <w:rPr>
          <w:rFonts w:ascii="Arial" w:hAnsi="Arial" w:cs="Arial"/>
          <w:bCs/>
          <w:color w:val="auto"/>
          <w:szCs w:val="21"/>
          <w:highlight w:val="none"/>
        </w:rPr>
      </w:pPr>
      <w:r>
        <w:rPr>
          <w:rFonts w:ascii="Arial" w:hAnsi="Arial" w:cs="Arial"/>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B71C339">
      <w:pPr>
        <w:snapToGrid w:val="0"/>
        <w:spacing w:before="50" w:after="120" w:afterLines="50"/>
        <w:jc w:val="left"/>
        <w:rPr>
          <w:rFonts w:ascii="Arial" w:hAnsi="Arial" w:cs="Arial"/>
          <w:color w:val="auto"/>
          <w:szCs w:val="21"/>
          <w:highlight w:val="none"/>
        </w:rPr>
      </w:pPr>
    </w:p>
    <w:p w14:paraId="6664E510">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1</w:t>
      </w:r>
      <w:r>
        <w:rPr>
          <w:rFonts w:hint="eastAsia" w:ascii="Arial" w:hAnsi="Arial" w:cs="Arial"/>
          <w:color w:val="auto"/>
          <w:szCs w:val="21"/>
          <w:highlight w:val="none"/>
        </w:rPr>
        <w:t>2</w:t>
      </w:r>
      <w:r>
        <w:rPr>
          <w:rFonts w:ascii="Arial" w:hAnsi="Arial" w:cs="Arial"/>
          <w:color w:val="auto"/>
          <w:szCs w:val="21"/>
          <w:highlight w:val="none"/>
        </w:rPr>
        <w:t>.2监狱企业须提供最新一期《XX省监狱企业产品目录》或其他监狱企业证明材料。（非监狱企业无需提供）</w:t>
      </w:r>
    </w:p>
    <w:p w14:paraId="1F5D135B">
      <w:pPr>
        <w:snapToGrid w:val="0"/>
        <w:spacing w:before="50" w:after="120" w:afterLines="50"/>
        <w:jc w:val="left"/>
        <w:rPr>
          <w:rFonts w:ascii="Arial" w:hAnsi="Arial" w:cs="Arial"/>
          <w:color w:val="auto"/>
          <w:szCs w:val="21"/>
          <w:highlight w:val="none"/>
        </w:rPr>
      </w:pPr>
    </w:p>
    <w:p w14:paraId="204D00D0">
      <w:pPr>
        <w:snapToGrid w:val="0"/>
        <w:spacing w:before="50" w:after="120" w:afterLines="50"/>
        <w:jc w:val="left"/>
        <w:rPr>
          <w:rFonts w:ascii="Arial" w:hAnsi="Arial" w:cs="Arial"/>
          <w:color w:val="auto"/>
          <w:highlight w:val="none"/>
        </w:rPr>
      </w:pPr>
      <w:r>
        <w:rPr>
          <w:rFonts w:ascii="Arial" w:hAnsi="Arial" w:cs="Arial"/>
          <w:color w:val="auto"/>
          <w:szCs w:val="21"/>
          <w:highlight w:val="none"/>
        </w:rPr>
        <w:t>1</w:t>
      </w:r>
      <w:r>
        <w:rPr>
          <w:rFonts w:hint="eastAsia" w:ascii="Arial" w:hAnsi="Arial" w:cs="Arial"/>
          <w:color w:val="auto"/>
          <w:szCs w:val="21"/>
          <w:highlight w:val="none"/>
        </w:rPr>
        <w:t>2</w:t>
      </w:r>
      <w:r>
        <w:rPr>
          <w:rFonts w:ascii="Arial" w:hAnsi="Arial" w:cs="Arial"/>
          <w:color w:val="auto"/>
          <w:szCs w:val="21"/>
          <w:highlight w:val="none"/>
        </w:rPr>
        <w:t>.3</w:t>
      </w:r>
      <w:bookmarkStart w:id="167" w:name="_Hlk19051624"/>
      <w:r>
        <w:rPr>
          <w:rFonts w:ascii="Arial" w:hAnsi="Arial" w:cs="Arial"/>
          <w:color w:val="auto"/>
          <w:highlight w:val="none"/>
        </w:rPr>
        <w:t>残疾人福利性单位须提供《残疾人福利性单位声明函》，格式如下。</w:t>
      </w:r>
      <w:r>
        <w:rPr>
          <w:rFonts w:ascii="Arial" w:hAnsi="Arial" w:cs="Arial"/>
          <w:color w:val="auto"/>
          <w:szCs w:val="21"/>
          <w:highlight w:val="none"/>
        </w:rPr>
        <w:t>（非残疾人福利性单位无需提供）</w:t>
      </w:r>
    </w:p>
    <w:bookmarkEnd w:id="167"/>
    <w:p w14:paraId="07CBFDB3">
      <w:pPr>
        <w:spacing w:line="360" w:lineRule="auto"/>
        <w:jc w:val="center"/>
        <w:rPr>
          <w:rFonts w:ascii="Arial" w:hAnsi="Arial" w:cs="Arial"/>
          <w:b/>
          <w:color w:val="auto"/>
          <w:szCs w:val="21"/>
          <w:highlight w:val="none"/>
        </w:rPr>
      </w:pPr>
      <w:bookmarkStart w:id="168" w:name="OLE_LINK14"/>
      <w:bookmarkStart w:id="169" w:name="OLE_LINK13"/>
      <w:r>
        <w:rPr>
          <w:rFonts w:ascii="Arial" w:hAnsi="Arial" w:cs="Arial"/>
          <w:b/>
          <w:color w:val="auto"/>
          <w:szCs w:val="21"/>
          <w:highlight w:val="none"/>
        </w:rPr>
        <w:t>残疾人福利性单位声明函</w:t>
      </w:r>
      <w:bookmarkEnd w:id="168"/>
      <w:bookmarkEnd w:id="169"/>
    </w:p>
    <w:p w14:paraId="05F09A9D">
      <w:pPr>
        <w:spacing w:line="360" w:lineRule="auto"/>
        <w:ind w:firstLine="420"/>
        <w:jc w:val="left"/>
        <w:rPr>
          <w:rFonts w:ascii="Arial" w:hAnsi="Arial" w:cs="Arial"/>
          <w:color w:val="auto"/>
          <w:szCs w:val="21"/>
          <w:highlight w:val="none"/>
        </w:rPr>
      </w:pPr>
      <w:r>
        <w:rPr>
          <w:rFonts w:ascii="Arial" w:hAnsi="Arial" w:cs="Arial"/>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ascii="Arial" w:hAnsi="Arial" w:cs="Arial"/>
          <w:color w:val="auto"/>
          <w:szCs w:val="21"/>
          <w:highlight w:val="none"/>
          <w:u w:val="single"/>
        </w:rPr>
        <w:t xml:space="preserve">        </w:t>
      </w:r>
      <w:r>
        <w:rPr>
          <w:rFonts w:ascii="Arial" w:hAnsi="Arial" w:cs="Arial"/>
          <w:color w:val="auto"/>
          <w:szCs w:val="21"/>
          <w:highlight w:val="none"/>
        </w:rPr>
        <w:t>单位的</w:t>
      </w:r>
      <w:r>
        <w:rPr>
          <w:rFonts w:ascii="Arial" w:hAnsi="Arial" w:cs="Arial"/>
          <w:color w:val="auto"/>
          <w:szCs w:val="21"/>
          <w:highlight w:val="none"/>
          <w:u w:val="single"/>
        </w:rPr>
        <w:t xml:space="preserve">           </w:t>
      </w:r>
      <w:r>
        <w:rPr>
          <w:rFonts w:ascii="Arial" w:hAnsi="Arial" w:cs="Arial"/>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231D565F">
      <w:pPr>
        <w:spacing w:line="360" w:lineRule="auto"/>
        <w:ind w:firstLine="420"/>
        <w:rPr>
          <w:rFonts w:ascii="Arial" w:hAnsi="Arial" w:cs="Arial"/>
          <w:color w:val="auto"/>
          <w:szCs w:val="21"/>
          <w:highlight w:val="none"/>
        </w:rPr>
      </w:pPr>
      <w:r>
        <w:rPr>
          <w:rFonts w:ascii="Arial" w:hAnsi="Arial" w:cs="Arial"/>
          <w:color w:val="auto"/>
          <w:szCs w:val="21"/>
          <w:highlight w:val="none"/>
        </w:rPr>
        <w:t>本单位对上述声明的真实性负责。如有虚假，将依法承担相应责任。</w:t>
      </w:r>
    </w:p>
    <w:p w14:paraId="50F4A4AA">
      <w:pPr>
        <w:spacing w:line="360" w:lineRule="auto"/>
        <w:ind w:firstLine="420"/>
        <w:rPr>
          <w:rFonts w:ascii="Arial" w:hAnsi="Arial" w:cs="Arial"/>
          <w:color w:val="auto"/>
          <w:spacing w:val="6"/>
          <w:szCs w:val="21"/>
          <w:highlight w:val="none"/>
        </w:rPr>
      </w:pPr>
      <w:r>
        <w:rPr>
          <w:rFonts w:ascii="Arial" w:hAnsi="Arial" w:cs="Arial"/>
          <w:color w:val="auto"/>
          <w:spacing w:val="6"/>
          <w:sz w:val="30"/>
          <w:szCs w:val="30"/>
          <w:highlight w:val="none"/>
        </w:rPr>
        <w:t xml:space="preserve"> </w:t>
      </w:r>
      <w:r>
        <w:rPr>
          <w:rFonts w:ascii="Arial" w:hAnsi="Arial" w:cs="Arial"/>
          <w:color w:val="auto"/>
          <w:spacing w:val="6"/>
          <w:szCs w:val="21"/>
          <w:highlight w:val="none"/>
        </w:rPr>
        <w:t xml:space="preserve">                                             </w:t>
      </w:r>
    </w:p>
    <w:p w14:paraId="404F40EE">
      <w:pPr>
        <w:spacing w:line="360" w:lineRule="auto"/>
        <w:ind w:firstLine="420"/>
        <w:jc w:val="right"/>
        <w:rPr>
          <w:rFonts w:ascii="Arial" w:hAnsi="Arial" w:cs="Arial"/>
          <w:color w:val="auto"/>
          <w:spacing w:val="6"/>
          <w:szCs w:val="21"/>
          <w:highlight w:val="none"/>
        </w:rPr>
      </w:pPr>
      <w:r>
        <w:rPr>
          <w:rFonts w:ascii="Arial" w:hAnsi="Arial" w:cs="Arial"/>
          <w:color w:val="auto"/>
          <w:spacing w:val="6"/>
          <w:szCs w:val="21"/>
          <w:highlight w:val="none"/>
        </w:rPr>
        <w:t xml:space="preserve">单位名称（电子签章）：          </w:t>
      </w:r>
    </w:p>
    <w:p w14:paraId="4AD134C1">
      <w:pPr>
        <w:spacing w:line="360" w:lineRule="auto"/>
        <w:ind w:firstLine="420"/>
        <w:rPr>
          <w:rFonts w:ascii="Arial" w:hAnsi="Arial" w:cs="Arial"/>
          <w:color w:val="auto"/>
          <w:spacing w:val="6"/>
          <w:szCs w:val="21"/>
          <w:highlight w:val="none"/>
        </w:rPr>
      </w:pPr>
      <w:r>
        <w:rPr>
          <w:rFonts w:ascii="Arial" w:hAnsi="Arial" w:cs="Arial"/>
          <w:color w:val="auto"/>
          <w:spacing w:val="6"/>
          <w:szCs w:val="21"/>
          <w:highlight w:val="none"/>
        </w:rPr>
        <w:t xml:space="preserve">                                                       日  期：</w:t>
      </w:r>
    </w:p>
    <w:p w14:paraId="0FF18A17">
      <w:pPr>
        <w:rPr>
          <w:rFonts w:ascii="Arial" w:hAnsi="Arial" w:cs="Arial"/>
          <w:color w:val="auto"/>
          <w:spacing w:val="6"/>
          <w:szCs w:val="21"/>
          <w:highlight w:val="none"/>
        </w:rPr>
      </w:pPr>
      <w:r>
        <w:rPr>
          <w:b/>
          <w:color w:val="auto"/>
          <w:szCs w:val="21"/>
          <w:highlight w:val="none"/>
        </w:rPr>
        <w:br w:type="page"/>
      </w:r>
    </w:p>
    <w:p w14:paraId="6FD223C5">
      <w:pPr>
        <w:rPr>
          <w:rFonts w:ascii="Arial" w:hAnsi="Arial" w:cs="Arial"/>
          <w:color w:val="auto"/>
          <w:szCs w:val="21"/>
          <w:highlight w:val="none"/>
        </w:rPr>
      </w:pPr>
      <w:r>
        <w:rPr>
          <w:rFonts w:ascii="Arial" w:hAnsi="Arial" w:cs="Arial"/>
          <w:color w:val="auto"/>
          <w:szCs w:val="21"/>
          <w:highlight w:val="none"/>
        </w:rPr>
        <w:t>1</w:t>
      </w:r>
      <w:r>
        <w:rPr>
          <w:rFonts w:hint="eastAsia" w:ascii="Arial" w:hAnsi="Arial" w:cs="Arial"/>
          <w:color w:val="auto"/>
          <w:szCs w:val="21"/>
          <w:highlight w:val="none"/>
        </w:rPr>
        <w:t>3</w:t>
      </w:r>
      <w:r>
        <w:rPr>
          <w:rFonts w:ascii="Arial" w:hAnsi="Arial" w:cs="Arial"/>
          <w:color w:val="auto"/>
          <w:szCs w:val="21"/>
          <w:highlight w:val="none"/>
        </w:rPr>
        <w:t>．供应商认为需提供的其他材料（根据招标文件编写）</w:t>
      </w:r>
    </w:p>
    <w:p w14:paraId="40CC4FC5">
      <w:pPr>
        <w:snapToGrid w:val="0"/>
        <w:spacing w:before="50"/>
        <w:jc w:val="left"/>
        <w:rPr>
          <w:rFonts w:ascii="Arial" w:hAnsi="Arial" w:cs="Arial"/>
          <w:color w:val="auto"/>
          <w:szCs w:val="21"/>
          <w:highlight w:val="none"/>
        </w:rPr>
      </w:pPr>
    </w:p>
    <w:p w14:paraId="63946D49">
      <w:pPr>
        <w:snapToGrid w:val="0"/>
        <w:spacing w:before="50"/>
        <w:jc w:val="left"/>
        <w:rPr>
          <w:rFonts w:ascii="Arial" w:hAnsi="Arial" w:cs="Arial"/>
          <w:color w:val="auto"/>
          <w:szCs w:val="21"/>
          <w:highlight w:val="none"/>
        </w:rPr>
      </w:pPr>
      <w:r>
        <w:rPr>
          <w:rFonts w:ascii="Arial" w:hAnsi="Arial" w:cs="Arial"/>
          <w:color w:val="auto"/>
          <w:szCs w:val="21"/>
          <w:highlight w:val="none"/>
        </w:rPr>
        <w:br w:type="page"/>
      </w:r>
      <w:r>
        <w:rPr>
          <w:rFonts w:ascii="Arial" w:hAnsi="Arial" w:cs="Arial"/>
          <w:color w:val="auto"/>
          <w:szCs w:val="21"/>
          <w:highlight w:val="none"/>
        </w:rPr>
        <w:t>1</w:t>
      </w:r>
      <w:r>
        <w:rPr>
          <w:rFonts w:hint="eastAsia" w:ascii="Arial" w:hAnsi="Arial" w:cs="Arial"/>
          <w:color w:val="auto"/>
          <w:szCs w:val="21"/>
          <w:highlight w:val="none"/>
        </w:rPr>
        <w:t>4</w:t>
      </w:r>
      <w:r>
        <w:rPr>
          <w:rFonts w:ascii="Arial" w:hAnsi="Arial" w:cs="Arial"/>
          <w:color w:val="auto"/>
          <w:szCs w:val="21"/>
          <w:highlight w:val="none"/>
        </w:rPr>
        <w:t>.</w:t>
      </w:r>
      <w:r>
        <w:rPr>
          <w:rFonts w:ascii="Arial" w:hAnsi="Arial" w:cs="Arial"/>
          <w:color w:val="auto"/>
          <w:highlight w:val="none"/>
        </w:rPr>
        <w:t xml:space="preserve"> </w:t>
      </w:r>
      <w:r>
        <w:rPr>
          <w:rFonts w:ascii="Arial" w:hAnsi="Arial" w:cs="Arial"/>
          <w:color w:val="auto"/>
          <w:szCs w:val="21"/>
          <w:highlight w:val="none"/>
        </w:rPr>
        <w:t>无串标行为承诺函</w:t>
      </w:r>
    </w:p>
    <w:p w14:paraId="76F0A956">
      <w:pPr>
        <w:snapToGrid w:val="0"/>
        <w:spacing w:before="50" w:after="120" w:afterLines="50"/>
        <w:jc w:val="center"/>
        <w:rPr>
          <w:rFonts w:ascii="Arial" w:hAnsi="Arial" w:cs="Arial"/>
          <w:color w:val="auto"/>
          <w:szCs w:val="21"/>
          <w:highlight w:val="none"/>
        </w:rPr>
      </w:pPr>
    </w:p>
    <w:p w14:paraId="03D6E8E7">
      <w:pPr>
        <w:snapToGrid w:val="0"/>
        <w:spacing w:before="50" w:after="120" w:afterLines="50"/>
        <w:jc w:val="center"/>
        <w:rPr>
          <w:rFonts w:ascii="Arial" w:hAnsi="Arial" w:cs="Arial"/>
          <w:color w:val="auto"/>
          <w:szCs w:val="21"/>
          <w:highlight w:val="none"/>
        </w:rPr>
      </w:pPr>
      <w:r>
        <w:rPr>
          <w:rFonts w:ascii="Arial" w:hAnsi="Arial" w:cs="Arial"/>
          <w:color w:val="auto"/>
          <w:szCs w:val="21"/>
          <w:highlight w:val="none"/>
        </w:rPr>
        <w:t>投标人参加本项目无围标串标行为的承诺函</w:t>
      </w:r>
    </w:p>
    <w:p w14:paraId="266CF983">
      <w:pPr>
        <w:snapToGrid w:val="0"/>
        <w:spacing w:before="50" w:after="120" w:afterLines="50"/>
        <w:jc w:val="left"/>
        <w:rPr>
          <w:rFonts w:ascii="Arial" w:hAnsi="Arial" w:cs="Arial"/>
          <w:color w:val="auto"/>
          <w:szCs w:val="21"/>
          <w:highlight w:val="none"/>
        </w:rPr>
      </w:pPr>
    </w:p>
    <w:p w14:paraId="3F2CFA51">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一、我方承诺无下列相互串通投标的情形：</w:t>
      </w:r>
    </w:p>
    <w:p w14:paraId="628BDF2F">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1.不同投标人的投标文件由同一单位或者个人编制；或者不同投标人报名的IP地址一致的；</w:t>
      </w:r>
    </w:p>
    <w:p w14:paraId="502A2533">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2.不同投标人委托同一单位或者个人办理投标事宜；</w:t>
      </w:r>
    </w:p>
    <w:p w14:paraId="6F71AFA0">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3.不同的投标人的投标文件载明的项目管理员为同一个人；</w:t>
      </w:r>
    </w:p>
    <w:p w14:paraId="38FAF3DD">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4.不同投标人的投标文件异常一致或者投标报价呈规律性差异；</w:t>
      </w:r>
    </w:p>
    <w:p w14:paraId="71A10ADC">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5.不同投标人的投标文件相互混装；</w:t>
      </w:r>
    </w:p>
    <w:p w14:paraId="0A126C19">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6.不同投标人的投标保证金从同一单位或者个人账户转出。</w:t>
      </w:r>
    </w:p>
    <w:p w14:paraId="0093F8F8">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二、我方承诺无下列恶意串通的情形：</w:t>
      </w:r>
    </w:p>
    <w:p w14:paraId="0B9B02D1">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1.投标人直接或者间接从采购人或者采购代理机构处获得其他投标人的相关信息并修改其投标文件或者投标文件；</w:t>
      </w:r>
    </w:p>
    <w:p w14:paraId="3D33C475">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2.投标人按照采购人或者采购代理机构的授意撤换、修改投标文件或者投标文件；</w:t>
      </w:r>
    </w:p>
    <w:p w14:paraId="33ADE3CE">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3.投标人之间协商报价、技术方案等投标文件或者投标文件的实质性内容；</w:t>
      </w:r>
    </w:p>
    <w:p w14:paraId="0EAEF772">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4.属于同一集团、协会、商会等组织成员的投标人按照该组织要求协同参加政府采购活动；</w:t>
      </w:r>
    </w:p>
    <w:p w14:paraId="1835BA00">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623330E5">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6.投标人之间商定部分投标人放弃参加政府采购活动或者放弃中标；</w:t>
      </w:r>
    </w:p>
    <w:p w14:paraId="329C89B8">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7.投标人与采购人或者采购代理机构之间、投标人相互之间，为谋求特定投标人中标或者排斥其他投标人的其他串通行为。</w:t>
      </w:r>
    </w:p>
    <w:p w14:paraId="155D410D">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以上情形一经核查属实，我方愿意承担一切后果，并不再寻求任何旨在减轻或者免除法律责任的辩解。</w:t>
      </w:r>
    </w:p>
    <w:p w14:paraId="2718B256">
      <w:pPr>
        <w:snapToGrid w:val="0"/>
        <w:spacing w:before="50" w:after="120" w:afterLines="50"/>
        <w:jc w:val="center"/>
        <w:rPr>
          <w:rFonts w:ascii="Arial" w:hAnsi="Arial" w:cs="Arial"/>
          <w:color w:val="auto"/>
          <w:szCs w:val="21"/>
          <w:highlight w:val="none"/>
        </w:rPr>
      </w:pPr>
      <w:r>
        <w:rPr>
          <w:rFonts w:ascii="Arial" w:hAnsi="Arial" w:cs="Arial"/>
          <w:color w:val="auto"/>
          <w:szCs w:val="21"/>
          <w:highlight w:val="none"/>
        </w:rPr>
        <w:t xml:space="preserve">  </w:t>
      </w:r>
    </w:p>
    <w:p w14:paraId="3B70415A">
      <w:pPr>
        <w:snapToGrid w:val="0"/>
        <w:spacing w:before="50" w:after="120" w:afterLines="50"/>
        <w:jc w:val="center"/>
        <w:rPr>
          <w:rFonts w:ascii="Arial" w:hAnsi="Arial" w:cs="Arial"/>
          <w:color w:val="auto"/>
          <w:szCs w:val="21"/>
          <w:highlight w:val="none"/>
        </w:rPr>
      </w:pPr>
    </w:p>
    <w:p w14:paraId="24E3BED2">
      <w:pPr>
        <w:snapToGrid w:val="0"/>
        <w:spacing w:before="50" w:after="120" w:afterLines="50"/>
        <w:jc w:val="center"/>
        <w:rPr>
          <w:rFonts w:ascii="Arial" w:hAnsi="Arial" w:cs="Arial"/>
          <w:color w:val="auto"/>
          <w:szCs w:val="21"/>
          <w:highlight w:val="none"/>
        </w:rPr>
      </w:pPr>
    </w:p>
    <w:p w14:paraId="73BC8713">
      <w:pPr>
        <w:snapToGrid w:val="0"/>
        <w:spacing w:before="50" w:after="120" w:afterLines="50"/>
        <w:jc w:val="center"/>
        <w:rPr>
          <w:rFonts w:ascii="Arial" w:hAnsi="Arial" w:cs="Arial"/>
          <w:color w:val="auto"/>
          <w:szCs w:val="21"/>
          <w:highlight w:val="none"/>
        </w:rPr>
      </w:pPr>
      <w:r>
        <w:rPr>
          <w:rFonts w:ascii="Arial" w:hAnsi="Arial" w:cs="Arial"/>
          <w:color w:val="auto"/>
          <w:szCs w:val="21"/>
          <w:highlight w:val="none"/>
        </w:rPr>
        <w:t>供应商名称(电子签章)：</w:t>
      </w:r>
    </w:p>
    <w:p w14:paraId="7EF1EE8F">
      <w:pPr>
        <w:snapToGrid w:val="0"/>
        <w:spacing w:before="50" w:after="120" w:afterLines="50"/>
        <w:jc w:val="center"/>
        <w:rPr>
          <w:rFonts w:ascii="Arial" w:hAnsi="Arial" w:cs="Arial"/>
          <w:color w:val="auto"/>
          <w:szCs w:val="21"/>
          <w:highlight w:val="none"/>
        </w:rPr>
      </w:pPr>
      <w:r>
        <w:rPr>
          <w:rFonts w:ascii="Arial" w:hAnsi="Arial" w:cs="Arial"/>
          <w:color w:val="auto"/>
          <w:szCs w:val="21"/>
          <w:highlight w:val="none"/>
        </w:rPr>
        <w:t>日期：  年  月   日</w:t>
      </w:r>
    </w:p>
    <w:p w14:paraId="37F8AFC9">
      <w:pPr>
        <w:ind w:firstLine="420" w:firstLineChars="200"/>
        <w:rPr>
          <w:rFonts w:ascii="Arial" w:hAnsi="Arial" w:cs="Arial"/>
          <w:color w:val="auto"/>
          <w:szCs w:val="21"/>
          <w:highlight w:val="none"/>
        </w:rPr>
        <w:sectPr>
          <w:headerReference r:id="rId17" w:type="default"/>
          <w:pgSz w:w="11906" w:h="16838"/>
          <w:pgMar w:top="1304" w:right="1418" w:bottom="1304" w:left="1418" w:header="851" w:footer="992" w:gutter="0"/>
          <w:cols w:space="720" w:num="1"/>
          <w:docGrid w:linePitch="312" w:charSpace="0"/>
        </w:sectPr>
      </w:pPr>
    </w:p>
    <w:bookmarkEnd w:id="165"/>
    <w:p w14:paraId="1F609874">
      <w:pPr>
        <w:snapToGrid w:val="0"/>
        <w:spacing w:before="120" w:beforeLines="50" w:after="50" w:line="440" w:lineRule="exact"/>
        <w:jc w:val="left"/>
        <w:outlineLvl w:val="1"/>
        <w:rPr>
          <w:rFonts w:ascii="Arial" w:hAnsi="Arial" w:cs="Arial"/>
          <w:bCs/>
          <w:color w:val="auto"/>
          <w:sz w:val="24"/>
          <w:highlight w:val="none"/>
        </w:rPr>
      </w:pPr>
      <w:r>
        <w:rPr>
          <w:rFonts w:ascii="Arial" w:hAnsi="Arial" w:cs="Arial"/>
          <w:bCs/>
          <w:color w:val="auto"/>
          <w:sz w:val="24"/>
          <w:highlight w:val="none"/>
        </w:rPr>
        <w:t xml:space="preserve">3．投标文件封面参考格式（报价文件）： </w:t>
      </w:r>
    </w:p>
    <w:p w14:paraId="3132CAAC">
      <w:pPr>
        <w:snapToGrid w:val="0"/>
        <w:spacing w:before="50" w:after="120" w:afterLines="50" w:line="400" w:lineRule="exact"/>
        <w:jc w:val="left"/>
        <w:rPr>
          <w:rFonts w:ascii="Arial" w:hAnsi="Arial" w:cs="Arial"/>
          <w:bCs/>
          <w:color w:val="auto"/>
          <w:sz w:val="24"/>
          <w:highlight w:val="none"/>
        </w:rPr>
      </w:pPr>
    </w:p>
    <w:p w14:paraId="3CF6617D">
      <w:pPr>
        <w:snapToGrid w:val="0"/>
        <w:spacing w:before="120" w:beforeLines="50" w:after="50" w:line="360" w:lineRule="exact"/>
        <w:rPr>
          <w:rFonts w:ascii="Arial" w:hAnsi="Arial" w:cs="Arial"/>
          <w:color w:val="auto"/>
          <w:sz w:val="24"/>
          <w:highlight w:val="none"/>
        </w:rPr>
      </w:pPr>
    </w:p>
    <w:p w14:paraId="5C1A8DBB">
      <w:pPr>
        <w:snapToGrid w:val="0"/>
        <w:spacing w:before="120" w:beforeLines="50" w:after="50" w:line="360" w:lineRule="exact"/>
        <w:jc w:val="center"/>
        <w:rPr>
          <w:rFonts w:ascii="Arial" w:hAnsi="Arial" w:cs="Arial"/>
          <w:bCs/>
          <w:color w:val="auto"/>
          <w:sz w:val="24"/>
          <w:highlight w:val="none"/>
        </w:rPr>
      </w:pPr>
    </w:p>
    <w:p w14:paraId="68551424">
      <w:pPr>
        <w:snapToGrid w:val="0"/>
        <w:spacing w:before="120"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电子投标文件</w:t>
      </w:r>
    </w:p>
    <w:p w14:paraId="257374BF">
      <w:pPr>
        <w:snapToGrid w:val="0"/>
        <w:spacing w:before="120" w:beforeLines="50" w:after="50" w:line="360" w:lineRule="exact"/>
        <w:jc w:val="center"/>
        <w:rPr>
          <w:rFonts w:ascii="Arial" w:hAnsi="Arial" w:cs="Arial"/>
          <w:b/>
          <w:bCs/>
          <w:color w:val="auto"/>
          <w:sz w:val="44"/>
          <w:szCs w:val="44"/>
          <w:highlight w:val="none"/>
        </w:rPr>
      </w:pPr>
    </w:p>
    <w:p w14:paraId="453A054D">
      <w:pPr>
        <w:snapToGrid w:val="0"/>
        <w:spacing w:before="120" w:beforeLines="50" w:after="50" w:line="360" w:lineRule="exact"/>
        <w:jc w:val="center"/>
        <w:rPr>
          <w:rFonts w:ascii="Arial" w:hAnsi="Arial" w:cs="Arial"/>
          <w:b/>
          <w:bCs/>
          <w:color w:val="auto"/>
          <w:sz w:val="44"/>
          <w:szCs w:val="44"/>
          <w:highlight w:val="none"/>
        </w:rPr>
      </w:pPr>
    </w:p>
    <w:p w14:paraId="3748ABBC">
      <w:pPr>
        <w:snapToGrid w:val="0"/>
        <w:spacing w:before="120" w:beforeLines="50" w:after="50" w:line="360" w:lineRule="exact"/>
        <w:jc w:val="center"/>
        <w:rPr>
          <w:rFonts w:ascii="Arial" w:hAnsi="Arial" w:cs="Arial"/>
          <w:b/>
          <w:bCs/>
          <w:color w:val="auto"/>
          <w:sz w:val="44"/>
          <w:szCs w:val="44"/>
          <w:highlight w:val="none"/>
        </w:rPr>
      </w:pPr>
      <w:r>
        <w:rPr>
          <w:rFonts w:ascii="Arial" w:hAnsi="Arial" w:cs="Arial"/>
          <w:b/>
          <w:bCs/>
          <w:color w:val="auto"/>
          <w:sz w:val="44"/>
          <w:szCs w:val="44"/>
          <w:highlight w:val="none"/>
        </w:rPr>
        <w:t>报价文件</w:t>
      </w:r>
    </w:p>
    <w:p w14:paraId="0BC1137E">
      <w:pPr>
        <w:snapToGrid w:val="0"/>
        <w:spacing w:before="120" w:beforeLines="50" w:after="50" w:line="360" w:lineRule="exact"/>
        <w:rPr>
          <w:rFonts w:ascii="Arial" w:hAnsi="Arial" w:cs="Arial"/>
          <w:bCs/>
          <w:color w:val="auto"/>
          <w:sz w:val="24"/>
          <w:highlight w:val="none"/>
        </w:rPr>
      </w:pPr>
    </w:p>
    <w:p w14:paraId="556404FB">
      <w:pPr>
        <w:snapToGrid w:val="0"/>
        <w:spacing w:before="120" w:beforeLines="50" w:after="50" w:line="360" w:lineRule="exact"/>
        <w:rPr>
          <w:rFonts w:ascii="Arial" w:hAnsi="Arial" w:cs="Arial"/>
          <w:bCs/>
          <w:color w:val="auto"/>
          <w:sz w:val="24"/>
          <w:highlight w:val="none"/>
        </w:rPr>
      </w:pPr>
    </w:p>
    <w:p w14:paraId="6E516AAE">
      <w:pPr>
        <w:snapToGrid w:val="0"/>
        <w:spacing w:before="120" w:beforeLines="50" w:after="50" w:line="360" w:lineRule="exact"/>
        <w:rPr>
          <w:rFonts w:ascii="Arial" w:hAnsi="Arial" w:cs="Arial"/>
          <w:bCs/>
          <w:color w:val="auto"/>
          <w:sz w:val="24"/>
          <w:highlight w:val="none"/>
        </w:rPr>
      </w:pPr>
    </w:p>
    <w:p w14:paraId="0D523DB4">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 xml:space="preserve">项目名称： </w:t>
      </w:r>
    </w:p>
    <w:p w14:paraId="7CF6F4C1">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项目编号：</w:t>
      </w:r>
    </w:p>
    <w:p w14:paraId="49607240">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分标号：（若无留空或写“/”）</w:t>
      </w:r>
    </w:p>
    <w:p w14:paraId="3DDAD23B">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供应商名称：</w:t>
      </w:r>
    </w:p>
    <w:p w14:paraId="2E53CAC7">
      <w:pPr>
        <w:snapToGrid w:val="0"/>
        <w:spacing w:before="120" w:beforeLines="50" w:after="50" w:line="360" w:lineRule="exact"/>
        <w:ind w:firstLine="720" w:firstLineChars="300"/>
        <w:rPr>
          <w:rFonts w:ascii="Arial" w:hAnsi="Arial" w:cs="Arial"/>
          <w:bCs/>
          <w:color w:val="auto"/>
          <w:sz w:val="24"/>
          <w:highlight w:val="none"/>
        </w:rPr>
      </w:pPr>
      <w:r>
        <w:rPr>
          <w:rFonts w:ascii="Arial" w:hAnsi="Arial" w:cs="Arial"/>
          <w:bCs/>
          <w:color w:val="auto"/>
          <w:sz w:val="24"/>
          <w:highlight w:val="none"/>
        </w:rPr>
        <w:t>供应商地址：</w:t>
      </w:r>
    </w:p>
    <w:p w14:paraId="7866E5EA">
      <w:pPr>
        <w:snapToGrid w:val="0"/>
        <w:spacing w:before="120" w:beforeLines="50" w:after="50" w:line="360" w:lineRule="exact"/>
        <w:ind w:firstLine="720" w:firstLineChars="300"/>
        <w:rPr>
          <w:rFonts w:ascii="Arial" w:hAnsi="Arial" w:cs="Arial"/>
          <w:bCs/>
          <w:color w:val="auto"/>
          <w:sz w:val="24"/>
          <w:highlight w:val="none"/>
        </w:rPr>
      </w:pPr>
    </w:p>
    <w:p w14:paraId="56835803">
      <w:pPr>
        <w:pStyle w:val="7"/>
        <w:snapToGrid w:val="0"/>
        <w:spacing w:before="50" w:after="50" w:line="360" w:lineRule="exact"/>
        <w:ind w:firstLine="960" w:firstLineChars="400"/>
        <w:rPr>
          <w:rFonts w:ascii="Arial" w:hAnsi="Arial" w:cs="Arial"/>
          <w:bCs/>
          <w:color w:val="auto"/>
          <w:sz w:val="24"/>
          <w:szCs w:val="24"/>
          <w:highlight w:val="none"/>
        </w:rPr>
      </w:pPr>
    </w:p>
    <w:p w14:paraId="7621C99A">
      <w:pPr>
        <w:snapToGrid w:val="0"/>
        <w:spacing w:before="120" w:beforeLines="50" w:after="50" w:line="360" w:lineRule="exact"/>
        <w:jc w:val="center"/>
        <w:rPr>
          <w:rFonts w:ascii="Arial" w:hAnsi="Arial" w:cs="Arial"/>
          <w:color w:val="auto"/>
          <w:sz w:val="24"/>
          <w:highlight w:val="none"/>
        </w:rPr>
      </w:pPr>
      <w:r>
        <w:rPr>
          <w:rFonts w:ascii="Arial" w:hAnsi="Arial" w:cs="Arial"/>
          <w:color w:val="auto"/>
          <w:sz w:val="24"/>
          <w:highlight w:val="none"/>
        </w:rPr>
        <w:t xml:space="preserve">                        年  月  日</w:t>
      </w:r>
    </w:p>
    <w:p w14:paraId="24AC9B2A">
      <w:pPr>
        <w:rPr>
          <w:rFonts w:ascii="Arial" w:hAnsi="Arial" w:cs="Arial"/>
          <w:color w:val="auto"/>
          <w:highlight w:val="none"/>
        </w:rPr>
      </w:pPr>
    </w:p>
    <w:p w14:paraId="242ECCEB">
      <w:pPr>
        <w:jc w:val="center"/>
        <w:rPr>
          <w:rFonts w:ascii="Arial" w:hAnsi="Arial" w:cs="Arial"/>
          <w:b/>
          <w:bCs/>
          <w:color w:val="auto"/>
          <w:szCs w:val="21"/>
          <w:highlight w:val="none"/>
        </w:rPr>
      </w:pPr>
      <w:r>
        <w:rPr>
          <w:rFonts w:ascii="Arial" w:hAnsi="Arial" w:cs="Arial"/>
          <w:b/>
          <w:color w:val="auto"/>
          <w:szCs w:val="21"/>
          <w:highlight w:val="none"/>
        </w:rPr>
        <w:br w:type="page"/>
      </w:r>
      <w:r>
        <w:rPr>
          <w:rFonts w:ascii="Arial" w:hAnsi="Arial" w:cs="Arial"/>
          <w:b/>
          <w:bCs/>
          <w:color w:val="auto"/>
          <w:szCs w:val="21"/>
          <w:highlight w:val="none"/>
        </w:rPr>
        <w:t xml:space="preserve"> </w:t>
      </w:r>
    </w:p>
    <w:p w14:paraId="5F114974">
      <w:pPr>
        <w:snapToGrid w:val="0"/>
        <w:spacing w:before="120" w:beforeLines="50" w:after="50" w:line="440" w:lineRule="exact"/>
        <w:jc w:val="center"/>
        <w:outlineLvl w:val="1"/>
        <w:rPr>
          <w:rFonts w:ascii="Arial" w:hAnsi="Arial" w:cs="Arial"/>
          <w:bCs/>
          <w:color w:val="auto"/>
          <w:sz w:val="24"/>
          <w:highlight w:val="none"/>
        </w:rPr>
      </w:pPr>
      <w:r>
        <w:rPr>
          <w:rFonts w:ascii="Arial" w:hAnsi="Arial" w:cs="Arial"/>
          <w:bCs/>
          <w:color w:val="auto"/>
          <w:sz w:val="24"/>
          <w:highlight w:val="none"/>
        </w:rPr>
        <w:t xml:space="preserve"> 报价文件</w:t>
      </w:r>
    </w:p>
    <w:p w14:paraId="15E1CF29">
      <w:pPr>
        <w:jc w:val="center"/>
        <w:rPr>
          <w:rFonts w:ascii="Arial" w:hAnsi="Arial" w:cs="Arial"/>
          <w:b/>
          <w:bCs/>
          <w:color w:val="auto"/>
          <w:szCs w:val="21"/>
          <w:highlight w:val="none"/>
        </w:rPr>
      </w:pPr>
    </w:p>
    <w:p w14:paraId="4B92D6B9">
      <w:pPr>
        <w:rPr>
          <w:rFonts w:ascii="Arial" w:hAnsi="Arial" w:cs="Arial"/>
          <w:color w:val="auto"/>
          <w:highlight w:val="none"/>
        </w:rPr>
      </w:pPr>
      <w:r>
        <w:rPr>
          <w:rFonts w:ascii="Arial" w:hAnsi="Arial" w:cs="Arial"/>
          <w:color w:val="auto"/>
          <w:highlight w:val="none"/>
        </w:rPr>
        <w:t>1．投标函格式：</w:t>
      </w:r>
    </w:p>
    <w:p w14:paraId="3286DA1A">
      <w:pPr>
        <w:rPr>
          <w:rFonts w:ascii="Arial" w:hAnsi="Arial" w:cs="Arial"/>
          <w:color w:val="auto"/>
          <w:highlight w:val="none"/>
        </w:rPr>
      </w:pPr>
    </w:p>
    <w:p w14:paraId="795E2A43">
      <w:pPr>
        <w:jc w:val="center"/>
        <w:rPr>
          <w:rFonts w:ascii="Arial" w:hAnsi="Arial" w:cs="Arial"/>
          <w:b/>
          <w:color w:val="auto"/>
          <w:szCs w:val="21"/>
          <w:highlight w:val="none"/>
        </w:rPr>
      </w:pPr>
      <w:r>
        <w:rPr>
          <w:rFonts w:ascii="Arial" w:hAnsi="Arial" w:cs="Arial"/>
          <w:b/>
          <w:color w:val="auto"/>
          <w:szCs w:val="21"/>
          <w:highlight w:val="none"/>
        </w:rPr>
        <w:t>投 标 函</w:t>
      </w:r>
    </w:p>
    <w:p w14:paraId="115E57FE">
      <w:pPr>
        <w:rPr>
          <w:rFonts w:ascii="Arial" w:hAnsi="Arial" w:cs="Arial"/>
          <w:b/>
          <w:color w:val="auto"/>
          <w:szCs w:val="21"/>
          <w:highlight w:val="none"/>
        </w:rPr>
      </w:pPr>
    </w:p>
    <w:p w14:paraId="1014C33D">
      <w:pPr>
        <w:spacing w:line="360" w:lineRule="auto"/>
        <w:rPr>
          <w:rFonts w:ascii="Arial" w:hAnsi="Arial" w:cs="Arial"/>
          <w:color w:val="auto"/>
          <w:szCs w:val="21"/>
          <w:highlight w:val="none"/>
        </w:rPr>
      </w:pPr>
      <w:r>
        <w:rPr>
          <w:rFonts w:ascii="Arial" w:hAnsi="Arial" w:cs="Arial"/>
          <w:color w:val="auto"/>
          <w:szCs w:val="21"/>
          <w:highlight w:val="none"/>
        </w:rPr>
        <w:t>致：</w:t>
      </w:r>
      <w:bookmarkStart w:id="170" w:name="_Hlk19051378"/>
      <w:r>
        <w:rPr>
          <w:rFonts w:ascii="Arial" w:hAnsi="Arial" w:cs="Arial"/>
          <w:color w:val="auto"/>
          <w:szCs w:val="21"/>
          <w:highlight w:val="none"/>
        </w:rPr>
        <w:t>_</w:t>
      </w:r>
      <w:r>
        <w:rPr>
          <w:rFonts w:ascii="Arial" w:hAnsi="Arial" w:cs="Arial"/>
          <w:i/>
          <w:iCs/>
          <w:color w:val="auto"/>
          <w:szCs w:val="21"/>
          <w:highlight w:val="none"/>
          <w:u w:val="single"/>
        </w:rPr>
        <w:t>（采购人名称）</w:t>
      </w:r>
      <w:r>
        <w:rPr>
          <w:rFonts w:ascii="Arial" w:hAnsi="Arial" w:cs="Arial"/>
          <w:i/>
          <w:iCs/>
          <w:color w:val="auto"/>
          <w:szCs w:val="21"/>
          <w:highlight w:val="none"/>
        </w:rPr>
        <w:t>_</w:t>
      </w:r>
      <w:bookmarkEnd w:id="170"/>
      <w:r>
        <w:rPr>
          <w:rFonts w:ascii="Arial" w:hAnsi="Arial" w:cs="Arial"/>
          <w:color w:val="auto"/>
          <w:szCs w:val="21"/>
          <w:highlight w:val="none"/>
        </w:rPr>
        <w:t>：</w:t>
      </w:r>
    </w:p>
    <w:p w14:paraId="677620C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我方已仔细研究了</w:t>
      </w:r>
      <w:bookmarkStart w:id="171" w:name="_Hlk19051388"/>
      <w:r>
        <w:rPr>
          <w:rFonts w:ascii="Arial" w:hAnsi="Arial" w:cs="Arial"/>
          <w:i/>
          <w:iCs/>
          <w:color w:val="auto"/>
          <w:szCs w:val="21"/>
          <w:highlight w:val="none"/>
          <w:u w:val="single"/>
        </w:rPr>
        <w:t>（项目名称）</w:t>
      </w:r>
      <w:bookmarkEnd w:id="171"/>
      <w:r>
        <w:rPr>
          <w:rFonts w:ascii="Arial" w:hAnsi="Arial" w:cs="Arial"/>
          <w:color w:val="auto"/>
          <w:szCs w:val="21"/>
          <w:highlight w:val="none"/>
        </w:rPr>
        <w:t>的招标文件的全部内容。签字代表</w:t>
      </w:r>
      <w:bookmarkStart w:id="172" w:name="_Hlk19051393"/>
      <w:r>
        <w:rPr>
          <w:rFonts w:ascii="Arial" w:hAnsi="Arial" w:cs="Arial"/>
          <w:i/>
          <w:iCs/>
          <w:color w:val="auto"/>
          <w:szCs w:val="21"/>
          <w:highlight w:val="none"/>
          <w:u w:val="single"/>
        </w:rPr>
        <w:t>（授权代表姓名）</w:t>
      </w:r>
      <w:bookmarkEnd w:id="172"/>
      <w:r>
        <w:rPr>
          <w:rFonts w:ascii="Arial" w:hAnsi="Arial" w:cs="Arial"/>
          <w:color w:val="auto"/>
          <w:szCs w:val="21"/>
          <w:highlight w:val="none"/>
        </w:rPr>
        <w:t>经正式授权并代表供应商_</w:t>
      </w:r>
      <w:bookmarkStart w:id="173" w:name="_Hlk19051402"/>
      <w:r>
        <w:rPr>
          <w:rFonts w:ascii="Arial" w:hAnsi="Arial" w:cs="Arial"/>
          <w:i/>
          <w:iCs/>
          <w:color w:val="auto"/>
          <w:szCs w:val="21"/>
          <w:highlight w:val="none"/>
          <w:u w:val="single"/>
        </w:rPr>
        <w:t>（供应商名称）</w:t>
      </w:r>
      <w:bookmarkEnd w:id="173"/>
      <w:r>
        <w:rPr>
          <w:rFonts w:ascii="Arial" w:hAnsi="Arial" w:cs="Arial"/>
          <w:color w:val="auto"/>
          <w:szCs w:val="21"/>
          <w:highlight w:val="none"/>
        </w:rPr>
        <w:t>提交投标文件。</w:t>
      </w:r>
    </w:p>
    <w:p w14:paraId="0A5AD47D">
      <w:pPr>
        <w:spacing w:line="360" w:lineRule="auto"/>
        <w:rPr>
          <w:rFonts w:ascii="Arial" w:hAnsi="Arial" w:cs="Arial"/>
          <w:color w:val="auto"/>
          <w:szCs w:val="21"/>
          <w:highlight w:val="none"/>
        </w:rPr>
      </w:pPr>
      <w:r>
        <w:rPr>
          <w:rFonts w:ascii="Arial" w:hAnsi="Arial" w:cs="Arial"/>
          <w:color w:val="auto"/>
          <w:szCs w:val="21"/>
          <w:highlight w:val="none"/>
        </w:rPr>
        <w:t>据此函，签字代表宣布同意如下：</w:t>
      </w:r>
    </w:p>
    <w:p w14:paraId="695E6157">
      <w:pPr>
        <w:spacing w:line="360" w:lineRule="auto"/>
        <w:rPr>
          <w:rFonts w:ascii="Arial" w:hAnsi="Arial" w:cs="Arial"/>
          <w:color w:val="auto"/>
          <w:szCs w:val="21"/>
          <w:highlight w:val="none"/>
        </w:rPr>
      </w:pPr>
      <w:r>
        <w:rPr>
          <w:rFonts w:ascii="Arial" w:hAnsi="Arial" w:cs="Arial"/>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1E86850F">
      <w:pPr>
        <w:spacing w:line="360" w:lineRule="auto"/>
        <w:rPr>
          <w:rFonts w:ascii="Arial" w:hAnsi="Arial" w:cs="Arial"/>
          <w:color w:val="auto"/>
          <w:szCs w:val="21"/>
          <w:highlight w:val="none"/>
        </w:rPr>
      </w:pPr>
      <w:r>
        <w:rPr>
          <w:rFonts w:ascii="Arial" w:hAnsi="Arial" w:cs="Arial"/>
          <w:color w:val="auto"/>
          <w:szCs w:val="21"/>
          <w:highlight w:val="none"/>
        </w:rPr>
        <w:t>（2）我方在投标之前已经与贵方进行了充分的沟通，完全理解并接受招标文件的各项规定和要求，对招标文件的合理性、合法性不再有异议。</w:t>
      </w:r>
    </w:p>
    <w:p w14:paraId="7728B41E">
      <w:pPr>
        <w:spacing w:line="360" w:lineRule="auto"/>
        <w:rPr>
          <w:rFonts w:ascii="Arial" w:hAnsi="Arial" w:cs="Arial"/>
          <w:color w:val="auto"/>
          <w:szCs w:val="21"/>
          <w:highlight w:val="none"/>
        </w:rPr>
      </w:pPr>
      <w:r>
        <w:rPr>
          <w:rFonts w:ascii="Arial" w:hAnsi="Arial" w:cs="Arial"/>
          <w:color w:val="auto"/>
          <w:szCs w:val="21"/>
          <w:highlight w:val="none"/>
        </w:rPr>
        <w:t>（3）我方承诺本投标有效期为第三章供应商须知规定的期限。</w:t>
      </w:r>
    </w:p>
    <w:p w14:paraId="62A7E157">
      <w:pPr>
        <w:spacing w:line="360" w:lineRule="auto"/>
        <w:rPr>
          <w:rFonts w:ascii="Arial" w:hAnsi="Arial" w:cs="Arial"/>
          <w:color w:val="auto"/>
          <w:szCs w:val="21"/>
          <w:highlight w:val="none"/>
        </w:rPr>
      </w:pPr>
      <w:r>
        <w:rPr>
          <w:rFonts w:ascii="Arial" w:hAnsi="Arial" w:cs="Arial"/>
          <w:color w:val="auto"/>
          <w:szCs w:val="21"/>
          <w:highlight w:val="none"/>
        </w:rPr>
        <w:t>（4）如中标，本投标文件至本项目合同履行完毕止均保持有效，我方将按“招标文件”及政府采购法律、法规的规定履行合同责任和义务，并承诺不</w:t>
      </w:r>
      <w:r>
        <w:rPr>
          <w:rFonts w:hint="eastAsia" w:ascii="Arial" w:hAnsi="Arial" w:cs="Arial"/>
          <w:color w:val="auto"/>
          <w:szCs w:val="21"/>
          <w:highlight w:val="none"/>
          <w:lang w:val="en-US" w:eastAsia="zh-CN"/>
        </w:rPr>
        <w:t>按招标文件要求进行</w:t>
      </w:r>
      <w:r>
        <w:rPr>
          <w:rFonts w:ascii="Arial" w:hAnsi="Arial" w:cs="Arial"/>
          <w:color w:val="auto"/>
          <w:szCs w:val="21"/>
          <w:highlight w:val="none"/>
        </w:rPr>
        <w:t>分包及转包他人。</w:t>
      </w:r>
    </w:p>
    <w:p w14:paraId="1E50FC6F">
      <w:pPr>
        <w:spacing w:line="360" w:lineRule="auto"/>
        <w:rPr>
          <w:rFonts w:ascii="Arial" w:hAnsi="Arial" w:cs="Arial"/>
          <w:color w:val="auto"/>
          <w:szCs w:val="21"/>
          <w:highlight w:val="none"/>
        </w:rPr>
      </w:pPr>
      <w:r>
        <w:rPr>
          <w:rFonts w:ascii="Arial" w:hAnsi="Arial" w:cs="Arial"/>
          <w:color w:val="auto"/>
          <w:szCs w:val="21"/>
          <w:highlight w:val="none"/>
        </w:rPr>
        <w:t>（5）我方同意按照贵方要求提供与投标有关的一切数据或资料。</w:t>
      </w:r>
    </w:p>
    <w:p w14:paraId="626DD242">
      <w:pPr>
        <w:spacing w:line="360" w:lineRule="auto"/>
        <w:rPr>
          <w:rFonts w:ascii="Arial" w:hAnsi="Arial" w:cs="Arial"/>
          <w:color w:val="auto"/>
          <w:szCs w:val="21"/>
          <w:highlight w:val="none"/>
        </w:rPr>
      </w:pPr>
      <w:r>
        <w:rPr>
          <w:rFonts w:ascii="Arial" w:hAnsi="Arial" w:cs="Arial"/>
          <w:color w:val="auto"/>
          <w:szCs w:val="21"/>
          <w:highlight w:val="none"/>
        </w:rPr>
        <w:t>（6）与本项目有关的一切正式往来信函请寄：</w:t>
      </w:r>
    </w:p>
    <w:p w14:paraId="406544C0">
      <w:pPr>
        <w:spacing w:line="360" w:lineRule="auto"/>
        <w:rPr>
          <w:rFonts w:ascii="Arial" w:hAnsi="Arial" w:cs="Arial"/>
          <w:color w:val="auto"/>
          <w:szCs w:val="21"/>
          <w:highlight w:val="none"/>
        </w:rPr>
      </w:pPr>
      <w:r>
        <w:rPr>
          <w:rFonts w:ascii="Arial" w:hAnsi="Arial" w:cs="Arial"/>
          <w:color w:val="auto"/>
          <w:szCs w:val="21"/>
          <w:highlight w:val="none"/>
        </w:rPr>
        <w:t>地址：</w:t>
      </w:r>
      <w:r>
        <w:rPr>
          <w:rFonts w:ascii="Arial" w:hAnsi="Arial" w:cs="Arial"/>
          <w:color w:val="auto"/>
          <w:szCs w:val="21"/>
          <w:highlight w:val="none"/>
          <w:u w:val="single"/>
        </w:rPr>
        <w:t xml:space="preserve">                      </w:t>
      </w:r>
      <w:r>
        <w:rPr>
          <w:rFonts w:ascii="Arial" w:hAnsi="Arial" w:cs="Arial"/>
          <w:color w:val="auto"/>
          <w:szCs w:val="21"/>
          <w:highlight w:val="none"/>
        </w:rPr>
        <w:t>邮编：</w:t>
      </w:r>
      <w:r>
        <w:rPr>
          <w:rFonts w:ascii="Arial" w:hAnsi="Arial" w:cs="Arial"/>
          <w:color w:val="auto"/>
          <w:szCs w:val="21"/>
          <w:highlight w:val="none"/>
          <w:u w:val="single"/>
        </w:rPr>
        <w:t xml:space="preserve">         </w:t>
      </w:r>
      <w:r>
        <w:rPr>
          <w:rFonts w:ascii="Arial" w:hAnsi="Arial" w:cs="Arial"/>
          <w:color w:val="auto"/>
          <w:szCs w:val="21"/>
          <w:highlight w:val="none"/>
        </w:rPr>
        <w:t xml:space="preserve">  电话：</w:t>
      </w:r>
      <w:r>
        <w:rPr>
          <w:rFonts w:ascii="Arial" w:hAnsi="Arial" w:cs="Arial"/>
          <w:color w:val="auto"/>
          <w:szCs w:val="21"/>
          <w:highlight w:val="none"/>
          <w:u w:val="single"/>
        </w:rPr>
        <w:t xml:space="preserve">            </w:t>
      </w:r>
    </w:p>
    <w:p w14:paraId="4171CF38">
      <w:pPr>
        <w:spacing w:line="360" w:lineRule="auto"/>
        <w:rPr>
          <w:rFonts w:ascii="Arial" w:hAnsi="Arial" w:cs="Arial"/>
          <w:color w:val="auto"/>
          <w:szCs w:val="21"/>
          <w:highlight w:val="none"/>
        </w:rPr>
      </w:pPr>
      <w:r>
        <w:rPr>
          <w:rFonts w:ascii="Arial" w:hAnsi="Arial" w:cs="Arial"/>
          <w:color w:val="auto"/>
          <w:szCs w:val="21"/>
          <w:highlight w:val="none"/>
        </w:rPr>
        <w:t>传真：</w:t>
      </w:r>
      <w:r>
        <w:rPr>
          <w:rFonts w:ascii="Arial" w:hAnsi="Arial" w:cs="Arial"/>
          <w:color w:val="auto"/>
          <w:szCs w:val="21"/>
          <w:highlight w:val="none"/>
          <w:u w:val="single"/>
        </w:rPr>
        <w:t xml:space="preserve">           </w:t>
      </w:r>
      <w:r>
        <w:rPr>
          <w:rFonts w:ascii="Arial" w:hAnsi="Arial" w:cs="Arial"/>
          <w:color w:val="auto"/>
          <w:szCs w:val="21"/>
          <w:highlight w:val="none"/>
        </w:rPr>
        <w:t xml:space="preserve">  </w:t>
      </w:r>
    </w:p>
    <w:p w14:paraId="3720BA68">
      <w:pPr>
        <w:spacing w:line="360" w:lineRule="auto"/>
        <w:rPr>
          <w:rFonts w:ascii="Arial" w:hAnsi="Arial" w:cs="Arial"/>
          <w:color w:val="auto"/>
          <w:szCs w:val="21"/>
          <w:highlight w:val="none"/>
        </w:rPr>
      </w:pPr>
      <w:r>
        <w:rPr>
          <w:rFonts w:ascii="Arial" w:hAnsi="Arial" w:cs="Arial"/>
          <w:color w:val="auto"/>
          <w:szCs w:val="21"/>
          <w:highlight w:val="none"/>
        </w:rPr>
        <w:t>供应商代表姓名</w:t>
      </w:r>
      <w:r>
        <w:rPr>
          <w:rFonts w:ascii="Arial" w:hAnsi="Arial" w:cs="Arial"/>
          <w:color w:val="auto"/>
          <w:szCs w:val="21"/>
          <w:highlight w:val="none"/>
          <w:u w:val="single"/>
        </w:rPr>
        <w:t xml:space="preserve">         </w:t>
      </w:r>
      <w:r>
        <w:rPr>
          <w:rFonts w:ascii="Arial" w:hAnsi="Arial" w:cs="Arial"/>
          <w:color w:val="auto"/>
          <w:szCs w:val="21"/>
          <w:highlight w:val="none"/>
        </w:rPr>
        <w:t xml:space="preserve">  职务：</w:t>
      </w:r>
      <w:r>
        <w:rPr>
          <w:rFonts w:ascii="Arial" w:hAnsi="Arial" w:cs="Arial"/>
          <w:color w:val="auto"/>
          <w:szCs w:val="21"/>
          <w:highlight w:val="none"/>
          <w:u w:val="single"/>
        </w:rPr>
        <w:t xml:space="preserve">          </w:t>
      </w:r>
      <w:r>
        <w:rPr>
          <w:rFonts w:ascii="Arial" w:hAnsi="Arial" w:cs="Arial"/>
          <w:color w:val="auto"/>
          <w:szCs w:val="21"/>
          <w:highlight w:val="none"/>
        </w:rPr>
        <w:t>邮箱：</w:t>
      </w:r>
      <w:r>
        <w:rPr>
          <w:rFonts w:ascii="Arial" w:hAnsi="Arial" w:cs="Arial"/>
          <w:color w:val="auto"/>
          <w:szCs w:val="21"/>
          <w:highlight w:val="none"/>
          <w:u w:val="single"/>
        </w:rPr>
        <w:t xml:space="preserve">              </w:t>
      </w:r>
      <w:r>
        <w:rPr>
          <w:rFonts w:ascii="Arial" w:hAnsi="Arial" w:cs="Arial"/>
          <w:color w:val="auto"/>
          <w:szCs w:val="21"/>
          <w:highlight w:val="none"/>
        </w:rPr>
        <w:t xml:space="preserve"> </w:t>
      </w:r>
    </w:p>
    <w:p w14:paraId="203E41A4">
      <w:pPr>
        <w:spacing w:line="360" w:lineRule="auto"/>
        <w:rPr>
          <w:rFonts w:ascii="Arial" w:hAnsi="Arial" w:cs="Arial"/>
          <w:color w:val="auto"/>
          <w:szCs w:val="21"/>
          <w:highlight w:val="none"/>
        </w:rPr>
      </w:pPr>
    </w:p>
    <w:p w14:paraId="0105B816">
      <w:pPr>
        <w:spacing w:line="360" w:lineRule="auto"/>
        <w:rPr>
          <w:rFonts w:ascii="Arial" w:hAnsi="Arial" w:cs="Arial"/>
          <w:color w:val="auto"/>
          <w:szCs w:val="21"/>
          <w:highlight w:val="none"/>
        </w:rPr>
      </w:pPr>
    </w:p>
    <w:p w14:paraId="1DBDD9E5">
      <w:pPr>
        <w:spacing w:line="360" w:lineRule="auto"/>
        <w:rPr>
          <w:rFonts w:ascii="Arial" w:hAnsi="Arial" w:cs="Arial"/>
          <w:color w:val="auto"/>
          <w:szCs w:val="21"/>
          <w:highlight w:val="none"/>
        </w:rPr>
      </w:pPr>
    </w:p>
    <w:p w14:paraId="5E61B45A">
      <w:pPr>
        <w:spacing w:line="360" w:lineRule="auto"/>
        <w:rPr>
          <w:rFonts w:ascii="Arial" w:hAnsi="Arial" w:cs="Arial"/>
          <w:color w:val="auto"/>
          <w:szCs w:val="21"/>
          <w:highlight w:val="none"/>
        </w:rPr>
      </w:pPr>
      <w:r>
        <w:rPr>
          <w:rFonts w:ascii="Arial" w:hAnsi="Arial" w:cs="Arial"/>
          <w:color w:val="auto"/>
          <w:szCs w:val="21"/>
          <w:highlight w:val="none"/>
        </w:rPr>
        <w:t>供应商名称(电子签章)：</w:t>
      </w:r>
    </w:p>
    <w:p w14:paraId="47FBE8DA">
      <w:pPr>
        <w:spacing w:line="360" w:lineRule="auto"/>
        <w:rPr>
          <w:rFonts w:ascii="Arial" w:hAnsi="Arial" w:cs="Arial"/>
          <w:color w:val="auto"/>
          <w:szCs w:val="21"/>
          <w:highlight w:val="none"/>
        </w:rPr>
      </w:pPr>
      <w:r>
        <w:rPr>
          <w:rFonts w:ascii="Arial" w:hAnsi="Arial" w:cs="Arial"/>
          <w:color w:val="auto"/>
          <w:szCs w:val="21"/>
          <w:highlight w:val="none"/>
        </w:rPr>
        <w:t>日期：</w:t>
      </w:r>
      <w:r>
        <w:rPr>
          <w:rFonts w:ascii="Arial" w:hAnsi="Arial" w:cs="Arial"/>
          <w:color w:val="auto"/>
          <w:szCs w:val="21"/>
          <w:highlight w:val="none"/>
          <w:u w:val="single"/>
        </w:rPr>
        <w:t xml:space="preserve">      </w:t>
      </w:r>
      <w:r>
        <w:rPr>
          <w:rFonts w:ascii="Arial" w:hAnsi="Arial" w:cs="Arial"/>
          <w:color w:val="auto"/>
          <w:szCs w:val="21"/>
          <w:highlight w:val="none"/>
        </w:rPr>
        <w:t>年</w:t>
      </w:r>
      <w:r>
        <w:rPr>
          <w:rFonts w:ascii="Arial" w:hAnsi="Arial" w:cs="Arial"/>
          <w:color w:val="auto"/>
          <w:szCs w:val="21"/>
          <w:highlight w:val="none"/>
          <w:u w:val="single"/>
        </w:rPr>
        <w:t xml:space="preserve">    </w:t>
      </w:r>
      <w:r>
        <w:rPr>
          <w:rFonts w:ascii="Arial" w:hAnsi="Arial" w:cs="Arial"/>
          <w:color w:val="auto"/>
          <w:szCs w:val="21"/>
          <w:highlight w:val="none"/>
        </w:rPr>
        <w:t>月</w:t>
      </w:r>
      <w:r>
        <w:rPr>
          <w:rFonts w:ascii="Arial" w:hAnsi="Arial" w:cs="Arial"/>
          <w:color w:val="auto"/>
          <w:szCs w:val="21"/>
          <w:highlight w:val="none"/>
          <w:u w:val="single"/>
        </w:rPr>
        <w:t xml:space="preserve">   </w:t>
      </w:r>
      <w:r>
        <w:rPr>
          <w:rFonts w:ascii="Arial" w:hAnsi="Arial" w:cs="Arial"/>
          <w:color w:val="auto"/>
          <w:szCs w:val="21"/>
          <w:highlight w:val="none"/>
        </w:rPr>
        <w:t>日</w:t>
      </w:r>
    </w:p>
    <w:p w14:paraId="0158E70D">
      <w:pPr>
        <w:rPr>
          <w:rFonts w:ascii="Arial" w:hAnsi="Arial" w:cs="Arial"/>
          <w:color w:val="auto"/>
          <w:highlight w:val="none"/>
        </w:rPr>
      </w:pPr>
      <w:r>
        <w:rPr>
          <w:rFonts w:ascii="Arial" w:hAnsi="Arial" w:cs="Arial"/>
          <w:b/>
          <w:color w:val="auto"/>
          <w:szCs w:val="21"/>
          <w:highlight w:val="none"/>
        </w:rPr>
        <w:br w:type="page"/>
      </w:r>
      <w:r>
        <w:rPr>
          <w:rFonts w:ascii="Arial" w:hAnsi="Arial" w:cs="Arial"/>
          <w:color w:val="auto"/>
          <w:highlight w:val="none"/>
        </w:rPr>
        <w:t>2．投标报价明细表格式：</w:t>
      </w:r>
    </w:p>
    <w:p w14:paraId="3ECA076C">
      <w:pPr>
        <w:jc w:val="center"/>
        <w:rPr>
          <w:rFonts w:ascii="Arial" w:hAnsi="Arial" w:cs="Arial"/>
          <w:b/>
          <w:color w:val="auto"/>
          <w:szCs w:val="21"/>
          <w:highlight w:val="none"/>
        </w:rPr>
      </w:pPr>
    </w:p>
    <w:p w14:paraId="75E97D61">
      <w:pPr>
        <w:widowControl/>
        <w:jc w:val="center"/>
        <w:outlineLvl w:val="1"/>
        <w:rPr>
          <w:rFonts w:ascii="Arial" w:hAnsi="Arial" w:cs="Arial"/>
          <w:color w:val="auto"/>
          <w:sz w:val="28"/>
          <w:szCs w:val="28"/>
          <w:highlight w:val="none"/>
        </w:rPr>
      </w:pPr>
      <w:r>
        <w:rPr>
          <w:rFonts w:ascii="Arial" w:hAnsi="Arial" w:cs="Arial"/>
          <w:color w:val="auto"/>
          <w:sz w:val="24"/>
          <w:highlight w:val="none"/>
        </w:rPr>
        <w:t>投标报价明细表</w:t>
      </w:r>
    </w:p>
    <w:tbl>
      <w:tblPr>
        <w:tblStyle w:val="52"/>
        <w:tblW w:w="9435" w:type="dxa"/>
        <w:jc w:val="center"/>
        <w:tblLayout w:type="fixed"/>
        <w:tblCellMar>
          <w:top w:w="0" w:type="dxa"/>
          <w:left w:w="108" w:type="dxa"/>
          <w:bottom w:w="0" w:type="dxa"/>
          <w:right w:w="108" w:type="dxa"/>
        </w:tblCellMar>
      </w:tblPr>
      <w:tblGrid>
        <w:gridCol w:w="523"/>
        <w:gridCol w:w="930"/>
        <w:gridCol w:w="1222"/>
        <w:gridCol w:w="1440"/>
        <w:gridCol w:w="2246"/>
        <w:gridCol w:w="1684"/>
        <w:gridCol w:w="1390"/>
      </w:tblGrid>
      <w:tr w14:paraId="113F047E">
        <w:tblPrEx>
          <w:tblCellMar>
            <w:top w:w="0" w:type="dxa"/>
            <w:left w:w="108" w:type="dxa"/>
            <w:bottom w:w="0" w:type="dxa"/>
            <w:right w:w="108" w:type="dxa"/>
          </w:tblCellMar>
        </w:tblPrEx>
        <w:trPr>
          <w:trHeight w:val="1265" w:hRule="atLeast"/>
          <w:jc w:val="center"/>
        </w:trPr>
        <w:tc>
          <w:tcPr>
            <w:tcW w:w="523" w:type="dxa"/>
            <w:tcBorders>
              <w:top w:val="single" w:color="000000" w:sz="4" w:space="0"/>
              <w:left w:val="single" w:color="000000" w:sz="4" w:space="0"/>
              <w:bottom w:val="single" w:color="000000" w:sz="4" w:space="0"/>
              <w:right w:val="single" w:color="000000" w:sz="4" w:space="0"/>
            </w:tcBorders>
            <w:noWrap w:val="0"/>
            <w:vAlign w:val="center"/>
          </w:tcPr>
          <w:p w14:paraId="468CE80F">
            <w:pPr>
              <w:widowControl/>
              <w:jc w:val="center"/>
              <w:textAlignment w:val="center"/>
              <w:rPr>
                <w:rFonts w:ascii="Arial" w:hAnsi="Arial" w:eastAsia="宋体" w:cs="Arial"/>
                <w:b/>
                <w:bCs/>
                <w:color w:val="auto"/>
                <w:sz w:val="21"/>
                <w:szCs w:val="21"/>
                <w:highlight w:val="none"/>
              </w:rPr>
            </w:pPr>
            <w:r>
              <w:rPr>
                <w:rFonts w:ascii="Arial" w:hAnsi="Arial" w:eastAsia="宋体" w:cs="Arial"/>
                <w:b/>
                <w:bCs/>
                <w:color w:val="auto"/>
                <w:kern w:val="0"/>
                <w:sz w:val="21"/>
                <w:szCs w:val="21"/>
                <w:highlight w:val="none"/>
                <w:lang w:bidi="ar"/>
              </w:rPr>
              <w:t>序号</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BD0E2E8">
            <w:pPr>
              <w:widowControl/>
              <w:jc w:val="center"/>
              <w:textAlignment w:val="center"/>
              <w:rPr>
                <w:rFonts w:ascii="Arial" w:hAnsi="Arial" w:eastAsia="宋体" w:cs="Arial"/>
                <w:b/>
                <w:bCs/>
                <w:color w:val="auto"/>
                <w:sz w:val="21"/>
                <w:szCs w:val="21"/>
                <w:highlight w:val="none"/>
              </w:rPr>
            </w:pPr>
            <w:r>
              <w:rPr>
                <w:rFonts w:ascii="Arial" w:hAnsi="Arial" w:eastAsia="宋体" w:cs="Arial"/>
                <w:b/>
                <w:bCs/>
                <w:color w:val="auto"/>
                <w:kern w:val="0"/>
                <w:sz w:val="21"/>
                <w:szCs w:val="21"/>
                <w:highlight w:val="none"/>
                <w:lang w:bidi="ar"/>
              </w:rPr>
              <w:t>标段名称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855AB81">
            <w:pPr>
              <w:widowControl/>
              <w:jc w:val="center"/>
              <w:textAlignment w:val="center"/>
              <w:rPr>
                <w:rFonts w:ascii="Arial" w:hAnsi="Arial" w:eastAsia="宋体" w:cs="Arial"/>
                <w:b/>
                <w:bCs/>
                <w:color w:val="auto"/>
                <w:sz w:val="21"/>
                <w:szCs w:val="21"/>
                <w:highlight w:val="none"/>
              </w:rPr>
            </w:pPr>
            <w:r>
              <w:rPr>
                <w:rFonts w:hint="eastAsia" w:ascii="Arial" w:hAnsi="Arial" w:eastAsia="宋体" w:cs="Arial"/>
                <w:b/>
                <w:bCs/>
                <w:color w:val="auto"/>
                <w:kern w:val="0"/>
                <w:sz w:val="21"/>
                <w:szCs w:val="21"/>
                <w:highlight w:val="none"/>
                <w:lang w:bidi="ar"/>
              </w:rPr>
              <w:t>服务期</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7676809">
            <w:pPr>
              <w:widowControl/>
              <w:jc w:val="center"/>
              <w:textAlignment w:val="center"/>
              <w:rPr>
                <w:rFonts w:ascii="Arial" w:hAnsi="Arial" w:eastAsia="宋体" w:cs="Arial"/>
                <w:b/>
                <w:bCs/>
                <w:color w:val="auto"/>
                <w:sz w:val="21"/>
                <w:szCs w:val="21"/>
                <w:highlight w:val="none"/>
              </w:rPr>
            </w:pPr>
            <w:r>
              <w:rPr>
                <w:rFonts w:ascii="Arial" w:hAnsi="Arial" w:eastAsia="宋体" w:cs="Arial"/>
                <w:b/>
                <w:bCs/>
                <w:color w:val="auto"/>
                <w:kern w:val="0"/>
                <w:sz w:val="21"/>
                <w:szCs w:val="21"/>
                <w:highlight w:val="none"/>
                <w:lang w:bidi="ar"/>
              </w:rPr>
              <w:t>项目名称</w:t>
            </w: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74AB2878">
            <w:pPr>
              <w:widowControl/>
              <w:jc w:val="center"/>
              <w:textAlignment w:val="center"/>
              <w:rPr>
                <w:rFonts w:ascii="Arial" w:hAnsi="Arial" w:eastAsia="宋体" w:cs="Arial"/>
                <w:b/>
                <w:bCs/>
                <w:color w:val="auto"/>
                <w:sz w:val="21"/>
                <w:szCs w:val="21"/>
                <w:highlight w:val="none"/>
              </w:rPr>
            </w:pPr>
            <w:r>
              <w:rPr>
                <w:rFonts w:ascii="Arial" w:hAnsi="Arial" w:eastAsia="宋体" w:cs="Arial"/>
                <w:b/>
                <w:bCs/>
                <w:color w:val="auto"/>
                <w:kern w:val="0"/>
                <w:sz w:val="21"/>
                <w:szCs w:val="21"/>
                <w:highlight w:val="none"/>
                <w:lang w:bidi="ar"/>
              </w:rPr>
              <w:t>标本名称</w:t>
            </w:r>
          </w:p>
        </w:tc>
        <w:tc>
          <w:tcPr>
            <w:tcW w:w="1684" w:type="dxa"/>
            <w:tcBorders>
              <w:top w:val="single" w:color="000000" w:sz="4" w:space="0"/>
              <w:left w:val="single" w:color="000000" w:sz="4" w:space="0"/>
              <w:bottom w:val="single" w:color="000000" w:sz="4" w:space="0"/>
              <w:right w:val="single" w:color="000000" w:sz="4" w:space="0"/>
            </w:tcBorders>
            <w:noWrap w:val="0"/>
            <w:vAlign w:val="center"/>
          </w:tcPr>
          <w:p w14:paraId="27E6DD45">
            <w:pPr>
              <w:widowControl/>
              <w:jc w:val="center"/>
              <w:textAlignment w:val="center"/>
              <w:rPr>
                <w:rFonts w:ascii="Arial" w:hAnsi="Arial" w:eastAsia="宋体" w:cs="Arial"/>
                <w:b/>
                <w:bCs/>
                <w:color w:val="auto"/>
                <w:sz w:val="21"/>
                <w:szCs w:val="21"/>
                <w:highlight w:val="none"/>
              </w:rPr>
            </w:pPr>
            <w:r>
              <w:rPr>
                <w:rFonts w:ascii="Arial" w:hAnsi="Arial" w:eastAsia="宋体" w:cs="Arial"/>
                <w:b/>
                <w:bCs/>
                <w:color w:val="auto"/>
                <w:kern w:val="0"/>
                <w:sz w:val="21"/>
                <w:szCs w:val="21"/>
                <w:highlight w:val="none"/>
                <w:lang w:bidi="ar"/>
              </w:rPr>
              <w:t>计算单位</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26AB3223">
            <w:pPr>
              <w:widowControl/>
              <w:jc w:val="center"/>
              <w:textAlignment w:val="center"/>
              <w:rPr>
                <w:rFonts w:ascii="Arial" w:hAnsi="Arial" w:eastAsia="宋体" w:cs="Arial"/>
                <w:b/>
                <w:bCs/>
                <w:color w:val="auto"/>
                <w:szCs w:val="21"/>
                <w:highlight w:val="none"/>
              </w:rPr>
            </w:pPr>
            <w:r>
              <w:rPr>
                <w:rFonts w:ascii="Arial" w:hAnsi="Arial" w:eastAsia="宋体" w:cs="Arial"/>
                <w:b/>
                <w:bCs/>
                <w:color w:val="auto"/>
                <w:kern w:val="0"/>
                <w:szCs w:val="21"/>
                <w:highlight w:val="none"/>
                <w:lang w:bidi="ar"/>
              </w:rPr>
              <w:t>单项报价（元）</w:t>
            </w:r>
          </w:p>
        </w:tc>
      </w:tr>
      <w:tr w14:paraId="0B851C5C">
        <w:tblPrEx>
          <w:tblCellMar>
            <w:top w:w="0" w:type="dxa"/>
            <w:left w:w="108" w:type="dxa"/>
            <w:bottom w:w="0" w:type="dxa"/>
            <w:right w:w="108" w:type="dxa"/>
          </w:tblCellMar>
        </w:tblPrEx>
        <w:trPr>
          <w:trHeight w:val="414" w:hRule="atLeast"/>
          <w:jc w:val="center"/>
        </w:trPr>
        <w:tc>
          <w:tcPr>
            <w:tcW w:w="523" w:type="dxa"/>
            <w:vMerge w:val="restart"/>
            <w:tcBorders>
              <w:top w:val="single" w:color="000000" w:sz="4" w:space="0"/>
              <w:left w:val="single" w:color="000000" w:sz="4" w:space="0"/>
              <w:bottom w:val="single" w:color="000000" w:sz="4" w:space="0"/>
              <w:right w:val="single" w:color="000000" w:sz="4" w:space="0"/>
            </w:tcBorders>
            <w:noWrap w:val="0"/>
            <w:vAlign w:val="center"/>
          </w:tcPr>
          <w:p w14:paraId="761C055C">
            <w:pPr>
              <w:widowControl/>
              <w:jc w:val="center"/>
              <w:textAlignment w:val="center"/>
              <w:rPr>
                <w:rFonts w:ascii="Arial" w:hAnsi="Arial" w:eastAsia="宋体" w:cs="Arial"/>
                <w:color w:val="auto"/>
                <w:sz w:val="21"/>
                <w:szCs w:val="21"/>
                <w:highlight w:val="none"/>
              </w:rPr>
            </w:pPr>
          </w:p>
        </w:tc>
        <w:tc>
          <w:tcPr>
            <w:tcW w:w="930" w:type="dxa"/>
            <w:vMerge w:val="restart"/>
            <w:tcBorders>
              <w:top w:val="single" w:color="000000" w:sz="4" w:space="0"/>
              <w:left w:val="single" w:color="000000" w:sz="4" w:space="0"/>
              <w:bottom w:val="single" w:color="000000" w:sz="4" w:space="0"/>
              <w:right w:val="single" w:color="000000" w:sz="4" w:space="0"/>
            </w:tcBorders>
            <w:noWrap w:val="0"/>
            <w:vAlign w:val="center"/>
          </w:tcPr>
          <w:p w14:paraId="2DE95570">
            <w:pPr>
              <w:widowControl/>
              <w:jc w:val="center"/>
              <w:textAlignment w:val="center"/>
              <w:rPr>
                <w:rFonts w:ascii="Arial" w:hAnsi="Arial" w:eastAsia="宋体" w:cs="Arial"/>
                <w:color w:val="auto"/>
                <w:sz w:val="21"/>
                <w:szCs w:val="21"/>
                <w:highlight w:val="none"/>
              </w:rPr>
            </w:pPr>
          </w:p>
        </w:tc>
        <w:tc>
          <w:tcPr>
            <w:tcW w:w="12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EEC1738">
            <w:pPr>
              <w:widowControl/>
              <w:jc w:val="center"/>
              <w:textAlignment w:val="center"/>
              <w:rPr>
                <w:rFonts w:ascii="Arial" w:hAnsi="Arial" w:eastAsia="宋体" w:cs="Arial"/>
                <w:color w:val="auto"/>
                <w:sz w:val="21"/>
                <w:szCs w:val="21"/>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9013E18">
            <w:pPr>
              <w:widowControl/>
              <w:jc w:val="left"/>
              <w:textAlignment w:val="center"/>
              <w:rPr>
                <w:rFonts w:ascii="Arial" w:hAnsi="Arial" w:eastAsia="宋体" w:cs="Arial"/>
                <w:color w:val="auto"/>
                <w:sz w:val="21"/>
                <w:szCs w:val="21"/>
                <w:highlight w:val="none"/>
              </w:rPr>
            </w:pP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608F13F0">
            <w:pPr>
              <w:widowControl/>
              <w:jc w:val="left"/>
              <w:textAlignment w:val="center"/>
              <w:rPr>
                <w:rFonts w:ascii="Arial" w:hAnsi="Arial" w:eastAsia="宋体" w:cs="Arial"/>
                <w:color w:val="auto"/>
                <w:sz w:val="21"/>
                <w:szCs w:val="21"/>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center"/>
          </w:tcPr>
          <w:p w14:paraId="39FB51B4">
            <w:pPr>
              <w:widowControl/>
              <w:jc w:val="center"/>
              <w:textAlignment w:val="center"/>
              <w:rPr>
                <w:rFonts w:ascii="Arial" w:hAnsi="Arial" w:eastAsia="宋体" w:cs="Arial"/>
                <w:color w:val="auto"/>
                <w:sz w:val="21"/>
                <w:szCs w:val="21"/>
                <w:highlight w:val="none"/>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3B8DFB35">
            <w:pPr>
              <w:widowControl/>
              <w:jc w:val="center"/>
              <w:textAlignment w:val="center"/>
              <w:rPr>
                <w:rFonts w:ascii="Arial" w:hAnsi="Arial" w:eastAsia="宋体" w:cs="Arial"/>
                <w:color w:val="auto"/>
                <w:szCs w:val="21"/>
                <w:highlight w:val="none"/>
              </w:rPr>
            </w:pPr>
          </w:p>
        </w:tc>
      </w:tr>
      <w:tr w14:paraId="50CD9E0A">
        <w:tblPrEx>
          <w:tblCellMar>
            <w:top w:w="0" w:type="dxa"/>
            <w:left w:w="108" w:type="dxa"/>
            <w:bottom w:w="0" w:type="dxa"/>
            <w:right w:w="108" w:type="dxa"/>
          </w:tblCellMar>
        </w:tblPrEx>
        <w:trPr>
          <w:trHeight w:val="531"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8BCB5D">
            <w:pPr>
              <w:jc w:val="center"/>
              <w:rPr>
                <w:rFonts w:ascii="Arial" w:hAnsi="Arial" w:eastAsia="宋体" w:cs="Arial"/>
                <w:color w:val="auto"/>
                <w:sz w:val="21"/>
                <w:szCs w:val="21"/>
                <w:highlight w:val="none"/>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61D37">
            <w:pPr>
              <w:jc w:val="center"/>
              <w:rPr>
                <w:rFonts w:ascii="Arial" w:hAnsi="Arial" w:eastAsia="宋体" w:cs="Arial"/>
                <w:color w:val="auto"/>
                <w:sz w:val="21"/>
                <w:szCs w:val="21"/>
                <w:highlight w:val="none"/>
              </w:rPr>
            </w:pPr>
          </w:p>
        </w:tc>
        <w:tc>
          <w:tcPr>
            <w:tcW w:w="12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B0BE71">
            <w:pPr>
              <w:jc w:val="center"/>
              <w:rPr>
                <w:rFonts w:ascii="Arial" w:hAnsi="Arial" w:eastAsia="宋体" w:cs="Arial"/>
                <w:color w:val="auto"/>
                <w:sz w:val="21"/>
                <w:szCs w:val="21"/>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3EF8AA5">
            <w:pPr>
              <w:widowControl/>
              <w:jc w:val="left"/>
              <w:textAlignment w:val="center"/>
              <w:rPr>
                <w:rFonts w:ascii="Arial" w:hAnsi="Arial" w:eastAsia="宋体" w:cs="Arial"/>
                <w:color w:val="auto"/>
                <w:sz w:val="21"/>
                <w:szCs w:val="21"/>
                <w:highlight w:val="none"/>
              </w:rPr>
            </w:pP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26C7A5D1">
            <w:pPr>
              <w:widowControl/>
              <w:jc w:val="left"/>
              <w:textAlignment w:val="center"/>
              <w:rPr>
                <w:rFonts w:ascii="Arial" w:hAnsi="Arial" w:eastAsia="宋体" w:cs="Arial"/>
                <w:color w:val="auto"/>
                <w:sz w:val="21"/>
                <w:szCs w:val="21"/>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center"/>
          </w:tcPr>
          <w:p w14:paraId="7B843B1B">
            <w:pPr>
              <w:widowControl/>
              <w:jc w:val="center"/>
              <w:textAlignment w:val="center"/>
              <w:rPr>
                <w:rFonts w:ascii="Arial" w:hAnsi="Arial" w:eastAsia="宋体" w:cs="Arial"/>
                <w:color w:val="auto"/>
                <w:sz w:val="21"/>
                <w:szCs w:val="21"/>
                <w:highlight w:val="none"/>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2A7D0232">
            <w:pPr>
              <w:widowControl/>
              <w:jc w:val="center"/>
              <w:textAlignment w:val="center"/>
              <w:rPr>
                <w:rFonts w:ascii="Arial" w:hAnsi="Arial" w:eastAsia="宋体" w:cs="Arial"/>
                <w:color w:val="auto"/>
                <w:szCs w:val="21"/>
                <w:highlight w:val="none"/>
              </w:rPr>
            </w:pPr>
          </w:p>
        </w:tc>
      </w:tr>
      <w:tr w14:paraId="50C42475">
        <w:tblPrEx>
          <w:tblCellMar>
            <w:top w:w="0" w:type="dxa"/>
            <w:left w:w="108" w:type="dxa"/>
            <w:bottom w:w="0" w:type="dxa"/>
            <w:right w:w="108" w:type="dxa"/>
          </w:tblCellMar>
        </w:tblPrEx>
        <w:trPr>
          <w:trHeight w:val="565"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4DCE28">
            <w:pPr>
              <w:jc w:val="center"/>
              <w:rPr>
                <w:rFonts w:ascii="Arial" w:hAnsi="Arial" w:eastAsia="宋体" w:cs="Arial"/>
                <w:color w:val="auto"/>
                <w:sz w:val="21"/>
                <w:szCs w:val="21"/>
                <w:highlight w:val="none"/>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1BB4D5">
            <w:pPr>
              <w:jc w:val="center"/>
              <w:rPr>
                <w:rFonts w:ascii="Arial" w:hAnsi="Arial" w:eastAsia="宋体" w:cs="Arial"/>
                <w:color w:val="auto"/>
                <w:sz w:val="21"/>
                <w:szCs w:val="21"/>
                <w:highlight w:val="none"/>
              </w:rPr>
            </w:pPr>
          </w:p>
        </w:tc>
        <w:tc>
          <w:tcPr>
            <w:tcW w:w="12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4F16C7">
            <w:pPr>
              <w:jc w:val="center"/>
              <w:rPr>
                <w:rFonts w:ascii="Arial" w:hAnsi="Arial" w:eastAsia="宋体" w:cs="Arial"/>
                <w:color w:val="auto"/>
                <w:sz w:val="21"/>
                <w:szCs w:val="21"/>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EB49B6E">
            <w:pPr>
              <w:widowControl/>
              <w:jc w:val="left"/>
              <w:textAlignment w:val="center"/>
              <w:rPr>
                <w:rFonts w:ascii="Arial" w:hAnsi="Arial" w:eastAsia="宋体" w:cs="Arial"/>
                <w:color w:val="auto"/>
                <w:sz w:val="21"/>
                <w:szCs w:val="21"/>
                <w:highlight w:val="none"/>
              </w:rPr>
            </w:pP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00282164">
            <w:pPr>
              <w:widowControl/>
              <w:jc w:val="left"/>
              <w:textAlignment w:val="center"/>
              <w:rPr>
                <w:rFonts w:ascii="Arial" w:hAnsi="Arial" w:eastAsia="宋体" w:cs="Arial"/>
                <w:color w:val="auto"/>
                <w:sz w:val="21"/>
                <w:szCs w:val="21"/>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center"/>
          </w:tcPr>
          <w:p w14:paraId="5E71E330">
            <w:pPr>
              <w:widowControl/>
              <w:jc w:val="center"/>
              <w:textAlignment w:val="center"/>
              <w:rPr>
                <w:rFonts w:ascii="Arial" w:hAnsi="Arial" w:eastAsia="宋体" w:cs="Arial"/>
                <w:color w:val="auto"/>
                <w:sz w:val="21"/>
                <w:szCs w:val="21"/>
                <w:highlight w:val="none"/>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26E30407">
            <w:pPr>
              <w:widowControl/>
              <w:jc w:val="center"/>
              <w:textAlignment w:val="center"/>
              <w:rPr>
                <w:rFonts w:ascii="Arial" w:hAnsi="Arial" w:eastAsia="宋体" w:cs="Arial"/>
                <w:color w:val="auto"/>
                <w:szCs w:val="21"/>
                <w:highlight w:val="none"/>
              </w:rPr>
            </w:pPr>
          </w:p>
        </w:tc>
      </w:tr>
      <w:tr w14:paraId="3017785B">
        <w:tblPrEx>
          <w:tblCellMar>
            <w:top w:w="0" w:type="dxa"/>
            <w:left w:w="108" w:type="dxa"/>
            <w:bottom w:w="0" w:type="dxa"/>
            <w:right w:w="108" w:type="dxa"/>
          </w:tblCellMar>
        </w:tblPrEx>
        <w:trPr>
          <w:trHeight w:val="667"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A69CCB">
            <w:pPr>
              <w:jc w:val="center"/>
              <w:rPr>
                <w:rFonts w:ascii="Arial" w:hAnsi="Arial" w:eastAsia="宋体" w:cs="Arial"/>
                <w:color w:val="auto"/>
                <w:sz w:val="21"/>
                <w:szCs w:val="21"/>
                <w:highlight w:val="none"/>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C039EA">
            <w:pPr>
              <w:jc w:val="center"/>
              <w:rPr>
                <w:rFonts w:ascii="Arial" w:hAnsi="Arial" w:eastAsia="宋体" w:cs="Arial"/>
                <w:color w:val="auto"/>
                <w:sz w:val="21"/>
                <w:szCs w:val="21"/>
                <w:highlight w:val="none"/>
              </w:rPr>
            </w:pPr>
          </w:p>
        </w:tc>
        <w:tc>
          <w:tcPr>
            <w:tcW w:w="12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353E9">
            <w:pPr>
              <w:jc w:val="center"/>
              <w:rPr>
                <w:rFonts w:ascii="Arial" w:hAnsi="Arial" w:eastAsia="宋体" w:cs="Arial"/>
                <w:color w:val="auto"/>
                <w:sz w:val="21"/>
                <w:szCs w:val="21"/>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8C17DEB">
            <w:pPr>
              <w:widowControl/>
              <w:jc w:val="left"/>
              <w:textAlignment w:val="center"/>
              <w:rPr>
                <w:rFonts w:ascii="Arial" w:hAnsi="Arial" w:eastAsia="宋体" w:cs="Arial"/>
                <w:color w:val="auto"/>
                <w:sz w:val="21"/>
                <w:szCs w:val="21"/>
                <w:highlight w:val="none"/>
              </w:rPr>
            </w:pP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3ADD683F">
            <w:pPr>
              <w:widowControl/>
              <w:jc w:val="left"/>
              <w:textAlignment w:val="center"/>
              <w:rPr>
                <w:rFonts w:ascii="Arial" w:hAnsi="Arial" w:eastAsia="宋体" w:cs="Arial"/>
                <w:color w:val="auto"/>
                <w:sz w:val="21"/>
                <w:szCs w:val="21"/>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center"/>
          </w:tcPr>
          <w:p w14:paraId="7C3881A7">
            <w:pPr>
              <w:widowControl/>
              <w:jc w:val="center"/>
              <w:textAlignment w:val="center"/>
              <w:rPr>
                <w:rFonts w:ascii="Arial" w:hAnsi="Arial" w:eastAsia="宋体" w:cs="Arial"/>
                <w:color w:val="auto"/>
                <w:sz w:val="21"/>
                <w:szCs w:val="21"/>
                <w:highlight w:val="none"/>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24BD7CA4">
            <w:pPr>
              <w:widowControl/>
              <w:jc w:val="center"/>
              <w:textAlignment w:val="center"/>
              <w:rPr>
                <w:rFonts w:ascii="Arial" w:hAnsi="Arial" w:eastAsia="宋体" w:cs="Arial"/>
                <w:color w:val="auto"/>
                <w:szCs w:val="21"/>
                <w:highlight w:val="none"/>
              </w:rPr>
            </w:pPr>
          </w:p>
        </w:tc>
      </w:tr>
      <w:tr w14:paraId="4CC3762F">
        <w:tblPrEx>
          <w:tblCellMar>
            <w:top w:w="0" w:type="dxa"/>
            <w:left w:w="108" w:type="dxa"/>
            <w:bottom w:w="0" w:type="dxa"/>
            <w:right w:w="108" w:type="dxa"/>
          </w:tblCellMar>
        </w:tblPrEx>
        <w:trPr>
          <w:trHeight w:val="849" w:hRule="atLeast"/>
          <w:jc w:val="center"/>
        </w:trPr>
        <w:tc>
          <w:tcPr>
            <w:tcW w:w="5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A46AD9">
            <w:pPr>
              <w:jc w:val="center"/>
              <w:rPr>
                <w:rFonts w:ascii="Arial" w:hAnsi="Arial" w:eastAsia="宋体" w:cs="Arial"/>
                <w:color w:val="auto"/>
                <w:sz w:val="21"/>
                <w:szCs w:val="21"/>
                <w:highlight w:val="none"/>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A94A67">
            <w:pPr>
              <w:jc w:val="center"/>
              <w:rPr>
                <w:rFonts w:ascii="Arial" w:hAnsi="Arial" w:eastAsia="宋体" w:cs="Arial"/>
                <w:color w:val="auto"/>
                <w:sz w:val="21"/>
                <w:szCs w:val="21"/>
                <w:highlight w:val="none"/>
              </w:rPr>
            </w:pPr>
          </w:p>
        </w:tc>
        <w:tc>
          <w:tcPr>
            <w:tcW w:w="12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A2FB84">
            <w:pPr>
              <w:jc w:val="center"/>
              <w:rPr>
                <w:rFonts w:ascii="Arial" w:hAnsi="Arial" w:eastAsia="宋体" w:cs="Arial"/>
                <w:color w:val="auto"/>
                <w:sz w:val="21"/>
                <w:szCs w:val="21"/>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84D617E">
            <w:pPr>
              <w:widowControl/>
              <w:jc w:val="left"/>
              <w:textAlignment w:val="center"/>
              <w:rPr>
                <w:rFonts w:ascii="Arial" w:hAnsi="Arial" w:eastAsia="宋体" w:cs="Arial"/>
                <w:color w:val="auto"/>
                <w:sz w:val="21"/>
                <w:szCs w:val="21"/>
                <w:highlight w:val="none"/>
              </w:rPr>
            </w:pPr>
            <w:r>
              <w:rPr>
                <w:rFonts w:ascii="Arial" w:hAnsi="Arial" w:eastAsia="宋体" w:cs="Arial"/>
                <w:color w:val="auto"/>
                <w:sz w:val="21"/>
                <w:szCs w:val="21"/>
                <w:highlight w:val="none"/>
              </w:rPr>
              <w:t>......</w:t>
            </w: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293E9880">
            <w:pPr>
              <w:widowControl/>
              <w:jc w:val="left"/>
              <w:textAlignment w:val="center"/>
              <w:rPr>
                <w:rFonts w:ascii="Arial" w:hAnsi="Arial" w:eastAsia="宋体" w:cs="Arial"/>
                <w:color w:val="auto"/>
                <w:sz w:val="21"/>
                <w:szCs w:val="21"/>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center"/>
          </w:tcPr>
          <w:p w14:paraId="27DA350D">
            <w:pPr>
              <w:widowControl/>
              <w:jc w:val="center"/>
              <w:textAlignment w:val="center"/>
              <w:rPr>
                <w:rFonts w:ascii="Arial" w:hAnsi="Arial" w:eastAsia="宋体" w:cs="Arial"/>
                <w:color w:val="auto"/>
                <w:sz w:val="21"/>
                <w:szCs w:val="21"/>
                <w:highlight w:val="none"/>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1D5D1A08">
            <w:pPr>
              <w:widowControl/>
              <w:jc w:val="center"/>
              <w:textAlignment w:val="center"/>
              <w:rPr>
                <w:rFonts w:ascii="Arial" w:hAnsi="Arial" w:eastAsia="宋体" w:cs="Arial"/>
                <w:color w:val="auto"/>
                <w:szCs w:val="21"/>
                <w:highlight w:val="none"/>
              </w:rPr>
            </w:pPr>
          </w:p>
        </w:tc>
      </w:tr>
      <w:tr w14:paraId="0D2E3544">
        <w:tblPrEx>
          <w:tblCellMar>
            <w:top w:w="0" w:type="dxa"/>
            <w:left w:w="108" w:type="dxa"/>
            <w:bottom w:w="0" w:type="dxa"/>
            <w:right w:w="108" w:type="dxa"/>
          </w:tblCellMar>
        </w:tblPrEx>
        <w:trPr>
          <w:trHeight w:val="849" w:hRule="atLeast"/>
          <w:jc w:val="center"/>
        </w:trPr>
        <w:tc>
          <w:tcPr>
            <w:tcW w:w="8045" w:type="dxa"/>
            <w:gridSpan w:val="6"/>
            <w:tcBorders>
              <w:top w:val="single" w:color="000000" w:sz="4" w:space="0"/>
              <w:left w:val="single" w:color="000000" w:sz="4" w:space="0"/>
              <w:bottom w:val="single" w:color="000000" w:sz="4" w:space="0"/>
              <w:right w:val="single" w:color="000000" w:sz="4" w:space="0"/>
            </w:tcBorders>
            <w:noWrap w:val="0"/>
            <w:vAlign w:val="center"/>
          </w:tcPr>
          <w:p w14:paraId="791E12D1">
            <w:pPr>
              <w:widowControl/>
              <w:jc w:val="right"/>
              <w:textAlignment w:val="center"/>
              <w:rPr>
                <w:rFonts w:ascii="Arial" w:hAnsi="Arial" w:eastAsia="宋体" w:cs="Arial"/>
                <w:color w:val="auto"/>
                <w:sz w:val="21"/>
                <w:szCs w:val="21"/>
                <w:highlight w:val="none"/>
              </w:rPr>
            </w:pPr>
            <w:r>
              <w:rPr>
                <w:rFonts w:ascii="Arial" w:hAnsi="Arial" w:eastAsia="宋体" w:cs="Arial"/>
                <w:b/>
                <w:bCs/>
                <w:color w:val="auto"/>
                <w:sz w:val="21"/>
                <w:szCs w:val="21"/>
                <w:highlight w:val="none"/>
              </w:rPr>
              <w:t>合计：</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6A020399">
            <w:pPr>
              <w:widowControl/>
              <w:jc w:val="center"/>
              <w:textAlignment w:val="center"/>
              <w:rPr>
                <w:rFonts w:ascii="Arial" w:hAnsi="Arial" w:eastAsia="宋体" w:cs="Arial"/>
                <w:color w:val="auto"/>
                <w:szCs w:val="21"/>
                <w:highlight w:val="none"/>
              </w:rPr>
            </w:pPr>
          </w:p>
        </w:tc>
      </w:tr>
    </w:tbl>
    <w:p w14:paraId="66514AD9">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 xml:space="preserve">供应商名称（电子签章）：                          </w:t>
      </w:r>
    </w:p>
    <w:p w14:paraId="0DAA4857">
      <w:pPr>
        <w:snapToGrid w:val="0"/>
        <w:spacing w:before="50" w:after="120" w:afterLines="50"/>
        <w:jc w:val="left"/>
        <w:rPr>
          <w:rFonts w:ascii="Arial" w:hAnsi="Arial" w:cs="Arial"/>
          <w:color w:val="auto"/>
          <w:szCs w:val="21"/>
          <w:highlight w:val="none"/>
        </w:rPr>
      </w:pPr>
      <w:r>
        <w:rPr>
          <w:rFonts w:ascii="Arial" w:hAnsi="Arial" w:cs="Arial"/>
          <w:color w:val="auto"/>
          <w:szCs w:val="21"/>
          <w:highlight w:val="none"/>
        </w:rPr>
        <w:t xml:space="preserve">日  期：         年   月   日 </w:t>
      </w:r>
    </w:p>
    <w:p w14:paraId="7B9EC1D7">
      <w:pPr>
        <w:snapToGrid w:val="0"/>
        <w:spacing w:before="50" w:after="120" w:afterLines="50"/>
        <w:jc w:val="left"/>
        <w:rPr>
          <w:color w:val="auto"/>
          <w:szCs w:val="21"/>
          <w:highlight w:val="none"/>
        </w:rPr>
      </w:pPr>
      <w:r>
        <w:rPr>
          <w:rFonts w:ascii="Arial" w:hAnsi="Arial" w:cs="Arial"/>
          <w:color w:val="auto"/>
          <w:szCs w:val="21"/>
          <w:highlight w:val="none"/>
        </w:rPr>
        <w:br w:type="page"/>
      </w:r>
      <w:r>
        <w:rPr>
          <w:rFonts w:hint="eastAsia" w:ascii="Arial" w:hAnsi="Arial" w:cs="Arial"/>
          <w:color w:val="auto"/>
          <w:szCs w:val="21"/>
          <w:highlight w:val="none"/>
          <w:lang w:val="en-US" w:eastAsia="zh-CN"/>
        </w:rPr>
        <w:t>3</w:t>
      </w:r>
      <w:r>
        <w:rPr>
          <w:color w:val="auto"/>
          <w:szCs w:val="21"/>
          <w:highlight w:val="none"/>
        </w:rPr>
        <w:t>．过低报价合理性的说明。（如有）</w:t>
      </w:r>
    </w:p>
    <w:p w14:paraId="5A4B7E7A">
      <w:pPr>
        <w:spacing w:line="360" w:lineRule="auto"/>
        <w:ind w:firstLine="420" w:firstLineChars="200"/>
        <w:rPr>
          <w:rFonts w:hint="eastAsia"/>
          <w:color w:val="auto"/>
          <w:szCs w:val="21"/>
          <w:highlight w:val="none"/>
        </w:rPr>
      </w:pPr>
      <w:r>
        <w:rPr>
          <w:color w:val="auto"/>
          <w:szCs w:val="21"/>
          <w:highlight w:val="none"/>
        </w:rPr>
        <w:t>评审委员会认为的报价</w:t>
      </w:r>
      <w:r>
        <w:rPr>
          <w:rFonts w:hint="eastAsia"/>
          <w:color w:val="auto"/>
          <w:szCs w:val="21"/>
          <w:highlight w:val="none"/>
          <w:lang w:val="en-US" w:eastAsia="zh-CN"/>
        </w:rPr>
        <w:t>存在异常低价问题的情形</w:t>
      </w:r>
      <w:r>
        <w:rPr>
          <w:color w:val="auto"/>
          <w:szCs w:val="21"/>
          <w:highlight w:val="none"/>
        </w:rPr>
        <w:t>，供应商将被要求以书面方式提供</w:t>
      </w:r>
      <w:r>
        <w:rPr>
          <w:rFonts w:hint="eastAsia"/>
          <w:color w:val="auto"/>
          <w:szCs w:val="21"/>
          <w:highlight w:val="none"/>
          <w:lang w:val="en-US" w:eastAsia="zh-CN"/>
        </w:rPr>
        <w:t>项目具体成本测算等与报价合理性相关的书面说明及必要的证明材料</w:t>
      </w:r>
      <w:r>
        <w:rPr>
          <w:color w:val="auto"/>
          <w:szCs w:val="21"/>
          <w:highlight w:val="none"/>
        </w:rPr>
        <w:t>。为避免在评审现场因未能及时提供说明而导致被评审委员会作为无效投标，供应商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673098FD">
      <w:pPr>
        <w:pStyle w:val="142"/>
        <w:jc w:val="center"/>
        <w:rPr>
          <w:b/>
          <w:bCs/>
          <w:color w:val="auto"/>
          <w:highlight w:val="none"/>
        </w:rPr>
      </w:pPr>
      <w:bookmarkStart w:id="174" w:name="_Hlk211331823"/>
    </w:p>
    <w:p w14:paraId="544DFB3B">
      <w:pPr>
        <w:pStyle w:val="142"/>
        <w:jc w:val="center"/>
        <w:rPr>
          <w:color w:val="auto"/>
          <w:highlight w:val="none"/>
        </w:rPr>
      </w:pPr>
      <w:r>
        <w:rPr>
          <w:rFonts w:hint="eastAsia"/>
          <w:b/>
          <w:bCs/>
          <w:color w:val="auto"/>
          <w:highlight w:val="none"/>
          <w:lang w:val="en-US" w:eastAsia="zh-CN"/>
        </w:rPr>
        <w:t>产品成本测算表（参考格式）</w:t>
      </w:r>
    </w:p>
    <w:p w14:paraId="08518E40">
      <w:pPr>
        <w:spacing w:line="360" w:lineRule="auto"/>
        <w:rPr>
          <w:color w:val="auto"/>
          <w:highlight w:val="none"/>
        </w:rPr>
      </w:pPr>
    </w:p>
    <w:bookmarkEnd w:id="174"/>
    <w:tbl>
      <w:tblPr>
        <w:tblStyle w:val="52"/>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971C5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2D3F71A0">
            <w:pPr>
              <w:ind w:left="-105" w:leftChars="-50" w:right="-105" w:rightChars="-50"/>
              <w:jc w:val="center"/>
              <w:rPr>
                <w:rFonts w:ascii="Times New Roman" w:hAnsi="Times New Roman" w:eastAsia="宋体" w:cs="宋体"/>
                <w:b/>
                <w:color w:val="auto"/>
                <w:highlight w:val="none"/>
              </w:rPr>
            </w:pPr>
            <w:r>
              <w:rPr>
                <w:rFonts w:hint="eastAsia" w:ascii="Times New Roman" w:hAnsi="Times New Roman" w:eastAsia="宋体" w:cs="仿宋_GB2312"/>
                <w:b/>
                <w:color w:val="auto"/>
                <w:szCs w:val="24"/>
                <w:highlight w:val="none"/>
              </w:rPr>
              <w:t>序号</w:t>
            </w:r>
          </w:p>
        </w:tc>
        <w:tc>
          <w:tcPr>
            <w:tcW w:w="201" w:type="pct"/>
            <w:shd w:val="clear" w:color="C3BD96" w:themeColor="background2" w:themeShade="BF" w:fill="auto"/>
            <w:vAlign w:val="center"/>
          </w:tcPr>
          <w:p w14:paraId="104B6BA5">
            <w:pPr>
              <w:spacing w:line="360" w:lineRule="auto"/>
              <w:ind w:left="-48" w:leftChars="-23" w:right="-65" w:rightChars="-31"/>
              <w:jc w:val="center"/>
              <w:rPr>
                <w:rFonts w:ascii="Times New Roman" w:hAnsi="Times New Roman" w:eastAsia="宋体" w:cs="宋体"/>
                <w:b/>
                <w:color w:val="auto"/>
                <w:highlight w:val="none"/>
              </w:rPr>
            </w:pPr>
            <w:r>
              <w:rPr>
                <w:rFonts w:hint="eastAsia" w:ascii="Times New Roman" w:hAnsi="Times New Roman" w:eastAsia="宋体" w:cs="宋体"/>
                <w:b/>
                <w:color w:val="auto"/>
                <w:highlight w:val="none"/>
              </w:rPr>
              <w:t>名称</w:t>
            </w:r>
          </w:p>
        </w:tc>
        <w:tc>
          <w:tcPr>
            <w:tcW w:w="380" w:type="pct"/>
            <w:shd w:val="clear" w:color="C3BD96" w:themeColor="background2" w:themeShade="BF" w:fill="auto"/>
            <w:vAlign w:val="center"/>
          </w:tcPr>
          <w:p w14:paraId="57CD72C9">
            <w:pPr>
              <w:spacing w:line="360" w:lineRule="auto"/>
              <w:ind w:left="-48" w:leftChars="-23" w:right="-65" w:rightChars="-31"/>
              <w:jc w:val="center"/>
              <w:rPr>
                <w:rFonts w:ascii="Times New Roman" w:hAnsi="Times New Roman" w:eastAsia="宋体" w:cs="宋体"/>
                <w:b/>
                <w:color w:val="auto"/>
                <w:highlight w:val="none"/>
              </w:rPr>
            </w:pPr>
            <w:r>
              <w:rPr>
                <w:rFonts w:hint="eastAsia" w:ascii="Times New Roman" w:hAnsi="Times New Roman" w:eastAsia="宋体" w:cs="Times New Roman"/>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0C789BCD">
            <w:pPr>
              <w:spacing w:line="360" w:lineRule="auto"/>
              <w:ind w:left="-48" w:leftChars="-23" w:right="-65" w:rightChars="-31"/>
              <w:jc w:val="center"/>
              <w:rPr>
                <w:rFonts w:ascii="Times New Roman" w:hAnsi="Times New Roman" w:eastAsia="宋体" w:cs="宋体"/>
                <w:b/>
                <w:color w:val="auto"/>
                <w:highlight w:val="none"/>
              </w:rPr>
            </w:pPr>
            <w:r>
              <w:rPr>
                <w:rFonts w:hint="eastAsia" w:ascii="Times New Roman" w:hAnsi="Times New Roman" w:eastAsia="宋体"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122B74F6">
            <w:pPr>
              <w:spacing w:line="360" w:lineRule="auto"/>
              <w:ind w:left="-48" w:leftChars="-23" w:right="-65" w:rightChars="-31"/>
              <w:jc w:val="center"/>
              <w:rPr>
                <w:rFonts w:ascii="Times New Roman" w:hAnsi="Times New Roman" w:eastAsia="宋体" w:cs="宋体"/>
                <w:b/>
                <w:color w:val="auto"/>
                <w:highlight w:val="none"/>
              </w:rPr>
            </w:pPr>
            <w:r>
              <w:rPr>
                <w:rFonts w:hint="eastAsia" w:ascii="Times New Roman" w:hAnsi="Times New Roman" w:eastAsia="宋体" w:cs="宋体"/>
                <w:b/>
                <w:color w:val="auto"/>
                <w:highlight w:val="none"/>
                <w:lang w:val="en-US" w:eastAsia="zh-CN"/>
              </w:rPr>
              <w:t>报价</w:t>
            </w:r>
            <w:r>
              <w:rPr>
                <w:rFonts w:hint="eastAsia" w:ascii="Times New Roman" w:hAnsi="Times New Roman" w:eastAsia="宋体" w:cs="宋体"/>
                <w:b/>
                <w:color w:val="auto"/>
                <w:highlight w:val="none"/>
              </w:rPr>
              <w:t>单价（</w:t>
            </w:r>
            <w:r>
              <w:rPr>
                <w:rFonts w:ascii="Times New Roman" w:hAnsi="Times New Roman" w:eastAsia="宋体" w:cs="宋体"/>
                <w:b/>
                <w:color w:val="auto"/>
                <w:highlight w:val="none"/>
              </w:rPr>
              <w:t>元）</w:t>
            </w:r>
          </w:p>
        </w:tc>
        <w:tc>
          <w:tcPr>
            <w:tcW w:w="692" w:type="pct"/>
            <w:shd w:val="clear" w:color="C3BD96" w:themeColor="background2" w:themeShade="BF" w:fill="auto"/>
            <w:vAlign w:val="center"/>
          </w:tcPr>
          <w:p w14:paraId="6A8307F2">
            <w:pPr>
              <w:spacing w:line="360" w:lineRule="auto"/>
              <w:ind w:left="-48" w:leftChars="-23" w:right="-65" w:rightChars="-31"/>
              <w:jc w:val="center"/>
              <w:rPr>
                <w:rFonts w:hint="default" w:ascii="Times New Roman" w:hAnsi="Times New Roman" w:eastAsia="宋体" w:cs="宋体"/>
                <w:b/>
                <w:color w:val="auto"/>
                <w:highlight w:val="none"/>
                <w:lang w:val="en-US" w:eastAsia="zh-CN"/>
              </w:rPr>
            </w:pPr>
            <w:r>
              <w:rPr>
                <w:rFonts w:hint="eastAsia" w:ascii="Times New Roman" w:hAnsi="Times New Roman" w:eastAsia="宋体" w:cs="宋体"/>
                <w:b/>
                <w:color w:val="auto"/>
                <w:highlight w:val="none"/>
                <w:lang w:val="en-US" w:eastAsia="zh-CN"/>
              </w:rPr>
              <w:t>成本项目</w:t>
            </w:r>
          </w:p>
          <w:p w14:paraId="4515EE68">
            <w:pPr>
              <w:spacing w:line="360" w:lineRule="auto"/>
              <w:ind w:right="-65" w:rightChars="-31"/>
              <w:jc w:val="both"/>
              <w:rPr>
                <w:rFonts w:hint="default" w:ascii="Times New Roman" w:hAnsi="Times New Roman" w:eastAsia="宋体" w:cs="宋体"/>
                <w:b/>
                <w:color w:val="auto"/>
                <w:highlight w:val="none"/>
                <w:lang w:val="en-US" w:eastAsia="zh-CN"/>
              </w:rPr>
            </w:pPr>
          </w:p>
        </w:tc>
        <w:tc>
          <w:tcPr>
            <w:tcW w:w="560" w:type="pct"/>
            <w:shd w:val="clear" w:color="C3BD96" w:themeColor="background2" w:themeShade="BF" w:fill="auto"/>
            <w:vAlign w:val="center"/>
          </w:tcPr>
          <w:p w14:paraId="1EEBBB27">
            <w:pPr>
              <w:spacing w:line="360" w:lineRule="auto"/>
              <w:ind w:left="-48" w:leftChars="-23" w:right="-65" w:rightChars="-31"/>
              <w:jc w:val="center"/>
              <w:rPr>
                <w:rFonts w:hint="eastAsia" w:ascii="Times New Roman" w:hAnsi="Times New Roman" w:eastAsia="宋体" w:cs="宋体"/>
                <w:b/>
                <w:color w:val="auto"/>
                <w:highlight w:val="none"/>
                <w:lang w:val="en-US" w:eastAsia="zh-CN"/>
              </w:rPr>
            </w:pPr>
            <w:r>
              <w:rPr>
                <w:rFonts w:hint="eastAsia" w:ascii="Times New Roman" w:hAnsi="Times New Roman" w:eastAsia="宋体" w:cs="宋体"/>
                <w:b/>
                <w:color w:val="auto"/>
                <w:highlight w:val="none"/>
                <w:lang w:val="en-US" w:eastAsia="zh-CN"/>
              </w:rPr>
              <w:t>具体明细</w:t>
            </w:r>
          </w:p>
          <w:p w14:paraId="09CDDA3B">
            <w:pPr>
              <w:spacing w:line="360" w:lineRule="auto"/>
              <w:ind w:left="-48" w:leftChars="-23" w:right="-65" w:rightChars="-31"/>
              <w:jc w:val="center"/>
              <w:rPr>
                <w:rFonts w:hint="eastAsia" w:ascii="Times New Roman" w:hAnsi="Times New Roman" w:eastAsia="宋体" w:cs="宋体"/>
                <w:b/>
                <w:color w:val="auto"/>
                <w:highlight w:val="none"/>
                <w:lang w:val="en-US" w:eastAsia="zh-CN"/>
              </w:rPr>
            </w:pPr>
          </w:p>
        </w:tc>
        <w:tc>
          <w:tcPr>
            <w:tcW w:w="511" w:type="pct"/>
            <w:shd w:val="clear" w:color="C3BD96" w:themeColor="background2" w:themeShade="BF" w:fill="auto"/>
            <w:vAlign w:val="center"/>
          </w:tcPr>
          <w:p w14:paraId="4F8DB862">
            <w:pPr>
              <w:spacing w:line="360" w:lineRule="auto"/>
              <w:ind w:left="-48" w:leftChars="-23" w:right="-65" w:rightChars="-31"/>
              <w:jc w:val="center"/>
              <w:rPr>
                <w:rFonts w:hint="eastAsia" w:ascii="Times New Roman" w:hAnsi="Times New Roman" w:eastAsia="宋体" w:cs="宋体"/>
                <w:b/>
                <w:color w:val="auto"/>
                <w:highlight w:val="none"/>
                <w:lang w:val="en-US" w:eastAsia="zh-CN"/>
              </w:rPr>
            </w:pPr>
            <w:r>
              <w:rPr>
                <w:rFonts w:hint="eastAsia" w:ascii="Times New Roman" w:hAnsi="Times New Roman" w:eastAsia="宋体" w:cs="宋体"/>
                <w:b/>
                <w:color w:val="auto"/>
                <w:highlight w:val="none"/>
                <w:lang w:val="en-US" w:eastAsia="zh-CN"/>
              </w:rPr>
              <w:t>单位产品用量</w:t>
            </w:r>
          </w:p>
          <w:p w14:paraId="4393BC23">
            <w:pPr>
              <w:spacing w:line="360" w:lineRule="auto"/>
              <w:ind w:left="-48" w:leftChars="-23" w:right="-65" w:rightChars="-31"/>
              <w:jc w:val="center"/>
              <w:rPr>
                <w:rFonts w:hint="eastAsia" w:ascii="Times New Roman" w:hAnsi="Times New Roman" w:eastAsia="宋体" w:cs="宋体"/>
                <w:b/>
                <w:color w:val="auto"/>
                <w:highlight w:val="none"/>
                <w:lang w:val="en-US" w:eastAsia="zh-CN"/>
              </w:rPr>
            </w:pPr>
          </w:p>
        </w:tc>
        <w:tc>
          <w:tcPr>
            <w:tcW w:w="606" w:type="pct"/>
            <w:shd w:val="clear" w:color="C3BD96" w:themeColor="background2" w:themeShade="BF" w:fill="auto"/>
            <w:vAlign w:val="center"/>
          </w:tcPr>
          <w:p w14:paraId="535ACF95">
            <w:pPr>
              <w:spacing w:line="360" w:lineRule="auto"/>
              <w:ind w:left="-48" w:leftChars="-23" w:right="-65" w:rightChars="-31"/>
              <w:jc w:val="center"/>
              <w:rPr>
                <w:rFonts w:hint="eastAsia" w:ascii="Times New Roman" w:hAnsi="Times New Roman" w:eastAsia="宋体" w:cs="宋体"/>
                <w:b/>
                <w:color w:val="auto"/>
                <w:highlight w:val="none"/>
                <w:lang w:val="en-US" w:eastAsia="zh-CN"/>
              </w:rPr>
            </w:pPr>
            <w:r>
              <w:rPr>
                <w:rFonts w:hint="eastAsia" w:ascii="Times New Roman" w:hAnsi="Times New Roman" w:eastAsia="宋体" w:cs="宋体"/>
                <w:b/>
                <w:color w:val="auto"/>
                <w:highlight w:val="none"/>
                <w:lang w:val="en-US" w:eastAsia="zh-CN"/>
              </w:rPr>
              <w:t>单位成本（元）</w:t>
            </w:r>
          </w:p>
        </w:tc>
        <w:tc>
          <w:tcPr>
            <w:tcW w:w="449" w:type="pct"/>
            <w:tcBorders>
              <w:left w:val="single" w:color="auto" w:sz="4" w:space="0"/>
            </w:tcBorders>
            <w:shd w:val="clear" w:color="C3BD96" w:themeColor="background2" w:themeShade="BF" w:fill="auto"/>
            <w:vAlign w:val="center"/>
          </w:tcPr>
          <w:p w14:paraId="4FB4D3E8">
            <w:pPr>
              <w:spacing w:line="360" w:lineRule="auto"/>
              <w:ind w:left="-48" w:leftChars="-23" w:right="-65" w:rightChars="-31"/>
              <w:jc w:val="center"/>
              <w:rPr>
                <w:rFonts w:ascii="Times New Roman" w:hAnsi="Times New Roman" w:eastAsia="宋体" w:cs="宋体"/>
                <w:b/>
                <w:color w:val="auto"/>
                <w:highlight w:val="none"/>
              </w:rPr>
            </w:pPr>
            <w:r>
              <w:rPr>
                <w:rFonts w:hint="eastAsia" w:ascii="Times New Roman" w:hAnsi="Times New Roman" w:eastAsia="宋体" w:cs="宋体"/>
                <w:b/>
                <w:color w:val="auto"/>
                <w:highlight w:val="none"/>
              </w:rPr>
              <w:t>成本</w:t>
            </w:r>
            <w:r>
              <w:rPr>
                <w:rFonts w:ascii="Times New Roman" w:hAnsi="Times New Roman" w:eastAsia="宋体"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0C403919">
            <w:pPr>
              <w:spacing w:line="360" w:lineRule="auto"/>
              <w:ind w:left="-48" w:leftChars="-23" w:right="-65" w:rightChars="-31"/>
              <w:jc w:val="center"/>
              <w:rPr>
                <w:rFonts w:hint="eastAsia" w:ascii="Times New Roman" w:hAnsi="Times New Roman" w:eastAsia="宋体" w:cs="宋体"/>
                <w:b/>
                <w:color w:val="auto"/>
                <w:highlight w:val="none"/>
              </w:rPr>
            </w:pPr>
            <w:r>
              <w:rPr>
                <w:rFonts w:hint="eastAsia" w:ascii="Times New Roman" w:hAnsi="Times New Roman" w:eastAsia="宋体" w:cs="宋体"/>
                <w:b/>
                <w:color w:val="auto"/>
                <w:highlight w:val="none"/>
                <w:lang w:val="en-US" w:eastAsia="zh-CN"/>
              </w:rPr>
              <w:t>备注（测算依据/证明材料）</w:t>
            </w:r>
          </w:p>
        </w:tc>
      </w:tr>
      <w:tr w14:paraId="22BD57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7286B4AA">
            <w:pPr>
              <w:numPr>
                <w:ilvl w:val="0"/>
                <w:numId w:val="5"/>
              </w:numPr>
              <w:tabs>
                <w:tab w:val="left" w:pos="61"/>
              </w:tabs>
              <w:jc w:val="center"/>
              <w:rPr>
                <w:rFonts w:ascii="Times New Roman" w:hAnsi="Times New Roman" w:eastAsia="宋体" w:cs="Times New Roman"/>
                <w:color w:val="auto"/>
                <w:highlight w:val="none"/>
              </w:rPr>
            </w:pPr>
          </w:p>
        </w:tc>
        <w:tc>
          <w:tcPr>
            <w:tcW w:w="201" w:type="pct"/>
            <w:vMerge w:val="restart"/>
            <w:shd w:val="clear" w:color="auto" w:fill="auto"/>
            <w:vAlign w:val="center"/>
          </w:tcPr>
          <w:p w14:paraId="01610306">
            <w:pPr>
              <w:tabs>
                <w:tab w:val="left" w:pos="0"/>
                <w:tab w:val="left" w:pos="56"/>
              </w:tabs>
              <w:ind w:left="547" w:hanging="478" w:hangingChars="228"/>
              <w:jc w:val="center"/>
              <w:rPr>
                <w:rFonts w:ascii="Times New Roman" w:hAnsi="Times New Roman" w:eastAsia="宋体" w:cs="Times New Roman"/>
                <w:color w:val="auto"/>
                <w:highlight w:val="none"/>
              </w:rPr>
            </w:pPr>
          </w:p>
        </w:tc>
        <w:tc>
          <w:tcPr>
            <w:tcW w:w="380" w:type="pct"/>
            <w:vMerge w:val="restart"/>
            <w:shd w:val="clear" w:color="auto" w:fill="auto"/>
            <w:vAlign w:val="center"/>
          </w:tcPr>
          <w:p w14:paraId="22302525">
            <w:pPr>
              <w:spacing w:line="240" w:lineRule="atLeast"/>
              <w:ind w:left="-48" w:leftChars="-23" w:right="-65" w:rightChars="-31"/>
              <w:jc w:val="left"/>
              <w:rPr>
                <w:rFonts w:ascii="Times New Roman" w:hAnsi="Times New Roman" w:eastAsia="宋体" w:cs="宋体"/>
                <w:color w:val="auto"/>
                <w:szCs w:val="24"/>
                <w:highlight w:val="none"/>
              </w:rPr>
            </w:pPr>
          </w:p>
        </w:tc>
        <w:tc>
          <w:tcPr>
            <w:tcW w:w="282" w:type="pct"/>
            <w:vMerge w:val="restart"/>
            <w:tcBorders>
              <w:left w:val="single" w:color="auto" w:sz="4" w:space="0"/>
            </w:tcBorders>
            <w:shd w:val="clear" w:color="auto" w:fill="auto"/>
            <w:vAlign w:val="center"/>
          </w:tcPr>
          <w:p w14:paraId="2C0D692D">
            <w:pPr>
              <w:spacing w:line="240" w:lineRule="atLeast"/>
              <w:ind w:left="-48" w:leftChars="-23" w:right="-65" w:rightChars="-31"/>
              <w:jc w:val="left"/>
              <w:rPr>
                <w:rFonts w:ascii="Times New Roman" w:hAnsi="Times New Roman" w:eastAsia="宋体" w:cs="宋体"/>
                <w:color w:val="auto"/>
                <w:szCs w:val="24"/>
                <w:highlight w:val="none"/>
              </w:rPr>
            </w:pPr>
          </w:p>
        </w:tc>
        <w:tc>
          <w:tcPr>
            <w:tcW w:w="478" w:type="pct"/>
            <w:vMerge w:val="restart"/>
            <w:tcBorders>
              <w:left w:val="single" w:color="auto" w:sz="4" w:space="0"/>
              <w:right w:val="single" w:color="auto" w:sz="4" w:space="0"/>
            </w:tcBorders>
            <w:shd w:val="clear" w:color="auto" w:fill="auto"/>
            <w:vAlign w:val="center"/>
          </w:tcPr>
          <w:p w14:paraId="512BD8DD">
            <w:pPr>
              <w:spacing w:line="240" w:lineRule="atLeast"/>
              <w:ind w:left="-48" w:leftChars="-23" w:right="-65" w:rightChars="-31"/>
              <w:jc w:val="left"/>
              <w:rPr>
                <w:rFonts w:ascii="Times New Roman" w:hAnsi="Times New Roman" w:eastAsia="宋体" w:cs="宋体"/>
                <w:color w:val="auto"/>
                <w:szCs w:val="24"/>
                <w:highlight w:val="none"/>
              </w:rPr>
            </w:pPr>
          </w:p>
        </w:tc>
        <w:tc>
          <w:tcPr>
            <w:tcW w:w="692" w:type="pct"/>
            <w:vMerge w:val="restart"/>
            <w:tcBorders>
              <w:left w:val="single" w:color="auto" w:sz="4" w:space="0"/>
              <w:right w:val="single" w:color="auto" w:sz="4" w:space="0"/>
            </w:tcBorders>
            <w:vAlign w:val="center"/>
          </w:tcPr>
          <w:p w14:paraId="51FE9ED5">
            <w:pPr>
              <w:spacing w:line="240" w:lineRule="atLeast"/>
              <w:ind w:left="-48" w:leftChars="-23" w:right="-65" w:rightChars="-31"/>
              <w:jc w:val="left"/>
              <w:rPr>
                <w:rFonts w:ascii="Times New Roman" w:hAnsi="Times New Roman" w:eastAsia="宋体" w:cs="宋体"/>
                <w:color w:val="auto"/>
                <w:szCs w:val="24"/>
                <w:highlight w:val="none"/>
              </w:rPr>
            </w:pPr>
            <w:r>
              <w:rPr>
                <w:rFonts w:hint="eastAsia" w:ascii="Times New Roman" w:hAnsi="Times New Roman" w:eastAsia="宋体" w:cs="宋体"/>
                <w:color w:val="auto"/>
                <w:szCs w:val="24"/>
                <w:highlight w:val="none"/>
              </w:rPr>
              <w:t>原材料成本</w:t>
            </w:r>
          </w:p>
        </w:tc>
        <w:tc>
          <w:tcPr>
            <w:tcW w:w="560" w:type="pct"/>
            <w:tcBorders>
              <w:left w:val="single" w:color="auto" w:sz="4" w:space="0"/>
            </w:tcBorders>
            <w:shd w:val="clear" w:color="auto" w:fill="auto"/>
            <w:vAlign w:val="center"/>
          </w:tcPr>
          <w:p w14:paraId="1785DFAE">
            <w:pPr>
              <w:spacing w:line="240" w:lineRule="atLeast"/>
              <w:ind w:left="-48" w:leftChars="-23" w:right="-65" w:rightChars="-31"/>
              <w:jc w:val="left"/>
              <w:rPr>
                <w:rFonts w:ascii="Times New Roman" w:hAnsi="Times New Roman" w:eastAsia="宋体" w:cs="宋体"/>
                <w:color w:val="auto"/>
                <w:szCs w:val="24"/>
                <w:highlight w:val="none"/>
              </w:rPr>
            </w:pPr>
            <w:r>
              <w:rPr>
                <w:rFonts w:ascii="Times New Roman" w:hAnsi="Times New Roman" w:eastAsia="宋体" w:cs="宋体"/>
                <w:color w:val="auto"/>
                <w:szCs w:val="24"/>
                <w:highlight w:val="none"/>
                <w:lang w:val="en-US" w:eastAsia="zh-CN"/>
              </w:rPr>
              <w:t>原材料1</w:t>
            </w:r>
          </w:p>
        </w:tc>
        <w:tc>
          <w:tcPr>
            <w:tcW w:w="511" w:type="pct"/>
            <w:tcBorders>
              <w:left w:val="single" w:color="auto" w:sz="4" w:space="0"/>
            </w:tcBorders>
            <w:shd w:val="clear" w:color="auto" w:fill="auto"/>
            <w:vAlign w:val="center"/>
          </w:tcPr>
          <w:p w14:paraId="1476B4BF">
            <w:pPr>
              <w:spacing w:line="240" w:lineRule="atLeast"/>
              <w:ind w:left="-48" w:leftChars="-23" w:right="-65" w:rightChars="-31"/>
              <w:jc w:val="left"/>
              <w:rPr>
                <w:rFonts w:ascii="Times New Roman" w:hAnsi="Times New Roman" w:eastAsia="宋体" w:cs="宋体"/>
                <w:color w:val="auto"/>
                <w:szCs w:val="24"/>
                <w:highlight w:val="none"/>
              </w:rPr>
            </w:pPr>
          </w:p>
        </w:tc>
        <w:tc>
          <w:tcPr>
            <w:tcW w:w="606" w:type="pct"/>
            <w:tcBorders>
              <w:left w:val="single" w:color="auto" w:sz="4" w:space="0"/>
            </w:tcBorders>
            <w:shd w:val="clear" w:color="auto" w:fill="auto"/>
            <w:vAlign w:val="center"/>
          </w:tcPr>
          <w:p w14:paraId="1A06CBCF">
            <w:pPr>
              <w:spacing w:line="240" w:lineRule="atLeast"/>
              <w:ind w:left="-48" w:leftChars="-23" w:right="-65" w:rightChars="-31"/>
              <w:jc w:val="left"/>
              <w:rPr>
                <w:rFonts w:ascii="Times New Roman" w:hAnsi="Times New Roman" w:eastAsia="宋体" w:cs="宋体"/>
                <w:color w:val="auto"/>
                <w:szCs w:val="24"/>
                <w:highlight w:val="none"/>
              </w:rPr>
            </w:pPr>
          </w:p>
        </w:tc>
        <w:tc>
          <w:tcPr>
            <w:tcW w:w="449" w:type="pct"/>
            <w:vMerge w:val="restart"/>
            <w:tcBorders>
              <w:left w:val="single" w:color="auto" w:sz="4" w:space="0"/>
            </w:tcBorders>
            <w:shd w:val="clear" w:color="auto" w:fill="auto"/>
            <w:vAlign w:val="center"/>
          </w:tcPr>
          <w:p w14:paraId="0EB7D3E6">
            <w:pPr>
              <w:spacing w:line="240" w:lineRule="atLeast"/>
              <w:ind w:left="-48" w:leftChars="-23" w:right="-65" w:rightChars="-31"/>
              <w:jc w:val="left"/>
              <w:rPr>
                <w:rFonts w:ascii="Times New Roman" w:hAnsi="Times New Roman" w:eastAsia="宋体" w:cs="宋体"/>
                <w:color w:val="auto"/>
                <w:szCs w:val="24"/>
                <w:highlight w:val="none"/>
              </w:rPr>
            </w:pPr>
          </w:p>
        </w:tc>
        <w:tc>
          <w:tcPr>
            <w:tcW w:w="587" w:type="pct"/>
            <w:tcBorders>
              <w:left w:val="single" w:color="auto" w:sz="4" w:space="0"/>
            </w:tcBorders>
            <w:shd w:val="clear" w:color="auto" w:fill="auto"/>
            <w:vAlign w:val="center"/>
          </w:tcPr>
          <w:p w14:paraId="2EFFFB23">
            <w:pPr>
              <w:spacing w:line="240" w:lineRule="atLeast"/>
              <w:ind w:left="-48" w:leftChars="-23" w:right="-65" w:rightChars="-31"/>
              <w:jc w:val="left"/>
              <w:rPr>
                <w:rFonts w:ascii="Times New Roman" w:hAnsi="Times New Roman" w:eastAsia="宋体" w:cs="宋体"/>
                <w:color w:val="auto"/>
                <w:szCs w:val="24"/>
                <w:highlight w:val="none"/>
              </w:rPr>
            </w:pPr>
          </w:p>
        </w:tc>
      </w:tr>
      <w:tr w14:paraId="55F525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B9D30E9">
            <w:pPr>
              <w:numPr>
                <w:ilvl w:val="0"/>
                <w:numId w:val="5"/>
              </w:numPr>
              <w:tabs>
                <w:tab w:val="left" w:pos="61"/>
              </w:tabs>
              <w:jc w:val="center"/>
              <w:rPr>
                <w:rFonts w:ascii="Times New Roman" w:hAnsi="Times New Roman" w:eastAsia="宋体" w:cs="Times New Roman"/>
                <w:color w:val="auto"/>
                <w:highlight w:val="none"/>
              </w:rPr>
            </w:pPr>
          </w:p>
        </w:tc>
        <w:tc>
          <w:tcPr>
            <w:tcW w:w="201" w:type="pct"/>
            <w:vMerge w:val="continue"/>
            <w:shd w:val="clear" w:color="auto" w:fill="auto"/>
            <w:vAlign w:val="center"/>
          </w:tcPr>
          <w:p w14:paraId="70CBAD7D">
            <w:pPr>
              <w:tabs>
                <w:tab w:val="left" w:pos="0"/>
                <w:tab w:val="left" w:pos="56"/>
              </w:tabs>
              <w:ind w:left="547" w:hanging="478" w:hangingChars="228"/>
              <w:jc w:val="center"/>
              <w:rPr>
                <w:rFonts w:ascii="Times New Roman" w:hAnsi="Times New Roman" w:eastAsia="宋体" w:cs="Times New Roman"/>
                <w:color w:val="auto"/>
                <w:highlight w:val="none"/>
              </w:rPr>
            </w:pPr>
          </w:p>
        </w:tc>
        <w:tc>
          <w:tcPr>
            <w:tcW w:w="380" w:type="pct"/>
            <w:vMerge w:val="continue"/>
            <w:shd w:val="clear" w:color="auto" w:fill="auto"/>
            <w:vAlign w:val="center"/>
          </w:tcPr>
          <w:p w14:paraId="54F6E5B5">
            <w:pPr>
              <w:spacing w:line="240" w:lineRule="atLeast"/>
              <w:ind w:left="-48" w:leftChars="-23" w:right="-65" w:rightChars="-31"/>
              <w:jc w:val="left"/>
              <w:rPr>
                <w:rFonts w:ascii="Times New Roman" w:hAnsi="Times New Roman" w:eastAsia="宋体" w:cs="宋体"/>
                <w:color w:val="auto"/>
                <w:szCs w:val="24"/>
                <w:highlight w:val="none"/>
              </w:rPr>
            </w:pPr>
          </w:p>
        </w:tc>
        <w:tc>
          <w:tcPr>
            <w:tcW w:w="282" w:type="pct"/>
            <w:vMerge w:val="continue"/>
            <w:tcBorders>
              <w:left w:val="single" w:color="auto" w:sz="4" w:space="0"/>
            </w:tcBorders>
            <w:shd w:val="clear" w:color="auto" w:fill="auto"/>
            <w:vAlign w:val="center"/>
          </w:tcPr>
          <w:p w14:paraId="461DFE69">
            <w:pPr>
              <w:spacing w:line="240" w:lineRule="atLeast"/>
              <w:ind w:left="-48" w:leftChars="-23" w:right="-65" w:rightChars="-31"/>
              <w:jc w:val="left"/>
              <w:rPr>
                <w:rFonts w:ascii="Times New Roman" w:hAnsi="Times New Roman" w:eastAsia="宋体"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5DC334C4">
            <w:pPr>
              <w:spacing w:line="240" w:lineRule="atLeast"/>
              <w:ind w:left="-48" w:leftChars="-23" w:right="-65" w:rightChars="-31"/>
              <w:jc w:val="left"/>
              <w:rPr>
                <w:rFonts w:ascii="Times New Roman" w:hAnsi="Times New Roman" w:eastAsia="宋体" w:cs="宋体"/>
                <w:color w:val="auto"/>
                <w:szCs w:val="24"/>
                <w:highlight w:val="none"/>
              </w:rPr>
            </w:pPr>
          </w:p>
        </w:tc>
        <w:tc>
          <w:tcPr>
            <w:tcW w:w="692" w:type="pct"/>
            <w:vMerge w:val="continue"/>
            <w:tcBorders>
              <w:left w:val="single" w:color="auto" w:sz="4" w:space="0"/>
              <w:right w:val="single" w:color="auto" w:sz="4" w:space="0"/>
            </w:tcBorders>
            <w:vAlign w:val="center"/>
          </w:tcPr>
          <w:p w14:paraId="28DD46EF">
            <w:pPr>
              <w:spacing w:line="240" w:lineRule="atLeast"/>
              <w:ind w:left="-48" w:leftChars="-23" w:right="-65" w:rightChars="-31"/>
              <w:jc w:val="left"/>
              <w:rPr>
                <w:rFonts w:hint="eastAsia" w:ascii="Times New Roman" w:hAnsi="Times New Roman" w:eastAsia="宋体" w:cs="宋体"/>
                <w:color w:val="auto"/>
                <w:szCs w:val="24"/>
                <w:highlight w:val="none"/>
              </w:rPr>
            </w:pPr>
          </w:p>
        </w:tc>
        <w:tc>
          <w:tcPr>
            <w:tcW w:w="560" w:type="pct"/>
            <w:tcBorders>
              <w:left w:val="single" w:color="auto" w:sz="4" w:space="0"/>
            </w:tcBorders>
            <w:shd w:val="clear" w:color="auto" w:fill="auto"/>
            <w:vAlign w:val="center"/>
          </w:tcPr>
          <w:p w14:paraId="6CB06628">
            <w:pPr>
              <w:spacing w:line="240" w:lineRule="atLeast"/>
              <w:ind w:left="-48" w:leftChars="-23" w:right="-65" w:rightChars="-31"/>
              <w:jc w:val="left"/>
              <w:rPr>
                <w:rFonts w:hint="default" w:ascii="Times New Roman" w:hAnsi="Times New Roman" w:eastAsia="宋体" w:cs="宋体"/>
                <w:color w:val="auto"/>
                <w:szCs w:val="24"/>
                <w:highlight w:val="none"/>
                <w:lang w:val="en-US" w:eastAsia="zh-CN"/>
              </w:rPr>
            </w:pPr>
            <w:r>
              <w:rPr>
                <w:rFonts w:hint="eastAsia" w:ascii="Times New Roman" w:hAnsi="Times New Roman" w:eastAsia="宋体" w:cs="宋体"/>
                <w:color w:val="auto"/>
                <w:szCs w:val="24"/>
                <w:highlight w:val="none"/>
                <w:lang w:val="en-US" w:eastAsia="zh-CN"/>
              </w:rPr>
              <w:t>...</w:t>
            </w:r>
          </w:p>
        </w:tc>
        <w:tc>
          <w:tcPr>
            <w:tcW w:w="511" w:type="pct"/>
            <w:tcBorders>
              <w:left w:val="single" w:color="auto" w:sz="4" w:space="0"/>
            </w:tcBorders>
            <w:shd w:val="clear" w:color="auto" w:fill="auto"/>
            <w:vAlign w:val="center"/>
          </w:tcPr>
          <w:p w14:paraId="3E2ABF62">
            <w:pPr>
              <w:spacing w:line="240" w:lineRule="atLeast"/>
              <w:ind w:left="-48" w:leftChars="-23" w:right="-65" w:rightChars="-31"/>
              <w:jc w:val="left"/>
              <w:rPr>
                <w:rFonts w:ascii="Times New Roman" w:hAnsi="Times New Roman" w:eastAsia="宋体" w:cs="宋体"/>
                <w:color w:val="auto"/>
                <w:szCs w:val="24"/>
                <w:highlight w:val="none"/>
              </w:rPr>
            </w:pPr>
          </w:p>
        </w:tc>
        <w:tc>
          <w:tcPr>
            <w:tcW w:w="606" w:type="pct"/>
            <w:tcBorders>
              <w:left w:val="single" w:color="auto" w:sz="4" w:space="0"/>
            </w:tcBorders>
            <w:shd w:val="clear" w:color="auto" w:fill="auto"/>
            <w:vAlign w:val="center"/>
          </w:tcPr>
          <w:p w14:paraId="1C916CE9">
            <w:pPr>
              <w:spacing w:line="240" w:lineRule="atLeast"/>
              <w:ind w:left="-48" w:leftChars="-23" w:right="-65" w:rightChars="-31"/>
              <w:jc w:val="left"/>
              <w:rPr>
                <w:rFonts w:ascii="Times New Roman" w:hAnsi="Times New Roman" w:eastAsia="宋体" w:cs="宋体"/>
                <w:color w:val="auto"/>
                <w:szCs w:val="24"/>
                <w:highlight w:val="none"/>
              </w:rPr>
            </w:pPr>
          </w:p>
        </w:tc>
        <w:tc>
          <w:tcPr>
            <w:tcW w:w="449" w:type="pct"/>
            <w:vMerge w:val="continue"/>
            <w:tcBorders>
              <w:left w:val="single" w:color="auto" w:sz="4" w:space="0"/>
            </w:tcBorders>
            <w:shd w:val="clear" w:color="auto" w:fill="auto"/>
            <w:vAlign w:val="center"/>
          </w:tcPr>
          <w:p w14:paraId="5B6AF358">
            <w:pPr>
              <w:spacing w:line="240" w:lineRule="atLeast"/>
              <w:ind w:left="-48" w:leftChars="-23" w:right="-65" w:rightChars="-31"/>
              <w:jc w:val="left"/>
              <w:rPr>
                <w:rFonts w:ascii="Times New Roman" w:hAnsi="Times New Roman" w:eastAsia="宋体" w:cs="宋体"/>
                <w:color w:val="auto"/>
                <w:szCs w:val="24"/>
                <w:highlight w:val="none"/>
              </w:rPr>
            </w:pPr>
          </w:p>
        </w:tc>
        <w:tc>
          <w:tcPr>
            <w:tcW w:w="587" w:type="pct"/>
            <w:tcBorders>
              <w:left w:val="single" w:color="auto" w:sz="4" w:space="0"/>
            </w:tcBorders>
            <w:shd w:val="clear" w:color="auto" w:fill="auto"/>
            <w:vAlign w:val="center"/>
          </w:tcPr>
          <w:p w14:paraId="66D9248E">
            <w:pPr>
              <w:spacing w:line="240" w:lineRule="atLeast"/>
              <w:ind w:left="-48" w:leftChars="-23" w:right="-65" w:rightChars="-31"/>
              <w:jc w:val="left"/>
              <w:rPr>
                <w:rFonts w:ascii="Times New Roman" w:hAnsi="Times New Roman" w:eastAsia="宋体" w:cs="宋体"/>
                <w:color w:val="auto"/>
                <w:szCs w:val="24"/>
                <w:highlight w:val="none"/>
              </w:rPr>
            </w:pPr>
          </w:p>
        </w:tc>
      </w:tr>
      <w:tr w14:paraId="7298A6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9BA1C69">
            <w:pPr>
              <w:tabs>
                <w:tab w:val="left" w:pos="61"/>
              </w:tabs>
              <w:jc w:val="center"/>
              <w:rPr>
                <w:rFonts w:ascii="Times New Roman" w:hAnsi="Times New Roman" w:eastAsia="宋体" w:cs="Times New Roman"/>
                <w:color w:val="auto"/>
                <w:highlight w:val="none"/>
              </w:rPr>
            </w:pPr>
          </w:p>
        </w:tc>
        <w:tc>
          <w:tcPr>
            <w:tcW w:w="201" w:type="pct"/>
            <w:vMerge w:val="continue"/>
            <w:shd w:val="clear" w:color="auto" w:fill="auto"/>
            <w:vAlign w:val="center"/>
          </w:tcPr>
          <w:p w14:paraId="6C9E93BD">
            <w:pPr>
              <w:tabs>
                <w:tab w:val="left" w:pos="0"/>
                <w:tab w:val="left" w:pos="56"/>
              </w:tabs>
              <w:ind w:left="547" w:hanging="478" w:hangingChars="228"/>
              <w:jc w:val="center"/>
              <w:rPr>
                <w:rFonts w:ascii="Times New Roman" w:hAnsi="Times New Roman" w:eastAsia="宋体" w:cs="Times New Roman"/>
                <w:color w:val="auto"/>
                <w:highlight w:val="none"/>
              </w:rPr>
            </w:pPr>
          </w:p>
        </w:tc>
        <w:tc>
          <w:tcPr>
            <w:tcW w:w="380" w:type="pct"/>
            <w:vMerge w:val="continue"/>
            <w:shd w:val="clear" w:color="auto" w:fill="auto"/>
            <w:vAlign w:val="center"/>
          </w:tcPr>
          <w:p w14:paraId="083AE99D">
            <w:pPr>
              <w:spacing w:line="240" w:lineRule="atLeast"/>
              <w:ind w:left="-48" w:leftChars="-23" w:right="-65" w:rightChars="-31"/>
              <w:jc w:val="left"/>
              <w:rPr>
                <w:rFonts w:ascii="Times New Roman" w:hAnsi="Times New Roman" w:eastAsia="宋体" w:cs="宋体"/>
                <w:color w:val="auto"/>
                <w:szCs w:val="24"/>
                <w:highlight w:val="none"/>
              </w:rPr>
            </w:pPr>
          </w:p>
        </w:tc>
        <w:tc>
          <w:tcPr>
            <w:tcW w:w="282" w:type="pct"/>
            <w:vMerge w:val="continue"/>
            <w:tcBorders>
              <w:left w:val="single" w:color="auto" w:sz="4" w:space="0"/>
            </w:tcBorders>
            <w:shd w:val="clear" w:color="auto" w:fill="auto"/>
            <w:vAlign w:val="center"/>
          </w:tcPr>
          <w:p w14:paraId="3191F936">
            <w:pPr>
              <w:spacing w:line="240" w:lineRule="atLeast"/>
              <w:ind w:left="-48" w:leftChars="-23" w:right="-65" w:rightChars="-31"/>
              <w:jc w:val="left"/>
              <w:rPr>
                <w:rFonts w:ascii="Times New Roman" w:hAnsi="Times New Roman" w:eastAsia="宋体"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681609D6">
            <w:pPr>
              <w:spacing w:line="240" w:lineRule="atLeast"/>
              <w:ind w:left="-48" w:leftChars="-23" w:right="-65" w:rightChars="-31"/>
              <w:jc w:val="left"/>
              <w:rPr>
                <w:rFonts w:ascii="Times New Roman" w:hAnsi="Times New Roman" w:eastAsia="宋体" w:cs="宋体"/>
                <w:color w:val="auto"/>
                <w:szCs w:val="24"/>
                <w:highlight w:val="none"/>
              </w:rPr>
            </w:pPr>
          </w:p>
        </w:tc>
        <w:tc>
          <w:tcPr>
            <w:tcW w:w="692" w:type="pct"/>
            <w:vMerge w:val="restart"/>
            <w:tcBorders>
              <w:left w:val="single" w:color="auto" w:sz="4" w:space="0"/>
              <w:right w:val="single" w:color="auto" w:sz="4" w:space="0"/>
            </w:tcBorders>
            <w:vAlign w:val="center"/>
          </w:tcPr>
          <w:p w14:paraId="4A30388F">
            <w:pPr>
              <w:spacing w:line="240" w:lineRule="atLeast"/>
              <w:ind w:left="-48" w:leftChars="-23" w:right="-65" w:rightChars="-31"/>
              <w:jc w:val="left"/>
              <w:rPr>
                <w:rFonts w:ascii="Times New Roman" w:hAnsi="Times New Roman" w:eastAsia="宋体" w:cs="宋体"/>
                <w:color w:val="auto"/>
                <w:szCs w:val="24"/>
                <w:highlight w:val="none"/>
              </w:rPr>
            </w:pPr>
            <w:r>
              <w:rPr>
                <w:rFonts w:hint="eastAsia" w:ascii="Times New Roman" w:hAnsi="Times New Roman" w:eastAsia="宋体" w:cs="宋体"/>
                <w:color w:val="auto"/>
                <w:szCs w:val="24"/>
                <w:highlight w:val="none"/>
              </w:rPr>
              <w:t>人工成本</w:t>
            </w:r>
          </w:p>
        </w:tc>
        <w:tc>
          <w:tcPr>
            <w:tcW w:w="560" w:type="pct"/>
            <w:tcBorders>
              <w:left w:val="single" w:color="auto" w:sz="4" w:space="0"/>
            </w:tcBorders>
            <w:shd w:val="clear" w:color="auto" w:fill="auto"/>
            <w:vAlign w:val="center"/>
          </w:tcPr>
          <w:p w14:paraId="47643CA3">
            <w:pPr>
              <w:spacing w:line="240" w:lineRule="atLeast"/>
              <w:ind w:left="-48" w:leftChars="-23" w:right="-65" w:rightChars="-31"/>
              <w:jc w:val="left"/>
              <w:rPr>
                <w:rFonts w:ascii="Times New Roman" w:hAnsi="Times New Roman" w:eastAsia="宋体" w:cs="宋体"/>
                <w:color w:val="auto"/>
                <w:szCs w:val="24"/>
                <w:highlight w:val="none"/>
              </w:rPr>
            </w:pPr>
            <w:r>
              <w:rPr>
                <w:rFonts w:ascii="Times New Roman" w:hAnsi="Times New Roman" w:eastAsia="宋体" w:cs="宋体"/>
                <w:color w:val="auto"/>
                <w:szCs w:val="24"/>
                <w:highlight w:val="none"/>
                <w:lang w:val="en-US" w:eastAsia="zh-CN"/>
              </w:rPr>
              <w:t>生产工人工资</w:t>
            </w:r>
          </w:p>
        </w:tc>
        <w:tc>
          <w:tcPr>
            <w:tcW w:w="511" w:type="pct"/>
            <w:tcBorders>
              <w:left w:val="single" w:color="auto" w:sz="4" w:space="0"/>
            </w:tcBorders>
            <w:shd w:val="clear" w:color="auto" w:fill="auto"/>
            <w:vAlign w:val="center"/>
          </w:tcPr>
          <w:p w14:paraId="6A2B9E7A">
            <w:pPr>
              <w:spacing w:line="240" w:lineRule="atLeast"/>
              <w:ind w:left="-48" w:leftChars="-23" w:right="-65" w:rightChars="-31"/>
              <w:jc w:val="left"/>
              <w:rPr>
                <w:rFonts w:ascii="Times New Roman" w:hAnsi="Times New Roman" w:eastAsia="宋体" w:cs="宋体"/>
                <w:color w:val="auto"/>
                <w:szCs w:val="24"/>
                <w:highlight w:val="none"/>
              </w:rPr>
            </w:pPr>
          </w:p>
        </w:tc>
        <w:tc>
          <w:tcPr>
            <w:tcW w:w="606" w:type="pct"/>
            <w:tcBorders>
              <w:left w:val="single" w:color="auto" w:sz="4" w:space="0"/>
            </w:tcBorders>
            <w:shd w:val="clear" w:color="auto" w:fill="auto"/>
            <w:vAlign w:val="center"/>
          </w:tcPr>
          <w:p w14:paraId="12467639">
            <w:pPr>
              <w:spacing w:line="240" w:lineRule="atLeast"/>
              <w:ind w:left="-48" w:leftChars="-23" w:right="-65" w:rightChars="-31"/>
              <w:jc w:val="left"/>
              <w:rPr>
                <w:rFonts w:ascii="Times New Roman" w:hAnsi="Times New Roman" w:eastAsia="宋体" w:cs="宋体"/>
                <w:color w:val="auto"/>
                <w:szCs w:val="24"/>
                <w:highlight w:val="none"/>
              </w:rPr>
            </w:pPr>
          </w:p>
        </w:tc>
        <w:tc>
          <w:tcPr>
            <w:tcW w:w="449" w:type="pct"/>
            <w:vMerge w:val="continue"/>
            <w:tcBorders>
              <w:left w:val="single" w:color="auto" w:sz="4" w:space="0"/>
            </w:tcBorders>
            <w:shd w:val="clear" w:color="auto" w:fill="auto"/>
            <w:vAlign w:val="center"/>
          </w:tcPr>
          <w:p w14:paraId="6BC1D67C">
            <w:pPr>
              <w:spacing w:line="240" w:lineRule="atLeast"/>
              <w:ind w:left="-48" w:leftChars="-23" w:right="-65" w:rightChars="-31"/>
              <w:jc w:val="left"/>
              <w:rPr>
                <w:rFonts w:ascii="Times New Roman" w:hAnsi="Times New Roman" w:eastAsia="宋体" w:cs="宋体"/>
                <w:color w:val="auto"/>
                <w:szCs w:val="24"/>
                <w:highlight w:val="none"/>
              </w:rPr>
            </w:pPr>
          </w:p>
        </w:tc>
        <w:tc>
          <w:tcPr>
            <w:tcW w:w="587" w:type="pct"/>
            <w:tcBorders>
              <w:left w:val="single" w:color="auto" w:sz="4" w:space="0"/>
            </w:tcBorders>
            <w:shd w:val="clear" w:color="auto" w:fill="auto"/>
            <w:vAlign w:val="center"/>
          </w:tcPr>
          <w:p w14:paraId="2A9CED93">
            <w:pPr>
              <w:spacing w:line="240" w:lineRule="atLeast"/>
              <w:ind w:left="-48" w:leftChars="-23" w:right="-65" w:rightChars="-31"/>
              <w:jc w:val="left"/>
              <w:rPr>
                <w:rFonts w:ascii="Times New Roman" w:hAnsi="Times New Roman" w:eastAsia="宋体" w:cs="宋体"/>
                <w:color w:val="auto"/>
                <w:szCs w:val="24"/>
                <w:highlight w:val="none"/>
              </w:rPr>
            </w:pPr>
          </w:p>
        </w:tc>
      </w:tr>
      <w:tr w14:paraId="661409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AE65EF9">
            <w:pPr>
              <w:tabs>
                <w:tab w:val="left" w:pos="61"/>
              </w:tabs>
              <w:jc w:val="center"/>
              <w:rPr>
                <w:rFonts w:ascii="Times New Roman" w:hAnsi="Times New Roman" w:eastAsia="宋体" w:cs="Times New Roman"/>
                <w:color w:val="auto"/>
                <w:highlight w:val="none"/>
              </w:rPr>
            </w:pPr>
          </w:p>
        </w:tc>
        <w:tc>
          <w:tcPr>
            <w:tcW w:w="201" w:type="pct"/>
            <w:vMerge w:val="continue"/>
            <w:shd w:val="clear" w:color="auto" w:fill="auto"/>
            <w:vAlign w:val="center"/>
          </w:tcPr>
          <w:p w14:paraId="2E89E479">
            <w:pPr>
              <w:tabs>
                <w:tab w:val="left" w:pos="0"/>
                <w:tab w:val="left" w:pos="56"/>
              </w:tabs>
              <w:ind w:left="547" w:hanging="478" w:hangingChars="228"/>
              <w:jc w:val="center"/>
              <w:rPr>
                <w:rFonts w:ascii="Times New Roman" w:hAnsi="Times New Roman" w:eastAsia="宋体" w:cs="Times New Roman"/>
                <w:color w:val="auto"/>
                <w:highlight w:val="none"/>
              </w:rPr>
            </w:pPr>
          </w:p>
        </w:tc>
        <w:tc>
          <w:tcPr>
            <w:tcW w:w="380" w:type="pct"/>
            <w:vMerge w:val="continue"/>
            <w:shd w:val="clear" w:color="auto" w:fill="auto"/>
            <w:vAlign w:val="center"/>
          </w:tcPr>
          <w:p w14:paraId="11329223">
            <w:pPr>
              <w:spacing w:line="240" w:lineRule="atLeast"/>
              <w:ind w:left="-48" w:leftChars="-23" w:right="-65" w:rightChars="-31"/>
              <w:jc w:val="left"/>
              <w:rPr>
                <w:rFonts w:ascii="Times New Roman" w:hAnsi="Times New Roman" w:eastAsia="宋体" w:cs="宋体"/>
                <w:color w:val="auto"/>
                <w:szCs w:val="24"/>
                <w:highlight w:val="none"/>
              </w:rPr>
            </w:pPr>
          </w:p>
        </w:tc>
        <w:tc>
          <w:tcPr>
            <w:tcW w:w="282" w:type="pct"/>
            <w:vMerge w:val="continue"/>
            <w:tcBorders>
              <w:left w:val="single" w:color="auto" w:sz="4" w:space="0"/>
            </w:tcBorders>
            <w:shd w:val="clear" w:color="auto" w:fill="auto"/>
            <w:vAlign w:val="center"/>
          </w:tcPr>
          <w:p w14:paraId="74C6BC0D">
            <w:pPr>
              <w:spacing w:line="240" w:lineRule="atLeast"/>
              <w:ind w:left="-48" w:leftChars="-23" w:right="-65" w:rightChars="-31"/>
              <w:jc w:val="left"/>
              <w:rPr>
                <w:rFonts w:ascii="Times New Roman" w:hAnsi="Times New Roman" w:eastAsia="宋体"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1A7EB6D">
            <w:pPr>
              <w:spacing w:line="240" w:lineRule="atLeast"/>
              <w:ind w:left="-48" w:leftChars="-23" w:right="-65" w:rightChars="-31"/>
              <w:jc w:val="left"/>
              <w:rPr>
                <w:rFonts w:ascii="Times New Roman" w:hAnsi="Times New Roman" w:eastAsia="宋体" w:cs="宋体"/>
                <w:color w:val="auto"/>
                <w:szCs w:val="24"/>
                <w:highlight w:val="none"/>
              </w:rPr>
            </w:pPr>
          </w:p>
        </w:tc>
        <w:tc>
          <w:tcPr>
            <w:tcW w:w="692" w:type="pct"/>
            <w:vMerge w:val="continue"/>
            <w:tcBorders>
              <w:left w:val="single" w:color="auto" w:sz="4" w:space="0"/>
              <w:right w:val="single" w:color="auto" w:sz="4" w:space="0"/>
            </w:tcBorders>
            <w:vAlign w:val="center"/>
          </w:tcPr>
          <w:p w14:paraId="63C7F5D6">
            <w:pPr>
              <w:spacing w:line="240" w:lineRule="atLeast"/>
              <w:ind w:left="-48" w:leftChars="-23" w:right="-65" w:rightChars="-31"/>
              <w:jc w:val="left"/>
              <w:rPr>
                <w:rFonts w:hint="eastAsia" w:ascii="Times New Roman" w:hAnsi="Times New Roman" w:eastAsia="宋体" w:cs="宋体"/>
                <w:color w:val="auto"/>
                <w:szCs w:val="24"/>
                <w:highlight w:val="none"/>
              </w:rPr>
            </w:pPr>
          </w:p>
        </w:tc>
        <w:tc>
          <w:tcPr>
            <w:tcW w:w="560" w:type="pct"/>
            <w:tcBorders>
              <w:left w:val="single" w:color="auto" w:sz="4" w:space="0"/>
            </w:tcBorders>
            <w:shd w:val="clear" w:color="auto" w:fill="auto"/>
            <w:vAlign w:val="center"/>
          </w:tcPr>
          <w:p w14:paraId="3A021FA2">
            <w:pPr>
              <w:spacing w:line="240" w:lineRule="atLeast"/>
              <w:ind w:left="-48" w:leftChars="-23" w:right="-65" w:rightChars="-31"/>
              <w:jc w:val="left"/>
              <w:rPr>
                <w:rFonts w:hint="default" w:ascii="Times New Roman" w:hAnsi="Times New Roman" w:eastAsia="宋体" w:cs="宋体"/>
                <w:color w:val="auto"/>
                <w:szCs w:val="24"/>
                <w:highlight w:val="none"/>
                <w:lang w:val="en-US" w:eastAsia="zh-CN"/>
              </w:rPr>
            </w:pPr>
            <w:r>
              <w:rPr>
                <w:rFonts w:hint="eastAsia" w:ascii="Times New Roman" w:hAnsi="Times New Roman" w:eastAsia="宋体" w:cs="宋体"/>
                <w:color w:val="auto"/>
                <w:szCs w:val="24"/>
                <w:highlight w:val="none"/>
                <w:lang w:val="en-US" w:eastAsia="zh-CN"/>
              </w:rPr>
              <w:t>....</w:t>
            </w:r>
          </w:p>
        </w:tc>
        <w:tc>
          <w:tcPr>
            <w:tcW w:w="511" w:type="pct"/>
            <w:tcBorders>
              <w:left w:val="single" w:color="auto" w:sz="4" w:space="0"/>
            </w:tcBorders>
            <w:shd w:val="clear" w:color="auto" w:fill="auto"/>
            <w:vAlign w:val="center"/>
          </w:tcPr>
          <w:p w14:paraId="49125FC9">
            <w:pPr>
              <w:spacing w:line="240" w:lineRule="atLeast"/>
              <w:ind w:left="-48" w:leftChars="-23" w:right="-65" w:rightChars="-31"/>
              <w:jc w:val="left"/>
              <w:rPr>
                <w:rFonts w:ascii="Times New Roman" w:hAnsi="Times New Roman" w:eastAsia="宋体" w:cs="宋体"/>
                <w:color w:val="auto"/>
                <w:szCs w:val="24"/>
                <w:highlight w:val="none"/>
              </w:rPr>
            </w:pPr>
          </w:p>
        </w:tc>
        <w:tc>
          <w:tcPr>
            <w:tcW w:w="606" w:type="pct"/>
            <w:tcBorders>
              <w:left w:val="single" w:color="auto" w:sz="4" w:space="0"/>
            </w:tcBorders>
            <w:shd w:val="clear" w:color="auto" w:fill="auto"/>
            <w:vAlign w:val="center"/>
          </w:tcPr>
          <w:p w14:paraId="21ABD8C9">
            <w:pPr>
              <w:spacing w:line="240" w:lineRule="atLeast"/>
              <w:ind w:left="-48" w:leftChars="-23" w:right="-65" w:rightChars="-31"/>
              <w:jc w:val="left"/>
              <w:rPr>
                <w:rFonts w:ascii="Times New Roman" w:hAnsi="Times New Roman" w:eastAsia="宋体" w:cs="宋体"/>
                <w:color w:val="auto"/>
                <w:szCs w:val="24"/>
                <w:highlight w:val="none"/>
              </w:rPr>
            </w:pPr>
          </w:p>
        </w:tc>
        <w:tc>
          <w:tcPr>
            <w:tcW w:w="449" w:type="pct"/>
            <w:vMerge w:val="continue"/>
            <w:tcBorders>
              <w:left w:val="single" w:color="auto" w:sz="4" w:space="0"/>
            </w:tcBorders>
            <w:shd w:val="clear" w:color="auto" w:fill="auto"/>
            <w:vAlign w:val="center"/>
          </w:tcPr>
          <w:p w14:paraId="4307EA89">
            <w:pPr>
              <w:spacing w:line="240" w:lineRule="atLeast"/>
              <w:ind w:left="-48" w:leftChars="-23" w:right="-65" w:rightChars="-31"/>
              <w:jc w:val="left"/>
              <w:rPr>
                <w:rFonts w:ascii="Times New Roman" w:hAnsi="Times New Roman" w:eastAsia="宋体" w:cs="宋体"/>
                <w:color w:val="auto"/>
                <w:szCs w:val="24"/>
                <w:highlight w:val="none"/>
              </w:rPr>
            </w:pPr>
          </w:p>
        </w:tc>
        <w:tc>
          <w:tcPr>
            <w:tcW w:w="587" w:type="pct"/>
            <w:tcBorders>
              <w:left w:val="single" w:color="auto" w:sz="4" w:space="0"/>
            </w:tcBorders>
            <w:shd w:val="clear" w:color="auto" w:fill="auto"/>
            <w:vAlign w:val="center"/>
          </w:tcPr>
          <w:p w14:paraId="07CECBD8">
            <w:pPr>
              <w:spacing w:line="240" w:lineRule="atLeast"/>
              <w:ind w:left="-48" w:leftChars="-23" w:right="-65" w:rightChars="-31"/>
              <w:jc w:val="left"/>
              <w:rPr>
                <w:rFonts w:ascii="Times New Roman" w:hAnsi="Times New Roman" w:eastAsia="宋体" w:cs="宋体"/>
                <w:color w:val="auto"/>
                <w:szCs w:val="24"/>
                <w:highlight w:val="none"/>
              </w:rPr>
            </w:pPr>
          </w:p>
        </w:tc>
      </w:tr>
      <w:tr w14:paraId="133519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1C2802F2">
            <w:pPr>
              <w:tabs>
                <w:tab w:val="left" w:pos="61"/>
              </w:tabs>
              <w:jc w:val="center"/>
              <w:rPr>
                <w:rFonts w:ascii="Times New Roman" w:hAnsi="Times New Roman" w:eastAsia="宋体" w:cs="Times New Roman"/>
                <w:color w:val="auto"/>
                <w:highlight w:val="none"/>
              </w:rPr>
            </w:pPr>
          </w:p>
        </w:tc>
        <w:tc>
          <w:tcPr>
            <w:tcW w:w="201" w:type="pct"/>
            <w:vMerge w:val="continue"/>
            <w:shd w:val="clear" w:color="auto" w:fill="auto"/>
            <w:vAlign w:val="center"/>
          </w:tcPr>
          <w:p w14:paraId="0A262252">
            <w:pPr>
              <w:tabs>
                <w:tab w:val="left" w:pos="0"/>
                <w:tab w:val="left" w:pos="56"/>
              </w:tabs>
              <w:ind w:left="547" w:hanging="478" w:hangingChars="228"/>
              <w:jc w:val="center"/>
              <w:rPr>
                <w:rFonts w:ascii="Times New Roman" w:hAnsi="Times New Roman" w:eastAsia="宋体" w:cs="Times New Roman"/>
                <w:color w:val="auto"/>
                <w:highlight w:val="none"/>
              </w:rPr>
            </w:pPr>
          </w:p>
        </w:tc>
        <w:tc>
          <w:tcPr>
            <w:tcW w:w="380" w:type="pct"/>
            <w:vMerge w:val="continue"/>
            <w:shd w:val="clear" w:color="auto" w:fill="auto"/>
            <w:vAlign w:val="center"/>
          </w:tcPr>
          <w:p w14:paraId="68C7B64C">
            <w:pPr>
              <w:spacing w:line="240" w:lineRule="atLeast"/>
              <w:ind w:left="-48" w:leftChars="-23" w:right="-65" w:rightChars="-31"/>
              <w:jc w:val="left"/>
              <w:rPr>
                <w:rFonts w:ascii="Times New Roman" w:hAnsi="Times New Roman" w:eastAsia="宋体" w:cs="宋体"/>
                <w:color w:val="auto"/>
                <w:szCs w:val="24"/>
                <w:highlight w:val="none"/>
              </w:rPr>
            </w:pPr>
          </w:p>
        </w:tc>
        <w:tc>
          <w:tcPr>
            <w:tcW w:w="282" w:type="pct"/>
            <w:vMerge w:val="continue"/>
            <w:tcBorders>
              <w:left w:val="single" w:color="auto" w:sz="4" w:space="0"/>
            </w:tcBorders>
            <w:shd w:val="clear" w:color="auto" w:fill="auto"/>
            <w:vAlign w:val="center"/>
          </w:tcPr>
          <w:p w14:paraId="3B2AC7E1">
            <w:pPr>
              <w:spacing w:line="240" w:lineRule="atLeast"/>
              <w:ind w:left="-48" w:leftChars="-23" w:right="-65" w:rightChars="-31"/>
              <w:jc w:val="left"/>
              <w:rPr>
                <w:rFonts w:ascii="Times New Roman" w:hAnsi="Times New Roman" w:eastAsia="宋体"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0433DCE2">
            <w:pPr>
              <w:spacing w:line="240" w:lineRule="atLeast"/>
              <w:ind w:left="-48" w:leftChars="-23" w:right="-65" w:rightChars="-31"/>
              <w:jc w:val="left"/>
              <w:rPr>
                <w:rFonts w:ascii="Times New Roman" w:hAnsi="Times New Roman" w:eastAsia="宋体" w:cs="宋体"/>
                <w:color w:val="auto"/>
                <w:szCs w:val="24"/>
                <w:highlight w:val="none"/>
              </w:rPr>
            </w:pPr>
          </w:p>
        </w:tc>
        <w:tc>
          <w:tcPr>
            <w:tcW w:w="692" w:type="pct"/>
            <w:vMerge w:val="restart"/>
            <w:tcBorders>
              <w:left w:val="single" w:color="auto" w:sz="4" w:space="0"/>
              <w:right w:val="single" w:color="auto" w:sz="4" w:space="0"/>
            </w:tcBorders>
            <w:vAlign w:val="center"/>
          </w:tcPr>
          <w:p w14:paraId="0BB86849">
            <w:pPr>
              <w:spacing w:line="240" w:lineRule="atLeast"/>
              <w:ind w:left="-48" w:leftChars="-23" w:right="-65" w:rightChars="-31"/>
              <w:jc w:val="left"/>
              <w:rPr>
                <w:rFonts w:hint="eastAsia" w:ascii="Times New Roman" w:hAnsi="Times New Roman" w:eastAsia="宋体" w:cs="宋体"/>
                <w:color w:val="auto"/>
                <w:szCs w:val="24"/>
                <w:highlight w:val="none"/>
              </w:rPr>
            </w:pPr>
            <w:r>
              <w:rPr>
                <w:rFonts w:hint="eastAsia" w:ascii="Times New Roman" w:hAnsi="Times New Roman" w:eastAsia="宋体" w:cs="宋体"/>
                <w:color w:val="auto"/>
                <w:szCs w:val="24"/>
                <w:highlight w:val="none"/>
              </w:rPr>
              <w:t>制造费用</w:t>
            </w:r>
          </w:p>
        </w:tc>
        <w:tc>
          <w:tcPr>
            <w:tcW w:w="560" w:type="pct"/>
            <w:tcBorders>
              <w:left w:val="single" w:color="auto" w:sz="4" w:space="0"/>
            </w:tcBorders>
            <w:shd w:val="clear" w:color="auto" w:fill="auto"/>
            <w:vAlign w:val="center"/>
          </w:tcPr>
          <w:p w14:paraId="12E12C3C">
            <w:pPr>
              <w:spacing w:line="240" w:lineRule="atLeast"/>
              <w:ind w:left="-48" w:leftChars="-23" w:right="-65" w:rightChars="-31"/>
              <w:jc w:val="left"/>
              <w:rPr>
                <w:rFonts w:ascii="Times New Roman" w:hAnsi="Times New Roman" w:eastAsia="宋体" w:cs="宋体"/>
                <w:color w:val="auto"/>
                <w:szCs w:val="24"/>
                <w:highlight w:val="none"/>
              </w:rPr>
            </w:pPr>
            <w:r>
              <w:rPr>
                <w:rFonts w:ascii="Times New Roman" w:hAnsi="Times New Roman" w:eastAsia="宋体" w:cs="宋体"/>
                <w:color w:val="auto"/>
                <w:szCs w:val="24"/>
                <w:highlight w:val="none"/>
                <w:lang w:val="en-US" w:eastAsia="zh-CN"/>
              </w:rPr>
              <w:t>设备折旧费</w:t>
            </w:r>
          </w:p>
        </w:tc>
        <w:tc>
          <w:tcPr>
            <w:tcW w:w="511" w:type="pct"/>
            <w:tcBorders>
              <w:left w:val="single" w:color="auto" w:sz="4" w:space="0"/>
            </w:tcBorders>
            <w:shd w:val="clear" w:color="auto" w:fill="auto"/>
            <w:vAlign w:val="center"/>
          </w:tcPr>
          <w:p w14:paraId="62A5F820">
            <w:pPr>
              <w:spacing w:line="240" w:lineRule="atLeast"/>
              <w:ind w:left="-48" w:leftChars="-23" w:right="-65" w:rightChars="-31"/>
              <w:jc w:val="left"/>
              <w:rPr>
                <w:rFonts w:hint="eastAsia" w:ascii="Times New Roman" w:hAnsi="Times New Roman"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797E0FD4">
            <w:pPr>
              <w:spacing w:line="240" w:lineRule="atLeast"/>
              <w:ind w:left="-48" w:leftChars="-23" w:right="-65" w:rightChars="-31"/>
              <w:jc w:val="left"/>
              <w:rPr>
                <w:rFonts w:ascii="Times New Roman" w:hAnsi="Times New Roman" w:eastAsia="宋体" w:cs="宋体"/>
                <w:color w:val="auto"/>
                <w:szCs w:val="24"/>
                <w:highlight w:val="none"/>
              </w:rPr>
            </w:pPr>
          </w:p>
        </w:tc>
        <w:tc>
          <w:tcPr>
            <w:tcW w:w="449" w:type="pct"/>
            <w:vMerge w:val="continue"/>
            <w:tcBorders>
              <w:left w:val="single" w:color="auto" w:sz="4" w:space="0"/>
            </w:tcBorders>
            <w:shd w:val="clear" w:color="auto" w:fill="auto"/>
            <w:vAlign w:val="center"/>
          </w:tcPr>
          <w:p w14:paraId="71C67C43">
            <w:pPr>
              <w:spacing w:line="240" w:lineRule="atLeast"/>
              <w:ind w:left="-48" w:leftChars="-23" w:right="-65" w:rightChars="-31"/>
              <w:jc w:val="left"/>
              <w:rPr>
                <w:rFonts w:ascii="Times New Roman" w:hAnsi="Times New Roman" w:eastAsia="宋体" w:cs="宋体"/>
                <w:color w:val="auto"/>
                <w:szCs w:val="24"/>
                <w:highlight w:val="none"/>
              </w:rPr>
            </w:pPr>
          </w:p>
        </w:tc>
        <w:tc>
          <w:tcPr>
            <w:tcW w:w="587" w:type="pct"/>
            <w:tcBorders>
              <w:left w:val="single" w:color="auto" w:sz="4" w:space="0"/>
            </w:tcBorders>
            <w:shd w:val="clear" w:color="auto" w:fill="auto"/>
            <w:vAlign w:val="center"/>
          </w:tcPr>
          <w:p w14:paraId="73DCE634">
            <w:pPr>
              <w:spacing w:line="240" w:lineRule="atLeast"/>
              <w:ind w:left="-48" w:leftChars="-23" w:right="-65" w:rightChars="-31"/>
              <w:jc w:val="left"/>
              <w:rPr>
                <w:rFonts w:ascii="Times New Roman" w:hAnsi="Times New Roman" w:eastAsia="宋体" w:cs="宋体"/>
                <w:color w:val="auto"/>
                <w:szCs w:val="24"/>
                <w:highlight w:val="none"/>
              </w:rPr>
            </w:pPr>
          </w:p>
        </w:tc>
      </w:tr>
      <w:tr w14:paraId="26277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55E1759">
            <w:pPr>
              <w:tabs>
                <w:tab w:val="left" w:pos="61"/>
              </w:tabs>
              <w:jc w:val="center"/>
              <w:rPr>
                <w:rFonts w:ascii="Times New Roman" w:hAnsi="Times New Roman" w:eastAsia="宋体" w:cs="Times New Roman"/>
                <w:color w:val="auto"/>
                <w:highlight w:val="none"/>
              </w:rPr>
            </w:pPr>
          </w:p>
        </w:tc>
        <w:tc>
          <w:tcPr>
            <w:tcW w:w="201" w:type="pct"/>
            <w:vMerge w:val="continue"/>
            <w:shd w:val="clear" w:color="auto" w:fill="auto"/>
            <w:vAlign w:val="center"/>
          </w:tcPr>
          <w:p w14:paraId="2EE886AE">
            <w:pPr>
              <w:tabs>
                <w:tab w:val="left" w:pos="0"/>
                <w:tab w:val="left" w:pos="56"/>
              </w:tabs>
              <w:ind w:left="547" w:hanging="478" w:hangingChars="228"/>
              <w:jc w:val="center"/>
              <w:rPr>
                <w:rFonts w:ascii="Times New Roman" w:hAnsi="Times New Roman" w:eastAsia="宋体" w:cs="Times New Roman"/>
                <w:color w:val="auto"/>
                <w:highlight w:val="none"/>
              </w:rPr>
            </w:pPr>
          </w:p>
        </w:tc>
        <w:tc>
          <w:tcPr>
            <w:tcW w:w="380" w:type="pct"/>
            <w:vMerge w:val="continue"/>
            <w:shd w:val="clear" w:color="auto" w:fill="auto"/>
            <w:vAlign w:val="center"/>
          </w:tcPr>
          <w:p w14:paraId="2AA122D0">
            <w:pPr>
              <w:spacing w:line="240" w:lineRule="atLeast"/>
              <w:ind w:left="-48" w:leftChars="-23" w:right="-65" w:rightChars="-31"/>
              <w:jc w:val="left"/>
              <w:rPr>
                <w:rFonts w:ascii="Times New Roman" w:hAnsi="Times New Roman" w:eastAsia="宋体" w:cs="宋体"/>
                <w:color w:val="auto"/>
                <w:szCs w:val="24"/>
                <w:highlight w:val="none"/>
              </w:rPr>
            </w:pPr>
          </w:p>
        </w:tc>
        <w:tc>
          <w:tcPr>
            <w:tcW w:w="282" w:type="pct"/>
            <w:vMerge w:val="continue"/>
            <w:tcBorders>
              <w:left w:val="single" w:color="auto" w:sz="4" w:space="0"/>
            </w:tcBorders>
            <w:shd w:val="clear" w:color="auto" w:fill="auto"/>
            <w:vAlign w:val="center"/>
          </w:tcPr>
          <w:p w14:paraId="12A18BF0">
            <w:pPr>
              <w:spacing w:line="240" w:lineRule="atLeast"/>
              <w:ind w:left="-48" w:leftChars="-23" w:right="-65" w:rightChars="-31"/>
              <w:jc w:val="left"/>
              <w:rPr>
                <w:rFonts w:ascii="Times New Roman" w:hAnsi="Times New Roman" w:eastAsia="宋体"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195DF2A9">
            <w:pPr>
              <w:spacing w:line="240" w:lineRule="atLeast"/>
              <w:ind w:left="-48" w:leftChars="-23" w:right="-65" w:rightChars="-31"/>
              <w:jc w:val="left"/>
              <w:rPr>
                <w:rFonts w:ascii="Times New Roman" w:hAnsi="Times New Roman" w:eastAsia="宋体" w:cs="宋体"/>
                <w:color w:val="auto"/>
                <w:szCs w:val="24"/>
                <w:highlight w:val="none"/>
              </w:rPr>
            </w:pPr>
          </w:p>
        </w:tc>
        <w:tc>
          <w:tcPr>
            <w:tcW w:w="692" w:type="pct"/>
            <w:vMerge w:val="continue"/>
            <w:tcBorders>
              <w:left w:val="single" w:color="auto" w:sz="4" w:space="0"/>
              <w:right w:val="single" w:color="auto" w:sz="4" w:space="0"/>
            </w:tcBorders>
            <w:vAlign w:val="center"/>
          </w:tcPr>
          <w:p w14:paraId="0D92CB60">
            <w:pPr>
              <w:spacing w:line="240" w:lineRule="atLeast"/>
              <w:ind w:left="-48" w:leftChars="-23" w:right="-65" w:rightChars="-31"/>
              <w:jc w:val="left"/>
              <w:rPr>
                <w:rFonts w:hint="eastAsia" w:ascii="Times New Roman" w:hAnsi="Times New Roman" w:eastAsia="宋体" w:cs="宋体"/>
                <w:color w:val="auto"/>
                <w:szCs w:val="24"/>
                <w:highlight w:val="none"/>
              </w:rPr>
            </w:pPr>
          </w:p>
        </w:tc>
        <w:tc>
          <w:tcPr>
            <w:tcW w:w="560" w:type="pct"/>
            <w:tcBorders>
              <w:left w:val="single" w:color="auto" w:sz="4" w:space="0"/>
            </w:tcBorders>
            <w:shd w:val="clear" w:color="auto" w:fill="auto"/>
            <w:vAlign w:val="center"/>
          </w:tcPr>
          <w:p w14:paraId="414A8CDA">
            <w:pPr>
              <w:spacing w:line="240" w:lineRule="atLeast"/>
              <w:ind w:left="-48" w:leftChars="-23" w:right="-65" w:rightChars="-31"/>
              <w:jc w:val="left"/>
              <w:rPr>
                <w:rFonts w:hint="default" w:ascii="Times New Roman" w:hAnsi="Times New Roman" w:eastAsia="宋体" w:cs="宋体"/>
                <w:color w:val="auto"/>
                <w:szCs w:val="24"/>
                <w:highlight w:val="none"/>
                <w:lang w:val="en-US" w:eastAsia="zh-CN"/>
              </w:rPr>
            </w:pPr>
            <w:r>
              <w:rPr>
                <w:rFonts w:hint="eastAsia" w:ascii="Times New Roman" w:hAnsi="Times New Roman" w:eastAsia="宋体" w:cs="宋体"/>
                <w:color w:val="auto"/>
                <w:szCs w:val="24"/>
                <w:highlight w:val="none"/>
                <w:lang w:val="en-US" w:eastAsia="zh-CN"/>
              </w:rPr>
              <w:t>...</w:t>
            </w:r>
          </w:p>
        </w:tc>
        <w:tc>
          <w:tcPr>
            <w:tcW w:w="511" w:type="pct"/>
            <w:tcBorders>
              <w:left w:val="single" w:color="auto" w:sz="4" w:space="0"/>
            </w:tcBorders>
            <w:shd w:val="clear" w:color="auto" w:fill="auto"/>
            <w:vAlign w:val="center"/>
          </w:tcPr>
          <w:p w14:paraId="04B4E79A">
            <w:pPr>
              <w:spacing w:line="240" w:lineRule="atLeast"/>
              <w:ind w:left="-48" w:leftChars="-23" w:right="-65" w:rightChars="-31"/>
              <w:jc w:val="left"/>
              <w:rPr>
                <w:rFonts w:hint="eastAsia" w:ascii="Times New Roman" w:hAnsi="Times New Roman"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66EC841B">
            <w:pPr>
              <w:spacing w:line="240" w:lineRule="atLeast"/>
              <w:ind w:left="-48" w:leftChars="-23" w:right="-65" w:rightChars="-31"/>
              <w:jc w:val="left"/>
              <w:rPr>
                <w:rFonts w:ascii="Times New Roman" w:hAnsi="Times New Roman" w:eastAsia="宋体" w:cs="宋体"/>
                <w:color w:val="auto"/>
                <w:szCs w:val="24"/>
                <w:highlight w:val="none"/>
              </w:rPr>
            </w:pPr>
          </w:p>
        </w:tc>
        <w:tc>
          <w:tcPr>
            <w:tcW w:w="449" w:type="pct"/>
            <w:vMerge w:val="continue"/>
            <w:tcBorders>
              <w:left w:val="single" w:color="auto" w:sz="4" w:space="0"/>
            </w:tcBorders>
            <w:shd w:val="clear" w:color="auto" w:fill="auto"/>
            <w:vAlign w:val="center"/>
          </w:tcPr>
          <w:p w14:paraId="10827549">
            <w:pPr>
              <w:spacing w:line="240" w:lineRule="atLeast"/>
              <w:ind w:left="-48" w:leftChars="-23" w:right="-65" w:rightChars="-31"/>
              <w:jc w:val="left"/>
              <w:rPr>
                <w:rFonts w:ascii="Times New Roman" w:hAnsi="Times New Roman" w:eastAsia="宋体" w:cs="宋体"/>
                <w:color w:val="auto"/>
                <w:szCs w:val="24"/>
                <w:highlight w:val="none"/>
              </w:rPr>
            </w:pPr>
          </w:p>
        </w:tc>
        <w:tc>
          <w:tcPr>
            <w:tcW w:w="587" w:type="pct"/>
            <w:tcBorders>
              <w:left w:val="single" w:color="auto" w:sz="4" w:space="0"/>
            </w:tcBorders>
            <w:shd w:val="clear" w:color="auto" w:fill="auto"/>
            <w:vAlign w:val="center"/>
          </w:tcPr>
          <w:p w14:paraId="0AA87079">
            <w:pPr>
              <w:spacing w:line="240" w:lineRule="atLeast"/>
              <w:ind w:left="-48" w:leftChars="-23" w:right="-65" w:rightChars="-31"/>
              <w:jc w:val="left"/>
              <w:rPr>
                <w:rFonts w:ascii="Times New Roman" w:hAnsi="Times New Roman" w:eastAsia="宋体" w:cs="宋体"/>
                <w:color w:val="auto"/>
                <w:szCs w:val="24"/>
                <w:highlight w:val="none"/>
              </w:rPr>
            </w:pPr>
          </w:p>
        </w:tc>
      </w:tr>
      <w:tr w14:paraId="2BCABC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B7F7CC2">
            <w:pPr>
              <w:tabs>
                <w:tab w:val="left" w:pos="61"/>
              </w:tabs>
              <w:jc w:val="center"/>
              <w:rPr>
                <w:rFonts w:ascii="Times New Roman" w:hAnsi="Times New Roman" w:eastAsia="宋体" w:cs="Times New Roman"/>
                <w:color w:val="auto"/>
                <w:highlight w:val="none"/>
              </w:rPr>
            </w:pPr>
          </w:p>
        </w:tc>
        <w:tc>
          <w:tcPr>
            <w:tcW w:w="201" w:type="pct"/>
            <w:vMerge w:val="continue"/>
            <w:shd w:val="clear" w:color="auto" w:fill="auto"/>
            <w:vAlign w:val="center"/>
          </w:tcPr>
          <w:p w14:paraId="2E8B8CF7">
            <w:pPr>
              <w:tabs>
                <w:tab w:val="left" w:pos="0"/>
                <w:tab w:val="left" w:pos="56"/>
              </w:tabs>
              <w:ind w:left="547" w:hanging="478" w:hangingChars="228"/>
              <w:jc w:val="center"/>
              <w:rPr>
                <w:rFonts w:ascii="Times New Roman" w:hAnsi="Times New Roman" w:eastAsia="宋体" w:cs="Times New Roman"/>
                <w:color w:val="auto"/>
                <w:highlight w:val="none"/>
              </w:rPr>
            </w:pPr>
          </w:p>
        </w:tc>
        <w:tc>
          <w:tcPr>
            <w:tcW w:w="380" w:type="pct"/>
            <w:vMerge w:val="continue"/>
            <w:shd w:val="clear" w:color="auto" w:fill="auto"/>
            <w:vAlign w:val="center"/>
          </w:tcPr>
          <w:p w14:paraId="15CBFB58">
            <w:pPr>
              <w:spacing w:line="240" w:lineRule="atLeast"/>
              <w:ind w:left="-48" w:leftChars="-23" w:right="-65" w:rightChars="-31"/>
              <w:jc w:val="left"/>
              <w:rPr>
                <w:rFonts w:ascii="Times New Roman" w:hAnsi="Times New Roman" w:eastAsia="宋体" w:cs="宋体"/>
                <w:color w:val="auto"/>
                <w:szCs w:val="24"/>
                <w:highlight w:val="none"/>
              </w:rPr>
            </w:pPr>
          </w:p>
        </w:tc>
        <w:tc>
          <w:tcPr>
            <w:tcW w:w="282" w:type="pct"/>
            <w:vMerge w:val="continue"/>
            <w:tcBorders>
              <w:left w:val="single" w:color="auto" w:sz="4" w:space="0"/>
            </w:tcBorders>
            <w:shd w:val="clear" w:color="auto" w:fill="auto"/>
            <w:vAlign w:val="center"/>
          </w:tcPr>
          <w:p w14:paraId="3640E9DD">
            <w:pPr>
              <w:spacing w:line="240" w:lineRule="atLeast"/>
              <w:ind w:left="-48" w:leftChars="-23" w:right="-65" w:rightChars="-31"/>
              <w:jc w:val="left"/>
              <w:rPr>
                <w:rFonts w:ascii="Times New Roman" w:hAnsi="Times New Roman" w:eastAsia="宋体"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4F7C4B03">
            <w:pPr>
              <w:spacing w:line="240" w:lineRule="atLeast"/>
              <w:ind w:left="-48" w:leftChars="-23" w:right="-65" w:rightChars="-31"/>
              <w:jc w:val="left"/>
              <w:rPr>
                <w:rFonts w:ascii="Times New Roman" w:hAnsi="Times New Roman" w:eastAsia="宋体" w:cs="宋体"/>
                <w:color w:val="auto"/>
                <w:szCs w:val="24"/>
                <w:highlight w:val="none"/>
              </w:rPr>
            </w:pPr>
          </w:p>
        </w:tc>
        <w:tc>
          <w:tcPr>
            <w:tcW w:w="692" w:type="pct"/>
            <w:tcBorders>
              <w:left w:val="single" w:color="auto" w:sz="4" w:space="0"/>
              <w:right w:val="single" w:color="auto" w:sz="4" w:space="0"/>
            </w:tcBorders>
            <w:vAlign w:val="center"/>
          </w:tcPr>
          <w:p w14:paraId="48918A4D">
            <w:pPr>
              <w:spacing w:line="240" w:lineRule="atLeast"/>
              <w:ind w:left="-48" w:leftChars="-23" w:right="-65" w:rightChars="-31"/>
              <w:jc w:val="left"/>
              <w:rPr>
                <w:rFonts w:hint="default" w:ascii="Times New Roman" w:hAnsi="Times New Roman" w:eastAsia="宋体" w:cs="宋体"/>
                <w:color w:val="auto"/>
                <w:szCs w:val="24"/>
                <w:highlight w:val="none"/>
                <w:lang w:val="en-US" w:eastAsia="zh-CN"/>
              </w:rPr>
            </w:pPr>
            <w:r>
              <w:rPr>
                <w:rFonts w:hint="eastAsia" w:ascii="Times New Roman" w:hAnsi="Times New Roman" w:eastAsia="宋体" w:cs="宋体"/>
                <w:color w:val="auto"/>
                <w:szCs w:val="24"/>
                <w:highlight w:val="none"/>
                <w:lang w:val="en-US" w:eastAsia="zh-CN"/>
              </w:rPr>
              <w:t>其他成本</w:t>
            </w:r>
          </w:p>
        </w:tc>
        <w:tc>
          <w:tcPr>
            <w:tcW w:w="560" w:type="pct"/>
            <w:tcBorders>
              <w:left w:val="single" w:color="auto" w:sz="4" w:space="0"/>
            </w:tcBorders>
            <w:shd w:val="clear" w:color="auto" w:fill="auto"/>
            <w:vAlign w:val="center"/>
          </w:tcPr>
          <w:p w14:paraId="4960D2A4">
            <w:pPr>
              <w:spacing w:line="240" w:lineRule="atLeast"/>
              <w:ind w:left="-48" w:leftChars="-23" w:right="-65" w:rightChars="-31"/>
              <w:jc w:val="left"/>
              <w:rPr>
                <w:rFonts w:hint="eastAsia" w:ascii="Times New Roman" w:hAnsi="Times New Roman" w:eastAsia="宋体" w:cs="宋体"/>
                <w:color w:val="auto"/>
                <w:szCs w:val="24"/>
                <w:highlight w:val="none"/>
                <w:lang w:val="en-US" w:eastAsia="zh-CN"/>
              </w:rPr>
            </w:pPr>
          </w:p>
        </w:tc>
        <w:tc>
          <w:tcPr>
            <w:tcW w:w="511" w:type="pct"/>
            <w:tcBorders>
              <w:left w:val="single" w:color="auto" w:sz="4" w:space="0"/>
            </w:tcBorders>
            <w:shd w:val="clear" w:color="auto" w:fill="auto"/>
            <w:vAlign w:val="center"/>
          </w:tcPr>
          <w:p w14:paraId="2D5096DB">
            <w:pPr>
              <w:spacing w:line="240" w:lineRule="atLeast"/>
              <w:ind w:left="-48" w:leftChars="-23" w:right="-65" w:rightChars="-31"/>
              <w:jc w:val="left"/>
              <w:rPr>
                <w:rFonts w:hint="eastAsia" w:ascii="Times New Roman" w:hAnsi="Times New Roman"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11C60771">
            <w:pPr>
              <w:spacing w:line="240" w:lineRule="atLeast"/>
              <w:ind w:left="-48" w:leftChars="-23" w:right="-65" w:rightChars="-31"/>
              <w:jc w:val="left"/>
              <w:rPr>
                <w:rFonts w:ascii="Times New Roman" w:hAnsi="Times New Roman" w:eastAsia="宋体" w:cs="宋体"/>
                <w:color w:val="auto"/>
                <w:szCs w:val="24"/>
                <w:highlight w:val="none"/>
              </w:rPr>
            </w:pPr>
          </w:p>
        </w:tc>
        <w:tc>
          <w:tcPr>
            <w:tcW w:w="449" w:type="pct"/>
            <w:vMerge w:val="continue"/>
            <w:tcBorders>
              <w:left w:val="single" w:color="auto" w:sz="4" w:space="0"/>
            </w:tcBorders>
            <w:shd w:val="clear" w:color="auto" w:fill="auto"/>
            <w:vAlign w:val="center"/>
          </w:tcPr>
          <w:p w14:paraId="48819C6D">
            <w:pPr>
              <w:spacing w:line="240" w:lineRule="atLeast"/>
              <w:ind w:left="-48" w:leftChars="-23" w:right="-65" w:rightChars="-31"/>
              <w:jc w:val="left"/>
              <w:rPr>
                <w:rFonts w:ascii="Times New Roman" w:hAnsi="Times New Roman" w:eastAsia="宋体" w:cs="宋体"/>
                <w:color w:val="auto"/>
                <w:szCs w:val="24"/>
                <w:highlight w:val="none"/>
              </w:rPr>
            </w:pPr>
          </w:p>
        </w:tc>
        <w:tc>
          <w:tcPr>
            <w:tcW w:w="587" w:type="pct"/>
            <w:tcBorders>
              <w:left w:val="single" w:color="auto" w:sz="4" w:space="0"/>
            </w:tcBorders>
            <w:shd w:val="clear" w:color="auto" w:fill="auto"/>
            <w:vAlign w:val="center"/>
          </w:tcPr>
          <w:p w14:paraId="22B3D0CA">
            <w:pPr>
              <w:spacing w:line="240" w:lineRule="atLeast"/>
              <w:ind w:left="-48" w:leftChars="-23" w:right="-65" w:rightChars="-31"/>
              <w:jc w:val="left"/>
              <w:rPr>
                <w:rFonts w:ascii="Times New Roman" w:hAnsi="Times New Roman" w:eastAsia="宋体" w:cs="宋体"/>
                <w:color w:val="auto"/>
                <w:szCs w:val="24"/>
                <w:highlight w:val="none"/>
              </w:rPr>
            </w:pPr>
          </w:p>
        </w:tc>
      </w:tr>
      <w:tr w14:paraId="3CD349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35972EF4">
            <w:pPr>
              <w:tabs>
                <w:tab w:val="left" w:pos="61"/>
              </w:tabs>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w:t>
            </w:r>
          </w:p>
        </w:tc>
        <w:tc>
          <w:tcPr>
            <w:tcW w:w="201" w:type="pct"/>
            <w:shd w:val="clear" w:color="auto" w:fill="auto"/>
            <w:vAlign w:val="center"/>
          </w:tcPr>
          <w:p w14:paraId="3DE7C2E3">
            <w:pPr>
              <w:tabs>
                <w:tab w:val="left" w:pos="0"/>
                <w:tab w:val="left" w:pos="56"/>
              </w:tabs>
              <w:ind w:left="547" w:hanging="478" w:hangingChars="228"/>
              <w:jc w:val="center"/>
              <w:rPr>
                <w:rFonts w:ascii="Times New Roman" w:hAnsi="Times New Roman" w:eastAsia="宋体" w:cs="Times New Roman"/>
                <w:color w:val="auto"/>
                <w:highlight w:val="none"/>
              </w:rPr>
            </w:pPr>
          </w:p>
        </w:tc>
        <w:tc>
          <w:tcPr>
            <w:tcW w:w="380" w:type="pct"/>
            <w:shd w:val="clear" w:color="auto" w:fill="auto"/>
            <w:vAlign w:val="center"/>
          </w:tcPr>
          <w:p w14:paraId="3597367C">
            <w:pPr>
              <w:spacing w:line="240" w:lineRule="atLeast"/>
              <w:ind w:left="-48" w:leftChars="-23" w:right="-65" w:rightChars="-31"/>
              <w:jc w:val="left"/>
              <w:rPr>
                <w:rFonts w:ascii="Times New Roman" w:hAnsi="Times New Roman" w:eastAsia="宋体" w:cs="宋体"/>
                <w:color w:val="auto"/>
                <w:szCs w:val="24"/>
                <w:highlight w:val="none"/>
              </w:rPr>
            </w:pPr>
          </w:p>
        </w:tc>
        <w:tc>
          <w:tcPr>
            <w:tcW w:w="282" w:type="pct"/>
            <w:tcBorders>
              <w:left w:val="single" w:color="auto" w:sz="4" w:space="0"/>
            </w:tcBorders>
            <w:shd w:val="clear" w:color="auto" w:fill="auto"/>
            <w:vAlign w:val="center"/>
          </w:tcPr>
          <w:p w14:paraId="1866D54B">
            <w:pPr>
              <w:spacing w:line="240" w:lineRule="atLeast"/>
              <w:ind w:left="-48" w:leftChars="-23" w:right="-65" w:rightChars="-31"/>
              <w:jc w:val="left"/>
              <w:rPr>
                <w:rFonts w:ascii="Times New Roman" w:hAnsi="Times New Roman" w:eastAsia="宋体" w:cs="宋体"/>
                <w:color w:val="auto"/>
                <w:szCs w:val="24"/>
                <w:highlight w:val="none"/>
              </w:rPr>
            </w:pPr>
          </w:p>
        </w:tc>
        <w:tc>
          <w:tcPr>
            <w:tcW w:w="478" w:type="pct"/>
            <w:tcBorders>
              <w:left w:val="single" w:color="auto" w:sz="4" w:space="0"/>
              <w:right w:val="single" w:color="auto" w:sz="4" w:space="0"/>
            </w:tcBorders>
            <w:shd w:val="clear" w:color="auto" w:fill="auto"/>
            <w:vAlign w:val="center"/>
          </w:tcPr>
          <w:p w14:paraId="44251C01">
            <w:pPr>
              <w:spacing w:line="240" w:lineRule="atLeast"/>
              <w:ind w:left="-48" w:leftChars="-23" w:right="-65" w:rightChars="-31"/>
              <w:jc w:val="left"/>
              <w:rPr>
                <w:rFonts w:ascii="Times New Roman" w:hAnsi="Times New Roman" w:eastAsia="宋体" w:cs="宋体"/>
                <w:color w:val="auto"/>
                <w:szCs w:val="24"/>
                <w:highlight w:val="none"/>
              </w:rPr>
            </w:pPr>
          </w:p>
        </w:tc>
        <w:tc>
          <w:tcPr>
            <w:tcW w:w="692" w:type="pct"/>
            <w:tcBorders>
              <w:left w:val="single" w:color="auto" w:sz="4" w:space="0"/>
              <w:right w:val="single" w:color="auto" w:sz="4" w:space="0"/>
            </w:tcBorders>
          </w:tcPr>
          <w:p w14:paraId="62DDD91D">
            <w:pPr>
              <w:spacing w:line="240" w:lineRule="atLeast"/>
              <w:ind w:left="-48" w:leftChars="-23" w:right="-65" w:rightChars="-31"/>
              <w:jc w:val="left"/>
              <w:rPr>
                <w:rFonts w:hint="eastAsia" w:ascii="Times New Roman" w:hAnsi="Times New Roman" w:eastAsia="宋体" w:cs="宋体"/>
                <w:color w:val="auto"/>
                <w:szCs w:val="24"/>
                <w:highlight w:val="none"/>
              </w:rPr>
            </w:pPr>
          </w:p>
        </w:tc>
        <w:tc>
          <w:tcPr>
            <w:tcW w:w="560" w:type="pct"/>
            <w:tcBorders>
              <w:left w:val="single" w:color="auto" w:sz="4" w:space="0"/>
            </w:tcBorders>
            <w:shd w:val="clear" w:color="auto" w:fill="auto"/>
            <w:vAlign w:val="center"/>
          </w:tcPr>
          <w:p w14:paraId="2AB7522E">
            <w:pPr>
              <w:spacing w:line="240" w:lineRule="atLeast"/>
              <w:ind w:left="-48" w:leftChars="-23" w:right="-65" w:rightChars="-31"/>
              <w:jc w:val="left"/>
              <w:rPr>
                <w:rFonts w:ascii="Times New Roman" w:hAnsi="Times New Roman" w:eastAsia="宋体" w:cs="宋体"/>
                <w:color w:val="auto"/>
                <w:szCs w:val="24"/>
                <w:highlight w:val="none"/>
              </w:rPr>
            </w:pPr>
          </w:p>
        </w:tc>
        <w:tc>
          <w:tcPr>
            <w:tcW w:w="511" w:type="pct"/>
            <w:tcBorders>
              <w:left w:val="single" w:color="auto" w:sz="4" w:space="0"/>
            </w:tcBorders>
            <w:shd w:val="clear" w:color="auto" w:fill="auto"/>
            <w:vAlign w:val="center"/>
          </w:tcPr>
          <w:p w14:paraId="606B2BB7">
            <w:pPr>
              <w:spacing w:line="240" w:lineRule="atLeast"/>
              <w:ind w:left="-48" w:leftChars="-23" w:right="-65" w:rightChars="-31"/>
              <w:jc w:val="left"/>
              <w:rPr>
                <w:rFonts w:ascii="Times New Roman" w:hAnsi="Times New Roman" w:eastAsia="宋体" w:cs="宋体"/>
                <w:color w:val="auto"/>
                <w:szCs w:val="24"/>
                <w:highlight w:val="none"/>
              </w:rPr>
            </w:pPr>
          </w:p>
        </w:tc>
        <w:tc>
          <w:tcPr>
            <w:tcW w:w="606" w:type="pct"/>
            <w:tcBorders>
              <w:left w:val="single" w:color="auto" w:sz="4" w:space="0"/>
            </w:tcBorders>
            <w:shd w:val="clear" w:color="auto" w:fill="auto"/>
            <w:vAlign w:val="center"/>
          </w:tcPr>
          <w:p w14:paraId="2597E3FA">
            <w:pPr>
              <w:spacing w:line="240" w:lineRule="atLeast"/>
              <w:ind w:left="-48" w:leftChars="-23" w:right="-65" w:rightChars="-31"/>
              <w:jc w:val="left"/>
              <w:rPr>
                <w:rFonts w:ascii="Times New Roman" w:hAnsi="Times New Roman" w:eastAsia="宋体" w:cs="宋体"/>
                <w:color w:val="auto"/>
                <w:szCs w:val="24"/>
                <w:highlight w:val="none"/>
              </w:rPr>
            </w:pPr>
          </w:p>
        </w:tc>
        <w:tc>
          <w:tcPr>
            <w:tcW w:w="449" w:type="pct"/>
            <w:tcBorders>
              <w:left w:val="single" w:color="auto" w:sz="4" w:space="0"/>
            </w:tcBorders>
            <w:shd w:val="clear" w:color="auto" w:fill="auto"/>
            <w:vAlign w:val="center"/>
          </w:tcPr>
          <w:p w14:paraId="3FA47CCA">
            <w:pPr>
              <w:spacing w:line="240" w:lineRule="atLeast"/>
              <w:ind w:left="-48" w:leftChars="-23" w:right="-65" w:rightChars="-31"/>
              <w:jc w:val="left"/>
              <w:rPr>
                <w:rFonts w:ascii="Times New Roman" w:hAnsi="Times New Roman" w:eastAsia="宋体" w:cs="宋体"/>
                <w:color w:val="auto"/>
                <w:szCs w:val="24"/>
                <w:highlight w:val="none"/>
              </w:rPr>
            </w:pPr>
          </w:p>
        </w:tc>
        <w:tc>
          <w:tcPr>
            <w:tcW w:w="587" w:type="pct"/>
            <w:tcBorders>
              <w:left w:val="single" w:color="auto" w:sz="4" w:space="0"/>
            </w:tcBorders>
            <w:shd w:val="clear" w:color="auto" w:fill="auto"/>
            <w:vAlign w:val="center"/>
          </w:tcPr>
          <w:p w14:paraId="75621D26">
            <w:pPr>
              <w:spacing w:line="240" w:lineRule="atLeast"/>
              <w:ind w:left="-48" w:leftChars="-23" w:right="-65" w:rightChars="-31"/>
              <w:jc w:val="left"/>
              <w:rPr>
                <w:rFonts w:ascii="Times New Roman" w:hAnsi="Times New Roman" w:eastAsia="宋体" w:cs="宋体"/>
                <w:color w:val="auto"/>
                <w:szCs w:val="24"/>
                <w:highlight w:val="none"/>
              </w:rPr>
            </w:pPr>
          </w:p>
        </w:tc>
      </w:tr>
      <w:tr w14:paraId="53FC00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A5B42C8">
            <w:pPr>
              <w:tabs>
                <w:tab w:val="left" w:pos="82"/>
              </w:tabs>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p>
        </w:tc>
        <w:tc>
          <w:tcPr>
            <w:tcW w:w="201" w:type="pct"/>
            <w:tcBorders>
              <w:bottom w:val="single" w:color="auto" w:sz="4" w:space="0"/>
            </w:tcBorders>
            <w:shd w:val="clear" w:color="auto" w:fill="auto"/>
            <w:vAlign w:val="center"/>
          </w:tcPr>
          <w:p w14:paraId="5A030B1E">
            <w:pPr>
              <w:spacing w:line="240" w:lineRule="atLeast"/>
              <w:ind w:left="-48" w:leftChars="-23" w:right="-65" w:rightChars="-31"/>
              <w:jc w:val="left"/>
              <w:rPr>
                <w:rFonts w:ascii="Times New Roman" w:hAnsi="Times New Roman" w:eastAsia="宋体" w:cs="宋体"/>
                <w:color w:val="auto"/>
                <w:szCs w:val="24"/>
                <w:highlight w:val="none"/>
              </w:rPr>
            </w:pPr>
          </w:p>
        </w:tc>
        <w:tc>
          <w:tcPr>
            <w:tcW w:w="380" w:type="pct"/>
            <w:tcBorders>
              <w:bottom w:val="single" w:color="auto" w:sz="4" w:space="0"/>
            </w:tcBorders>
            <w:shd w:val="clear" w:color="auto" w:fill="auto"/>
            <w:vAlign w:val="center"/>
          </w:tcPr>
          <w:p w14:paraId="4E60A68A">
            <w:pPr>
              <w:spacing w:line="240" w:lineRule="atLeast"/>
              <w:ind w:left="-48" w:leftChars="-23" w:right="-65" w:rightChars="-31"/>
              <w:jc w:val="left"/>
              <w:rPr>
                <w:rFonts w:ascii="Times New Roman" w:hAnsi="Times New Roman" w:eastAsia="宋体" w:cs="宋体"/>
                <w:color w:val="auto"/>
                <w:szCs w:val="24"/>
                <w:highlight w:val="none"/>
              </w:rPr>
            </w:pPr>
          </w:p>
        </w:tc>
        <w:tc>
          <w:tcPr>
            <w:tcW w:w="282" w:type="pct"/>
            <w:tcBorders>
              <w:left w:val="single" w:color="auto" w:sz="4" w:space="0"/>
              <w:bottom w:val="single" w:color="auto" w:sz="4" w:space="0"/>
            </w:tcBorders>
            <w:shd w:val="clear" w:color="auto" w:fill="auto"/>
            <w:vAlign w:val="center"/>
          </w:tcPr>
          <w:p w14:paraId="3428ACC8">
            <w:pPr>
              <w:spacing w:line="240" w:lineRule="atLeast"/>
              <w:ind w:left="-48" w:leftChars="-23" w:right="-65" w:rightChars="-31"/>
              <w:jc w:val="left"/>
              <w:rPr>
                <w:rFonts w:ascii="Times New Roman" w:hAnsi="Times New Roman" w:eastAsia="宋体" w:cs="宋体"/>
                <w:color w:val="auto"/>
                <w:szCs w:val="24"/>
                <w:highlight w:val="none"/>
              </w:rPr>
            </w:pPr>
          </w:p>
        </w:tc>
        <w:tc>
          <w:tcPr>
            <w:tcW w:w="478" w:type="pct"/>
            <w:tcBorders>
              <w:left w:val="single" w:color="auto" w:sz="4" w:space="0"/>
              <w:bottom w:val="single" w:color="auto" w:sz="4" w:space="0"/>
              <w:right w:val="single" w:color="auto" w:sz="4" w:space="0"/>
            </w:tcBorders>
            <w:shd w:val="clear" w:color="auto" w:fill="auto"/>
            <w:vAlign w:val="center"/>
          </w:tcPr>
          <w:p w14:paraId="5E298EFD">
            <w:pPr>
              <w:spacing w:line="240" w:lineRule="atLeast"/>
              <w:ind w:left="-48" w:leftChars="-23" w:right="-65" w:rightChars="-31"/>
              <w:jc w:val="left"/>
              <w:rPr>
                <w:rFonts w:ascii="Times New Roman" w:hAnsi="Times New Roman" w:eastAsia="宋体" w:cs="宋体"/>
                <w:color w:val="auto"/>
                <w:szCs w:val="24"/>
                <w:highlight w:val="none"/>
              </w:rPr>
            </w:pPr>
          </w:p>
        </w:tc>
        <w:tc>
          <w:tcPr>
            <w:tcW w:w="692" w:type="pct"/>
            <w:tcBorders>
              <w:left w:val="single" w:color="auto" w:sz="4" w:space="0"/>
              <w:bottom w:val="single" w:color="auto" w:sz="4" w:space="0"/>
              <w:right w:val="single" w:color="auto" w:sz="4" w:space="0"/>
            </w:tcBorders>
          </w:tcPr>
          <w:p w14:paraId="3058B93C">
            <w:pPr>
              <w:spacing w:line="240" w:lineRule="atLeast"/>
              <w:ind w:left="-48" w:leftChars="-23" w:right="-65" w:rightChars="-31"/>
              <w:jc w:val="left"/>
              <w:rPr>
                <w:rFonts w:ascii="Times New Roman" w:hAnsi="Times New Roman" w:eastAsia="宋体" w:cs="宋体"/>
                <w:color w:val="auto"/>
                <w:szCs w:val="24"/>
                <w:highlight w:val="none"/>
              </w:rPr>
            </w:pPr>
          </w:p>
        </w:tc>
        <w:tc>
          <w:tcPr>
            <w:tcW w:w="560" w:type="pct"/>
            <w:tcBorders>
              <w:left w:val="single" w:color="auto" w:sz="4" w:space="0"/>
              <w:bottom w:val="single" w:color="auto" w:sz="4" w:space="0"/>
            </w:tcBorders>
            <w:shd w:val="clear" w:color="auto" w:fill="auto"/>
            <w:vAlign w:val="center"/>
          </w:tcPr>
          <w:p w14:paraId="7889A83C">
            <w:pPr>
              <w:spacing w:line="240" w:lineRule="atLeast"/>
              <w:ind w:left="-48" w:leftChars="-23" w:right="-65" w:rightChars="-31"/>
              <w:jc w:val="left"/>
              <w:rPr>
                <w:rFonts w:ascii="Times New Roman" w:hAnsi="Times New Roman" w:eastAsia="宋体" w:cs="宋体"/>
                <w:color w:val="auto"/>
                <w:szCs w:val="24"/>
                <w:highlight w:val="none"/>
              </w:rPr>
            </w:pPr>
          </w:p>
        </w:tc>
        <w:tc>
          <w:tcPr>
            <w:tcW w:w="511" w:type="pct"/>
            <w:tcBorders>
              <w:left w:val="single" w:color="auto" w:sz="4" w:space="0"/>
              <w:bottom w:val="single" w:color="auto" w:sz="4" w:space="0"/>
            </w:tcBorders>
            <w:shd w:val="clear" w:color="auto" w:fill="auto"/>
            <w:vAlign w:val="center"/>
          </w:tcPr>
          <w:p w14:paraId="61116371">
            <w:pPr>
              <w:spacing w:line="240" w:lineRule="atLeast"/>
              <w:ind w:left="-48" w:leftChars="-23" w:right="-65" w:rightChars="-31"/>
              <w:jc w:val="left"/>
              <w:rPr>
                <w:rFonts w:ascii="Times New Roman" w:hAnsi="Times New Roman" w:eastAsia="宋体" w:cs="宋体"/>
                <w:color w:val="auto"/>
                <w:szCs w:val="24"/>
                <w:highlight w:val="none"/>
              </w:rPr>
            </w:pPr>
          </w:p>
          <w:p w14:paraId="7BADD47F">
            <w:pPr>
              <w:rPr>
                <w:rFonts w:ascii="Times New Roman" w:hAnsi="Times New Roman" w:eastAsia="宋体" w:cs="Times New Roman"/>
                <w:color w:val="auto"/>
                <w:highlight w:val="none"/>
              </w:rPr>
            </w:pPr>
          </w:p>
        </w:tc>
        <w:tc>
          <w:tcPr>
            <w:tcW w:w="606" w:type="pct"/>
            <w:tcBorders>
              <w:left w:val="single" w:color="auto" w:sz="4" w:space="0"/>
              <w:bottom w:val="single" w:color="auto" w:sz="4" w:space="0"/>
            </w:tcBorders>
            <w:shd w:val="clear" w:color="auto" w:fill="auto"/>
            <w:vAlign w:val="center"/>
          </w:tcPr>
          <w:p w14:paraId="13ED42C5">
            <w:pPr>
              <w:rPr>
                <w:rFonts w:ascii="Times New Roman" w:hAnsi="Times New Roman" w:eastAsia="宋体" w:cs="Times New Roman"/>
                <w:color w:val="auto"/>
                <w:highlight w:val="none"/>
              </w:rPr>
            </w:pPr>
          </w:p>
        </w:tc>
        <w:tc>
          <w:tcPr>
            <w:tcW w:w="449" w:type="pct"/>
            <w:tcBorders>
              <w:left w:val="single" w:color="auto" w:sz="4" w:space="0"/>
              <w:bottom w:val="single" w:color="auto" w:sz="4" w:space="0"/>
            </w:tcBorders>
            <w:shd w:val="clear" w:color="auto" w:fill="auto"/>
            <w:vAlign w:val="center"/>
          </w:tcPr>
          <w:p w14:paraId="06864E5C">
            <w:pPr>
              <w:spacing w:line="240" w:lineRule="atLeast"/>
              <w:ind w:left="-48" w:leftChars="-23" w:right="-65" w:rightChars="-31"/>
              <w:jc w:val="left"/>
              <w:rPr>
                <w:rFonts w:ascii="Times New Roman" w:hAnsi="Times New Roman" w:eastAsia="宋体" w:cs="宋体"/>
                <w:color w:val="auto"/>
                <w:szCs w:val="24"/>
                <w:highlight w:val="none"/>
              </w:rPr>
            </w:pPr>
          </w:p>
        </w:tc>
        <w:tc>
          <w:tcPr>
            <w:tcW w:w="587" w:type="pct"/>
            <w:tcBorders>
              <w:left w:val="single" w:color="auto" w:sz="4" w:space="0"/>
              <w:bottom w:val="single" w:color="auto" w:sz="4" w:space="0"/>
            </w:tcBorders>
            <w:shd w:val="clear" w:color="auto" w:fill="auto"/>
            <w:vAlign w:val="center"/>
          </w:tcPr>
          <w:p w14:paraId="3A6A595F">
            <w:pPr>
              <w:spacing w:line="240" w:lineRule="atLeast"/>
              <w:ind w:left="-48" w:leftChars="-23" w:right="-65" w:rightChars="-31"/>
              <w:jc w:val="left"/>
              <w:rPr>
                <w:rFonts w:ascii="Times New Roman" w:hAnsi="Times New Roman" w:eastAsia="宋体" w:cs="宋体"/>
                <w:color w:val="auto"/>
                <w:szCs w:val="24"/>
                <w:highlight w:val="none"/>
              </w:rPr>
            </w:pPr>
          </w:p>
        </w:tc>
      </w:tr>
    </w:tbl>
    <w:p w14:paraId="02E07958">
      <w:pPr>
        <w:spacing w:line="360" w:lineRule="auto"/>
        <w:jc w:val="left"/>
        <w:rPr>
          <w:color w:val="auto"/>
          <w:szCs w:val="21"/>
          <w:highlight w:val="none"/>
        </w:rPr>
      </w:pPr>
    </w:p>
    <w:p w14:paraId="451EE4E7">
      <w:pPr>
        <w:spacing w:line="360" w:lineRule="auto"/>
        <w:jc w:val="left"/>
        <w:rPr>
          <w:color w:val="auto"/>
          <w:szCs w:val="21"/>
          <w:highlight w:val="none"/>
        </w:rPr>
      </w:pPr>
      <w:r>
        <w:rPr>
          <w:rFonts w:hint="eastAsia"/>
          <w:color w:val="auto"/>
          <w:szCs w:val="21"/>
          <w:highlight w:val="none"/>
          <w:lang w:val="en-US" w:eastAsia="zh-CN"/>
        </w:rPr>
        <w:t>说明：项目具体成本测算等与报价合理性相关的书面说明及必要的证明材料，包括但不限于原材料成本、人工成本、制造费用等</w:t>
      </w:r>
    </w:p>
    <w:p w14:paraId="48872FB6">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55C200DF">
      <w:pPr>
        <w:spacing w:line="360" w:lineRule="auto"/>
        <w:ind w:firstLine="6090" w:firstLineChars="2900"/>
        <w:jc w:val="left"/>
        <w:rPr>
          <w:color w:val="auto"/>
          <w:szCs w:val="21"/>
          <w:highlight w:val="none"/>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color w:val="auto"/>
          <w:szCs w:val="21"/>
          <w:highlight w:val="none"/>
        </w:rPr>
        <w:t>日  期</w:t>
      </w:r>
      <w:r>
        <w:rPr>
          <w:rFonts w:hint="eastAsia" w:eastAsia="宋体"/>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bookmarkEnd w:id="0"/>
    <w:bookmarkEnd w:id="1"/>
    <w:p w14:paraId="3941C115">
      <w:pPr>
        <w:widowControl/>
        <w:jc w:val="left"/>
        <w:outlineLvl w:val="1"/>
        <w:rPr>
          <w:rFonts w:ascii="Arial" w:hAnsi="Arial" w:cs="Arial"/>
          <w:color w:val="auto"/>
          <w:szCs w:val="21"/>
          <w:highlight w:val="none"/>
        </w:rPr>
      </w:pPr>
      <w:bookmarkStart w:id="175" w:name="_Hlk88990880"/>
      <w:r>
        <w:rPr>
          <w:rFonts w:hint="eastAsia" w:ascii="Arial" w:hAnsi="Arial" w:cs="Arial"/>
          <w:color w:val="auto"/>
          <w:szCs w:val="21"/>
          <w:highlight w:val="none"/>
          <w:lang w:val="en-US" w:eastAsia="zh-CN"/>
        </w:rPr>
        <w:t>4</w:t>
      </w:r>
      <w:r>
        <w:rPr>
          <w:rFonts w:ascii="Arial" w:hAnsi="Arial" w:cs="Arial"/>
          <w:color w:val="auto"/>
          <w:szCs w:val="21"/>
          <w:highlight w:val="none"/>
        </w:rPr>
        <w:t>．开标一览表</w:t>
      </w:r>
    </w:p>
    <w:p w14:paraId="6BBCB82B">
      <w:pPr>
        <w:widowControl/>
        <w:jc w:val="left"/>
        <w:rPr>
          <w:rFonts w:ascii="Arial" w:hAnsi="Arial" w:cs="Arial"/>
          <w:color w:val="auto"/>
          <w:szCs w:val="21"/>
          <w:highlight w:val="none"/>
        </w:rPr>
      </w:pPr>
    </w:p>
    <w:p w14:paraId="7D212B03">
      <w:pPr>
        <w:widowControl/>
        <w:jc w:val="left"/>
        <w:rPr>
          <w:rFonts w:ascii="Arial" w:hAnsi="Arial" w:cs="Arial"/>
          <w:color w:val="auto"/>
          <w:szCs w:val="21"/>
          <w:highlight w:val="none"/>
        </w:rPr>
      </w:pPr>
    </w:p>
    <w:p w14:paraId="63F7BB69">
      <w:pPr>
        <w:widowControl/>
        <w:jc w:val="left"/>
        <w:rPr>
          <w:rFonts w:ascii="Arial" w:hAnsi="Arial" w:cs="Arial"/>
          <w:color w:val="auto"/>
          <w:szCs w:val="21"/>
          <w:highlight w:val="none"/>
        </w:rPr>
      </w:pPr>
    </w:p>
    <w:p w14:paraId="27219E51">
      <w:pPr>
        <w:rPr>
          <w:rFonts w:ascii="Arial" w:hAnsi="Arial" w:cs="Arial"/>
          <w:b/>
          <w:color w:val="auto"/>
          <w:szCs w:val="21"/>
          <w:highlight w:val="none"/>
        </w:rPr>
      </w:pPr>
    </w:p>
    <w:p w14:paraId="218F3250">
      <w:pPr>
        <w:rPr>
          <w:rFonts w:ascii="Arial" w:hAnsi="Arial" w:cs="Arial"/>
          <w:b/>
          <w:color w:val="auto"/>
          <w:szCs w:val="21"/>
          <w:highlight w:val="none"/>
        </w:rPr>
      </w:pPr>
    </w:p>
    <w:p w14:paraId="6D42BF0E">
      <w:pPr>
        <w:rPr>
          <w:rFonts w:ascii="Arial" w:hAnsi="Arial" w:cs="Arial"/>
          <w:b/>
          <w:color w:val="auto"/>
          <w:szCs w:val="21"/>
          <w:highlight w:val="none"/>
        </w:rPr>
      </w:pPr>
      <w:r>
        <w:rPr>
          <w:rFonts w:ascii="Arial" w:hAnsi="Arial" w:cs="Arial"/>
          <w:b/>
          <w:color w:val="auto"/>
          <w:szCs w:val="21"/>
          <w:highlight w:val="none"/>
        </w:rPr>
        <w:t>格式详见广西政府采购云平台，且仅在广西政府采购云平台填写即可。</w:t>
      </w:r>
    </w:p>
    <w:bookmarkEnd w:id="175"/>
    <w:p w14:paraId="73F671C9">
      <w:pPr>
        <w:snapToGrid w:val="0"/>
        <w:spacing w:before="120" w:beforeLines="50" w:after="50" w:line="440" w:lineRule="exact"/>
        <w:jc w:val="left"/>
        <w:outlineLvl w:val="1"/>
        <w:rPr>
          <w:rFonts w:ascii="Arial" w:hAnsi="Arial" w:cs="Arial"/>
          <w:bCs/>
          <w:color w:val="auto"/>
          <w:sz w:val="24"/>
          <w:highlight w:val="none"/>
        </w:rPr>
      </w:pPr>
    </w:p>
    <w:sectPr>
      <w:headerReference r:id="rId18" w:type="default"/>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A93EF">
    <w:pPr>
      <w:pStyle w:val="32"/>
      <w:framePr w:wrap="around" w:vAnchor="text" w:hAnchor="margin" w:xAlign="center" w:y="1"/>
      <w:rPr>
        <w:rStyle w:val="56"/>
      </w:rPr>
    </w:pPr>
    <w:r>
      <w:fldChar w:fldCharType="begin"/>
    </w:r>
    <w:r>
      <w:rPr>
        <w:rStyle w:val="56"/>
      </w:rPr>
      <w:instrText xml:space="preserve">PAGE  </w:instrText>
    </w:r>
    <w:r>
      <w:fldChar w:fldCharType="separate"/>
    </w:r>
    <w:r>
      <w:fldChar w:fldCharType="end"/>
    </w:r>
  </w:p>
  <w:p w14:paraId="036F4595">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FED6C">
    <w:pPr>
      <w:pStyle w:val="32"/>
      <w:ind w:right="360"/>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C3FF0">
    <w:pPr>
      <w:pStyle w:val="3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87398D">
                          <w:pPr>
                            <w:pStyle w:val="3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CIngssBAACcAwAADgAAAGRycy9lMm9Eb2MueG1srVPNjtMwEL4j8Q6W&#10;79RpB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7Ks&#10;Vq9y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AiJ4LLAQAAnAMAAA4AAAAAAAAAAQAgAAAAHgEAAGRycy9lMm9E&#10;b2MueG1sUEsFBgAAAAAGAAYAWQEAAFsFAAAAAA==&#10;">
              <v:fill on="f" focussize="0,0"/>
              <v:stroke on="f"/>
              <v:imagedata o:title=""/>
              <o:lock v:ext="edit" aspectratio="f"/>
              <v:textbox inset="0mm,0mm,0mm,0mm" style="mso-fit-shape-to-text:t;">
                <w:txbxContent>
                  <w:p w14:paraId="5487398D">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1BDC9">
    <w:pPr>
      <w:pStyle w:val="32"/>
      <w:jc w:val="center"/>
      <w:rPr>
        <w:rFonts w:hint="eastAsia"/>
      </w:rPr>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36596">
    <w:pPr>
      <w:pStyle w:val="3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2EBD09">
                          <w:pPr>
                            <w:pStyle w:val="32"/>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KUaAssBAACc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Fl&#10;tbrJ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ilGgLLAQAAnAMAAA4AAAAAAAAAAQAgAAAAHgEAAGRycy9lMm9E&#10;b2MueG1sUEsFBgAAAAAGAAYAWQEAAFsFAAAAAA==&#10;">
              <v:fill on="f" focussize="0,0"/>
              <v:stroke on="f"/>
              <v:imagedata o:title=""/>
              <o:lock v:ext="edit" aspectratio="f"/>
              <v:textbox inset="0mm,0mm,0mm,0mm" style="mso-fit-shape-to-text:t;">
                <w:txbxContent>
                  <w:p w14:paraId="182EBD09">
                    <w:pPr>
                      <w:pStyle w:val="32"/>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8042D">
    <w:pPr>
      <w:pStyle w:val="3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421457">
                          <w:pPr>
                            <w:pStyle w:val="32"/>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T9gNMsBAACcAwAADgAAAGRycy9lMm9Eb2MueG1srVPNjtMwEL4j8Q6W&#10;79RpD0sV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4bekOJ4xYHfvnx/fLz9+XXN7Ks&#10;Vq9zh/oANSbeB0xNw1s/4N7MfkBnFj6oaPMXJRGMY3/P1/7KIRGRH61X63WFIYGx+YL47OF5iJDe&#10;SW9JNhoacYClr/z0AdKYOqfkas7faWPKEI37y4GY2cMy95FjttKwHyZBe9+eUU+Ps2+ow1WnxLx3&#10;2Nq8JrMRZ2M/G8cQ9aFDasvCC8KbY0IShVuuMMJOhXFoRd20YHkrHt9L1sNPtf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U/YDTLAQAAnAMAAA4AAAAAAAAAAQAgAAAAHgEAAGRycy9lMm9E&#10;b2MueG1sUEsFBgAAAAAGAAYAWQEAAFsFAAAAAA==&#10;">
              <v:fill on="f" focussize="0,0"/>
              <v:stroke on="f"/>
              <v:imagedata o:title=""/>
              <o:lock v:ext="edit" aspectratio="f"/>
              <v:textbox inset="0mm,0mm,0mm,0mm" style="mso-fit-shape-to-text:t;">
                <w:txbxContent>
                  <w:p w14:paraId="0A421457">
                    <w:pPr>
                      <w:pStyle w:val="3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D0F46">
    <w:pPr>
      <w:pStyle w:val="3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27A8D">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66547">
    <w:pPr>
      <w:pStyle w:val="33"/>
      <w:jc w:val="left"/>
    </w:pPr>
    <w:r>
      <w:rPr>
        <w:rFonts w:hint="eastAsia"/>
      </w:rPr>
      <w:t xml:space="preserve">广西机电设备招标有限公司招标文件                                                               </w:t>
    </w:r>
  </w:p>
  <w:p w14:paraId="152389EE">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C3DFA">
    <w:pPr>
      <w:pStyle w:val="33"/>
      <w:jc w:val="left"/>
    </w:pPr>
    <w:r>
      <w:rPr>
        <w:rFonts w:hint="eastAsia"/>
      </w:rPr>
      <w:t xml:space="preserve">广西机电设备招标有限公司招标文件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6C1AE">
    <w:pPr>
      <w:pStyle w:val="33"/>
      <w:jc w:val="left"/>
    </w:pPr>
    <w:r>
      <w:rPr>
        <w:rFonts w:hint="eastAsia"/>
      </w:rPr>
      <w:t>广西机电设备招标有限公司招标文件                                                              招标公告</w:t>
    </w:r>
  </w:p>
  <w:p w14:paraId="1B2D4EC5">
    <w:pPr>
      <w:pStyle w:val="33"/>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766FF">
    <w:pPr>
      <w:pStyle w:val="33"/>
      <w:jc w:val="left"/>
    </w:pPr>
    <w:r>
      <w:rPr>
        <w:rFonts w:hint="eastAsia"/>
      </w:rPr>
      <w:t xml:space="preserve">广西机电设备招标有限公司招标文件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51611">
    <w:pPr>
      <w:pStyle w:val="33"/>
      <w:jc w:val="left"/>
    </w:pPr>
    <w:r>
      <w:rPr>
        <w:rFonts w:hint="eastAsia"/>
      </w:rPr>
      <w:t xml:space="preserve">广西机电设备招标有限公司招标文件                                                            </w:t>
    </w:r>
  </w:p>
  <w:p w14:paraId="6F3E23A5">
    <w:pPr>
      <w:pStyle w:val="33"/>
      <w:pBdr>
        <w:bottom w:val="none" w:color="auto"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6CB0A">
    <w:pPr>
      <w:pStyle w:val="33"/>
      <w:jc w:val="left"/>
    </w:pPr>
    <w:r>
      <w:rPr>
        <w:rFonts w:hint="eastAsia"/>
      </w:rPr>
      <w:t xml:space="preserve">广西机电设备招标有限公司招标文件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1556F">
    <w:pPr>
      <w:pStyle w:val="33"/>
      <w:ind w:left="2790" w:hanging="2790" w:hangingChars="1550"/>
      <w:jc w:val="left"/>
    </w:pPr>
    <w:r>
      <w:rPr>
        <w:rFonts w:hint="eastAsia"/>
      </w:rPr>
      <w:t xml:space="preserve">广西机电设备招标有限公司招标文件  </w:t>
    </w:r>
    <w:r>
      <w:t xml:space="preserve">                                                 </w:t>
    </w: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BFF5C">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5BC0A"/>
    <w:multiLevelType w:val="singleLevel"/>
    <w:tmpl w:val="8305BC0A"/>
    <w:lvl w:ilvl="0" w:tentative="0">
      <w:start w:val="6"/>
      <w:numFmt w:val="decimal"/>
      <w:suff w:val="nothing"/>
      <w:lvlText w:val="%1、"/>
      <w:lvlJc w:val="left"/>
    </w:lvl>
  </w:abstractNum>
  <w:abstractNum w:abstractNumId="1">
    <w:nsid w:val="00000002"/>
    <w:multiLevelType w:val="multilevel"/>
    <w:tmpl w:val="00000002"/>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0000004"/>
    <w:multiLevelType w:val="multilevel"/>
    <w:tmpl w:val="00000004"/>
    <w:lvl w:ilvl="0" w:tentative="0">
      <w:start w:val="1"/>
      <w:numFmt w:val="japaneseCounting"/>
      <w:lvlText w:val="第%1条"/>
      <w:lvlJc w:val="left"/>
      <w:pPr>
        <w:tabs>
          <w:tab w:val="left" w:pos="1262"/>
        </w:tabs>
        <w:ind w:left="1262" w:hanging="840"/>
      </w:pPr>
      <w:rPr>
        <w:rFonts w:hint="default"/>
      </w:rPr>
    </w:lvl>
    <w:lvl w:ilvl="1" w:tentative="0">
      <w:start w:val="1"/>
      <w:numFmt w:val="lowerLetter"/>
      <w:lvlText w:val="%2)"/>
      <w:lvlJc w:val="left"/>
      <w:pPr>
        <w:tabs>
          <w:tab w:val="left" w:pos="1262"/>
        </w:tabs>
        <w:ind w:left="1262" w:hanging="420"/>
      </w:pPr>
    </w:lvl>
    <w:lvl w:ilvl="2" w:tentative="0">
      <w:start w:val="1"/>
      <w:numFmt w:val="lowerRoman"/>
      <w:lvlText w:val="%3."/>
      <w:lvlJc w:val="right"/>
      <w:pPr>
        <w:tabs>
          <w:tab w:val="left" w:pos="1682"/>
        </w:tabs>
        <w:ind w:left="1682" w:hanging="420"/>
      </w:p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3">
    <w:nsid w:val="0D1D798D"/>
    <w:multiLevelType w:val="singleLevel"/>
    <w:tmpl w:val="0D1D798D"/>
    <w:lvl w:ilvl="0" w:tentative="0">
      <w:start w:val="3"/>
      <w:numFmt w:val="decimal"/>
      <w:suff w:val="nothing"/>
      <w:lvlText w:val="%1、"/>
      <w:lvlJc w:val="left"/>
    </w:lvl>
  </w:abstractNum>
  <w:abstractNum w:abstractNumId="4">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xMTY0MDhkMGY5ZmZmOTMwNmYxMmFlY2FmZTU0NTA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802"/>
    <w:rsid w:val="00010F49"/>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3143"/>
    <w:rsid w:val="000631AC"/>
    <w:rsid w:val="000631B7"/>
    <w:rsid w:val="000639D4"/>
    <w:rsid w:val="00064A48"/>
    <w:rsid w:val="00064C80"/>
    <w:rsid w:val="00065749"/>
    <w:rsid w:val="00065AB7"/>
    <w:rsid w:val="00065AF3"/>
    <w:rsid w:val="00065B00"/>
    <w:rsid w:val="00065D71"/>
    <w:rsid w:val="0006676F"/>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D7"/>
    <w:rsid w:val="000A10DB"/>
    <w:rsid w:val="000A10DE"/>
    <w:rsid w:val="000A1EC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10797"/>
    <w:rsid w:val="00110F60"/>
    <w:rsid w:val="00111ECD"/>
    <w:rsid w:val="001120FF"/>
    <w:rsid w:val="001121DD"/>
    <w:rsid w:val="00112DBF"/>
    <w:rsid w:val="00113646"/>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14B"/>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551D"/>
    <w:rsid w:val="002458CE"/>
    <w:rsid w:val="00246513"/>
    <w:rsid w:val="00246B1D"/>
    <w:rsid w:val="00247BDE"/>
    <w:rsid w:val="00247EE8"/>
    <w:rsid w:val="00250B11"/>
    <w:rsid w:val="00251C98"/>
    <w:rsid w:val="00251EB3"/>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A11"/>
    <w:rsid w:val="00261CB5"/>
    <w:rsid w:val="002625F2"/>
    <w:rsid w:val="00263413"/>
    <w:rsid w:val="0026431A"/>
    <w:rsid w:val="002644A4"/>
    <w:rsid w:val="00265066"/>
    <w:rsid w:val="00265599"/>
    <w:rsid w:val="00265C93"/>
    <w:rsid w:val="00266300"/>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90AA4"/>
    <w:rsid w:val="003912E4"/>
    <w:rsid w:val="003914F2"/>
    <w:rsid w:val="00391901"/>
    <w:rsid w:val="0039192C"/>
    <w:rsid w:val="00391AC1"/>
    <w:rsid w:val="00391B2B"/>
    <w:rsid w:val="00392361"/>
    <w:rsid w:val="003923E6"/>
    <w:rsid w:val="0039240B"/>
    <w:rsid w:val="00393129"/>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2DA"/>
    <w:rsid w:val="003F031C"/>
    <w:rsid w:val="003F1622"/>
    <w:rsid w:val="003F1AA3"/>
    <w:rsid w:val="003F25EF"/>
    <w:rsid w:val="003F3000"/>
    <w:rsid w:val="003F3277"/>
    <w:rsid w:val="003F3A1A"/>
    <w:rsid w:val="003F43D1"/>
    <w:rsid w:val="003F46CF"/>
    <w:rsid w:val="003F4C79"/>
    <w:rsid w:val="003F4E06"/>
    <w:rsid w:val="003F5322"/>
    <w:rsid w:val="003F5590"/>
    <w:rsid w:val="003F5E3F"/>
    <w:rsid w:val="003F5EB7"/>
    <w:rsid w:val="003F6496"/>
    <w:rsid w:val="003F67CB"/>
    <w:rsid w:val="003F7133"/>
    <w:rsid w:val="003F759C"/>
    <w:rsid w:val="00401ABA"/>
    <w:rsid w:val="00401CD0"/>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1C"/>
    <w:rsid w:val="00422508"/>
    <w:rsid w:val="0042267A"/>
    <w:rsid w:val="00422C59"/>
    <w:rsid w:val="00422CFC"/>
    <w:rsid w:val="0042412E"/>
    <w:rsid w:val="0042472D"/>
    <w:rsid w:val="00424897"/>
    <w:rsid w:val="00424ABD"/>
    <w:rsid w:val="0042505E"/>
    <w:rsid w:val="004257A7"/>
    <w:rsid w:val="00425EF9"/>
    <w:rsid w:val="00427FEE"/>
    <w:rsid w:val="0043011A"/>
    <w:rsid w:val="0043040E"/>
    <w:rsid w:val="004305C5"/>
    <w:rsid w:val="00430C70"/>
    <w:rsid w:val="004318F9"/>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1C87"/>
    <w:rsid w:val="004828B4"/>
    <w:rsid w:val="00482B8F"/>
    <w:rsid w:val="00482F94"/>
    <w:rsid w:val="004836EF"/>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78E"/>
    <w:rsid w:val="004B0A5F"/>
    <w:rsid w:val="004B11AD"/>
    <w:rsid w:val="004B157C"/>
    <w:rsid w:val="004B15CE"/>
    <w:rsid w:val="004B2630"/>
    <w:rsid w:val="004B4A7F"/>
    <w:rsid w:val="004B51A3"/>
    <w:rsid w:val="004B534E"/>
    <w:rsid w:val="004B59CB"/>
    <w:rsid w:val="004B6901"/>
    <w:rsid w:val="004B6F05"/>
    <w:rsid w:val="004C0712"/>
    <w:rsid w:val="004C0F0D"/>
    <w:rsid w:val="004C1062"/>
    <w:rsid w:val="004C1208"/>
    <w:rsid w:val="004C1838"/>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A9A"/>
    <w:rsid w:val="005530E3"/>
    <w:rsid w:val="00553457"/>
    <w:rsid w:val="005539EC"/>
    <w:rsid w:val="00553A0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5F9"/>
    <w:rsid w:val="005C778A"/>
    <w:rsid w:val="005C784B"/>
    <w:rsid w:val="005C794A"/>
    <w:rsid w:val="005C7B1F"/>
    <w:rsid w:val="005C7F78"/>
    <w:rsid w:val="005D12BF"/>
    <w:rsid w:val="005D130E"/>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F8D"/>
    <w:rsid w:val="00640005"/>
    <w:rsid w:val="0064043A"/>
    <w:rsid w:val="0064099A"/>
    <w:rsid w:val="00641758"/>
    <w:rsid w:val="00641B2C"/>
    <w:rsid w:val="00641DF1"/>
    <w:rsid w:val="00642B83"/>
    <w:rsid w:val="0064341D"/>
    <w:rsid w:val="0064406E"/>
    <w:rsid w:val="00644143"/>
    <w:rsid w:val="00644462"/>
    <w:rsid w:val="00644C00"/>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6D0"/>
    <w:rsid w:val="00675115"/>
    <w:rsid w:val="006756AB"/>
    <w:rsid w:val="00675FA0"/>
    <w:rsid w:val="006773C2"/>
    <w:rsid w:val="00677B79"/>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27E3"/>
    <w:rsid w:val="006F28FB"/>
    <w:rsid w:val="006F316D"/>
    <w:rsid w:val="006F39CD"/>
    <w:rsid w:val="006F3DAA"/>
    <w:rsid w:val="006F3E73"/>
    <w:rsid w:val="006F4017"/>
    <w:rsid w:val="006F4C1E"/>
    <w:rsid w:val="006F67CD"/>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3E22"/>
    <w:rsid w:val="00774761"/>
    <w:rsid w:val="00774B06"/>
    <w:rsid w:val="00774C2B"/>
    <w:rsid w:val="00775DBF"/>
    <w:rsid w:val="007762CD"/>
    <w:rsid w:val="0077645A"/>
    <w:rsid w:val="00777290"/>
    <w:rsid w:val="007774E8"/>
    <w:rsid w:val="00780273"/>
    <w:rsid w:val="00780482"/>
    <w:rsid w:val="007808C2"/>
    <w:rsid w:val="00780956"/>
    <w:rsid w:val="007809D2"/>
    <w:rsid w:val="00780D18"/>
    <w:rsid w:val="0078233F"/>
    <w:rsid w:val="00782D8F"/>
    <w:rsid w:val="00782F00"/>
    <w:rsid w:val="00782FC5"/>
    <w:rsid w:val="00783533"/>
    <w:rsid w:val="0078357E"/>
    <w:rsid w:val="0078385A"/>
    <w:rsid w:val="007839E7"/>
    <w:rsid w:val="00783C90"/>
    <w:rsid w:val="007841FF"/>
    <w:rsid w:val="00785009"/>
    <w:rsid w:val="00785E26"/>
    <w:rsid w:val="00785EFF"/>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3EE8"/>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F5"/>
    <w:rsid w:val="00810E30"/>
    <w:rsid w:val="00810ED7"/>
    <w:rsid w:val="00811973"/>
    <w:rsid w:val="008129D1"/>
    <w:rsid w:val="00813AEB"/>
    <w:rsid w:val="00814CAD"/>
    <w:rsid w:val="00816FBA"/>
    <w:rsid w:val="00817D96"/>
    <w:rsid w:val="00817F9A"/>
    <w:rsid w:val="008219FB"/>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B47"/>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8B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573"/>
    <w:rsid w:val="00914B78"/>
    <w:rsid w:val="009158B9"/>
    <w:rsid w:val="00915B61"/>
    <w:rsid w:val="00915DC8"/>
    <w:rsid w:val="0091620A"/>
    <w:rsid w:val="00916863"/>
    <w:rsid w:val="009168F0"/>
    <w:rsid w:val="009172A6"/>
    <w:rsid w:val="00917458"/>
    <w:rsid w:val="00917A98"/>
    <w:rsid w:val="0092096D"/>
    <w:rsid w:val="00921E5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2F0"/>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CFE"/>
    <w:rsid w:val="00943F96"/>
    <w:rsid w:val="00943FA2"/>
    <w:rsid w:val="00944115"/>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23F9"/>
    <w:rsid w:val="009526CD"/>
    <w:rsid w:val="0095315A"/>
    <w:rsid w:val="009534DD"/>
    <w:rsid w:val="009535C2"/>
    <w:rsid w:val="00953A73"/>
    <w:rsid w:val="00954D5A"/>
    <w:rsid w:val="009551A8"/>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831"/>
    <w:rsid w:val="00971940"/>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5038"/>
    <w:rsid w:val="009B5121"/>
    <w:rsid w:val="009B56BE"/>
    <w:rsid w:val="009B573C"/>
    <w:rsid w:val="009B5B0B"/>
    <w:rsid w:val="009B6E08"/>
    <w:rsid w:val="009B6E0F"/>
    <w:rsid w:val="009B7356"/>
    <w:rsid w:val="009B7A8A"/>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80321"/>
    <w:rsid w:val="00B80C2F"/>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1C"/>
    <w:rsid w:val="00BB772D"/>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563"/>
    <w:rsid w:val="00C21792"/>
    <w:rsid w:val="00C21910"/>
    <w:rsid w:val="00C2200C"/>
    <w:rsid w:val="00C224D0"/>
    <w:rsid w:val="00C22E4B"/>
    <w:rsid w:val="00C22EF9"/>
    <w:rsid w:val="00C23BC5"/>
    <w:rsid w:val="00C23E65"/>
    <w:rsid w:val="00C240D2"/>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92"/>
    <w:rsid w:val="00C85810"/>
    <w:rsid w:val="00C85A6D"/>
    <w:rsid w:val="00C85C14"/>
    <w:rsid w:val="00C8625A"/>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60AD"/>
    <w:rsid w:val="00CB68A2"/>
    <w:rsid w:val="00CB731B"/>
    <w:rsid w:val="00CB73FA"/>
    <w:rsid w:val="00CB75D1"/>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B8D"/>
    <w:rsid w:val="00CD4ECA"/>
    <w:rsid w:val="00CD51D2"/>
    <w:rsid w:val="00CD5857"/>
    <w:rsid w:val="00CD5FFD"/>
    <w:rsid w:val="00CD688F"/>
    <w:rsid w:val="00CD75DE"/>
    <w:rsid w:val="00CD7B0A"/>
    <w:rsid w:val="00CD7CC3"/>
    <w:rsid w:val="00CE02E6"/>
    <w:rsid w:val="00CE1043"/>
    <w:rsid w:val="00CE1AC9"/>
    <w:rsid w:val="00CE1F54"/>
    <w:rsid w:val="00CE31E5"/>
    <w:rsid w:val="00CE3214"/>
    <w:rsid w:val="00CE3564"/>
    <w:rsid w:val="00CE42A1"/>
    <w:rsid w:val="00CE488E"/>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D0093A"/>
    <w:rsid w:val="00D011F0"/>
    <w:rsid w:val="00D01731"/>
    <w:rsid w:val="00D0212E"/>
    <w:rsid w:val="00D04F7B"/>
    <w:rsid w:val="00D0512C"/>
    <w:rsid w:val="00D058AF"/>
    <w:rsid w:val="00D06211"/>
    <w:rsid w:val="00D06E9F"/>
    <w:rsid w:val="00D06FFF"/>
    <w:rsid w:val="00D0795F"/>
    <w:rsid w:val="00D07B7D"/>
    <w:rsid w:val="00D07CAD"/>
    <w:rsid w:val="00D07D5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5B2"/>
    <w:rsid w:val="00D4101C"/>
    <w:rsid w:val="00D411AB"/>
    <w:rsid w:val="00D41BD7"/>
    <w:rsid w:val="00D41C9A"/>
    <w:rsid w:val="00D41E32"/>
    <w:rsid w:val="00D42078"/>
    <w:rsid w:val="00D4227E"/>
    <w:rsid w:val="00D42CC1"/>
    <w:rsid w:val="00D42F6C"/>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14F"/>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FB9"/>
    <w:rsid w:val="00DF6037"/>
    <w:rsid w:val="00DF6B4D"/>
    <w:rsid w:val="00DF72B0"/>
    <w:rsid w:val="00DF781D"/>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9CB"/>
    <w:rsid w:val="00E80193"/>
    <w:rsid w:val="00E80B80"/>
    <w:rsid w:val="00E80F03"/>
    <w:rsid w:val="00E814BC"/>
    <w:rsid w:val="00E81603"/>
    <w:rsid w:val="00E81A4E"/>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7E3"/>
    <w:rsid w:val="00E91C47"/>
    <w:rsid w:val="00E91D47"/>
    <w:rsid w:val="00E92935"/>
    <w:rsid w:val="00E92D6D"/>
    <w:rsid w:val="00E94323"/>
    <w:rsid w:val="00E949D3"/>
    <w:rsid w:val="00E950B7"/>
    <w:rsid w:val="00E96473"/>
    <w:rsid w:val="00E9686D"/>
    <w:rsid w:val="00E96A0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D4A"/>
    <w:rsid w:val="00EC4820"/>
    <w:rsid w:val="00EC5DD1"/>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11F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10C"/>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16E4"/>
    <w:rsid w:val="00F01B75"/>
    <w:rsid w:val="00F0245D"/>
    <w:rsid w:val="00F0268A"/>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2E4A"/>
    <w:rsid w:val="00F93C2D"/>
    <w:rsid w:val="00F9431A"/>
    <w:rsid w:val="00F94CF3"/>
    <w:rsid w:val="00F957C9"/>
    <w:rsid w:val="00F96182"/>
    <w:rsid w:val="00F963DA"/>
    <w:rsid w:val="00F9643D"/>
    <w:rsid w:val="00F9658B"/>
    <w:rsid w:val="00F967F7"/>
    <w:rsid w:val="00FA0D6C"/>
    <w:rsid w:val="00FA106A"/>
    <w:rsid w:val="00FA1F78"/>
    <w:rsid w:val="00FA2038"/>
    <w:rsid w:val="00FA20B1"/>
    <w:rsid w:val="00FA2240"/>
    <w:rsid w:val="00FA27B3"/>
    <w:rsid w:val="00FA343C"/>
    <w:rsid w:val="00FA4C0A"/>
    <w:rsid w:val="00FA5B44"/>
    <w:rsid w:val="00FA6220"/>
    <w:rsid w:val="00FA68B5"/>
    <w:rsid w:val="00FA6E3B"/>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2034"/>
    <w:rsid w:val="00FC247E"/>
    <w:rsid w:val="00FC2DF9"/>
    <w:rsid w:val="00FC317E"/>
    <w:rsid w:val="00FC3FA0"/>
    <w:rsid w:val="00FC49E2"/>
    <w:rsid w:val="00FC503A"/>
    <w:rsid w:val="00FC58F4"/>
    <w:rsid w:val="00FC630C"/>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8A860"/>
    <w:rsid w:val="011A11A4"/>
    <w:rsid w:val="014B5B44"/>
    <w:rsid w:val="01732FF7"/>
    <w:rsid w:val="018C5F7F"/>
    <w:rsid w:val="01AD3593"/>
    <w:rsid w:val="01BE4069"/>
    <w:rsid w:val="01BE5800"/>
    <w:rsid w:val="01E46F65"/>
    <w:rsid w:val="025973D7"/>
    <w:rsid w:val="0271BFDE"/>
    <w:rsid w:val="028B3562"/>
    <w:rsid w:val="02E536DD"/>
    <w:rsid w:val="03F06C42"/>
    <w:rsid w:val="040079AE"/>
    <w:rsid w:val="041B3357"/>
    <w:rsid w:val="042229AA"/>
    <w:rsid w:val="049517D7"/>
    <w:rsid w:val="04C34346"/>
    <w:rsid w:val="04E30437"/>
    <w:rsid w:val="04FADE03"/>
    <w:rsid w:val="0529E1D9"/>
    <w:rsid w:val="05F41FAA"/>
    <w:rsid w:val="063B78DC"/>
    <w:rsid w:val="0677AF97"/>
    <w:rsid w:val="06D304F5"/>
    <w:rsid w:val="06DA21BD"/>
    <w:rsid w:val="076E0F6D"/>
    <w:rsid w:val="07C32D66"/>
    <w:rsid w:val="07E84F31"/>
    <w:rsid w:val="08042CA2"/>
    <w:rsid w:val="0839529D"/>
    <w:rsid w:val="09104908"/>
    <w:rsid w:val="09974C33"/>
    <w:rsid w:val="09B82947"/>
    <w:rsid w:val="0BAF322D"/>
    <w:rsid w:val="0BF958C7"/>
    <w:rsid w:val="0C3F3332"/>
    <w:rsid w:val="0C5A09A9"/>
    <w:rsid w:val="0CA74AB3"/>
    <w:rsid w:val="0CDB719E"/>
    <w:rsid w:val="0D1D5F20"/>
    <w:rsid w:val="0D8E7515"/>
    <w:rsid w:val="0E0812B7"/>
    <w:rsid w:val="0E101224"/>
    <w:rsid w:val="0EAB6A73"/>
    <w:rsid w:val="0F214FD6"/>
    <w:rsid w:val="0F43D5C0"/>
    <w:rsid w:val="0F4D0707"/>
    <w:rsid w:val="0FBA2A45"/>
    <w:rsid w:val="0FC41654"/>
    <w:rsid w:val="0FDE7285"/>
    <w:rsid w:val="10237ED5"/>
    <w:rsid w:val="102D5D9F"/>
    <w:rsid w:val="10625788"/>
    <w:rsid w:val="10780DAA"/>
    <w:rsid w:val="10A275BE"/>
    <w:rsid w:val="10C3457E"/>
    <w:rsid w:val="10EC58B1"/>
    <w:rsid w:val="11001AA9"/>
    <w:rsid w:val="110F1949"/>
    <w:rsid w:val="118C2ED5"/>
    <w:rsid w:val="11B83D31"/>
    <w:rsid w:val="121C431D"/>
    <w:rsid w:val="12243AF9"/>
    <w:rsid w:val="12335798"/>
    <w:rsid w:val="1254303F"/>
    <w:rsid w:val="126C61E4"/>
    <w:rsid w:val="12795B29"/>
    <w:rsid w:val="12AF0CEE"/>
    <w:rsid w:val="12E41AE0"/>
    <w:rsid w:val="12F62B63"/>
    <w:rsid w:val="12F65FB9"/>
    <w:rsid w:val="131608FE"/>
    <w:rsid w:val="133E15B0"/>
    <w:rsid w:val="13696837"/>
    <w:rsid w:val="138F005F"/>
    <w:rsid w:val="13B31AEC"/>
    <w:rsid w:val="13EC1DBC"/>
    <w:rsid w:val="13FE3FBA"/>
    <w:rsid w:val="140E1568"/>
    <w:rsid w:val="1426F396"/>
    <w:rsid w:val="14404369"/>
    <w:rsid w:val="14537573"/>
    <w:rsid w:val="145A6C1B"/>
    <w:rsid w:val="145B52BE"/>
    <w:rsid w:val="14C41433"/>
    <w:rsid w:val="14D9243A"/>
    <w:rsid w:val="14F91F74"/>
    <w:rsid w:val="15596D76"/>
    <w:rsid w:val="155A07E5"/>
    <w:rsid w:val="156F3647"/>
    <w:rsid w:val="158847C9"/>
    <w:rsid w:val="15FCE6AF"/>
    <w:rsid w:val="16AF5EF2"/>
    <w:rsid w:val="16DF1825"/>
    <w:rsid w:val="174D30E3"/>
    <w:rsid w:val="175D674F"/>
    <w:rsid w:val="17CC5555"/>
    <w:rsid w:val="17CD2550"/>
    <w:rsid w:val="17DF655D"/>
    <w:rsid w:val="18070DCC"/>
    <w:rsid w:val="18114189"/>
    <w:rsid w:val="183E3BAB"/>
    <w:rsid w:val="18784728"/>
    <w:rsid w:val="18C239D3"/>
    <w:rsid w:val="18F043F5"/>
    <w:rsid w:val="18F06F2D"/>
    <w:rsid w:val="191B1D19"/>
    <w:rsid w:val="19A54F18"/>
    <w:rsid w:val="19A93E34"/>
    <w:rsid w:val="19AD7F51"/>
    <w:rsid w:val="1BA50D14"/>
    <w:rsid w:val="1BA677E7"/>
    <w:rsid w:val="1C0748A3"/>
    <w:rsid w:val="1C0EE26A"/>
    <w:rsid w:val="1C0F5E7D"/>
    <w:rsid w:val="1C106C8E"/>
    <w:rsid w:val="1C625D30"/>
    <w:rsid w:val="1C7671E3"/>
    <w:rsid w:val="1C777601"/>
    <w:rsid w:val="1C7C1B1A"/>
    <w:rsid w:val="1C8A493E"/>
    <w:rsid w:val="1CCB6998"/>
    <w:rsid w:val="1CD6623F"/>
    <w:rsid w:val="1CEA0C42"/>
    <w:rsid w:val="1CF90898"/>
    <w:rsid w:val="1CFA0FE7"/>
    <w:rsid w:val="1D8C69C4"/>
    <w:rsid w:val="1DA04F9C"/>
    <w:rsid w:val="1E1C7C6C"/>
    <w:rsid w:val="1E4A2A2F"/>
    <w:rsid w:val="1E786F00"/>
    <w:rsid w:val="1EBB34DD"/>
    <w:rsid w:val="1F1F65F5"/>
    <w:rsid w:val="1F343C02"/>
    <w:rsid w:val="1FAC7E53"/>
    <w:rsid w:val="1FE97DB3"/>
    <w:rsid w:val="203167D9"/>
    <w:rsid w:val="20517FE3"/>
    <w:rsid w:val="20A416ED"/>
    <w:rsid w:val="20A52531"/>
    <w:rsid w:val="20CE2C18"/>
    <w:rsid w:val="2127760C"/>
    <w:rsid w:val="215E7D2E"/>
    <w:rsid w:val="217C1DAF"/>
    <w:rsid w:val="218220DE"/>
    <w:rsid w:val="21DC5D53"/>
    <w:rsid w:val="222C76C6"/>
    <w:rsid w:val="22397A5A"/>
    <w:rsid w:val="22466CF3"/>
    <w:rsid w:val="22A344E7"/>
    <w:rsid w:val="22DE3197"/>
    <w:rsid w:val="22F92C47"/>
    <w:rsid w:val="230E0741"/>
    <w:rsid w:val="23392656"/>
    <w:rsid w:val="239F6FB1"/>
    <w:rsid w:val="23C04A0C"/>
    <w:rsid w:val="23F63E16"/>
    <w:rsid w:val="24016243"/>
    <w:rsid w:val="243A32C2"/>
    <w:rsid w:val="245D4E8B"/>
    <w:rsid w:val="24702E0C"/>
    <w:rsid w:val="24FD478C"/>
    <w:rsid w:val="24FD656E"/>
    <w:rsid w:val="25093A3B"/>
    <w:rsid w:val="25236D0D"/>
    <w:rsid w:val="252F645D"/>
    <w:rsid w:val="258858A9"/>
    <w:rsid w:val="2595139E"/>
    <w:rsid w:val="25AF38E8"/>
    <w:rsid w:val="264B4D7A"/>
    <w:rsid w:val="26550B6D"/>
    <w:rsid w:val="2662075D"/>
    <w:rsid w:val="26757E2C"/>
    <w:rsid w:val="26790701"/>
    <w:rsid w:val="26B24DF9"/>
    <w:rsid w:val="27257379"/>
    <w:rsid w:val="273508EE"/>
    <w:rsid w:val="27405073"/>
    <w:rsid w:val="27483692"/>
    <w:rsid w:val="276F6E45"/>
    <w:rsid w:val="278066D7"/>
    <w:rsid w:val="27827B0F"/>
    <w:rsid w:val="27886287"/>
    <w:rsid w:val="27F53526"/>
    <w:rsid w:val="27FA5E76"/>
    <w:rsid w:val="282E5DFB"/>
    <w:rsid w:val="28690FE5"/>
    <w:rsid w:val="288E2BD2"/>
    <w:rsid w:val="28911B25"/>
    <w:rsid w:val="28CF2F29"/>
    <w:rsid w:val="28DC50AB"/>
    <w:rsid w:val="28E55271"/>
    <w:rsid w:val="28E73FBA"/>
    <w:rsid w:val="2918129A"/>
    <w:rsid w:val="2923374B"/>
    <w:rsid w:val="292F2731"/>
    <w:rsid w:val="2947EB30"/>
    <w:rsid w:val="296C2B2B"/>
    <w:rsid w:val="29BD796F"/>
    <w:rsid w:val="29E560E7"/>
    <w:rsid w:val="2A776EBC"/>
    <w:rsid w:val="2AAC3644"/>
    <w:rsid w:val="2B2646C8"/>
    <w:rsid w:val="2B8946FF"/>
    <w:rsid w:val="2C0A4741"/>
    <w:rsid w:val="2C10BD6F"/>
    <w:rsid w:val="2C3D75C7"/>
    <w:rsid w:val="2CC71E7D"/>
    <w:rsid w:val="2CE66FD2"/>
    <w:rsid w:val="2CE77A69"/>
    <w:rsid w:val="2CF86E08"/>
    <w:rsid w:val="2D0F04EA"/>
    <w:rsid w:val="2D4D5DF5"/>
    <w:rsid w:val="2D9B15EF"/>
    <w:rsid w:val="2DCB2065"/>
    <w:rsid w:val="2E304308"/>
    <w:rsid w:val="2E601012"/>
    <w:rsid w:val="2E7413E7"/>
    <w:rsid w:val="2EAB1EC7"/>
    <w:rsid w:val="2EB15D11"/>
    <w:rsid w:val="2EB26D79"/>
    <w:rsid w:val="2F576681"/>
    <w:rsid w:val="2F6C2033"/>
    <w:rsid w:val="2F6F49DA"/>
    <w:rsid w:val="2F7145F4"/>
    <w:rsid w:val="2FEC3DC6"/>
    <w:rsid w:val="30580298"/>
    <w:rsid w:val="30646F90"/>
    <w:rsid w:val="30CB0402"/>
    <w:rsid w:val="310B3A83"/>
    <w:rsid w:val="315B4F78"/>
    <w:rsid w:val="31E34E68"/>
    <w:rsid w:val="321F1798"/>
    <w:rsid w:val="324D2681"/>
    <w:rsid w:val="328A6C2A"/>
    <w:rsid w:val="328B5CE3"/>
    <w:rsid w:val="32963820"/>
    <w:rsid w:val="329704B3"/>
    <w:rsid w:val="32E367A8"/>
    <w:rsid w:val="32F51DE3"/>
    <w:rsid w:val="331F7224"/>
    <w:rsid w:val="33972D8E"/>
    <w:rsid w:val="342972D8"/>
    <w:rsid w:val="34457450"/>
    <w:rsid w:val="349C4646"/>
    <w:rsid w:val="34E55995"/>
    <w:rsid w:val="35373F98"/>
    <w:rsid w:val="35CB7B32"/>
    <w:rsid w:val="363B7932"/>
    <w:rsid w:val="36D15C2A"/>
    <w:rsid w:val="36FA4BBC"/>
    <w:rsid w:val="371D61FE"/>
    <w:rsid w:val="374B5AC3"/>
    <w:rsid w:val="377F7586"/>
    <w:rsid w:val="37C94E00"/>
    <w:rsid w:val="37D15DD6"/>
    <w:rsid w:val="37EB4622"/>
    <w:rsid w:val="38187E4F"/>
    <w:rsid w:val="3820445B"/>
    <w:rsid w:val="38210467"/>
    <w:rsid w:val="38401B73"/>
    <w:rsid w:val="384B1D2A"/>
    <w:rsid w:val="38526D02"/>
    <w:rsid w:val="38682CDF"/>
    <w:rsid w:val="38863680"/>
    <w:rsid w:val="39780BBB"/>
    <w:rsid w:val="39A87210"/>
    <w:rsid w:val="39C8752D"/>
    <w:rsid w:val="39D617F2"/>
    <w:rsid w:val="3A294FE0"/>
    <w:rsid w:val="3AD15E18"/>
    <w:rsid w:val="3B731AB5"/>
    <w:rsid w:val="3B833738"/>
    <w:rsid w:val="3B874762"/>
    <w:rsid w:val="3C0C55DD"/>
    <w:rsid w:val="3C100CA3"/>
    <w:rsid w:val="3C2527C5"/>
    <w:rsid w:val="3C276692"/>
    <w:rsid w:val="3CBC3E20"/>
    <w:rsid w:val="3CD992A1"/>
    <w:rsid w:val="3D421B01"/>
    <w:rsid w:val="3D6F75C9"/>
    <w:rsid w:val="3DE90F01"/>
    <w:rsid w:val="3DEF050D"/>
    <w:rsid w:val="3E266E35"/>
    <w:rsid w:val="3E3B7662"/>
    <w:rsid w:val="3E722D1D"/>
    <w:rsid w:val="3E9426DD"/>
    <w:rsid w:val="3E994478"/>
    <w:rsid w:val="3EB750E8"/>
    <w:rsid w:val="3F10F889"/>
    <w:rsid w:val="3F4A39C9"/>
    <w:rsid w:val="3F50360E"/>
    <w:rsid w:val="3F7F04D5"/>
    <w:rsid w:val="3FAC41E5"/>
    <w:rsid w:val="407613E8"/>
    <w:rsid w:val="407E5AB6"/>
    <w:rsid w:val="40A005F0"/>
    <w:rsid w:val="40B21825"/>
    <w:rsid w:val="40DD74A2"/>
    <w:rsid w:val="417E1386"/>
    <w:rsid w:val="422B6BF4"/>
    <w:rsid w:val="42347713"/>
    <w:rsid w:val="4241212F"/>
    <w:rsid w:val="42996E2D"/>
    <w:rsid w:val="438871FD"/>
    <w:rsid w:val="438F729E"/>
    <w:rsid w:val="43B00A8F"/>
    <w:rsid w:val="44004073"/>
    <w:rsid w:val="4402033D"/>
    <w:rsid w:val="442619BB"/>
    <w:rsid w:val="442E5667"/>
    <w:rsid w:val="44525AF5"/>
    <w:rsid w:val="44E7409E"/>
    <w:rsid w:val="45511B47"/>
    <w:rsid w:val="45A15DDB"/>
    <w:rsid w:val="45B22926"/>
    <w:rsid w:val="45E86EAF"/>
    <w:rsid w:val="461C191B"/>
    <w:rsid w:val="46324FF4"/>
    <w:rsid w:val="4681712C"/>
    <w:rsid w:val="468B6718"/>
    <w:rsid w:val="473B23EB"/>
    <w:rsid w:val="475B5179"/>
    <w:rsid w:val="476C53A1"/>
    <w:rsid w:val="47B32EAB"/>
    <w:rsid w:val="47C40E8C"/>
    <w:rsid w:val="47CD234C"/>
    <w:rsid w:val="47FF0510"/>
    <w:rsid w:val="487D4E99"/>
    <w:rsid w:val="48B1218F"/>
    <w:rsid w:val="48B14AB0"/>
    <w:rsid w:val="48D6123C"/>
    <w:rsid w:val="49150F51"/>
    <w:rsid w:val="4939BEF4"/>
    <w:rsid w:val="49480BD4"/>
    <w:rsid w:val="49646A41"/>
    <w:rsid w:val="49901EC0"/>
    <w:rsid w:val="499F04DF"/>
    <w:rsid w:val="49BA2BF9"/>
    <w:rsid w:val="49CB3BFF"/>
    <w:rsid w:val="49F13145"/>
    <w:rsid w:val="49F34BEF"/>
    <w:rsid w:val="4A382EA4"/>
    <w:rsid w:val="4A56432B"/>
    <w:rsid w:val="4A9D0607"/>
    <w:rsid w:val="4AA4619B"/>
    <w:rsid w:val="4AF235D2"/>
    <w:rsid w:val="4B0E369D"/>
    <w:rsid w:val="4B229D24"/>
    <w:rsid w:val="4B284D77"/>
    <w:rsid w:val="4B8F1F03"/>
    <w:rsid w:val="4BEC1507"/>
    <w:rsid w:val="4C1650A1"/>
    <w:rsid w:val="4C3850B5"/>
    <w:rsid w:val="4C617CD5"/>
    <w:rsid w:val="4C7E06ED"/>
    <w:rsid w:val="4CD363C9"/>
    <w:rsid w:val="4D2A5E42"/>
    <w:rsid w:val="4D3A18F3"/>
    <w:rsid w:val="4D7F6702"/>
    <w:rsid w:val="4DD6798F"/>
    <w:rsid w:val="4DEE0D8B"/>
    <w:rsid w:val="4E0604A5"/>
    <w:rsid w:val="4E3C33F9"/>
    <w:rsid w:val="4E7E6F42"/>
    <w:rsid w:val="4F123950"/>
    <w:rsid w:val="4F134C73"/>
    <w:rsid w:val="4FBE0C86"/>
    <w:rsid w:val="500DF6B3"/>
    <w:rsid w:val="507519D9"/>
    <w:rsid w:val="50962F12"/>
    <w:rsid w:val="50B45146"/>
    <w:rsid w:val="50CD0916"/>
    <w:rsid w:val="50EC442B"/>
    <w:rsid w:val="52127D7D"/>
    <w:rsid w:val="522008F8"/>
    <w:rsid w:val="52412A63"/>
    <w:rsid w:val="53763D4D"/>
    <w:rsid w:val="53C11BA9"/>
    <w:rsid w:val="54135280"/>
    <w:rsid w:val="541A41F1"/>
    <w:rsid w:val="548B75D1"/>
    <w:rsid w:val="54F523A5"/>
    <w:rsid w:val="5526139C"/>
    <w:rsid w:val="552B2D26"/>
    <w:rsid w:val="554E1470"/>
    <w:rsid w:val="556E61F7"/>
    <w:rsid w:val="55986D51"/>
    <w:rsid w:val="55D42624"/>
    <w:rsid w:val="56133CA0"/>
    <w:rsid w:val="56344A2D"/>
    <w:rsid w:val="563A7E9B"/>
    <w:rsid w:val="5669B808"/>
    <w:rsid w:val="56DD4ABD"/>
    <w:rsid w:val="56E30533"/>
    <w:rsid w:val="5703231E"/>
    <w:rsid w:val="57116442"/>
    <w:rsid w:val="572C6A2C"/>
    <w:rsid w:val="573533D4"/>
    <w:rsid w:val="578D3493"/>
    <w:rsid w:val="57A4ABA2"/>
    <w:rsid w:val="57A676B1"/>
    <w:rsid w:val="57C57F93"/>
    <w:rsid w:val="582F1556"/>
    <w:rsid w:val="586A7A45"/>
    <w:rsid w:val="58914C8B"/>
    <w:rsid w:val="589B6D2B"/>
    <w:rsid w:val="58E0ED01"/>
    <w:rsid w:val="58E3423E"/>
    <w:rsid w:val="58F23ED5"/>
    <w:rsid w:val="590B393D"/>
    <w:rsid w:val="5956205C"/>
    <w:rsid w:val="599E6CB8"/>
    <w:rsid w:val="59CA7788"/>
    <w:rsid w:val="59E031E2"/>
    <w:rsid w:val="5A0C6D35"/>
    <w:rsid w:val="5A535EFA"/>
    <w:rsid w:val="5A5A3CC3"/>
    <w:rsid w:val="5AA974E8"/>
    <w:rsid w:val="5AEA1A4F"/>
    <w:rsid w:val="5B265683"/>
    <w:rsid w:val="5B703490"/>
    <w:rsid w:val="5B8340E7"/>
    <w:rsid w:val="5B8D0599"/>
    <w:rsid w:val="5B937814"/>
    <w:rsid w:val="5BA627EA"/>
    <w:rsid w:val="5BAA125C"/>
    <w:rsid w:val="5C383C7A"/>
    <w:rsid w:val="5C6E79F1"/>
    <w:rsid w:val="5C713B4F"/>
    <w:rsid w:val="5C8657B1"/>
    <w:rsid w:val="5C9EF719"/>
    <w:rsid w:val="5CA73484"/>
    <w:rsid w:val="5CC01C6F"/>
    <w:rsid w:val="5CE5499C"/>
    <w:rsid w:val="5D77243C"/>
    <w:rsid w:val="5D83481E"/>
    <w:rsid w:val="5D8508FD"/>
    <w:rsid w:val="5DDC3385"/>
    <w:rsid w:val="5E193F22"/>
    <w:rsid w:val="5E2F13E4"/>
    <w:rsid w:val="5E7A8441"/>
    <w:rsid w:val="5EC546B7"/>
    <w:rsid w:val="5EE01513"/>
    <w:rsid w:val="5F2430B6"/>
    <w:rsid w:val="5F3961E5"/>
    <w:rsid w:val="5F41046B"/>
    <w:rsid w:val="5F61759D"/>
    <w:rsid w:val="5FA9036D"/>
    <w:rsid w:val="5FB10815"/>
    <w:rsid w:val="5FB21A3E"/>
    <w:rsid w:val="5FE20A6A"/>
    <w:rsid w:val="5FE80DF1"/>
    <w:rsid w:val="60177949"/>
    <w:rsid w:val="602DD77D"/>
    <w:rsid w:val="60394F33"/>
    <w:rsid w:val="60593614"/>
    <w:rsid w:val="607A028C"/>
    <w:rsid w:val="60963254"/>
    <w:rsid w:val="60A9073B"/>
    <w:rsid w:val="60D86C2E"/>
    <w:rsid w:val="61055F69"/>
    <w:rsid w:val="614C3178"/>
    <w:rsid w:val="61904268"/>
    <w:rsid w:val="61922827"/>
    <w:rsid w:val="61985AAE"/>
    <w:rsid w:val="619B21A0"/>
    <w:rsid w:val="61A6252D"/>
    <w:rsid w:val="61BE26BF"/>
    <w:rsid w:val="61C95215"/>
    <w:rsid w:val="620863D2"/>
    <w:rsid w:val="620A442A"/>
    <w:rsid w:val="62130016"/>
    <w:rsid w:val="6217188D"/>
    <w:rsid w:val="622313C8"/>
    <w:rsid w:val="62507AF9"/>
    <w:rsid w:val="625DB8A5"/>
    <w:rsid w:val="626058BD"/>
    <w:rsid w:val="62B13E15"/>
    <w:rsid w:val="62D638A3"/>
    <w:rsid w:val="62D70238"/>
    <w:rsid w:val="634E5810"/>
    <w:rsid w:val="639A2C3A"/>
    <w:rsid w:val="63A81226"/>
    <w:rsid w:val="63E039FE"/>
    <w:rsid w:val="63F40F38"/>
    <w:rsid w:val="640E2510"/>
    <w:rsid w:val="647B3664"/>
    <w:rsid w:val="64B27796"/>
    <w:rsid w:val="64B54DC9"/>
    <w:rsid w:val="650A079C"/>
    <w:rsid w:val="651450B4"/>
    <w:rsid w:val="652F2B95"/>
    <w:rsid w:val="657D1C40"/>
    <w:rsid w:val="659538A5"/>
    <w:rsid w:val="65BF7EAD"/>
    <w:rsid w:val="65C8DBE2"/>
    <w:rsid w:val="65E5355A"/>
    <w:rsid w:val="661F76AB"/>
    <w:rsid w:val="669F0850"/>
    <w:rsid w:val="66CD3247"/>
    <w:rsid w:val="66D33403"/>
    <w:rsid w:val="674A3D4F"/>
    <w:rsid w:val="67681701"/>
    <w:rsid w:val="679006E0"/>
    <w:rsid w:val="68434906"/>
    <w:rsid w:val="6864772D"/>
    <w:rsid w:val="689A644A"/>
    <w:rsid w:val="68B95A28"/>
    <w:rsid w:val="68BC6A3B"/>
    <w:rsid w:val="68D06DB5"/>
    <w:rsid w:val="68DD7469"/>
    <w:rsid w:val="69426AF7"/>
    <w:rsid w:val="69C534B4"/>
    <w:rsid w:val="6A121AD7"/>
    <w:rsid w:val="6A2279A9"/>
    <w:rsid w:val="6A3C248C"/>
    <w:rsid w:val="6A6C5702"/>
    <w:rsid w:val="6A7E5E1C"/>
    <w:rsid w:val="6AD23B35"/>
    <w:rsid w:val="6B125161"/>
    <w:rsid w:val="6B221653"/>
    <w:rsid w:val="6B8A7183"/>
    <w:rsid w:val="6BB02758"/>
    <w:rsid w:val="6BD85DF2"/>
    <w:rsid w:val="6BE779E4"/>
    <w:rsid w:val="6BE809DA"/>
    <w:rsid w:val="6C0B2BA2"/>
    <w:rsid w:val="6C281883"/>
    <w:rsid w:val="6C3226C6"/>
    <w:rsid w:val="6C545FF5"/>
    <w:rsid w:val="6C591BE2"/>
    <w:rsid w:val="6C6972D4"/>
    <w:rsid w:val="6D340194"/>
    <w:rsid w:val="6D6A4DBE"/>
    <w:rsid w:val="6DD62748"/>
    <w:rsid w:val="6E0A4A26"/>
    <w:rsid w:val="6E0B3AA3"/>
    <w:rsid w:val="6E46599C"/>
    <w:rsid w:val="6E5E1B6C"/>
    <w:rsid w:val="6EEF71D1"/>
    <w:rsid w:val="6F021A16"/>
    <w:rsid w:val="6F1D40CE"/>
    <w:rsid w:val="6FB940CF"/>
    <w:rsid w:val="6FE64E10"/>
    <w:rsid w:val="7051517A"/>
    <w:rsid w:val="706D97BC"/>
    <w:rsid w:val="70D85BD1"/>
    <w:rsid w:val="70F47C69"/>
    <w:rsid w:val="70FBDAD8"/>
    <w:rsid w:val="712E476F"/>
    <w:rsid w:val="713D1149"/>
    <w:rsid w:val="715B338A"/>
    <w:rsid w:val="716A7ADC"/>
    <w:rsid w:val="717D2A77"/>
    <w:rsid w:val="71DE2E53"/>
    <w:rsid w:val="721F39FF"/>
    <w:rsid w:val="72880B34"/>
    <w:rsid w:val="729E121E"/>
    <w:rsid w:val="72B069AF"/>
    <w:rsid w:val="72E23A7A"/>
    <w:rsid w:val="72F6179B"/>
    <w:rsid w:val="730E1668"/>
    <w:rsid w:val="731A9D24"/>
    <w:rsid w:val="738003CA"/>
    <w:rsid w:val="73C56EED"/>
    <w:rsid w:val="73E252F5"/>
    <w:rsid w:val="755F69AF"/>
    <w:rsid w:val="75803EF0"/>
    <w:rsid w:val="758831F5"/>
    <w:rsid w:val="758D4AB4"/>
    <w:rsid w:val="75AB031A"/>
    <w:rsid w:val="75D12961"/>
    <w:rsid w:val="760C6508"/>
    <w:rsid w:val="765941C5"/>
    <w:rsid w:val="76E03BDC"/>
    <w:rsid w:val="76E41A31"/>
    <w:rsid w:val="77095D96"/>
    <w:rsid w:val="770D55F7"/>
    <w:rsid w:val="773232B6"/>
    <w:rsid w:val="773B6CD4"/>
    <w:rsid w:val="77D61CCD"/>
    <w:rsid w:val="77E30949"/>
    <w:rsid w:val="77F16A53"/>
    <w:rsid w:val="77F46DFD"/>
    <w:rsid w:val="783525A0"/>
    <w:rsid w:val="786F12BD"/>
    <w:rsid w:val="786F1AA9"/>
    <w:rsid w:val="7872551D"/>
    <w:rsid w:val="78880832"/>
    <w:rsid w:val="78EA2FFB"/>
    <w:rsid w:val="7920071D"/>
    <w:rsid w:val="797E290B"/>
    <w:rsid w:val="79C52BC7"/>
    <w:rsid w:val="79C747F6"/>
    <w:rsid w:val="79EA231F"/>
    <w:rsid w:val="7A353168"/>
    <w:rsid w:val="7A36659D"/>
    <w:rsid w:val="7A6027C1"/>
    <w:rsid w:val="7A854A12"/>
    <w:rsid w:val="7B237820"/>
    <w:rsid w:val="7B2A3DF1"/>
    <w:rsid w:val="7B974622"/>
    <w:rsid w:val="7D3419B2"/>
    <w:rsid w:val="7D490472"/>
    <w:rsid w:val="7D4E72F0"/>
    <w:rsid w:val="7D5462A6"/>
    <w:rsid w:val="7D6B63CB"/>
    <w:rsid w:val="7E0D0622"/>
    <w:rsid w:val="7E9219F9"/>
    <w:rsid w:val="7EF87B3E"/>
    <w:rsid w:val="7EFE1042"/>
    <w:rsid w:val="7F2C3082"/>
    <w:rsid w:val="7F437511"/>
    <w:rsid w:val="7F460DAF"/>
    <w:rsid w:val="7F8250C1"/>
    <w:rsid w:val="7F924DA0"/>
    <w:rsid w:val="7FAA57E2"/>
    <w:rsid w:val="82866C9E"/>
    <w:rsid w:val="833DBBF7"/>
    <w:rsid w:val="848871A7"/>
    <w:rsid w:val="86355A24"/>
    <w:rsid w:val="86C219DA"/>
    <w:rsid w:val="88A5D28D"/>
    <w:rsid w:val="8A6C63AA"/>
    <w:rsid w:val="8CB4C497"/>
    <w:rsid w:val="8CBBC58C"/>
    <w:rsid w:val="8D13FF40"/>
    <w:rsid w:val="911404D2"/>
    <w:rsid w:val="9163CBA0"/>
    <w:rsid w:val="92CD2DE9"/>
    <w:rsid w:val="950B67F8"/>
    <w:rsid w:val="96724927"/>
    <w:rsid w:val="9EE970D8"/>
    <w:rsid w:val="A23E4046"/>
    <w:rsid w:val="ACEAB850"/>
    <w:rsid w:val="AD53C39C"/>
    <w:rsid w:val="AF615FA4"/>
    <w:rsid w:val="AFBBC8CA"/>
    <w:rsid w:val="B8B3C483"/>
    <w:rsid w:val="BEC273EE"/>
    <w:rsid w:val="C387228B"/>
    <w:rsid w:val="C4DF7731"/>
    <w:rsid w:val="C568175F"/>
    <w:rsid w:val="C57506C3"/>
    <w:rsid w:val="C66C2B4A"/>
    <w:rsid w:val="C6705136"/>
    <w:rsid w:val="C7A4361E"/>
    <w:rsid w:val="C8A471C1"/>
    <w:rsid w:val="C915B36A"/>
    <w:rsid w:val="C9B09A32"/>
    <w:rsid w:val="CA69352C"/>
    <w:rsid w:val="CB13B316"/>
    <w:rsid w:val="CD156AD0"/>
    <w:rsid w:val="CDBCDA4D"/>
    <w:rsid w:val="CEE45121"/>
    <w:rsid w:val="CFA7CA92"/>
    <w:rsid w:val="D04435A1"/>
    <w:rsid w:val="D8C0657E"/>
    <w:rsid w:val="DA633BBA"/>
    <w:rsid w:val="DBE5FCB1"/>
    <w:rsid w:val="DF75F32A"/>
    <w:rsid w:val="E1D302EF"/>
    <w:rsid w:val="EC17E028"/>
    <w:rsid w:val="ECD77CFF"/>
    <w:rsid w:val="F0EDB359"/>
    <w:rsid w:val="F3687866"/>
    <w:rsid w:val="F3889702"/>
    <w:rsid w:val="F40E7D66"/>
    <w:rsid w:val="F4253CE2"/>
    <w:rsid w:val="F8801357"/>
    <w:rsid w:val="F93698FA"/>
    <w:rsid w:val="FAA2BD6F"/>
    <w:rsid w:val="FAAEFC34"/>
    <w:rsid w:val="FB6585F4"/>
    <w:rsid w:val="FEC9F5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nhideWhenUsed="0" w:uiPriority="0"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autoRedefine/>
    <w:qFormat/>
    <w:uiPriority w:val="0"/>
    <w:pPr>
      <w:keepNext/>
      <w:keepLines/>
      <w:spacing w:before="340" w:beforeLines="0" w:after="330" w:afterLines="0" w:line="576" w:lineRule="auto"/>
      <w:outlineLvl w:val="0"/>
    </w:pPr>
    <w:rPr>
      <w:rFonts w:ascii="Times New Roman" w:hAnsi="Times New Roman" w:eastAsia="宋体" w:cs="Times New Roman"/>
      <w:b/>
      <w:bCs/>
      <w:kern w:val="44"/>
      <w:sz w:val="44"/>
      <w:szCs w:val="44"/>
    </w:rPr>
  </w:style>
  <w:style w:type="paragraph" w:styleId="3">
    <w:name w:val="heading 2"/>
    <w:basedOn w:val="1"/>
    <w:next w:val="1"/>
    <w:link w:val="64"/>
    <w:autoRedefine/>
    <w:qFormat/>
    <w:uiPriority w:val="0"/>
    <w:pPr>
      <w:keepNext/>
      <w:keepLines/>
      <w:spacing w:before="260" w:beforeLines="0" w:after="260" w:afterLines="0" w:line="413" w:lineRule="auto"/>
      <w:outlineLvl w:val="1"/>
    </w:pPr>
    <w:rPr>
      <w:rFonts w:ascii="Arial" w:hAnsi="Arial" w:eastAsia="黑体" w:cs="Times New Roman"/>
      <w:b/>
      <w:bCs/>
      <w:sz w:val="32"/>
      <w:szCs w:val="32"/>
    </w:rPr>
  </w:style>
  <w:style w:type="paragraph" w:styleId="4">
    <w:name w:val="heading 3"/>
    <w:basedOn w:val="1"/>
    <w:next w:val="1"/>
    <w:link w:val="65"/>
    <w:autoRedefine/>
    <w:qFormat/>
    <w:uiPriority w:val="0"/>
    <w:pPr>
      <w:keepNext/>
      <w:keepLines/>
      <w:spacing w:before="260" w:beforeLines="0" w:after="260" w:afterLines="0" w:line="413" w:lineRule="auto"/>
      <w:outlineLvl w:val="2"/>
    </w:pPr>
    <w:rPr>
      <w:rFonts w:ascii="Times New Roman" w:hAnsi="Times New Roman" w:eastAsia="宋体" w:cs="Times New Roman"/>
      <w:b/>
      <w:bCs/>
      <w:sz w:val="32"/>
      <w:szCs w:val="32"/>
    </w:rPr>
  </w:style>
  <w:style w:type="paragraph" w:styleId="5">
    <w:name w:val="heading 4"/>
    <w:basedOn w:val="1"/>
    <w:next w:val="1"/>
    <w:link w:val="66"/>
    <w:autoRedefine/>
    <w:qFormat/>
    <w:uiPriority w:val="0"/>
    <w:pPr>
      <w:keepNext/>
      <w:keepLines/>
      <w:widowControl/>
      <w:spacing w:before="120" w:beforeLines="0" w:after="120" w:afterLines="0" w:line="360" w:lineRule="auto"/>
      <w:jc w:val="center"/>
      <w:outlineLvl w:val="3"/>
    </w:pPr>
    <w:rPr>
      <w:rFonts w:ascii="Arial" w:hAnsi="Arial" w:eastAsia="黑体" w:cs="Times New Roman"/>
      <w:kern w:val="0"/>
      <w:sz w:val="28"/>
      <w:szCs w:val="20"/>
    </w:rPr>
  </w:style>
  <w:style w:type="paragraph" w:styleId="6">
    <w:name w:val="heading 5"/>
    <w:basedOn w:val="1"/>
    <w:next w:val="7"/>
    <w:link w:val="67"/>
    <w:autoRedefine/>
    <w:qFormat/>
    <w:uiPriority w:val="0"/>
    <w:pPr>
      <w:keepNext/>
      <w:keepLines/>
      <w:spacing w:before="280" w:after="290" w:line="372" w:lineRule="auto"/>
      <w:outlineLvl w:val="4"/>
    </w:pPr>
    <w:rPr>
      <w:rFonts w:ascii="Times New Roman" w:hAnsi="Times New Roman" w:eastAsia="宋体" w:cs="Times New Roman"/>
      <w:b/>
      <w:sz w:val="28"/>
    </w:rPr>
  </w:style>
  <w:style w:type="paragraph" w:styleId="8">
    <w:name w:val="heading 6"/>
    <w:basedOn w:val="1"/>
    <w:next w:val="7"/>
    <w:link w:val="68"/>
    <w:autoRedefine/>
    <w:qFormat/>
    <w:uiPriority w:val="0"/>
    <w:pPr>
      <w:keepNext/>
      <w:keepLines/>
      <w:spacing w:before="240" w:after="64" w:line="317" w:lineRule="auto"/>
      <w:outlineLvl w:val="5"/>
    </w:pPr>
    <w:rPr>
      <w:rFonts w:ascii="Arial" w:hAnsi="Arial" w:eastAsia="黑体" w:cs="Times New Roman"/>
      <w:b/>
      <w:sz w:val="24"/>
    </w:rPr>
  </w:style>
  <w:style w:type="paragraph" w:styleId="9">
    <w:name w:val="heading 7"/>
    <w:basedOn w:val="1"/>
    <w:next w:val="7"/>
    <w:link w:val="69"/>
    <w:autoRedefine/>
    <w:qFormat/>
    <w:uiPriority w:val="0"/>
    <w:pPr>
      <w:keepNext/>
      <w:keepLines/>
      <w:spacing w:before="240" w:after="64" w:line="317" w:lineRule="auto"/>
      <w:outlineLvl w:val="6"/>
    </w:pPr>
    <w:rPr>
      <w:rFonts w:ascii="Times New Roman" w:hAnsi="Times New Roman" w:eastAsia="宋体" w:cs="Times New Roman"/>
      <w:b/>
      <w:sz w:val="24"/>
    </w:rPr>
  </w:style>
  <w:style w:type="paragraph" w:styleId="10">
    <w:name w:val="heading 8"/>
    <w:basedOn w:val="1"/>
    <w:next w:val="7"/>
    <w:link w:val="70"/>
    <w:autoRedefine/>
    <w:qFormat/>
    <w:uiPriority w:val="0"/>
    <w:pPr>
      <w:keepNext/>
      <w:keepLines/>
      <w:spacing w:before="240" w:after="64" w:line="317" w:lineRule="auto"/>
      <w:outlineLvl w:val="7"/>
    </w:pPr>
    <w:rPr>
      <w:rFonts w:ascii="Arial" w:hAnsi="Arial" w:eastAsia="黑体" w:cs="Times New Roman"/>
      <w:sz w:val="24"/>
    </w:rPr>
  </w:style>
  <w:style w:type="paragraph" w:styleId="11">
    <w:name w:val="heading 9"/>
    <w:basedOn w:val="1"/>
    <w:next w:val="7"/>
    <w:link w:val="71"/>
    <w:autoRedefine/>
    <w:qFormat/>
    <w:uiPriority w:val="0"/>
    <w:pPr>
      <w:keepNext/>
      <w:keepLines/>
      <w:spacing w:before="240" w:after="64" w:line="317" w:lineRule="auto"/>
      <w:outlineLvl w:val="8"/>
    </w:pPr>
    <w:rPr>
      <w:rFonts w:ascii="Arial" w:hAnsi="Arial" w:eastAsia="黑体" w:cs="Times New Roman"/>
    </w:rPr>
  </w:style>
  <w:style w:type="character" w:default="1" w:styleId="54">
    <w:name w:val="Default Paragraph Font"/>
    <w:autoRedefine/>
    <w:qFormat/>
    <w:uiPriority w:val="0"/>
    <w:rPr>
      <w:rFonts w:ascii="Times New Roman" w:hAnsi="Times New Roman" w:eastAsia="宋体" w:cs="Times New Roman"/>
    </w:rPr>
  </w:style>
  <w:style w:type="table" w:default="1" w:styleId="52">
    <w:name w:val="Normal Table"/>
    <w:autoRedefin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7">
    <w:name w:val="Normal Indent"/>
    <w:basedOn w:val="1"/>
    <w:autoRedefine/>
    <w:qFormat/>
    <w:uiPriority w:val="0"/>
    <w:pPr>
      <w:ind w:firstLine="420"/>
    </w:pPr>
    <w:rPr>
      <w:rFonts w:ascii="Times New Roman" w:hAnsi="Times New Roman" w:eastAsia="宋体" w:cs="Times New Roman"/>
      <w:szCs w:val="20"/>
    </w:rPr>
  </w:style>
  <w:style w:type="paragraph" w:styleId="12">
    <w:name w:val="List 3"/>
    <w:basedOn w:val="1"/>
    <w:autoRedefine/>
    <w:qFormat/>
    <w:uiPriority w:val="0"/>
    <w:pPr>
      <w:ind w:left="100" w:leftChars="400" w:hanging="200" w:hangingChars="200"/>
    </w:pPr>
    <w:rPr>
      <w:rFonts w:ascii="Times New Roman" w:hAnsi="Times New Roman" w:eastAsia="宋体" w:cs="Times New Roman"/>
    </w:rPr>
  </w:style>
  <w:style w:type="paragraph" w:styleId="13">
    <w:name w:val="toc 7"/>
    <w:basedOn w:val="1"/>
    <w:next w:val="1"/>
    <w:autoRedefine/>
    <w:qFormat/>
    <w:uiPriority w:val="0"/>
    <w:pPr>
      <w:tabs>
        <w:tab w:val="right" w:leader="dot" w:pos="9185"/>
      </w:tabs>
      <w:adjustRightInd w:val="0"/>
      <w:spacing w:line="312" w:lineRule="atLeast"/>
      <w:ind w:left="2520"/>
      <w:textAlignment w:val="baseline"/>
    </w:pPr>
    <w:rPr>
      <w:rFonts w:ascii="Times New Roman" w:hAnsi="Times New Roman" w:eastAsia="宋体" w:cs="Times New Roman"/>
      <w:kern w:val="0"/>
      <w:szCs w:val="20"/>
    </w:rPr>
  </w:style>
  <w:style w:type="paragraph" w:styleId="14">
    <w:name w:val="index 8"/>
    <w:basedOn w:val="1"/>
    <w:next w:val="1"/>
    <w:autoRedefine/>
    <w:qFormat/>
    <w:uiPriority w:val="0"/>
    <w:pPr>
      <w:ind w:left="1400" w:leftChars="1400"/>
    </w:pPr>
    <w:rPr>
      <w:rFonts w:ascii="Times New Roman" w:hAnsi="Times New Roman" w:eastAsia="宋体" w:cs="Times New Roman"/>
    </w:rPr>
  </w:style>
  <w:style w:type="paragraph" w:styleId="15">
    <w:name w:val="List Number"/>
    <w:basedOn w:val="1"/>
    <w:autoRedefine/>
    <w:qFormat/>
    <w:uiPriority w:val="0"/>
    <w:pPr>
      <w:widowControl/>
      <w:tabs>
        <w:tab w:val="left" w:pos="454"/>
        <w:tab w:val="left" w:pos="720"/>
        <w:tab w:val="left" w:pos="840"/>
      </w:tabs>
      <w:spacing w:after="156" w:afterLines="50"/>
      <w:ind w:left="454" w:hanging="284"/>
      <w:jc w:val="left"/>
    </w:pPr>
    <w:rPr>
      <w:rFonts w:ascii="Times New Roman" w:hAnsi="Times New Roman" w:eastAsia="宋体" w:cs="Times New Roman"/>
      <w:kern w:val="0"/>
      <w:sz w:val="24"/>
      <w:szCs w:val="20"/>
    </w:rPr>
  </w:style>
  <w:style w:type="paragraph" w:styleId="16">
    <w:name w:val="caption"/>
    <w:basedOn w:val="1"/>
    <w:next w:val="1"/>
    <w:autoRedefine/>
    <w:qFormat/>
    <w:uiPriority w:val="0"/>
    <w:pPr>
      <w:spacing w:before="152" w:beforeLines="0" w:after="160" w:afterLines="0"/>
    </w:pPr>
    <w:rPr>
      <w:rFonts w:ascii="Arial" w:hAnsi="Arial" w:eastAsia="黑体" w:cs="Arial"/>
      <w:sz w:val="20"/>
      <w:szCs w:val="20"/>
    </w:rPr>
  </w:style>
  <w:style w:type="paragraph" w:styleId="17">
    <w:name w:val="Document Map"/>
    <w:basedOn w:val="1"/>
    <w:link w:val="72"/>
    <w:autoRedefine/>
    <w:qFormat/>
    <w:uiPriority w:val="0"/>
    <w:pPr>
      <w:shd w:val="clear" w:color="auto" w:fill="000080"/>
      <w:adjustRightInd w:val="0"/>
      <w:spacing w:line="312" w:lineRule="atLeast"/>
      <w:textAlignment w:val="baseline"/>
    </w:pPr>
    <w:rPr>
      <w:rFonts w:ascii="Times New Roman" w:hAnsi="Times New Roman" w:eastAsia="宋体" w:cs="Times New Roman"/>
      <w:kern w:val="0"/>
      <w:szCs w:val="20"/>
    </w:rPr>
  </w:style>
  <w:style w:type="paragraph" w:styleId="18">
    <w:name w:val="annotation text"/>
    <w:basedOn w:val="1"/>
    <w:link w:val="73"/>
    <w:autoRedefine/>
    <w:qFormat/>
    <w:uiPriority w:val="0"/>
    <w:pPr>
      <w:jc w:val="left"/>
    </w:pPr>
    <w:rPr>
      <w:rFonts w:ascii="Times New Roman" w:hAnsi="Times New Roman" w:eastAsia="宋体" w:cs="Times New Roman"/>
    </w:rPr>
  </w:style>
  <w:style w:type="paragraph" w:styleId="19">
    <w:name w:val="Body Text 3"/>
    <w:basedOn w:val="1"/>
    <w:link w:val="74"/>
    <w:autoRedefine/>
    <w:qFormat/>
    <w:uiPriority w:val="0"/>
    <w:pPr>
      <w:spacing w:line="500" w:lineRule="exact"/>
    </w:pPr>
    <w:rPr>
      <w:rFonts w:ascii="Times New Roman" w:hAnsi="Times New Roman" w:eastAsia="宋体" w:cs="Times New Roman"/>
      <w:b/>
      <w:bCs/>
      <w:sz w:val="24"/>
    </w:rPr>
  </w:style>
  <w:style w:type="paragraph" w:styleId="20">
    <w:name w:val="Body Text"/>
    <w:basedOn w:val="1"/>
    <w:link w:val="75"/>
    <w:autoRedefine/>
    <w:qFormat/>
    <w:uiPriority w:val="0"/>
    <w:pPr>
      <w:spacing w:line="380" w:lineRule="exact"/>
    </w:pPr>
    <w:rPr>
      <w:rFonts w:ascii="Times New Roman" w:hAnsi="Times New Roman" w:eastAsia="宋体" w:cs="Times New Roman"/>
      <w:sz w:val="24"/>
    </w:rPr>
  </w:style>
  <w:style w:type="paragraph" w:styleId="21">
    <w:name w:val="Body Text Indent"/>
    <w:basedOn w:val="1"/>
    <w:link w:val="61"/>
    <w:autoRedefine/>
    <w:qFormat/>
    <w:uiPriority w:val="0"/>
    <w:pPr>
      <w:ind w:firstLine="830" w:firstLineChars="352"/>
    </w:pPr>
    <w:rPr>
      <w:rFonts w:ascii="仿宋_GB2312" w:hAnsi="Times New Roman" w:eastAsia="仿宋_GB2312" w:cs="Times New Roman"/>
      <w:sz w:val="32"/>
      <w:szCs w:val="20"/>
    </w:rPr>
  </w:style>
  <w:style w:type="paragraph" w:styleId="22">
    <w:name w:val="List Number 3"/>
    <w:basedOn w:val="1"/>
    <w:autoRedefine/>
    <w:qFormat/>
    <w:uiPriority w:val="0"/>
    <w:pPr>
      <w:tabs>
        <w:tab w:val="left" w:pos="1200"/>
      </w:tabs>
      <w:ind w:left="1200" w:leftChars="400" w:hanging="360" w:hangingChars="200"/>
    </w:pPr>
    <w:rPr>
      <w:rFonts w:ascii="Times New Roman" w:hAnsi="Times New Roman" w:eastAsia="宋体" w:cs="Times New Roman"/>
    </w:rPr>
  </w:style>
  <w:style w:type="paragraph" w:styleId="23">
    <w:name w:val="List 2"/>
    <w:basedOn w:val="1"/>
    <w:autoRedefine/>
    <w:qFormat/>
    <w:uiPriority w:val="0"/>
    <w:pPr>
      <w:ind w:left="100" w:leftChars="200" w:hanging="200" w:hangingChars="200"/>
    </w:pPr>
    <w:rPr>
      <w:rFonts w:ascii="Times New Roman" w:hAnsi="Times New Roman" w:eastAsia="宋体" w:cs="Times New Roman"/>
      <w:sz w:val="28"/>
    </w:rPr>
  </w:style>
  <w:style w:type="paragraph" w:styleId="24">
    <w:name w:val="Block Text"/>
    <w:basedOn w:val="1"/>
    <w:autoRedefine/>
    <w:qFormat/>
    <w:uiPriority w:val="0"/>
    <w:pPr>
      <w:adjustRightInd w:val="0"/>
      <w:ind w:left="420" w:right="33"/>
      <w:jc w:val="left"/>
      <w:textAlignment w:val="baseline"/>
    </w:pPr>
    <w:rPr>
      <w:rFonts w:ascii="Times New Roman" w:hAnsi="Times New Roman" w:eastAsia="宋体" w:cs="Times New Roman"/>
      <w:kern w:val="0"/>
      <w:sz w:val="24"/>
      <w:szCs w:val="20"/>
    </w:rPr>
  </w:style>
  <w:style w:type="paragraph" w:styleId="25">
    <w:name w:val="toc 5"/>
    <w:basedOn w:val="1"/>
    <w:next w:val="1"/>
    <w:autoRedefine/>
    <w:qFormat/>
    <w:uiPriority w:val="0"/>
    <w:pPr>
      <w:tabs>
        <w:tab w:val="right" w:leader="dot" w:pos="9185"/>
      </w:tabs>
      <w:adjustRightInd w:val="0"/>
      <w:spacing w:line="312" w:lineRule="atLeast"/>
      <w:ind w:left="1680"/>
      <w:textAlignment w:val="baseline"/>
    </w:pPr>
    <w:rPr>
      <w:rFonts w:ascii="Times New Roman" w:hAnsi="Times New Roman" w:eastAsia="宋体" w:cs="Times New Roman"/>
      <w:kern w:val="0"/>
      <w:szCs w:val="20"/>
    </w:rPr>
  </w:style>
  <w:style w:type="paragraph" w:styleId="26">
    <w:name w:val="toc 3"/>
    <w:basedOn w:val="1"/>
    <w:next w:val="1"/>
    <w:autoRedefine/>
    <w:qFormat/>
    <w:uiPriority w:val="0"/>
    <w:pPr>
      <w:ind w:left="840" w:leftChars="400"/>
    </w:pPr>
    <w:rPr>
      <w:rFonts w:ascii="Times New Roman" w:hAnsi="Times New Roman" w:eastAsia="宋体" w:cs="Times New Roman"/>
    </w:rPr>
  </w:style>
  <w:style w:type="paragraph" w:styleId="27">
    <w:name w:val="Plain Text"/>
    <w:basedOn w:val="1"/>
    <w:next w:val="1"/>
    <w:link w:val="76"/>
    <w:autoRedefine/>
    <w:qFormat/>
    <w:uiPriority w:val="0"/>
    <w:rPr>
      <w:rFonts w:ascii="宋体" w:hAnsi="Courier New" w:eastAsia="宋体" w:cs="Courier New"/>
      <w:szCs w:val="21"/>
    </w:rPr>
  </w:style>
  <w:style w:type="paragraph" w:styleId="28">
    <w:name w:val="toc 8"/>
    <w:basedOn w:val="1"/>
    <w:next w:val="1"/>
    <w:autoRedefine/>
    <w:qFormat/>
    <w:uiPriority w:val="0"/>
    <w:pPr>
      <w:tabs>
        <w:tab w:val="right" w:leader="dot" w:pos="9185"/>
      </w:tabs>
      <w:adjustRightInd w:val="0"/>
      <w:spacing w:line="312" w:lineRule="atLeast"/>
      <w:ind w:left="2940"/>
      <w:textAlignment w:val="baseline"/>
    </w:pPr>
    <w:rPr>
      <w:rFonts w:ascii="Times New Roman" w:hAnsi="Times New Roman" w:eastAsia="宋体" w:cs="Times New Roman"/>
      <w:kern w:val="0"/>
      <w:szCs w:val="20"/>
    </w:rPr>
  </w:style>
  <w:style w:type="paragraph" w:styleId="29">
    <w:name w:val="Date"/>
    <w:basedOn w:val="1"/>
    <w:next w:val="1"/>
    <w:link w:val="77"/>
    <w:autoRedefine/>
    <w:qFormat/>
    <w:uiPriority w:val="0"/>
    <w:pPr>
      <w:ind w:left="100" w:leftChars="2500"/>
    </w:pPr>
    <w:rPr>
      <w:rFonts w:ascii="宋体" w:hAnsi="Courier New" w:eastAsia="宋体" w:cs="Times New Roman"/>
      <w:szCs w:val="21"/>
    </w:rPr>
  </w:style>
  <w:style w:type="paragraph" w:styleId="30">
    <w:name w:val="Body Text Indent 2"/>
    <w:basedOn w:val="1"/>
    <w:link w:val="78"/>
    <w:autoRedefine/>
    <w:qFormat/>
    <w:uiPriority w:val="0"/>
    <w:pPr>
      <w:ind w:firstLine="630"/>
    </w:pPr>
    <w:rPr>
      <w:rFonts w:ascii="Times New Roman" w:hAnsi="Times New Roman" w:eastAsia="宋体" w:cs="Times New Roman"/>
      <w:sz w:val="32"/>
      <w:szCs w:val="20"/>
    </w:rPr>
  </w:style>
  <w:style w:type="paragraph" w:styleId="31">
    <w:name w:val="Balloon Text"/>
    <w:basedOn w:val="1"/>
    <w:link w:val="79"/>
    <w:autoRedefine/>
    <w:qFormat/>
    <w:uiPriority w:val="0"/>
    <w:rPr>
      <w:rFonts w:ascii="Times New Roman" w:hAnsi="Times New Roman" w:eastAsia="宋体" w:cs="Times New Roman"/>
      <w:sz w:val="18"/>
      <w:szCs w:val="18"/>
    </w:rPr>
  </w:style>
  <w:style w:type="paragraph" w:styleId="32">
    <w:name w:val="footer"/>
    <w:basedOn w:val="1"/>
    <w:link w:val="80"/>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33">
    <w:name w:val="header"/>
    <w:basedOn w:val="1"/>
    <w:link w:val="81"/>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34">
    <w:name w:val="toc 1"/>
    <w:basedOn w:val="1"/>
    <w:next w:val="1"/>
    <w:autoRedefine/>
    <w:qFormat/>
    <w:uiPriority w:val="0"/>
    <w:pPr>
      <w:tabs>
        <w:tab w:val="right" w:leader="dot" w:pos="8398"/>
      </w:tabs>
      <w:spacing w:before="120" w:beforeLines="0" w:after="120" w:afterLines="0"/>
      <w:ind w:firstLine="240" w:firstLineChars="100"/>
      <w:jc w:val="left"/>
    </w:pPr>
    <w:rPr>
      <w:rFonts w:ascii="宋体" w:hAnsi="宋体" w:eastAsia="宋体" w:cs="Times New Roman"/>
      <w:b/>
      <w:bCs/>
      <w:caps/>
      <w:sz w:val="24"/>
    </w:rPr>
  </w:style>
  <w:style w:type="paragraph" w:styleId="35">
    <w:name w:val="toc 4"/>
    <w:basedOn w:val="1"/>
    <w:next w:val="1"/>
    <w:autoRedefine/>
    <w:qFormat/>
    <w:uiPriority w:val="0"/>
    <w:pPr>
      <w:tabs>
        <w:tab w:val="right" w:leader="dot" w:pos="9185"/>
      </w:tabs>
      <w:adjustRightInd w:val="0"/>
      <w:spacing w:line="312" w:lineRule="atLeast"/>
      <w:ind w:left="1260"/>
      <w:textAlignment w:val="baseline"/>
    </w:pPr>
    <w:rPr>
      <w:rFonts w:ascii="Times New Roman" w:hAnsi="Times New Roman" w:eastAsia="宋体" w:cs="Times New Roman"/>
      <w:kern w:val="0"/>
      <w:szCs w:val="20"/>
    </w:rPr>
  </w:style>
  <w:style w:type="paragraph" w:styleId="36">
    <w:name w:val="List"/>
    <w:basedOn w:val="1"/>
    <w:autoRedefine/>
    <w:qFormat/>
    <w:uiPriority w:val="0"/>
    <w:pPr>
      <w:ind w:left="200" w:hanging="200" w:hangingChars="200"/>
    </w:pPr>
    <w:rPr>
      <w:rFonts w:ascii="Times New Roman" w:hAnsi="Times New Roman" w:eastAsia="宋体" w:cs="Times New Roman"/>
      <w:sz w:val="28"/>
    </w:rPr>
  </w:style>
  <w:style w:type="paragraph" w:styleId="37">
    <w:name w:val="toc 6"/>
    <w:basedOn w:val="1"/>
    <w:next w:val="1"/>
    <w:autoRedefine/>
    <w:qFormat/>
    <w:uiPriority w:val="0"/>
    <w:pPr>
      <w:tabs>
        <w:tab w:val="right" w:leader="dot" w:pos="9185"/>
      </w:tabs>
      <w:adjustRightInd w:val="0"/>
      <w:spacing w:line="312" w:lineRule="atLeast"/>
      <w:ind w:left="2100"/>
      <w:textAlignment w:val="baseline"/>
    </w:pPr>
    <w:rPr>
      <w:rFonts w:ascii="Times New Roman" w:hAnsi="Times New Roman" w:eastAsia="宋体" w:cs="Times New Roman"/>
      <w:kern w:val="0"/>
      <w:szCs w:val="20"/>
    </w:rPr>
  </w:style>
  <w:style w:type="paragraph" w:styleId="38">
    <w:name w:val="List 5"/>
    <w:basedOn w:val="1"/>
    <w:autoRedefine/>
    <w:qFormat/>
    <w:uiPriority w:val="0"/>
    <w:pPr>
      <w:ind w:left="2100" w:hanging="420"/>
    </w:pPr>
    <w:rPr>
      <w:rFonts w:ascii="Times New Roman" w:hAnsi="Times New Roman" w:eastAsia="宋体" w:cs="Times New Roman"/>
      <w:szCs w:val="20"/>
    </w:rPr>
  </w:style>
  <w:style w:type="paragraph" w:styleId="39">
    <w:name w:val="Body Text Indent 3"/>
    <w:basedOn w:val="1"/>
    <w:link w:val="82"/>
    <w:autoRedefine/>
    <w:qFormat/>
    <w:uiPriority w:val="0"/>
    <w:pPr>
      <w:spacing w:after="120" w:afterLines="0"/>
      <w:ind w:left="420" w:leftChars="200"/>
    </w:pPr>
    <w:rPr>
      <w:rFonts w:ascii="Times New Roman" w:hAnsi="Times New Roman" w:eastAsia="宋体" w:cs="Times New Roman"/>
      <w:sz w:val="16"/>
      <w:szCs w:val="16"/>
    </w:rPr>
  </w:style>
  <w:style w:type="paragraph" w:styleId="40">
    <w:name w:val="toc 2"/>
    <w:basedOn w:val="1"/>
    <w:next w:val="1"/>
    <w:autoRedefine/>
    <w:qFormat/>
    <w:uiPriority w:val="0"/>
    <w:pPr>
      <w:ind w:left="420" w:leftChars="200"/>
    </w:pPr>
    <w:rPr>
      <w:rFonts w:ascii="Times New Roman" w:hAnsi="Times New Roman" w:eastAsia="宋体" w:cs="Times New Roman"/>
    </w:rPr>
  </w:style>
  <w:style w:type="paragraph" w:styleId="41">
    <w:name w:val="toc 9"/>
    <w:basedOn w:val="1"/>
    <w:next w:val="1"/>
    <w:autoRedefine/>
    <w:qFormat/>
    <w:uiPriority w:val="0"/>
    <w:pPr>
      <w:tabs>
        <w:tab w:val="right" w:leader="dot" w:pos="9185"/>
      </w:tabs>
      <w:adjustRightInd w:val="0"/>
      <w:spacing w:line="312" w:lineRule="atLeast"/>
      <w:ind w:left="3360"/>
      <w:textAlignment w:val="baseline"/>
    </w:pPr>
    <w:rPr>
      <w:rFonts w:ascii="Times New Roman" w:hAnsi="Times New Roman" w:eastAsia="宋体" w:cs="Times New Roman"/>
      <w:kern w:val="0"/>
      <w:szCs w:val="20"/>
    </w:rPr>
  </w:style>
  <w:style w:type="paragraph" w:styleId="42">
    <w:name w:val="Body Text 2"/>
    <w:basedOn w:val="1"/>
    <w:link w:val="83"/>
    <w:autoRedefine/>
    <w:qFormat/>
    <w:uiPriority w:val="0"/>
    <w:pPr>
      <w:spacing w:after="120" w:afterLines="0" w:line="480" w:lineRule="auto"/>
    </w:pPr>
    <w:rPr>
      <w:rFonts w:ascii="Times New Roman" w:hAnsi="Times New Roman" w:eastAsia="宋体" w:cs="Times New Roman"/>
    </w:rPr>
  </w:style>
  <w:style w:type="paragraph" w:styleId="43">
    <w:name w:val="List 4"/>
    <w:basedOn w:val="1"/>
    <w:autoRedefine/>
    <w:qFormat/>
    <w:uiPriority w:val="0"/>
    <w:pPr>
      <w:ind w:left="100" w:leftChars="600" w:hanging="200" w:hangingChars="200"/>
    </w:pPr>
    <w:rPr>
      <w:rFonts w:ascii="Times New Roman" w:hAnsi="Times New Roman" w:eastAsia="宋体" w:cs="Times New Roman"/>
    </w:rPr>
  </w:style>
  <w:style w:type="paragraph" w:styleId="44">
    <w:name w:val="List Continue 2"/>
    <w:basedOn w:val="1"/>
    <w:autoRedefine/>
    <w:qFormat/>
    <w:uiPriority w:val="0"/>
    <w:pPr>
      <w:spacing w:after="120" w:afterLines="0"/>
      <w:ind w:left="840" w:leftChars="400"/>
    </w:pPr>
    <w:rPr>
      <w:rFonts w:ascii="Times New Roman" w:hAnsi="Times New Roman" w:eastAsia="宋体" w:cs="Times New Roman"/>
    </w:rPr>
  </w:style>
  <w:style w:type="paragraph" w:styleId="45">
    <w:name w:val="HTML Preformatted"/>
    <w:basedOn w:val="1"/>
    <w:link w:val="8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imes New Roman"/>
      <w:kern w:val="0"/>
      <w:sz w:val="20"/>
      <w:szCs w:val="20"/>
    </w:rPr>
  </w:style>
  <w:style w:type="paragraph" w:styleId="46">
    <w:name w:val="Normal (Web)"/>
    <w:basedOn w:val="1"/>
    <w:autoRedefine/>
    <w:qFormat/>
    <w:uiPriority w:val="0"/>
    <w:pPr>
      <w:widowControl/>
      <w:spacing w:before="100" w:beforeLines="0" w:beforeAutospacing="1" w:after="100" w:afterLines="0" w:afterAutospacing="1"/>
      <w:jc w:val="left"/>
    </w:pPr>
    <w:rPr>
      <w:rFonts w:ascii="宋体" w:hAnsi="宋体" w:eastAsia="宋体" w:cs="Times New Roman"/>
      <w:kern w:val="0"/>
      <w:sz w:val="24"/>
    </w:rPr>
  </w:style>
  <w:style w:type="paragraph" w:styleId="47">
    <w:name w:val="index 1"/>
    <w:basedOn w:val="1"/>
    <w:next w:val="1"/>
    <w:autoRedefine/>
    <w:qFormat/>
    <w:uiPriority w:val="0"/>
    <w:pPr>
      <w:spacing w:line="400" w:lineRule="exact"/>
      <w:ind w:firstLine="420" w:firstLineChars="200"/>
    </w:pPr>
    <w:rPr>
      <w:rFonts w:ascii="宋体" w:hAnsi="Courier New" w:eastAsia="宋体" w:cs="Times New Roman"/>
      <w:b/>
      <w:szCs w:val="20"/>
    </w:rPr>
  </w:style>
  <w:style w:type="paragraph" w:styleId="48">
    <w:name w:val="Title"/>
    <w:basedOn w:val="1"/>
    <w:next w:val="1"/>
    <w:link w:val="85"/>
    <w:autoRedefine/>
    <w:qFormat/>
    <w:uiPriority w:val="0"/>
    <w:pPr>
      <w:jc w:val="center"/>
    </w:pPr>
    <w:rPr>
      <w:rFonts w:ascii="Times New Roman" w:hAnsi="Times New Roman" w:eastAsia="宋体" w:cs="Times New Roman"/>
      <w:sz w:val="30"/>
    </w:rPr>
  </w:style>
  <w:style w:type="paragraph" w:styleId="49">
    <w:name w:val="annotation subject"/>
    <w:basedOn w:val="18"/>
    <w:next w:val="18"/>
    <w:link w:val="86"/>
    <w:autoRedefine/>
    <w:qFormat/>
    <w:uiPriority w:val="0"/>
    <w:rPr>
      <w:rFonts w:ascii="Times New Roman" w:hAnsi="Times New Roman" w:eastAsia="宋体" w:cs="Times New Roman"/>
      <w:b/>
      <w:bCs/>
    </w:rPr>
  </w:style>
  <w:style w:type="paragraph" w:styleId="50">
    <w:name w:val="Body Text First Indent"/>
    <w:basedOn w:val="20"/>
    <w:link w:val="87"/>
    <w:autoRedefine/>
    <w:qFormat/>
    <w:uiPriority w:val="0"/>
    <w:pPr>
      <w:spacing w:after="120" w:afterLines="0" w:line="240" w:lineRule="auto"/>
      <w:ind w:firstLine="420" w:firstLineChars="100"/>
    </w:pPr>
    <w:rPr>
      <w:rFonts w:ascii="Times New Roman" w:hAnsi="Times New Roman" w:eastAsia="宋体" w:cs="Times New Roman"/>
      <w:sz w:val="21"/>
    </w:rPr>
  </w:style>
  <w:style w:type="paragraph" w:styleId="51">
    <w:name w:val="Body Text First Indent 2"/>
    <w:basedOn w:val="21"/>
    <w:link w:val="62"/>
    <w:autoRedefine/>
    <w:qFormat/>
    <w:uiPriority w:val="0"/>
    <w:pPr>
      <w:spacing w:after="120" w:afterLines="0"/>
      <w:ind w:left="420" w:leftChars="200" w:firstLine="420" w:firstLineChars="200"/>
    </w:pPr>
    <w:rPr>
      <w:rFonts w:ascii="Times New Roman" w:hAnsi="Times New Roman" w:eastAsia="宋体" w:cs="Times New Roman"/>
      <w:sz w:val="21"/>
      <w:szCs w:val="24"/>
    </w:rPr>
  </w:style>
  <w:style w:type="table" w:styleId="53">
    <w:name w:val="Table Grid"/>
    <w:basedOn w:val="52"/>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autoRedefine/>
    <w:qFormat/>
    <w:uiPriority w:val="0"/>
    <w:rPr>
      <w:rFonts w:ascii="Times New Roman" w:hAnsi="Times New Roman" w:eastAsia="宋体" w:cs="Times New Roman"/>
      <w:b/>
      <w:bCs/>
    </w:rPr>
  </w:style>
  <w:style w:type="character" w:styleId="56">
    <w:name w:val="page number"/>
    <w:autoRedefine/>
    <w:qFormat/>
    <w:uiPriority w:val="0"/>
    <w:rPr>
      <w:rFonts w:ascii="Times New Roman" w:hAnsi="Times New Roman" w:eastAsia="宋体" w:cs="Times New Roman"/>
    </w:rPr>
  </w:style>
  <w:style w:type="character" w:styleId="57">
    <w:name w:val="FollowedHyperlink"/>
    <w:autoRedefine/>
    <w:qFormat/>
    <w:uiPriority w:val="0"/>
    <w:rPr>
      <w:rFonts w:ascii="Times New Roman" w:hAnsi="Times New Roman" w:eastAsia="宋体" w:cs="Times New Roman"/>
      <w:color w:val="800080"/>
      <w:u w:val="single"/>
    </w:rPr>
  </w:style>
  <w:style w:type="character" w:styleId="58">
    <w:name w:val="Hyperlink"/>
    <w:autoRedefine/>
    <w:qFormat/>
    <w:uiPriority w:val="0"/>
    <w:rPr>
      <w:rFonts w:ascii="Times New Roman" w:hAnsi="Times New Roman" w:eastAsia="宋体" w:cs="Times New Roman"/>
      <w:color w:val="0000FF"/>
      <w:u w:val="single"/>
    </w:rPr>
  </w:style>
  <w:style w:type="character" w:styleId="59">
    <w:name w:val="annotation reference"/>
    <w:autoRedefine/>
    <w:qFormat/>
    <w:uiPriority w:val="0"/>
    <w:rPr>
      <w:rFonts w:ascii="Times New Roman" w:hAnsi="Times New Roman" w:eastAsia="宋体" w:cs="Times New Roman"/>
      <w:sz w:val="21"/>
      <w:szCs w:val="21"/>
    </w:rPr>
  </w:style>
  <w:style w:type="paragraph" w:customStyle="1" w:styleId="60">
    <w:name w:val="TOC 标题2"/>
    <w:next w:val="1"/>
    <w:autoRedefine/>
    <w:qFormat/>
    <w:uiPriority w:val="99"/>
    <w:pPr>
      <w:wordWrap w:val="0"/>
    </w:pPr>
    <w:rPr>
      <w:rFonts w:ascii="Calibri" w:hAnsi="Calibri" w:eastAsia="宋体" w:cs="Times New Roman"/>
      <w:sz w:val="32"/>
      <w:lang w:val="en-US" w:eastAsia="zh-CN" w:bidi="ar-SA"/>
    </w:rPr>
  </w:style>
  <w:style w:type="character" w:customStyle="1" w:styleId="61">
    <w:name w:val="正文文本缩进 字符"/>
    <w:link w:val="21"/>
    <w:autoRedefine/>
    <w:qFormat/>
    <w:uiPriority w:val="0"/>
    <w:rPr>
      <w:rFonts w:ascii="仿宋_GB2312" w:hAnsi="Times New Roman" w:eastAsia="仿宋_GB2312" w:cs="Times New Roman"/>
      <w:kern w:val="2"/>
      <w:sz w:val="32"/>
    </w:rPr>
  </w:style>
  <w:style w:type="character" w:customStyle="1" w:styleId="62">
    <w:name w:val="正文文本首行缩进 2 字符"/>
    <w:link w:val="51"/>
    <w:autoRedefine/>
    <w:qFormat/>
    <w:uiPriority w:val="0"/>
    <w:rPr>
      <w:rFonts w:ascii="Times New Roman" w:hAnsi="Times New Roman" w:eastAsia="宋体" w:cs="Times New Roman"/>
      <w:kern w:val="2"/>
      <w:sz w:val="21"/>
      <w:szCs w:val="24"/>
    </w:rPr>
  </w:style>
  <w:style w:type="character" w:customStyle="1" w:styleId="63">
    <w:name w:val="标题 1 字符"/>
    <w:link w:val="2"/>
    <w:autoRedefine/>
    <w:qFormat/>
    <w:uiPriority w:val="0"/>
    <w:rPr>
      <w:rFonts w:ascii="Times New Roman" w:hAnsi="Times New Roman" w:eastAsia="宋体" w:cs="Times New Roman"/>
      <w:b/>
      <w:bCs/>
      <w:kern w:val="44"/>
      <w:sz w:val="44"/>
      <w:szCs w:val="44"/>
      <w:lang w:val="en-US" w:eastAsia="zh-CN" w:bidi="ar-SA"/>
    </w:rPr>
  </w:style>
  <w:style w:type="character" w:customStyle="1" w:styleId="64">
    <w:name w:val="标题 2 字符"/>
    <w:link w:val="3"/>
    <w:autoRedefine/>
    <w:qFormat/>
    <w:uiPriority w:val="0"/>
    <w:rPr>
      <w:rFonts w:ascii="Arial" w:hAnsi="Arial" w:eastAsia="黑体" w:cs="Times New Roman"/>
      <w:b/>
      <w:bCs/>
      <w:kern w:val="2"/>
      <w:sz w:val="32"/>
      <w:szCs w:val="32"/>
    </w:rPr>
  </w:style>
  <w:style w:type="character" w:customStyle="1" w:styleId="65">
    <w:name w:val="标题 3 字符"/>
    <w:link w:val="4"/>
    <w:autoRedefine/>
    <w:qFormat/>
    <w:uiPriority w:val="0"/>
    <w:rPr>
      <w:rFonts w:ascii="Times New Roman" w:hAnsi="Times New Roman" w:eastAsia="宋体" w:cs="Times New Roman"/>
      <w:b/>
      <w:bCs/>
      <w:kern w:val="2"/>
      <w:sz w:val="32"/>
      <w:szCs w:val="32"/>
    </w:rPr>
  </w:style>
  <w:style w:type="character" w:customStyle="1" w:styleId="66">
    <w:name w:val="标题 4 字符"/>
    <w:link w:val="5"/>
    <w:autoRedefine/>
    <w:qFormat/>
    <w:uiPriority w:val="0"/>
    <w:rPr>
      <w:rFonts w:ascii="Arial" w:hAnsi="Arial" w:eastAsia="黑体" w:cs="Times New Roman"/>
      <w:sz w:val="28"/>
    </w:rPr>
  </w:style>
  <w:style w:type="character" w:customStyle="1" w:styleId="67">
    <w:name w:val="标题 5 字符"/>
    <w:link w:val="6"/>
    <w:autoRedefine/>
    <w:qFormat/>
    <w:uiPriority w:val="0"/>
    <w:rPr>
      <w:rFonts w:ascii="Times New Roman" w:hAnsi="Times New Roman" w:eastAsia="宋体" w:cs="Times New Roman"/>
      <w:b/>
      <w:kern w:val="2"/>
      <w:sz w:val="28"/>
      <w:szCs w:val="24"/>
    </w:rPr>
  </w:style>
  <w:style w:type="character" w:customStyle="1" w:styleId="68">
    <w:name w:val="标题 6 字符"/>
    <w:link w:val="8"/>
    <w:autoRedefine/>
    <w:qFormat/>
    <w:uiPriority w:val="0"/>
    <w:rPr>
      <w:rFonts w:ascii="Arial" w:hAnsi="Arial" w:eastAsia="黑体" w:cs="Times New Roman"/>
      <w:b/>
      <w:kern w:val="2"/>
      <w:sz w:val="24"/>
      <w:szCs w:val="24"/>
    </w:rPr>
  </w:style>
  <w:style w:type="character" w:customStyle="1" w:styleId="69">
    <w:name w:val="标题 7 字符"/>
    <w:link w:val="9"/>
    <w:autoRedefine/>
    <w:qFormat/>
    <w:uiPriority w:val="0"/>
    <w:rPr>
      <w:rFonts w:ascii="Times New Roman" w:hAnsi="Times New Roman" w:eastAsia="宋体" w:cs="Times New Roman"/>
      <w:b/>
      <w:kern w:val="2"/>
      <w:sz w:val="24"/>
      <w:szCs w:val="24"/>
    </w:rPr>
  </w:style>
  <w:style w:type="character" w:customStyle="1" w:styleId="70">
    <w:name w:val="标题 8 字符"/>
    <w:link w:val="10"/>
    <w:autoRedefine/>
    <w:qFormat/>
    <w:uiPriority w:val="0"/>
    <w:rPr>
      <w:rFonts w:ascii="Arial" w:hAnsi="Arial" w:eastAsia="黑体" w:cs="Times New Roman"/>
      <w:kern w:val="2"/>
      <w:sz w:val="24"/>
      <w:szCs w:val="24"/>
    </w:rPr>
  </w:style>
  <w:style w:type="character" w:customStyle="1" w:styleId="71">
    <w:name w:val="标题 9 字符"/>
    <w:link w:val="11"/>
    <w:autoRedefine/>
    <w:qFormat/>
    <w:uiPriority w:val="0"/>
    <w:rPr>
      <w:rFonts w:ascii="Arial" w:hAnsi="Arial" w:eastAsia="黑体" w:cs="Times New Roman"/>
      <w:kern w:val="2"/>
      <w:sz w:val="21"/>
      <w:szCs w:val="24"/>
    </w:rPr>
  </w:style>
  <w:style w:type="character" w:customStyle="1" w:styleId="72">
    <w:name w:val="文档结构图 字符"/>
    <w:link w:val="17"/>
    <w:autoRedefine/>
    <w:qFormat/>
    <w:uiPriority w:val="0"/>
    <w:rPr>
      <w:rFonts w:ascii="Times New Roman" w:hAnsi="Times New Roman" w:eastAsia="宋体" w:cs="Times New Roman"/>
      <w:sz w:val="21"/>
      <w:shd w:val="clear" w:color="auto" w:fill="000080"/>
    </w:rPr>
  </w:style>
  <w:style w:type="character" w:customStyle="1" w:styleId="73">
    <w:name w:val="批注文字 字符"/>
    <w:link w:val="18"/>
    <w:autoRedefine/>
    <w:qFormat/>
    <w:uiPriority w:val="0"/>
    <w:rPr>
      <w:rFonts w:ascii="Times New Roman" w:hAnsi="Times New Roman" w:eastAsia="宋体" w:cs="Times New Roman"/>
      <w:kern w:val="2"/>
      <w:sz w:val="21"/>
      <w:szCs w:val="24"/>
    </w:rPr>
  </w:style>
  <w:style w:type="character" w:customStyle="1" w:styleId="74">
    <w:name w:val="正文文本 3 字符"/>
    <w:link w:val="19"/>
    <w:autoRedefine/>
    <w:qFormat/>
    <w:uiPriority w:val="0"/>
    <w:rPr>
      <w:rFonts w:ascii="Times New Roman" w:hAnsi="Times New Roman" w:eastAsia="宋体" w:cs="Times New Roman"/>
      <w:b/>
      <w:bCs/>
      <w:kern w:val="2"/>
      <w:sz w:val="24"/>
      <w:szCs w:val="24"/>
    </w:rPr>
  </w:style>
  <w:style w:type="character" w:customStyle="1" w:styleId="75">
    <w:name w:val="正文文本 字符"/>
    <w:link w:val="20"/>
    <w:autoRedefine/>
    <w:qFormat/>
    <w:uiPriority w:val="0"/>
    <w:rPr>
      <w:rFonts w:ascii="Times New Roman" w:hAnsi="Times New Roman" w:eastAsia="宋体" w:cs="Times New Roman"/>
      <w:kern w:val="2"/>
      <w:sz w:val="24"/>
      <w:szCs w:val="24"/>
    </w:rPr>
  </w:style>
  <w:style w:type="character" w:customStyle="1" w:styleId="76">
    <w:name w:val="纯文本 字符"/>
    <w:link w:val="27"/>
    <w:autoRedefine/>
    <w:qFormat/>
    <w:uiPriority w:val="0"/>
    <w:rPr>
      <w:rFonts w:ascii="宋体" w:hAnsi="Courier New" w:eastAsia="宋体" w:cs="Courier New"/>
      <w:kern w:val="2"/>
      <w:sz w:val="21"/>
      <w:szCs w:val="21"/>
      <w:lang w:val="en-US" w:eastAsia="zh-CN" w:bidi="ar-SA"/>
    </w:rPr>
  </w:style>
  <w:style w:type="character" w:customStyle="1" w:styleId="77">
    <w:name w:val="日期 字符"/>
    <w:link w:val="29"/>
    <w:autoRedefine/>
    <w:qFormat/>
    <w:uiPriority w:val="0"/>
    <w:rPr>
      <w:rFonts w:ascii="宋体" w:hAnsi="Courier New" w:eastAsia="宋体" w:cs="Courier New"/>
      <w:kern w:val="2"/>
      <w:sz w:val="21"/>
      <w:szCs w:val="21"/>
    </w:rPr>
  </w:style>
  <w:style w:type="character" w:customStyle="1" w:styleId="78">
    <w:name w:val="正文文本缩进 2 字符"/>
    <w:link w:val="30"/>
    <w:autoRedefine/>
    <w:qFormat/>
    <w:uiPriority w:val="0"/>
    <w:rPr>
      <w:rFonts w:ascii="Times New Roman" w:hAnsi="Times New Roman" w:eastAsia="宋体" w:cs="Times New Roman"/>
      <w:kern w:val="2"/>
      <w:sz w:val="32"/>
    </w:rPr>
  </w:style>
  <w:style w:type="character" w:customStyle="1" w:styleId="79">
    <w:name w:val="批注框文本 字符"/>
    <w:link w:val="31"/>
    <w:autoRedefine/>
    <w:qFormat/>
    <w:uiPriority w:val="0"/>
    <w:rPr>
      <w:rFonts w:ascii="Times New Roman" w:hAnsi="Times New Roman" w:eastAsia="宋体" w:cs="Times New Roman"/>
      <w:kern w:val="2"/>
      <w:sz w:val="18"/>
      <w:szCs w:val="18"/>
    </w:rPr>
  </w:style>
  <w:style w:type="character" w:customStyle="1" w:styleId="80">
    <w:name w:val="页脚 字符"/>
    <w:link w:val="32"/>
    <w:autoRedefine/>
    <w:qFormat/>
    <w:uiPriority w:val="0"/>
    <w:rPr>
      <w:rFonts w:ascii="Times New Roman" w:hAnsi="Times New Roman" w:eastAsia="宋体" w:cs="Times New Roman"/>
      <w:kern w:val="2"/>
      <w:sz w:val="18"/>
      <w:szCs w:val="18"/>
    </w:rPr>
  </w:style>
  <w:style w:type="character" w:customStyle="1" w:styleId="81">
    <w:name w:val="页眉 字符"/>
    <w:link w:val="33"/>
    <w:autoRedefine/>
    <w:qFormat/>
    <w:uiPriority w:val="0"/>
    <w:rPr>
      <w:rFonts w:ascii="Times New Roman" w:hAnsi="Times New Roman" w:eastAsia="宋体" w:cs="Times New Roman"/>
      <w:kern w:val="2"/>
      <w:sz w:val="18"/>
      <w:szCs w:val="18"/>
    </w:rPr>
  </w:style>
  <w:style w:type="character" w:customStyle="1" w:styleId="82">
    <w:name w:val="正文文本缩进 3 字符"/>
    <w:link w:val="39"/>
    <w:autoRedefine/>
    <w:qFormat/>
    <w:uiPriority w:val="0"/>
    <w:rPr>
      <w:rFonts w:ascii="Times New Roman" w:hAnsi="Times New Roman" w:eastAsia="宋体" w:cs="Times New Roman"/>
      <w:kern w:val="2"/>
      <w:sz w:val="16"/>
      <w:szCs w:val="16"/>
    </w:rPr>
  </w:style>
  <w:style w:type="character" w:customStyle="1" w:styleId="83">
    <w:name w:val="正文文本 2 字符"/>
    <w:link w:val="42"/>
    <w:autoRedefine/>
    <w:qFormat/>
    <w:uiPriority w:val="0"/>
    <w:rPr>
      <w:rFonts w:ascii="Times New Roman" w:hAnsi="Times New Roman" w:eastAsia="宋体" w:cs="Times New Roman"/>
      <w:kern w:val="2"/>
      <w:sz w:val="21"/>
      <w:szCs w:val="24"/>
    </w:rPr>
  </w:style>
  <w:style w:type="character" w:customStyle="1" w:styleId="84">
    <w:name w:val="HTML 预设格式 字符"/>
    <w:link w:val="45"/>
    <w:autoRedefine/>
    <w:qFormat/>
    <w:uiPriority w:val="0"/>
    <w:rPr>
      <w:rFonts w:ascii="黑体" w:hAnsi="Courier New" w:eastAsia="黑体" w:cs="Courier New"/>
    </w:rPr>
  </w:style>
  <w:style w:type="character" w:customStyle="1" w:styleId="85">
    <w:name w:val="标题 字符"/>
    <w:link w:val="48"/>
    <w:autoRedefine/>
    <w:qFormat/>
    <w:uiPriority w:val="0"/>
    <w:rPr>
      <w:rFonts w:ascii="Times New Roman" w:hAnsi="Times New Roman" w:eastAsia="宋体" w:cs="Times New Roman"/>
      <w:kern w:val="2"/>
      <w:sz w:val="30"/>
      <w:szCs w:val="24"/>
    </w:rPr>
  </w:style>
  <w:style w:type="character" w:customStyle="1" w:styleId="86">
    <w:name w:val="批注主题 字符"/>
    <w:link w:val="49"/>
    <w:autoRedefine/>
    <w:qFormat/>
    <w:uiPriority w:val="0"/>
    <w:rPr>
      <w:rFonts w:ascii="Times New Roman" w:hAnsi="Times New Roman" w:eastAsia="宋体" w:cs="Times New Roman"/>
      <w:b/>
      <w:bCs/>
      <w:kern w:val="2"/>
      <w:sz w:val="21"/>
      <w:szCs w:val="24"/>
    </w:rPr>
  </w:style>
  <w:style w:type="character" w:customStyle="1" w:styleId="87">
    <w:name w:val="正文文本首行缩进 字符"/>
    <w:link w:val="50"/>
    <w:autoRedefine/>
    <w:qFormat/>
    <w:uiPriority w:val="0"/>
    <w:rPr>
      <w:rFonts w:ascii="Times New Roman" w:hAnsi="Times New Roman" w:eastAsia="宋体" w:cs="Times New Roman"/>
      <w:kern w:val="2"/>
      <w:sz w:val="21"/>
      <w:szCs w:val="24"/>
    </w:rPr>
  </w:style>
  <w:style w:type="character" w:customStyle="1" w:styleId="88">
    <w:name w:val="标题3 Char"/>
    <w:link w:val="89"/>
    <w:autoRedefine/>
    <w:qFormat/>
    <w:uiPriority w:val="0"/>
    <w:rPr>
      <w:rFonts w:ascii="宋体" w:hAnsi="宋体" w:eastAsia="宋体" w:cs="Times New Roman"/>
      <w:b/>
      <w:bCs/>
      <w:kern w:val="44"/>
      <w:sz w:val="24"/>
      <w:szCs w:val="24"/>
    </w:rPr>
  </w:style>
  <w:style w:type="paragraph" w:customStyle="1" w:styleId="89">
    <w:name w:val="标题3"/>
    <w:basedOn w:val="2"/>
    <w:link w:val="88"/>
    <w:autoRedefine/>
    <w:qFormat/>
    <w:uiPriority w:val="0"/>
    <w:pPr>
      <w:spacing w:before="0" w:beforeLines="50" w:after="0" w:afterLines="50" w:line="400" w:lineRule="exact"/>
    </w:pPr>
    <w:rPr>
      <w:rFonts w:ascii="宋体" w:hAnsi="宋体" w:eastAsia="宋体" w:cs="Times New Roman"/>
      <w:sz w:val="24"/>
      <w:szCs w:val="24"/>
    </w:rPr>
  </w:style>
  <w:style w:type="character" w:customStyle="1" w:styleId="90">
    <w:name w:val="style21"/>
    <w:autoRedefine/>
    <w:qFormat/>
    <w:uiPriority w:val="0"/>
    <w:rPr>
      <w:rFonts w:ascii="Times New Roman" w:hAnsi="Times New Roman" w:eastAsia="宋体" w:cs="Times New Roman"/>
      <w:sz w:val="17"/>
      <w:szCs w:val="17"/>
    </w:rPr>
  </w:style>
  <w:style w:type="character" w:customStyle="1" w:styleId="91">
    <w:name w:val="content2"/>
    <w:autoRedefine/>
    <w:qFormat/>
    <w:uiPriority w:val="0"/>
    <w:rPr>
      <w:rFonts w:ascii="Times New Roman" w:hAnsi="Times New Roman" w:eastAsia="宋体" w:cs="Times New Roman"/>
    </w:rPr>
  </w:style>
  <w:style w:type="character" w:customStyle="1" w:styleId="92">
    <w:name w:val="small"/>
    <w:autoRedefine/>
    <w:qFormat/>
    <w:uiPriority w:val="0"/>
    <w:rPr>
      <w:rFonts w:ascii="Times New Roman" w:hAnsi="Times New Roman" w:eastAsia="宋体" w:cs="Times New Roman"/>
    </w:rPr>
  </w:style>
  <w:style w:type="character" w:customStyle="1" w:styleId="93">
    <w:name w:val="纯文本 字符1"/>
    <w:autoRedefine/>
    <w:qFormat/>
    <w:uiPriority w:val="0"/>
    <w:rPr>
      <w:rFonts w:ascii="宋体" w:hAnsi="Courier New" w:eastAsia="宋体" w:cs="Courier New"/>
      <w:kern w:val="2"/>
      <w:sz w:val="21"/>
      <w:szCs w:val="21"/>
      <w:lang w:val="en-US" w:eastAsia="zh-CN" w:bidi="ar-SA"/>
    </w:rPr>
  </w:style>
  <w:style w:type="character" w:customStyle="1" w:styleId="94">
    <w:name w:val="_Style 93"/>
    <w:autoRedefine/>
    <w:qFormat/>
    <w:uiPriority w:val="0"/>
    <w:rPr>
      <w:rFonts w:ascii="Times New Roman" w:hAnsi="Times New Roman" w:eastAsia="宋体" w:cs="Times New Roman"/>
      <w:color w:val="605E5C"/>
      <w:shd w:val="clear" w:color="auto" w:fill="E1DFDD"/>
    </w:rPr>
  </w:style>
  <w:style w:type="character" w:customStyle="1" w:styleId="95">
    <w:name w:val="unnamed3"/>
    <w:autoRedefine/>
    <w:qFormat/>
    <w:uiPriority w:val="0"/>
    <w:rPr>
      <w:rFonts w:ascii="Times New Roman" w:hAnsi="Times New Roman" w:eastAsia="宋体" w:cs="Times New Roman"/>
    </w:rPr>
  </w:style>
  <w:style w:type="character" w:customStyle="1" w:styleId="96">
    <w:name w:val="正文文本 字符1"/>
    <w:autoRedefine/>
    <w:qFormat/>
    <w:uiPriority w:val="0"/>
    <w:rPr>
      <w:rFonts w:ascii="Times New Roman" w:hAnsi="Times New Roman" w:eastAsia="宋体" w:cs="Times New Roman"/>
      <w:kern w:val="2"/>
      <w:sz w:val="24"/>
      <w:szCs w:val="24"/>
    </w:rPr>
  </w:style>
  <w:style w:type="character" w:customStyle="1" w:styleId="97">
    <w:name w:val="apple-converted-space"/>
    <w:autoRedefine/>
    <w:qFormat/>
    <w:uiPriority w:val="0"/>
    <w:rPr>
      <w:rFonts w:ascii="Times New Roman" w:hAnsi="Times New Roman" w:eastAsia="宋体" w:cs="Times New Roman"/>
    </w:rPr>
  </w:style>
  <w:style w:type="character" w:customStyle="1" w:styleId="98">
    <w:name w:val="批注文字 Char2"/>
    <w:autoRedefine/>
    <w:qFormat/>
    <w:uiPriority w:val="0"/>
    <w:rPr>
      <w:rFonts w:ascii="Times New Roman" w:hAnsi="Times New Roman" w:eastAsia="宋体" w:cs="Times New Roman"/>
      <w:kern w:val="2"/>
      <w:sz w:val="21"/>
      <w:szCs w:val="24"/>
      <w:lang w:bidi="ar-SA"/>
    </w:rPr>
  </w:style>
  <w:style w:type="character" w:customStyle="1" w:styleId="99">
    <w:name w:val="1051"/>
    <w:autoRedefine/>
    <w:qFormat/>
    <w:uiPriority w:val="0"/>
    <w:rPr>
      <w:rFonts w:ascii="Times New Roman" w:hAnsi="Times New Roman" w:eastAsia="宋体" w:cs="Times New Roman"/>
      <w:sz w:val="21"/>
      <w:szCs w:val="21"/>
    </w:rPr>
  </w:style>
  <w:style w:type="character" w:customStyle="1" w:styleId="100">
    <w:name w:val="font51"/>
    <w:autoRedefine/>
    <w:qFormat/>
    <w:uiPriority w:val="0"/>
    <w:rPr>
      <w:rFonts w:hint="eastAsia" w:ascii="微软雅黑" w:hAnsi="微软雅黑" w:eastAsia="微软雅黑" w:cs="微软雅黑"/>
      <w:color w:val="000000"/>
      <w:sz w:val="22"/>
      <w:szCs w:val="22"/>
      <w:u w:val="none"/>
    </w:rPr>
  </w:style>
  <w:style w:type="character" w:customStyle="1" w:styleId="101">
    <w:name w:val="case31"/>
    <w:autoRedefine/>
    <w:qFormat/>
    <w:uiPriority w:val="0"/>
    <w:rPr>
      <w:rFonts w:hint="default" w:ascii="_x000B__x000C_" w:hAnsi="_x000B__x000C_" w:eastAsia="宋体" w:cs="Times New Roman"/>
      <w:sz w:val="21"/>
      <w:szCs w:val="21"/>
    </w:rPr>
  </w:style>
  <w:style w:type="character" w:customStyle="1" w:styleId="102">
    <w:name w:val="正文-2字符首行缩进 Char"/>
    <w:link w:val="103"/>
    <w:autoRedefine/>
    <w:qFormat/>
    <w:uiPriority w:val="0"/>
    <w:rPr>
      <w:rFonts w:ascii="仿宋_GB2312" w:hAnsi="Calibri" w:eastAsia="仿宋_GB2312" w:cs="Times New Roman"/>
      <w:sz w:val="28"/>
      <w:szCs w:val="22"/>
    </w:rPr>
  </w:style>
  <w:style w:type="paragraph" w:customStyle="1" w:styleId="103">
    <w:name w:val="正文-2字符首行缩进"/>
    <w:basedOn w:val="1"/>
    <w:link w:val="102"/>
    <w:autoRedefine/>
    <w:qFormat/>
    <w:uiPriority w:val="0"/>
    <w:pPr>
      <w:widowControl/>
      <w:spacing w:line="360" w:lineRule="auto"/>
      <w:ind w:firstLine="200" w:firstLineChars="200"/>
    </w:pPr>
    <w:rPr>
      <w:rFonts w:ascii="仿宋_GB2312" w:hAnsi="Calibri" w:eastAsia="仿宋_GB2312" w:cs="Times New Roman"/>
      <w:kern w:val="0"/>
      <w:sz w:val="28"/>
      <w:szCs w:val="22"/>
    </w:rPr>
  </w:style>
  <w:style w:type="character" w:customStyle="1" w:styleId="104">
    <w:name w:val="short_text1"/>
    <w:autoRedefine/>
    <w:qFormat/>
    <w:uiPriority w:val="0"/>
    <w:rPr>
      <w:rFonts w:ascii="Times New Roman" w:hAnsi="Times New Roman" w:eastAsia="宋体" w:cs="Times New Roman"/>
      <w:sz w:val="26"/>
    </w:rPr>
  </w:style>
  <w:style w:type="character" w:customStyle="1" w:styleId="105">
    <w:name w:val="font71"/>
    <w:autoRedefine/>
    <w:qFormat/>
    <w:uiPriority w:val="0"/>
    <w:rPr>
      <w:rFonts w:hint="default" w:ascii="Times New Roman" w:hAnsi="Times New Roman" w:eastAsia="宋体" w:cs="Times New Roman"/>
      <w:color w:val="000000"/>
      <w:sz w:val="22"/>
      <w:szCs w:val="22"/>
      <w:u w:val="none"/>
    </w:rPr>
  </w:style>
  <w:style w:type="character" w:customStyle="1" w:styleId="106">
    <w:name w:val="font81"/>
    <w:autoRedefine/>
    <w:qFormat/>
    <w:uiPriority w:val="0"/>
    <w:rPr>
      <w:rFonts w:ascii="Arial" w:hAnsi="Arial" w:eastAsia="宋体" w:cs="Arial"/>
      <w:color w:val="000000"/>
      <w:sz w:val="22"/>
      <w:szCs w:val="22"/>
      <w:u w:val="none"/>
    </w:rPr>
  </w:style>
  <w:style w:type="character" w:customStyle="1" w:styleId="107">
    <w:name w:val="graytext1"/>
    <w:autoRedefine/>
    <w:qFormat/>
    <w:uiPriority w:val="0"/>
    <w:rPr>
      <w:rFonts w:ascii="Times New Roman" w:hAnsi="Times New Roman" w:eastAsia="宋体" w:cs="Times New Roman"/>
      <w:color w:val="666666"/>
    </w:rPr>
  </w:style>
  <w:style w:type="character" w:customStyle="1" w:styleId="108">
    <w:name w:val="批注文字 字符1"/>
    <w:autoRedefine/>
    <w:qFormat/>
    <w:uiPriority w:val="0"/>
    <w:rPr>
      <w:rFonts w:ascii="Times New Roman" w:hAnsi="Times New Roman" w:eastAsia="宋体" w:cs="Times New Roman"/>
      <w:kern w:val="2"/>
      <w:sz w:val="21"/>
      <w:szCs w:val="24"/>
    </w:rPr>
  </w:style>
  <w:style w:type="character" w:customStyle="1" w:styleId="109">
    <w:name w:val="mark8"/>
    <w:autoRedefine/>
    <w:qFormat/>
    <w:uiPriority w:val="0"/>
    <w:rPr>
      <w:rFonts w:ascii="Times New Roman" w:hAnsi="Times New Roman" w:eastAsia="宋体" w:cs="Times New Roman"/>
      <w:b/>
      <w:bCs/>
      <w:sz w:val="21"/>
      <w:szCs w:val="21"/>
    </w:rPr>
  </w:style>
  <w:style w:type="character" w:customStyle="1" w:styleId="110">
    <w:name w:val="纯文本 Char1"/>
    <w:autoRedefine/>
    <w:qFormat/>
    <w:uiPriority w:val="0"/>
    <w:rPr>
      <w:rFonts w:ascii="宋体" w:hAnsi="Courier New" w:eastAsia="宋体" w:cs="Courier New"/>
      <w:kern w:val="2"/>
      <w:sz w:val="21"/>
      <w:szCs w:val="21"/>
      <w:lang w:val="en-US" w:eastAsia="zh-CN" w:bidi="ar-SA"/>
    </w:rPr>
  </w:style>
  <w:style w:type="character" w:customStyle="1" w:styleId="111">
    <w:name w:val="style11"/>
    <w:autoRedefine/>
    <w:qFormat/>
    <w:uiPriority w:val="0"/>
    <w:rPr>
      <w:rFonts w:hint="default" w:ascii="Arial" w:hAnsi="Arial" w:eastAsia="宋体" w:cs="Arial"/>
    </w:rPr>
  </w:style>
  <w:style w:type="character" w:customStyle="1" w:styleId="112">
    <w:name w:val="062"/>
    <w:autoRedefine/>
    <w:qFormat/>
    <w:uiPriority w:val="0"/>
    <w:rPr>
      <w:rFonts w:ascii="宋体" w:hAnsi="宋体" w:eastAsia="宋体" w:cs="Times New Roman"/>
      <w:b/>
      <w:bCs/>
      <w:sz w:val="32"/>
    </w:rPr>
  </w:style>
  <w:style w:type="character" w:customStyle="1" w:styleId="113">
    <w:name w:val="f151"/>
    <w:autoRedefine/>
    <w:qFormat/>
    <w:uiPriority w:val="0"/>
    <w:rPr>
      <w:rFonts w:ascii="Times New Roman" w:hAnsi="Times New Roman" w:eastAsia="宋体" w:cs="Times New Roman"/>
      <w:sz w:val="23"/>
      <w:szCs w:val="23"/>
    </w:rPr>
  </w:style>
  <w:style w:type="character" w:customStyle="1" w:styleId="114">
    <w:name w:val="text11"/>
    <w:autoRedefine/>
    <w:qFormat/>
    <w:uiPriority w:val="0"/>
    <w:rPr>
      <w:rFonts w:hint="default" w:ascii="Verdana" w:hAnsi="Verdana" w:eastAsia="宋体" w:cs="Times New Roman"/>
      <w:color w:val="4E4E4E"/>
      <w:sz w:val="18"/>
      <w:szCs w:val="18"/>
    </w:rPr>
  </w:style>
  <w:style w:type="character" w:customStyle="1" w:styleId="115">
    <w:name w:val="z-窗体顶端 字符"/>
    <w:link w:val="116"/>
    <w:autoRedefine/>
    <w:qFormat/>
    <w:uiPriority w:val="0"/>
    <w:rPr>
      <w:rFonts w:ascii="Arial" w:hAnsi="Times New Roman" w:eastAsia="宋体" w:cs="Times New Roman"/>
      <w:vanish/>
      <w:kern w:val="2"/>
      <w:sz w:val="16"/>
      <w:szCs w:val="24"/>
    </w:rPr>
  </w:style>
  <w:style w:type="paragraph" w:customStyle="1" w:styleId="116">
    <w:name w:val="_Style 115"/>
    <w:basedOn w:val="1"/>
    <w:next w:val="1"/>
    <w:link w:val="115"/>
    <w:autoRedefine/>
    <w:qFormat/>
    <w:uiPriority w:val="0"/>
    <w:pPr>
      <w:pBdr>
        <w:bottom w:val="single" w:color="auto" w:sz="6" w:space="1"/>
      </w:pBdr>
      <w:jc w:val="center"/>
    </w:pPr>
    <w:rPr>
      <w:rFonts w:ascii="Arial" w:hAnsi="Times New Roman" w:eastAsia="宋体" w:cs="Times New Roman"/>
      <w:vanish/>
      <w:sz w:val="16"/>
    </w:rPr>
  </w:style>
  <w:style w:type="character" w:customStyle="1" w:styleId="117">
    <w:name w:val="1ji Char"/>
    <w:link w:val="118"/>
    <w:autoRedefine/>
    <w:qFormat/>
    <w:uiPriority w:val="0"/>
    <w:rPr>
      <w:rFonts w:ascii="宋体" w:hAnsi="宋体" w:eastAsia="宋体" w:cs="Times New Roman"/>
      <w:b/>
      <w:bCs/>
      <w:kern w:val="44"/>
      <w:sz w:val="36"/>
      <w:szCs w:val="44"/>
      <w:lang w:val="en-US" w:eastAsia="zh-CN" w:bidi="ar-SA"/>
    </w:rPr>
  </w:style>
  <w:style w:type="paragraph" w:customStyle="1" w:styleId="118">
    <w:name w:val="1ji"/>
    <w:basedOn w:val="2"/>
    <w:link w:val="117"/>
    <w:autoRedefine/>
    <w:qFormat/>
    <w:uiPriority w:val="0"/>
    <w:pPr>
      <w:keepLines w:val="0"/>
      <w:widowControl/>
      <w:spacing w:before="0" w:beforeLines="0" w:after="0" w:afterLines="0" w:line="240" w:lineRule="auto"/>
      <w:jc w:val="center"/>
    </w:pPr>
    <w:rPr>
      <w:rFonts w:ascii="宋体" w:hAnsi="宋体" w:eastAsia="宋体" w:cs="Times New Roman"/>
      <w:sz w:val="36"/>
    </w:rPr>
  </w:style>
  <w:style w:type="character" w:customStyle="1" w:styleId="119">
    <w:name w:val="white"/>
    <w:autoRedefine/>
    <w:qFormat/>
    <w:uiPriority w:val="0"/>
    <w:rPr>
      <w:rFonts w:ascii="Times New Roman" w:hAnsi="Times New Roman" w:eastAsia="宋体" w:cs="Times New Roman"/>
    </w:rPr>
  </w:style>
  <w:style w:type="character" w:customStyle="1" w:styleId="120">
    <w:name w:val="gray12"/>
    <w:autoRedefine/>
    <w:qFormat/>
    <w:uiPriority w:val="0"/>
    <w:rPr>
      <w:rFonts w:ascii="Times New Roman" w:hAnsi="Times New Roman" w:eastAsia="宋体" w:cs="Times New Roman"/>
    </w:rPr>
  </w:style>
  <w:style w:type="character" w:customStyle="1" w:styleId="121">
    <w:name w:val="font41"/>
    <w:autoRedefine/>
    <w:qFormat/>
    <w:uiPriority w:val="0"/>
    <w:rPr>
      <w:rFonts w:hint="eastAsia" w:ascii="宋体" w:hAnsi="宋体" w:eastAsia="宋体" w:cs="宋体"/>
      <w:color w:val="000000"/>
      <w:sz w:val="22"/>
      <w:szCs w:val="22"/>
      <w:u w:val="none"/>
    </w:rPr>
  </w:style>
  <w:style w:type="character" w:customStyle="1" w:styleId="122">
    <w:name w:val="font01"/>
    <w:autoRedefine/>
    <w:qFormat/>
    <w:uiPriority w:val="0"/>
    <w:rPr>
      <w:rFonts w:hint="eastAsia" w:ascii="宋体" w:hAnsi="宋体" w:eastAsia="宋体" w:cs="Times New Roman"/>
      <w:color w:val="000000"/>
      <w:sz w:val="22"/>
      <w:szCs w:val="22"/>
      <w:u w:val="none"/>
    </w:rPr>
  </w:style>
  <w:style w:type="paragraph" w:customStyle="1" w:styleId="123">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24">
    <w:name w:val="xl2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Times New Roman"/>
      <w:b/>
      <w:bCs/>
      <w:kern w:val="0"/>
      <w:sz w:val="24"/>
    </w:rPr>
  </w:style>
  <w:style w:type="paragraph" w:customStyle="1" w:styleId="125">
    <w:name w:val="默认段落字体 Para Char1"/>
    <w:next w:val="1"/>
    <w:autoRedefine/>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26">
    <w:name w:val="Char Char Char Char Char Char Char"/>
    <w:basedOn w:val="1"/>
    <w:autoRedefine/>
    <w:qFormat/>
    <w:uiPriority w:val="0"/>
    <w:rPr>
      <w:rFonts w:ascii="Times New Roman" w:hAnsi="Times New Roman" w:eastAsia="宋体" w:cs="Times New Roman"/>
    </w:rPr>
  </w:style>
  <w:style w:type="paragraph" w:customStyle="1" w:styleId="127">
    <w:name w:val="Char Char Char Char Char Char Char Char Char Char Char Char Char"/>
    <w:basedOn w:val="17"/>
    <w:autoRedefine/>
    <w:qFormat/>
    <w:uiPriority w:val="0"/>
    <w:pPr>
      <w:adjustRightInd/>
      <w:spacing w:line="240" w:lineRule="auto"/>
      <w:textAlignment w:val="auto"/>
    </w:pPr>
    <w:rPr>
      <w:rFonts w:ascii="Tahoma" w:hAnsi="Tahoma" w:eastAsia="宋体" w:cs="Times New Roman"/>
      <w:kern w:val="2"/>
      <w:sz w:val="24"/>
      <w:szCs w:val="24"/>
    </w:rPr>
  </w:style>
  <w:style w:type="paragraph" w:customStyle="1" w:styleId="128">
    <w:name w:val="正文首行缩进两字符"/>
    <w:basedOn w:val="1"/>
    <w:autoRedefine/>
    <w:qFormat/>
    <w:uiPriority w:val="0"/>
    <w:pPr>
      <w:spacing w:line="360" w:lineRule="auto"/>
      <w:ind w:firstLine="200" w:firstLineChars="200"/>
    </w:pPr>
    <w:rPr>
      <w:rFonts w:ascii="Times New Roman" w:hAnsi="Times New Roman" w:eastAsia="宋体" w:cs="Times New Roman"/>
    </w:rPr>
  </w:style>
  <w:style w:type="paragraph" w:customStyle="1" w:styleId="129">
    <w:name w:val="xl30"/>
    <w:basedOn w:val="1"/>
    <w:autoRedefine/>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rFonts w:ascii="Times New Roman" w:hAnsi="Times New Roman" w:eastAsia="宋体" w:cs="Times New Roman"/>
      <w:kern w:val="0"/>
      <w:szCs w:val="21"/>
    </w:rPr>
  </w:style>
  <w:style w:type="paragraph" w:customStyle="1" w:styleId="130">
    <w:name w:val="Char1"/>
    <w:basedOn w:val="1"/>
    <w:autoRedefine/>
    <w:qFormat/>
    <w:uiPriority w:val="0"/>
    <w:rPr>
      <w:rFonts w:ascii="Times New Roman" w:hAnsi="Times New Roman" w:eastAsia="宋体" w:cs="Times New Roman"/>
      <w:szCs w:val="21"/>
    </w:rPr>
  </w:style>
  <w:style w:type="paragraph" w:customStyle="1" w:styleId="131">
    <w:name w:val="表内文字"/>
    <w:basedOn w:val="1"/>
    <w:autoRedefine/>
    <w:qFormat/>
    <w:uiPriority w:val="0"/>
    <w:pPr>
      <w:snapToGrid w:val="0"/>
      <w:spacing w:before="50" w:beforeLines="0" w:after="50" w:afterLines="0"/>
      <w:jc w:val="center"/>
    </w:pPr>
    <w:rPr>
      <w:rFonts w:ascii="仿宋_GB2312" w:hAnsi="宋体" w:eastAsia="仿宋_GB2312" w:cs="Times New Roman"/>
      <w:b/>
      <w:color w:val="000000"/>
      <w:sz w:val="32"/>
      <w:szCs w:val="32"/>
    </w:rPr>
  </w:style>
  <w:style w:type="paragraph" w:customStyle="1" w:styleId="132">
    <w:name w:val=" Char"/>
    <w:basedOn w:val="1"/>
    <w:autoRedefine/>
    <w:qFormat/>
    <w:uiPriority w:val="0"/>
    <w:pPr>
      <w:tabs>
        <w:tab w:val="left" w:pos="360"/>
      </w:tabs>
      <w:ind w:left="252" w:hanging="252" w:hangingChars="140"/>
    </w:pPr>
    <w:rPr>
      <w:rFonts w:ascii="宋体" w:hAnsi="Times New Roman" w:eastAsia="宋体" w:cs="Times New Roman"/>
      <w:sz w:val="18"/>
      <w:szCs w:val="18"/>
    </w:rPr>
  </w:style>
  <w:style w:type="paragraph" w:customStyle="1" w:styleId="133">
    <w:name w:val="444"/>
    <w:basedOn w:val="1"/>
    <w:autoRedefine/>
    <w:qFormat/>
    <w:uiPriority w:val="0"/>
    <w:pPr>
      <w:adjustRightInd w:val="0"/>
      <w:spacing w:line="312" w:lineRule="atLeast"/>
      <w:jc w:val="center"/>
      <w:textAlignment w:val="baseline"/>
    </w:pPr>
    <w:rPr>
      <w:rFonts w:ascii="Times New Roman" w:hAnsi="Times New Roman" w:eastAsia="宋体" w:cs="Times New Roman"/>
      <w:b/>
      <w:kern w:val="0"/>
      <w:sz w:val="36"/>
      <w:szCs w:val="36"/>
    </w:rPr>
  </w:style>
  <w:style w:type="paragraph" w:customStyle="1" w:styleId="134">
    <w:name w:val=" Char Char Char Char Char Char1 Char"/>
    <w:basedOn w:val="1"/>
    <w:autoRedefine/>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35">
    <w:name w:val="图"/>
    <w:basedOn w:val="1"/>
    <w:autoRedefine/>
    <w:qFormat/>
    <w:uiPriority w:val="0"/>
    <w:pPr>
      <w:keepNext/>
      <w:adjustRightInd w:val="0"/>
      <w:snapToGrid w:val="0"/>
      <w:spacing w:before="60" w:beforeLines="0" w:after="60" w:afterLines="0" w:line="300" w:lineRule="auto"/>
      <w:jc w:val="center"/>
    </w:pPr>
    <w:rPr>
      <w:rFonts w:ascii="Times New Roman" w:hAnsi="Times New Roman" w:eastAsia="宋体" w:cs="Times New Roman"/>
      <w:spacing w:val="20"/>
      <w:kern w:val="0"/>
      <w:sz w:val="24"/>
      <w:szCs w:val="20"/>
    </w:rPr>
  </w:style>
  <w:style w:type="paragraph" w:customStyle="1" w:styleId="136">
    <w:name w:val="Char Char Char"/>
    <w:basedOn w:val="1"/>
    <w:autoRedefine/>
    <w:qFormat/>
    <w:uiPriority w:val="0"/>
    <w:rPr>
      <w:rFonts w:ascii="Tahoma" w:hAnsi="Tahoma" w:eastAsia="宋体" w:cs="Times New Roman"/>
      <w:sz w:val="24"/>
      <w:szCs w:val="20"/>
    </w:rPr>
  </w:style>
  <w:style w:type="paragraph" w:customStyle="1" w:styleId="137">
    <w:name w:val=" Char2"/>
    <w:basedOn w:val="1"/>
    <w:autoRedefine/>
    <w:qFormat/>
    <w:uiPriority w:val="0"/>
    <w:pPr>
      <w:widowControl/>
      <w:spacing w:after="160" w:afterLines="0" w:line="240" w:lineRule="exact"/>
      <w:jc w:val="left"/>
    </w:pPr>
    <w:rPr>
      <w:rFonts w:ascii="Verdana" w:hAnsi="Verdana" w:eastAsia="宋体" w:cs="Times New Roman"/>
      <w:kern w:val="0"/>
      <w:szCs w:val="20"/>
      <w:lang w:eastAsia="en-US"/>
    </w:rPr>
  </w:style>
  <w:style w:type="paragraph" w:customStyle="1" w:styleId="138">
    <w:name w:val="样式1"/>
    <w:basedOn w:val="1"/>
    <w:autoRedefine/>
    <w:qFormat/>
    <w:uiPriority w:val="0"/>
    <w:pPr>
      <w:spacing w:before="120" w:beforeLines="0" w:after="120" w:afterLines="0" w:line="300" w:lineRule="auto"/>
    </w:pPr>
    <w:rPr>
      <w:rFonts w:ascii="宋体" w:hAnsi="宋体" w:eastAsia="宋体" w:cs="Times New Roman"/>
      <w:b/>
      <w:sz w:val="24"/>
      <w:szCs w:val="20"/>
    </w:rPr>
  </w:style>
  <w:style w:type="paragraph" w:customStyle="1" w:styleId="139">
    <w:name w:val="表格"/>
    <w:basedOn w:val="1"/>
    <w:autoRedefine/>
    <w:qFormat/>
    <w:uiPriority w:val="0"/>
    <w:pPr>
      <w:spacing w:line="400" w:lineRule="exact"/>
    </w:pPr>
    <w:rPr>
      <w:rFonts w:ascii="Times New Roman" w:hAnsi="Times New Roman" w:eastAsia="宋体" w:cs="Times New Roman"/>
      <w:sz w:val="24"/>
    </w:rPr>
  </w:style>
  <w:style w:type="paragraph" w:customStyle="1" w:styleId="140">
    <w:name w:val=" Char Char Char Char Char Char Char"/>
    <w:basedOn w:val="1"/>
    <w:autoRedefine/>
    <w:qFormat/>
    <w:uiPriority w:val="0"/>
    <w:rPr>
      <w:rFonts w:ascii="Times New Roman" w:hAnsi="Times New Roman" w:eastAsia="宋体" w:cs="Times New Roman"/>
    </w:rPr>
  </w:style>
  <w:style w:type="paragraph" w:customStyle="1" w:styleId="141">
    <w:name w:val="Char2"/>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2">
    <w:name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
    <w:name w:val="样式 首行缩进:  2 字符"/>
    <w:basedOn w:val="1"/>
    <w:autoRedefine/>
    <w:qFormat/>
    <w:uiPriority w:val="0"/>
    <w:pPr>
      <w:spacing w:line="400" w:lineRule="exact"/>
      <w:ind w:firstLine="200" w:firstLineChars="200"/>
    </w:pPr>
    <w:rPr>
      <w:rFonts w:ascii="Times New Roman" w:hAnsi="Times New Roman" w:eastAsia="宋体" w:cs="宋体"/>
      <w:sz w:val="24"/>
    </w:rPr>
  </w:style>
  <w:style w:type="paragraph" w:customStyle="1" w:styleId="144">
    <w:name w:val="五号正文（标准）"/>
    <w:basedOn w:val="1"/>
    <w:autoRedefine/>
    <w:qFormat/>
    <w:uiPriority w:val="0"/>
    <w:pPr>
      <w:spacing w:line="360" w:lineRule="auto"/>
      <w:ind w:right="55" w:firstLine="560" w:firstLineChars="200"/>
    </w:pPr>
    <w:rPr>
      <w:rFonts w:ascii="Times New Roman" w:hAnsi="Times New Roman" w:eastAsia="仿宋_GB2312" w:cs="Times New Roman"/>
      <w:sz w:val="28"/>
      <w:szCs w:val="20"/>
    </w:rPr>
  </w:style>
  <w:style w:type="paragraph" w:customStyle="1" w:styleId="145">
    <w:name w:val="_Style 144"/>
    <w:basedOn w:val="2"/>
    <w:next w:val="1"/>
    <w:autoRedefine/>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46">
    <w:name w:val="F2"/>
    <w:basedOn w:val="1"/>
    <w:autoRedefine/>
    <w:qFormat/>
    <w:uiPriority w:val="0"/>
    <w:pPr>
      <w:autoSpaceDE w:val="0"/>
      <w:autoSpaceDN w:val="0"/>
      <w:adjustRightInd w:val="0"/>
      <w:ind w:firstLine="601"/>
      <w:textAlignment w:val="baseline"/>
    </w:pPr>
    <w:rPr>
      <w:rFonts w:ascii="Times New Roman" w:hAnsi="Times New Roman" w:eastAsia="宋体" w:cs="Times New Roman"/>
      <w:kern w:val="0"/>
      <w:sz w:val="24"/>
      <w:szCs w:val="20"/>
    </w:rPr>
  </w:style>
  <w:style w:type="paragraph" w:customStyle="1" w:styleId="147">
    <w:name w:val="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48">
    <w:name w:val="表格文字"/>
    <w:basedOn w:val="1"/>
    <w:autoRedefine/>
    <w:qFormat/>
    <w:uiPriority w:val="0"/>
    <w:pPr>
      <w:spacing w:before="25" w:after="25"/>
      <w:jc w:val="left"/>
    </w:pPr>
    <w:rPr>
      <w:bCs/>
      <w:spacing w:val="10"/>
      <w:kern w:val="0"/>
      <w:sz w:val="24"/>
    </w:rPr>
  </w:style>
  <w:style w:type="paragraph" w:customStyle="1" w:styleId="149">
    <w:name w:val="Default Paragraph Font Para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styleId="150">
    <w:name w:val="List Paragraph"/>
    <w:basedOn w:val="1"/>
    <w:autoRedefine/>
    <w:qFormat/>
    <w:uiPriority w:val="0"/>
    <w:pPr>
      <w:ind w:firstLine="420" w:firstLineChars="200"/>
    </w:pPr>
    <w:rPr>
      <w:rFonts w:ascii="Calibri" w:hAnsi="Calibri" w:eastAsia="宋体" w:cs="Times New Roman"/>
      <w:szCs w:val="22"/>
    </w:rPr>
  </w:style>
  <w:style w:type="paragraph" w:customStyle="1" w:styleId="151">
    <w:name w:val="默认段落字体 Para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52">
    <w:name w:val="Char"/>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53">
    <w:name w:val="普通 (Web)"/>
    <w:basedOn w:val="1"/>
    <w:autoRedefine/>
    <w:qFormat/>
    <w:uiPriority w:val="0"/>
    <w:pPr>
      <w:widowControl/>
      <w:spacing w:before="100" w:beforeLines="0" w:beforeAutospacing="1" w:after="100" w:afterLines="0" w:afterAutospacing="1"/>
      <w:jc w:val="left"/>
    </w:pPr>
    <w:rPr>
      <w:rFonts w:ascii="宋体" w:hAnsi="宋体" w:eastAsia="宋体" w:cs="Times New Roman"/>
      <w:kern w:val="0"/>
      <w:sz w:val="24"/>
    </w:rPr>
  </w:style>
  <w:style w:type="paragraph" w:customStyle="1" w:styleId="154">
    <w:name w:val="次小点说明 Char"/>
    <w:basedOn w:val="7"/>
    <w:autoRedefine/>
    <w:qFormat/>
    <w:uiPriority w:val="0"/>
    <w:pPr>
      <w:ind w:firstLine="0"/>
    </w:pPr>
    <w:rPr>
      <w:rFonts w:ascii="Times New Roman" w:hAnsi="Times New Roman" w:eastAsia="宋体" w:cs="Times New Roman"/>
      <w:sz w:val="24"/>
      <w:szCs w:val="24"/>
    </w:rPr>
  </w:style>
  <w:style w:type="paragraph" w:customStyle="1" w:styleId="155">
    <w:name w:val="List Paragraph1"/>
    <w:basedOn w:val="1"/>
    <w:autoRedefine/>
    <w:qFormat/>
    <w:uiPriority w:val="0"/>
    <w:pPr>
      <w:ind w:firstLine="420" w:firstLineChars="200"/>
    </w:pPr>
    <w:rPr>
      <w:rFonts w:ascii="Calibri" w:hAnsi="Calibri" w:eastAsia="宋体" w:cs="Times New Roman"/>
      <w:szCs w:val="22"/>
    </w:rPr>
  </w:style>
  <w:style w:type="paragraph" w:customStyle="1" w:styleId="156">
    <w:name w:val="a9"/>
    <w:basedOn w:val="1"/>
    <w:autoRedefine/>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customStyle="1" w:styleId="157">
    <w:name w:val="_Style 156"/>
    <w:autoRedefine/>
    <w:qFormat/>
    <w:uiPriority w:val="0"/>
    <w:rPr>
      <w:rFonts w:ascii="Times New Roman" w:hAnsi="Times New Roman" w:eastAsia="宋体" w:cs="Times New Roman"/>
      <w:kern w:val="2"/>
      <w:sz w:val="21"/>
      <w:szCs w:val="24"/>
      <w:lang w:val="en-US" w:eastAsia="zh-CN" w:bidi="ar-SA"/>
    </w:rPr>
  </w:style>
  <w:style w:type="paragraph" w:customStyle="1" w:styleId="158">
    <w:name w:val="列出段落1"/>
    <w:basedOn w:val="1"/>
    <w:autoRedefine/>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2"/>
    </w:rPr>
  </w:style>
  <w:style w:type="paragraph" w:customStyle="1" w:styleId="15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60">
    <w:name w:val="2ji"/>
    <w:basedOn w:val="3"/>
    <w:autoRedefine/>
    <w:qFormat/>
    <w:uiPriority w:val="0"/>
    <w:pPr>
      <w:adjustRightInd w:val="0"/>
      <w:spacing w:before="0" w:beforeLines="0" w:after="0" w:afterLines="0" w:line="360" w:lineRule="auto"/>
      <w:textAlignment w:val="baseline"/>
    </w:pPr>
    <w:rPr>
      <w:rFonts w:ascii="宋体" w:hAnsi="宋体" w:eastAsia="宋体" w:cs="Times New Roman"/>
      <w:kern w:val="0"/>
      <w:sz w:val="21"/>
      <w:szCs w:val="21"/>
    </w:rPr>
  </w:style>
  <w:style w:type="paragraph" w:customStyle="1" w:styleId="161">
    <w:name w:val=" Char Char Char Char"/>
    <w:basedOn w:val="1"/>
    <w:autoRedefine/>
    <w:qFormat/>
    <w:uiPriority w:val="0"/>
    <w:pPr>
      <w:widowControl/>
      <w:spacing w:after="160" w:afterLines="0" w:line="240" w:lineRule="exact"/>
      <w:jc w:val="left"/>
    </w:pPr>
    <w:rPr>
      <w:rFonts w:ascii="Verdana" w:hAnsi="Verdana" w:eastAsia="仿宋_GB2312" w:cs="Times New Roman"/>
      <w:kern w:val="0"/>
      <w:sz w:val="24"/>
      <w:szCs w:val="20"/>
      <w:lang w:eastAsia="en-US"/>
    </w:rPr>
  </w:style>
  <w:style w:type="paragraph" w:customStyle="1" w:styleId="162">
    <w:name w:val="样式 标题 2 + Times New Roman 四号 非加粗 段前: 5 磅 段后: 0 磅 行距: 固定值 20..."/>
    <w:basedOn w:val="3"/>
    <w:autoRedefine/>
    <w:qFormat/>
    <w:uiPriority w:val="0"/>
    <w:pPr>
      <w:spacing w:before="100" w:beforeLines="0" w:after="0" w:afterLines="0" w:line="400" w:lineRule="exact"/>
    </w:pPr>
    <w:rPr>
      <w:rFonts w:ascii="Times New Roman" w:hAnsi="Times New Roman" w:eastAsia="宋体" w:cs="宋体"/>
      <w:b w:val="0"/>
      <w:bCs w:val="0"/>
      <w:sz w:val="28"/>
      <w:szCs w:val="20"/>
    </w:rPr>
  </w:style>
  <w:style w:type="paragraph" w:customStyle="1" w:styleId="163">
    <w:name w:val="xl26"/>
    <w:basedOn w:val="1"/>
    <w:autoRedefine/>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rFonts w:ascii="Times New Roman" w:hAnsi="Times New Roman" w:eastAsia="宋体" w:cs="Times New Roman"/>
      <w:kern w:val="0"/>
      <w:szCs w:val="21"/>
    </w:rPr>
  </w:style>
  <w:style w:type="paragraph" w:customStyle="1" w:styleId="164">
    <w:name w:val="tgt1"/>
    <w:basedOn w:val="1"/>
    <w:autoRedefine/>
    <w:qFormat/>
    <w:uiPriority w:val="0"/>
    <w:pPr>
      <w:widowControl/>
      <w:spacing w:after="150" w:afterLines="0"/>
      <w:jc w:val="left"/>
    </w:pPr>
    <w:rPr>
      <w:rFonts w:ascii="宋体" w:hAnsi="宋体" w:eastAsia="宋体" w:cs="宋体"/>
      <w:kern w:val="0"/>
      <w:sz w:val="24"/>
    </w:rPr>
  </w:style>
  <w:style w:type="paragraph" w:customStyle="1" w:styleId="165">
    <w:name w:val="列表段落1"/>
    <w:basedOn w:val="1"/>
    <w:autoRedefine/>
    <w:qFormat/>
    <w:uiPriority w:val="0"/>
    <w:pPr>
      <w:ind w:firstLine="420" w:firstLineChars="200"/>
    </w:pPr>
    <w:rPr>
      <w:rFonts w:ascii="Times New Roman" w:hAnsi="Times New Roman" w:eastAsia="宋体" w:cs="Times New Roman"/>
    </w:rPr>
  </w:style>
  <w:style w:type="paragraph" w:customStyle="1" w:styleId="166">
    <w:name w:val="缺省文本"/>
    <w:basedOn w:val="1"/>
    <w:autoRedefine/>
    <w:qFormat/>
    <w:uiPriority w:val="0"/>
    <w:pPr>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8">
    <w:name w:val=" Char Char Char"/>
    <w:basedOn w:val="17"/>
    <w:autoRedefine/>
    <w:qFormat/>
    <w:uiPriority w:val="0"/>
    <w:pPr>
      <w:adjustRightInd/>
      <w:spacing w:line="240" w:lineRule="auto"/>
      <w:textAlignment w:val="auto"/>
    </w:pPr>
    <w:rPr>
      <w:rFonts w:ascii="Tahoma" w:hAnsi="Tahoma" w:eastAsia="宋体" w:cs="Times New Roman"/>
      <w:kern w:val="2"/>
      <w:sz w:val="24"/>
      <w:szCs w:val="24"/>
    </w:rPr>
  </w:style>
  <w:style w:type="paragraph" w:customStyle="1" w:styleId="169">
    <w:name w:val=" Char Char Char Char Char Char Char Char Char Char Char Char Char"/>
    <w:basedOn w:val="17"/>
    <w:autoRedefine/>
    <w:qFormat/>
    <w:uiPriority w:val="0"/>
    <w:pPr>
      <w:adjustRightInd/>
      <w:spacing w:line="240" w:lineRule="auto"/>
      <w:textAlignment w:val="auto"/>
    </w:pPr>
    <w:rPr>
      <w:rFonts w:ascii="Tahoma" w:hAnsi="Tahoma" w:eastAsia="宋体" w:cs="Times New Roman"/>
      <w:kern w:val="2"/>
      <w:sz w:val="24"/>
      <w:szCs w:val="24"/>
    </w:rPr>
  </w:style>
  <w:style w:type="paragraph" w:customStyle="1" w:styleId="17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1">
    <w:name w:val="1"/>
    <w:basedOn w:val="1"/>
    <w:next w:val="27"/>
    <w:autoRedefine/>
    <w:qFormat/>
    <w:uiPriority w:val="0"/>
    <w:rPr>
      <w:rFonts w:ascii="宋体" w:hAnsi="Courier New" w:eastAsia="宋体" w:cs="Times New Roman"/>
      <w:szCs w:val="20"/>
    </w:rPr>
  </w:style>
  <w:style w:type="paragraph" w:customStyle="1" w:styleId="172">
    <w:name w:val="xl21"/>
    <w:basedOn w:val="1"/>
    <w:autoRedefine/>
    <w:qFormat/>
    <w:uiPriority w:val="0"/>
    <w:pPr>
      <w:widowControl/>
      <w:spacing w:before="100" w:beforeLines="0" w:beforeAutospacing="1" w:after="100" w:afterLines="0" w:afterAutospacing="1"/>
      <w:jc w:val="center"/>
    </w:pPr>
    <w:rPr>
      <w:rFonts w:ascii="宋体" w:hAnsi="宋体" w:eastAsia="宋体" w:cs="Times New Roman"/>
      <w:b/>
      <w:bCs/>
      <w:kern w:val="0"/>
      <w:sz w:val="28"/>
      <w:szCs w:val="28"/>
    </w:rPr>
  </w:style>
  <w:style w:type="paragraph" w:customStyle="1" w:styleId="173">
    <w:name w:val="2-2ji"/>
    <w:basedOn w:val="3"/>
    <w:autoRedefine/>
    <w:qFormat/>
    <w:uiPriority w:val="0"/>
    <w:pPr>
      <w:adjustRightInd w:val="0"/>
      <w:spacing w:before="0" w:beforeLines="0" w:after="0" w:afterLines="0" w:line="360" w:lineRule="auto"/>
      <w:jc w:val="center"/>
      <w:textAlignment w:val="baseline"/>
    </w:pPr>
    <w:rPr>
      <w:rFonts w:ascii="宋体" w:hAnsi="宋体" w:eastAsia="宋体" w:cs="Times New Roman"/>
      <w:bCs w:val="0"/>
      <w:kern w:val="0"/>
      <w:sz w:val="36"/>
    </w:rPr>
  </w:style>
  <w:style w:type="paragraph" w:customStyle="1" w:styleId="174">
    <w:name w:val="Char3"/>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5">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hAnsi="Times New Roman" w:eastAsia="宋体" w:cs="Times New Roman"/>
      <w:sz w:val="24"/>
    </w:rPr>
  </w:style>
  <w:style w:type="paragraph" w:customStyle="1" w:styleId="176">
    <w:name w:val="xl31"/>
    <w:basedOn w:val="1"/>
    <w:autoRedefine/>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eastAsia="宋体" w:cs="Times New Roman"/>
      <w:kern w:val="0"/>
      <w:szCs w:val="21"/>
    </w:rPr>
  </w:style>
  <w:style w:type="paragraph" w:customStyle="1" w:styleId="177">
    <w:name w:val="正文段"/>
    <w:basedOn w:val="1"/>
    <w:autoRedefine/>
    <w:qFormat/>
    <w:uiPriority w:val="0"/>
    <w:pPr>
      <w:widowControl/>
      <w:snapToGrid w:val="0"/>
      <w:spacing w:after="156" w:afterLines="50"/>
      <w:ind w:firstLine="200" w:firstLineChars="200"/>
    </w:pPr>
    <w:rPr>
      <w:rFonts w:ascii="Times New Roman" w:hAnsi="Times New Roman" w:eastAsia="宋体" w:cs="Times New Roman"/>
      <w:kern w:val="0"/>
      <w:sz w:val="24"/>
      <w:szCs w:val="20"/>
    </w:rPr>
  </w:style>
  <w:style w:type="paragraph" w:customStyle="1" w:styleId="178">
    <w:name w:val=" 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hAnsi="Times New Roman" w:eastAsia="宋体" w:cs="Times New Roman"/>
      <w:sz w:val="24"/>
    </w:rPr>
  </w:style>
  <w:style w:type="paragraph" w:customStyle="1" w:styleId="179">
    <w:name w:val="Char Char Char1"/>
    <w:basedOn w:val="17"/>
    <w:autoRedefine/>
    <w:qFormat/>
    <w:uiPriority w:val="0"/>
    <w:pPr>
      <w:adjustRightInd/>
      <w:spacing w:line="240" w:lineRule="auto"/>
      <w:textAlignment w:val="auto"/>
    </w:pPr>
    <w:rPr>
      <w:rFonts w:ascii="Tahoma" w:hAnsi="Tahoma" w:eastAsia="宋体" w:cs="Times New Roman"/>
      <w:kern w:val="2"/>
      <w:sz w:val="24"/>
      <w:szCs w:val="24"/>
    </w:rPr>
  </w:style>
  <w:style w:type="paragraph" w:customStyle="1" w:styleId="180">
    <w:name w:val="样式 标题 3 + (中文) 黑体 小四 非加粗 段前: 7.8 磅 段后: 0 磅 行距: 固定值 20 磅"/>
    <w:basedOn w:val="4"/>
    <w:autoRedefine/>
    <w:qFormat/>
    <w:uiPriority w:val="0"/>
    <w:pPr>
      <w:spacing w:before="0" w:beforeLines="0" w:after="0" w:afterLines="0" w:line="400" w:lineRule="exact"/>
    </w:pPr>
    <w:rPr>
      <w:rFonts w:ascii="Times New Roman" w:hAnsi="Times New Roman" w:eastAsia="黑体" w:cs="宋体"/>
      <w:b w:val="0"/>
      <w:bCs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3.emf"/><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88</Pages>
  <Words>11355</Words>
  <Characters>13047</Characters>
  <Lines>493</Lines>
  <Paragraphs>139</Paragraphs>
  <TotalTime>217</TotalTime>
  <ScaleCrop>false</ScaleCrop>
  <LinksUpToDate>false</LinksUpToDate>
  <CharactersWithSpaces>14472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2024-08-01T20:50:00Z</dcterms:created>
  <dc:creator>微软用户</dc:creator>
  <cp:lastModifiedBy>NTKO</cp:lastModifiedBy>
  <cp:lastPrinted>2016-03-22T07:52:00Z</cp:lastPrinted>
  <dcterms:modified xsi:type="dcterms:W3CDTF">2026-07-28T02:56:37Z</dcterms:modified>
  <dc:title>桂财采〔2009〕 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69658175F5A14388A7D52F5555B0A41A_13</vt:lpwstr>
  </property>
  <property fmtid="{D5CDD505-2E9C-101B-9397-08002B2CF9AE}" pid="14" name="KSOTemplateDocerSaveRecord">
    <vt:lpwstr>eyJoZGlkIjoiNGYyODdkZjM5MmMzZTg1ZmE0OTAzMjQ0OTM3ZjcyODIiLCJ1c2VySWQiOiI1NzE3NjE5ODMifQ==</vt:lpwstr>
  </property>
</Properties>
</file>