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40611D">
      <w:pPr>
        <w:rPr>
          <w:b/>
          <w:color w:val="auto"/>
          <w:sz w:val="32"/>
          <w:szCs w:val="32"/>
          <w:highlight w:val="none"/>
        </w:rPr>
      </w:pPr>
      <w:bookmarkStart w:id="0" w:name="_Toc183682338"/>
      <w:bookmarkStart w:id="1" w:name="_Toc217446030"/>
      <w:r>
        <w:rPr>
          <w:rFonts w:hint="eastAsia" w:eastAsia="宋体"/>
          <w:color w:val="auto"/>
          <w:highlight w:val="none"/>
          <w:lang w:eastAsia="zh-CN"/>
        </w:rPr>
        <w:drawing>
          <wp:anchor distT="0" distB="0" distL="114300" distR="114300" simplePos="0" relativeHeight="251660288" behindDoc="1" locked="0" layoutInCell="1" allowOverlap="1">
            <wp:simplePos x="0" y="0"/>
            <wp:positionH relativeFrom="column">
              <wp:posOffset>-868680</wp:posOffset>
            </wp:positionH>
            <wp:positionV relativeFrom="paragraph">
              <wp:posOffset>-895985</wp:posOffset>
            </wp:positionV>
            <wp:extent cx="7131685" cy="10714355"/>
            <wp:effectExtent l="0" t="0" r="12065" b="10795"/>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131685" cy="10714355"/>
                    </a:xfrm>
                    <a:prstGeom prst="rect">
                      <a:avLst/>
                    </a:prstGeom>
                  </pic:spPr>
                </pic:pic>
              </a:graphicData>
            </a:graphic>
          </wp:anchor>
        </w:drawing>
      </w:r>
    </w:p>
    <w:p w14:paraId="6A97C1F2">
      <w:pPr>
        <w:rPr>
          <w:b/>
          <w:color w:val="auto"/>
          <w:sz w:val="32"/>
          <w:szCs w:val="32"/>
          <w:highlight w:val="none"/>
        </w:rPr>
      </w:pPr>
    </w:p>
    <w:p w14:paraId="65E189C2">
      <w:pPr>
        <w:ind w:firstLine="210" w:firstLineChars="100"/>
        <w:jc w:val="center"/>
        <w:rPr>
          <w:rFonts w:hint="eastAsia" w:eastAsia="宋体"/>
          <w:b/>
          <w:color w:val="auto"/>
          <w:sz w:val="32"/>
          <w:szCs w:val="32"/>
          <w:highlight w:val="none"/>
          <w:lang w:eastAsia="zh-CN"/>
        </w:rPr>
      </w:pPr>
      <w:r>
        <w:rPr>
          <w:rFonts w:hint="eastAsia" w:eastAsia="宋体"/>
          <w:color w:val="auto"/>
          <w:highlight w:val="none"/>
          <w:lang w:eastAsia="zh-CN"/>
        </w:rPr>
        <w:drawing>
          <wp:anchor distT="0" distB="0" distL="114300" distR="114300" simplePos="0" relativeHeight="251661312" behindDoc="0" locked="0" layoutInCell="1" allowOverlap="1">
            <wp:simplePos x="0" y="0"/>
            <wp:positionH relativeFrom="column">
              <wp:posOffset>495935</wp:posOffset>
            </wp:positionH>
            <wp:positionV relativeFrom="paragraph">
              <wp:posOffset>193040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52A33A01">
      <w:pPr>
        <w:widowControl/>
        <w:jc w:val="center"/>
        <w:rPr>
          <w:color w:val="auto"/>
          <w:highlight w:val="none"/>
        </w:rPr>
      </w:pPr>
    </w:p>
    <w:p w14:paraId="5BC9E8F3">
      <w:pPr>
        <w:widowControl/>
        <w:jc w:val="center"/>
        <w:rPr>
          <w:color w:val="auto"/>
          <w:highlight w:val="none"/>
        </w:rPr>
      </w:pPr>
    </w:p>
    <w:p w14:paraId="55425635">
      <w:pPr>
        <w:widowControl/>
        <w:jc w:val="center"/>
        <w:rPr>
          <w:color w:val="auto"/>
          <w:highlight w:val="none"/>
        </w:rPr>
      </w:pPr>
    </w:p>
    <w:p w14:paraId="1133B134">
      <w:pPr>
        <w:widowControl/>
        <w:jc w:val="center"/>
        <w:rPr>
          <w:color w:val="auto"/>
          <w:highlight w:val="none"/>
        </w:rPr>
      </w:pPr>
    </w:p>
    <w:p w14:paraId="767EA4FA">
      <w:pPr>
        <w:widowControl/>
        <w:jc w:val="center"/>
        <w:rPr>
          <w:color w:val="auto"/>
          <w:highlight w:val="none"/>
        </w:rPr>
      </w:pPr>
    </w:p>
    <w:p w14:paraId="648415B9">
      <w:pPr>
        <w:widowControl/>
        <w:jc w:val="center"/>
        <w:rPr>
          <w:color w:val="auto"/>
          <w:highlight w:val="none"/>
        </w:rPr>
      </w:pPr>
    </w:p>
    <w:p w14:paraId="316539A4">
      <w:pPr>
        <w:widowControl/>
        <w:jc w:val="center"/>
        <w:rPr>
          <w:color w:val="auto"/>
          <w:highlight w:val="none"/>
        </w:rPr>
      </w:pPr>
    </w:p>
    <w:p w14:paraId="0E34A92B">
      <w:pPr>
        <w:widowControl/>
        <w:jc w:val="center"/>
        <w:rPr>
          <w:color w:val="auto"/>
          <w:highlight w:val="none"/>
        </w:rPr>
      </w:pPr>
    </w:p>
    <w:p w14:paraId="36BECBA8">
      <w:pPr>
        <w:widowControl/>
        <w:jc w:val="center"/>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4404"/>
      </w:tblGrid>
      <w:tr w14:paraId="2472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457" w:type="dxa"/>
            <w:gridSpan w:val="2"/>
            <w:tcBorders>
              <w:top w:val="nil"/>
              <w:left w:val="nil"/>
              <w:right w:val="nil"/>
            </w:tcBorders>
          </w:tcPr>
          <w:p w14:paraId="796202F0">
            <w:pPr>
              <w:snapToGrid w:val="0"/>
              <w:spacing w:line="240" w:lineRule="atLeast"/>
              <w:jc w:val="center"/>
              <w:rPr>
                <w:b/>
                <w:color w:val="auto"/>
                <w:sz w:val="13"/>
                <w:szCs w:val="13"/>
                <w:highlight w:val="none"/>
              </w:rPr>
            </w:pPr>
            <w:r>
              <w:rPr>
                <w:rFonts w:hint="eastAsia"/>
                <w:b/>
                <w:color w:val="auto"/>
                <w:sz w:val="72"/>
                <w:szCs w:val="72"/>
                <w:highlight w:val="none"/>
              </w:rPr>
              <w:t>采购文件</w:t>
            </w:r>
          </w:p>
        </w:tc>
      </w:tr>
      <w:tr w14:paraId="525A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476A8CFF">
            <w:pPr>
              <w:rPr>
                <w:b/>
                <w:color w:val="auto"/>
                <w:sz w:val="32"/>
                <w:szCs w:val="32"/>
                <w:highlight w:val="none"/>
              </w:rPr>
            </w:pPr>
            <w:r>
              <w:rPr>
                <w:b/>
                <w:color w:val="auto"/>
                <w:sz w:val="32"/>
                <w:szCs w:val="32"/>
                <w:highlight w:val="none"/>
              </w:rPr>
              <w:t>项目名称：</w:t>
            </w:r>
          </w:p>
        </w:tc>
        <w:tc>
          <w:tcPr>
            <w:tcW w:w="4404" w:type="dxa"/>
            <w:vAlign w:val="center"/>
          </w:tcPr>
          <w:p w14:paraId="043DA242">
            <w:pPr>
              <w:rPr>
                <w:b/>
                <w:color w:val="auto"/>
                <w:sz w:val="32"/>
                <w:szCs w:val="32"/>
                <w:highlight w:val="none"/>
              </w:rPr>
            </w:pPr>
            <w:r>
              <w:rPr>
                <w:rFonts w:hint="eastAsia" w:ascii="Arial" w:hAnsi="Arial" w:cs="Arial"/>
                <w:b/>
                <w:color w:val="auto"/>
                <w:sz w:val="32"/>
                <w:szCs w:val="32"/>
                <w:highlight w:val="none"/>
                <w:lang w:eastAsia="zh-CN"/>
              </w:rPr>
              <w:t>2026年桂林医科大学教学实验仪器采购项目</w:t>
            </w:r>
          </w:p>
        </w:tc>
      </w:tr>
      <w:tr w14:paraId="0A41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2B5078AE">
            <w:pPr>
              <w:rPr>
                <w:b/>
                <w:color w:val="auto"/>
                <w:sz w:val="32"/>
                <w:szCs w:val="32"/>
                <w:highlight w:val="none"/>
              </w:rPr>
            </w:pPr>
            <w:r>
              <w:rPr>
                <w:b/>
                <w:color w:val="auto"/>
                <w:sz w:val="32"/>
                <w:szCs w:val="32"/>
                <w:highlight w:val="none"/>
              </w:rPr>
              <w:t>项目编号：</w:t>
            </w:r>
          </w:p>
        </w:tc>
        <w:tc>
          <w:tcPr>
            <w:tcW w:w="4404" w:type="dxa"/>
            <w:vAlign w:val="center"/>
          </w:tcPr>
          <w:p w14:paraId="03186231">
            <w:pPr>
              <w:rPr>
                <w:rFonts w:hint="eastAsia" w:eastAsia="宋体"/>
                <w:b/>
                <w:color w:val="auto"/>
                <w:sz w:val="32"/>
                <w:szCs w:val="32"/>
                <w:highlight w:val="none"/>
                <w:lang w:eastAsia="zh-CN"/>
              </w:rPr>
            </w:pPr>
            <w:r>
              <w:rPr>
                <w:rFonts w:hint="eastAsia"/>
                <w:b/>
                <w:color w:val="auto"/>
                <w:sz w:val="32"/>
                <w:szCs w:val="32"/>
                <w:highlight w:val="none"/>
                <w:lang w:eastAsia="zh-CN"/>
              </w:rPr>
              <w:t>GXZC2026-J1-002442-JDZB</w:t>
            </w:r>
          </w:p>
        </w:tc>
      </w:tr>
      <w:tr w14:paraId="368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494EEF78">
            <w:pPr>
              <w:rPr>
                <w:b/>
                <w:color w:val="auto"/>
                <w:sz w:val="32"/>
                <w:szCs w:val="32"/>
                <w:highlight w:val="none"/>
              </w:rPr>
            </w:pPr>
            <w:r>
              <w:rPr>
                <w:b/>
                <w:color w:val="auto"/>
                <w:sz w:val="32"/>
                <w:szCs w:val="32"/>
                <w:highlight w:val="none"/>
              </w:rPr>
              <w:t>联系电话：</w:t>
            </w:r>
          </w:p>
        </w:tc>
        <w:tc>
          <w:tcPr>
            <w:tcW w:w="4404" w:type="dxa"/>
            <w:vAlign w:val="center"/>
          </w:tcPr>
          <w:p w14:paraId="7638D006">
            <w:pPr>
              <w:rPr>
                <w:rFonts w:hint="eastAsia" w:eastAsia="宋体"/>
                <w:b/>
                <w:color w:val="auto"/>
                <w:sz w:val="32"/>
                <w:szCs w:val="32"/>
                <w:highlight w:val="none"/>
                <w:lang w:eastAsia="zh-CN"/>
              </w:rPr>
            </w:pPr>
            <w:r>
              <w:rPr>
                <w:rFonts w:hint="eastAsia"/>
                <w:b/>
                <w:color w:val="auto"/>
                <w:sz w:val="32"/>
                <w:szCs w:val="32"/>
                <w:highlight w:val="none"/>
                <w:lang w:eastAsia="zh-CN"/>
              </w:rPr>
              <w:t>0773-3696789转2</w:t>
            </w:r>
          </w:p>
        </w:tc>
      </w:tr>
      <w:tr w14:paraId="4B0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58A44742">
            <w:pPr>
              <w:rPr>
                <w:b/>
                <w:color w:val="auto"/>
                <w:sz w:val="32"/>
                <w:szCs w:val="32"/>
                <w:highlight w:val="none"/>
              </w:rPr>
            </w:pPr>
            <w:r>
              <w:rPr>
                <w:rFonts w:hint="eastAsia"/>
                <w:b/>
                <w:color w:val="auto"/>
                <w:sz w:val="32"/>
                <w:szCs w:val="32"/>
                <w:highlight w:val="none"/>
              </w:rPr>
              <w:t>采购方式</w:t>
            </w:r>
          </w:p>
        </w:tc>
        <w:tc>
          <w:tcPr>
            <w:tcW w:w="4404" w:type="dxa"/>
            <w:vAlign w:val="center"/>
          </w:tcPr>
          <w:p w14:paraId="3DBAF65D">
            <w:pPr>
              <w:rPr>
                <w:b/>
                <w:color w:val="auto"/>
                <w:sz w:val="32"/>
                <w:szCs w:val="32"/>
                <w:highlight w:val="none"/>
              </w:rPr>
            </w:pPr>
            <w:r>
              <w:rPr>
                <w:rFonts w:hint="eastAsia"/>
                <w:b/>
                <w:color w:val="auto"/>
                <w:sz w:val="32"/>
                <w:szCs w:val="32"/>
                <w:highlight w:val="none"/>
              </w:rPr>
              <w:t>竞争性谈判</w:t>
            </w:r>
          </w:p>
        </w:tc>
      </w:tr>
    </w:tbl>
    <w:p w14:paraId="598FA838">
      <w:pPr>
        <w:widowControl/>
        <w:jc w:val="center"/>
        <w:rPr>
          <w:color w:val="auto"/>
          <w:highlight w:val="none"/>
        </w:rPr>
      </w:pPr>
    </w:p>
    <w:p w14:paraId="3D283480">
      <w:pPr>
        <w:widowControl/>
        <w:jc w:val="center"/>
        <w:rPr>
          <w:color w:val="auto"/>
          <w:highlight w:val="none"/>
        </w:rPr>
      </w:pPr>
    </w:p>
    <w:p w14:paraId="1C7C365B">
      <w:pPr>
        <w:widowControl/>
        <w:jc w:val="center"/>
        <w:rPr>
          <w:color w:val="auto"/>
          <w:highlight w:val="none"/>
        </w:rPr>
      </w:pPr>
    </w:p>
    <w:p w14:paraId="6A9A4B83">
      <w:pPr>
        <w:widowControl/>
        <w:jc w:val="center"/>
        <w:rPr>
          <w:color w:val="auto"/>
          <w:highlight w:val="none"/>
        </w:rPr>
      </w:pPr>
    </w:p>
    <w:p w14:paraId="33B6DC8B">
      <w:pPr>
        <w:widowControl/>
        <w:jc w:val="center"/>
        <w:rPr>
          <w:color w:val="auto"/>
          <w:highlight w:val="none"/>
        </w:rPr>
      </w:pPr>
    </w:p>
    <w:p w14:paraId="2AA138D2">
      <w:pPr>
        <w:widowControl/>
        <w:jc w:val="center"/>
        <w:rPr>
          <w:color w:val="auto"/>
          <w:highlight w:val="none"/>
        </w:rPr>
      </w:pPr>
    </w:p>
    <w:p w14:paraId="380978B2">
      <w:pPr>
        <w:widowControl/>
        <w:jc w:val="center"/>
        <w:rPr>
          <w:color w:val="auto"/>
          <w:highlight w:val="none"/>
        </w:rPr>
      </w:pPr>
    </w:p>
    <w:p w14:paraId="7E40167E">
      <w:pPr>
        <w:widowControl/>
        <w:jc w:val="center"/>
        <w:rPr>
          <w:color w:val="auto"/>
          <w:highlight w:val="none"/>
        </w:rPr>
      </w:pPr>
    </w:p>
    <w:p w14:paraId="1AC2A425">
      <w:pPr>
        <w:rPr>
          <w:color w:val="auto"/>
          <w:highlight w:val="none"/>
        </w:rPr>
      </w:pPr>
    </w:p>
    <w:p w14:paraId="53095DB5">
      <w:pPr>
        <w:rPr>
          <w:color w:val="auto"/>
          <w:highlight w:val="none"/>
        </w:rPr>
      </w:pPr>
    </w:p>
    <w:p w14:paraId="4A74F119">
      <w:pPr>
        <w:rPr>
          <w:color w:val="auto"/>
          <w:highlight w:val="none"/>
        </w:rPr>
      </w:pPr>
    </w:p>
    <w:p w14:paraId="038816E1">
      <w:pPr>
        <w:rPr>
          <w:color w:val="auto"/>
          <w:highlight w:val="none"/>
        </w:rPr>
      </w:pPr>
    </w:p>
    <w:p w14:paraId="143C4CC3">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4822FFE">
        <w:trPr>
          <w:trHeight w:val="703" w:hRule="atLeast"/>
          <w:jc w:val="center"/>
        </w:trPr>
        <w:tc>
          <w:tcPr>
            <w:tcW w:w="2707" w:type="dxa"/>
            <w:vAlign w:val="center"/>
          </w:tcPr>
          <w:p w14:paraId="4405AD0C">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2090BAE7">
            <w:pPr>
              <w:autoSpaceDE w:val="0"/>
              <w:autoSpaceDN w:val="0"/>
              <w:adjustRightInd w:val="0"/>
              <w:jc w:val="left"/>
              <w:rPr>
                <w:rFonts w:hint="eastAsia" w:eastAsia="宋体"/>
                <w:b/>
                <w:color w:val="auto"/>
                <w:sz w:val="32"/>
                <w:szCs w:val="32"/>
                <w:highlight w:val="none"/>
                <w:lang w:eastAsia="zh-CN"/>
              </w:rPr>
            </w:pPr>
            <w:r>
              <w:rPr>
                <w:rFonts w:hint="eastAsia"/>
                <w:b/>
                <w:color w:val="auto"/>
                <w:sz w:val="32"/>
                <w:szCs w:val="32"/>
                <w:highlight w:val="none"/>
                <w:lang w:eastAsia="zh-CN"/>
              </w:rPr>
              <w:t>桂林医科大学</w:t>
            </w:r>
          </w:p>
        </w:tc>
      </w:tr>
      <w:tr w14:paraId="7432CAEF">
        <w:tblPrEx>
          <w:tblCellMar>
            <w:top w:w="0" w:type="dxa"/>
            <w:left w:w="108" w:type="dxa"/>
            <w:bottom w:w="0" w:type="dxa"/>
            <w:right w:w="108" w:type="dxa"/>
          </w:tblCellMar>
        </w:tblPrEx>
        <w:trPr>
          <w:trHeight w:val="703" w:hRule="atLeast"/>
          <w:jc w:val="center"/>
        </w:trPr>
        <w:tc>
          <w:tcPr>
            <w:tcW w:w="2713" w:type="dxa"/>
            <w:gridSpan w:val="2"/>
          </w:tcPr>
          <w:p w14:paraId="37383F4A">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506D1907">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5CA56C66">
      <w:pPr>
        <w:rPr>
          <w:color w:val="auto"/>
          <w:highlight w:val="none"/>
        </w:rPr>
      </w:pPr>
    </w:p>
    <w:p w14:paraId="1B4989CA">
      <w:pPr>
        <w:ind w:firstLine="321" w:firstLineChars="100"/>
        <w:jc w:val="center"/>
        <w:rPr>
          <w:rFonts w:hint="eastAsia"/>
          <w:b/>
          <w:color w:val="auto"/>
          <w:sz w:val="32"/>
          <w:szCs w:val="32"/>
          <w:highlight w:val="none"/>
          <w:lang w:eastAsia="zh-CN"/>
        </w:rPr>
      </w:pPr>
      <w:r>
        <w:rPr>
          <w:b/>
          <w:color w:val="auto"/>
          <w:sz w:val="32"/>
          <w:szCs w:val="32"/>
          <w:highlight w:val="none"/>
        </w:rPr>
        <w:t>202</w:t>
      </w:r>
      <w:r>
        <w:rPr>
          <w:rFonts w:hint="eastAsia"/>
          <w:b/>
          <w:color w:val="auto"/>
          <w:sz w:val="32"/>
          <w:szCs w:val="32"/>
          <w:highlight w:val="none"/>
          <w:lang w:val="en-US" w:eastAsia="zh-CN"/>
        </w:rPr>
        <w:t>6</w:t>
      </w:r>
      <w:r>
        <w:rPr>
          <w:b/>
          <w:color w:val="auto"/>
          <w:sz w:val="32"/>
          <w:szCs w:val="32"/>
          <w:highlight w:val="none"/>
        </w:rPr>
        <w:t>年</w:t>
      </w:r>
      <w:r>
        <w:rPr>
          <w:rFonts w:hint="eastAsia"/>
          <w:b/>
          <w:color w:val="auto"/>
          <w:sz w:val="32"/>
          <w:szCs w:val="32"/>
          <w:highlight w:val="none"/>
          <w:lang w:val="en-US" w:eastAsia="zh-CN"/>
        </w:rPr>
        <w:t>7</w:t>
      </w:r>
      <w:r>
        <w:rPr>
          <w:b/>
          <w:color w:val="auto"/>
          <w:sz w:val="32"/>
          <w:szCs w:val="32"/>
          <w:highlight w:val="none"/>
        </w:rPr>
        <w:t>月</w:t>
      </w:r>
    </w:p>
    <w:p w14:paraId="717BEE18">
      <w:pPr>
        <w:tabs>
          <w:tab w:val="left" w:pos="1710"/>
        </w:tabs>
        <w:rPr>
          <w:color w:val="auto"/>
          <w:highlight w:val="none"/>
        </w:rPr>
        <w:sectPr>
          <w:footerReference r:id="rId3" w:type="default"/>
          <w:pgSz w:w="11906" w:h="16838"/>
          <w:pgMar w:top="1418" w:right="1418" w:bottom="1246" w:left="1418" w:header="851" w:footer="992" w:gutter="0"/>
          <w:pgNumType w:start="0"/>
          <w:cols w:space="720" w:num="1"/>
          <w:titlePg/>
          <w:docGrid w:linePitch="312" w:charSpace="0"/>
        </w:sectPr>
      </w:pPr>
    </w:p>
    <w:p w14:paraId="054D190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485803390"/>
      <w:bookmarkStart w:id="3" w:name="_Toc7910"/>
      <w:bookmarkStart w:id="4" w:name="_Toc489863683"/>
      <w:bookmarkStart w:id="5" w:name="_Toc17639"/>
      <w:r>
        <w:rPr>
          <w:rFonts w:ascii="Times New Roman" w:hAnsi="Times New Roman" w:cs="Times New Roman"/>
          <w:color w:val="auto"/>
          <w:sz w:val="32"/>
          <w:szCs w:val="32"/>
          <w:highlight w:val="none"/>
        </w:rPr>
        <w:t>目    录</w:t>
      </w:r>
      <w:bookmarkEnd w:id="2"/>
      <w:bookmarkEnd w:id="3"/>
      <w:bookmarkEnd w:id="4"/>
      <w:bookmarkEnd w:id="5"/>
    </w:p>
    <w:p w14:paraId="5B648B40">
      <w:pPr>
        <w:pStyle w:val="33"/>
        <w:tabs>
          <w:tab w:val="right" w:leader="dot" w:pos="9355"/>
          <w:tab w:val="clear" w:pos="8398"/>
        </w:tabs>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_Toc25293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_Toc25293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color w:val="auto"/>
          <w:szCs w:val="28"/>
          <w:highlight w:val="none"/>
        </w:rPr>
        <w:fldChar w:fldCharType="end"/>
      </w:r>
    </w:p>
    <w:p w14:paraId="3E73635B">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_Toc24962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_Toc24962 \h </w:instrText>
      </w:r>
      <w:r>
        <w:rPr>
          <w:color w:val="auto"/>
          <w:highlight w:val="none"/>
        </w:rPr>
        <w:fldChar w:fldCharType="separate"/>
      </w:r>
      <w:r>
        <w:rPr>
          <w:color w:val="auto"/>
          <w:highlight w:val="none"/>
        </w:rPr>
        <w:t>5</w:t>
      </w:r>
      <w:r>
        <w:rPr>
          <w:color w:val="auto"/>
          <w:highlight w:val="none"/>
        </w:rPr>
        <w:fldChar w:fldCharType="end"/>
      </w:r>
      <w:r>
        <w:rPr>
          <w:rFonts w:ascii="Times New Roman" w:hAnsi="Times New Roman" w:cs="Times New Roman"/>
          <w:color w:val="auto"/>
          <w:szCs w:val="28"/>
          <w:highlight w:val="none"/>
        </w:rPr>
        <w:fldChar w:fldCharType="end"/>
      </w:r>
    </w:p>
    <w:p w14:paraId="1764BDD3">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_Toc19159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_Toc19159 \h </w:instrText>
      </w:r>
      <w:r>
        <w:rPr>
          <w:color w:val="auto"/>
          <w:highlight w:val="none"/>
        </w:rPr>
        <w:fldChar w:fldCharType="separate"/>
      </w:r>
      <w:r>
        <w:rPr>
          <w:color w:val="auto"/>
          <w:highlight w:val="none"/>
        </w:rPr>
        <w:t>61</w:t>
      </w:r>
      <w:r>
        <w:rPr>
          <w:color w:val="auto"/>
          <w:highlight w:val="none"/>
        </w:rPr>
        <w:fldChar w:fldCharType="end"/>
      </w:r>
      <w:r>
        <w:rPr>
          <w:rFonts w:ascii="Times New Roman" w:hAnsi="Times New Roman" w:cs="Times New Roman"/>
          <w:color w:val="auto"/>
          <w:szCs w:val="28"/>
          <w:highlight w:val="none"/>
        </w:rPr>
        <w:fldChar w:fldCharType="end"/>
      </w:r>
    </w:p>
    <w:p w14:paraId="37B5860A">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_Toc20589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_Toc20589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color w:val="auto"/>
          <w:szCs w:val="28"/>
          <w:highlight w:val="none"/>
        </w:rPr>
        <w:fldChar w:fldCharType="end"/>
      </w:r>
    </w:p>
    <w:p w14:paraId="17D7079F">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_Toc25884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_Toc25884 \h </w:instrText>
      </w:r>
      <w:r>
        <w:rPr>
          <w:color w:val="auto"/>
          <w:highlight w:val="none"/>
        </w:rPr>
        <w:fldChar w:fldCharType="separate"/>
      </w:r>
      <w:r>
        <w:rPr>
          <w:color w:val="auto"/>
          <w:highlight w:val="none"/>
        </w:rPr>
        <w:t>86</w:t>
      </w:r>
      <w:r>
        <w:rPr>
          <w:color w:val="auto"/>
          <w:highlight w:val="none"/>
        </w:rPr>
        <w:fldChar w:fldCharType="end"/>
      </w:r>
      <w:r>
        <w:rPr>
          <w:rFonts w:ascii="Times New Roman" w:hAnsi="Times New Roman" w:cs="Times New Roman"/>
          <w:color w:val="auto"/>
          <w:szCs w:val="28"/>
          <w:highlight w:val="none"/>
        </w:rPr>
        <w:fldChar w:fldCharType="end"/>
      </w:r>
    </w:p>
    <w:p w14:paraId="46EE601D">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_Toc14377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_Toc14377 \h </w:instrText>
      </w:r>
      <w:r>
        <w:rPr>
          <w:color w:val="auto"/>
          <w:highlight w:val="none"/>
        </w:rPr>
        <w:fldChar w:fldCharType="separate"/>
      </w:r>
      <w:r>
        <w:rPr>
          <w:color w:val="auto"/>
          <w:highlight w:val="none"/>
        </w:rPr>
        <w:t>93</w:t>
      </w:r>
      <w:r>
        <w:rPr>
          <w:color w:val="auto"/>
          <w:highlight w:val="none"/>
        </w:rPr>
        <w:fldChar w:fldCharType="end"/>
      </w:r>
      <w:r>
        <w:rPr>
          <w:rFonts w:ascii="Times New Roman" w:hAnsi="Times New Roman" w:cs="Times New Roman"/>
          <w:color w:val="auto"/>
          <w:szCs w:val="28"/>
          <w:highlight w:val="none"/>
        </w:rPr>
        <w:fldChar w:fldCharType="end"/>
      </w:r>
    </w:p>
    <w:p w14:paraId="4084DBE4">
      <w:pPr>
        <w:pStyle w:val="26"/>
        <w:snapToGrid w:val="0"/>
        <w:spacing w:before="120" w:after="120" w:line="320" w:lineRule="exact"/>
        <w:jc w:val="center"/>
        <w:outlineLvl w:val="0"/>
        <w:rPr>
          <w:rFonts w:ascii="Times New Roman" w:hAnsi="Times New Roman" w:cs="Times New Roman"/>
          <w:color w:val="auto"/>
          <w:szCs w:val="28"/>
          <w:highlight w:val="none"/>
        </w:rPr>
      </w:pPr>
      <w:r>
        <w:rPr>
          <w:rFonts w:ascii="Times New Roman" w:hAnsi="Times New Roman" w:cs="Times New Roman"/>
          <w:color w:val="auto"/>
          <w:szCs w:val="28"/>
          <w:highlight w:val="none"/>
        </w:rPr>
        <w:fldChar w:fldCharType="end"/>
      </w:r>
      <w:bookmarkStart w:id="6" w:name="_Toc254970630"/>
      <w:bookmarkStart w:id="7" w:name="_Toc254970489"/>
    </w:p>
    <w:p w14:paraId="435463A4">
      <w:pPr>
        <w:pStyle w:val="26"/>
        <w:snapToGrid w:val="0"/>
        <w:spacing w:before="120" w:after="120" w:line="320" w:lineRule="exact"/>
        <w:jc w:val="center"/>
        <w:outlineLvl w:val="0"/>
        <w:rPr>
          <w:rFonts w:ascii="Times New Roman" w:hAnsi="Times New Roman" w:cs="Times New Roman"/>
          <w:color w:val="auto"/>
          <w:sz w:val="32"/>
          <w:szCs w:val="32"/>
          <w:highlight w:val="none"/>
        </w:rPr>
        <w:sectPr>
          <w:headerReference r:id="rId4" w:type="default"/>
          <w:footerReference r:id="rId5" w:type="default"/>
          <w:pgSz w:w="11906" w:h="16838"/>
          <w:pgMar w:top="1135" w:right="1133" w:bottom="1246" w:left="1418" w:header="851" w:footer="903" w:gutter="0"/>
          <w:pgNumType w:start="1"/>
          <w:cols w:space="720" w:num="1"/>
          <w:docGrid w:linePitch="312" w:charSpace="0"/>
        </w:sectPr>
      </w:pPr>
    </w:p>
    <w:p w14:paraId="0B5B5B92">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8" w:name="_Toc25293"/>
      <w:r>
        <w:rPr>
          <w:rFonts w:ascii="Times New Roman" w:hAnsi="Times New Roman" w:cs="Times New Roman"/>
          <w:color w:val="auto"/>
          <w:sz w:val="32"/>
          <w:szCs w:val="32"/>
          <w:highlight w:val="none"/>
        </w:rPr>
        <w:t>第一章  竞争性谈判公告</w:t>
      </w:r>
      <w:bookmarkEnd w:id="8"/>
    </w:p>
    <w:bookmarkEnd w:id="6"/>
    <w:bookmarkEnd w:id="7"/>
    <w:p w14:paraId="62A0EC84">
      <w:pPr>
        <w:spacing w:line="400" w:lineRule="exact"/>
        <w:jc w:val="center"/>
        <w:rPr>
          <w:rFonts w:hint="eastAsia" w:eastAsia="宋体"/>
          <w:color w:val="auto"/>
          <w:kern w:val="0"/>
          <w:sz w:val="24"/>
          <w:highlight w:val="none"/>
          <w:lang w:eastAsia="zh-CN"/>
        </w:rPr>
      </w:pPr>
      <w:bookmarkStart w:id="144" w:name="_GoBack"/>
      <w:r>
        <w:rPr>
          <w:color w:val="auto"/>
          <w:kern w:val="0"/>
          <w:sz w:val="24"/>
          <w:highlight w:val="none"/>
        </w:rPr>
        <w:t>广西机电设备招标有限公司关于</w:t>
      </w:r>
      <w:r>
        <w:rPr>
          <w:rFonts w:hint="eastAsia"/>
          <w:color w:val="auto"/>
          <w:kern w:val="0"/>
          <w:sz w:val="24"/>
          <w:highlight w:val="none"/>
          <w:lang w:eastAsia="zh-CN"/>
        </w:rPr>
        <w:t>2026年桂林医科大学教学实验仪器采购项目</w:t>
      </w:r>
    </w:p>
    <w:p w14:paraId="32C859F1">
      <w:pPr>
        <w:spacing w:line="400" w:lineRule="exact"/>
        <w:jc w:val="center"/>
        <w:rPr>
          <w:b/>
          <w:color w:val="auto"/>
          <w:sz w:val="24"/>
          <w:highlight w:val="none"/>
        </w:rPr>
      </w:pPr>
      <w:r>
        <w:rPr>
          <w:color w:val="auto"/>
          <w:sz w:val="24"/>
          <w:highlight w:val="none"/>
        </w:rPr>
        <w:t>(</w:t>
      </w:r>
      <w:r>
        <w:rPr>
          <w:rFonts w:hint="eastAsia"/>
          <w:color w:val="auto"/>
          <w:sz w:val="24"/>
          <w:highlight w:val="none"/>
          <w:lang w:eastAsia="zh-CN"/>
        </w:rPr>
        <w:t>GXZC2026-J1-002442-JDZB</w:t>
      </w:r>
      <w:r>
        <w:rPr>
          <w:color w:val="auto"/>
          <w:sz w:val="24"/>
          <w:highlight w:val="none"/>
        </w:rPr>
        <w:t>)</w:t>
      </w:r>
      <w:r>
        <w:rPr>
          <w:color w:val="auto"/>
          <w:kern w:val="0"/>
          <w:sz w:val="24"/>
          <w:highlight w:val="none"/>
        </w:rPr>
        <w:t>竞争性谈判公告</w:t>
      </w:r>
    </w:p>
    <w:bookmarkEnd w:id="144"/>
    <w:p w14:paraId="4913EFFC">
      <w:pPr>
        <w:jc w:val="left"/>
        <w:rPr>
          <w:rFonts w:hint="eastAsia"/>
          <w:color w:val="auto"/>
          <w:kern w:val="0"/>
          <w:szCs w:val="21"/>
          <w:highlight w:val="none"/>
        </w:rPr>
      </w:pPr>
    </w:p>
    <w:p w14:paraId="3D2ADBE1">
      <w:pPr>
        <w:spacing w:line="312" w:lineRule="auto"/>
        <w:ind w:firstLine="420" w:firstLineChars="200"/>
        <w:jc w:val="left"/>
        <w:rPr>
          <w:b/>
          <w:bCs/>
          <w:color w:val="auto"/>
          <w:kern w:val="0"/>
          <w:sz w:val="22"/>
          <w:szCs w:val="22"/>
          <w:highlight w:val="none"/>
        </w:rPr>
      </w:pPr>
      <w:r>
        <w:rPr>
          <w:rFonts w:hint="eastAsia"/>
          <w:color w:val="auto"/>
          <w:szCs w:val="21"/>
          <w:highlight w:val="none"/>
        </w:rPr>
        <w:t>项目概况：</w:t>
      </w:r>
      <w:r>
        <w:rPr>
          <w:rFonts w:hint="eastAsia"/>
          <w:color w:val="auto"/>
          <w:szCs w:val="21"/>
          <w:highlight w:val="none"/>
          <w:lang w:eastAsia="zh-CN"/>
        </w:rPr>
        <w:t>2026年桂林医科大学教学实验仪器采购项目</w:t>
      </w:r>
      <w:r>
        <w:rPr>
          <w:rFonts w:hint="eastAsia"/>
          <w:color w:val="auto"/>
          <w:szCs w:val="21"/>
          <w:highlight w:val="none"/>
        </w:rPr>
        <w:t>的潜在供应商应在广西政府采购云平台（https://www.gcy.zfcg.gxzf.gov.cn/）获取采购文件，并于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8</w:t>
      </w:r>
      <w:r>
        <w:rPr>
          <w:rFonts w:hint="eastAsia"/>
          <w:color w:val="auto"/>
          <w:szCs w:val="21"/>
          <w:highlight w:val="none"/>
        </w:rPr>
        <w:t>月</w:t>
      </w:r>
      <w:r>
        <w:rPr>
          <w:rFonts w:hint="eastAsia"/>
          <w:color w:val="auto"/>
          <w:szCs w:val="21"/>
          <w:highlight w:val="none"/>
          <w:lang w:val="en-US" w:eastAsia="zh-CN"/>
        </w:rPr>
        <w:t>5</w:t>
      </w:r>
      <w:r>
        <w:rPr>
          <w:rFonts w:hint="eastAsia"/>
          <w:color w:val="auto"/>
          <w:szCs w:val="21"/>
          <w:highlight w:val="none"/>
        </w:rPr>
        <w:t>日 09:30（北京时间）前提交响应文件。</w:t>
      </w:r>
    </w:p>
    <w:p w14:paraId="3A7AFB3D">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 xml:space="preserve">一、项目基本情况 </w:t>
      </w:r>
    </w:p>
    <w:p w14:paraId="73A3B550">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eastAsia="zh-CN"/>
        </w:rPr>
        <w:t>GXZC2026-J1-002442-JDZB</w:t>
      </w:r>
    </w:p>
    <w:p w14:paraId="75C6FD85">
      <w:pPr>
        <w:spacing w:line="312" w:lineRule="auto"/>
        <w:ind w:firstLine="420" w:firstLineChars="200"/>
        <w:jc w:val="left"/>
        <w:rPr>
          <w:rFonts w:hint="eastAsia"/>
          <w:color w:val="auto"/>
          <w:kern w:val="0"/>
          <w:szCs w:val="21"/>
          <w:highlight w:val="none"/>
        </w:rPr>
      </w:pPr>
      <w:r>
        <w:rPr>
          <w:color w:val="auto"/>
          <w:kern w:val="0"/>
          <w:szCs w:val="21"/>
          <w:highlight w:val="none"/>
        </w:rPr>
        <w:t>项目名称：</w:t>
      </w:r>
      <w:r>
        <w:rPr>
          <w:rFonts w:hint="eastAsia"/>
          <w:color w:val="auto"/>
          <w:kern w:val="0"/>
          <w:szCs w:val="21"/>
          <w:highlight w:val="none"/>
        </w:rPr>
        <w:t>2026年桂林医科大学教学实验仪器采购项目</w:t>
      </w:r>
    </w:p>
    <w:p w14:paraId="346C83E1">
      <w:pPr>
        <w:spacing w:line="312" w:lineRule="auto"/>
        <w:ind w:firstLine="420" w:firstLineChars="200"/>
        <w:jc w:val="left"/>
        <w:rPr>
          <w:color w:val="auto"/>
          <w:kern w:val="0"/>
          <w:szCs w:val="21"/>
          <w:highlight w:val="none"/>
        </w:rPr>
      </w:pPr>
      <w:r>
        <w:rPr>
          <w:rFonts w:hint="eastAsia"/>
          <w:color w:val="auto"/>
          <w:kern w:val="0"/>
          <w:szCs w:val="21"/>
          <w:highlight w:val="none"/>
        </w:rPr>
        <w:t>采购方式：</w:t>
      </w:r>
      <w:r>
        <w:rPr>
          <w:color w:val="auto"/>
          <w:szCs w:val="21"/>
          <w:highlight w:val="none"/>
        </w:rPr>
        <w:t xml:space="preserve"> </w:t>
      </w:r>
      <w:r>
        <w:rPr>
          <w:rFonts w:hint="eastAsia"/>
          <w:color w:val="auto"/>
          <w:kern w:val="0"/>
          <w:szCs w:val="21"/>
          <w:highlight w:val="none"/>
        </w:rPr>
        <w:t xml:space="preserve">竞争性谈判 </w:t>
      </w:r>
    </w:p>
    <w:p w14:paraId="75D071DA">
      <w:pPr>
        <w:spacing w:line="312" w:lineRule="auto"/>
        <w:ind w:firstLine="420" w:firstLineChars="200"/>
        <w:jc w:val="left"/>
        <w:rPr>
          <w:rFonts w:hint="default" w:eastAsia="宋体"/>
          <w:color w:val="auto"/>
          <w:kern w:val="0"/>
          <w:szCs w:val="21"/>
          <w:highlight w:val="none"/>
          <w:lang w:val="en-US" w:eastAsia="zh-CN"/>
        </w:rPr>
      </w:pPr>
      <w:r>
        <w:rPr>
          <w:rFonts w:hint="eastAsia"/>
          <w:color w:val="auto"/>
          <w:kern w:val="0"/>
          <w:szCs w:val="21"/>
          <w:highlight w:val="none"/>
        </w:rPr>
        <w:t>预算总金额（元）：</w:t>
      </w:r>
      <w:r>
        <w:rPr>
          <w:rFonts w:hint="eastAsia"/>
          <w:color w:val="auto"/>
          <w:kern w:val="0"/>
          <w:szCs w:val="21"/>
          <w:highlight w:val="none"/>
          <w:lang w:val="en-US" w:eastAsia="zh-CN"/>
        </w:rPr>
        <w:t>2730000</w:t>
      </w:r>
    </w:p>
    <w:p w14:paraId="7ECF49D4">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p>
    <w:p w14:paraId="7A0B87DD">
      <w:pPr>
        <w:spacing w:line="312" w:lineRule="auto"/>
        <w:ind w:firstLine="420" w:firstLineChars="200"/>
        <w:jc w:val="left"/>
        <w:rPr>
          <w:rFonts w:hint="default" w:ascii="Arial" w:hAnsi="Arial" w:eastAsia="宋体" w:cs="Arial"/>
          <w:color w:val="auto"/>
          <w:kern w:val="0"/>
          <w:szCs w:val="21"/>
          <w:highlight w:val="none"/>
          <w:lang w:val="en-US"/>
        </w:rPr>
      </w:pPr>
      <w:r>
        <w:rPr>
          <w:rFonts w:hint="default" w:ascii="Arial" w:hAnsi="Arial" w:eastAsia="宋体" w:cs="Arial"/>
          <w:color w:val="auto"/>
          <w:kern w:val="0"/>
          <w:szCs w:val="21"/>
          <w:highlight w:val="none"/>
        </w:rPr>
        <w:t>标项</w:t>
      </w:r>
      <w:r>
        <w:rPr>
          <w:rFonts w:hint="eastAsia" w:ascii="Arial" w:hAnsi="Arial" w:cs="Arial"/>
          <w:color w:val="auto"/>
          <w:kern w:val="0"/>
          <w:szCs w:val="21"/>
          <w:highlight w:val="none"/>
          <w:lang w:val="en-US" w:eastAsia="zh-CN"/>
        </w:rPr>
        <w:t>一</w:t>
      </w:r>
      <w:r>
        <w:rPr>
          <w:rFonts w:hint="default" w:ascii="Arial" w:hAnsi="Arial" w:eastAsia="宋体" w:cs="Arial"/>
          <w:color w:val="auto"/>
          <w:kern w:val="0"/>
          <w:szCs w:val="21"/>
          <w:highlight w:val="none"/>
        </w:rPr>
        <w:t>：</w:t>
      </w:r>
      <w:r>
        <w:rPr>
          <w:rFonts w:hint="eastAsia" w:ascii="Arial" w:hAnsi="Arial" w:cs="Arial"/>
          <w:color w:val="auto"/>
          <w:kern w:val="0"/>
          <w:szCs w:val="21"/>
          <w:highlight w:val="none"/>
          <w:lang w:val="en-US" w:eastAsia="zh-CN"/>
        </w:rPr>
        <w:t>A分标：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rPr>
        <w:t>基础医学院教学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2942DB7E">
      <w:pPr>
        <w:spacing w:line="312" w:lineRule="auto"/>
        <w:ind w:firstLine="420" w:firstLineChars="200"/>
        <w:jc w:val="left"/>
        <w:rPr>
          <w:rFonts w:hint="eastAsia" w:ascii="Arial" w:hAnsi="Arial" w:eastAsia="宋体" w:cs="Arial"/>
          <w:color w:val="auto"/>
          <w:kern w:val="0"/>
          <w:szCs w:val="21"/>
          <w:highlight w:val="none"/>
          <w:lang w:val="en-US" w:eastAsia="zh-CN"/>
        </w:rPr>
      </w:pPr>
      <w:r>
        <w:rPr>
          <w:rFonts w:hint="default" w:ascii="Arial" w:hAnsi="Arial" w:eastAsia="宋体" w:cs="Arial"/>
          <w:color w:val="auto"/>
          <w:kern w:val="0"/>
          <w:szCs w:val="21"/>
          <w:highlight w:val="none"/>
        </w:rPr>
        <w:t>数量：</w:t>
      </w:r>
      <w:r>
        <w:rPr>
          <w:rFonts w:hint="eastAsia" w:ascii="Arial" w:hAnsi="Arial" w:eastAsia="宋体" w:cs="Arial"/>
          <w:color w:val="auto"/>
          <w:kern w:val="0"/>
          <w:szCs w:val="21"/>
          <w:highlight w:val="none"/>
          <w:lang w:val="en-US" w:eastAsia="zh-CN"/>
        </w:rPr>
        <w:t>1</w:t>
      </w:r>
    </w:p>
    <w:p w14:paraId="6A531974">
      <w:pPr>
        <w:spacing w:line="312" w:lineRule="auto"/>
        <w:ind w:firstLine="420" w:firstLineChars="200"/>
        <w:jc w:val="left"/>
        <w:rPr>
          <w:rFonts w:hint="default" w:ascii="Arial" w:hAnsi="Arial" w:eastAsia="宋体" w:cs="Arial"/>
          <w:color w:val="auto"/>
          <w:kern w:val="0"/>
          <w:szCs w:val="21"/>
          <w:highlight w:val="none"/>
          <w:lang w:val="en-US" w:eastAsia="zh-CN"/>
        </w:rPr>
      </w:pPr>
      <w:r>
        <w:rPr>
          <w:rFonts w:hint="default" w:ascii="Arial" w:hAnsi="Arial" w:eastAsia="宋体" w:cs="Arial"/>
          <w:color w:val="auto"/>
          <w:kern w:val="0"/>
          <w:szCs w:val="21"/>
          <w:highlight w:val="none"/>
        </w:rPr>
        <w:t>预算金额（元）：</w:t>
      </w:r>
      <w:r>
        <w:rPr>
          <w:rFonts w:hint="eastAsia"/>
          <w:color w:val="auto"/>
          <w:highlight w:val="none"/>
          <w:lang w:val="en-US" w:eastAsia="zh-CN"/>
        </w:rPr>
        <w:t>372000</w:t>
      </w:r>
    </w:p>
    <w:p w14:paraId="06B942B4">
      <w:pPr>
        <w:spacing w:line="312" w:lineRule="auto"/>
        <w:ind w:firstLine="420" w:firstLineChars="200"/>
        <w:jc w:val="left"/>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简要规格描述或项目基本概况介绍、用途：寄存柜</w:t>
      </w:r>
      <w:r>
        <w:rPr>
          <w:rFonts w:hint="eastAsia" w:ascii="Arial" w:hAnsi="Arial" w:cs="Arial"/>
          <w:color w:val="auto"/>
          <w:kern w:val="0"/>
          <w:szCs w:val="21"/>
          <w:highlight w:val="none"/>
          <w:lang w:val="en-US" w:eastAsia="zh-CN"/>
        </w:rPr>
        <w:t>10个，</w:t>
      </w:r>
      <w:r>
        <w:rPr>
          <w:rFonts w:hint="default" w:ascii="Arial" w:hAnsi="Arial" w:eastAsia="宋体" w:cs="Arial"/>
          <w:color w:val="auto"/>
          <w:kern w:val="0"/>
          <w:szCs w:val="21"/>
          <w:highlight w:val="none"/>
        </w:rPr>
        <w:t>高仿真下肢肌模型</w:t>
      </w:r>
      <w:r>
        <w:rPr>
          <w:rFonts w:hint="eastAsia" w:ascii="Arial" w:hAnsi="Arial" w:cs="Arial"/>
          <w:color w:val="auto"/>
          <w:kern w:val="0"/>
          <w:szCs w:val="21"/>
          <w:highlight w:val="none"/>
          <w:lang w:val="en-US" w:eastAsia="zh-CN"/>
        </w:rPr>
        <w:t>10个，</w:t>
      </w:r>
      <w:r>
        <w:rPr>
          <w:rFonts w:hint="default" w:ascii="Arial" w:hAnsi="Arial" w:eastAsia="宋体" w:cs="Arial"/>
          <w:color w:val="auto"/>
          <w:kern w:val="0"/>
          <w:szCs w:val="21"/>
          <w:highlight w:val="none"/>
        </w:rPr>
        <w:t>多媒体讲台系统</w:t>
      </w:r>
      <w:r>
        <w:rPr>
          <w:rFonts w:hint="eastAsia" w:ascii="Arial" w:hAnsi="Arial" w:cs="Arial"/>
          <w:color w:val="auto"/>
          <w:kern w:val="0"/>
          <w:szCs w:val="21"/>
          <w:highlight w:val="none"/>
          <w:lang w:val="en-US" w:eastAsia="zh-CN"/>
        </w:rPr>
        <w:t>1个，</w:t>
      </w:r>
      <w:r>
        <w:rPr>
          <w:rFonts w:hint="default" w:ascii="Arial" w:hAnsi="Arial" w:eastAsia="宋体" w:cs="Arial"/>
          <w:color w:val="auto"/>
          <w:kern w:val="0"/>
          <w:szCs w:val="21"/>
          <w:highlight w:val="none"/>
        </w:rPr>
        <w:t>扩音系统</w:t>
      </w:r>
      <w:r>
        <w:rPr>
          <w:rFonts w:hint="eastAsia" w:ascii="Arial" w:hAnsi="Arial" w:cs="Arial"/>
          <w:color w:val="auto"/>
          <w:kern w:val="0"/>
          <w:szCs w:val="21"/>
          <w:highlight w:val="none"/>
          <w:lang w:val="en-US" w:eastAsia="zh-CN"/>
        </w:rPr>
        <w:t>1个，</w:t>
      </w:r>
      <w:r>
        <w:rPr>
          <w:rFonts w:hint="default" w:ascii="Arial" w:hAnsi="Arial" w:eastAsia="宋体" w:cs="Arial"/>
          <w:color w:val="auto"/>
          <w:kern w:val="0"/>
          <w:szCs w:val="21"/>
          <w:highlight w:val="none"/>
        </w:rPr>
        <w:t>防静电凳</w:t>
      </w:r>
      <w:r>
        <w:rPr>
          <w:rFonts w:hint="eastAsia" w:ascii="Arial" w:hAnsi="Arial" w:cs="Arial"/>
          <w:color w:val="auto"/>
          <w:kern w:val="0"/>
          <w:szCs w:val="21"/>
          <w:highlight w:val="none"/>
          <w:lang w:val="en-US" w:eastAsia="zh-CN"/>
        </w:rPr>
        <w:t>100张，</w:t>
      </w:r>
      <w:r>
        <w:rPr>
          <w:rFonts w:hint="default" w:ascii="Arial" w:hAnsi="Arial" w:eastAsia="宋体" w:cs="Arial"/>
          <w:color w:val="auto"/>
          <w:kern w:val="0"/>
          <w:szCs w:val="21"/>
          <w:highlight w:val="none"/>
        </w:rPr>
        <w:t>恒温平滑肌实验系统</w:t>
      </w:r>
      <w:r>
        <w:rPr>
          <w:rFonts w:hint="eastAsia" w:ascii="Arial" w:hAnsi="Arial" w:cs="Arial"/>
          <w:color w:val="auto"/>
          <w:kern w:val="0"/>
          <w:szCs w:val="21"/>
          <w:highlight w:val="none"/>
          <w:lang w:val="en-US" w:eastAsia="zh-CN"/>
        </w:rPr>
        <w:t>12台，</w:t>
      </w:r>
      <w:r>
        <w:rPr>
          <w:rFonts w:hint="default" w:ascii="Arial" w:hAnsi="Arial" w:eastAsia="宋体" w:cs="Arial"/>
          <w:color w:val="auto"/>
          <w:kern w:val="0"/>
          <w:szCs w:val="21"/>
          <w:highlight w:val="none"/>
        </w:rPr>
        <w:t>分光光度计</w:t>
      </w:r>
      <w:r>
        <w:rPr>
          <w:rFonts w:hint="eastAsia" w:ascii="Arial" w:hAnsi="Arial" w:cs="Arial"/>
          <w:color w:val="auto"/>
          <w:kern w:val="0"/>
          <w:szCs w:val="21"/>
          <w:highlight w:val="none"/>
          <w:lang w:val="en-US" w:eastAsia="zh-CN"/>
        </w:rPr>
        <w:t>4台，</w:t>
      </w:r>
      <w:r>
        <w:rPr>
          <w:rFonts w:hint="default" w:ascii="Arial" w:hAnsi="Arial" w:eastAsia="宋体" w:cs="Arial"/>
          <w:color w:val="auto"/>
          <w:kern w:val="0"/>
          <w:szCs w:val="21"/>
          <w:highlight w:val="none"/>
        </w:rPr>
        <w:t>冷热板仪</w:t>
      </w:r>
      <w:r>
        <w:rPr>
          <w:rFonts w:hint="eastAsia" w:ascii="Arial" w:hAnsi="Arial" w:cs="Arial"/>
          <w:color w:val="auto"/>
          <w:kern w:val="0"/>
          <w:szCs w:val="21"/>
          <w:highlight w:val="none"/>
          <w:lang w:val="en-US" w:eastAsia="zh-CN"/>
        </w:rPr>
        <w:t>1台等设备</w:t>
      </w:r>
      <w:r>
        <w:rPr>
          <w:rFonts w:hint="eastAsia" w:ascii="Arial" w:hAnsi="Arial" w:cs="Arial"/>
          <w:color w:val="auto"/>
          <w:kern w:val="0"/>
          <w:szCs w:val="21"/>
          <w:highlight w:val="none"/>
          <w:lang w:eastAsia="zh-CN"/>
        </w:rPr>
        <w:t>，</w:t>
      </w:r>
      <w:r>
        <w:rPr>
          <w:rFonts w:hint="default" w:ascii="Arial" w:hAnsi="Arial" w:cs="Arial"/>
          <w:color w:val="auto"/>
          <w:kern w:val="0"/>
          <w:szCs w:val="21"/>
          <w:highlight w:val="none"/>
        </w:rPr>
        <w:t>如需进一步了解详细内容，详见</w:t>
      </w:r>
      <w:r>
        <w:rPr>
          <w:rFonts w:hint="eastAsia" w:ascii="Arial" w:hAnsi="Arial" w:cs="Arial"/>
          <w:color w:val="auto"/>
          <w:highlight w:val="none"/>
          <w:lang w:val="en-US" w:eastAsia="zh-CN"/>
        </w:rPr>
        <w:t>采购文件</w:t>
      </w:r>
      <w:r>
        <w:rPr>
          <w:rFonts w:hint="default" w:ascii="Arial" w:hAnsi="Arial" w:cs="Arial"/>
          <w:color w:val="auto"/>
          <w:kern w:val="0"/>
          <w:szCs w:val="21"/>
          <w:highlight w:val="none"/>
        </w:rPr>
        <w:t>。</w:t>
      </w:r>
    </w:p>
    <w:p w14:paraId="553BB980">
      <w:pPr>
        <w:spacing w:line="312" w:lineRule="auto"/>
        <w:ind w:firstLine="420" w:firstLineChars="200"/>
        <w:jc w:val="left"/>
        <w:rPr>
          <w:rFonts w:hint="default" w:ascii="Arial" w:hAnsi="Arial" w:eastAsia="宋体" w:cs="Arial"/>
          <w:color w:val="auto"/>
          <w:kern w:val="0"/>
          <w:szCs w:val="21"/>
          <w:highlight w:val="none"/>
        </w:rPr>
      </w:pPr>
      <w:bookmarkStart w:id="9" w:name="_Hlk132796150"/>
      <w:r>
        <w:rPr>
          <w:rFonts w:hint="default" w:ascii="Arial" w:hAnsi="Arial" w:eastAsia="宋体" w:cs="Arial"/>
          <w:color w:val="auto"/>
          <w:kern w:val="0"/>
          <w:szCs w:val="21"/>
          <w:highlight w:val="none"/>
        </w:rPr>
        <w:t>最高限价（如有）：</w:t>
      </w:r>
      <w:bookmarkEnd w:id="9"/>
      <w:r>
        <w:rPr>
          <w:rFonts w:hint="eastAsia"/>
          <w:color w:val="auto"/>
          <w:highlight w:val="none"/>
          <w:lang w:val="en-US" w:eastAsia="zh-CN"/>
        </w:rPr>
        <w:t>372000</w:t>
      </w:r>
    </w:p>
    <w:p w14:paraId="369BF5CA">
      <w:pPr>
        <w:spacing w:line="312" w:lineRule="auto"/>
        <w:ind w:firstLine="420" w:firstLineChars="200"/>
        <w:jc w:val="left"/>
        <w:rPr>
          <w:rFonts w:hint="eastAsia" w:ascii="Arial" w:hAnsi="Arial" w:eastAsia="宋体" w:cs="Arial"/>
          <w:color w:val="auto"/>
          <w:kern w:val="0"/>
          <w:szCs w:val="21"/>
          <w:highlight w:val="none"/>
          <w:lang w:eastAsia="zh-CN"/>
        </w:rPr>
      </w:pPr>
      <w:r>
        <w:rPr>
          <w:rFonts w:hint="default" w:ascii="Arial" w:hAnsi="Arial" w:eastAsia="宋体" w:cs="Arial"/>
          <w:color w:val="auto"/>
          <w:kern w:val="0"/>
          <w:szCs w:val="21"/>
          <w:highlight w:val="none"/>
        </w:rPr>
        <w:t>合同履约期限：</w:t>
      </w:r>
      <w:r>
        <w:rPr>
          <w:rFonts w:hint="eastAsia" w:ascii="Arial" w:hAnsi="Arial" w:cs="Arial"/>
          <w:color w:val="auto"/>
          <w:szCs w:val="21"/>
          <w:highlight w:val="none"/>
          <w:lang w:eastAsia="zh-CN"/>
        </w:rPr>
        <w:t>自签订合同之日起30个日历日内交货并完成安装调试</w:t>
      </w:r>
    </w:p>
    <w:p w14:paraId="3101BF9C">
      <w:pPr>
        <w:spacing w:line="312" w:lineRule="auto"/>
        <w:ind w:firstLine="420" w:firstLineChars="200"/>
        <w:jc w:val="left"/>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本项目（</w:t>
      </w:r>
      <w:r>
        <w:rPr>
          <w:rFonts w:hint="default" w:ascii="Arial" w:hAnsi="Arial" w:eastAsia="宋体" w:cs="Arial"/>
          <w:color w:val="auto"/>
          <w:szCs w:val="21"/>
          <w:highlight w:val="none"/>
        </w:rPr>
        <w:t>否</w:t>
      </w:r>
      <w:r>
        <w:rPr>
          <w:rFonts w:hint="default" w:ascii="Arial" w:hAnsi="Arial" w:eastAsia="宋体" w:cs="Arial"/>
          <w:color w:val="auto"/>
          <w:kern w:val="0"/>
          <w:szCs w:val="21"/>
          <w:highlight w:val="none"/>
        </w:rPr>
        <w:t>）接受联合体投标。</w:t>
      </w:r>
    </w:p>
    <w:p w14:paraId="240A9B60">
      <w:pPr>
        <w:spacing w:line="312" w:lineRule="auto"/>
        <w:ind w:firstLine="420" w:firstLineChars="200"/>
        <w:jc w:val="left"/>
        <w:rPr>
          <w:rFonts w:hint="default" w:ascii="Arial" w:hAnsi="Arial" w:eastAsia="宋体" w:cs="Arial"/>
          <w:color w:val="auto"/>
          <w:kern w:val="0"/>
          <w:szCs w:val="21"/>
          <w:highlight w:val="none"/>
        </w:rPr>
      </w:pPr>
      <w:r>
        <w:rPr>
          <w:rFonts w:hint="default" w:ascii="Arial" w:hAnsi="Arial" w:eastAsia="宋体" w:cs="Arial"/>
          <w:color w:val="auto"/>
          <w:kern w:val="0"/>
          <w:szCs w:val="21"/>
          <w:highlight w:val="none"/>
        </w:rPr>
        <w:t>备注：</w:t>
      </w:r>
    </w:p>
    <w:p w14:paraId="548E6421">
      <w:pPr>
        <w:spacing w:line="312" w:lineRule="auto"/>
        <w:ind w:firstLine="420" w:firstLineChars="200"/>
        <w:jc w:val="left"/>
        <w:rPr>
          <w:rFonts w:hint="default" w:ascii="Arial" w:hAnsi="Arial" w:eastAsia="宋体" w:cs="Arial"/>
          <w:color w:val="auto"/>
          <w:kern w:val="0"/>
          <w:szCs w:val="21"/>
          <w:highlight w:val="none"/>
        </w:rPr>
      </w:pPr>
    </w:p>
    <w:p w14:paraId="203013C6">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rPr>
        <w:t>二</w:t>
      </w:r>
      <w:r>
        <w:rPr>
          <w:rFonts w:ascii="Arial" w:hAnsi="Arial" w:cs="Arial"/>
          <w:color w:val="auto"/>
          <w:kern w:val="0"/>
          <w:szCs w:val="21"/>
          <w:highlight w:val="none"/>
        </w:rPr>
        <w:t>：</w:t>
      </w:r>
      <w:r>
        <w:rPr>
          <w:rFonts w:hint="eastAsia" w:ascii="Arial" w:hAnsi="Arial" w:cs="Arial"/>
          <w:color w:val="auto"/>
          <w:highlight w:val="none"/>
        </w:rPr>
        <w:t>B分标：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rPr>
        <w:t>药学院教学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143FFB8A">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0F21487F">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color w:val="auto"/>
          <w:highlight w:val="none"/>
          <w:lang w:val="en-US" w:eastAsia="zh-CN"/>
        </w:rPr>
        <w:t>521000</w:t>
      </w:r>
    </w:p>
    <w:p w14:paraId="5704A01C">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研磨仪1台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全波长酶标仪1</w:t>
      </w:r>
      <w:r>
        <w:rPr>
          <w:rFonts w:hint="eastAsia" w:ascii="Arial" w:hAnsi="Arial" w:cs="Arial"/>
          <w:color w:val="auto"/>
          <w:kern w:val="0"/>
          <w:szCs w:val="21"/>
          <w:highlight w:val="none"/>
        </w:rPr>
        <w:tab/>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电化学工作站1套</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自动永停滴定仪1台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恒温培养箱1台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无菌操作1台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恒温摇床1台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小型台式循环水式真空泵</w:t>
      </w:r>
      <w:r>
        <w:rPr>
          <w:rFonts w:hint="eastAsia" w:ascii="Arial" w:hAnsi="Arial" w:cs="Arial"/>
          <w:color w:val="auto"/>
          <w:kern w:val="0"/>
          <w:szCs w:val="21"/>
          <w:highlight w:val="none"/>
          <w:lang w:val="en-US" w:eastAsia="zh-CN"/>
        </w:rPr>
        <w:t>2台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台式循环水式多用真空泵</w:t>
      </w:r>
      <w:r>
        <w:rPr>
          <w:rFonts w:hint="eastAsia" w:ascii="Arial" w:hAnsi="Arial" w:cs="Arial"/>
          <w:color w:val="auto"/>
          <w:kern w:val="0"/>
          <w:szCs w:val="21"/>
          <w:highlight w:val="none"/>
          <w:lang w:val="en-US" w:eastAsia="zh-CN"/>
        </w:rPr>
        <w:t>14台等设备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2DD48A76">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color w:val="auto"/>
          <w:highlight w:val="none"/>
          <w:lang w:val="en-US" w:eastAsia="zh-CN"/>
        </w:rPr>
        <w:t>521000</w:t>
      </w:r>
    </w:p>
    <w:p w14:paraId="6433CF3F">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1A330B97">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65D157A0">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7AF34D59">
      <w:pPr>
        <w:spacing w:after="0" w:line="312" w:lineRule="auto"/>
        <w:ind w:firstLine="420" w:firstLineChars="200"/>
        <w:jc w:val="left"/>
        <w:rPr>
          <w:rFonts w:ascii="Arial" w:hAnsi="Arial" w:cs="Arial"/>
          <w:color w:val="auto"/>
          <w:kern w:val="0"/>
          <w:szCs w:val="21"/>
          <w:highlight w:val="none"/>
        </w:rPr>
      </w:pPr>
    </w:p>
    <w:p w14:paraId="2D81CB58">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rPr>
        <w:t>三</w:t>
      </w:r>
      <w:r>
        <w:rPr>
          <w:rFonts w:ascii="Arial" w:hAnsi="Arial" w:cs="Arial"/>
          <w:color w:val="auto"/>
          <w:kern w:val="0"/>
          <w:szCs w:val="21"/>
          <w:highlight w:val="none"/>
        </w:rPr>
        <w:t>：</w:t>
      </w:r>
      <w:r>
        <w:rPr>
          <w:rFonts w:hint="eastAsia" w:ascii="Arial" w:hAnsi="Arial" w:cs="Arial"/>
          <w:color w:val="auto"/>
          <w:highlight w:val="none"/>
        </w:rPr>
        <w:t>C分标：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lang w:val="en-US" w:eastAsia="zh-CN"/>
        </w:rPr>
        <w:t>护理学院</w:t>
      </w:r>
      <w:r>
        <w:rPr>
          <w:rFonts w:hint="eastAsia" w:ascii="Arial" w:hAnsi="Arial" w:cs="Arial"/>
          <w:color w:val="auto"/>
          <w:kern w:val="0"/>
          <w:szCs w:val="21"/>
          <w:highlight w:val="none"/>
        </w:rPr>
        <w:t>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68CE3CAF">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74A1E91F">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color w:val="auto"/>
          <w:highlight w:val="none"/>
          <w:lang w:val="en-US" w:eastAsia="zh-CN"/>
        </w:rPr>
        <w:t>376000</w:t>
      </w:r>
    </w:p>
    <w:p w14:paraId="06EFA43C">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静脉曲张疏通仪器</w:t>
      </w:r>
      <w:r>
        <w:rPr>
          <w:rFonts w:hint="eastAsia" w:ascii="Arial" w:hAnsi="Arial" w:cs="Arial"/>
          <w:color w:val="auto"/>
          <w:kern w:val="0"/>
          <w:szCs w:val="21"/>
          <w:highlight w:val="none"/>
          <w:lang w:val="en-US" w:eastAsia="zh-CN"/>
        </w:rPr>
        <w:t>2台</w:t>
      </w:r>
      <w:r>
        <w:rPr>
          <w:rFonts w:hint="eastAsia" w:ascii="Arial" w:hAnsi="Arial" w:cs="Arial"/>
          <w:color w:val="auto"/>
          <w:kern w:val="0"/>
          <w:szCs w:val="21"/>
          <w:highlight w:val="none"/>
        </w:rPr>
        <w:t xml:space="preserve"> </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新生婴儿安妮</w:t>
      </w:r>
      <w:r>
        <w:rPr>
          <w:rFonts w:hint="eastAsia" w:ascii="Arial" w:hAnsi="Arial" w:cs="Arial"/>
          <w:color w:val="auto"/>
          <w:kern w:val="0"/>
          <w:szCs w:val="21"/>
          <w:highlight w:val="none"/>
          <w:lang w:val="en-US" w:eastAsia="zh-CN"/>
        </w:rPr>
        <w:t>1具</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高级孕妇模拟体验套装</w:t>
      </w:r>
      <w:r>
        <w:rPr>
          <w:rFonts w:hint="eastAsia" w:ascii="Arial" w:hAnsi="Arial" w:cs="Arial"/>
          <w:color w:val="auto"/>
          <w:kern w:val="0"/>
          <w:szCs w:val="21"/>
          <w:highlight w:val="none"/>
          <w:lang w:val="en-US" w:eastAsia="zh-CN"/>
        </w:rPr>
        <w:t>1具</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妇科检查训练模型</w:t>
      </w:r>
      <w:r>
        <w:rPr>
          <w:rFonts w:hint="eastAsia" w:ascii="Arial" w:hAnsi="Arial" w:cs="Arial"/>
          <w:color w:val="auto"/>
          <w:kern w:val="0"/>
          <w:szCs w:val="21"/>
          <w:highlight w:val="none"/>
          <w:lang w:val="en-US" w:eastAsia="zh-CN"/>
        </w:rPr>
        <w:t>4具</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孕妇腹部触诊模型</w:t>
      </w:r>
      <w:r>
        <w:rPr>
          <w:rFonts w:hint="eastAsia" w:ascii="Arial" w:hAnsi="Arial" w:cs="Arial"/>
          <w:color w:val="auto"/>
          <w:kern w:val="0"/>
          <w:szCs w:val="21"/>
          <w:highlight w:val="none"/>
          <w:lang w:val="en-US" w:eastAsia="zh-CN"/>
        </w:rPr>
        <w:t>1具</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布艺骨盆与布艺娃娃套装</w:t>
      </w:r>
      <w:r>
        <w:rPr>
          <w:rFonts w:hint="eastAsia" w:ascii="Arial" w:hAnsi="Arial" w:cs="Arial"/>
          <w:color w:val="auto"/>
          <w:kern w:val="0"/>
          <w:szCs w:val="21"/>
          <w:highlight w:val="none"/>
          <w:lang w:val="en-US" w:eastAsia="zh-CN"/>
        </w:rPr>
        <w:t>8具</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婴儿头皮静脉注射模型</w:t>
      </w:r>
      <w:r>
        <w:rPr>
          <w:rFonts w:hint="eastAsia" w:ascii="Arial" w:hAnsi="Arial" w:cs="Arial"/>
          <w:color w:val="auto"/>
          <w:kern w:val="0"/>
          <w:szCs w:val="21"/>
          <w:highlight w:val="none"/>
          <w:lang w:val="en-US" w:eastAsia="zh-CN"/>
        </w:rPr>
        <w:t>8个等设备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779520E4">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color w:val="auto"/>
          <w:highlight w:val="none"/>
          <w:lang w:val="en-US" w:eastAsia="zh-CN"/>
        </w:rPr>
        <w:t>376000</w:t>
      </w:r>
    </w:p>
    <w:p w14:paraId="7F31FE0F">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25DF4FA8">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5A555EE0">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4DC2AB2D">
      <w:pPr>
        <w:spacing w:line="312" w:lineRule="auto"/>
        <w:ind w:firstLine="442" w:firstLineChars="200"/>
        <w:jc w:val="left"/>
        <w:rPr>
          <w:rFonts w:hint="default" w:ascii="Arial" w:hAnsi="Arial" w:eastAsia="宋体" w:cs="Arial"/>
          <w:b/>
          <w:bCs/>
          <w:color w:val="auto"/>
          <w:kern w:val="0"/>
          <w:sz w:val="22"/>
          <w:szCs w:val="22"/>
          <w:highlight w:val="none"/>
        </w:rPr>
      </w:pPr>
    </w:p>
    <w:p w14:paraId="68C53596">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lang w:val="en-US" w:eastAsia="zh-CN"/>
        </w:rPr>
        <w:t>四</w:t>
      </w:r>
      <w:r>
        <w:rPr>
          <w:rFonts w:ascii="Arial" w:hAnsi="Arial" w:cs="Arial"/>
          <w:color w:val="auto"/>
          <w:kern w:val="0"/>
          <w:szCs w:val="21"/>
          <w:highlight w:val="none"/>
        </w:rPr>
        <w:t>：</w:t>
      </w:r>
      <w:r>
        <w:rPr>
          <w:rFonts w:hint="eastAsia" w:ascii="Arial" w:hAnsi="Arial" w:cs="Arial"/>
          <w:color w:val="auto"/>
          <w:highlight w:val="none"/>
          <w:lang w:val="en-US" w:eastAsia="zh-CN"/>
        </w:rPr>
        <w:t>D</w:t>
      </w:r>
      <w:r>
        <w:rPr>
          <w:rFonts w:hint="eastAsia" w:ascii="Arial" w:hAnsi="Arial" w:cs="Arial"/>
          <w:color w:val="auto"/>
          <w:highlight w:val="none"/>
        </w:rPr>
        <w:t>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rPr>
        <w:t>人工智能医学院教学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34B23E76">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72440D93">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ascii="Arial" w:hAnsi="Arial" w:cs="Arial"/>
          <w:color w:val="auto"/>
          <w:highlight w:val="none"/>
          <w:lang w:val="en-US" w:eastAsia="zh-CN"/>
        </w:rPr>
        <w:t>527000</w:t>
      </w:r>
    </w:p>
    <w:p w14:paraId="2EA5D5FB">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冷冻干燥机</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离心机</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多功能圆周脱色摇床</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电泳 + 转印组合模块</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服务器内存</w:t>
      </w:r>
      <w:r>
        <w:rPr>
          <w:rFonts w:hint="eastAsia" w:ascii="Arial" w:hAnsi="Arial" w:cs="Arial"/>
          <w:color w:val="auto"/>
          <w:kern w:val="0"/>
          <w:szCs w:val="21"/>
          <w:highlight w:val="none"/>
          <w:lang w:val="en-US" w:eastAsia="zh-CN"/>
        </w:rPr>
        <w:t>15条</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服务器硬盘</w:t>
      </w:r>
      <w:r>
        <w:rPr>
          <w:rFonts w:hint="eastAsia" w:ascii="Arial" w:hAnsi="Arial" w:cs="Arial"/>
          <w:color w:val="auto"/>
          <w:kern w:val="0"/>
          <w:szCs w:val="21"/>
          <w:highlight w:val="none"/>
          <w:lang w:val="en-US" w:eastAsia="zh-CN"/>
        </w:rPr>
        <w:t>6块等设备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07B6FCDB">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ascii="Arial" w:hAnsi="Arial" w:cs="Arial"/>
          <w:color w:val="auto"/>
          <w:highlight w:val="none"/>
          <w:lang w:val="en-US" w:eastAsia="zh-CN"/>
        </w:rPr>
        <w:t>527000</w:t>
      </w:r>
    </w:p>
    <w:p w14:paraId="63C43173">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25E84465">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500E8F21">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2F8693EF">
      <w:pPr>
        <w:spacing w:after="0" w:line="312" w:lineRule="auto"/>
        <w:ind w:firstLine="420" w:firstLineChars="200"/>
        <w:jc w:val="left"/>
        <w:rPr>
          <w:rFonts w:ascii="Arial" w:hAnsi="Arial" w:cs="Arial"/>
          <w:color w:val="auto"/>
          <w:kern w:val="0"/>
          <w:szCs w:val="21"/>
          <w:highlight w:val="none"/>
        </w:rPr>
      </w:pPr>
    </w:p>
    <w:p w14:paraId="5B2FA0B9">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lang w:val="en-US" w:eastAsia="zh-CN"/>
        </w:rPr>
        <w:t>五</w:t>
      </w:r>
      <w:r>
        <w:rPr>
          <w:rFonts w:ascii="Arial" w:hAnsi="Arial" w:cs="Arial"/>
          <w:color w:val="auto"/>
          <w:kern w:val="0"/>
          <w:szCs w:val="21"/>
          <w:highlight w:val="none"/>
        </w:rPr>
        <w:t>：</w:t>
      </w:r>
      <w:r>
        <w:rPr>
          <w:rFonts w:hint="eastAsia" w:ascii="Arial" w:hAnsi="Arial" w:cs="Arial"/>
          <w:color w:val="auto"/>
          <w:highlight w:val="none"/>
          <w:lang w:val="en-US" w:eastAsia="zh-CN"/>
        </w:rPr>
        <w:t>E</w:t>
      </w:r>
      <w:r>
        <w:rPr>
          <w:rFonts w:hint="eastAsia" w:ascii="Arial" w:hAnsi="Arial" w:cs="Arial"/>
          <w:color w:val="auto"/>
          <w:highlight w:val="none"/>
        </w:rPr>
        <w:t>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lang w:val="en-US" w:eastAsia="zh-CN"/>
        </w:rPr>
        <w:t>公共卫生学院</w:t>
      </w:r>
      <w:r>
        <w:rPr>
          <w:rFonts w:hint="eastAsia" w:ascii="Arial" w:hAnsi="Arial" w:cs="Arial"/>
          <w:color w:val="auto"/>
          <w:kern w:val="0"/>
          <w:szCs w:val="21"/>
          <w:highlight w:val="none"/>
        </w:rPr>
        <w:t>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504B7D2F">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2918CC99">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ascii="Arial" w:hAnsi="Arial" w:cs="Arial"/>
          <w:color w:val="auto"/>
          <w:highlight w:val="none"/>
          <w:lang w:val="en-US" w:eastAsia="zh-CN"/>
        </w:rPr>
        <w:t>472000</w:t>
      </w:r>
    </w:p>
    <w:p w14:paraId="4C1AC7C8">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蠕动泵</w:t>
      </w:r>
      <w:r>
        <w:rPr>
          <w:rFonts w:hint="eastAsia" w:ascii="Arial" w:hAnsi="Arial" w:cs="Arial"/>
          <w:color w:val="auto"/>
          <w:kern w:val="0"/>
          <w:szCs w:val="21"/>
          <w:highlight w:val="none"/>
          <w:lang w:val="en-US" w:eastAsia="zh-CN"/>
        </w:rPr>
        <w:t>2</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自动部份收集器</w:t>
      </w:r>
      <w:r>
        <w:rPr>
          <w:rFonts w:hint="eastAsia" w:ascii="Arial" w:hAnsi="Arial" w:cs="Arial"/>
          <w:color w:val="auto"/>
          <w:kern w:val="0"/>
          <w:szCs w:val="21"/>
          <w:highlight w:val="none"/>
          <w:lang w:val="en-US" w:eastAsia="zh-CN"/>
        </w:rPr>
        <w:t>2</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冷冻干燥机</w:t>
      </w:r>
      <w:r>
        <w:rPr>
          <w:rFonts w:hint="eastAsia" w:ascii="Arial" w:hAnsi="Arial" w:cs="Arial"/>
          <w:color w:val="auto"/>
          <w:kern w:val="0"/>
          <w:szCs w:val="21"/>
          <w:highlight w:val="none"/>
          <w:lang w:val="en-US" w:eastAsia="zh-CN"/>
        </w:rPr>
        <w:t>1</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分析天平</w:t>
      </w:r>
      <w:r>
        <w:rPr>
          <w:rFonts w:hint="eastAsia" w:ascii="Arial" w:hAnsi="Arial" w:cs="Arial"/>
          <w:color w:val="auto"/>
          <w:kern w:val="0"/>
          <w:szCs w:val="21"/>
          <w:highlight w:val="none"/>
          <w:lang w:val="en-US" w:eastAsia="zh-CN"/>
        </w:rPr>
        <w:t>4</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紫外分光光度仪</w:t>
      </w:r>
      <w:r>
        <w:rPr>
          <w:rFonts w:hint="eastAsia" w:ascii="Arial" w:hAnsi="Arial" w:cs="Arial"/>
          <w:color w:val="auto"/>
          <w:kern w:val="0"/>
          <w:szCs w:val="21"/>
          <w:highlight w:val="none"/>
          <w:lang w:val="en-US" w:eastAsia="zh-CN"/>
        </w:rPr>
        <w:t>4</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冰箱</w:t>
      </w:r>
      <w:r>
        <w:rPr>
          <w:rFonts w:hint="eastAsia" w:ascii="Arial" w:hAnsi="Arial" w:cs="Arial"/>
          <w:color w:val="auto"/>
          <w:kern w:val="0"/>
          <w:szCs w:val="21"/>
          <w:highlight w:val="none"/>
          <w:lang w:val="en-US" w:eastAsia="zh-CN"/>
        </w:rPr>
        <w:t>3</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大气采样器</w:t>
      </w:r>
      <w:r>
        <w:rPr>
          <w:rFonts w:hint="eastAsia" w:ascii="Arial" w:hAnsi="Arial" w:cs="Arial"/>
          <w:color w:val="auto"/>
          <w:kern w:val="0"/>
          <w:szCs w:val="21"/>
          <w:highlight w:val="none"/>
          <w:lang w:val="en-US" w:eastAsia="zh-CN"/>
        </w:rPr>
        <w:t>10</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粉尘采样器</w:t>
      </w:r>
      <w:r>
        <w:rPr>
          <w:rFonts w:hint="eastAsia" w:ascii="Arial" w:hAnsi="Arial" w:cs="Arial"/>
          <w:color w:val="auto"/>
          <w:kern w:val="0"/>
          <w:szCs w:val="21"/>
          <w:highlight w:val="none"/>
          <w:lang w:val="en-US" w:eastAsia="zh-CN"/>
        </w:rPr>
        <w:t>10</w:t>
      </w:r>
      <w:r>
        <w:rPr>
          <w:rFonts w:hint="eastAsia" w:ascii="Arial" w:hAnsi="Arial" w:cs="Arial"/>
          <w:color w:val="auto"/>
          <w:kern w:val="0"/>
          <w:szCs w:val="21"/>
          <w:highlight w:val="none"/>
        </w:rPr>
        <w:t>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一体式超声波细胞破碎机（有探头）</w:t>
      </w:r>
      <w:r>
        <w:rPr>
          <w:rFonts w:hint="eastAsia" w:ascii="Arial" w:hAnsi="Arial" w:cs="Arial"/>
          <w:color w:val="auto"/>
          <w:kern w:val="0"/>
          <w:szCs w:val="21"/>
          <w:highlight w:val="none"/>
          <w:lang w:val="en-US" w:eastAsia="zh-CN"/>
        </w:rPr>
        <w:t>1</w:t>
      </w:r>
      <w:r>
        <w:rPr>
          <w:rFonts w:hint="eastAsia" w:ascii="Arial" w:hAnsi="Arial" w:cs="Arial"/>
          <w:color w:val="auto"/>
          <w:kern w:val="0"/>
          <w:szCs w:val="21"/>
          <w:highlight w:val="none"/>
        </w:rPr>
        <w:t>台</w:t>
      </w:r>
      <w:r>
        <w:rPr>
          <w:rFonts w:hint="eastAsia" w:ascii="Arial" w:hAnsi="Arial" w:cs="Arial"/>
          <w:color w:val="auto"/>
          <w:kern w:val="0"/>
          <w:szCs w:val="21"/>
          <w:highlight w:val="none"/>
          <w:lang w:val="en-US" w:eastAsia="zh-CN"/>
        </w:rPr>
        <w:t>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486E7D11">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ascii="Arial" w:hAnsi="Arial" w:cs="Arial"/>
          <w:color w:val="auto"/>
          <w:highlight w:val="none"/>
          <w:lang w:val="en-US" w:eastAsia="zh-CN"/>
        </w:rPr>
        <w:t>472000</w:t>
      </w:r>
    </w:p>
    <w:p w14:paraId="246D9AA6">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4409CCFE">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38DA32DF">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0EE98633">
      <w:pPr>
        <w:tabs>
          <w:tab w:val="left" w:pos="3150"/>
        </w:tabs>
        <w:spacing w:after="0" w:line="312" w:lineRule="auto"/>
        <w:ind w:firstLine="420" w:firstLineChars="200"/>
        <w:jc w:val="left"/>
        <w:rPr>
          <w:rFonts w:ascii="Arial" w:hAnsi="Arial" w:cs="Arial"/>
          <w:color w:val="auto"/>
          <w:kern w:val="0"/>
          <w:szCs w:val="21"/>
          <w:highlight w:val="none"/>
        </w:rPr>
      </w:pPr>
    </w:p>
    <w:p w14:paraId="51FD7A4E">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lang w:val="en-US" w:eastAsia="zh-CN"/>
        </w:rPr>
        <w:t>六</w:t>
      </w:r>
      <w:r>
        <w:rPr>
          <w:rFonts w:ascii="Arial" w:hAnsi="Arial" w:cs="Arial"/>
          <w:color w:val="auto"/>
          <w:kern w:val="0"/>
          <w:szCs w:val="21"/>
          <w:highlight w:val="none"/>
        </w:rPr>
        <w:t>：</w:t>
      </w:r>
      <w:r>
        <w:rPr>
          <w:rFonts w:hint="eastAsia" w:ascii="Arial" w:hAnsi="Arial" w:cs="Arial"/>
          <w:color w:val="auto"/>
          <w:highlight w:val="none"/>
          <w:lang w:val="en-US" w:eastAsia="zh-CN"/>
        </w:rPr>
        <w:t>F</w:t>
      </w:r>
      <w:r>
        <w:rPr>
          <w:rFonts w:hint="eastAsia" w:ascii="Arial" w:hAnsi="Arial" w:cs="Arial"/>
          <w:color w:val="auto"/>
          <w:highlight w:val="none"/>
        </w:rPr>
        <w:t>分标：</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lang w:val="en-US" w:eastAsia="zh-CN"/>
        </w:rPr>
        <w:t>检验与生物技术学院</w:t>
      </w:r>
      <w:r>
        <w:rPr>
          <w:rFonts w:hint="eastAsia" w:ascii="Arial" w:hAnsi="Arial" w:cs="Arial"/>
          <w:color w:val="auto"/>
          <w:kern w:val="0"/>
          <w:szCs w:val="21"/>
          <w:highlight w:val="none"/>
        </w:rPr>
        <w:t>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75A06235">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4CB2C918">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ascii="Arial" w:hAnsi="Arial" w:cs="Arial"/>
          <w:color w:val="auto"/>
          <w:kern w:val="0"/>
          <w:szCs w:val="21"/>
          <w:highlight w:val="none"/>
        </w:rPr>
        <w:t>46</w:t>
      </w:r>
      <w:r>
        <w:rPr>
          <w:rFonts w:hint="eastAsia" w:ascii="Arial" w:hAnsi="Arial" w:cs="Arial"/>
          <w:color w:val="auto"/>
          <w:kern w:val="0"/>
          <w:szCs w:val="21"/>
          <w:highlight w:val="none"/>
          <w:lang w:val="en-US" w:eastAsia="zh-CN"/>
        </w:rPr>
        <w:t>2000</w:t>
      </w:r>
    </w:p>
    <w:p w14:paraId="173C69B8">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35米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5米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1.8米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6米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实验室专用学生坐席</w:t>
      </w:r>
      <w:r>
        <w:rPr>
          <w:rFonts w:hint="eastAsia" w:ascii="Arial" w:hAnsi="Arial" w:cs="Arial"/>
          <w:color w:val="auto"/>
          <w:kern w:val="0"/>
          <w:szCs w:val="21"/>
          <w:highlight w:val="none"/>
          <w:lang w:val="en-US" w:eastAsia="zh-CN"/>
        </w:rPr>
        <w:t>50个</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大容量高速冷冻离心机</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功放</w:t>
      </w:r>
      <w:r>
        <w:rPr>
          <w:rFonts w:hint="eastAsia" w:ascii="Arial" w:hAnsi="Arial" w:cs="Arial"/>
          <w:color w:val="auto"/>
          <w:kern w:val="0"/>
          <w:szCs w:val="21"/>
          <w:highlight w:val="none"/>
          <w:lang w:val="en-US" w:eastAsia="zh-CN"/>
        </w:rPr>
        <w:t>3台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光黑板</w:t>
      </w:r>
      <w:r>
        <w:rPr>
          <w:rFonts w:hint="eastAsia" w:ascii="Arial" w:hAnsi="Arial" w:cs="Arial"/>
          <w:color w:val="auto"/>
          <w:kern w:val="0"/>
          <w:szCs w:val="21"/>
          <w:highlight w:val="none"/>
          <w:lang w:val="en-US" w:eastAsia="zh-CN"/>
        </w:rPr>
        <w:t>1台等设备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25146D2B">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ascii="Arial" w:hAnsi="Arial" w:cs="Arial"/>
          <w:color w:val="auto"/>
          <w:kern w:val="0"/>
          <w:szCs w:val="21"/>
          <w:highlight w:val="none"/>
        </w:rPr>
        <w:t>46</w:t>
      </w:r>
      <w:r>
        <w:rPr>
          <w:rFonts w:hint="eastAsia" w:ascii="Arial" w:hAnsi="Arial" w:cs="Arial"/>
          <w:color w:val="auto"/>
          <w:kern w:val="0"/>
          <w:szCs w:val="21"/>
          <w:highlight w:val="none"/>
          <w:lang w:val="en-US" w:eastAsia="zh-CN"/>
        </w:rPr>
        <w:t>2000</w:t>
      </w:r>
    </w:p>
    <w:p w14:paraId="2657AD0C">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5D5528F4">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57807677">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7C0C7CCB">
      <w:pPr>
        <w:spacing w:line="312" w:lineRule="auto"/>
        <w:ind w:firstLine="735" w:firstLineChars="350"/>
        <w:jc w:val="left"/>
        <w:rPr>
          <w:rFonts w:hint="eastAsia"/>
          <w:color w:val="auto"/>
          <w:kern w:val="0"/>
          <w:szCs w:val="21"/>
          <w:highlight w:val="none"/>
        </w:rPr>
      </w:pPr>
    </w:p>
    <w:p w14:paraId="32AFA1BF">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二、申请人的资格要求</w:t>
      </w:r>
    </w:p>
    <w:p w14:paraId="7ABBC418">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2000C07E">
      <w:pPr>
        <w:spacing w:line="312" w:lineRule="auto"/>
        <w:ind w:firstLine="420" w:firstLineChars="200"/>
        <w:jc w:val="left"/>
        <w:rPr>
          <w:rFonts w:hint="eastAsia"/>
          <w:strike/>
          <w:color w:val="auto"/>
          <w:kern w:val="0"/>
          <w:szCs w:val="21"/>
          <w:highlight w:val="none"/>
        </w:rPr>
      </w:pPr>
      <w:r>
        <w:rPr>
          <w:rFonts w:hint="eastAsia"/>
          <w:color w:val="auto"/>
          <w:szCs w:val="21"/>
          <w:highlight w:val="none"/>
        </w:rPr>
        <w:t>2.落实政府采购政策需满足的资格要求：</w:t>
      </w:r>
      <w:bookmarkStart w:id="10" w:name="_Hlk132732708"/>
      <w:r>
        <w:rPr>
          <w:color w:val="auto"/>
          <w:szCs w:val="21"/>
          <w:highlight w:val="none"/>
        </w:rPr>
        <w:sym w:font="Wingdings 2" w:char="F052"/>
      </w:r>
      <w:r>
        <w:rPr>
          <w:rFonts w:hint="eastAsia"/>
          <w:color w:val="auto"/>
          <w:kern w:val="0"/>
          <w:szCs w:val="21"/>
          <w:highlight w:val="none"/>
        </w:rPr>
        <w:t>无</w:t>
      </w:r>
      <w:bookmarkEnd w:id="10"/>
    </w:p>
    <w:p w14:paraId="0121E429">
      <w:pPr>
        <w:spacing w:line="312" w:lineRule="auto"/>
        <w:ind w:firstLine="420" w:firstLineChars="200"/>
        <w:jc w:val="left"/>
        <w:rPr>
          <w:rFonts w:hint="eastAsia"/>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36CF23BC">
      <w:pPr>
        <w:spacing w:line="312" w:lineRule="auto"/>
        <w:ind w:firstLine="420" w:firstLineChars="200"/>
        <w:jc w:val="left"/>
        <w:rPr>
          <w:color w:val="auto"/>
          <w:kern w:val="0"/>
          <w:szCs w:val="21"/>
          <w:highlight w:val="none"/>
        </w:rPr>
      </w:pPr>
      <w:r>
        <w:rPr>
          <w:color w:val="auto"/>
          <w:kern w:val="0"/>
          <w:szCs w:val="21"/>
          <w:highlight w:val="none"/>
        </w:rPr>
        <w:t>（1）资质要求：无。</w:t>
      </w:r>
    </w:p>
    <w:p w14:paraId="085F2121">
      <w:pPr>
        <w:spacing w:line="312" w:lineRule="auto"/>
        <w:ind w:firstLine="420" w:firstLineChars="200"/>
        <w:jc w:val="left"/>
        <w:rPr>
          <w:color w:val="auto"/>
          <w:kern w:val="0"/>
          <w:szCs w:val="21"/>
          <w:highlight w:val="none"/>
        </w:rPr>
      </w:pPr>
      <w:r>
        <w:rPr>
          <w:color w:val="auto"/>
          <w:kern w:val="0"/>
          <w:szCs w:val="21"/>
          <w:highlight w:val="none"/>
        </w:rPr>
        <w:t>（2）业绩要求：无。</w:t>
      </w:r>
    </w:p>
    <w:p w14:paraId="20D86AA8">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CF2DF76">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469C864C">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（5）本项目（</w:t>
      </w:r>
      <w:r>
        <w:rPr>
          <w:color w:val="auto"/>
          <w:szCs w:val="21"/>
          <w:highlight w:val="none"/>
        </w:rPr>
        <w:sym w:font="Wingdings 2" w:char="F052"/>
      </w:r>
      <w:r>
        <w:rPr>
          <w:rFonts w:hint="eastAsia"/>
          <w:color w:val="auto"/>
          <w:kern w:val="0"/>
          <w:szCs w:val="21"/>
          <w:highlight w:val="none"/>
        </w:rPr>
        <w:t>不允许；</w:t>
      </w:r>
      <w:r>
        <w:rPr>
          <w:color w:val="auto"/>
          <w:szCs w:val="21"/>
          <w:highlight w:val="none"/>
        </w:rPr>
        <w:sym w:font="Wingdings 2" w:char="F0A3"/>
      </w:r>
      <w:r>
        <w:rPr>
          <w:rFonts w:hint="eastAsia"/>
          <w:color w:val="auto"/>
          <w:szCs w:val="21"/>
          <w:highlight w:val="none"/>
        </w:rPr>
        <w:t>允许</w:t>
      </w:r>
      <w:r>
        <w:rPr>
          <w:rFonts w:hint="eastAsia"/>
          <w:color w:val="auto"/>
          <w:kern w:val="0"/>
          <w:szCs w:val="21"/>
          <w:highlight w:val="none"/>
        </w:rPr>
        <w:t>）分公司参与响应。</w:t>
      </w:r>
    </w:p>
    <w:p w14:paraId="0BF05E8B">
      <w:pPr>
        <w:spacing w:line="312" w:lineRule="auto"/>
        <w:ind w:firstLine="420" w:firstLineChars="200"/>
        <w:jc w:val="left"/>
        <w:rPr>
          <w:color w:val="auto"/>
          <w:kern w:val="0"/>
          <w:szCs w:val="21"/>
          <w:highlight w:val="none"/>
        </w:rPr>
      </w:pPr>
      <w:bookmarkStart w:id="11" w:name="_Hlk132732817"/>
      <w:r>
        <w:rPr>
          <w:rFonts w:hint="eastAsia"/>
          <w:color w:val="auto"/>
          <w:szCs w:val="21"/>
          <w:highlight w:val="none"/>
        </w:rPr>
        <w:t>（</w:t>
      </w:r>
      <w:r>
        <w:rPr>
          <w:color w:val="auto"/>
          <w:szCs w:val="21"/>
          <w:highlight w:val="none"/>
        </w:rPr>
        <w:t>6</w:t>
      </w:r>
      <w:r>
        <w:rPr>
          <w:rFonts w:hint="eastAsia"/>
          <w:color w:val="auto"/>
          <w:szCs w:val="21"/>
          <w:highlight w:val="none"/>
        </w:rPr>
        <w:t>）</w:t>
      </w:r>
      <w:r>
        <w:rPr>
          <w:rFonts w:hint="eastAsia"/>
          <w:color w:val="auto"/>
          <w:kern w:val="0"/>
          <w:szCs w:val="21"/>
          <w:highlight w:val="none"/>
        </w:rPr>
        <w:t>本项目（</w:t>
      </w:r>
      <w:r>
        <w:rPr>
          <w:color w:val="auto"/>
          <w:szCs w:val="21"/>
          <w:highlight w:val="none"/>
        </w:rPr>
        <w:sym w:font="Wingdings 2" w:char="F052"/>
      </w:r>
      <w:r>
        <w:rPr>
          <w:rFonts w:hint="eastAsia"/>
          <w:color w:val="auto"/>
          <w:kern w:val="0"/>
          <w:szCs w:val="21"/>
          <w:highlight w:val="none"/>
        </w:rPr>
        <w:t>不允许；</w:t>
      </w:r>
      <w:r>
        <w:rPr>
          <w:color w:val="auto"/>
          <w:szCs w:val="21"/>
          <w:highlight w:val="none"/>
        </w:rPr>
        <w:sym w:font="Wingdings 2" w:char="F0A3"/>
      </w:r>
      <w:r>
        <w:rPr>
          <w:rFonts w:hint="eastAsia"/>
          <w:color w:val="auto"/>
          <w:szCs w:val="21"/>
          <w:highlight w:val="none"/>
        </w:rPr>
        <w:t>允许</w:t>
      </w:r>
      <w:r>
        <w:rPr>
          <w:rFonts w:hint="eastAsia"/>
          <w:color w:val="auto"/>
          <w:kern w:val="0"/>
          <w:szCs w:val="21"/>
          <w:highlight w:val="none"/>
        </w:rPr>
        <w:t>）分包。</w:t>
      </w:r>
    </w:p>
    <w:p w14:paraId="244D3CC5">
      <w:pPr>
        <w:spacing w:line="312" w:lineRule="auto"/>
        <w:ind w:firstLine="420" w:firstLineChars="200"/>
        <w:jc w:val="left"/>
        <w:rPr>
          <w:rFonts w:hint="eastAsia"/>
          <w:color w:val="auto"/>
          <w:szCs w:val="21"/>
          <w:highlight w:val="none"/>
        </w:rPr>
      </w:pPr>
      <w:r>
        <w:rPr>
          <w:rFonts w:hint="eastAsia"/>
          <w:color w:val="auto"/>
          <w:kern w:val="0"/>
          <w:szCs w:val="21"/>
          <w:highlight w:val="none"/>
        </w:rPr>
        <w:t>（</w:t>
      </w:r>
      <w:r>
        <w:rPr>
          <w:color w:val="auto"/>
          <w:kern w:val="0"/>
          <w:szCs w:val="21"/>
          <w:highlight w:val="none"/>
        </w:rPr>
        <w:t>7</w:t>
      </w:r>
      <w:r>
        <w:rPr>
          <w:rFonts w:hint="eastAsia"/>
          <w:color w:val="auto"/>
          <w:kern w:val="0"/>
          <w:szCs w:val="21"/>
          <w:highlight w:val="none"/>
        </w:rPr>
        <w:t>）</w:t>
      </w:r>
      <w:r>
        <w:rPr>
          <w:color w:val="auto"/>
          <w:kern w:val="0"/>
          <w:szCs w:val="21"/>
          <w:highlight w:val="none"/>
        </w:rPr>
        <w:t>本项目</w:t>
      </w:r>
      <w:r>
        <w:rPr>
          <w:rFonts w:hint="eastAsia"/>
          <w:color w:val="auto"/>
          <w:kern w:val="0"/>
          <w:szCs w:val="21"/>
          <w:highlight w:val="none"/>
        </w:rPr>
        <w:t>（</w:t>
      </w:r>
      <w:r>
        <w:rPr>
          <w:color w:val="auto"/>
          <w:szCs w:val="21"/>
          <w:highlight w:val="none"/>
        </w:rPr>
        <w:sym w:font="Wingdings 2" w:char="F052"/>
      </w:r>
      <w:r>
        <w:rPr>
          <w:color w:val="auto"/>
          <w:kern w:val="0"/>
          <w:szCs w:val="21"/>
          <w:highlight w:val="none"/>
        </w:rPr>
        <w:t>不接受</w:t>
      </w:r>
      <w:r>
        <w:rPr>
          <w:rFonts w:hint="eastAsia"/>
          <w:color w:val="auto"/>
          <w:szCs w:val="21"/>
          <w:highlight w:val="none"/>
        </w:rPr>
        <w:t>；</w:t>
      </w:r>
      <w:r>
        <w:rPr>
          <w:color w:val="auto"/>
          <w:szCs w:val="21"/>
          <w:highlight w:val="none"/>
        </w:rPr>
        <w:sym w:font="Wingdings 2" w:char="F0A3"/>
      </w:r>
      <w:r>
        <w:rPr>
          <w:rFonts w:hint="eastAsia"/>
          <w:color w:val="auto"/>
          <w:szCs w:val="21"/>
          <w:highlight w:val="none"/>
        </w:rPr>
        <w:t>接受</w:t>
      </w:r>
      <w:r>
        <w:rPr>
          <w:rFonts w:hint="eastAsia"/>
          <w:color w:val="auto"/>
          <w:kern w:val="0"/>
          <w:szCs w:val="21"/>
          <w:highlight w:val="none"/>
        </w:rPr>
        <w:t>）</w:t>
      </w:r>
      <w:r>
        <w:rPr>
          <w:color w:val="auto"/>
          <w:kern w:val="0"/>
          <w:szCs w:val="21"/>
          <w:highlight w:val="none"/>
        </w:rPr>
        <w:t>联合体。</w:t>
      </w:r>
      <w:bookmarkEnd w:id="11"/>
    </w:p>
    <w:p w14:paraId="6A0B85B1">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color w:val="auto"/>
          <w:kern w:val="0"/>
          <w:szCs w:val="21"/>
          <w:highlight w:val="none"/>
        </w:rPr>
        <w:t>8</w:t>
      </w:r>
      <w:r>
        <w:rPr>
          <w:rFonts w:hint="eastAsia"/>
          <w:color w:val="auto"/>
          <w:kern w:val="0"/>
          <w:szCs w:val="21"/>
          <w:highlight w:val="none"/>
        </w:rPr>
        <w:t>）</w:t>
      </w:r>
      <w:r>
        <w:rPr>
          <w:color w:val="auto"/>
          <w:kern w:val="0"/>
          <w:szCs w:val="21"/>
          <w:highlight w:val="none"/>
        </w:rPr>
        <w:t>按照</w:t>
      </w:r>
      <w:r>
        <w:rPr>
          <w:rFonts w:hint="eastAsia"/>
          <w:color w:val="auto"/>
          <w:highlight w:val="none"/>
        </w:rPr>
        <w:t>谈判</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bookmarkStart w:id="12" w:name="_Hlk92967676"/>
      <w:r>
        <w:rPr>
          <w:rFonts w:hint="eastAsia"/>
          <w:color w:val="auto"/>
          <w:kern w:val="0"/>
          <w:szCs w:val="21"/>
          <w:highlight w:val="none"/>
        </w:rPr>
        <w:t>采购文件有规定时按要求提交谈判保证金。</w:t>
      </w:r>
      <w:bookmarkEnd w:id="12"/>
    </w:p>
    <w:p w14:paraId="04C309B1">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三、获取采购文件</w:t>
      </w:r>
    </w:p>
    <w:p w14:paraId="346A7E7B">
      <w:pPr>
        <w:spacing w:line="312" w:lineRule="auto"/>
        <w:ind w:firstLine="420" w:firstLineChars="200"/>
        <w:jc w:val="left"/>
        <w:rPr>
          <w:color w:val="auto"/>
          <w:highlight w:val="none"/>
        </w:rPr>
      </w:pPr>
      <w:r>
        <w:rPr>
          <w:rFonts w:hint="eastAsia"/>
          <w:color w:val="auto"/>
          <w:highlight w:val="none"/>
        </w:rPr>
        <w:t>时间：</w:t>
      </w:r>
      <w:bookmarkStart w:id="13" w:name="_Hlk89179551"/>
      <w:r>
        <w:rPr>
          <w:color w:val="auto"/>
          <w:highlight w:val="none"/>
          <w:u w:val="single"/>
        </w:rPr>
        <w:t>20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7</w:t>
      </w:r>
      <w:r>
        <w:rPr>
          <w:rFonts w:hint="eastAsia"/>
          <w:color w:val="auto"/>
          <w:highlight w:val="none"/>
          <w:u w:val="single"/>
        </w:rPr>
        <w:t>月</w:t>
      </w:r>
      <w:r>
        <w:rPr>
          <w:rFonts w:hint="eastAsia"/>
          <w:color w:val="auto"/>
          <w:highlight w:val="none"/>
          <w:u w:val="single"/>
          <w:lang w:val="en-US" w:eastAsia="zh-CN"/>
        </w:rPr>
        <w:t>29</w:t>
      </w:r>
      <w:r>
        <w:rPr>
          <w:rFonts w:hint="eastAsia"/>
          <w:color w:val="auto"/>
          <w:highlight w:val="none"/>
          <w:u w:val="single"/>
        </w:rPr>
        <w:t>日起至2</w:t>
      </w:r>
      <w:r>
        <w:rPr>
          <w:color w:val="auto"/>
          <w:highlight w:val="none"/>
          <w:u w:val="single"/>
        </w:rPr>
        <w:t>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3</w:t>
      </w:r>
      <w:r>
        <w:rPr>
          <w:rFonts w:hint="eastAsia"/>
          <w:color w:val="auto"/>
          <w:highlight w:val="none"/>
          <w:u w:val="single"/>
        </w:rPr>
        <w:t>日</w:t>
      </w:r>
      <w:r>
        <w:rPr>
          <w:rFonts w:hint="eastAsia"/>
          <w:color w:val="auto"/>
          <w:highlight w:val="none"/>
        </w:rPr>
        <w:t>，</w:t>
      </w:r>
      <w:bookmarkEnd w:id="13"/>
      <w:r>
        <w:rPr>
          <w:rFonts w:hint="eastAsia"/>
          <w:color w:val="auto"/>
          <w:highlight w:val="none"/>
        </w:rPr>
        <w:t>每天上午00:00至12:00，下午12:00至23:59（北京时间，法定节假日除外）。</w:t>
      </w:r>
    </w:p>
    <w:p w14:paraId="23D57E47">
      <w:pPr>
        <w:spacing w:line="312" w:lineRule="auto"/>
        <w:ind w:firstLine="420" w:firstLineChars="200"/>
        <w:jc w:val="left"/>
        <w:rPr>
          <w:color w:val="auto"/>
          <w:szCs w:val="21"/>
          <w:highlight w:val="none"/>
        </w:rPr>
      </w:pPr>
      <w:bookmarkStart w:id="14" w:name="_Hlk89179558"/>
      <w:r>
        <w:rPr>
          <w:rFonts w:hint="eastAsia"/>
          <w:color w:val="auto"/>
          <w:highlight w:val="none"/>
        </w:rPr>
        <w:t>地点（网址）：</w:t>
      </w:r>
      <w:r>
        <w:rPr>
          <w:rFonts w:hint="eastAsia"/>
          <w:color w:val="auto"/>
          <w:szCs w:val="21"/>
          <w:highlight w:val="none"/>
        </w:rPr>
        <w:t xml:space="preserve">广西政府采购云平台 </w:t>
      </w:r>
      <w:bookmarkStart w:id="15" w:name="_Hlk160186238"/>
      <w:r>
        <w:rPr>
          <w:rFonts w:hint="eastAsia"/>
          <w:color w:val="auto"/>
          <w:szCs w:val="21"/>
          <w:highlight w:val="none"/>
        </w:rPr>
        <w:t>（</w:t>
      </w:r>
      <w:r>
        <w:rPr>
          <w:color w:val="auto"/>
          <w:szCs w:val="21"/>
          <w:highlight w:val="none"/>
        </w:rPr>
        <w:fldChar w:fldCharType="begin"/>
      </w:r>
      <w:r>
        <w:rPr>
          <w:color w:val="auto"/>
          <w:szCs w:val="21"/>
          <w:highlight w:val="none"/>
        </w:rPr>
        <w:instrText xml:space="preserve"> HYPERLINK "https://www.gcy.zfcg.gxzf.gov.cn/" </w:instrText>
      </w:r>
      <w:r>
        <w:rPr>
          <w:color w:val="auto"/>
          <w:szCs w:val="21"/>
          <w:highlight w:val="none"/>
        </w:rPr>
        <w:fldChar w:fldCharType="separate"/>
      </w:r>
      <w:r>
        <w:rPr>
          <w:rStyle w:val="57"/>
          <w:color w:val="auto"/>
          <w:szCs w:val="21"/>
          <w:highlight w:val="none"/>
        </w:rPr>
        <w:t>https://www.gcy.zfcg.gxzf.gov.cn/</w:t>
      </w:r>
      <w:r>
        <w:rPr>
          <w:color w:val="auto"/>
          <w:szCs w:val="21"/>
          <w:highlight w:val="none"/>
        </w:rPr>
        <w:fldChar w:fldCharType="end"/>
      </w:r>
      <w:r>
        <w:rPr>
          <w:rFonts w:hint="eastAsia"/>
          <w:color w:val="auto"/>
          <w:szCs w:val="21"/>
          <w:highlight w:val="none"/>
        </w:rPr>
        <w:t>）</w:t>
      </w:r>
      <w:bookmarkEnd w:id="15"/>
    </w:p>
    <w:p w14:paraId="7143397F">
      <w:pPr>
        <w:spacing w:line="312" w:lineRule="auto"/>
        <w:ind w:firstLine="420" w:firstLineChars="200"/>
        <w:jc w:val="left"/>
        <w:rPr>
          <w:color w:val="auto"/>
          <w:highlight w:val="none"/>
        </w:rPr>
      </w:pPr>
      <w:r>
        <w:rPr>
          <w:rFonts w:hint="eastAsia"/>
          <w:color w:val="auto"/>
          <w:szCs w:val="21"/>
          <w:highlight w:val="none"/>
        </w:rPr>
        <w:t>方式：供应商登录广西政府采购云平台在线申请获取采购文件（进入“项目采购”应用，在获取采购文件菜单中选择项目，申请获取采购文件）</w:t>
      </w:r>
      <w:r>
        <w:rPr>
          <w:color w:val="auto"/>
          <w:highlight w:val="none"/>
        </w:rPr>
        <w:t xml:space="preserve"> </w:t>
      </w:r>
    </w:p>
    <w:p w14:paraId="35D312A0">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bookmarkEnd w:id="14"/>
    <w:p w14:paraId="2549084C">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四、响应文件提交</w:t>
      </w:r>
    </w:p>
    <w:p w14:paraId="6AD9BAE6">
      <w:pPr>
        <w:spacing w:line="312" w:lineRule="auto"/>
        <w:ind w:firstLine="420" w:firstLineChars="200"/>
        <w:jc w:val="left"/>
        <w:rPr>
          <w:color w:val="auto"/>
          <w:kern w:val="0"/>
          <w:szCs w:val="21"/>
          <w:highlight w:val="none"/>
        </w:rPr>
      </w:pPr>
      <w:bookmarkStart w:id="16" w:name="_Hlk89179584"/>
      <w:r>
        <w:rPr>
          <w:rFonts w:hint="eastAsia"/>
          <w:color w:val="auto"/>
          <w:kern w:val="0"/>
          <w:szCs w:val="21"/>
          <w:highlight w:val="none"/>
        </w:rPr>
        <w:t>截止时间：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8</w:t>
      </w:r>
      <w:r>
        <w:rPr>
          <w:color w:val="auto"/>
          <w:kern w:val="0"/>
          <w:szCs w:val="21"/>
          <w:highlight w:val="none"/>
          <w:u w:val="single"/>
        </w:rPr>
        <w:t>月</w:t>
      </w:r>
      <w:r>
        <w:rPr>
          <w:rFonts w:hint="eastAsia"/>
          <w:color w:val="auto"/>
          <w:kern w:val="0"/>
          <w:szCs w:val="21"/>
          <w:highlight w:val="none"/>
          <w:u w:val="single"/>
          <w:lang w:val="en-US" w:eastAsia="zh-CN"/>
        </w:rPr>
        <w:t>5</w:t>
      </w:r>
      <w:r>
        <w:rPr>
          <w:color w:val="auto"/>
          <w:kern w:val="0"/>
          <w:szCs w:val="21"/>
          <w:highlight w:val="none"/>
          <w:u w:val="single"/>
        </w:rPr>
        <w:t>日</w:t>
      </w:r>
      <w:r>
        <w:rPr>
          <w:rFonts w:hint="eastAsia"/>
          <w:color w:val="auto"/>
          <w:kern w:val="0"/>
          <w:szCs w:val="21"/>
          <w:highlight w:val="none"/>
          <w:u w:val="single"/>
          <w:lang w:val="en-US" w:eastAsia="zh-CN"/>
        </w:rPr>
        <w:t>9时30分</w:t>
      </w:r>
      <w:r>
        <w:rPr>
          <w:rFonts w:hint="eastAsia"/>
          <w:color w:val="auto"/>
          <w:kern w:val="0"/>
          <w:szCs w:val="21"/>
          <w:highlight w:val="none"/>
        </w:rPr>
        <w:t>（北京时间）</w:t>
      </w:r>
    </w:p>
    <w:p w14:paraId="446A1F40">
      <w:pPr>
        <w:spacing w:line="312" w:lineRule="auto"/>
        <w:ind w:firstLine="420" w:firstLineChars="200"/>
        <w:jc w:val="left"/>
        <w:rPr>
          <w:color w:val="auto"/>
          <w:kern w:val="0"/>
          <w:szCs w:val="21"/>
          <w:highlight w:val="none"/>
        </w:rPr>
      </w:pPr>
      <w:r>
        <w:rPr>
          <w:rFonts w:hint="eastAsia"/>
          <w:color w:val="auto"/>
          <w:kern w:val="0"/>
          <w:szCs w:val="21"/>
          <w:highlight w:val="none"/>
        </w:rPr>
        <w:t>地点（网址）：</w:t>
      </w:r>
      <w:r>
        <w:rPr>
          <w:rFonts w:hint="eastAsia"/>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highlight w:val="none"/>
        </w:rPr>
        <w:t>A</w:t>
      </w:r>
      <w:r>
        <w:rPr>
          <w:rFonts w:hint="eastAsia"/>
          <w:color w:val="auto"/>
          <w:szCs w:val="21"/>
          <w:highlight w:val="none"/>
        </w:rPr>
        <w:t xml:space="preserve">认证编制、加密响应文件后在响应截止时间前上传至广西政府采购云平台，供应商在广西政府采购云平台提交电子版响应文件时，请填写参加远程截标活动经办人联系方式。 </w:t>
      </w:r>
    </w:p>
    <w:bookmarkEnd w:id="16"/>
    <w:p w14:paraId="72CD5AC7">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560E5CAE">
      <w:pPr>
        <w:spacing w:line="276" w:lineRule="auto"/>
        <w:ind w:firstLine="442" w:firstLineChars="200"/>
        <w:jc w:val="left"/>
        <w:rPr>
          <w:color w:val="auto"/>
          <w:kern w:val="0"/>
          <w:szCs w:val="21"/>
          <w:highlight w:val="none"/>
        </w:rPr>
      </w:pPr>
      <w:bookmarkStart w:id="17" w:name="_Hlk89179592"/>
      <w:r>
        <w:rPr>
          <w:rFonts w:hint="eastAsia"/>
          <w:b/>
          <w:bCs/>
          <w:color w:val="auto"/>
          <w:kern w:val="0"/>
          <w:sz w:val="22"/>
          <w:szCs w:val="22"/>
          <w:highlight w:val="none"/>
        </w:rPr>
        <w:t>开启时间：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8</w:t>
      </w:r>
      <w:r>
        <w:rPr>
          <w:color w:val="auto"/>
          <w:kern w:val="0"/>
          <w:szCs w:val="21"/>
          <w:highlight w:val="none"/>
          <w:u w:val="single"/>
        </w:rPr>
        <w:t>月</w:t>
      </w:r>
      <w:r>
        <w:rPr>
          <w:rFonts w:hint="eastAsia"/>
          <w:color w:val="auto"/>
          <w:kern w:val="0"/>
          <w:szCs w:val="21"/>
          <w:highlight w:val="none"/>
          <w:u w:val="single"/>
          <w:lang w:val="en-US" w:eastAsia="zh-CN"/>
        </w:rPr>
        <w:t>5</w:t>
      </w:r>
      <w:r>
        <w:rPr>
          <w:color w:val="auto"/>
          <w:kern w:val="0"/>
          <w:szCs w:val="21"/>
          <w:highlight w:val="none"/>
          <w:u w:val="single"/>
        </w:rPr>
        <w:t>日</w:t>
      </w:r>
      <w:r>
        <w:rPr>
          <w:rFonts w:hint="eastAsia"/>
          <w:color w:val="auto"/>
          <w:kern w:val="0"/>
          <w:szCs w:val="21"/>
          <w:highlight w:val="none"/>
          <w:u w:val="single"/>
          <w:lang w:val="en-US" w:eastAsia="zh-CN"/>
        </w:rPr>
        <w:t>9时30分</w:t>
      </w:r>
      <w:r>
        <w:rPr>
          <w:rFonts w:hint="eastAsia"/>
          <w:color w:val="auto"/>
          <w:kern w:val="0"/>
          <w:szCs w:val="21"/>
          <w:highlight w:val="none"/>
        </w:rPr>
        <w:t>（北京时间）</w:t>
      </w:r>
    </w:p>
    <w:p w14:paraId="299E6EB7">
      <w:pPr>
        <w:spacing w:line="276"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bookmarkEnd w:id="17"/>
    <w:p w14:paraId="0746C45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762A21E6">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自本公告发布之日起</w:t>
      </w:r>
      <w:r>
        <w:rPr>
          <w:color w:val="auto"/>
          <w:kern w:val="0"/>
          <w:szCs w:val="21"/>
          <w:highlight w:val="none"/>
        </w:rPr>
        <w:t>3</w:t>
      </w:r>
      <w:r>
        <w:rPr>
          <w:rFonts w:hint="eastAsia"/>
          <w:color w:val="auto"/>
          <w:kern w:val="0"/>
          <w:szCs w:val="21"/>
          <w:highlight w:val="none"/>
        </w:rPr>
        <w:t>个工作日。</w:t>
      </w:r>
    </w:p>
    <w:p w14:paraId="14198AC3">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6E8B05D5">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3306C86C">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kern w:val="0"/>
          <w:szCs w:val="21"/>
          <w:highlight w:val="none"/>
        </w:rPr>
        <w:t xml:space="preserve"> 需落实的政府采购政策：</w:t>
      </w:r>
      <w:r>
        <w:rPr>
          <w:color w:val="auto"/>
          <w:kern w:val="0"/>
          <w:szCs w:val="21"/>
          <w:highlight w:val="none"/>
        </w:rPr>
        <w:t>政府采购促进中小企业、监狱企业发展、促进残疾人就业、</w:t>
      </w:r>
      <w:bookmarkStart w:id="18" w:name="_Hlk89179658"/>
      <w:r>
        <w:rPr>
          <w:color w:val="auto"/>
          <w:kern w:val="0"/>
          <w:szCs w:val="21"/>
          <w:highlight w:val="none"/>
        </w:rPr>
        <w:t>节能环保</w:t>
      </w:r>
      <w:bookmarkEnd w:id="18"/>
      <w:r>
        <w:rPr>
          <w:rFonts w:hint="eastAsia"/>
          <w:color w:val="auto"/>
          <w:kern w:val="0"/>
          <w:szCs w:val="21"/>
          <w:highlight w:val="none"/>
          <w:lang w:eastAsia="zh-CN"/>
        </w:rPr>
        <w:t>、对本国产品的支持</w:t>
      </w:r>
      <w:r>
        <w:rPr>
          <w:color w:val="auto"/>
          <w:kern w:val="0"/>
          <w:szCs w:val="21"/>
          <w:highlight w:val="none"/>
        </w:rPr>
        <w:t>等有关政策，具体详见</w:t>
      </w:r>
      <w:r>
        <w:rPr>
          <w:rFonts w:hint="eastAsia"/>
          <w:color w:val="auto"/>
          <w:highlight w:val="none"/>
        </w:rPr>
        <w:t>采购文件</w:t>
      </w:r>
      <w:r>
        <w:rPr>
          <w:color w:val="auto"/>
          <w:kern w:val="0"/>
          <w:szCs w:val="21"/>
          <w:highlight w:val="none"/>
        </w:rPr>
        <w:t>。</w:t>
      </w:r>
    </w:p>
    <w:p w14:paraId="64431290">
      <w:pPr>
        <w:spacing w:line="312" w:lineRule="auto"/>
        <w:ind w:firstLine="420" w:firstLineChars="200"/>
        <w:jc w:val="left"/>
        <w:rPr>
          <w:rFonts w:eastAsia="楷体_GB2312"/>
          <w:b/>
          <w:color w:val="auto"/>
          <w:szCs w:val="21"/>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sym w:font="Wingdings 2" w:char="F052"/>
      </w:r>
      <w:r>
        <w:rPr>
          <w:color w:val="auto"/>
          <w:highlight w:val="none"/>
        </w:rPr>
        <w:t>发布</w:t>
      </w:r>
      <w:r>
        <w:rPr>
          <w:rFonts w:hint="eastAsia"/>
          <w:color w:val="auto"/>
          <w:highlight w:val="none"/>
        </w:rPr>
        <w:t>公告征集</w:t>
      </w:r>
    </w:p>
    <w:p w14:paraId="64B731B0">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77923B75">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BBF7C26">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5016B779">
      <w:pPr>
        <w:spacing w:line="276" w:lineRule="auto"/>
        <w:ind w:firstLine="420" w:firstLineChars="200"/>
        <w:rPr>
          <w:b/>
          <w:bCs/>
          <w:color w:val="auto"/>
          <w:kern w:val="0"/>
          <w:sz w:val="22"/>
          <w:szCs w:val="22"/>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47014B64">
      <w:pPr>
        <w:spacing w:line="276" w:lineRule="auto"/>
        <w:ind w:firstLine="442" w:firstLineChars="200"/>
        <w:rPr>
          <w:rFonts w:hint="eastAsia"/>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6A0EB4CF">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1.采购人信息</w:t>
      </w:r>
    </w:p>
    <w:p w14:paraId="33B10B14">
      <w:pPr>
        <w:spacing w:line="312" w:lineRule="auto"/>
        <w:ind w:firstLine="420" w:firstLineChars="200"/>
        <w:jc w:val="left"/>
        <w:rPr>
          <w:rFonts w:hint="eastAsia" w:eastAsia="宋体"/>
          <w:color w:val="auto"/>
          <w:kern w:val="0"/>
          <w:szCs w:val="21"/>
          <w:highlight w:val="none"/>
          <w:u w:val="single"/>
          <w:lang w:eastAsia="zh-CN"/>
        </w:rPr>
      </w:pPr>
      <w:bookmarkStart w:id="19" w:name="_Hlk19048373"/>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lang w:eastAsia="zh-CN"/>
        </w:rPr>
        <w:t>桂林医科大学</w:t>
      </w:r>
    </w:p>
    <w:p w14:paraId="13BD93B3">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地址：</w:t>
      </w:r>
      <w:r>
        <w:rPr>
          <w:rFonts w:hint="eastAsia"/>
          <w:color w:val="auto"/>
          <w:kern w:val="0"/>
          <w:szCs w:val="21"/>
          <w:highlight w:val="none"/>
          <w:u w:val="single"/>
          <w:lang w:eastAsia="zh-CN"/>
        </w:rPr>
        <w:t>桂林市临桂区致远路1号</w:t>
      </w:r>
    </w:p>
    <w:p w14:paraId="60BE86EF">
      <w:pPr>
        <w:spacing w:line="312" w:lineRule="auto"/>
        <w:ind w:firstLine="420" w:firstLineChars="200"/>
        <w:jc w:val="left"/>
        <w:rPr>
          <w:rFonts w:hint="eastAsia" w:eastAsia="宋体"/>
          <w:color w:val="auto"/>
          <w:kern w:val="0"/>
          <w:szCs w:val="21"/>
          <w:highlight w:val="none"/>
          <w:u w:val="single"/>
          <w:lang w:eastAsia="zh-CN"/>
        </w:rPr>
      </w:pPr>
      <w:r>
        <w:rPr>
          <w:rFonts w:hint="eastAsia"/>
          <w:color w:val="auto"/>
          <w:kern w:val="0"/>
          <w:szCs w:val="21"/>
          <w:highlight w:val="none"/>
        </w:rPr>
        <w:t>项目联系人：</w:t>
      </w:r>
      <w:r>
        <w:rPr>
          <w:rFonts w:hint="eastAsia"/>
          <w:color w:val="auto"/>
          <w:kern w:val="0"/>
          <w:szCs w:val="21"/>
          <w:highlight w:val="none"/>
          <w:u w:val="single"/>
          <w:lang w:eastAsia="zh-CN"/>
        </w:rPr>
        <w:t>王老师</w:t>
      </w:r>
    </w:p>
    <w:p w14:paraId="52AB8044">
      <w:pPr>
        <w:spacing w:line="312" w:lineRule="auto"/>
        <w:ind w:firstLine="420" w:firstLineChars="200"/>
        <w:jc w:val="left"/>
        <w:rPr>
          <w:color w:val="auto"/>
          <w:kern w:val="0"/>
          <w:szCs w:val="21"/>
          <w:highlight w:val="none"/>
          <w:u w:val="single"/>
        </w:rPr>
      </w:pPr>
      <w:r>
        <w:rPr>
          <w:rFonts w:hint="eastAsia"/>
          <w:color w:val="auto"/>
          <w:kern w:val="0"/>
          <w:szCs w:val="21"/>
          <w:highlight w:val="none"/>
        </w:rPr>
        <w:t>项目</w:t>
      </w:r>
      <w:r>
        <w:rPr>
          <w:color w:val="auto"/>
          <w:kern w:val="0"/>
          <w:szCs w:val="21"/>
          <w:highlight w:val="none"/>
        </w:rPr>
        <w:t>联系</w:t>
      </w:r>
      <w:r>
        <w:rPr>
          <w:rFonts w:hint="eastAsia"/>
          <w:color w:val="auto"/>
          <w:kern w:val="0"/>
          <w:szCs w:val="21"/>
          <w:highlight w:val="none"/>
        </w:rPr>
        <w:t>方式</w:t>
      </w:r>
      <w:r>
        <w:rPr>
          <w:color w:val="auto"/>
          <w:kern w:val="0"/>
          <w:szCs w:val="21"/>
          <w:highlight w:val="none"/>
        </w:rPr>
        <w:t>：</w:t>
      </w:r>
      <w:r>
        <w:rPr>
          <w:rFonts w:hint="eastAsia"/>
          <w:color w:val="auto"/>
          <w:kern w:val="0"/>
          <w:szCs w:val="21"/>
          <w:highlight w:val="none"/>
          <w:u w:val="single"/>
        </w:rPr>
        <w:t xml:space="preserve"> 0773-3662950</w:t>
      </w:r>
    </w:p>
    <w:p w14:paraId="7744AB82">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2.采购代理机构信息</w:t>
      </w:r>
    </w:p>
    <w:p w14:paraId="1F3A506A">
      <w:pPr>
        <w:spacing w:line="312" w:lineRule="auto"/>
        <w:ind w:firstLine="420" w:firstLineChars="200"/>
        <w:jc w:val="left"/>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123FA7D8">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地址：</w:t>
      </w:r>
      <w:r>
        <w:rPr>
          <w:rFonts w:hint="eastAsia"/>
          <w:color w:val="auto"/>
          <w:highlight w:val="none"/>
          <w:u w:val="single"/>
          <w:lang w:eastAsia="zh-CN"/>
        </w:rPr>
        <w:t>广西桂林市七星区骖鸾路31号湘商大厦603</w:t>
      </w:r>
    </w:p>
    <w:bookmarkEnd w:id="19"/>
    <w:p w14:paraId="27CDE5C7">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项目联系人：</w:t>
      </w:r>
      <w:r>
        <w:rPr>
          <w:rFonts w:hint="eastAsia"/>
          <w:color w:val="auto"/>
          <w:kern w:val="0"/>
          <w:szCs w:val="21"/>
          <w:highlight w:val="none"/>
          <w:u w:val="single"/>
          <w:lang w:eastAsia="zh-CN"/>
        </w:rPr>
        <w:t>曾昭卉、栗晓奇</w:t>
      </w:r>
    </w:p>
    <w:p w14:paraId="151F5C90">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color w:val="auto"/>
          <w:kern w:val="0"/>
          <w:szCs w:val="21"/>
          <w:highlight w:val="none"/>
        </w:rPr>
        <w:t>：</w:t>
      </w:r>
      <w:r>
        <w:rPr>
          <w:rFonts w:hint="eastAsia"/>
          <w:color w:val="auto"/>
          <w:kern w:val="0"/>
          <w:szCs w:val="21"/>
          <w:highlight w:val="none"/>
          <w:u w:val="single"/>
          <w:lang w:eastAsia="zh-CN"/>
        </w:rPr>
        <w:t>0773-3696789转2</w:t>
      </w:r>
      <w:r>
        <w:rPr>
          <w:color w:val="auto"/>
          <w:kern w:val="0"/>
          <w:szCs w:val="21"/>
          <w:highlight w:val="none"/>
          <w:u w:val="single"/>
        </w:rPr>
        <w:t xml:space="preserve">  </w:t>
      </w:r>
    </w:p>
    <w:p w14:paraId="5FBC2F2D">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41B324A2">
      <w:pPr>
        <w:spacing w:line="312" w:lineRule="auto"/>
        <w:ind w:firstLine="420" w:firstLineChars="200"/>
        <w:jc w:val="right"/>
        <w:rPr>
          <w:color w:val="auto"/>
          <w:kern w:val="0"/>
          <w:sz w:val="18"/>
          <w:szCs w:val="18"/>
          <w:highlight w:val="none"/>
        </w:rPr>
      </w:pPr>
      <w:r>
        <w:rPr>
          <w:color w:val="auto"/>
          <w:kern w:val="0"/>
          <w:szCs w:val="21"/>
          <w:highlight w:val="none"/>
        </w:rPr>
        <w:t>2</w:t>
      </w:r>
      <w:r>
        <w:rPr>
          <w:rFonts w:hint="eastAsia"/>
          <w:color w:val="auto"/>
          <w:kern w:val="0"/>
          <w:szCs w:val="21"/>
          <w:highlight w:val="none"/>
          <w:lang w:val="en-US" w:eastAsia="zh-CN"/>
        </w:rPr>
        <w:t>026</w:t>
      </w:r>
      <w:r>
        <w:rPr>
          <w:color w:val="auto"/>
          <w:kern w:val="0"/>
          <w:szCs w:val="21"/>
          <w:highlight w:val="none"/>
        </w:rPr>
        <w:t>年</w:t>
      </w:r>
      <w:r>
        <w:rPr>
          <w:rFonts w:hint="eastAsia"/>
          <w:color w:val="auto"/>
          <w:kern w:val="0"/>
          <w:szCs w:val="21"/>
          <w:highlight w:val="none"/>
          <w:lang w:val="en-US" w:eastAsia="zh-CN"/>
        </w:rPr>
        <w:t>7</w:t>
      </w:r>
      <w:r>
        <w:rPr>
          <w:color w:val="auto"/>
          <w:kern w:val="0"/>
          <w:szCs w:val="21"/>
          <w:highlight w:val="none"/>
        </w:rPr>
        <w:t>月</w:t>
      </w:r>
      <w:r>
        <w:rPr>
          <w:rFonts w:hint="eastAsia"/>
          <w:color w:val="auto"/>
          <w:kern w:val="0"/>
          <w:szCs w:val="21"/>
          <w:highlight w:val="none"/>
          <w:lang w:val="en-US" w:eastAsia="zh-CN"/>
        </w:rPr>
        <w:t>29</w:t>
      </w:r>
      <w:r>
        <w:rPr>
          <w:color w:val="auto"/>
          <w:kern w:val="0"/>
          <w:szCs w:val="21"/>
          <w:highlight w:val="none"/>
        </w:rPr>
        <w:t>日</w:t>
      </w:r>
    </w:p>
    <w:p w14:paraId="0B14EDD0">
      <w:pPr>
        <w:pStyle w:val="26"/>
        <w:snapToGrid w:val="0"/>
        <w:spacing w:before="120" w:after="120" w:line="320" w:lineRule="exact"/>
        <w:outlineLvl w:val="0"/>
        <w:rPr>
          <w:rFonts w:hint="eastAsia" w:ascii="Times New Roman" w:hAnsi="Times New Roman" w:cs="Times New Roman"/>
          <w:color w:val="auto"/>
          <w:highlight w:val="none"/>
        </w:rPr>
        <w:sectPr>
          <w:footerReference r:id="rId6" w:type="default"/>
          <w:pgSz w:w="11906" w:h="16838"/>
          <w:pgMar w:top="1135" w:right="1133" w:bottom="1246" w:left="1418" w:header="851" w:footer="903" w:gutter="0"/>
          <w:pgNumType w:start="1"/>
          <w:cols w:space="720" w:num="1"/>
          <w:docGrid w:linePitch="312" w:charSpace="0"/>
        </w:sectPr>
      </w:pPr>
    </w:p>
    <w:p w14:paraId="7394C207">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0" w:name="_Toc24962"/>
      <w:r>
        <w:rPr>
          <w:rFonts w:ascii="Times New Roman" w:hAnsi="Times New Roman" w:cs="Times New Roman"/>
          <w:color w:val="auto"/>
          <w:sz w:val="32"/>
          <w:szCs w:val="32"/>
          <w:highlight w:val="none"/>
        </w:rPr>
        <w:t>第二章  采购需求</w:t>
      </w:r>
      <w:bookmarkEnd w:id="20"/>
    </w:p>
    <w:p w14:paraId="3DF6682C">
      <w:pPr>
        <w:spacing w:before="120"/>
        <w:rPr>
          <w:rFonts w:ascii="宋体" w:hAnsi="宋体" w:cs="宋体"/>
          <w:b/>
          <w:bCs/>
          <w:color w:val="auto"/>
          <w:sz w:val="28"/>
          <w:szCs w:val="28"/>
          <w:highlight w:val="none"/>
        </w:rPr>
      </w:pPr>
      <w:bookmarkStart w:id="21" w:name="_Toc254970631"/>
      <w:bookmarkStart w:id="22" w:name="_Toc254970490"/>
    </w:p>
    <w:p w14:paraId="5AE591D2">
      <w:pP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2844A3D8">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776DAE50">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671CC819">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34025A46">
      <w:pPr>
        <w:spacing w:line="360" w:lineRule="auto"/>
        <w:rPr>
          <w:b/>
          <w:bCs/>
          <w:color w:val="auto"/>
          <w:sz w:val="24"/>
          <w:szCs w:val="24"/>
          <w:highlight w:val="none"/>
        </w:rPr>
      </w:pPr>
      <w:r>
        <w:rPr>
          <w:b/>
          <w:bCs/>
          <w:color w:val="auto"/>
          <w:sz w:val="24"/>
          <w:szCs w:val="24"/>
          <w:highlight w:val="none"/>
        </w:rPr>
        <w:t>3</w:t>
      </w:r>
      <w:r>
        <w:rPr>
          <w:rFonts w:hint="eastAsia"/>
          <w:b/>
          <w:bCs/>
          <w:color w:val="auto"/>
          <w:sz w:val="24"/>
          <w:szCs w:val="24"/>
          <w:highlight w:val="none"/>
        </w:rPr>
        <w:t>.本项目“采购需求”中的所有条款要求及涉及竞争性谈判文件中要求“必须提供”的条款均为实质性要求，若有任意一项负偏离，响应文件按无效处理</w:t>
      </w:r>
      <w:r>
        <w:rPr>
          <w:b/>
          <w:bCs/>
          <w:color w:val="auto"/>
          <w:sz w:val="24"/>
          <w:szCs w:val="24"/>
          <w:highlight w:val="none"/>
        </w:rPr>
        <w:t>。</w:t>
      </w:r>
    </w:p>
    <w:p w14:paraId="23A1D910">
      <w:pPr>
        <w:spacing w:line="360" w:lineRule="auto"/>
        <w:rPr>
          <w:color w:val="auto"/>
          <w:szCs w:val="21"/>
          <w:highlight w:val="none"/>
        </w:rPr>
      </w:pPr>
      <w:r>
        <w:rPr>
          <w:rFonts w:hint="eastAsia"/>
          <w:color w:val="auto"/>
          <w:szCs w:val="21"/>
          <w:highlight w:val="none"/>
          <w:lang w:val="en-US" w:eastAsia="zh-CN"/>
        </w:rPr>
        <w:t>4</w:t>
      </w:r>
      <w:r>
        <w:rPr>
          <w:rFonts w:hint="eastAsia"/>
          <w:color w:val="auto"/>
          <w:szCs w:val="21"/>
          <w:highlight w:val="none"/>
        </w:rPr>
        <w:t>.需实现的功能、目标及应用场景</w:t>
      </w:r>
    </w:p>
    <w:p w14:paraId="2ABD07D7">
      <w:pPr>
        <w:spacing w:line="360" w:lineRule="auto"/>
        <w:rPr>
          <w:color w:val="auto"/>
          <w:szCs w:val="21"/>
          <w:highlight w:val="none"/>
        </w:rPr>
      </w:pPr>
      <w:r>
        <w:rPr>
          <w:rFonts w:hint="eastAsia"/>
          <w:color w:val="auto"/>
          <w:szCs w:val="21"/>
          <w:highlight w:val="none"/>
        </w:rPr>
        <w:t>满足采购文件要求，验收达到合格标准</w:t>
      </w:r>
    </w:p>
    <w:p w14:paraId="777D9034">
      <w:pPr>
        <w:spacing w:line="360" w:lineRule="auto"/>
        <w:rPr>
          <w:color w:val="auto"/>
          <w:szCs w:val="21"/>
          <w:highlight w:val="none"/>
        </w:rPr>
      </w:pPr>
      <w:r>
        <w:rPr>
          <w:rFonts w:hint="eastAsia"/>
          <w:color w:val="auto"/>
          <w:szCs w:val="21"/>
          <w:highlight w:val="none"/>
          <w:lang w:val="en-US" w:eastAsia="zh-CN"/>
        </w:rPr>
        <w:t>5</w:t>
      </w:r>
      <w:r>
        <w:rPr>
          <w:rFonts w:hint="eastAsia"/>
          <w:color w:val="auto"/>
          <w:szCs w:val="21"/>
          <w:highlight w:val="none"/>
        </w:rPr>
        <w:t>.是否接受进口产品：</w:t>
      </w:r>
    </w:p>
    <w:p w14:paraId="1B289AA9">
      <w:pPr>
        <w:spacing w:after="0" w:line="360" w:lineRule="auto"/>
        <w:rPr>
          <w:rFonts w:ascii="Arial" w:hAnsi="Arial" w:cs="Arial"/>
          <w:color w:val="auto"/>
          <w:szCs w:val="21"/>
          <w:highlight w:val="none"/>
        </w:rPr>
      </w:pPr>
      <w:r>
        <w:rPr>
          <w:rFonts w:hint="eastAsia" w:ascii="Arial" w:hAnsi="Arial" w:cs="Arial"/>
          <w:b/>
          <w:bCs/>
          <w:color w:val="auto"/>
          <w:sz w:val="24"/>
          <w:highlight w:val="none"/>
        </w:rPr>
        <w:t>本项目</w:t>
      </w:r>
      <w:r>
        <w:rPr>
          <w:rFonts w:hint="eastAsia" w:ascii="Arial" w:hAnsi="Arial" w:cs="Arial"/>
          <w:b/>
          <w:bCs/>
          <w:color w:val="auto"/>
          <w:sz w:val="24"/>
          <w:highlight w:val="none"/>
          <w:lang w:val="en-US" w:eastAsia="zh-CN"/>
        </w:rPr>
        <w:t>所有分标</w:t>
      </w:r>
      <w:r>
        <w:rPr>
          <w:rFonts w:hint="eastAsia" w:ascii="Arial" w:hAnsi="Arial" w:cs="Arial"/>
          <w:b/>
          <w:bCs/>
          <w:color w:val="auto"/>
          <w:sz w:val="24"/>
          <w:highlight w:val="none"/>
        </w:rPr>
        <w:t>采购货物均不</w:t>
      </w:r>
      <w:r>
        <w:rPr>
          <w:rFonts w:ascii="Arial" w:hAnsi="Arial" w:cs="Arial"/>
          <w:b/>
          <w:bCs/>
          <w:color w:val="auto"/>
          <w:sz w:val="24"/>
          <w:highlight w:val="none"/>
        </w:rPr>
        <w:t>接受进口产品。</w:t>
      </w:r>
    </w:p>
    <w:p w14:paraId="64CFC49B">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w:t>
      </w:r>
      <w:r>
        <w:rPr>
          <w:color w:val="auto"/>
          <w:szCs w:val="21"/>
          <w:highlight w:val="none"/>
        </w:rPr>
        <w:t>需执行的国家相关标准、行业标准、地方标准或者其他标准、规范</w:t>
      </w:r>
    </w:p>
    <w:p w14:paraId="33F7E261">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color w:val="auto"/>
          <w:szCs w:val="21"/>
          <w:highlight w:val="none"/>
          <w:u w:val="single"/>
        </w:rPr>
        <w:t xml:space="preserve"> </w:t>
      </w:r>
      <w:bookmarkStart w:id="23" w:name="_Hlk89182885"/>
      <w:r>
        <w:rPr>
          <w:rFonts w:hint="eastAsia"/>
          <w:i/>
          <w:color w:val="auto"/>
          <w:szCs w:val="21"/>
          <w:highlight w:val="none"/>
          <w:u w:val="single"/>
        </w:rPr>
        <w:t>详见技术指标要求</w:t>
      </w:r>
      <w:r>
        <w:rPr>
          <w:i/>
          <w:color w:val="auto"/>
          <w:szCs w:val="21"/>
          <w:highlight w:val="none"/>
          <w:u w:val="single"/>
        </w:rPr>
        <w:t xml:space="preserve">   </w:t>
      </w:r>
      <w:r>
        <w:rPr>
          <w:color w:val="auto"/>
          <w:szCs w:val="21"/>
          <w:highlight w:val="none"/>
          <w:u w:val="single"/>
        </w:rPr>
        <w:t xml:space="preserve"> </w:t>
      </w:r>
    </w:p>
    <w:p w14:paraId="5489043B">
      <w:pPr>
        <w:spacing w:line="360" w:lineRule="auto"/>
        <w:rPr>
          <w:rFonts w:hint="eastAsia"/>
          <w:color w:val="auto"/>
          <w:szCs w:val="21"/>
          <w:highlight w:val="none"/>
          <w:u w:val="single"/>
        </w:rPr>
      </w:pPr>
      <w:r>
        <w:rPr>
          <w:rFonts w:hint="eastAsia"/>
          <w:color w:val="auto"/>
          <w:szCs w:val="21"/>
          <w:highlight w:val="none"/>
        </w:rPr>
        <w:t>【备注：查询网址：国标</w:t>
      </w:r>
      <w:r>
        <w:rPr>
          <w:color w:val="auto"/>
          <w:highlight w:val="none"/>
        </w:rPr>
        <w:fldChar w:fldCharType="begin"/>
      </w:r>
      <w:r>
        <w:rPr>
          <w:color w:val="auto"/>
          <w:highlight w:val="none"/>
        </w:rPr>
        <w:instrText xml:space="preserve"> HYPERLINK "https://openstd.samr.gov.cn/bzgk/gb/index" </w:instrText>
      </w:r>
      <w:r>
        <w:rPr>
          <w:color w:val="auto"/>
          <w:highlight w:val="none"/>
        </w:rPr>
        <w:fldChar w:fldCharType="separate"/>
      </w:r>
      <w:r>
        <w:rPr>
          <w:rStyle w:val="57"/>
          <w:color w:val="auto"/>
          <w:highlight w:val="none"/>
        </w:rPr>
        <w:t>https://openstd.samr.gov.cn/bzgk/gb/index</w:t>
      </w:r>
      <w:r>
        <w:rPr>
          <w:rStyle w:val="57"/>
          <w:color w:val="auto"/>
          <w:highlight w:val="none"/>
        </w:rPr>
        <w:fldChar w:fldCharType="end"/>
      </w:r>
      <w:r>
        <w:rPr>
          <w:rFonts w:hint="eastAsia"/>
          <w:color w:val="auto"/>
          <w:szCs w:val="21"/>
          <w:highlight w:val="none"/>
        </w:rPr>
        <w:t>，行标</w:t>
      </w:r>
      <w:r>
        <w:rPr>
          <w:color w:val="auto"/>
          <w:highlight w:val="none"/>
        </w:rPr>
        <w:fldChar w:fldCharType="begin"/>
      </w:r>
      <w:r>
        <w:rPr>
          <w:color w:val="auto"/>
          <w:highlight w:val="none"/>
        </w:rPr>
        <w:instrText xml:space="preserve"> HYPERLINK "https://hbba.sacinfo.org.cn/" </w:instrText>
      </w:r>
      <w:r>
        <w:rPr>
          <w:color w:val="auto"/>
          <w:highlight w:val="none"/>
        </w:rPr>
        <w:fldChar w:fldCharType="separate"/>
      </w:r>
      <w:r>
        <w:rPr>
          <w:rStyle w:val="57"/>
          <w:color w:val="auto"/>
          <w:highlight w:val="none"/>
        </w:rPr>
        <w:t>https://hbba.sacinfo.org.cn/</w:t>
      </w:r>
      <w:r>
        <w:rPr>
          <w:rStyle w:val="57"/>
          <w:color w:val="auto"/>
          <w:highlight w:val="none"/>
        </w:rPr>
        <w:fldChar w:fldCharType="end"/>
      </w:r>
      <w:r>
        <w:rPr>
          <w:rFonts w:hint="eastAsia"/>
          <w:color w:val="auto"/>
          <w:szCs w:val="21"/>
          <w:highlight w:val="none"/>
        </w:rPr>
        <w:t>】</w:t>
      </w:r>
    </w:p>
    <w:bookmarkEnd w:id="23"/>
    <w:p w14:paraId="3AE681B5">
      <w:pPr>
        <w:spacing w:line="360" w:lineRule="auto"/>
        <w:rPr>
          <w:color w:val="auto"/>
          <w:szCs w:val="21"/>
          <w:highlight w:val="none"/>
        </w:rPr>
      </w:pPr>
      <w:r>
        <w:rPr>
          <w:rFonts w:hint="eastAsia"/>
          <w:color w:val="auto"/>
          <w:szCs w:val="21"/>
          <w:highlight w:val="none"/>
          <w:lang w:val="en-US" w:eastAsia="zh-CN"/>
        </w:rPr>
        <w:t>7</w:t>
      </w:r>
      <w:r>
        <w:rPr>
          <w:rFonts w:hint="eastAsia"/>
          <w:color w:val="auto"/>
          <w:szCs w:val="21"/>
          <w:highlight w:val="none"/>
        </w:rPr>
        <w:t>.一般说明</w:t>
      </w:r>
    </w:p>
    <w:p w14:paraId="7FF39D44">
      <w:pPr>
        <w:spacing w:line="360" w:lineRule="auto"/>
        <w:rPr>
          <w:color w:val="auto"/>
          <w:szCs w:val="21"/>
          <w:highlight w:val="none"/>
        </w:rPr>
      </w:pPr>
      <w:r>
        <w:rPr>
          <w:rFonts w:hint="eastAsia"/>
          <w:color w:val="auto"/>
          <w:szCs w:val="21"/>
          <w:highlight w:val="none"/>
        </w:rPr>
        <w:t>（</w:t>
      </w:r>
      <w:r>
        <w:rPr>
          <w:color w:val="auto"/>
          <w:szCs w:val="21"/>
          <w:highlight w:val="none"/>
        </w:rPr>
        <w:t>1）本</w:t>
      </w:r>
      <w:r>
        <w:rPr>
          <w:rFonts w:hint="eastAsia"/>
          <w:color w:val="auto"/>
          <w:szCs w:val="21"/>
          <w:highlight w:val="none"/>
        </w:rPr>
        <w:t>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1680FB2F">
      <w:pPr>
        <w:spacing w:line="360" w:lineRule="auto"/>
        <w:rPr>
          <w:color w:val="auto"/>
          <w:szCs w:val="21"/>
          <w:highlight w:val="none"/>
        </w:rPr>
      </w:pPr>
      <w:r>
        <w:rPr>
          <w:rFonts w:hint="eastAsia"/>
          <w:color w:val="auto"/>
          <w:szCs w:val="21"/>
          <w:highlight w:val="none"/>
        </w:rPr>
        <w:t>（</w:t>
      </w:r>
      <w:r>
        <w:rPr>
          <w:color w:val="auto"/>
          <w:szCs w:val="21"/>
          <w:highlight w:val="none"/>
        </w:rPr>
        <w:t>2）</w:t>
      </w:r>
      <w:bookmarkStart w:id="24" w:name="_Hlk132788003"/>
      <w:r>
        <w:rPr>
          <w:color w:val="auto"/>
          <w:szCs w:val="21"/>
          <w:highlight w:val="none"/>
        </w:rPr>
        <w:t>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bookmarkEnd w:id="24"/>
      <w:r>
        <w:rPr>
          <w:color w:val="auto"/>
          <w:szCs w:val="21"/>
          <w:highlight w:val="none"/>
        </w:rPr>
        <w:t>。</w:t>
      </w:r>
      <w:r>
        <w:rPr>
          <w:rFonts w:hint="eastAsia"/>
          <w:color w:val="auto"/>
          <w:szCs w:val="21"/>
          <w:highlight w:val="none"/>
        </w:rPr>
        <w:t xml:space="preserve"> </w:t>
      </w:r>
    </w:p>
    <w:p w14:paraId="6BF42777">
      <w:pPr>
        <w:spacing w:after="0" w:line="360" w:lineRule="auto"/>
        <w:rPr>
          <w:rFonts w:ascii="Arial" w:hAnsi="Arial" w:cs="Arial"/>
          <w:color w:val="auto"/>
          <w:szCs w:val="21"/>
          <w:highlight w:val="none"/>
        </w:rPr>
      </w:pPr>
      <w:r>
        <w:rPr>
          <w:rFonts w:hint="eastAsia" w:ascii="Arial" w:hAnsi="Arial" w:cs="Arial"/>
          <w:color w:val="auto"/>
          <w:szCs w:val="21"/>
          <w:highlight w:val="none"/>
          <w:lang w:val="en-US" w:eastAsia="zh-CN"/>
        </w:rPr>
        <w:t>8</w:t>
      </w:r>
      <w:r>
        <w:rPr>
          <w:rFonts w:hint="eastAsia" w:ascii="Arial" w:hAnsi="Arial" w:cs="Arial"/>
          <w:color w:val="auto"/>
          <w:szCs w:val="21"/>
          <w:highlight w:val="none"/>
        </w:rPr>
        <w:t>.采购合同履行中，采购人需追加与合同标的相同的货物的，在不改变合同其他条款的前提下，可以与中标供应商协商签订补充合同，但所有补充合同的采购金额不得超过原合同采购金额的10%。</w:t>
      </w:r>
    </w:p>
    <w:p w14:paraId="4A957FE5">
      <w:pPr>
        <w:spacing w:line="360" w:lineRule="auto"/>
        <w:rPr>
          <w:rFonts w:hint="eastAsia" w:ascii="Arial" w:hAnsi="Arial" w:cs="Arial"/>
          <w:color w:val="auto"/>
          <w:szCs w:val="21"/>
          <w:highlight w:val="none"/>
        </w:rPr>
      </w:pPr>
      <w:r>
        <w:rPr>
          <w:rFonts w:hint="eastAsia" w:ascii="Arial" w:hAnsi="Arial" w:cs="Arial"/>
          <w:color w:val="auto"/>
          <w:szCs w:val="21"/>
          <w:highlight w:val="none"/>
          <w:lang w:val="en-US" w:eastAsia="zh-CN"/>
        </w:rPr>
        <w:t>9</w:t>
      </w:r>
      <w:r>
        <w:rPr>
          <w:rFonts w:ascii="Arial" w:hAnsi="Arial" w:cs="Arial"/>
          <w:color w:val="auto"/>
          <w:szCs w:val="21"/>
          <w:highlight w:val="none"/>
        </w:rPr>
        <w:t>.采购需求要求未尽事宜由采购人与中标供应商在采购合同中约定</w:t>
      </w:r>
      <w:r>
        <w:rPr>
          <w:rFonts w:hint="eastAsia" w:ascii="Arial" w:hAnsi="Arial" w:cs="Arial"/>
          <w:color w:val="auto"/>
          <w:szCs w:val="21"/>
          <w:highlight w:val="none"/>
        </w:rPr>
        <w:t>。</w:t>
      </w:r>
    </w:p>
    <w:p w14:paraId="37335A8C">
      <w:pPr>
        <w:rPr>
          <w:rFonts w:hint="eastAsia" w:ascii="Arial" w:hAnsi="Arial" w:cs="Arial"/>
          <w:color w:val="auto"/>
          <w:szCs w:val="21"/>
          <w:highlight w:val="none"/>
        </w:rPr>
      </w:pPr>
      <w:r>
        <w:rPr>
          <w:rFonts w:hint="eastAsia" w:ascii="Arial" w:hAnsi="Arial" w:cs="Arial"/>
          <w:color w:val="auto"/>
          <w:szCs w:val="21"/>
          <w:highlight w:val="none"/>
        </w:rPr>
        <w:br w:type="page"/>
      </w:r>
    </w:p>
    <w:p w14:paraId="70FC1FCD">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A分标：</w:t>
      </w:r>
      <w:r>
        <w:rPr>
          <w:rFonts w:hint="eastAsia" w:ascii="Arial" w:hAnsi="Arial" w:cs="Arial"/>
          <w:b/>
          <w:bCs/>
          <w:color w:val="auto"/>
          <w:sz w:val="32"/>
          <w:szCs w:val="32"/>
          <w:highlight w:val="none"/>
          <w:lang w:eastAsia="zh-CN"/>
        </w:rPr>
        <w:t>2026年桂林医科大学</w:t>
      </w:r>
      <w:r>
        <w:rPr>
          <w:rFonts w:hint="eastAsia" w:ascii="Arial" w:hAnsi="Arial" w:cs="Arial"/>
          <w:b/>
          <w:bCs/>
          <w:color w:val="auto"/>
          <w:kern w:val="0"/>
          <w:sz w:val="32"/>
          <w:szCs w:val="32"/>
          <w:highlight w:val="none"/>
        </w:rPr>
        <w:t>基础医学院教学</w:t>
      </w:r>
      <w:r>
        <w:rPr>
          <w:rFonts w:hint="eastAsia" w:ascii="Arial" w:hAnsi="Arial" w:cs="Arial"/>
          <w:b/>
          <w:bCs/>
          <w:color w:val="auto"/>
          <w:sz w:val="32"/>
          <w:szCs w:val="32"/>
          <w:highlight w:val="none"/>
          <w:lang w:eastAsia="zh-CN"/>
        </w:rPr>
        <w:t>实验仪器</w:t>
      </w:r>
      <w:r>
        <w:rPr>
          <w:rFonts w:hint="eastAsia" w:ascii="Arial" w:hAnsi="Arial" w:cs="Arial"/>
          <w:b/>
          <w:bCs/>
          <w:color w:val="auto"/>
          <w:sz w:val="32"/>
          <w:szCs w:val="32"/>
          <w:highlight w:val="none"/>
          <w:lang w:val="en-US" w:eastAsia="zh-CN"/>
        </w:rPr>
        <w:t>采购</w:t>
      </w:r>
    </w:p>
    <w:p w14:paraId="498B7D21">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2420E7E1">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3405B198">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208FEB69">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7AFC22E0">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62D3551D">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ascii="Arial" w:hAnsi="Arial" w:cs="Arial"/>
          <w:b/>
          <w:bCs/>
          <w:color w:val="auto"/>
          <w:szCs w:val="21"/>
          <w:highlight w:val="none"/>
          <w:u w:val="single"/>
        </w:rPr>
        <w:t xml:space="preserve"> </w:t>
      </w:r>
      <w:r>
        <w:rPr>
          <w:rFonts w:hint="eastAsia" w:ascii="Arial" w:hAnsi="Arial" w:cs="Arial"/>
          <w:b/>
          <w:bCs/>
          <w:color w:val="auto"/>
          <w:szCs w:val="21"/>
          <w:highlight w:val="none"/>
          <w:u w:val="single"/>
          <w:lang w:val="en-US" w:eastAsia="zh-CN"/>
        </w:rPr>
        <w:t>序号10生物显微镜</w:t>
      </w:r>
    </w:p>
    <w:p w14:paraId="770DDDE9">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4602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0CB5181E">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911" w:type="dxa"/>
            <w:noWrap w:val="0"/>
            <w:vAlign w:val="center"/>
          </w:tcPr>
          <w:p w14:paraId="1DFAA0C7">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货物名称</w:t>
            </w:r>
          </w:p>
        </w:tc>
        <w:tc>
          <w:tcPr>
            <w:tcW w:w="582" w:type="dxa"/>
            <w:noWrap w:val="0"/>
            <w:vAlign w:val="center"/>
          </w:tcPr>
          <w:p w14:paraId="2822062A">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数量</w:t>
            </w:r>
          </w:p>
        </w:tc>
        <w:tc>
          <w:tcPr>
            <w:tcW w:w="686" w:type="dxa"/>
            <w:noWrap w:val="0"/>
            <w:vAlign w:val="center"/>
          </w:tcPr>
          <w:p w14:paraId="3C53503C">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计量单位</w:t>
            </w:r>
          </w:p>
        </w:tc>
        <w:tc>
          <w:tcPr>
            <w:tcW w:w="754" w:type="dxa"/>
            <w:noWrap w:val="0"/>
            <w:vAlign w:val="center"/>
          </w:tcPr>
          <w:p w14:paraId="2549B95F">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所属行业</w:t>
            </w:r>
          </w:p>
        </w:tc>
        <w:tc>
          <w:tcPr>
            <w:tcW w:w="6448" w:type="dxa"/>
            <w:tcBorders>
              <w:left w:val="single" w:color="auto" w:sz="4" w:space="0"/>
              <w:right w:val="single" w:color="auto" w:sz="4" w:space="0"/>
            </w:tcBorders>
            <w:noWrap w:val="0"/>
            <w:vAlign w:val="center"/>
          </w:tcPr>
          <w:p w14:paraId="0640B0E8">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技术指标要求</w:t>
            </w:r>
          </w:p>
        </w:tc>
      </w:tr>
      <w:tr w14:paraId="19DA7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5071352">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p>
        </w:tc>
        <w:tc>
          <w:tcPr>
            <w:tcW w:w="911" w:type="dxa"/>
            <w:noWrap w:val="0"/>
            <w:vAlign w:val="center"/>
          </w:tcPr>
          <w:p w14:paraId="4C9945D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寄存柜</w:t>
            </w:r>
          </w:p>
        </w:tc>
        <w:tc>
          <w:tcPr>
            <w:tcW w:w="582" w:type="dxa"/>
            <w:noWrap w:val="0"/>
            <w:vAlign w:val="center"/>
          </w:tcPr>
          <w:p w14:paraId="20F548A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10</w:t>
            </w:r>
          </w:p>
        </w:tc>
        <w:tc>
          <w:tcPr>
            <w:tcW w:w="686" w:type="dxa"/>
            <w:noWrap w:val="0"/>
            <w:vAlign w:val="center"/>
          </w:tcPr>
          <w:p w14:paraId="128DBF3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4"/>
                <w:szCs w:val="24"/>
                <w:highlight w:val="none"/>
                <w:u w:val="none"/>
                <w:lang w:val="en-US" w:eastAsia="zh-CN" w:bidi="ar"/>
              </w:rPr>
              <w:t>个</w:t>
            </w:r>
          </w:p>
        </w:tc>
        <w:tc>
          <w:tcPr>
            <w:tcW w:w="754" w:type="dxa"/>
            <w:noWrap w:val="0"/>
            <w:vAlign w:val="center"/>
          </w:tcPr>
          <w:p w14:paraId="5FFAC8CA">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33C847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Style w:val="250"/>
                <w:rFonts w:hint="default" w:ascii="Arial" w:hAnsi="Arial" w:cs="Arial"/>
                <w:color w:val="auto"/>
                <w:sz w:val="21"/>
                <w:szCs w:val="21"/>
                <w:highlight w:val="none"/>
                <w:lang w:val="en-US" w:eastAsia="zh-CN" w:bidi="ar"/>
              </w:rPr>
              <w:t>材质：钢制</w:t>
            </w:r>
            <w:r>
              <w:rPr>
                <w:rStyle w:val="251"/>
                <w:rFonts w:hint="default" w:ascii="Arial" w:hAnsi="Arial" w:eastAsia="宋体" w:cs="Arial"/>
                <w:color w:val="auto"/>
                <w:sz w:val="21"/>
                <w:szCs w:val="21"/>
                <w:highlight w:val="none"/>
                <w:lang w:val="en-US" w:eastAsia="zh-CN" w:bidi="ar"/>
              </w:rPr>
              <w:t xml:space="preserve">  40</w:t>
            </w:r>
            <w:r>
              <w:rPr>
                <w:rStyle w:val="251"/>
                <w:rFonts w:hint="eastAsia" w:ascii="Arial" w:hAnsi="Arial" w:cs="Arial"/>
                <w:color w:val="auto"/>
                <w:sz w:val="21"/>
                <w:szCs w:val="21"/>
                <w:highlight w:val="none"/>
                <w:lang w:val="en-US" w:eastAsia="zh-CN" w:bidi="ar"/>
              </w:rPr>
              <w:t>个</w:t>
            </w:r>
            <w:r>
              <w:rPr>
                <w:rStyle w:val="250"/>
                <w:rFonts w:hint="default" w:ascii="Arial" w:hAnsi="Arial" w:cs="Arial"/>
                <w:color w:val="auto"/>
                <w:sz w:val="21"/>
                <w:szCs w:val="21"/>
                <w:highlight w:val="none"/>
                <w:lang w:val="en-US" w:eastAsia="zh-CN" w:bidi="ar"/>
              </w:rPr>
              <w:t>门</w:t>
            </w:r>
            <w:r>
              <w:rPr>
                <w:rStyle w:val="250"/>
                <w:rFonts w:hint="eastAsia" w:ascii="Arial" w:hAnsi="Arial" w:cs="Arial"/>
                <w:color w:val="auto"/>
                <w:sz w:val="21"/>
                <w:szCs w:val="21"/>
                <w:highlight w:val="none"/>
                <w:lang w:val="en-US" w:eastAsia="zh-CN" w:bidi="ar"/>
              </w:rPr>
              <w:t>，整个寄存柜</w:t>
            </w:r>
            <w:r>
              <w:rPr>
                <w:rStyle w:val="250"/>
                <w:rFonts w:hint="default" w:ascii="Arial" w:hAnsi="Arial" w:cs="Arial"/>
                <w:color w:val="auto"/>
                <w:sz w:val="21"/>
                <w:szCs w:val="21"/>
                <w:highlight w:val="none"/>
                <w:lang w:val="en-US" w:eastAsia="zh-CN" w:bidi="ar"/>
              </w:rPr>
              <w:t xml:space="preserve"> 高</w:t>
            </w:r>
            <w:r>
              <w:rPr>
                <w:rStyle w:val="251"/>
                <w:rFonts w:hint="default" w:ascii="Arial" w:hAnsi="Arial" w:eastAsia="宋体" w:cs="Arial"/>
                <w:color w:val="auto"/>
                <w:sz w:val="21"/>
                <w:szCs w:val="21"/>
                <w:highlight w:val="none"/>
                <w:lang w:val="en-US" w:eastAsia="zh-CN" w:bidi="ar"/>
              </w:rPr>
              <w:t>180</w:t>
            </w:r>
            <w:r>
              <w:rPr>
                <w:rStyle w:val="251"/>
                <w:rFonts w:hint="eastAsia" w:ascii="Arial" w:hAnsi="Arial" w:cs="Arial"/>
                <w:color w:val="auto"/>
                <w:sz w:val="21"/>
                <w:szCs w:val="21"/>
                <w:highlight w:val="none"/>
                <w:lang w:val="en-US" w:eastAsia="zh-CN" w:bidi="ar"/>
              </w:rPr>
              <w:t>0mm</w:t>
            </w:r>
            <w:r>
              <w:rPr>
                <w:rStyle w:val="251"/>
                <w:rFonts w:hint="default" w:ascii="Arial" w:hAnsi="Arial" w:eastAsia="宋体" w:cs="Arial"/>
                <w:color w:val="auto"/>
                <w:sz w:val="21"/>
                <w:szCs w:val="21"/>
                <w:highlight w:val="none"/>
                <w:lang w:val="en-US" w:eastAsia="zh-CN" w:bidi="ar"/>
              </w:rPr>
              <w:t>*</w:t>
            </w:r>
            <w:r>
              <w:rPr>
                <w:rStyle w:val="250"/>
                <w:rFonts w:hint="default" w:ascii="Arial" w:hAnsi="Arial" w:cs="Arial"/>
                <w:color w:val="auto"/>
                <w:sz w:val="21"/>
                <w:szCs w:val="21"/>
                <w:highlight w:val="none"/>
                <w:lang w:val="en-US" w:eastAsia="zh-CN" w:bidi="ar"/>
              </w:rPr>
              <w:t>宽</w:t>
            </w:r>
            <w:r>
              <w:rPr>
                <w:rStyle w:val="251"/>
                <w:rFonts w:hint="default" w:ascii="Arial" w:hAnsi="Arial" w:eastAsia="宋体" w:cs="Arial"/>
                <w:color w:val="auto"/>
                <w:sz w:val="21"/>
                <w:szCs w:val="21"/>
                <w:highlight w:val="none"/>
                <w:lang w:val="en-US" w:eastAsia="zh-CN" w:bidi="ar"/>
              </w:rPr>
              <w:t>990</w:t>
            </w:r>
            <w:r>
              <w:rPr>
                <w:rStyle w:val="251"/>
                <w:rFonts w:hint="eastAsia" w:ascii="Arial" w:hAnsi="Arial" w:cs="Arial"/>
                <w:color w:val="auto"/>
                <w:sz w:val="21"/>
                <w:szCs w:val="21"/>
                <w:highlight w:val="none"/>
                <w:lang w:val="en-US" w:eastAsia="zh-CN" w:bidi="ar"/>
              </w:rPr>
              <w:t>mm</w:t>
            </w:r>
            <w:r>
              <w:rPr>
                <w:rStyle w:val="251"/>
                <w:rFonts w:hint="default" w:ascii="Arial" w:hAnsi="Arial" w:eastAsia="宋体" w:cs="Arial"/>
                <w:color w:val="auto"/>
                <w:sz w:val="21"/>
                <w:szCs w:val="21"/>
                <w:highlight w:val="none"/>
                <w:lang w:val="en-US" w:eastAsia="zh-CN" w:bidi="ar"/>
              </w:rPr>
              <w:t>*</w:t>
            </w:r>
            <w:r>
              <w:rPr>
                <w:rStyle w:val="250"/>
                <w:rFonts w:hint="default" w:ascii="Arial" w:hAnsi="Arial" w:cs="Arial"/>
                <w:color w:val="auto"/>
                <w:sz w:val="21"/>
                <w:szCs w:val="21"/>
                <w:highlight w:val="none"/>
                <w:lang w:val="en-US" w:eastAsia="zh-CN" w:bidi="ar"/>
              </w:rPr>
              <w:t>深</w:t>
            </w:r>
            <w:r>
              <w:rPr>
                <w:rStyle w:val="251"/>
                <w:rFonts w:hint="default" w:ascii="Arial" w:hAnsi="Arial" w:eastAsia="宋体" w:cs="Arial"/>
                <w:color w:val="auto"/>
                <w:sz w:val="21"/>
                <w:szCs w:val="21"/>
                <w:highlight w:val="none"/>
                <w:lang w:val="en-US" w:eastAsia="zh-CN" w:bidi="ar"/>
              </w:rPr>
              <w:t>300</w:t>
            </w:r>
            <w:r>
              <w:rPr>
                <w:rStyle w:val="251"/>
                <w:rFonts w:hint="eastAsia" w:ascii="Arial" w:hAnsi="Arial" w:cs="Arial"/>
                <w:color w:val="auto"/>
                <w:sz w:val="21"/>
                <w:szCs w:val="21"/>
                <w:highlight w:val="none"/>
                <w:lang w:val="en-US" w:eastAsia="zh-CN" w:bidi="ar"/>
              </w:rPr>
              <w:t>mm（±10mm）</w:t>
            </w:r>
            <w:r>
              <w:rPr>
                <w:rStyle w:val="251"/>
                <w:rFonts w:hint="default" w:ascii="Arial" w:hAnsi="Arial" w:eastAsia="宋体" w:cs="Arial"/>
                <w:color w:val="auto"/>
                <w:sz w:val="21"/>
                <w:szCs w:val="21"/>
                <w:highlight w:val="none"/>
                <w:lang w:val="en-US" w:eastAsia="zh-CN" w:bidi="ar"/>
              </w:rPr>
              <w:t xml:space="preserve">  </w:t>
            </w:r>
            <w:r>
              <w:rPr>
                <w:rStyle w:val="250"/>
                <w:rFonts w:hint="default" w:ascii="Arial" w:hAnsi="Arial" w:cs="Arial"/>
                <w:color w:val="auto"/>
                <w:sz w:val="21"/>
                <w:szCs w:val="21"/>
                <w:highlight w:val="none"/>
                <w:lang w:val="en-US" w:eastAsia="zh-CN" w:bidi="ar"/>
              </w:rPr>
              <w:t>微信扫码型</w:t>
            </w:r>
            <w:r>
              <w:rPr>
                <w:rStyle w:val="250"/>
                <w:rFonts w:hint="eastAsia" w:ascii="Arial" w:hAnsi="Arial" w:cs="Arial"/>
                <w:color w:val="auto"/>
                <w:sz w:val="21"/>
                <w:szCs w:val="21"/>
                <w:highlight w:val="none"/>
                <w:lang w:val="en-US" w:eastAsia="zh-CN" w:bidi="ar"/>
              </w:rPr>
              <w:t>，</w:t>
            </w:r>
            <w:r>
              <w:rPr>
                <w:rFonts w:hint="eastAsia"/>
                <w:color w:val="auto"/>
                <w:highlight w:val="none"/>
                <w:lang w:val="en-US" w:eastAsia="zh-CN"/>
              </w:rPr>
              <w:t>每个门均有独立微信扫描开门设施，颜色：灰色</w:t>
            </w:r>
          </w:p>
        </w:tc>
      </w:tr>
      <w:tr w14:paraId="51C55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D10249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11" w:type="dxa"/>
            <w:noWrap w:val="0"/>
            <w:vAlign w:val="center"/>
          </w:tcPr>
          <w:p w14:paraId="289BFC3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高仿真下肢肌模型</w:t>
            </w:r>
          </w:p>
        </w:tc>
        <w:tc>
          <w:tcPr>
            <w:tcW w:w="582" w:type="dxa"/>
            <w:noWrap w:val="0"/>
            <w:vAlign w:val="center"/>
          </w:tcPr>
          <w:p w14:paraId="4BABFEB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4"/>
                <w:szCs w:val="24"/>
                <w:highlight w:val="none"/>
                <w:u w:val="none"/>
                <w:lang w:val="en-US" w:eastAsia="zh-CN" w:bidi="ar"/>
              </w:rPr>
              <w:t>10</w:t>
            </w:r>
          </w:p>
        </w:tc>
        <w:tc>
          <w:tcPr>
            <w:tcW w:w="686" w:type="dxa"/>
            <w:noWrap w:val="0"/>
            <w:vAlign w:val="center"/>
          </w:tcPr>
          <w:p w14:paraId="4399D53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4"/>
                <w:szCs w:val="24"/>
                <w:highlight w:val="none"/>
                <w:u w:val="none"/>
                <w:lang w:val="en-US" w:eastAsia="zh-CN" w:bidi="ar"/>
              </w:rPr>
              <w:t>个</w:t>
            </w:r>
          </w:p>
        </w:tc>
        <w:tc>
          <w:tcPr>
            <w:tcW w:w="754" w:type="dxa"/>
            <w:noWrap w:val="0"/>
            <w:vAlign w:val="center"/>
          </w:tcPr>
          <w:p w14:paraId="4B77541A">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327690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1.参考资料：人民卫生出版社统编教材《系统解剖学》、《局部解剖学》、《断层解剖学》和王怀经主译图谱《奈特人体解剖彩色图谱》，河南科技出版社李云庆主译图谱《人体图谱-解剖学、组织学、病理学》研发和生产。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2.规格尺寸：按人体胸部比例大小。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3.部件姿势：2部件。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4.功能说明：可游离臀大肌；清楚地展示了下肢髋肌、大腿肌、小腿肌及足肌。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髋肌中可见前群的髂腰肌、阔筋膜张肌；后群的臀大肌、臀中肌、梨状肌及梨状肌下孔出入的血管神经。大腿肌中可见前群的缝匠肌和股四头肌；内侧群的耻骨肌、长收肌、股薄肌和大收肌；后群中的半膜肌、半腱肌及股二头肌。小腿肌中可见前群的胫骨前肌、趾长伸肌和踇长伸肌；外侧群中的腓骨长肌和腓骨短肌；后群可见小腿三头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足肌中主要显示足背肌趾长伸肌、踇长伸肌、趾短伸肌和踇短伸肌；足底肌略。</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5.虚拟效果：配带该产品虚拟3D模型二维码，使用手机微信扫描二维码，可在线免费观看该产品的高清晰虚拟3D效果，可放大和缩小，可全方位旋转，3D效果操作时，不卡顿，视频效果可触屏控制，操作灵活。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6.材质材料：环保软质硅胶材料，环保油漆。   </w:t>
            </w:r>
          </w:p>
        </w:tc>
      </w:tr>
      <w:tr w14:paraId="4FB2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22FBCCD">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3</w:t>
            </w:r>
          </w:p>
        </w:tc>
        <w:tc>
          <w:tcPr>
            <w:tcW w:w="911" w:type="dxa"/>
            <w:noWrap w:val="0"/>
            <w:vAlign w:val="center"/>
          </w:tcPr>
          <w:p w14:paraId="20D024F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多媒体讲台系统</w:t>
            </w:r>
          </w:p>
        </w:tc>
        <w:tc>
          <w:tcPr>
            <w:tcW w:w="582" w:type="dxa"/>
            <w:noWrap w:val="0"/>
            <w:vAlign w:val="center"/>
          </w:tcPr>
          <w:p w14:paraId="0103F8A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4"/>
                <w:szCs w:val="24"/>
                <w:highlight w:val="none"/>
                <w:u w:val="none"/>
                <w:lang w:val="en-US" w:eastAsia="zh-CN" w:bidi="ar"/>
              </w:rPr>
              <w:t>1</w:t>
            </w:r>
          </w:p>
        </w:tc>
        <w:tc>
          <w:tcPr>
            <w:tcW w:w="686" w:type="dxa"/>
            <w:noWrap w:val="0"/>
            <w:vAlign w:val="center"/>
          </w:tcPr>
          <w:p w14:paraId="6ED4AF5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4"/>
                <w:szCs w:val="24"/>
                <w:highlight w:val="none"/>
                <w:u w:val="none"/>
                <w:lang w:val="en-US" w:eastAsia="zh-CN" w:bidi="ar"/>
              </w:rPr>
              <w:t>个</w:t>
            </w:r>
          </w:p>
        </w:tc>
        <w:tc>
          <w:tcPr>
            <w:tcW w:w="754" w:type="dxa"/>
            <w:noWrap w:val="0"/>
            <w:vAlign w:val="center"/>
          </w:tcPr>
          <w:p w14:paraId="2A8BC20A">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5EF1EB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可控制屏幕、投影开关，2个USB接口，1个VGA，1个网络接口，一个Audi接口，一个电源接口，一个话筒接口，屏幕参数：3500流明2.44*1.83（120吋），讲台参数：钢制桌面，</w:t>
            </w:r>
            <w:r>
              <w:rPr>
                <w:rFonts w:hint="default" w:ascii="Arial" w:hAnsi="Arial" w:cs="Arial"/>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800mm</w:t>
            </w:r>
            <w:r>
              <w:rPr>
                <w:rFonts w:hint="eastAsia" w:ascii="Arial" w:hAnsi="Arial" w:cs="Arial"/>
                <w:i w:val="0"/>
                <w:iCs w:val="0"/>
                <w:color w:val="auto"/>
                <w:kern w:val="0"/>
                <w:sz w:val="21"/>
                <w:szCs w:val="21"/>
                <w:highlight w:val="none"/>
                <w:u w:val="none"/>
                <w:lang w:val="en-US" w:eastAsia="zh-CN" w:bidi="ar"/>
              </w:rPr>
              <w:t>（</w:t>
            </w:r>
            <w:r>
              <w:rPr>
                <w:rFonts w:hint="eastAsia" w:ascii="Arial" w:hAnsi="Arial" w:cs="Arial"/>
                <w:color w:val="auto"/>
                <w:highlight w:val="none"/>
                <w:lang w:val="en-US" w:eastAsia="zh-CN"/>
              </w:rPr>
              <w:t>长)</w:t>
            </w:r>
            <w:r>
              <w:rPr>
                <w:rFonts w:hint="default" w:ascii="Arial" w:hAnsi="Arial" w:eastAsia="宋体" w:cs="Arial"/>
                <w:i w:val="0"/>
                <w:iCs w:val="0"/>
                <w:color w:val="auto"/>
                <w:kern w:val="0"/>
                <w:sz w:val="21"/>
                <w:szCs w:val="21"/>
                <w:highlight w:val="none"/>
                <w:u w:val="none"/>
                <w:lang w:val="en-US" w:eastAsia="zh-CN" w:bidi="ar"/>
              </w:rPr>
              <w:t>*680mm</w:t>
            </w:r>
            <w:r>
              <w:rPr>
                <w:rFonts w:hint="eastAsia" w:ascii="Arial" w:hAnsi="Arial" w:cs="Arial"/>
                <w:i w:val="0"/>
                <w:iCs w:val="0"/>
                <w:color w:val="auto"/>
                <w:kern w:val="0"/>
                <w:sz w:val="21"/>
                <w:szCs w:val="21"/>
                <w:highlight w:val="none"/>
                <w:u w:val="none"/>
                <w:lang w:val="en-US" w:eastAsia="zh-CN" w:bidi="ar"/>
              </w:rPr>
              <w:t>（宽）</w:t>
            </w:r>
            <w:r>
              <w:rPr>
                <w:rFonts w:hint="default" w:ascii="Arial" w:hAnsi="Arial" w:eastAsia="宋体" w:cs="Arial"/>
                <w:i w:val="0"/>
                <w:iCs w:val="0"/>
                <w:color w:val="auto"/>
                <w:kern w:val="0"/>
                <w:sz w:val="21"/>
                <w:szCs w:val="21"/>
                <w:highlight w:val="none"/>
                <w:u w:val="none"/>
                <w:lang w:val="en-US" w:eastAsia="zh-CN" w:bidi="ar"/>
              </w:rPr>
              <w:t>*1000mm</w:t>
            </w:r>
            <w:r>
              <w:rPr>
                <w:rFonts w:hint="eastAsia" w:ascii="Arial" w:hAnsi="Arial" w:cs="Arial"/>
                <w:i w:val="0"/>
                <w:iCs w:val="0"/>
                <w:color w:val="auto"/>
                <w:kern w:val="0"/>
                <w:sz w:val="21"/>
                <w:szCs w:val="21"/>
                <w:highlight w:val="none"/>
                <w:u w:val="none"/>
                <w:lang w:val="en-US" w:eastAsia="zh-CN" w:bidi="ar"/>
              </w:rPr>
              <w:t>（高）</w:t>
            </w:r>
          </w:p>
        </w:tc>
      </w:tr>
      <w:tr w14:paraId="10CBE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9DCE3B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911" w:type="dxa"/>
            <w:noWrap w:val="0"/>
            <w:vAlign w:val="center"/>
          </w:tcPr>
          <w:p w14:paraId="3A76656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扩音系统</w:t>
            </w:r>
          </w:p>
        </w:tc>
        <w:tc>
          <w:tcPr>
            <w:tcW w:w="582" w:type="dxa"/>
            <w:noWrap w:val="0"/>
            <w:vAlign w:val="center"/>
          </w:tcPr>
          <w:p w14:paraId="1CB1BFD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220314F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个</w:t>
            </w:r>
          </w:p>
        </w:tc>
        <w:tc>
          <w:tcPr>
            <w:tcW w:w="754" w:type="dxa"/>
            <w:noWrap w:val="0"/>
            <w:vAlign w:val="center"/>
          </w:tcPr>
          <w:p w14:paraId="18D7FEAB">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4A5D1CF">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三路话筒输入、三路音频输入、一路音频输出。话筒音量、音乐音量、高低音独立调节。备有BLP环保麦克风插口、自带6V直流电源。适用于多功能教室、普通教室、小型会议室扩音。频率响应：20Hz-20KHz话筒：60Hz-14KHz话筒非线性失真：≤0.2%音调控制：高音/低音：10KHz±12db/10Hz±12db功放噪音电压：≤10mV信噪比：≥80dB线路：0dB 0.775v输出功率：2×80W。</w:t>
            </w:r>
          </w:p>
          <w:p w14:paraId="720F987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话筒参数：弯曲位长度：44.5cm</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拾音方式</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电容式</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灵敏度</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cs="Arial"/>
                <w:i w:val="0"/>
                <w:iCs w:val="0"/>
                <w:color w:val="auto"/>
                <w:kern w:val="0"/>
                <w:sz w:val="21"/>
                <w:szCs w:val="21"/>
                <w:highlight w:val="none"/>
                <w:u w:val="none"/>
                <w:lang w:val="en-US" w:eastAsia="zh-CN" w:bidi="ar"/>
              </w:rPr>
              <w:t>30</w:t>
            </w:r>
            <w:r>
              <w:rPr>
                <w:rFonts w:hint="default" w:ascii="Arial" w:hAnsi="Arial" w:eastAsia="宋体" w:cs="Arial"/>
                <w:i w:val="0"/>
                <w:iCs w:val="0"/>
                <w:color w:val="auto"/>
                <w:kern w:val="0"/>
                <w:sz w:val="21"/>
                <w:szCs w:val="21"/>
                <w:highlight w:val="none"/>
                <w:u w:val="none"/>
                <w:lang w:val="en-US" w:eastAsia="zh-CN" w:bidi="ar"/>
              </w:rPr>
              <w:t>dB</w:t>
            </w:r>
            <w:r>
              <w:rPr>
                <w:rFonts w:hint="default" w:ascii="Arial" w:hAnsi="Arial" w:cs="Arial"/>
                <w:i w:val="0"/>
                <w:iCs w:val="0"/>
                <w:color w:val="auto"/>
                <w:kern w:val="0"/>
                <w:sz w:val="21"/>
                <w:szCs w:val="21"/>
                <w:highlight w:val="none"/>
                <w:u w:val="none"/>
                <w:lang w:val="en-US" w:eastAsia="zh-CN" w:bidi="ar"/>
              </w:rPr>
              <w:t>到40dB；</w:t>
            </w:r>
            <w:r>
              <w:rPr>
                <w:rFonts w:hint="default" w:ascii="Arial" w:hAnsi="Arial" w:eastAsia="宋体" w:cs="Arial"/>
                <w:i w:val="0"/>
                <w:iCs w:val="0"/>
                <w:color w:val="auto"/>
                <w:kern w:val="0"/>
                <w:sz w:val="21"/>
                <w:szCs w:val="21"/>
                <w:highlight w:val="none"/>
                <w:u w:val="none"/>
                <w:lang w:val="en-US" w:eastAsia="zh-CN" w:bidi="ar"/>
              </w:rPr>
              <w:t>指向性：心型（单指向）</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频率响应：100-13500HZ</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输出阻抗</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200欧</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供电方式：2节1.5V电池</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拾音距离：10~40cm</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包装尺寸：45*18*6.5cm</w:t>
            </w:r>
            <w:r>
              <w:rPr>
                <w:rStyle w:val="251"/>
                <w:rFonts w:hint="default" w:ascii="Arial" w:hAnsi="Arial" w:eastAsia="宋体" w:cs="Arial"/>
                <w:color w:val="auto"/>
                <w:sz w:val="21"/>
                <w:szCs w:val="21"/>
                <w:highlight w:val="none"/>
                <w:lang w:val="en-US" w:eastAsia="zh-CN" w:bidi="ar"/>
              </w:rPr>
              <w:t>±</w:t>
            </w:r>
            <w:r>
              <w:rPr>
                <w:rStyle w:val="251"/>
                <w:rFonts w:hint="default" w:ascii="Arial" w:hAnsi="Arial" w:cs="Arial"/>
                <w:color w:val="auto"/>
                <w:sz w:val="21"/>
                <w:szCs w:val="21"/>
                <w:highlight w:val="none"/>
                <w:lang w:val="en-US" w:eastAsia="zh-CN" w:bidi="ar"/>
              </w:rPr>
              <w:t>0.5mm</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包装重量：</w:t>
            </w:r>
            <w:r>
              <w:rPr>
                <w:rFonts w:hint="default" w:ascii="Arial" w:hAnsi="Arial" w:cs="Arial"/>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1.0KG</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单体重量：</w:t>
            </w:r>
            <w:r>
              <w:rPr>
                <w:rFonts w:hint="default" w:ascii="Arial" w:hAnsi="Arial" w:cs="Arial"/>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0.5KG</w:t>
            </w:r>
            <w:r>
              <w:rPr>
                <w:rFonts w:hint="default"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弯曲位长度：7.5cm</w:t>
            </w:r>
            <w:r>
              <w:rPr>
                <w:rFonts w:hint="eastAsia" w:ascii="Arial" w:hAnsi="Arial" w:cs="Arial"/>
                <w:i w:val="0"/>
                <w:iCs w:val="0"/>
                <w:color w:val="auto"/>
                <w:kern w:val="0"/>
                <w:sz w:val="21"/>
                <w:szCs w:val="21"/>
                <w:highlight w:val="none"/>
                <w:u w:val="none"/>
                <w:lang w:val="en-US" w:eastAsia="zh-CN" w:bidi="ar"/>
              </w:rPr>
              <w:t>，额定功率≥30W，灵敏度≥97dB，频响80Hz-18kHz，失真≤1%，信噪比≥70dB。支持定压定阻双输入、带DSP音效调校，任意点位声压差≤3dB。阻燃箱体配金属挂架</w:t>
            </w:r>
            <w:r>
              <w:rPr>
                <w:rFonts w:hint="default" w:ascii="Arial" w:hAnsi="Arial" w:eastAsia="宋体" w:cs="Arial"/>
                <w:i w:val="0"/>
                <w:iCs w:val="0"/>
                <w:color w:val="auto"/>
                <w:kern w:val="0"/>
                <w:sz w:val="21"/>
                <w:szCs w:val="21"/>
                <w:highlight w:val="none"/>
                <w:u w:val="none"/>
                <w:lang w:val="en-US" w:eastAsia="zh-CN" w:bidi="ar"/>
              </w:rPr>
              <w:t xml:space="preserve"> 。墙挂式音箱一对。包括安装辅材，如音频线，卡扣等。</w:t>
            </w:r>
          </w:p>
        </w:tc>
      </w:tr>
      <w:tr w14:paraId="546EB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FADC8DE">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5</w:t>
            </w:r>
          </w:p>
        </w:tc>
        <w:tc>
          <w:tcPr>
            <w:tcW w:w="911" w:type="dxa"/>
            <w:noWrap w:val="0"/>
            <w:vAlign w:val="center"/>
          </w:tcPr>
          <w:p w14:paraId="090E5A7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防静电凳</w:t>
            </w:r>
          </w:p>
        </w:tc>
        <w:tc>
          <w:tcPr>
            <w:tcW w:w="582" w:type="dxa"/>
            <w:noWrap w:val="0"/>
            <w:vAlign w:val="center"/>
          </w:tcPr>
          <w:p w14:paraId="680489F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100</w:t>
            </w:r>
          </w:p>
        </w:tc>
        <w:tc>
          <w:tcPr>
            <w:tcW w:w="686" w:type="dxa"/>
            <w:noWrap w:val="0"/>
            <w:vAlign w:val="center"/>
          </w:tcPr>
          <w:p w14:paraId="0829742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张</w:t>
            </w:r>
          </w:p>
        </w:tc>
        <w:tc>
          <w:tcPr>
            <w:tcW w:w="754" w:type="dxa"/>
            <w:noWrap w:val="0"/>
            <w:vAlign w:val="center"/>
          </w:tcPr>
          <w:p w14:paraId="7B8A6FA6">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FA3B58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PU发泡-防静电升降实验凳；防静电性、自由升降、升降高度68-84cm；360度旋转；气压棒：防爆气杆；结构：钢制一体；PU固定脚垫，黑色尼龙脚</w:t>
            </w:r>
          </w:p>
        </w:tc>
      </w:tr>
      <w:tr w14:paraId="1DEA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AC50EC7">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6</w:t>
            </w:r>
          </w:p>
        </w:tc>
        <w:tc>
          <w:tcPr>
            <w:tcW w:w="911" w:type="dxa"/>
            <w:noWrap w:val="0"/>
            <w:vAlign w:val="center"/>
          </w:tcPr>
          <w:p w14:paraId="0883202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恒温平滑肌实验系统</w:t>
            </w:r>
          </w:p>
        </w:tc>
        <w:tc>
          <w:tcPr>
            <w:tcW w:w="582" w:type="dxa"/>
            <w:noWrap w:val="0"/>
            <w:vAlign w:val="center"/>
          </w:tcPr>
          <w:p w14:paraId="2B6955E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12</w:t>
            </w:r>
          </w:p>
        </w:tc>
        <w:tc>
          <w:tcPr>
            <w:tcW w:w="686" w:type="dxa"/>
            <w:noWrap w:val="0"/>
            <w:vAlign w:val="center"/>
          </w:tcPr>
          <w:p w14:paraId="6BE7795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0001C002">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0ADCBF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1.温度调节范围：室温～40℃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2.最大加热功率：150W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3.温度传感器：采用数字温度传感器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4.温度调节精度：0.1℃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5.温度调节方式：薄膜按键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6.控温精度：±0.1℃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7.显示精度：0.1℃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8.显示内容：实际温度和设定温度（同时）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9.药桶：</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20ml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10.药桶刻度精度：1ml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11.药桶内气量：大小可调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12.药桶内气体：空气或者外接氧气，可随意切换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13.水域的搅拌方式：内置式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14.控温方式：微电脑自动控温</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15.加热过冲：≤0.2℃</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16.漏电保护装置：有，动作电流10mA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17.张力换能器固定支架：有，且可伸缩 内置式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18.预热药液加入到试验管方式：按键自动移液</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19.废液收集系统：自动吸取废液装置 + 废液收集盒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20.工作电源：AC 220V/50Hz</w:t>
            </w:r>
          </w:p>
        </w:tc>
      </w:tr>
      <w:tr w14:paraId="58FE4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987ED4B">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7</w:t>
            </w:r>
          </w:p>
        </w:tc>
        <w:tc>
          <w:tcPr>
            <w:tcW w:w="911" w:type="dxa"/>
            <w:noWrap w:val="0"/>
            <w:vAlign w:val="center"/>
          </w:tcPr>
          <w:p w14:paraId="2805BD4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分光光度计</w:t>
            </w:r>
          </w:p>
        </w:tc>
        <w:tc>
          <w:tcPr>
            <w:tcW w:w="582" w:type="dxa"/>
            <w:noWrap w:val="0"/>
            <w:vAlign w:val="center"/>
          </w:tcPr>
          <w:p w14:paraId="1F971A3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4</w:t>
            </w:r>
          </w:p>
        </w:tc>
        <w:tc>
          <w:tcPr>
            <w:tcW w:w="686" w:type="dxa"/>
            <w:noWrap w:val="0"/>
            <w:vAlign w:val="center"/>
          </w:tcPr>
          <w:p w14:paraId="31EE0E0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5DBBB76E">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89D6C2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Style w:val="252"/>
                <w:rFonts w:hint="default" w:ascii="Arial" w:hAnsi="Arial" w:cs="Arial"/>
                <w:color w:val="auto"/>
                <w:sz w:val="21"/>
                <w:szCs w:val="21"/>
                <w:highlight w:val="none"/>
                <w:lang w:val="en-US" w:eastAsia="zh-CN" w:bidi="ar"/>
              </w:rPr>
              <w:t>波长范围：</w:t>
            </w:r>
            <w:r>
              <w:rPr>
                <w:rStyle w:val="253"/>
                <w:rFonts w:hint="default" w:ascii="Arial" w:hAnsi="Arial" w:eastAsia="宋体" w:cs="Arial"/>
                <w:color w:val="auto"/>
                <w:sz w:val="21"/>
                <w:szCs w:val="21"/>
                <w:highlight w:val="none"/>
                <w:lang w:val="en-US" w:eastAsia="zh-CN" w:bidi="ar"/>
              </w:rPr>
              <w:t>325nm ~ 1000nm</w:t>
            </w:r>
            <w:r>
              <w:rPr>
                <w:rStyle w:val="252"/>
                <w:rFonts w:hint="default" w:ascii="Arial" w:hAnsi="Arial" w:cs="Arial"/>
                <w:color w:val="auto"/>
                <w:sz w:val="21"/>
                <w:szCs w:val="21"/>
                <w:highlight w:val="none"/>
                <w:lang w:val="en-US" w:eastAsia="zh-CN" w:bidi="ar"/>
              </w:rPr>
              <w:t>；波长最大允许误差：</w:t>
            </w:r>
            <w:r>
              <w:rPr>
                <w:rStyle w:val="253"/>
                <w:rFonts w:hint="default" w:ascii="Arial" w:hAnsi="Arial" w:eastAsia="宋体" w:cs="Arial"/>
                <w:color w:val="auto"/>
                <w:sz w:val="21"/>
                <w:szCs w:val="21"/>
                <w:highlight w:val="none"/>
                <w:lang w:val="en-US" w:eastAsia="zh-CN" w:bidi="ar"/>
              </w:rPr>
              <w:t>±2nm</w:t>
            </w:r>
            <w:r>
              <w:rPr>
                <w:rStyle w:val="252"/>
                <w:rFonts w:hint="default" w:ascii="Arial" w:hAnsi="Arial" w:cs="Arial"/>
                <w:color w:val="auto"/>
                <w:sz w:val="21"/>
                <w:szCs w:val="21"/>
                <w:highlight w:val="none"/>
                <w:lang w:val="en-US" w:eastAsia="zh-CN" w:bidi="ar"/>
              </w:rPr>
              <w:t>；波长重复性：</w:t>
            </w:r>
            <w:r>
              <w:rPr>
                <w:rStyle w:val="253"/>
                <w:rFonts w:hint="default" w:ascii="Arial" w:hAnsi="Arial" w:eastAsia="宋体" w:cs="Arial"/>
                <w:color w:val="auto"/>
                <w:sz w:val="21"/>
                <w:szCs w:val="21"/>
                <w:highlight w:val="none"/>
                <w:lang w:val="en-US" w:eastAsia="zh-CN" w:bidi="ar"/>
              </w:rPr>
              <w:t>≤1nm</w:t>
            </w:r>
            <w:r>
              <w:rPr>
                <w:rStyle w:val="252"/>
                <w:rFonts w:hint="default" w:ascii="Arial" w:hAnsi="Arial" w:cs="Arial"/>
                <w:color w:val="auto"/>
                <w:sz w:val="21"/>
                <w:szCs w:val="21"/>
                <w:highlight w:val="none"/>
                <w:lang w:val="en-US" w:eastAsia="zh-CN" w:bidi="ar"/>
              </w:rPr>
              <w:t>；透射比最大允许误差：</w:t>
            </w:r>
            <w:r>
              <w:rPr>
                <w:rStyle w:val="253"/>
                <w:rFonts w:hint="default" w:ascii="Arial" w:hAnsi="Arial" w:eastAsia="宋体" w:cs="Arial"/>
                <w:color w:val="auto"/>
                <w:sz w:val="21"/>
                <w:szCs w:val="21"/>
                <w:highlight w:val="none"/>
                <w:lang w:val="en-US" w:eastAsia="zh-CN" w:bidi="ar"/>
              </w:rPr>
              <w:t xml:space="preserve">±0.5% (T) </w:t>
            </w:r>
            <w:r>
              <w:rPr>
                <w:rStyle w:val="252"/>
                <w:rFonts w:hint="default" w:ascii="Arial" w:hAnsi="Arial" w:cs="Arial"/>
                <w:color w:val="auto"/>
                <w:sz w:val="21"/>
                <w:szCs w:val="21"/>
                <w:highlight w:val="none"/>
                <w:lang w:val="en-US" w:eastAsia="zh-CN" w:bidi="ar"/>
              </w:rPr>
              <w:t>；透射比重复性：</w:t>
            </w:r>
            <w:r>
              <w:rPr>
                <w:rStyle w:val="253"/>
                <w:rFonts w:hint="default" w:ascii="Arial" w:hAnsi="Arial" w:eastAsia="宋体" w:cs="Arial"/>
                <w:color w:val="auto"/>
                <w:sz w:val="21"/>
                <w:szCs w:val="21"/>
                <w:highlight w:val="none"/>
                <w:lang w:val="en-US" w:eastAsia="zh-CN" w:bidi="ar"/>
              </w:rPr>
              <w:t>≤0.2% (T)</w:t>
            </w:r>
            <w:r>
              <w:rPr>
                <w:rStyle w:val="252"/>
                <w:rFonts w:hint="default" w:ascii="Arial" w:hAnsi="Arial" w:cs="Arial"/>
                <w:color w:val="auto"/>
                <w:sz w:val="21"/>
                <w:szCs w:val="21"/>
                <w:highlight w:val="none"/>
                <w:lang w:val="en-US" w:eastAsia="zh-CN" w:bidi="ar"/>
              </w:rPr>
              <w:t>；光谱带宽：</w:t>
            </w:r>
            <w:r>
              <w:rPr>
                <w:rStyle w:val="253"/>
                <w:rFonts w:hint="default" w:ascii="Arial" w:hAnsi="Arial" w:eastAsia="宋体" w:cs="Arial"/>
                <w:color w:val="auto"/>
                <w:sz w:val="21"/>
                <w:szCs w:val="21"/>
                <w:highlight w:val="none"/>
                <w:lang w:val="en-US" w:eastAsia="zh-CN" w:bidi="ar"/>
              </w:rPr>
              <w:t>4nm</w:t>
            </w:r>
            <w:r>
              <w:rPr>
                <w:rStyle w:val="252"/>
                <w:rFonts w:hint="default" w:ascii="Arial" w:hAnsi="Arial" w:cs="Arial"/>
                <w:color w:val="auto"/>
                <w:sz w:val="21"/>
                <w:szCs w:val="21"/>
                <w:highlight w:val="none"/>
                <w:lang w:val="en-US" w:eastAsia="zh-CN" w:bidi="ar"/>
              </w:rPr>
              <w:t>；杂散光：</w:t>
            </w:r>
            <w:r>
              <w:rPr>
                <w:rStyle w:val="253"/>
                <w:rFonts w:hint="default" w:ascii="Arial" w:hAnsi="Arial" w:eastAsia="宋体" w:cs="Arial"/>
                <w:color w:val="auto"/>
                <w:sz w:val="21"/>
                <w:szCs w:val="21"/>
                <w:highlight w:val="none"/>
                <w:lang w:val="en-US" w:eastAsia="zh-CN" w:bidi="ar"/>
              </w:rPr>
              <w:t>≤0.1% (T) (</w:t>
            </w:r>
            <w:r>
              <w:rPr>
                <w:rStyle w:val="252"/>
                <w:rFonts w:hint="default" w:ascii="Arial" w:hAnsi="Arial" w:cs="Arial"/>
                <w:color w:val="auto"/>
                <w:sz w:val="21"/>
                <w:szCs w:val="21"/>
                <w:highlight w:val="none"/>
                <w:lang w:val="en-US" w:eastAsia="zh-CN" w:bidi="ar"/>
              </w:rPr>
              <w:t>在</w:t>
            </w:r>
            <w:r>
              <w:rPr>
                <w:rStyle w:val="253"/>
                <w:rFonts w:hint="default" w:ascii="Arial" w:hAnsi="Arial" w:eastAsia="宋体" w:cs="Arial"/>
                <w:color w:val="auto"/>
                <w:sz w:val="21"/>
                <w:szCs w:val="21"/>
                <w:highlight w:val="none"/>
                <w:lang w:val="en-US" w:eastAsia="zh-CN" w:bidi="ar"/>
              </w:rPr>
              <w:t>360nm</w:t>
            </w:r>
            <w:r>
              <w:rPr>
                <w:rStyle w:val="252"/>
                <w:rFonts w:hint="default" w:ascii="Arial" w:hAnsi="Arial" w:cs="Arial"/>
                <w:color w:val="auto"/>
                <w:sz w:val="21"/>
                <w:szCs w:val="21"/>
                <w:highlight w:val="none"/>
                <w:lang w:val="en-US" w:eastAsia="zh-CN" w:bidi="ar"/>
              </w:rPr>
              <w:t>处，以</w:t>
            </w:r>
            <w:r>
              <w:rPr>
                <w:rStyle w:val="253"/>
                <w:rFonts w:hint="default" w:ascii="Arial" w:hAnsi="Arial" w:eastAsia="宋体" w:cs="Arial"/>
                <w:color w:val="auto"/>
                <w:sz w:val="21"/>
                <w:szCs w:val="21"/>
                <w:highlight w:val="none"/>
                <w:lang w:val="en-US" w:eastAsia="zh-CN" w:bidi="ar"/>
              </w:rPr>
              <w:t>NaNO2</w:t>
            </w:r>
            <w:r>
              <w:rPr>
                <w:rStyle w:val="252"/>
                <w:rFonts w:hint="default" w:ascii="Arial" w:hAnsi="Arial" w:cs="Arial"/>
                <w:color w:val="auto"/>
                <w:sz w:val="21"/>
                <w:szCs w:val="21"/>
                <w:highlight w:val="none"/>
                <w:lang w:val="en-US" w:eastAsia="zh-CN" w:bidi="ar"/>
              </w:rPr>
              <w:t>测定</w:t>
            </w:r>
            <w:r>
              <w:rPr>
                <w:rStyle w:val="253"/>
                <w:rFonts w:hint="default" w:ascii="Arial" w:hAnsi="Arial" w:eastAsia="宋体" w:cs="Arial"/>
                <w:color w:val="auto"/>
                <w:sz w:val="21"/>
                <w:szCs w:val="21"/>
                <w:highlight w:val="none"/>
                <w:lang w:val="en-US" w:eastAsia="zh-CN" w:bidi="ar"/>
              </w:rPr>
              <w:t>)</w:t>
            </w:r>
            <w:r>
              <w:rPr>
                <w:rStyle w:val="252"/>
                <w:rFonts w:hint="default" w:ascii="Arial" w:hAnsi="Arial" w:cs="Arial"/>
                <w:color w:val="auto"/>
                <w:sz w:val="21"/>
                <w:szCs w:val="21"/>
                <w:highlight w:val="none"/>
                <w:lang w:val="en-US" w:eastAsia="zh-CN" w:bidi="ar"/>
              </w:rPr>
              <w:t>；稳定性：暗电流漂移：</w:t>
            </w:r>
            <w:r>
              <w:rPr>
                <w:rStyle w:val="253"/>
                <w:rFonts w:hint="default" w:ascii="Arial" w:hAnsi="Arial" w:eastAsia="宋体" w:cs="Arial"/>
                <w:color w:val="auto"/>
                <w:sz w:val="21"/>
                <w:szCs w:val="21"/>
                <w:highlight w:val="none"/>
                <w:lang w:val="en-US" w:eastAsia="zh-CN" w:bidi="ar"/>
              </w:rPr>
              <w:t>0.2</w:t>
            </w:r>
            <w:r>
              <w:rPr>
                <w:rStyle w:val="252"/>
                <w:rFonts w:hint="default" w:ascii="Arial" w:hAnsi="Arial" w:cs="Arial"/>
                <w:color w:val="auto"/>
                <w:sz w:val="21"/>
                <w:szCs w:val="21"/>
                <w:highlight w:val="none"/>
                <w:lang w:val="en-US" w:eastAsia="zh-CN" w:bidi="ar"/>
              </w:rPr>
              <w:t>％</w:t>
            </w:r>
            <w:r>
              <w:rPr>
                <w:rStyle w:val="253"/>
                <w:rFonts w:hint="default" w:ascii="Arial" w:hAnsi="Arial" w:eastAsia="宋体" w:cs="Arial"/>
                <w:color w:val="auto"/>
                <w:sz w:val="21"/>
                <w:szCs w:val="21"/>
                <w:highlight w:val="none"/>
                <w:lang w:val="en-US" w:eastAsia="zh-CN" w:bidi="ar"/>
              </w:rPr>
              <w:t xml:space="preserve"> (T) / 3min</w:t>
            </w:r>
            <w:r>
              <w:rPr>
                <w:rStyle w:val="252"/>
                <w:rFonts w:hint="default" w:ascii="Arial" w:hAnsi="Arial" w:cs="Arial"/>
                <w:color w:val="auto"/>
                <w:sz w:val="21"/>
                <w:szCs w:val="21"/>
                <w:highlight w:val="none"/>
                <w:lang w:val="en-US" w:eastAsia="zh-CN" w:bidi="ar"/>
              </w:rPr>
              <w:t>，亮电流漂移：</w:t>
            </w:r>
            <w:r>
              <w:rPr>
                <w:rStyle w:val="253"/>
                <w:rFonts w:hint="default" w:ascii="Arial" w:hAnsi="Arial" w:eastAsia="宋体" w:cs="Arial"/>
                <w:color w:val="auto"/>
                <w:sz w:val="21"/>
                <w:szCs w:val="21"/>
                <w:highlight w:val="none"/>
                <w:lang w:val="en-US" w:eastAsia="zh-CN" w:bidi="ar"/>
              </w:rPr>
              <w:t>0.5</w:t>
            </w:r>
            <w:r>
              <w:rPr>
                <w:rStyle w:val="252"/>
                <w:rFonts w:hint="default" w:ascii="Arial" w:hAnsi="Arial" w:cs="Arial"/>
                <w:color w:val="auto"/>
                <w:sz w:val="21"/>
                <w:szCs w:val="21"/>
                <w:highlight w:val="none"/>
                <w:lang w:val="en-US" w:eastAsia="zh-CN" w:bidi="ar"/>
              </w:rPr>
              <w:t>％</w:t>
            </w:r>
            <w:r>
              <w:rPr>
                <w:rStyle w:val="253"/>
                <w:rFonts w:hint="default" w:ascii="Arial" w:hAnsi="Arial" w:eastAsia="宋体" w:cs="Arial"/>
                <w:color w:val="auto"/>
                <w:sz w:val="21"/>
                <w:szCs w:val="21"/>
                <w:highlight w:val="none"/>
                <w:lang w:val="en-US" w:eastAsia="zh-CN" w:bidi="ar"/>
              </w:rPr>
              <w:t xml:space="preserve"> (T) / 3min</w:t>
            </w:r>
            <w:r>
              <w:rPr>
                <w:rStyle w:val="252"/>
                <w:rFonts w:hint="default" w:ascii="Arial" w:hAnsi="Arial" w:cs="Arial"/>
                <w:color w:val="auto"/>
                <w:sz w:val="21"/>
                <w:szCs w:val="21"/>
                <w:highlight w:val="none"/>
                <w:lang w:val="en-US" w:eastAsia="zh-CN" w:bidi="ar"/>
              </w:rPr>
              <w:t>； 电源电压：</w:t>
            </w:r>
            <w:r>
              <w:rPr>
                <w:rStyle w:val="253"/>
                <w:rFonts w:hint="default" w:ascii="Arial" w:hAnsi="Arial" w:eastAsia="宋体" w:cs="Arial"/>
                <w:color w:val="auto"/>
                <w:sz w:val="21"/>
                <w:szCs w:val="21"/>
                <w:highlight w:val="none"/>
                <w:lang w:val="en-US" w:eastAsia="zh-CN" w:bidi="ar"/>
              </w:rPr>
              <w:t>AC220V±22V 50Hz±1Hz</w:t>
            </w:r>
            <w:r>
              <w:rPr>
                <w:rStyle w:val="252"/>
                <w:rFonts w:hint="default" w:ascii="Arial" w:hAnsi="Arial" w:cs="Arial"/>
                <w:color w:val="auto"/>
                <w:sz w:val="21"/>
                <w:szCs w:val="21"/>
                <w:highlight w:val="none"/>
                <w:lang w:val="en-US" w:eastAsia="zh-CN" w:bidi="ar"/>
              </w:rPr>
              <w:t>；功率：</w:t>
            </w:r>
            <w:r>
              <w:rPr>
                <w:rStyle w:val="253"/>
                <w:rFonts w:hint="default" w:ascii="Arial" w:hAnsi="Arial" w:eastAsia="宋体" w:cs="Arial"/>
                <w:color w:val="auto"/>
                <w:sz w:val="21"/>
                <w:szCs w:val="21"/>
                <w:highlight w:val="none"/>
                <w:lang w:val="en-US" w:eastAsia="zh-CN" w:bidi="ar"/>
              </w:rPr>
              <w:t>80W</w:t>
            </w:r>
            <w:r>
              <w:rPr>
                <w:rStyle w:val="252"/>
                <w:rFonts w:hint="default" w:ascii="Arial" w:hAnsi="Arial" w:cs="Arial"/>
                <w:color w:val="auto"/>
                <w:sz w:val="21"/>
                <w:szCs w:val="21"/>
                <w:highlight w:val="none"/>
                <w:lang w:val="en-US" w:eastAsia="zh-CN" w:bidi="ar"/>
              </w:rPr>
              <w:t>。</w:t>
            </w:r>
            <w:r>
              <w:rPr>
                <w:rStyle w:val="252"/>
                <w:rFonts w:hint="default" w:ascii="Arial" w:hAnsi="Arial" w:cs="Arial"/>
                <w:color w:val="auto"/>
                <w:sz w:val="21"/>
                <w:szCs w:val="21"/>
                <w:highlight w:val="none"/>
                <w:lang w:val="en-US" w:eastAsia="zh-CN" w:bidi="ar"/>
              </w:rPr>
              <w:br w:type="textWrapping"/>
            </w:r>
            <w:r>
              <w:rPr>
                <w:rStyle w:val="252"/>
                <w:rFonts w:hint="default" w:ascii="Arial" w:hAnsi="Arial" w:cs="Arial"/>
                <w:color w:val="auto"/>
                <w:sz w:val="21"/>
                <w:szCs w:val="21"/>
                <w:highlight w:val="none"/>
                <w:lang w:val="en-US" w:eastAsia="zh-CN" w:bidi="ar"/>
              </w:rPr>
              <w:t>全息闪耀光栅单色器； 采用</w:t>
            </w:r>
            <w:r>
              <w:rPr>
                <w:rFonts w:hint="eastAsia"/>
                <w:color w:val="auto"/>
                <w:highlight w:val="none"/>
              </w:rPr>
              <w:t>≥</w:t>
            </w:r>
            <w:r>
              <w:rPr>
                <w:rStyle w:val="253"/>
                <w:rFonts w:hint="default" w:ascii="Arial" w:hAnsi="Arial" w:eastAsia="宋体" w:cs="Arial"/>
                <w:color w:val="auto"/>
                <w:sz w:val="21"/>
                <w:szCs w:val="21"/>
                <w:highlight w:val="none"/>
                <w:lang w:val="en-US" w:eastAsia="zh-CN" w:bidi="ar"/>
              </w:rPr>
              <w:t>7</w:t>
            </w:r>
            <w:r>
              <w:rPr>
                <w:rStyle w:val="252"/>
                <w:rFonts w:hint="default" w:ascii="Arial" w:hAnsi="Arial" w:cs="Arial"/>
                <w:color w:val="auto"/>
                <w:sz w:val="21"/>
                <w:szCs w:val="21"/>
                <w:highlight w:val="none"/>
                <w:lang w:val="en-US" w:eastAsia="zh-CN" w:bidi="ar"/>
              </w:rPr>
              <w:t>英寸彩色触摸屏；增加</w:t>
            </w:r>
            <w:r>
              <w:rPr>
                <w:rStyle w:val="253"/>
                <w:rFonts w:hint="default" w:ascii="Arial" w:hAnsi="Arial" w:eastAsia="宋体" w:cs="Arial"/>
                <w:color w:val="auto"/>
                <w:sz w:val="21"/>
                <w:szCs w:val="21"/>
                <w:highlight w:val="none"/>
                <w:lang w:val="en-US" w:eastAsia="zh-CN" w:bidi="ar"/>
              </w:rPr>
              <w:t>USB</w:t>
            </w:r>
            <w:r>
              <w:rPr>
                <w:rStyle w:val="252"/>
                <w:rFonts w:hint="default" w:ascii="Arial" w:hAnsi="Arial" w:cs="Arial"/>
                <w:color w:val="auto"/>
                <w:sz w:val="21"/>
                <w:szCs w:val="21"/>
                <w:highlight w:val="none"/>
                <w:lang w:val="en-US" w:eastAsia="zh-CN" w:bidi="ar"/>
              </w:rPr>
              <w:t>接口，可存储数据≥2000条，工作曲线≥96条； 浓度测试方法增加线性回归法和系数法；采用微机测量系统，</w:t>
            </w:r>
            <w:r>
              <w:rPr>
                <w:rStyle w:val="253"/>
                <w:rFonts w:hint="default" w:ascii="Arial" w:hAnsi="Arial" w:eastAsia="宋体" w:cs="Arial"/>
                <w:color w:val="auto"/>
                <w:sz w:val="21"/>
                <w:szCs w:val="21"/>
                <w:highlight w:val="none"/>
                <w:lang w:val="en-US" w:eastAsia="zh-CN" w:bidi="ar"/>
              </w:rPr>
              <w:t>T-A</w:t>
            </w:r>
            <w:r>
              <w:rPr>
                <w:rStyle w:val="252"/>
                <w:rFonts w:hint="default" w:ascii="Arial" w:hAnsi="Arial" w:cs="Arial"/>
                <w:color w:val="auto"/>
                <w:sz w:val="21"/>
                <w:szCs w:val="21"/>
                <w:highlight w:val="none"/>
                <w:lang w:val="en-US" w:eastAsia="zh-CN" w:bidi="ar"/>
              </w:rPr>
              <w:t>转换精度高，并有自动调</w:t>
            </w:r>
            <w:r>
              <w:rPr>
                <w:rStyle w:val="253"/>
                <w:rFonts w:hint="default" w:ascii="Arial" w:hAnsi="Arial" w:eastAsia="宋体" w:cs="Arial"/>
                <w:color w:val="auto"/>
                <w:sz w:val="21"/>
                <w:szCs w:val="21"/>
                <w:highlight w:val="none"/>
                <w:lang w:val="en-US" w:eastAsia="zh-CN" w:bidi="ar"/>
              </w:rPr>
              <w:t>0%( T )</w:t>
            </w:r>
            <w:r>
              <w:rPr>
                <w:rStyle w:val="252"/>
                <w:rFonts w:hint="default" w:ascii="Arial" w:hAnsi="Arial" w:cs="Arial"/>
                <w:color w:val="auto"/>
                <w:sz w:val="21"/>
                <w:szCs w:val="21"/>
                <w:highlight w:val="none"/>
                <w:lang w:val="en-US" w:eastAsia="zh-CN" w:bidi="ar"/>
              </w:rPr>
              <w:t>和调</w:t>
            </w:r>
            <w:r>
              <w:rPr>
                <w:rStyle w:val="253"/>
                <w:rFonts w:hint="default" w:ascii="Arial" w:hAnsi="Arial" w:eastAsia="宋体" w:cs="Arial"/>
                <w:color w:val="auto"/>
                <w:sz w:val="21"/>
                <w:szCs w:val="21"/>
                <w:highlight w:val="none"/>
                <w:lang w:val="en-US" w:eastAsia="zh-CN" w:bidi="ar"/>
              </w:rPr>
              <w:t>100%( T )</w:t>
            </w:r>
            <w:r>
              <w:rPr>
                <w:rStyle w:val="252"/>
                <w:rFonts w:hint="default" w:ascii="Arial" w:hAnsi="Arial" w:cs="Arial"/>
                <w:color w:val="auto"/>
                <w:sz w:val="21"/>
                <w:szCs w:val="21"/>
                <w:highlight w:val="none"/>
                <w:lang w:val="en-US" w:eastAsia="zh-CN" w:bidi="ar"/>
              </w:rPr>
              <w:t>，浓度因子设定、浓度直读；测量读数准确性高。</w:t>
            </w:r>
          </w:p>
        </w:tc>
      </w:tr>
      <w:tr w14:paraId="69F7E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7C85CF1">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8</w:t>
            </w:r>
          </w:p>
        </w:tc>
        <w:tc>
          <w:tcPr>
            <w:tcW w:w="911" w:type="dxa"/>
            <w:noWrap w:val="0"/>
            <w:vAlign w:val="center"/>
          </w:tcPr>
          <w:p w14:paraId="26DA011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冷热板仪</w:t>
            </w:r>
          </w:p>
        </w:tc>
        <w:tc>
          <w:tcPr>
            <w:tcW w:w="582" w:type="dxa"/>
            <w:noWrap w:val="0"/>
            <w:vAlign w:val="center"/>
          </w:tcPr>
          <w:p w14:paraId="598EC5B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6164DB1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3B95EB60">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79BAD8E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1、外形尺寸：440</w:t>
            </w:r>
            <w:r>
              <w:rPr>
                <w:rFonts w:hint="eastAsia" w:ascii="Arial" w:hAnsi="Arial" w:cs="Arial"/>
                <w:i w:val="0"/>
                <w:iCs w:val="0"/>
                <w:color w:val="auto"/>
                <w:kern w:val="0"/>
                <w:sz w:val="21"/>
                <w:szCs w:val="21"/>
                <w:highlight w:val="none"/>
                <w:u w:val="none"/>
                <w:lang w:val="en-US" w:eastAsia="zh-CN" w:bidi="ar"/>
              </w:rPr>
              <w:t>mm（</w:t>
            </w:r>
            <w:r>
              <w:rPr>
                <w:rFonts w:hint="eastAsia" w:ascii="Arial" w:hAnsi="Arial" w:cs="Arial"/>
                <w:color w:val="auto"/>
                <w:highlight w:val="none"/>
                <w:lang w:val="en-US" w:eastAsia="zh-CN"/>
              </w:rPr>
              <w:t>长)</w:t>
            </w:r>
            <w:r>
              <w:rPr>
                <w:rFonts w:hint="default" w:ascii="Arial" w:hAnsi="Arial" w:eastAsia="宋体" w:cs="Arial"/>
                <w:i w:val="0"/>
                <w:iCs w:val="0"/>
                <w:color w:val="auto"/>
                <w:kern w:val="0"/>
                <w:sz w:val="21"/>
                <w:szCs w:val="21"/>
                <w:highlight w:val="none"/>
                <w:u w:val="none"/>
                <w:lang w:val="en-US" w:eastAsia="zh-CN" w:bidi="ar"/>
              </w:rPr>
              <w:t>×270mm</w:t>
            </w:r>
            <w:r>
              <w:rPr>
                <w:rFonts w:hint="eastAsia" w:ascii="Arial" w:hAnsi="Arial" w:cs="Arial"/>
                <w:i w:val="0"/>
                <w:iCs w:val="0"/>
                <w:color w:val="auto"/>
                <w:kern w:val="0"/>
                <w:sz w:val="21"/>
                <w:szCs w:val="21"/>
                <w:highlight w:val="none"/>
                <w:u w:val="none"/>
                <w:lang w:val="en-US" w:eastAsia="zh-CN" w:bidi="ar"/>
              </w:rPr>
              <w:t>（宽）</w:t>
            </w:r>
            <w:r>
              <w:rPr>
                <w:rFonts w:hint="default" w:ascii="Arial" w:hAnsi="Arial" w:eastAsia="宋体" w:cs="Arial"/>
                <w:i w:val="0"/>
                <w:iCs w:val="0"/>
                <w:color w:val="auto"/>
                <w:kern w:val="0"/>
                <w:sz w:val="21"/>
                <w:szCs w:val="21"/>
                <w:highlight w:val="none"/>
                <w:u w:val="none"/>
                <w:lang w:val="en-US" w:eastAsia="zh-CN" w:bidi="ar"/>
              </w:rPr>
              <w:t>×300mm</w:t>
            </w:r>
            <w:r>
              <w:rPr>
                <w:rFonts w:hint="eastAsia" w:ascii="Arial" w:hAnsi="Arial" w:cs="Arial"/>
                <w:i w:val="0"/>
                <w:iCs w:val="0"/>
                <w:color w:val="auto"/>
                <w:kern w:val="0"/>
                <w:sz w:val="21"/>
                <w:szCs w:val="21"/>
                <w:highlight w:val="none"/>
                <w:u w:val="none"/>
                <w:lang w:val="en-US" w:eastAsia="zh-CN" w:bidi="ar"/>
              </w:rPr>
              <w:t xml:space="preserve"> （高）</w:t>
            </w:r>
            <w:r>
              <w:rPr>
                <w:rStyle w:val="251"/>
                <w:rFonts w:hint="eastAsia" w:ascii="宋体" w:hAnsi="宋体" w:eastAsia="宋体" w:cs="宋体"/>
                <w:color w:val="auto"/>
                <w:sz w:val="21"/>
                <w:szCs w:val="21"/>
                <w:highlight w:val="none"/>
                <w:lang w:val="en-US" w:eastAsia="zh-CN" w:bidi="ar"/>
              </w:rPr>
              <w:t>±</w:t>
            </w:r>
            <w:r>
              <w:rPr>
                <w:rStyle w:val="251"/>
                <w:rFonts w:hint="eastAsia" w:ascii="Arial" w:hAnsi="Arial" w:cs="Arial"/>
                <w:color w:val="auto"/>
                <w:sz w:val="21"/>
                <w:szCs w:val="21"/>
                <w:highlight w:val="none"/>
                <w:lang w:val="en-US" w:eastAsia="zh-CN" w:bidi="ar"/>
              </w:rPr>
              <w:t>10mm</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2、冷热板直径：200mm；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3、裸机重量：约10kg；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4、电源：支持电压100V~240V 50/60Hz 电源输入，功耗约400W；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5、温控范围：-5.0℃~80.0℃，调节精度0.1℃；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6、升温时间：室温下25-55℃升温时间＜4分钟，25-4℃降温时间＜5分钟，噪声＜60dB；</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7、实验模式：直接使用、科研模式、教学模式，用户可自定义教学步骤；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8、记录信息：实验时间、动物信息、测量值（计次时间）；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9、控制方式：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7寸IPS高清彩色电容触屏，屏幕分辨率1024×600；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10、热敏打印机最大打印宽度：32字节；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11、配备脚踏开关；</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12、配备实验观察筒；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13、实验数据存储空间：</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8GB；</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14、传输方式：WiFi、网线、USB连接；</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15、外壳材料：ABS。</w:t>
            </w:r>
          </w:p>
        </w:tc>
      </w:tr>
      <w:tr w14:paraId="2FE05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91794C3">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9</w:t>
            </w:r>
          </w:p>
        </w:tc>
        <w:tc>
          <w:tcPr>
            <w:tcW w:w="911" w:type="dxa"/>
            <w:noWrap w:val="0"/>
            <w:vAlign w:val="center"/>
          </w:tcPr>
          <w:p w14:paraId="4F3F016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不锈钢实验凳</w:t>
            </w:r>
          </w:p>
        </w:tc>
        <w:tc>
          <w:tcPr>
            <w:tcW w:w="582" w:type="dxa"/>
            <w:noWrap w:val="0"/>
            <w:vAlign w:val="center"/>
          </w:tcPr>
          <w:p w14:paraId="0D495D8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30</w:t>
            </w:r>
          </w:p>
        </w:tc>
        <w:tc>
          <w:tcPr>
            <w:tcW w:w="686" w:type="dxa"/>
            <w:noWrap w:val="0"/>
            <w:vAlign w:val="center"/>
          </w:tcPr>
          <w:p w14:paraId="70E65D3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张</w:t>
            </w:r>
          </w:p>
        </w:tc>
        <w:tc>
          <w:tcPr>
            <w:tcW w:w="754" w:type="dxa"/>
            <w:noWrap w:val="0"/>
            <w:vAlign w:val="center"/>
          </w:tcPr>
          <w:p w14:paraId="3E0156C2">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7483465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1.凳面:304不锈钢一次成型圆面</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直径350MM，厚度：35-40MM，底部三角加固；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2.表面电阻:106-109欧</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系统电阻:106-109欧，需配导电脚杯；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3.旋转杆：加粗螺旋杆,可调高度范围:约500MM-700MM，带304防尘盖；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4.凳脚:钢镀铬五星脚</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半径约260mm；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5.脚轮:高强度耐磨PA固定脚杯</w:t>
            </w:r>
            <w:r>
              <w:rPr>
                <w:rFonts w:hint="eastAsia" w:ascii="Arial" w:hAnsi="Arial" w:cs="Arial"/>
                <w:i w:val="0"/>
                <w:iCs w:val="0"/>
                <w:color w:val="auto"/>
                <w:kern w:val="0"/>
                <w:sz w:val="21"/>
                <w:szCs w:val="21"/>
                <w:highlight w:val="none"/>
                <w:u w:val="none"/>
                <w:lang w:val="en-US" w:eastAsia="zh-CN" w:bidi="ar"/>
              </w:rPr>
              <w:t>。</w:t>
            </w:r>
          </w:p>
        </w:tc>
      </w:tr>
      <w:tr w14:paraId="555E0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3" w:hRule="atLeast"/>
          <w:jc w:val="center"/>
        </w:trPr>
        <w:tc>
          <w:tcPr>
            <w:tcW w:w="509" w:type="dxa"/>
            <w:noWrap w:val="0"/>
            <w:vAlign w:val="center"/>
          </w:tcPr>
          <w:p w14:paraId="24172FD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w:t>
            </w:r>
          </w:p>
        </w:tc>
        <w:tc>
          <w:tcPr>
            <w:tcW w:w="911" w:type="dxa"/>
            <w:noWrap w:val="0"/>
            <w:vAlign w:val="center"/>
          </w:tcPr>
          <w:p w14:paraId="6ECA557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生物显微镜</w:t>
            </w:r>
          </w:p>
        </w:tc>
        <w:tc>
          <w:tcPr>
            <w:tcW w:w="582" w:type="dxa"/>
            <w:noWrap w:val="0"/>
            <w:vAlign w:val="center"/>
          </w:tcPr>
          <w:p w14:paraId="4EB83FA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17</w:t>
            </w:r>
          </w:p>
        </w:tc>
        <w:tc>
          <w:tcPr>
            <w:tcW w:w="686" w:type="dxa"/>
            <w:noWrap w:val="0"/>
            <w:vAlign w:val="center"/>
          </w:tcPr>
          <w:p w14:paraId="327BB02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4620AA97">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top"/>
          </w:tcPr>
          <w:p w14:paraId="56044671">
            <w:pPr>
              <w:pStyle w:val="17"/>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用途：可观察普通染色的切片观察，用于教学及临床工作。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1．工作条件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 适于在气温为摄氏-40℃～＋50℃的环境条件下运输和贮存，在电源220V（10%）/50Hz、气温摄氏5℃～40℃和相对湿度80%的环境条件下运行。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 配置符合中国有关标准要求的插头，或提供适当的转换插座。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2．主要技术指标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 生物显微镜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2.1.1 光学系统：无限远光学矫正系统，齐焦距离≤45mm。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2.1.2 载物台：尺寸≥120</w:t>
            </w:r>
            <w:r>
              <w:rPr>
                <w:rFonts w:hint="eastAsia" w:ascii="Arial" w:hAnsi="Arial" w:cs="Arial"/>
                <w:i w:val="0"/>
                <w:iCs w:val="0"/>
                <w:color w:val="auto"/>
                <w:kern w:val="0"/>
                <w:sz w:val="21"/>
                <w:szCs w:val="21"/>
                <w:highlight w:val="none"/>
                <w:u w:val="none"/>
                <w:lang w:val="en-US" w:eastAsia="zh-CN" w:bidi="ar"/>
              </w:rPr>
              <w:t>mm(长）</w:t>
            </w:r>
            <w:r>
              <w:rPr>
                <w:rFonts w:hint="default" w:ascii="Arial" w:hAnsi="Arial" w:eastAsia="宋体" w:cs="Arial"/>
                <w:i w:val="0"/>
                <w:iCs w:val="0"/>
                <w:color w:val="auto"/>
                <w:kern w:val="0"/>
                <w:sz w:val="21"/>
                <w:szCs w:val="21"/>
                <w:highlight w:val="none"/>
                <w:u w:val="none"/>
                <w:lang w:val="en-US" w:eastAsia="zh-CN" w:bidi="ar"/>
              </w:rPr>
              <w:t xml:space="preserve"> x 132mm</w:t>
            </w:r>
            <w:r>
              <w:rPr>
                <w:rFonts w:hint="eastAsia" w:ascii="Arial" w:hAnsi="Arial" w:cs="Arial"/>
                <w:i w:val="0"/>
                <w:iCs w:val="0"/>
                <w:color w:val="auto"/>
                <w:kern w:val="0"/>
                <w:sz w:val="21"/>
                <w:szCs w:val="21"/>
                <w:highlight w:val="none"/>
                <w:u w:val="none"/>
                <w:lang w:val="en-US" w:eastAsia="zh-CN" w:bidi="ar"/>
              </w:rPr>
              <w:t>（宽）</w:t>
            </w:r>
            <w:r>
              <w:rPr>
                <w:rFonts w:hint="default" w:ascii="Arial" w:hAnsi="Arial" w:eastAsia="宋体" w:cs="Arial"/>
                <w:i w:val="0"/>
                <w:iCs w:val="0"/>
                <w:color w:val="auto"/>
                <w:kern w:val="0"/>
                <w:sz w:val="21"/>
                <w:szCs w:val="21"/>
                <w:highlight w:val="none"/>
                <w:u w:val="none"/>
                <w:lang w:val="en-US" w:eastAsia="zh-CN" w:bidi="ar"/>
              </w:rPr>
              <w:t>；行程≥76mm（X）x 30mm（Y）</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2.1.3 调焦机构：有粗调限位，可以进行张力调节，避免标本或物镜的损伤。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2.1.4 聚光镜：带有孔径光阑的阿贝聚光镜，N.A. 1.25，带有蓝色滤色片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2.1.5 照明系统：20000小时寿命LED光源</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2.1.6 观察筒：瞳距调整范围50-75mm， 倾斜角度30°，带屈光度调节，360°可旋转，眼点高度≥432.9 mm，视场数≥20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2.1.7 目镜：10X，带眼罩，视场数≥20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2.1.8 物镜转盘：与显微镜机身固定的内旋式4孔物镜转盘，便于放置标本等操作。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2.1.9 物镜：平场消色差物镜4X（N.A.≥0.1 W.D≥25）、10X（N.A.≥0.25 W.D≥6）、40X（N.A.≥0.65 W.D≥0.4）、100X（N.A.≥1.25 W.D≥0.1）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2.1.10 主机具备人体工程学移动设计方便整机移动，同时具有内置储线盒方便电源线随机储存，避免电源线丢失。</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配置清单：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3.1显微镜主机 一套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3.2防尘罩 一个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3.3电源线 一个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3.4 目镜指针 一套</w:t>
            </w:r>
          </w:p>
        </w:tc>
      </w:tr>
      <w:tr w14:paraId="475C2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7023A6B">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w:t>
            </w:r>
          </w:p>
        </w:tc>
        <w:tc>
          <w:tcPr>
            <w:tcW w:w="911" w:type="dxa"/>
            <w:noWrap w:val="0"/>
            <w:vAlign w:val="center"/>
          </w:tcPr>
          <w:p w14:paraId="16C728A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紫外可见分光光度计</w:t>
            </w:r>
          </w:p>
        </w:tc>
        <w:tc>
          <w:tcPr>
            <w:tcW w:w="582" w:type="dxa"/>
            <w:noWrap w:val="0"/>
            <w:vAlign w:val="center"/>
          </w:tcPr>
          <w:p w14:paraId="4D3453D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4</w:t>
            </w:r>
          </w:p>
        </w:tc>
        <w:tc>
          <w:tcPr>
            <w:tcW w:w="686" w:type="dxa"/>
            <w:noWrap w:val="0"/>
            <w:vAlign w:val="center"/>
          </w:tcPr>
          <w:p w14:paraId="708F3B1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4CD77909">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01C883E">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光学系统：单光束,1200条/毫米衍射光栅</w:t>
            </w:r>
          </w:p>
          <w:p w14:paraId="1BB2CC1A">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波长范围 200-1000nm</w:t>
            </w:r>
          </w:p>
          <w:p w14:paraId="25C88ECB">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光谱带宽 4nm </w:t>
            </w:r>
          </w:p>
          <w:p w14:paraId="078A59CA">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波长重复性 ±0.5nm</w:t>
            </w:r>
          </w:p>
          <w:p w14:paraId="0B52BCB0">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光度准确度 0.3%T</w:t>
            </w:r>
          </w:p>
          <w:p w14:paraId="069E8818">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光度重复性 0.2%T </w:t>
            </w:r>
          </w:p>
          <w:p w14:paraId="3B13FE5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杂散光 ≤0.3%T @ 220nm &amp; 340nm 稳定性 0.002A/h @ 500nm       光度范围 -0.3-3Abs., 0-200%Trans.</w:t>
            </w:r>
          </w:p>
        </w:tc>
      </w:tr>
      <w:tr w14:paraId="54BA6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3B356E0">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911" w:type="dxa"/>
            <w:noWrap w:val="0"/>
            <w:vAlign w:val="center"/>
          </w:tcPr>
          <w:p w14:paraId="421BE8C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超纯水机</w:t>
            </w:r>
          </w:p>
        </w:tc>
        <w:tc>
          <w:tcPr>
            <w:tcW w:w="582" w:type="dxa"/>
            <w:noWrap w:val="0"/>
            <w:vAlign w:val="center"/>
          </w:tcPr>
          <w:p w14:paraId="054D0A3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2711257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310CDA30">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E1E91A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 自来水作为进水水源，同时生产纯水和超纯水；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进水压力：0.25-0.4Mpa；工作电源：220V/50Hz； 60-100W；工作环境：温度5-40℃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取水速度：1.5-2.5L/min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4、 外形尺寸：台式：500mm（长)×370mm（宽）×620 mm （高）±10mm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 RO纯水：电阻率＞0.2 MΩ；电导率＜5μs/cm@25℃(源水TDS&lt;200ppm)，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6、在线监控HC超纯水：电阻率18.25MΩ.cm@25℃ ，优于中国实验室用水规格GB/T6682-2008一级水标准；热原&lt;0.001EU/ml***，TOC&lt;5ppb**，微生物&lt;0.1cfu/ml，颗粒（&gt;0.01um）&lt;1个/ml，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7、产水量:</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10L/H,</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5.0寸大屏幕彩色触摸液晶显示屏、人性化的操作界面；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9、系统配备5路传感器，5路开关信号接入其中3路水质监控，实时监测：源水、RO水、UP超纯水水质，水质下降报警提示；2路流量传感器实时监测纯水超纯水；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10、耗材寿命智能化管理，具备耗材寿命可设定，已使用时间提示，耗材到期更换提醒功能；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11、缺水、水满报警，源水、RO反渗透水、DI去离子水/UP超纯水超标报警；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12、系统具有定时定量取水功能，纯水和超纯水2路定量(10-999999ml)取水、定质(1~18.25MΩ.cm)取水功能；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13、四位用户密码和工厂密码保护，防止未经授权进入系统更改参数；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14、全自动RO膜防垢冲洗(可设定冲洗间隔时间和持续时间)及手动强制冲洗程序，延长RO膜使用寿命；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15、系统配置总有机碳TOC实时监控显示功能；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16、配备USBHOST接口，定期导出历史告警记录和历史取水记录，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17、配备RS232或RS485通信接口，记录运行数据，可接微型打印机及监控软件；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18、ABS工程塑料机壳，耐腐蚀、安全绝缘性能符合GLP安全要求；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19、预处理、RO、超纯化组件，采用模块式独立结构，系统维护、滤芯更换更加便捷，符合GLP规范；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20、RO膜组件设计，采用RO膜片，实现了RO膜的长寿命与高品质水质的结合；</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21、耗材一体化设计，可独立安装的一体化HC40-2柱式超纯化柱组模块，可独立安装的预处理系统安装方便简单；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22、双波长(185nm&amp;254nm)UV紫外灯组件(灯管)，有效杀菌，降低TOC，增强系统适用范围；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23、采用囊式终端过滤器，最终保证产品水水质，防止反串污染；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24、具备模拟压力传感器和模拟液位传感器，可以直接显示进水压力和水箱储存量；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25、全管路消毒程序，可手动执行“循环消毒”、“取水口消毒”、“水箱补水”、“手动排污”、“停止消毒”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26、采用低压24V电源，符合安全规范，满足潮湿环境使用；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28、与主机同一品牌的30L多功能水箱，圆锥底设计，可直接安装紫外灯，含液位开关控制，标配空气过滤器；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29、超纯水机电导率为0.0055ms/m(25℃)，吸光度0.0003（254nm,1cm光程）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二、配置清单: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1、ABS工程塑料机箱 主机 1台；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2、30升无菌专用水箱含液位及空气过滤器 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3、囊式过滤器1套；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4、185波长紫外灭菌装置1套；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5、HC40-2双柱式一体化预纯化柱1套（填装树脂）；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6、HC40-2双柱式一体化超纯化柱1套（填装树脂）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7、反渗透膜过滤装置 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7、一体式双柱预处理过滤柱1套；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8、5英寸全触摸液晶显屏幕 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9、集成电路控制主板1套；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10、三路水质监测传感器：自来水电导检测仪，纯水电导监测仪，超纯水电阻监测仪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11、2路流量监测传感器：纯水流量计，超纯水流量计；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12、USB数据线  1根；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13、预处理扳手1套；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14、不锈钢三通，管件1套；</w:t>
            </w:r>
          </w:p>
        </w:tc>
      </w:tr>
      <w:tr w14:paraId="7BE2B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8E6B4B8">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w:t>
            </w:r>
          </w:p>
        </w:tc>
        <w:tc>
          <w:tcPr>
            <w:tcW w:w="911" w:type="dxa"/>
            <w:noWrap w:val="0"/>
            <w:vAlign w:val="center"/>
          </w:tcPr>
          <w:p w14:paraId="48276C5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电泳仪电源</w:t>
            </w:r>
          </w:p>
        </w:tc>
        <w:tc>
          <w:tcPr>
            <w:tcW w:w="582" w:type="dxa"/>
            <w:noWrap w:val="0"/>
            <w:vAlign w:val="center"/>
          </w:tcPr>
          <w:p w14:paraId="1F9C94D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397EFFC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29722C08">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2A22E0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1.并联输出：4组</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2.输出范围（显示分辨率）：6-600V(1V)      4-400mA (1mA)      240W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3.外形尺寸（W×D×H）：</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315×290×128mm</w:t>
            </w:r>
            <w:r>
              <w:rPr>
                <w:rFonts w:hint="eastAsia" w:ascii="Arial" w:hAnsi="Arial" w:cs="Arial"/>
                <w:i w:val="0"/>
                <w:iCs w:val="0"/>
                <w:color w:val="auto"/>
                <w:kern w:val="0"/>
                <w:sz w:val="21"/>
                <w:szCs w:val="21"/>
                <w:highlight w:val="none"/>
                <w:u w:val="none"/>
                <w:lang w:val="en-US" w:eastAsia="zh-CN" w:bidi="ar"/>
              </w:rPr>
              <w:t>）</w:t>
            </w:r>
            <w:r>
              <w:rPr>
                <w:rStyle w:val="251"/>
                <w:rFonts w:hint="eastAsia" w:ascii="宋体" w:hAnsi="宋体" w:eastAsia="宋体" w:cs="宋体"/>
                <w:color w:val="auto"/>
                <w:sz w:val="21"/>
                <w:szCs w:val="21"/>
                <w:highlight w:val="none"/>
                <w:lang w:val="en-US" w:eastAsia="zh-CN" w:bidi="ar"/>
              </w:rPr>
              <w:t>±</w:t>
            </w:r>
            <w:r>
              <w:rPr>
                <w:rStyle w:val="251"/>
                <w:rFonts w:hint="eastAsia" w:ascii="Arial" w:hAnsi="Arial" w:cs="Arial"/>
                <w:color w:val="auto"/>
                <w:sz w:val="21"/>
                <w:szCs w:val="21"/>
                <w:highlight w:val="none"/>
                <w:lang w:val="en-US" w:eastAsia="zh-CN" w:bidi="ar"/>
              </w:rPr>
              <w:t>10mm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5Kg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5.在工作状态中，可以实时微调；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6.微电脑智能控制；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7.液晶屏幕显示，同时显示电压、电流和定时时间；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8.采用开关电源输出；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9.具有存储记忆功能；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10.具有过压、过流、过载、变载、空载等多项报警保护功能；</w:t>
            </w:r>
          </w:p>
        </w:tc>
      </w:tr>
      <w:tr w14:paraId="7C9C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9F444E1">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911" w:type="dxa"/>
            <w:noWrap w:val="0"/>
            <w:vAlign w:val="center"/>
          </w:tcPr>
          <w:p w14:paraId="3998F7F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冰柜</w:t>
            </w:r>
          </w:p>
        </w:tc>
        <w:tc>
          <w:tcPr>
            <w:tcW w:w="582" w:type="dxa"/>
            <w:noWrap w:val="0"/>
            <w:vAlign w:val="center"/>
          </w:tcPr>
          <w:p w14:paraId="1EAF5D7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24AFDBB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71D315A4">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1274B9B">
            <w:pPr>
              <w:pStyle w:val="17"/>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款式：卧式，容积(L)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519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开门方式：顶开门，能效等级</w:t>
            </w:r>
            <w:r>
              <w:rPr>
                <w:rFonts w:hint="eastAsia"/>
                <w:color w:val="auto"/>
                <w:highlight w:val="none"/>
                <w:lang w:val="en-US" w:eastAsia="zh-CN"/>
              </w:rPr>
              <w:t>优于或等于2级</w:t>
            </w:r>
            <w:r>
              <w:rPr>
                <w:rFonts w:hint="default" w:ascii="Arial" w:hAnsi="Arial" w:eastAsia="宋体" w:cs="Arial"/>
                <w:i w:val="0"/>
                <w:iCs w:val="0"/>
                <w:color w:val="auto"/>
                <w:kern w:val="0"/>
                <w:sz w:val="21"/>
                <w:szCs w:val="21"/>
                <w:highlight w:val="none"/>
                <w:u w:val="none"/>
                <w:lang w:val="en-US" w:eastAsia="zh-CN" w:bidi="ar"/>
              </w:rPr>
              <w:t xml:space="preserve">，颜色：白色，制冷方式：直冷， 控温方式：机械控温。规格参数 重量(kg)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72，压缩机：定频，额定冷冻耗电量(kW.h/24h)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1.24，产品尺寸(宽*深*高)mm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1650*745*905，额定电压(V) 220，额定频率(Hz)50，输入功率(W)</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170，噪声dB(A)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52</w:t>
            </w:r>
          </w:p>
        </w:tc>
      </w:tr>
      <w:tr w14:paraId="3253E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509" w:type="dxa"/>
            <w:noWrap w:val="0"/>
            <w:vAlign w:val="center"/>
          </w:tcPr>
          <w:p w14:paraId="31E4E77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15</w:t>
            </w:r>
          </w:p>
        </w:tc>
        <w:tc>
          <w:tcPr>
            <w:tcW w:w="911" w:type="dxa"/>
            <w:noWrap w:val="0"/>
            <w:vAlign w:val="center"/>
          </w:tcPr>
          <w:p w14:paraId="17B4BDA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立式保鲜柜</w:t>
            </w:r>
          </w:p>
        </w:tc>
        <w:tc>
          <w:tcPr>
            <w:tcW w:w="582" w:type="dxa"/>
            <w:noWrap w:val="0"/>
            <w:vAlign w:val="center"/>
          </w:tcPr>
          <w:p w14:paraId="6E39414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2</w:t>
            </w:r>
          </w:p>
        </w:tc>
        <w:tc>
          <w:tcPr>
            <w:tcW w:w="686" w:type="dxa"/>
            <w:noWrap w:val="0"/>
            <w:vAlign w:val="center"/>
          </w:tcPr>
          <w:p w14:paraId="1FB3008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433F1491">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FF61A39">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额定功率：</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385W</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产品容积</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660L；制冷方式：风冷无霜；控制方式：电子控温；温度区间：2-8℃；功能特性：双门；产品层架：5层4架；产品尺寸（宽*高*厚mm）:</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1050*1860*665；内部尺寸（宽*高*厚mm）：</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950*1330*460；制冷材料：毛细管、回流管、工艺管为铜管；白色合金内胆、亚克力LED灯箱、铝合金门边框。</w:t>
            </w:r>
          </w:p>
        </w:tc>
      </w:tr>
      <w:tr w14:paraId="78B38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B909177">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16</w:t>
            </w:r>
          </w:p>
        </w:tc>
        <w:tc>
          <w:tcPr>
            <w:tcW w:w="911" w:type="dxa"/>
            <w:noWrap w:val="0"/>
            <w:vAlign w:val="center"/>
          </w:tcPr>
          <w:p w14:paraId="20EFD8B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一体化钢化讲台</w:t>
            </w:r>
          </w:p>
        </w:tc>
        <w:tc>
          <w:tcPr>
            <w:tcW w:w="582" w:type="dxa"/>
            <w:noWrap w:val="0"/>
            <w:vAlign w:val="center"/>
          </w:tcPr>
          <w:p w14:paraId="4ABC713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12CF112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7B6D850E">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B6E850B">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钢木结构，≥1000mm(长）×700mm（宽）×1000mm（高） ,</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12.7mm实芯理化板台面，操作边加厚</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25.4mm</w:t>
            </w:r>
          </w:p>
        </w:tc>
      </w:tr>
    </w:tbl>
    <w:p w14:paraId="05B4EC3C">
      <w:pPr>
        <w:rPr>
          <w:rFonts w:hint="eastAsia" w:ascii="Arial" w:hAnsi="Arial" w:eastAsia="宋体" w:cs="Arial"/>
          <w:b/>
          <w:color w:val="auto"/>
          <w:kern w:val="0"/>
          <w:sz w:val="24"/>
          <w:highlight w:val="none"/>
        </w:rPr>
      </w:pPr>
      <w:r>
        <w:rPr>
          <w:rFonts w:hint="eastAsia" w:ascii="Arial" w:hAnsi="Arial" w:eastAsia="宋体" w:cs="Arial"/>
          <w:b/>
          <w:color w:val="auto"/>
          <w:kern w:val="0"/>
          <w:sz w:val="24"/>
          <w:highlight w:val="none"/>
        </w:rPr>
        <w:br w:type="page"/>
      </w:r>
    </w:p>
    <w:p w14:paraId="3B46E653">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B分标：2026年桂林医科大学药学院教学实验仪器采购</w:t>
      </w:r>
    </w:p>
    <w:p w14:paraId="052DE627">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1F7EDD99">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04243C59">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3B7AA068">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38B8A3B1">
      <w:pPr>
        <w:adjustRightInd w:val="0"/>
        <w:snapToGrid w:val="0"/>
        <w:spacing w:line="360" w:lineRule="auto"/>
        <w:rPr>
          <w:rFonts w:hint="eastAsia" w:ascii="Arial" w:hAnsi="Arial" w:cs="Arial"/>
          <w:color w:val="auto"/>
          <w:szCs w:val="21"/>
          <w:highlight w:val="none"/>
        </w:rPr>
      </w:pPr>
      <w:r>
        <w:rPr>
          <w:rFonts w:hint="eastAsia" w:ascii="Arial" w:hAnsi="Arial" w:cs="Arial"/>
          <w:color w:val="auto"/>
          <w:szCs w:val="21"/>
          <w:highlight w:val="none"/>
        </w:rPr>
        <w:t>（3）</w:t>
      </w:r>
      <w:r>
        <w:rPr>
          <w:rFonts w:hint="eastAsia" w:ascii="Arial" w:hAnsi="Arial" w:cs="Arial"/>
          <w:color w:val="auto"/>
          <w:szCs w:val="21"/>
          <w:highlight w:val="none"/>
          <w:lang w:val="en-US" w:eastAsia="zh-CN"/>
        </w:rPr>
        <w:t>供应商</w:t>
      </w:r>
      <w:r>
        <w:rPr>
          <w:rFonts w:hint="eastAsia" w:ascii="Arial" w:hAnsi="Arial" w:cs="Arial"/>
          <w:color w:val="auto"/>
          <w:szCs w:val="21"/>
          <w:highlight w:val="none"/>
        </w:rPr>
        <w:t>应确保所投设备的技术指标完全符合官方宣传资料或优于招标要求。任何指标不符情况，均作废标处理，且招标方一概不采纳投标人后期提供的厂家承诺、说明或补正材料。</w:t>
      </w:r>
    </w:p>
    <w:p w14:paraId="5B88AF0F">
      <w:pPr>
        <w:adjustRightInd w:val="0"/>
        <w:snapToGrid w:val="0"/>
        <w:spacing w:line="360" w:lineRule="auto"/>
        <w:rPr>
          <w:rFonts w:hint="eastAsia" w:ascii="Arial" w:hAnsi="Arial" w:cs="Arial"/>
          <w:color w:val="auto"/>
          <w:szCs w:val="21"/>
          <w:highlight w:val="none"/>
        </w:rPr>
      </w:pPr>
      <w:r>
        <w:rPr>
          <w:rFonts w:hint="eastAsia" w:ascii="Arial" w:hAnsi="Arial" w:cs="Arial"/>
          <w:color w:val="auto"/>
          <w:szCs w:val="21"/>
          <w:highlight w:val="none"/>
        </w:rPr>
        <w:t>（4）</w:t>
      </w:r>
      <w:r>
        <w:rPr>
          <w:rFonts w:hint="eastAsia" w:ascii="Arial" w:hAnsi="Arial" w:cs="Arial"/>
          <w:color w:val="auto"/>
          <w:szCs w:val="21"/>
          <w:highlight w:val="none"/>
          <w:lang w:val="en-US" w:eastAsia="zh-CN"/>
        </w:rPr>
        <w:t>供应商</w:t>
      </w:r>
      <w:r>
        <w:rPr>
          <w:rFonts w:hint="eastAsia" w:ascii="Arial" w:hAnsi="Arial" w:cs="Arial"/>
          <w:color w:val="auto"/>
          <w:szCs w:val="21"/>
          <w:highlight w:val="none"/>
        </w:rPr>
        <w:t>须在投标文件中完整列出所投全部设备的技术指标，并逐项与对应设备的官方公开发布产品宣传资料进行比对，编制</w:t>
      </w:r>
      <w:r>
        <w:rPr>
          <w:rFonts w:hint="eastAsia" w:ascii="Arial" w:hAnsi="Arial" w:cs="Arial"/>
          <w:color w:val="auto"/>
          <w:szCs w:val="21"/>
          <w:highlight w:val="none"/>
          <w:lang w:eastAsia="zh-CN"/>
        </w:rPr>
        <w:t>“</w:t>
      </w:r>
      <w:r>
        <w:rPr>
          <w:rFonts w:hint="eastAsia" w:ascii="Arial" w:hAnsi="Arial" w:cs="Arial"/>
          <w:color w:val="auto"/>
          <w:szCs w:val="21"/>
          <w:highlight w:val="none"/>
        </w:rPr>
        <w:t>技术要求的响应表</w:t>
      </w:r>
      <w:r>
        <w:rPr>
          <w:rFonts w:hint="eastAsia" w:ascii="Arial" w:hAnsi="Arial" w:cs="Arial"/>
          <w:color w:val="auto"/>
          <w:szCs w:val="21"/>
          <w:highlight w:val="none"/>
          <w:lang w:eastAsia="zh-CN"/>
        </w:rPr>
        <w:t>”</w:t>
      </w:r>
      <w:r>
        <w:rPr>
          <w:rFonts w:hint="eastAsia" w:ascii="Arial" w:hAnsi="Arial" w:cs="Arial"/>
          <w:color w:val="auto"/>
          <w:szCs w:val="21"/>
          <w:highlight w:val="none"/>
        </w:rPr>
        <w:t>，以供评标委员会审查。未提供对比表或对比内容不完整、不清晰的，评标委员会有权要求</w:t>
      </w:r>
      <w:r>
        <w:rPr>
          <w:rFonts w:hint="eastAsia" w:ascii="Arial" w:hAnsi="Arial" w:cs="Arial"/>
          <w:color w:val="auto"/>
          <w:szCs w:val="21"/>
          <w:highlight w:val="none"/>
          <w:lang w:val="en-US" w:eastAsia="zh-CN"/>
        </w:rPr>
        <w:t>供应商</w:t>
      </w:r>
      <w:r>
        <w:rPr>
          <w:rFonts w:hint="eastAsia" w:ascii="Arial" w:hAnsi="Arial" w:cs="Arial"/>
          <w:color w:val="auto"/>
          <w:szCs w:val="21"/>
          <w:highlight w:val="none"/>
        </w:rPr>
        <w:t>作出书面澄清，但</w:t>
      </w:r>
      <w:r>
        <w:rPr>
          <w:rFonts w:hint="eastAsia" w:ascii="Arial" w:hAnsi="Arial" w:cs="Arial"/>
          <w:color w:val="auto"/>
          <w:szCs w:val="21"/>
          <w:highlight w:val="none"/>
          <w:lang w:val="en-US" w:eastAsia="zh-CN"/>
        </w:rPr>
        <w:t>供应商</w:t>
      </w:r>
      <w:r>
        <w:rPr>
          <w:rFonts w:hint="eastAsia" w:ascii="Arial" w:hAnsi="Arial" w:cs="Arial"/>
          <w:color w:val="auto"/>
          <w:szCs w:val="21"/>
          <w:highlight w:val="none"/>
        </w:rPr>
        <w:t>不得在投标截止后以任何方式补充或修改技术指标。</w:t>
      </w:r>
    </w:p>
    <w:p w14:paraId="5009A91E">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76495E3A">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ascii="Arial" w:hAnsi="Arial" w:cs="Arial"/>
          <w:b/>
          <w:bCs/>
          <w:color w:val="auto"/>
          <w:szCs w:val="21"/>
          <w:highlight w:val="none"/>
          <w:u w:val="single"/>
        </w:rPr>
        <w:t xml:space="preserve"> </w:t>
      </w:r>
      <w:r>
        <w:rPr>
          <w:rFonts w:hint="eastAsia" w:ascii="Arial" w:hAnsi="Arial" w:cs="Arial"/>
          <w:b/>
          <w:bCs/>
          <w:color w:val="auto"/>
          <w:szCs w:val="21"/>
          <w:highlight w:val="none"/>
          <w:u w:val="single"/>
          <w:lang w:val="en-US" w:eastAsia="zh-CN"/>
        </w:rPr>
        <w:t>序号1研磨仪</w:t>
      </w:r>
    </w:p>
    <w:p w14:paraId="798801CB">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30DC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0AC7EDFD">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911" w:type="dxa"/>
            <w:noWrap w:val="0"/>
            <w:vAlign w:val="center"/>
          </w:tcPr>
          <w:p w14:paraId="463CDD48">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货物名称</w:t>
            </w:r>
          </w:p>
        </w:tc>
        <w:tc>
          <w:tcPr>
            <w:tcW w:w="582" w:type="dxa"/>
            <w:noWrap w:val="0"/>
            <w:vAlign w:val="center"/>
          </w:tcPr>
          <w:p w14:paraId="1A2B4AEE">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数量</w:t>
            </w:r>
          </w:p>
        </w:tc>
        <w:tc>
          <w:tcPr>
            <w:tcW w:w="686" w:type="dxa"/>
            <w:noWrap w:val="0"/>
            <w:vAlign w:val="center"/>
          </w:tcPr>
          <w:p w14:paraId="75299A98">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计量单位</w:t>
            </w:r>
          </w:p>
        </w:tc>
        <w:tc>
          <w:tcPr>
            <w:tcW w:w="754" w:type="dxa"/>
            <w:noWrap w:val="0"/>
            <w:vAlign w:val="center"/>
          </w:tcPr>
          <w:p w14:paraId="343293EC">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所属行业</w:t>
            </w:r>
          </w:p>
        </w:tc>
        <w:tc>
          <w:tcPr>
            <w:tcW w:w="6448" w:type="dxa"/>
            <w:tcBorders>
              <w:left w:val="single" w:color="auto" w:sz="4" w:space="0"/>
              <w:right w:val="single" w:color="auto" w:sz="4" w:space="0"/>
            </w:tcBorders>
            <w:noWrap w:val="0"/>
            <w:vAlign w:val="center"/>
          </w:tcPr>
          <w:p w14:paraId="4B8C4352">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技术指标要求</w:t>
            </w:r>
          </w:p>
        </w:tc>
      </w:tr>
      <w:tr w14:paraId="62BB7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3D15E60">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p>
        </w:tc>
        <w:tc>
          <w:tcPr>
            <w:tcW w:w="911" w:type="dxa"/>
            <w:noWrap w:val="0"/>
            <w:vAlign w:val="center"/>
          </w:tcPr>
          <w:p w14:paraId="17A29C6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研磨仪</w:t>
            </w:r>
          </w:p>
        </w:tc>
        <w:tc>
          <w:tcPr>
            <w:tcW w:w="582" w:type="dxa"/>
            <w:noWrap w:val="0"/>
            <w:vAlign w:val="center"/>
          </w:tcPr>
          <w:p w14:paraId="65E0E3B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6FA243F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53F19467">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7E0EF2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 传动方式</w:t>
            </w:r>
          </w:p>
          <w:p w14:paraId="1B009D8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采用滑块传动方式，避免直线轴承长时间运行导致光轴磨损。</w:t>
            </w:r>
          </w:p>
          <w:p w14:paraId="1EC3768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2 夹具行程</w:t>
            </w:r>
          </w:p>
          <w:p w14:paraId="1DB0523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≥40mm（垂直方向），具备硬组织研磨所需的剪切力。</w:t>
            </w:r>
          </w:p>
          <w:p w14:paraId="2874140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3 样品处理通量</w:t>
            </w:r>
          </w:p>
          <w:p w14:paraId="4AD37E3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标配适配器可同时处理≥24个样品（2mL规格）；处理时间≤1分钟/批次。</w:t>
            </w:r>
          </w:p>
          <w:p w14:paraId="2A0EF8A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配置24*2ml、48*2ml、96*2ml适配器及24*2ml(骨组织专用适配器)各1个，可以兼容的样品量：24*2ml/48*2ml/60*2ml/96*2ml/12*5ml/10*10ml/4*30ml/2*50ml/96孔板*2，适配器方便拆卸；</w:t>
            </w:r>
          </w:p>
          <w:p w14:paraId="769F780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4 制冷性能</w:t>
            </w:r>
          </w:p>
          <w:p w14:paraId="0ABE5BF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① 降温时间：在环境温度25℃±2℃、空载条件下，开机后10分钟内腔体温度可降至0℃以下；</w:t>
            </w:r>
          </w:p>
          <w:p w14:paraId="4530622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② 温度范围：-50℃～室温；</w:t>
            </w:r>
          </w:p>
          <w:p w14:paraId="308BE49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③ 控温精度：≤±1℃（在-20℃稳定点测量，空载运行30分钟后，连续记录10分钟，每分钟记录1次，10次测量值与设定值的最大偏差≤1℃）；</w:t>
            </w:r>
          </w:p>
          <w:p w14:paraId="12AD78A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④ 温度均匀性：各样品孔间温差≤±2℃（在-20℃稳定点，满载24个样品管，运行10分钟后测量）。</w:t>
            </w:r>
          </w:p>
          <w:p w14:paraId="6F0702C8">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5 样品管材质</w:t>
            </w:r>
          </w:p>
          <w:p w14:paraId="6D0B181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① 管体：聚丙烯（PP）材质；</w:t>
            </w:r>
          </w:p>
          <w:p w14:paraId="66D7FFE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② 管盖：聚乙烯（PE）或聚丙烯（PP）材质，带密封圈；</w:t>
            </w:r>
          </w:p>
          <w:p w14:paraId="2030507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③ 可耐受温度范围：-196℃～121℃；</w:t>
            </w:r>
          </w:p>
          <w:p w14:paraId="05CBF1F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④ 无DNA酶、无RNA酶、无热原（内毒素&lt;0.25 EU/mL）；</w:t>
            </w:r>
          </w:p>
          <w:p w14:paraId="1A0E0C4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⑤ 适配器金属部件：304或316不锈钢，或经阳极氧化处理的铝合金。</w:t>
            </w:r>
          </w:p>
          <w:p w14:paraId="7429844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6 紧急停止装置</w:t>
            </w:r>
          </w:p>
          <w:p w14:paraId="7903790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配置实体紧急停止按钮（非触屏虚拟按键），在研磨过程中可随时拍下，按下后仪器应在≤1秒内停止运行。</w:t>
            </w:r>
          </w:p>
          <w:p w14:paraId="3DAC16B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7 安全锁装置</w:t>
            </w:r>
          </w:p>
          <w:p w14:paraId="2581AE7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配置电磁安全锁，电流控制，屏幕控制开关，工作过程中电磁自动锁定无法开盖，直至研磨程序结束。</w:t>
            </w:r>
          </w:p>
          <w:p w14:paraId="5D37C34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8 实验验证</w:t>
            </w:r>
          </w:p>
          <w:p w14:paraId="128EEDD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提供不少于60篇使用同型号或同系列产品发表的SCI论文清单（含题目、期刊、年份、DOI号），论文中须在明确使用同型号或同系列产品处做出明显标注，作为实验方法学参考。</w:t>
            </w:r>
          </w:p>
          <w:p w14:paraId="49F5DE6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9 冷冻台功能</w:t>
            </w:r>
          </w:p>
          <w:p w14:paraId="0BE0CAB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配置单独冷冻台，在主机制冷时可保持低温状态，用于样本短时间低温保存。</w:t>
            </w:r>
          </w:p>
          <w:p w14:paraId="53AC673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10 预设程序</w:t>
            </w:r>
          </w:p>
          <w:p w14:paraId="309EB9A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可预设不少于24组常见组织研磨参数（涵盖植物茎叶、动物心肝脾肺肾、皮肤、骨骼等类型），优化不同标本研磨条件。</w:t>
            </w:r>
          </w:p>
          <w:p w14:paraId="2C20FEE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11 均质速度</w:t>
            </w:r>
          </w:p>
          <w:p w14:paraId="355D09A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0～70Hz（对应0～2100rpm）。</w:t>
            </w:r>
          </w:p>
          <w:p w14:paraId="53F630A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12 程序设置</w:t>
            </w:r>
          </w:p>
          <w:p w14:paraId="457C490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运行时间：0～9999s；暂停时间：0～999s；运行次数：1～99次。</w:t>
            </w:r>
          </w:p>
          <w:p w14:paraId="111F6E7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13 噪音等级</w:t>
            </w:r>
          </w:p>
          <w:p w14:paraId="73115BE8">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≤65dB（距设备1m处测量）。</w:t>
            </w:r>
          </w:p>
          <w:p w14:paraId="6744CCF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14 显示屏</w:t>
            </w:r>
          </w:p>
          <w:p w14:paraId="7DFBD1C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屏幕尺寸≥5英寸。</w:t>
            </w:r>
          </w:p>
          <w:p w14:paraId="0210BC4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15 最大进料尺寸</w:t>
            </w:r>
          </w:p>
          <w:p w14:paraId="6777CE1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无特定要求，根据适配器规格调节。</w:t>
            </w:r>
          </w:p>
          <w:p w14:paraId="12DFD7C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16 研磨方式</w:t>
            </w:r>
          </w:p>
          <w:p w14:paraId="04035C4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支持湿磨、干磨、低温研磨。</w:t>
            </w:r>
          </w:p>
          <w:p w14:paraId="7E9E642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17 配套工具</w:t>
            </w:r>
          </w:p>
          <w:p w14:paraId="64EB83A8">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配套提供专用加珠器，便于研磨珠的添加操作。</w:t>
            </w:r>
          </w:p>
          <w:p w14:paraId="4E605DE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配套提供研磨管不少于500支。</w:t>
            </w:r>
          </w:p>
          <w:p w14:paraId="7E361D3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18 质保期</w:t>
            </w:r>
          </w:p>
          <w:p w14:paraId="429544E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提供厂家质保</w:t>
            </w:r>
            <w:r>
              <w:rPr>
                <w:rFonts w:hint="eastAsia" w:ascii="Arial" w:hAnsi="Arial" w:cs="Arial"/>
                <w:color w:val="auto"/>
                <w:kern w:val="2"/>
                <w:sz w:val="21"/>
                <w:szCs w:val="21"/>
                <w:highlight w:val="none"/>
                <w:lang w:val="en-US" w:eastAsia="zh-CN" w:bidi="ar-SA"/>
              </w:rPr>
              <w:t>不少于</w:t>
            </w:r>
            <w:r>
              <w:rPr>
                <w:rFonts w:hint="default" w:ascii="Arial" w:hAnsi="Arial" w:eastAsia="宋体" w:cs="Arial"/>
                <w:color w:val="auto"/>
                <w:kern w:val="2"/>
                <w:sz w:val="21"/>
                <w:szCs w:val="21"/>
                <w:highlight w:val="none"/>
                <w:lang w:val="en-US" w:eastAsia="zh-CN" w:bidi="ar-SA"/>
              </w:rPr>
              <w:t>5年。</w:t>
            </w:r>
          </w:p>
        </w:tc>
      </w:tr>
      <w:tr w14:paraId="50C27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3" w:hRule="atLeast"/>
          <w:jc w:val="center"/>
        </w:trPr>
        <w:tc>
          <w:tcPr>
            <w:tcW w:w="509" w:type="dxa"/>
            <w:noWrap w:val="0"/>
            <w:vAlign w:val="center"/>
          </w:tcPr>
          <w:p w14:paraId="121247BA">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11" w:type="dxa"/>
            <w:noWrap w:val="0"/>
            <w:vAlign w:val="center"/>
          </w:tcPr>
          <w:p w14:paraId="2E77296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全波长酶标仪</w:t>
            </w:r>
          </w:p>
        </w:tc>
        <w:tc>
          <w:tcPr>
            <w:tcW w:w="582" w:type="dxa"/>
            <w:noWrap w:val="0"/>
            <w:vAlign w:val="center"/>
          </w:tcPr>
          <w:p w14:paraId="28724BA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768DBCF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3C9C479F">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8F14EA1">
            <w:pPr>
              <w:keepNext w:val="0"/>
              <w:keepLines w:val="0"/>
              <w:widowControl/>
              <w:suppressLineNumbers w:val="0"/>
              <w:spacing w:after="180" w:afterAutospacing="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一、参数指标：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Style w:val="254"/>
                <w:rFonts w:hint="default" w:ascii="Arial" w:hAnsi="Arial" w:cs="Arial"/>
                <w:color w:val="auto"/>
                <w:sz w:val="21"/>
                <w:szCs w:val="21"/>
                <w:highlight w:val="none"/>
                <w:lang w:val="en-US" w:eastAsia="zh-CN" w:bidi="ar"/>
              </w:rPr>
              <w:t>．波长范围：</w:t>
            </w:r>
            <w:r>
              <w:rPr>
                <w:rFonts w:hint="default" w:ascii="Arial" w:hAnsi="Arial" w:eastAsia="宋体" w:cs="Arial"/>
                <w:i w:val="0"/>
                <w:iCs w:val="0"/>
                <w:color w:val="auto"/>
                <w:kern w:val="0"/>
                <w:sz w:val="21"/>
                <w:szCs w:val="21"/>
                <w:highlight w:val="none"/>
                <w:u w:val="none"/>
                <w:lang w:val="en-US" w:eastAsia="zh-CN" w:bidi="ar"/>
              </w:rPr>
              <w:t>190nm-850nm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．光源使用长寿命闪烁氙灯；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Style w:val="254"/>
                <w:rFonts w:hint="default" w:ascii="Arial" w:hAnsi="Arial" w:cs="Arial"/>
                <w:color w:val="auto"/>
                <w:sz w:val="21"/>
                <w:szCs w:val="21"/>
                <w:highlight w:val="none"/>
                <w:lang w:val="en-US" w:eastAsia="zh-CN" w:bidi="ar"/>
              </w:rPr>
              <w:t>．开机无需预热，可直接检测；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w:t>
            </w:r>
            <w:r>
              <w:rPr>
                <w:rStyle w:val="254"/>
                <w:rFonts w:hint="default" w:ascii="Arial" w:hAnsi="Arial" w:cs="Arial"/>
                <w:color w:val="auto"/>
                <w:sz w:val="21"/>
                <w:szCs w:val="21"/>
                <w:highlight w:val="none"/>
                <w:lang w:val="en-US" w:eastAsia="zh-CN" w:bidi="ar"/>
              </w:rPr>
              <w:t>．波长准确度：</w:t>
            </w:r>
            <w:r>
              <w:rPr>
                <w:rFonts w:hint="default" w:ascii="Arial" w:hAnsi="Arial" w:eastAsia="宋体" w:cs="Arial"/>
                <w:i w:val="0"/>
                <w:iCs w:val="0"/>
                <w:color w:val="auto"/>
                <w:kern w:val="0"/>
                <w:sz w:val="21"/>
                <w:szCs w:val="21"/>
                <w:highlight w:val="none"/>
                <w:u w:val="none"/>
                <w:lang w:val="en-US" w:eastAsia="zh-CN" w:bidi="ar"/>
              </w:rPr>
              <w:t>±1.0nm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w:t>
            </w:r>
            <w:r>
              <w:rPr>
                <w:rStyle w:val="254"/>
                <w:rFonts w:hint="default" w:ascii="Arial" w:hAnsi="Arial" w:cs="Arial"/>
                <w:color w:val="auto"/>
                <w:sz w:val="21"/>
                <w:szCs w:val="21"/>
                <w:highlight w:val="none"/>
                <w:lang w:val="en-US" w:eastAsia="zh-CN" w:bidi="ar"/>
              </w:rPr>
              <w:t>．波长重复性：</w:t>
            </w:r>
            <w:r>
              <w:rPr>
                <w:rFonts w:hint="default" w:ascii="Arial" w:hAnsi="Arial" w:eastAsia="宋体" w:cs="Arial"/>
                <w:i w:val="0"/>
                <w:iCs w:val="0"/>
                <w:color w:val="auto"/>
                <w:kern w:val="0"/>
                <w:sz w:val="21"/>
                <w:szCs w:val="21"/>
                <w:highlight w:val="none"/>
                <w:u w:val="none"/>
                <w:lang w:val="en-US" w:eastAsia="zh-CN" w:bidi="ar"/>
              </w:rPr>
              <w:t>&lt;0.2nm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w:t>
            </w:r>
            <w:r>
              <w:rPr>
                <w:rStyle w:val="254"/>
                <w:rFonts w:hint="default" w:ascii="Arial" w:hAnsi="Arial" w:cs="Arial"/>
                <w:color w:val="auto"/>
                <w:sz w:val="21"/>
                <w:szCs w:val="21"/>
                <w:highlight w:val="none"/>
                <w:lang w:val="en-US" w:eastAsia="zh-CN" w:bidi="ar"/>
              </w:rPr>
              <w:t>分辨率：</w:t>
            </w:r>
            <w:r>
              <w:rPr>
                <w:rFonts w:hint="default" w:ascii="Arial" w:hAnsi="Arial" w:eastAsia="宋体" w:cs="Arial"/>
                <w:i w:val="0"/>
                <w:iCs w:val="0"/>
                <w:color w:val="auto"/>
                <w:kern w:val="0"/>
                <w:sz w:val="21"/>
                <w:szCs w:val="21"/>
                <w:highlight w:val="none"/>
                <w:u w:val="none"/>
                <w:lang w:val="en-US" w:eastAsia="zh-CN" w:bidi="ar"/>
              </w:rPr>
              <w:t>0.001Abs</w:t>
            </w:r>
            <w:r>
              <w:rPr>
                <w:rStyle w:val="254"/>
                <w:rFonts w:hint="default" w:ascii="Arial" w:hAnsi="Arial" w:cs="Arial"/>
                <w:color w:val="auto"/>
                <w:sz w:val="21"/>
                <w:szCs w:val="21"/>
                <w:highlight w:val="none"/>
                <w:lang w:val="en-US" w:eastAsia="zh-CN" w:bidi="ar"/>
              </w:rPr>
              <w:t>（显示）</w:t>
            </w:r>
            <w:r>
              <w:rPr>
                <w:rFonts w:hint="default" w:ascii="Arial" w:hAnsi="Arial" w:eastAsia="宋体" w:cs="Arial"/>
                <w:i w:val="0"/>
                <w:iCs w:val="0"/>
                <w:color w:val="auto"/>
                <w:kern w:val="0"/>
                <w:sz w:val="21"/>
                <w:szCs w:val="21"/>
                <w:highlight w:val="none"/>
                <w:u w:val="none"/>
                <w:lang w:val="en-US" w:eastAsia="zh-CN" w:bidi="ar"/>
              </w:rPr>
              <w:t>0.000001Abs</w:t>
            </w:r>
            <w:r>
              <w:rPr>
                <w:rStyle w:val="254"/>
                <w:rFonts w:hint="default" w:ascii="Arial" w:hAnsi="Arial" w:cs="Arial"/>
                <w:color w:val="auto"/>
                <w:sz w:val="21"/>
                <w:szCs w:val="21"/>
                <w:highlight w:val="none"/>
                <w:lang w:val="en-US" w:eastAsia="zh-CN" w:bidi="ar"/>
              </w:rPr>
              <w:t>（内部计算）；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w:t>
            </w:r>
            <w:r>
              <w:rPr>
                <w:rStyle w:val="254"/>
                <w:rFonts w:hint="default" w:ascii="Arial" w:hAnsi="Arial" w:cs="Arial"/>
                <w:color w:val="auto"/>
                <w:sz w:val="21"/>
                <w:szCs w:val="21"/>
                <w:highlight w:val="none"/>
                <w:lang w:val="en-US" w:eastAsia="zh-CN" w:bidi="ar"/>
              </w:rPr>
              <w:t>．测定范围：</w:t>
            </w:r>
            <w:r>
              <w:rPr>
                <w:rFonts w:hint="default" w:ascii="Arial" w:hAnsi="Arial" w:eastAsia="宋体" w:cs="Arial"/>
                <w:i w:val="0"/>
                <w:iCs w:val="0"/>
                <w:color w:val="auto"/>
                <w:kern w:val="0"/>
                <w:sz w:val="21"/>
                <w:szCs w:val="21"/>
                <w:highlight w:val="none"/>
                <w:u w:val="none"/>
                <w:lang w:val="en-US" w:eastAsia="zh-CN" w:bidi="ar"/>
              </w:rPr>
              <w:t>0.000-1.500OD</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w:t>
            </w:r>
            <w:r>
              <w:rPr>
                <w:rStyle w:val="254"/>
                <w:rFonts w:hint="default" w:ascii="Arial" w:hAnsi="Arial" w:cs="Arial"/>
                <w:color w:val="auto"/>
                <w:sz w:val="21"/>
                <w:szCs w:val="21"/>
                <w:highlight w:val="none"/>
                <w:lang w:val="en-US" w:eastAsia="zh-CN" w:bidi="ar"/>
              </w:rPr>
              <w:t>．采用</w:t>
            </w:r>
            <w:r>
              <w:rPr>
                <w:rFonts w:hint="default" w:ascii="Arial" w:hAnsi="Arial" w:eastAsia="宋体" w:cs="Arial"/>
                <w:i w:val="0"/>
                <w:iCs w:val="0"/>
                <w:color w:val="auto"/>
                <w:kern w:val="0"/>
                <w:sz w:val="21"/>
                <w:szCs w:val="21"/>
                <w:highlight w:val="none"/>
                <w:u w:val="none"/>
                <w:lang w:val="en-US" w:eastAsia="zh-CN" w:bidi="ar"/>
              </w:rPr>
              <w:t>CMOS</w:t>
            </w:r>
            <w:r>
              <w:rPr>
                <w:rStyle w:val="254"/>
                <w:rFonts w:hint="default" w:ascii="Arial" w:hAnsi="Arial" w:cs="Arial"/>
                <w:color w:val="auto"/>
                <w:sz w:val="21"/>
                <w:szCs w:val="21"/>
                <w:highlight w:val="none"/>
                <w:lang w:val="en-US" w:eastAsia="zh-CN" w:bidi="ar"/>
              </w:rPr>
              <w:t>检测器，可实现全版</w:t>
            </w:r>
            <w:r>
              <w:rPr>
                <w:rFonts w:hint="default" w:ascii="Arial" w:hAnsi="Arial" w:eastAsia="宋体" w:cs="Arial"/>
                <w:i w:val="0"/>
                <w:iCs w:val="0"/>
                <w:color w:val="auto"/>
                <w:kern w:val="0"/>
                <w:sz w:val="21"/>
                <w:szCs w:val="21"/>
                <w:highlight w:val="none"/>
                <w:u w:val="none"/>
                <w:lang w:val="en-US" w:eastAsia="zh-CN" w:bidi="ar"/>
              </w:rPr>
              <w:t>UV-VIS</w:t>
            </w:r>
            <w:r>
              <w:rPr>
                <w:rStyle w:val="254"/>
                <w:rFonts w:hint="default" w:ascii="Arial" w:hAnsi="Arial" w:cs="Arial"/>
                <w:color w:val="auto"/>
                <w:sz w:val="21"/>
                <w:szCs w:val="21"/>
                <w:highlight w:val="none"/>
                <w:lang w:val="en-US" w:eastAsia="zh-CN" w:bidi="ar"/>
              </w:rPr>
              <w:t>全波长实时扫描；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w:t>
            </w:r>
            <w:r>
              <w:rPr>
                <w:rStyle w:val="254"/>
                <w:rFonts w:hint="default" w:ascii="Arial" w:hAnsi="Arial" w:cs="Arial"/>
                <w:color w:val="auto"/>
                <w:sz w:val="21"/>
                <w:szCs w:val="21"/>
                <w:highlight w:val="none"/>
                <w:lang w:val="en-US" w:eastAsia="zh-CN" w:bidi="ar"/>
              </w:rPr>
              <w:t>单孔</w:t>
            </w:r>
            <w:r>
              <w:rPr>
                <w:rFonts w:hint="default" w:ascii="Arial" w:hAnsi="Arial" w:eastAsia="宋体" w:cs="Arial"/>
                <w:i w:val="0"/>
                <w:iCs w:val="0"/>
                <w:color w:val="auto"/>
                <w:kern w:val="0"/>
                <w:sz w:val="21"/>
                <w:szCs w:val="21"/>
                <w:highlight w:val="none"/>
                <w:u w:val="none"/>
                <w:lang w:val="en-US" w:eastAsia="zh-CN" w:bidi="ar"/>
              </w:rPr>
              <w:t>UV-VIS</w:t>
            </w:r>
            <w:r>
              <w:rPr>
                <w:rStyle w:val="254"/>
                <w:rFonts w:hint="default" w:ascii="Arial" w:hAnsi="Arial" w:cs="Arial"/>
                <w:color w:val="auto"/>
                <w:sz w:val="21"/>
                <w:szCs w:val="21"/>
                <w:highlight w:val="none"/>
                <w:lang w:val="en-US" w:eastAsia="zh-CN" w:bidi="ar"/>
              </w:rPr>
              <w:t>全波长扫描仅需</w:t>
            </w:r>
            <w:r>
              <w:rPr>
                <w:rFonts w:hint="default" w:ascii="Arial" w:hAnsi="Arial" w:eastAsia="宋体" w:cs="Arial"/>
                <w:i w:val="0"/>
                <w:iCs w:val="0"/>
                <w:color w:val="auto"/>
                <w:kern w:val="0"/>
                <w:sz w:val="21"/>
                <w:szCs w:val="21"/>
                <w:highlight w:val="none"/>
                <w:u w:val="none"/>
                <w:lang w:val="en-US" w:eastAsia="zh-CN" w:bidi="ar"/>
              </w:rPr>
              <w:t>1s</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w:t>
            </w:r>
            <w:r>
              <w:rPr>
                <w:rStyle w:val="254"/>
                <w:rFonts w:hint="default" w:ascii="Arial" w:hAnsi="Arial" w:cs="Arial"/>
                <w:color w:val="auto"/>
                <w:sz w:val="21"/>
                <w:szCs w:val="21"/>
                <w:highlight w:val="none"/>
                <w:lang w:val="en-US" w:eastAsia="zh-CN" w:bidi="ar"/>
              </w:rPr>
              <w:t>实时输出紫外</w:t>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可见全波长光谱图；</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w:t>
            </w:r>
            <w:r>
              <w:rPr>
                <w:rStyle w:val="254"/>
                <w:rFonts w:hint="default" w:ascii="Arial" w:hAnsi="Arial" w:cs="Arial"/>
                <w:color w:val="auto"/>
                <w:sz w:val="21"/>
                <w:szCs w:val="21"/>
                <w:highlight w:val="none"/>
                <w:lang w:val="en-US" w:eastAsia="zh-CN" w:bidi="ar"/>
              </w:rPr>
              <w:t>布板方式：可视化自由布板；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w:t>
            </w:r>
            <w:r>
              <w:rPr>
                <w:rStyle w:val="254"/>
                <w:rFonts w:hint="default" w:ascii="Arial" w:hAnsi="Arial" w:cs="Arial"/>
                <w:color w:val="auto"/>
                <w:sz w:val="21"/>
                <w:szCs w:val="21"/>
                <w:highlight w:val="none"/>
                <w:lang w:val="en-US" w:eastAsia="zh-CN" w:bidi="ar"/>
              </w:rPr>
              <w:t>自带孵育加热功能，孵育温度：</w:t>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室温</w:t>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至</w:t>
            </w:r>
            <w:r>
              <w:rPr>
                <w:rFonts w:hint="default" w:ascii="Arial" w:hAnsi="Arial" w:eastAsia="宋体" w:cs="Arial"/>
                <w:i w:val="0"/>
                <w:iCs w:val="0"/>
                <w:color w:val="auto"/>
                <w:kern w:val="0"/>
                <w:sz w:val="21"/>
                <w:szCs w:val="21"/>
                <w:highlight w:val="none"/>
                <w:u w:val="none"/>
                <w:lang w:val="en-US" w:eastAsia="zh-CN" w:bidi="ar"/>
              </w:rPr>
              <w:t>65℃</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w:t>
            </w:r>
            <w:r>
              <w:rPr>
                <w:rStyle w:val="254"/>
                <w:rFonts w:hint="default" w:ascii="Arial" w:hAnsi="Arial" w:cs="Arial"/>
                <w:color w:val="auto"/>
                <w:sz w:val="21"/>
                <w:szCs w:val="21"/>
                <w:highlight w:val="none"/>
                <w:lang w:val="en-US" w:eastAsia="zh-CN" w:bidi="ar"/>
              </w:rPr>
              <w:t>微孔板类型：标准</w:t>
            </w:r>
            <w:r>
              <w:rPr>
                <w:rFonts w:hint="default" w:ascii="Arial" w:hAnsi="Arial" w:eastAsia="宋体" w:cs="Arial"/>
                <w:i w:val="0"/>
                <w:iCs w:val="0"/>
                <w:color w:val="auto"/>
                <w:kern w:val="0"/>
                <w:sz w:val="21"/>
                <w:szCs w:val="21"/>
                <w:highlight w:val="none"/>
                <w:u w:val="none"/>
                <w:lang w:val="en-US" w:eastAsia="zh-CN" w:bidi="ar"/>
              </w:rPr>
              <w:t>96</w:t>
            </w:r>
            <w:r>
              <w:rPr>
                <w:rStyle w:val="254"/>
                <w:rFonts w:hint="default" w:ascii="Arial" w:hAnsi="Arial" w:cs="Arial"/>
                <w:color w:val="auto"/>
                <w:sz w:val="21"/>
                <w:szCs w:val="21"/>
                <w:highlight w:val="none"/>
                <w:lang w:val="en-US" w:eastAsia="zh-CN" w:bidi="ar"/>
              </w:rPr>
              <w:t>孔酶标板（其余可扩展定制）；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w:t>
            </w:r>
            <w:r>
              <w:rPr>
                <w:rStyle w:val="254"/>
                <w:rFonts w:hint="default" w:ascii="Arial" w:hAnsi="Arial" w:cs="Arial"/>
                <w:color w:val="auto"/>
                <w:sz w:val="21"/>
                <w:szCs w:val="21"/>
                <w:highlight w:val="none"/>
                <w:lang w:val="en-US" w:eastAsia="zh-CN" w:bidi="ar"/>
              </w:rPr>
              <w:t>可实现</w:t>
            </w:r>
            <w:r>
              <w:rPr>
                <w:rFonts w:hint="default" w:ascii="Arial" w:hAnsi="Arial" w:eastAsia="宋体" w:cs="Arial"/>
                <w:i w:val="0"/>
                <w:iCs w:val="0"/>
                <w:color w:val="auto"/>
                <w:kern w:val="0"/>
                <w:sz w:val="21"/>
                <w:szCs w:val="21"/>
                <w:highlight w:val="none"/>
                <w:u w:val="none"/>
                <w:lang w:val="en-US" w:eastAsia="zh-CN" w:bidi="ar"/>
              </w:rPr>
              <w:t>1-24</w:t>
            </w:r>
            <w:r>
              <w:rPr>
                <w:rStyle w:val="254"/>
                <w:rFonts w:hint="default" w:ascii="Arial" w:hAnsi="Arial" w:cs="Arial"/>
                <w:color w:val="auto"/>
                <w:sz w:val="21"/>
                <w:szCs w:val="21"/>
                <w:highlight w:val="none"/>
                <w:lang w:val="en-US" w:eastAsia="zh-CN" w:bidi="ar"/>
              </w:rPr>
              <w:t>比色皿检测（比色皿选配）吸光度模式、</w:t>
            </w:r>
            <w:r>
              <w:rPr>
                <w:rFonts w:hint="default" w:ascii="Arial" w:hAnsi="Arial" w:eastAsia="宋体" w:cs="Arial"/>
                <w:i w:val="0"/>
                <w:iCs w:val="0"/>
                <w:color w:val="auto"/>
                <w:kern w:val="0"/>
                <w:sz w:val="21"/>
                <w:szCs w:val="21"/>
                <w:highlight w:val="none"/>
                <w:u w:val="none"/>
                <w:lang w:val="en-US" w:eastAsia="zh-CN" w:bidi="ar"/>
              </w:rPr>
              <w:t xml:space="preserve"> Cut-off</w:t>
            </w:r>
            <w:r>
              <w:rPr>
                <w:rStyle w:val="254"/>
                <w:rFonts w:hint="default" w:ascii="Arial" w:hAnsi="Arial" w:cs="Arial"/>
                <w:color w:val="auto"/>
                <w:sz w:val="21"/>
                <w:szCs w:val="21"/>
                <w:highlight w:val="none"/>
                <w:lang w:val="en-US" w:eastAsia="zh-CN" w:bidi="ar"/>
              </w:rPr>
              <w:t>定性计算、线性回归、指数回归、对数回归；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w:t>
            </w:r>
            <w:r>
              <w:rPr>
                <w:rStyle w:val="254"/>
                <w:rFonts w:hint="default" w:ascii="Arial" w:hAnsi="Arial" w:cs="Arial"/>
                <w:color w:val="auto"/>
                <w:sz w:val="21"/>
                <w:szCs w:val="21"/>
                <w:highlight w:val="none"/>
                <w:lang w:val="en-US" w:eastAsia="zh-CN" w:bidi="ar"/>
              </w:rPr>
              <w:t>微量板模块：使用特制的微量石英板，可直接检测核酸和蛋白的吸光度、浓度以及纯度（微量石英板选配）；</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w:t>
            </w:r>
            <w:r>
              <w:rPr>
                <w:rStyle w:val="254"/>
                <w:rFonts w:hint="default" w:ascii="Arial" w:hAnsi="Arial" w:cs="Arial"/>
                <w:color w:val="auto"/>
                <w:sz w:val="21"/>
                <w:szCs w:val="21"/>
                <w:highlight w:val="none"/>
                <w:lang w:val="en-US" w:eastAsia="zh-CN" w:bidi="ar"/>
              </w:rPr>
              <w:t>形式多样的综合中文报告输出：列表报告、版图报告、单孔报告；可以导出报告格式有：</w:t>
            </w:r>
            <w:r>
              <w:rPr>
                <w:rFonts w:hint="default" w:ascii="Arial" w:hAnsi="Arial" w:eastAsia="宋体" w:cs="Arial"/>
                <w:i w:val="0"/>
                <w:iCs w:val="0"/>
                <w:color w:val="auto"/>
                <w:kern w:val="0"/>
                <w:sz w:val="21"/>
                <w:szCs w:val="21"/>
                <w:highlight w:val="none"/>
                <w:u w:val="none"/>
                <w:lang w:val="en-US" w:eastAsia="zh-CN" w:bidi="ar"/>
              </w:rPr>
              <w:t>excel</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word</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pdf</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txt</w:t>
            </w:r>
            <w:r>
              <w:rPr>
                <w:rStyle w:val="254"/>
                <w:rFonts w:hint="default" w:ascii="Arial" w:hAnsi="Arial" w:cs="Arial"/>
                <w:color w:val="auto"/>
                <w:sz w:val="21"/>
                <w:szCs w:val="21"/>
                <w:highlight w:val="none"/>
                <w:lang w:val="en-US" w:eastAsia="zh-CN" w:bidi="ar"/>
              </w:rPr>
              <w:t>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w:t>
            </w:r>
            <w:r>
              <w:rPr>
                <w:rStyle w:val="254"/>
                <w:rFonts w:hint="default" w:ascii="Arial" w:hAnsi="Arial" w:cs="Arial"/>
                <w:color w:val="auto"/>
                <w:sz w:val="21"/>
                <w:szCs w:val="21"/>
                <w:highlight w:val="none"/>
                <w:lang w:val="en-US" w:eastAsia="zh-CN" w:bidi="ar"/>
              </w:rPr>
              <w:t>可进行</w:t>
            </w:r>
            <w:r>
              <w:rPr>
                <w:rFonts w:hint="default" w:ascii="Arial" w:hAnsi="Arial" w:eastAsia="宋体" w:cs="Arial"/>
                <w:i w:val="0"/>
                <w:iCs w:val="0"/>
                <w:color w:val="auto"/>
                <w:kern w:val="0"/>
                <w:sz w:val="21"/>
                <w:szCs w:val="21"/>
                <w:highlight w:val="none"/>
                <w:u w:val="none"/>
                <w:lang w:val="en-US" w:eastAsia="zh-CN" w:bidi="ar"/>
              </w:rPr>
              <w:t>OD</w:t>
            </w:r>
            <w:r>
              <w:rPr>
                <w:rStyle w:val="254"/>
                <w:rFonts w:hint="default" w:ascii="Arial" w:hAnsi="Arial" w:cs="Arial"/>
                <w:color w:val="auto"/>
                <w:sz w:val="21"/>
                <w:szCs w:val="21"/>
                <w:highlight w:val="none"/>
                <w:lang w:val="en-US" w:eastAsia="zh-CN" w:bidi="ar"/>
              </w:rPr>
              <w:t>值、定量或定性检测，多种计算方法；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w:t>
            </w:r>
            <w:r>
              <w:rPr>
                <w:rStyle w:val="254"/>
                <w:rFonts w:hint="default" w:ascii="Arial" w:hAnsi="Arial" w:cs="Arial"/>
                <w:color w:val="auto"/>
                <w:sz w:val="21"/>
                <w:szCs w:val="21"/>
                <w:highlight w:val="none"/>
                <w:lang w:val="en-US" w:eastAsia="zh-CN" w:bidi="ar"/>
              </w:rPr>
              <w:t>．可自定义检测波长，波长范围</w:t>
            </w:r>
            <w:r>
              <w:rPr>
                <w:rFonts w:hint="default" w:ascii="Arial" w:hAnsi="Arial" w:eastAsia="宋体" w:cs="Arial"/>
                <w:i w:val="0"/>
                <w:iCs w:val="0"/>
                <w:color w:val="auto"/>
                <w:kern w:val="0"/>
                <w:sz w:val="21"/>
                <w:szCs w:val="21"/>
                <w:highlight w:val="none"/>
                <w:u w:val="none"/>
                <w:lang w:val="en-US" w:eastAsia="zh-CN" w:bidi="ar"/>
              </w:rPr>
              <w:t>190nm-850nm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w:t>
            </w:r>
            <w:r>
              <w:rPr>
                <w:rStyle w:val="254"/>
                <w:rFonts w:hint="default" w:ascii="Arial" w:hAnsi="Arial" w:cs="Arial"/>
                <w:color w:val="auto"/>
                <w:sz w:val="21"/>
                <w:szCs w:val="21"/>
                <w:highlight w:val="none"/>
                <w:lang w:val="en-US" w:eastAsia="zh-CN" w:bidi="ar"/>
              </w:rPr>
              <w:t>．内置酶标洗版一体机；</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二、配置清单：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Style w:val="254"/>
                <w:rFonts w:hint="default" w:ascii="Arial" w:hAnsi="Arial" w:cs="Arial"/>
                <w:color w:val="auto"/>
                <w:sz w:val="21"/>
                <w:szCs w:val="21"/>
                <w:highlight w:val="none"/>
                <w:lang w:val="en-US" w:eastAsia="zh-CN" w:bidi="ar"/>
              </w:rPr>
              <w:t>全波长酶标仪主机1台、电源线三相插头1根、配套品牌电脑1台（CPU型号不低于i5-14400F，显卡型号不低于RTX 5060，内存不小于16G DDR5，硬盘不小于1TB SSD），鼠标1个、96孔板吸收光透明底1块</w:t>
            </w:r>
            <w:r>
              <w:rPr>
                <w:rStyle w:val="254"/>
                <w:rFonts w:hint="eastAsia"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三、质保期：自安装验收后</w:t>
            </w:r>
            <w:r>
              <w:rPr>
                <w:rStyle w:val="254"/>
                <w:rFonts w:hint="eastAsia" w:ascii="Arial" w:hAnsi="Arial" w:cs="Arial"/>
                <w:color w:val="auto"/>
                <w:sz w:val="21"/>
                <w:szCs w:val="21"/>
                <w:highlight w:val="none"/>
                <w:lang w:val="en-US" w:eastAsia="zh-CN" w:bidi="ar"/>
              </w:rPr>
              <w:t>不少于</w:t>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年。</w:t>
            </w:r>
          </w:p>
        </w:tc>
      </w:tr>
      <w:tr w14:paraId="5C99B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A5510B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3</w:t>
            </w:r>
          </w:p>
        </w:tc>
        <w:tc>
          <w:tcPr>
            <w:tcW w:w="911" w:type="dxa"/>
            <w:noWrap w:val="0"/>
            <w:vAlign w:val="center"/>
          </w:tcPr>
          <w:p w14:paraId="1D29C35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电化学工作站</w:t>
            </w:r>
          </w:p>
        </w:tc>
        <w:tc>
          <w:tcPr>
            <w:tcW w:w="582" w:type="dxa"/>
            <w:noWrap w:val="0"/>
            <w:vAlign w:val="center"/>
          </w:tcPr>
          <w:p w14:paraId="434C9EE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4B6EE37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754" w:type="dxa"/>
            <w:noWrap w:val="0"/>
            <w:vAlign w:val="center"/>
          </w:tcPr>
          <w:p w14:paraId="72A94717">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A318B1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Fonts w:hint="default" w:ascii="Arial" w:hAnsi="Arial" w:eastAsia="宋体" w:cs="Arial"/>
                <w:i w:val="0"/>
                <w:iCs w:val="0"/>
                <w:color w:val="auto"/>
                <w:kern w:val="0"/>
                <w:sz w:val="21"/>
                <w:szCs w:val="21"/>
                <w:highlight w:val="none"/>
                <w:u w:val="none"/>
                <w:lang w:val="en-US" w:eastAsia="zh-CN" w:bidi="ar"/>
              </w:rPr>
              <w:t>恒电位仪/</w:t>
            </w:r>
            <w:r>
              <w:rPr>
                <w:rStyle w:val="254"/>
                <w:rFonts w:hint="default" w:ascii="Arial" w:hAnsi="Arial" w:cs="Arial"/>
                <w:color w:val="auto"/>
                <w:sz w:val="21"/>
                <w:szCs w:val="21"/>
                <w:highlight w:val="none"/>
                <w:lang w:val="en-US" w:eastAsia="zh-CN" w:bidi="ar"/>
              </w:rPr>
              <w:t>双恒电位仪</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零阻电流计</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 xml:space="preserve">  2</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3</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4</w:t>
            </w:r>
            <w:r>
              <w:rPr>
                <w:rStyle w:val="254"/>
                <w:rFonts w:hint="default" w:ascii="Arial" w:hAnsi="Arial" w:cs="Arial"/>
                <w:color w:val="auto"/>
                <w:sz w:val="21"/>
                <w:szCs w:val="21"/>
                <w:highlight w:val="none"/>
                <w:lang w:val="en-US" w:eastAsia="zh-CN" w:bidi="ar"/>
              </w:rPr>
              <w:t>电极结构</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浮动地线或实地</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两个通道最大电位范围：</w:t>
            </w:r>
            <w:r>
              <w:rPr>
                <w:rFonts w:hint="default" w:ascii="Arial" w:hAnsi="Arial" w:eastAsia="宋体" w:cs="Arial"/>
                <w:i w:val="0"/>
                <w:iCs w:val="0"/>
                <w:color w:val="auto"/>
                <w:kern w:val="0"/>
                <w:sz w:val="21"/>
                <w:szCs w:val="21"/>
                <w:highlight w:val="none"/>
                <w:u w:val="none"/>
                <w:lang w:val="en-US" w:eastAsia="zh-CN" w:bidi="ar"/>
              </w:rPr>
              <w:t xml:space="preserve"> ±10 V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最大电流：</w:t>
            </w:r>
            <w:r>
              <w:rPr>
                <w:rFonts w:hint="default" w:ascii="Arial" w:hAnsi="Arial" w:eastAsia="宋体" w:cs="Arial"/>
                <w:i w:val="0"/>
                <w:iCs w:val="0"/>
                <w:color w:val="auto"/>
                <w:kern w:val="0"/>
                <w:sz w:val="21"/>
                <w:szCs w:val="21"/>
                <w:highlight w:val="none"/>
                <w:u w:val="none"/>
                <w:lang w:val="en-US" w:eastAsia="zh-CN" w:bidi="ar"/>
              </w:rPr>
              <w:t xml:space="preserve">±250 mA </w:t>
            </w:r>
            <w:r>
              <w:rPr>
                <w:rStyle w:val="254"/>
                <w:rFonts w:hint="default" w:ascii="Arial" w:hAnsi="Arial" w:cs="Arial"/>
                <w:color w:val="auto"/>
                <w:sz w:val="21"/>
                <w:szCs w:val="21"/>
                <w:highlight w:val="none"/>
                <w:lang w:val="en-US" w:eastAsia="zh-CN" w:bidi="ar"/>
              </w:rPr>
              <w:t>连续（两个通道电流之和）</w:t>
            </w:r>
            <w:r>
              <w:rPr>
                <w:rFonts w:hint="default" w:ascii="Arial" w:hAnsi="Arial" w:eastAsia="宋体" w:cs="Arial"/>
                <w:i w:val="0"/>
                <w:iCs w:val="0"/>
                <w:color w:val="auto"/>
                <w:kern w:val="0"/>
                <w:sz w:val="21"/>
                <w:szCs w:val="21"/>
                <w:highlight w:val="none"/>
                <w:u w:val="none"/>
                <w:lang w:val="en-US" w:eastAsia="zh-CN" w:bidi="ar"/>
              </w:rPr>
              <w:t xml:space="preserve">, ±300 mA 峰值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 xml:space="preserve">槽压：±13 V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 xml:space="preserve">恒电位仪上升时间： 小于 1 μs, 通常 0.8 μs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 xml:space="preserve"> 恒电位仪带宽（-3分贝）：1 MHz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 xml:space="preserve"> 所加电位范围：±10 mV, ±50 mV, ±100 mV, ±650   mV, ±3.276 V, ±6.553 V, ±10 V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t xml:space="preserve"> 所加电位分辨：电位范围的0.0015%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11、</w:t>
            </w:r>
            <w:r>
              <w:rPr>
                <w:rFonts w:hint="default" w:ascii="Arial" w:hAnsi="Arial" w:eastAsia="宋体" w:cs="Arial"/>
                <w:i w:val="0"/>
                <w:iCs w:val="0"/>
                <w:color w:val="auto"/>
                <w:kern w:val="0"/>
                <w:sz w:val="21"/>
                <w:szCs w:val="21"/>
                <w:highlight w:val="none"/>
                <w:u w:val="none"/>
                <w:lang w:val="en-US" w:eastAsia="zh-CN" w:bidi="ar"/>
              </w:rPr>
              <w:t xml:space="preserve"> 所加电位准确度： ±1 mV,±满量程的0.01%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w:t>
            </w:r>
            <w:r>
              <w:rPr>
                <w:rFonts w:hint="default" w:ascii="Arial" w:hAnsi="Arial" w:eastAsia="宋体" w:cs="Arial"/>
                <w:i w:val="0"/>
                <w:iCs w:val="0"/>
                <w:color w:val="auto"/>
                <w:kern w:val="0"/>
                <w:sz w:val="21"/>
                <w:szCs w:val="21"/>
                <w:highlight w:val="none"/>
                <w:u w:val="none"/>
                <w:lang w:val="en-US" w:eastAsia="zh-CN" w:bidi="ar"/>
              </w:rPr>
              <w:t xml:space="preserve">  所加电位噪声：&lt; 10 μV 均方根植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13、</w:t>
            </w:r>
            <w:r>
              <w:rPr>
                <w:rFonts w:hint="default" w:ascii="Arial" w:hAnsi="Arial" w:eastAsia="宋体" w:cs="Arial"/>
                <w:i w:val="0"/>
                <w:iCs w:val="0"/>
                <w:color w:val="auto"/>
                <w:kern w:val="0"/>
                <w:sz w:val="21"/>
                <w:szCs w:val="21"/>
                <w:highlight w:val="none"/>
                <w:u w:val="none"/>
                <w:lang w:val="en-US" w:eastAsia="zh-CN" w:bidi="ar"/>
              </w:rPr>
              <w:t xml:space="preserve"> 测量电流范围：±10 pA 至 ±0.25 A， 12量程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14、</w:t>
            </w:r>
            <w:r>
              <w:rPr>
                <w:rFonts w:hint="default" w:ascii="Arial" w:hAnsi="Arial" w:eastAsia="宋体" w:cs="Arial"/>
                <w:i w:val="0"/>
                <w:iCs w:val="0"/>
                <w:color w:val="auto"/>
                <w:kern w:val="0"/>
                <w:sz w:val="21"/>
                <w:szCs w:val="21"/>
                <w:highlight w:val="none"/>
                <w:u w:val="none"/>
                <w:lang w:val="en-US" w:eastAsia="zh-CN" w:bidi="ar"/>
              </w:rPr>
              <w:t xml:space="preserve">测量电流分辨：电流量程的0.0015%，最低 0.3 fA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15、</w:t>
            </w:r>
            <w:r>
              <w:rPr>
                <w:rFonts w:hint="default" w:ascii="Arial" w:hAnsi="Arial" w:eastAsia="宋体" w:cs="Arial"/>
                <w:i w:val="0"/>
                <w:iCs w:val="0"/>
                <w:color w:val="auto"/>
                <w:kern w:val="0"/>
                <w:sz w:val="21"/>
                <w:szCs w:val="21"/>
                <w:highlight w:val="none"/>
                <w:u w:val="none"/>
                <w:lang w:val="en-US" w:eastAsia="zh-CN" w:bidi="ar"/>
              </w:rPr>
              <w:t xml:space="preserve"> 电流测量准确度：电流灵敏度1e-3A/V至1e-7A/V时为0.2%，其他范围为1%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16、</w:t>
            </w:r>
            <w:r>
              <w:rPr>
                <w:rFonts w:hint="default" w:ascii="Arial" w:hAnsi="Arial" w:eastAsia="宋体" w:cs="Arial"/>
                <w:i w:val="0"/>
                <w:iCs w:val="0"/>
                <w:color w:val="auto"/>
                <w:kern w:val="0"/>
                <w:sz w:val="21"/>
                <w:szCs w:val="21"/>
                <w:highlight w:val="none"/>
                <w:u w:val="none"/>
                <w:lang w:val="en-US" w:eastAsia="zh-CN" w:bidi="ar"/>
              </w:rPr>
              <w:t xml:space="preserve"> 输入偏置电流：&lt; 10 pA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w:t>
            </w:r>
            <w:r>
              <w:rPr>
                <w:rFonts w:hint="default" w:ascii="Arial" w:hAnsi="Arial" w:eastAsia="宋体" w:cs="Arial"/>
                <w:i w:val="0"/>
                <w:iCs w:val="0"/>
                <w:color w:val="auto"/>
                <w:kern w:val="0"/>
                <w:sz w:val="21"/>
                <w:szCs w:val="21"/>
                <w:highlight w:val="none"/>
                <w:u w:val="none"/>
                <w:lang w:val="en-US" w:eastAsia="zh-CN" w:bidi="ar"/>
              </w:rPr>
              <w:t xml:space="preserve">恒电流仪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 xml:space="preserve">恒电流范围： 0.3 nA – 250 mA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 xml:space="preserve">所加电流分辨率：电流范围的0.03%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 xml:space="preserve">测量电位范围： ±0.025 V, ±0.1 V, ±0.25 V, ±1 V, ±2.5 V, ±10 V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 xml:space="preserve"> 测量电位分辨率：测量范围的0.0015%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 所加电流准确度：±20pA，电流3e-7A至 3e-3A时为0.3%，其他范围为1%     Electrometer:  电位计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 xml:space="preserve">参比电极输入阻抗：1e12 欧姆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 xml:space="preserve">参比电极输入带宽： 10 MHz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 xml:space="preserve">参比电极输入偏置电流：&lt;= 10 pA @ 25°C     波形发生和数据获得系统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 xml:space="preserve"> 快速信号发生更新速率：10 MHz， 16位分辨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t xml:space="preserve"> 快速数据采集系统：16位分辨ADC，双通道同步采样，采样速率2.5M赫兹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11、</w:t>
            </w:r>
            <w:r>
              <w:rPr>
                <w:rFonts w:hint="default" w:ascii="Arial" w:hAnsi="Arial" w:eastAsia="宋体" w:cs="Arial"/>
                <w:i w:val="0"/>
                <w:iCs w:val="0"/>
                <w:color w:val="auto"/>
                <w:kern w:val="0"/>
                <w:sz w:val="21"/>
                <w:szCs w:val="21"/>
                <w:highlight w:val="none"/>
                <w:u w:val="none"/>
                <w:lang w:val="en-US" w:eastAsia="zh-CN" w:bidi="ar"/>
              </w:rPr>
              <w:t xml:space="preserve">外部信号记录通道最高采样速率2.5M 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w:t>
            </w:r>
            <w:r>
              <w:rPr>
                <w:rFonts w:hint="default" w:ascii="Arial" w:hAnsi="Arial" w:eastAsia="宋体" w:cs="Arial"/>
                <w:i w:val="0"/>
                <w:iCs w:val="0"/>
                <w:color w:val="auto"/>
                <w:kern w:val="0"/>
                <w:sz w:val="21"/>
                <w:szCs w:val="21"/>
                <w:highlight w:val="none"/>
                <w:u w:val="none"/>
                <w:lang w:val="en-US" w:eastAsia="zh-CN" w:bidi="ar"/>
              </w:rPr>
              <w:t xml:space="preserve">附件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12.1</w:t>
            </w:r>
            <w:r>
              <w:rPr>
                <w:rFonts w:hint="default" w:ascii="Arial" w:hAnsi="Arial" w:eastAsia="宋体" w:cs="Arial"/>
                <w:i w:val="0"/>
                <w:iCs w:val="0"/>
                <w:color w:val="auto"/>
                <w:kern w:val="0"/>
                <w:sz w:val="21"/>
                <w:szCs w:val="21"/>
                <w:highlight w:val="none"/>
                <w:u w:val="none"/>
                <w:lang w:val="en-US" w:eastAsia="zh-CN" w:bidi="ar"/>
              </w:rPr>
              <w:t xml:space="preserve">电极线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12.2</w:t>
            </w:r>
            <w:r>
              <w:rPr>
                <w:rFonts w:hint="default" w:ascii="Arial" w:hAnsi="Arial" w:eastAsia="宋体" w:cs="Arial"/>
                <w:i w:val="0"/>
                <w:iCs w:val="0"/>
                <w:color w:val="auto"/>
                <w:kern w:val="0"/>
                <w:sz w:val="21"/>
                <w:szCs w:val="21"/>
                <w:highlight w:val="none"/>
                <w:u w:val="none"/>
                <w:lang w:val="en-US" w:eastAsia="zh-CN" w:bidi="ar"/>
              </w:rPr>
              <w:t xml:space="preserve">USB通讯线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12.3</w:t>
            </w:r>
            <w:r>
              <w:rPr>
                <w:rFonts w:hint="default" w:ascii="Arial" w:hAnsi="Arial" w:eastAsia="宋体" w:cs="Arial"/>
                <w:i w:val="0"/>
                <w:iCs w:val="0"/>
                <w:color w:val="auto"/>
                <w:kern w:val="0"/>
                <w:sz w:val="21"/>
                <w:szCs w:val="21"/>
                <w:highlight w:val="none"/>
                <w:u w:val="none"/>
                <w:lang w:val="en-US" w:eastAsia="zh-CN" w:bidi="ar"/>
              </w:rPr>
              <w:t>电源线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三、</w:t>
            </w:r>
            <w:r>
              <w:rPr>
                <w:rFonts w:hint="default" w:ascii="Arial" w:hAnsi="Arial" w:eastAsia="宋体" w:cs="Arial"/>
                <w:i w:val="0"/>
                <w:iCs w:val="0"/>
                <w:color w:val="auto"/>
                <w:kern w:val="0"/>
                <w:sz w:val="21"/>
                <w:szCs w:val="21"/>
                <w:highlight w:val="none"/>
                <w:u w:val="none"/>
                <w:lang w:val="en-US" w:eastAsia="zh-CN" w:bidi="ar"/>
              </w:rPr>
              <w:t xml:space="preserve">实验参数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 xml:space="preserve"> CV和LSV扫描速度：  0.000001V/s 至 10,000 V/s，双通道同步扫描及采样至10,000 V/s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扫描时的电位增量：0.1 mV （当扫速为 1,000 V/s时）</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CA和CC的脉冲宽度： 0.0001 至   1000 sec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CA的最小采样间隔：0.4</w:t>
            </w:r>
            <w:r>
              <w:rPr>
                <w:rFonts w:ascii="Arial" w:hAnsi="Arial" w:cs="Arial"/>
                <w:color w:val="auto"/>
                <w:kern w:val="0"/>
                <w:szCs w:val="21"/>
                <w:highlight w:val="none"/>
                <w:lang w:bidi="ar"/>
              </w:rPr>
              <w:t>μs</w:t>
            </w:r>
            <w:r>
              <w:rPr>
                <w:rFonts w:hint="default" w:ascii="Arial" w:hAnsi="Arial" w:eastAsia="宋体" w:cs="Arial"/>
                <w:i w:val="0"/>
                <w:iCs w:val="0"/>
                <w:color w:val="auto"/>
                <w:kern w:val="0"/>
                <w:sz w:val="21"/>
                <w:szCs w:val="21"/>
                <w:highlight w:val="none"/>
                <w:u w:val="none"/>
                <w:lang w:val="en-US" w:eastAsia="zh-CN" w:bidi="ar"/>
              </w:rPr>
              <w:t xml:space="preserve">， 双通道同步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CC的最小采样间隔： 0.4 </w:t>
            </w:r>
            <w:r>
              <w:rPr>
                <w:rFonts w:ascii="Arial" w:hAnsi="Arial" w:cs="Arial"/>
                <w:color w:val="auto"/>
                <w:kern w:val="0"/>
                <w:szCs w:val="21"/>
                <w:highlight w:val="none"/>
                <w:lang w:bidi="ar"/>
              </w:rPr>
              <w:t>μs</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 xml:space="preserve"> CC模拟积分器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DPV和NPV的脉冲宽度：0.001   至 10 sec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SWV频率： 1 Hz至   100 kHz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i-t 的最小采样间隔： 0.4</w:t>
            </w:r>
            <w:r>
              <w:rPr>
                <w:rFonts w:ascii="Arial" w:hAnsi="Arial" w:cs="Arial"/>
                <w:color w:val="auto"/>
                <w:kern w:val="0"/>
                <w:szCs w:val="21"/>
                <w:highlight w:val="none"/>
                <w:lang w:bidi="ar"/>
              </w:rPr>
              <w:t>μs</w:t>
            </w:r>
            <w:r>
              <w:rPr>
                <w:rFonts w:hint="default" w:ascii="Arial" w:hAnsi="Arial" w:eastAsia="宋体" w:cs="Arial"/>
                <w:i w:val="0"/>
                <w:iCs w:val="0"/>
                <w:color w:val="auto"/>
                <w:kern w:val="0"/>
                <w:sz w:val="21"/>
                <w:szCs w:val="21"/>
                <w:highlight w:val="none"/>
                <w:u w:val="none"/>
                <w:lang w:val="en-US" w:eastAsia="zh-CN" w:bidi="ar"/>
              </w:rPr>
              <w:t xml:space="preserve">， 双通道同步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t xml:space="preserve"> ACV频率范围：0.1 Hz至 10   kHz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11、</w:t>
            </w:r>
            <w:r>
              <w:rPr>
                <w:rFonts w:hint="default" w:ascii="Arial" w:hAnsi="Arial" w:eastAsia="宋体" w:cs="Arial"/>
                <w:i w:val="0"/>
                <w:iCs w:val="0"/>
                <w:color w:val="auto"/>
                <w:kern w:val="0"/>
                <w:sz w:val="21"/>
                <w:szCs w:val="21"/>
                <w:highlight w:val="none"/>
                <w:u w:val="none"/>
                <w:lang w:val="en-US" w:eastAsia="zh-CN" w:bidi="ar"/>
              </w:rPr>
              <w:t xml:space="preserve"> SHACV频率范围：0.1 Hz至 5 kHz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12 、</w:t>
            </w:r>
            <w:r>
              <w:rPr>
                <w:rFonts w:hint="default" w:ascii="Arial" w:hAnsi="Arial" w:eastAsia="宋体" w:cs="Arial"/>
                <w:i w:val="0"/>
                <w:iCs w:val="0"/>
                <w:color w:val="auto"/>
                <w:kern w:val="0"/>
                <w:sz w:val="21"/>
                <w:szCs w:val="21"/>
                <w:highlight w:val="none"/>
                <w:u w:val="none"/>
                <w:lang w:val="en-US" w:eastAsia="zh-CN" w:bidi="ar"/>
              </w:rPr>
              <w:t xml:space="preserve">FTACV频率范围：0.1Hz 至 50Hz，可同时获取基波，二次谐波，三次谐波，四次谐波，五次谐波，六次谐波的ACV数据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13、</w:t>
            </w:r>
            <w:r>
              <w:rPr>
                <w:rFonts w:hint="default" w:ascii="Arial" w:hAnsi="Arial" w:eastAsia="宋体" w:cs="Arial"/>
                <w:i w:val="0"/>
                <w:iCs w:val="0"/>
                <w:color w:val="auto"/>
                <w:kern w:val="0"/>
                <w:sz w:val="21"/>
                <w:szCs w:val="21"/>
                <w:highlight w:val="none"/>
                <w:u w:val="none"/>
                <w:lang w:val="en-US" w:eastAsia="zh-CN" w:bidi="ar"/>
              </w:rPr>
              <w:t xml:space="preserve"> 交流阻抗： 0.00001Hz 至 3 MHz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14、</w:t>
            </w:r>
            <w:r>
              <w:rPr>
                <w:rFonts w:hint="default" w:ascii="Arial" w:hAnsi="Arial" w:eastAsia="宋体" w:cs="Arial"/>
                <w:i w:val="0"/>
                <w:iCs w:val="0"/>
                <w:color w:val="auto"/>
                <w:kern w:val="0"/>
                <w:sz w:val="21"/>
                <w:szCs w:val="21"/>
                <w:highlight w:val="none"/>
                <w:u w:val="none"/>
                <w:lang w:val="en-US" w:eastAsia="zh-CN" w:bidi="ar"/>
              </w:rPr>
              <w:t xml:space="preserve">交流阻抗波形幅度： 0.00001 V 至 0.7 V 均方根值     其他特点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15</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自动或手动iR降补偿（正反馈和电流中断法）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16</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电流测量偏置：满量程，16位分辨，0.003% 准确度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17、</w:t>
            </w:r>
            <w:r>
              <w:rPr>
                <w:rFonts w:hint="default" w:ascii="Arial" w:hAnsi="Arial" w:eastAsia="宋体" w:cs="Arial"/>
                <w:i w:val="0"/>
                <w:iCs w:val="0"/>
                <w:color w:val="auto"/>
                <w:kern w:val="0"/>
                <w:sz w:val="21"/>
                <w:szCs w:val="21"/>
                <w:highlight w:val="none"/>
                <w:u w:val="none"/>
                <w:lang w:val="en-US" w:eastAsia="zh-CN" w:bidi="ar"/>
              </w:rPr>
              <w:t xml:space="preserve">电位测量偏置：±10V，16位分辨，0.003% 准确度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18</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外部电位输入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19、</w:t>
            </w:r>
            <w:r>
              <w:rPr>
                <w:rFonts w:hint="default" w:ascii="Arial" w:hAnsi="Arial" w:eastAsia="宋体" w:cs="Arial"/>
                <w:i w:val="0"/>
                <w:iCs w:val="0"/>
                <w:color w:val="auto"/>
                <w:kern w:val="0"/>
                <w:sz w:val="21"/>
                <w:szCs w:val="21"/>
                <w:highlight w:val="none"/>
                <w:u w:val="none"/>
                <w:lang w:val="en-US" w:eastAsia="zh-CN" w:bidi="ar"/>
              </w:rPr>
              <w:t xml:space="preserve">电位和电流的模拟输出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20</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可控电位滤波器的截止频率： 1.5 MHz, 150 KHz, 15   KHz, 1.5 KHz, 150 Hz, 15 Hz, 1.5 Hz, 0.15 Hz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21、</w:t>
            </w:r>
            <w:r>
              <w:rPr>
                <w:rFonts w:hint="default" w:ascii="Arial" w:hAnsi="Arial" w:eastAsia="宋体" w:cs="Arial"/>
                <w:i w:val="0"/>
                <w:iCs w:val="0"/>
                <w:color w:val="auto"/>
                <w:kern w:val="0"/>
                <w:sz w:val="21"/>
                <w:szCs w:val="21"/>
                <w:highlight w:val="none"/>
                <w:u w:val="none"/>
                <w:lang w:val="en-US" w:eastAsia="zh-CN" w:bidi="ar"/>
              </w:rPr>
              <w:t xml:space="preserve"> 可控信号滤波器的截止频率： 1.5 MHz, 150 KHz, 15   KHz, 1.5 KHz, 150 Hz, 15 Hz, 1.5 Hz, 0.15 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22</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旋转电极控制电压输出（CHI730F以上）：0-10V 对用于 0-10000 rpm的转速，16位分辨，0.003% 准确度，需要某些旋转电极装置才能工作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23</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通过宏命令可以控制数字输入输出线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24</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内闪存储器可迅速更新程序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25、</w:t>
            </w:r>
            <w:r>
              <w:rPr>
                <w:rFonts w:hint="default" w:ascii="Arial" w:hAnsi="Arial" w:eastAsia="宋体" w:cs="Arial"/>
                <w:i w:val="0"/>
                <w:iCs w:val="0"/>
                <w:color w:val="auto"/>
                <w:kern w:val="0"/>
                <w:sz w:val="21"/>
                <w:szCs w:val="21"/>
                <w:highlight w:val="none"/>
                <w:u w:val="none"/>
                <w:lang w:val="en-US" w:eastAsia="zh-CN" w:bidi="ar"/>
              </w:rPr>
              <w:t xml:space="preserve">USB口数据通讯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26</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电解池控制：通氮，搅拌，敲击（需要特殊电解池系统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27、</w:t>
            </w:r>
            <w:r>
              <w:rPr>
                <w:rFonts w:hint="default" w:ascii="Arial" w:hAnsi="Arial" w:eastAsia="宋体" w:cs="Arial"/>
                <w:i w:val="0"/>
                <w:iCs w:val="0"/>
                <w:color w:val="auto"/>
                <w:kern w:val="0"/>
                <w:sz w:val="21"/>
                <w:szCs w:val="21"/>
                <w:highlight w:val="none"/>
                <w:u w:val="none"/>
                <w:lang w:val="en-US" w:eastAsia="zh-CN" w:bidi="ar"/>
              </w:rPr>
              <w:t xml:space="preserve"> CV数字模拟器和拟合器。用户定义反应机理（CHI730F以上）或预定义反应机理（其他型号）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28、</w:t>
            </w:r>
            <w:r>
              <w:rPr>
                <w:rFonts w:hint="default" w:ascii="Arial" w:hAnsi="Arial" w:eastAsia="宋体" w:cs="Arial"/>
                <w:i w:val="0"/>
                <w:iCs w:val="0"/>
                <w:color w:val="auto"/>
                <w:kern w:val="0"/>
                <w:sz w:val="21"/>
                <w:szCs w:val="21"/>
                <w:highlight w:val="none"/>
                <w:u w:val="none"/>
                <w:lang w:val="en-US" w:eastAsia="zh-CN" w:bidi="ar"/>
              </w:rPr>
              <w:t xml:space="preserve"> 交流阻抗模拟器和拟合器（具有交流阻抗测量功能的型号）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29、</w:t>
            </w:r>
            <w:r>
              <w:rPr>
                <w:rFonts w:hint="default" w:ascii="Arial" w:hAnsi="Arial" w:eastAsia="宋体" w:cs="Arial"/>
                <w:i w:val="0"/>
                <w:iCs w:val="0"/>
                <w:color w:val="auto"/>
                <w:kern w:val="0"/>
                <w:sz w:val="21"/>
                <w:szCs w:val="21"/>
                <w:highlight w:val="none"/>
                <w:u w:val="none"/>
                <w:lang w:val="en-US" w:eastAsia="zh-CN" w:bidi="ar"/>
              </w:rPr>
              <w:t xml:space="preserve"> 最大数据长度：256K-16,384K 点可选择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30、</w:t>
            </w:r>
            <w:r>
              <w:rPr>
                <w:rFonts w:hint="default" w:ascii="Arial" w:hAnsi="Arial" w:eastAsia="宋体" w:cs="Arial"/>
                <w:i w:val="0"/>
                <w:iCs w:val="0"/>
                <w:color w:val="auto"/>
                <w:kern w:val="0"/>
                <w:sz w:val="21"/>
                <w:szCs w:val="21"/>
                <w:highlight w:val="none"/>
                <w:u w:val="none"/>
                <w:lang w:val="en-US" w:eastAsia="zh-CN" w:bidi="ar"/>
              </w:rPr>
              <w:t xml:space="preserve"> 仪器尺寸： </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37 cm (宽) ´ 23   cm (深) ´ 12   cm (高)</w:t>
            </w:r>
          </w:p>
        </w:tc>
      </w:tr>
      <w:tr w14:paraId="19047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5B21792">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911" w:type="dxa"/>
            <w:noWrap w:val="0"/>
            <w:vAlign w:val="center"/>
          </w:tcPr>
          <w:p w14:paraId="7E17A50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自动永停滴定仪</w:t>
            </w:r>
          </w:p>
        </w:tc>
        <w:tc>
          <w:tcPr>
            <w:tcW w:w="582" w:type="dxa"/>
            <w:noWrap w:val="0"/>
            <w:vAlign w:val="center"/>
          </w:tcPr>
          <w:p w14:paraId="74C3AEC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20CC806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12881F46">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AA39BD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Fonts w:hint="default" w:ascii="Arial" w:hAnsi="Arial" w:eastAsia="宋体" w:cs="Arial"/>
                <w:i w:val="0"/>
                <w:iCs w:val="0"/>
                <w:color w:val="auto"/>
                <w:kern w:val="0"/>
                <w:sz w:val="21"/>
                <w:szCs w:val="21"/>
                <w:highlight w:val="none"/>
                <w:u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滴定装置单元容量滴定，5mL滴定管滴定容量允许误差：±0.010mL；10mL滴定管滴定容量允许误差：±0.020mL；20mL滴定管滴定容量允许误差：±0.030mL，滴定管分辨率1/480000</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电位滴定模块，滴定分析重复性≤0.2%，测量范围pH：（-5.000～20.000）pH，mV：（-2000.00～2000.00）mV，pX：（-2.000～20.000）pX，离子浓度：（1.000e-9～9.999e+9），温度(-10.0～135.0)℃，电子单元基本误差pH：±0.002pH，mV：±0.03%或±0.2mV，pX：±0.002pX（pX1），±0.005pX（pX2），离子浓度：±0.3%，温度±0.1℃</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永停滴定模块，滴定分析重复性≤0.2%，测量范围(0～0.199)μA，(0～1.999)μA，(0～19.99)μA，(0～199.9)μA，极化电流检测误差±2%FS，极化电压误差±2mV</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二、</w:t>
            </w:r>
            <w:r>
              <w:rPr>
                <w:rStyle w:val="254"/>
                <w:rFonts w:hint="default" w:ascii="Arial" w:hAnsi="Arial" w:cs="Arial"/>
                <w:color w:val="auto"/>
                <w:sz w:val="21"/>
                <w:szCs w:val="21"/>
                <w:highlight w:val="none"/>
                <w:lang w:val="en-US" w:eastAsia="zh-CN" w:bidi="ar"/>
              </w:rPr>
              <w:t>主要</w:t>
            </w:r>
            <w:r>
              <w:rPr>
                <w:rStyle w:val="254"/>
                <w:rFonts w:hint="eastAsia" w:ascii="Arial" w:hAnsi="Arial" w:cs="Arial"/>
                <w:color w:val="auto"/>
                <w:sz w:val="21"/>
                <w:szCs w:val="21"/>
                <w:highlight w:val="none"/>
                <w:lang w:val="en-US" w:eastAsia="zh-CN" w:bidi="ar"/>
              </w:rPr>
              <w:t>要求</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Fonts w:hint="eastAsia"/>
                <w:color w:val="auto"/>
                <w:highlight w:val="none"/>
              </w:rPr>
              <w:t>≥</w:t>
            </w:r>
            <w:r>
              <w:rPr>
                <w:rStyle w:val="254"/>
                <w:rFonts w:hint="default" w:ascii="Arial" w:hAnsi="Arial" w:cs="Arial"/>
                <w:color w:val="auto"/>
                <w:sz w:val="21"/>
                <w:szCs w:val="21"/>
                <w:highlight w:val="none"/>
                <w:lang w:val="en-US" w:eastAsia="zh-CN" w:bidi="ar"/>
              </w:rPr>
              <w:t>7英寸彩色液晶触摸屏，导航式操作</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支持电位滴定和永停滴定分析，及测量pH值，pX值，离子浓度测量分析</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智能操作系统，具有用户管理，方法管理，传感器管理，滴定剂管理，数据管理，GMP管理等功能</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支持用户四级权限管理</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支持方法管理功能，内置滴定方法和测量方法（直读浓度法，已知增量法，GRAN法），支持自定义方法</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支持连接自动进样器 ，实现样品的自动测量和批量检测</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支持检测模块拓展电导滴定，光度滴定和温度滴定分析</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 xml:space="preserve">采用阀门滴定管一体化设计，直接更换，有效避免干扰，支持5mL，10mL，20mL 多种滴定管 </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含一套内置滴定管路，可拓展第二套滴定管路(选配，外置)，支持辅助加液，双管路滴定等复杂滴定</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支持动态滴定，等量滴定，预设终点滴定，恒 pH 滴定，恒速滴定，空白滴定和手动滴定等多种滴定模式</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具有公式编辑器功能，直接显示计算结果</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支持对原始数据进行重新计算分析</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支持GMP 管理，支持GMP操作日志查阅，实现数据的完整溯源和追踪</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支持连接打印，U盘，扫描枪，天平</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三、</w:t>
            </w:r>
            <w:r>
              <w:rPr>
                <w:rStyle w:val="254"/>
                <w:rFonts w:hint="default" w:ascii="Arial" w:hAnsi="Arial" w:cs="Arial"/>
                <w:color w:val="auto"/>
                <w:sz w:val="21"/>
                <w:szCs w:val="21"/>
                <w:highlight w:val="none"/>
                <w:lang w:val="en-US" w:eastAsia="zh-CN" w:bidi="ar"/>
              </w:rPr>
              <w:t>基本配置</w:t>
            </w:r>
            <w:r>
              <w:rPr>
                <w:rStyle w:val="254"/>
                <w:rFonts w:hint="default" w:ascii="Arial" w:hAnsi="Arial" w:cs="Arial"/>
                <w:color w:val="auto"/>
                <w:sz w:val="21"/>
                <w:szCs w:val="21"/>
                <w:highlight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标配主机</w:t>
            </w:r>
            <w:r>
              <w:rPr>
                <w:rStyle w:val="254"/>
                <w:rFonts w:hint="eastAsia" w:ascii="Arial" w:hAnsi="Arial" w:cs="Arial"/>
                <w:color w:val="auto"/>
                <w:sz w:val="21"/>
                <w:szCs w:val="21"/>
                <w:highlight w:val="none"/>
                <w:lang w:val="en-US" w:eastAsia="zh-CN" w:bidi="ar"/>
              </w:rPr>
              <w:t>1台</w:t>
            </w:r>
            <w:r>
              <w:rPr>
                <w:rStyle w:val="254"/>
                <w:rFonts w:hint="default" w:ascii="Arial" w:hAnsi="Arial" w:cs="Arial"/>
                <w:color w:val="auto"/>
                <w:sz w:val="21"/>
                <w:szCs w:val="21"/>
                <w:highlight w:val="none"/>
                <w:lang w:val="en-US" w:eastAsia="zh-CN" w:bidi="ar"/>
              </w:rPr>
              <w:t>，参比电极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，铂电极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，银电极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，参比电极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，pH玻璃电极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，温度电极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，复合pH电极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，永停模块</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，电导电极</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，pH缓冲试剂粉剂(pH4.00/6.86/9.18)</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，溶液杯6只，搅拌珠</w:t>
            </w:r>
            <w:r>
              <w:rPr>
                <w:rStyle w:val="254"/>
                <w:rFonts w:hint="eastAsia" w:ascii="Arial" w:hAnsi="Arial" w:cs="Arial"/>
                <w:color w:val="auto"/>
                <w:sz w:val="21"/>
                <w:szCs w:val="21"/>
                <w:highlight w:val="none"/>
                <w:lang w:val="en-US" w:eastAsia="zh-CN" w:bidi="ar"/>
              </w:rPr>
              <w:t>1个</w:t>
            </w:r>
            <w:r>
              <w:rPr>
                <w:rStyle w:val="254"/>
                <w:rFonts w:hint="default" w:ascii="Arial" w:hAnsi="Arial" w:cs="Arial"/>
                <w:color w:val="auto"/>
                <w:sz w:val="21"/>
                <w:szCs w:val="21"/>
                <w:highlight w:val="none"/>
                <w:lang w:val="en-US" w:eastAsia="zh-CN" w:bidi="ar"/>
              </w:rPr>
              <w:t>，一体化滴定管</w:t>
            </w:r>
            <w:r>
              <w:rPr>
                <w:rStyle w:val="254"/>
                <w:rFonts w:hint="eastAsia" w:ascii="Arial" w:hAnsi="Arial" w:cs="Arial"/>
                <w:color w:val="auto"/>
                <w:sz w:val="21"/>
                <w:szCs w:val="21"/>
                <w:highlight w:val="none"/>
                <w:lang w:val="en-US" w:eastAsia="zh-CN" w:bidi="ar"/>
              </w:rPr>
              <w:t>1根</w:t>
            </w:r>
            <w:r>
              <w:rPr>
                <w:rStyle w:val="254"/>
                <w:rFonts w:hint="default" w:ascii="Arial" w:hAnsi="Arial" w:cs="Arial"/>
                <w:color w:val="auto"/>
                <w:sz w:val="21"/>
                <w:szCs w:val="21"/>
                <w:highlight w:val="none"/>
                <w:lang w:val="en-US" w:eastAsia="zh-CN" w:bidi="ar"/>
              </w:rPr>
              <w:t>，1000mL溶液瓶(包括干燥器)</w:t>
            </w:r>
            <w:r>
              <w:rPr>
                <w:rStyle w:val="254"/>
                <w:rFonts w:hint="eastAsia" w:ascii="Arial" w:hAnsi="Arial" w:cs="Arial"/>
                <w:color w:val="auto"/>
                <w:sz w:val="21"/>
                <w:szCs w:val="21"/>
                <w:highlight w:val="none"/>
                <w:lang w:val="en-US" w:eastAsia="zh-CN" w:bidi="ar"/>
              </w:rPr>
              <w:t>1瓶</w:t>
            </w:r>
            <w:r>
              <w:rPr>
                <w:rStyle w:val="254"/>
                <w:rFonts w:hint="default" w:ascii="Arial" w:hAnsi="Arial" w:cs="Arial"/>
                <w:color w:val="auto"/>
                <w:sz w:val="21"/>
                <w:szCs w:val="21"/>
                <w:highlight w:val="none"/>
                <w:lang w:val="en-US" w:eastAsia="zh-CN" w:bidi="ar"/>
              </w:rPr>
              <w:t>，国际通用电源线</w:t>
            </w:r>
            <w:r>
              <w:rPr>
                <w:rStyle w:val="254"/>
                <w:rFonts w:hint="eastAsia" w:ascii="Arial" w:hAnsi="Arial" w:cs="Arial"/>
                <w:color w:val="auto"/>
                <w:sz w:val="21"/>
                <w:szCs w:val="21"/>
                <w:highlight w:val="none"/>
                <w:lang w:val="en-US" w:eastAsia="zh-CN" w:bidi="ar"/>
              </w:rPr>
              <w:t>1根</w:t>
            </w:r>
            <w:r>
              <w:rPr>
                <w:rStyle w:val="254"/>
                <w:rFonts w:hint="default" w:ascii="Arial" w:hAnsi="Arial" w:cs="Arial"/>
                <w:color w:val="auto"/>
                <w:sz w:val="21"/>
                <w:szCs w:val="21"/>
                <w:highlight w:val="none"/>
                <w:lang w:val="en-US" w:eastAsia="zh-CN" w:bidi="ar"/>
              </w:rPr>
              <w:t>，USB通讯连线</w:t>
            </w:r>
            <w:r>
              <w:rPr>
                <w:rStyle w:val="254"/>
                <w:rFonts w:hint="eastAsia" w:ascii="Arial" w:hAnsi="Arial" w:cs="Arial"/>
                <w:color w:val="auto"/>
                <w:sz w:val="21"/>
                <w:szCs w:val="21"/>
                <w:highlight w:val="none"/>
                <w:lang w:val="en-US" w:eastAsia="zh-CN" w:bidi="ar"/>
              </w:rPr>
              <w:t>1根</w:t>
            </w:r>
            <w:r>
              <w:rPr>
                <w:rStyle w:val="254"/>
                <w:rFonts w:hint="default" w:ascii="Arial" w:hAnsi="Arial" w:cs="Arial"/>
                <w:color w:val="auto"/>
                <w:sz w:val="21"/>
                <w:szCs w:val="21"/>
                <w:highlight w:val="none"/>
                <w:lang w:val="en-US" w:eastAsia="zh-CN" w:bidi="ar"/>
              </w:rPr>
              <w:t>，产品使用说明书及应用示例</w:t>
            </w:r>
            <w:r>
              <w:rPr>
                <w:rStyle w:val="254"/>
                <w:rFonts w:hint="eastAsia" w:ascii="Arial" w:hAnsi="Arial" w:cs="Arial"/>
                <w:color w:val="auto"/>
                <w:sz w:val="21"/>
                <w:szCs w:val="21"/>
                <w:highlight w:val="none"/>
                <w:lang w:val="en-US" w:eastAsia="zh-CN" w:bidi="ar"/>
              </w:rPr>
              <w:t>1本</w:t>
            </w:r>
            <w:r>
              <w:rPr>
                <w:rStyle w:val="254"/>
                <w:rFonts w:hint="default" w:ascii="Arial" w:hAnsi="Arial" w:cs="Arial"/>
                <w:color w:val="auto"/>
                <w:sz w:val="21"/>
                <w:szCs w:val="21"/>
                <w:highlight w:val="none"/>
                <w:lang w:val="en-US" w:eastAsia="zh-CN" w:bidi="ar"/>
              </w:rPr>
              <w:t>，软件卡</w:t>
            </w:r>
            <w:r>
              <w:rPr>
                <w:rStyle w:val="254"/>
                <w:rFonts w:hint="eastAsia" w:ascii="Arial" w:hAnsi="Arial" w:cs="Arial"/>
                <w:color w:val="auto"/>
                <w:sz w:val="21"/>
                <w:szCs w:val="21"/>
                <w:highlight w:val="none"/>
                <w:lang w:val="en-US" w:eastAsia="zh-CN" w:bidi="ar"/>
              </w:rPr>
              <w:t>1个</w:t>
            </w:r>
          </w:p>
        </w:tc>
      </w:tr>
      <w:tr w14:paraId="3C80A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8EF5651">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5</w:t>
            </w:r>
          </w:p>
        </w:tc>
        <w:tc>
          <w:tcPr>
            <w:tcW w:w="911" w:type="dxa"/>
            <w:noWrap w:val="0"/>
            <w:vAlign w:val="center"/>
          </w:tcPr>
          <w:p w14:paraId="321D4A0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恒温培养箱</w:t>
            </w:r>
          </w:p>
        </w:tc>
        <w:tc>
          <w:tcPr>
            <w:tcW w:w="582" w:type="dxa"/>
            <w:noWrap w:val="0"/>
            <w:vAlign w:val="center"/>
          </w:tcPr>
          <w:p w14:paraId="22A50A4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3658763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154E7DA0">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A29BE6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主要技术参数：1. 42L</w:t>
            </w:r>
            <w:r>
              <w:rPr>
                <w:rFonts w:hint="eastAsia" w:ascii="Arial" w:hAnsi="Arial" w:cs="Arial"/>
                <w:i w:val="0"/>
                <w:iCs w:val="0"/>
                <w:color w:val="auto"/>
                <w:kern w:val="0"/>
                <w:sz w:val="21"/>
                <w:szCs w:val="21"/>
                <w:highlight w:val="none"/>
                <w:u w:val="none"/>
                <w:lang w:val="en-US" w:eastAsia="zh-CN" w:bidi="ar"/>
              </w:rPr>
              <w:t>±2L</w:t>
            </w:r>
            <w:r>
              <w:rPr>
                <w:rStyle w:val="254"/>
                <w:rFonts w:hint="default" w:ascii="Arial" w:hAnsi="Arial" w:cs="Arial"/>
                <w:color w:val="auto"/>
                <w:sz w:val="21"/>
                <w:szCs w:val="21"/>
                <w:highlight w:val="none"/>
                <w:lang w:val="en-US" w:eastAsia="zh-CN" w:bidi="ar"/>
              </w:rPr>
              <w:t>镀锌内胆</w:t>
            </w:r>
            <w:r>
              <w:rPr>
                <w:rStyle w:val="254"/>
                <w:rFonts w:hint="eastAsia" w:ascii="Arial" w:hAnsi="Arial" w:cs="Arial"/>
                <w:color w:val="auto"/>
                <w:sz w:val="21"/>
                <w:szCs w:val="21"/>
                <w:highlight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35*35*35cm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2. </w:t>
            </w:r>
            <w:r>
              <w:rPr>
                <w:rStyle w:val="254"/>
                <w:rFonts w:hint="default" w:ascii="Arial" w:hAnsi="Arial" w:cs="Arial"/>
                <w:color w:val="auto"/>
                <w:sz w:val="21"/>
                <w:szCs w:val="21"/>
                <w:highlight w:val="none"/>
                <w:lang w:val="en-US" w:eastAsia="zh-CN" w:bidi="ar"/>
              </w:rPr>
              <w:t>温度范围：</w:t>
            </w:r>
            <w:r>
              <w:rPr>
                <w:rFonts w:hint="default" w:ascii="Arial" w:hAnsi="Arial" w:eastAsia="宋体" w:cs="Arial"/>
                <w:i w:val="0"/>
                <w:iCs w:val="0"/>
                <w:color w:val="auto"/>
                <w:kern w:val="0"/>
                <w:sz w:val="21"/>
                <w:szCs w:val="21"/>
                <w:highlight w:val="none"/>
                <w:u w:val="none"/>
                <w:lang w:val="en-US" w:eastAsia="zh-CN" w:bidi="ar"/>
              </w:rPr>
              <w:t>RT+5°C</w:t>
            </w:r>
            <w:r>
              <w:rPr>
                <w:rStyle w:val="254"/>
                <w:rFonts w:hint="default" w:ascii="Arial" w:hAnsi="Arial" w:cs="Arial"/>
                <w:color w:val="auto"/>
                <w:sz w:val="21"/>
                <w:szCs w:val="21"/>
                <w:highlight w:val="none"/>
                <w:lang w:val="en-US" w:eastAsia="zh-CN" w:bidi="ar"/>
              </w:rPr>
              <w:t>。</w:t>
            </w:r>
          </w:p>
        </w:tc>
      </w:tr>
      <w:tr w14:paraId="3FEFD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7CE4E7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6</w:t>
            </w:r>
          </w:p>
        </w:tc>
        <w:tc>
          <w:tcPr>
            <w:tcW w:w="911" w:type="dxa"/>
            <w:noWrap w:val="0"/>
            <w:vAlign w:val="center"/>
          </w:tcPr>
          <w:p w14:paraId="4947E7F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无菌操作台</w:t>
            </w:r>
          </w:p>
        </w:tc>
        <w:tc>
          <w:tcPr>
            <w:tcW w:w="582" w:type="dxa"/>
            <w:noWrap w:val="0"/>
            <w:vAlign w:val="center"/>
          </w:tcPr>
          <w:p w14:paraId="5E7F763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0F0957F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249E1D12">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F4CF48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主要技术参数：1.</w:t>
            </w:r>
            <w:r>
              <w:rPr>
                <w:rStyle w:val="254"/>
                <w:rFonts w:hint="default" w:ascii="Arial" w:hAnsi="Arial" w:cs="Arial"/>
                <w:color w:val="auto"/>
                <w:sz w:val="21"/>
                <w:szCs w:val="21"/>
                <w:highlight w:val="none"/>
                <w:lang w:val="en-US" w:eastAsia="zh-CN" w:bidi="ar"/>
              </w:rPr>
              <w:t>彩色液晶显示；</w:t>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无死角灭菌；</w:t>
            </w:r>
            <w:r>
              <w:rPr>
                <w:rFonts w:hint="default" w:ascii="Arial" w:hAnsi="Arial" w:eastAsia="宋体" w:cs="Arial"/>
                <w:i w:val="0"/>
                <w:iCs w:val="0"/>
                <w:color w:val="auto"/>
                <w:kern w:val="0"/>
                <w:sz w:val="21"/>
                <w:szCs w:val="21"/>
                <w:highlight w:val="none"/>
                <w:u w:val="none"/>
                <w:lang w:val="en-US" w:eastAsia="zh-CN" w:bidi="ar"/>
              </w:rPr>
              <w:t>3.</w:t>
            </w:r>
            <w:r>
              <w:rPr>
                <w:rStyle w:val="254"/>
                <w:rFonts w:hint="default" w:ascii="Arial" w:hAnsi="Arial" w:cs="Arial"/>
                <w:color w:val="auto"/>
                <w:sz w:val="21"/>
                <w:szCs w:val="21"/>
                <w:highlight w:val="none"/>
                <w:lang w:val="en-US" w:eastAsia="zh-CN" w:bidi="ar"/>
              </w:rPr>
              <w:t>洁净度</w:t>
            </w:r>
            <w:r>
              <w:rPr>
                <w:rFonts w:hint="default" w:ascii="Arial" w:hAnsi="Arial" w:eastAsia="宋体" w:cs="Arial"/>
                <w:i w:val="0"/>
                <w:iCs w:val="0"/>
                <w:color w:val="auto"/>
                <w:kern w:val="0"/>
                <w:sz w:val="21"/>
                <w:szCs w:val="21"/>
                <w:highlight w:val="none"/>
                <w:u w:val="none"/>
                <w:lang w:val="en-US" w:eastAsia="zh-CN" w:bidi="ar"/>
              </w:rPr>
              <w:t>100</w:t>
            </w:r>
            <w:r>
              <w:rPr>
                <w:rStyle w:val="254"/>
                <w:rFonts w:hint="default" w:ascii="Arial" w:hAnsi="Arial" w:cs="Arial"/>
                <w:color w:val="auto"/>
                <w:sz w:val="21"/>
                <w:szCs w:val="21"/>
                <w:highlight w:val="none"/>
                <w:lang w:val="en-US" w:eastAsia="zh-CN" w:bidi="ar"/>
              </w:rPr>
              <w:t>级</w:t>
            </w:r>
            <w:r>
              <w:rPr>
                <w:rFonts w:hint="default" w:ascii="Arial" w:hAnsi="Arial" w:eastAsia="宋体" w:cs="Arial"/>
                <w:i w:val="0"/>
                <w:iCs w:val="0"/>
                <w:color w:val="auto"/>
                <w:kern w:val="0"/>
                <w:sz w:val="21"/>
                <w:szCs w:val="21"/>
                <w:highlight w:val="none"/>
                <w:u w:val="none"/>
                <w:lang w:val="en-US" w:eastAsia="zh-CN" w:bidi="ar"/>
              </w:rPr>
              <w:t>@&gt;0.5um</w:t>
            </w:r>
          </w:p>
        </w:tc>
      </w:tr>
      <w:tr w14:paraId="6AE95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D9BC3A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7</w:t>
            </w:r>
          </w:p>
        </w:tc>
        <w:tc>
          <w:tcPr>
            <w:tcW w:w="911" w:type="dxa"/>
            <w:noWrap w:val="0"/>
            <w:vAlign w:val="center"/>
          </w:tcPr>
          <w:p w14:paraId="4BF0277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恒温摇床</w:t>
            </w:r>
          </w:p>
        </w:tc>
        <w:tc>
          <w:tcPr>
            <w:tcW w:w="582" w:type="dxa"/>
            <w:noWrap w:val="0"/>
            <w:vAlign w:val="center"/>
          </w:tcPr>
          <w:p w14:paraId="3B42D71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2C8575E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1B288911">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73F01B9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主要技术参数：1. LED</w:t>
            </w:r>
            <w:r>
              <w:rPr>
                <w:rStyle w:val="254"/>
                <w:rFonts w:hint="default" w:ascii="Arial" w:hAnsi="Arial" w:cs="Arial"/>
                <w:color w:val="auto"/>
                <w:sz w:val="21"/>
                <w:szCs w:val="21"/>
                <w:highlight w:val="none"/>
                <w:lang w:val="en-US" w:eastAsia="zh-CN" w:bidi="ar"/>
              </w:rPr>
              <w:t>数码管；</w:t>
            </w:r>
            <w:r>
              <w:rPr>
                <w:rFonts w:hint="default" w:ascii="Arial" w:hAnsi="Arial" w:eastAsia="宋体" w:cs="Arial"/>
                <w:i w:val="0"/>
                <w:iCs w:val="0"/>
                <w:color w:val="auto"/>
                <w:kern w:val="0"/>
                <w:sz w:val="21"/>
                <w:szCs w:val="21"/>
                <w:highlight w:val="none"/>
                <w:u w:val="none"/>
                <w:lang w:val="en-US" w:eastAsia="zh-CN" w:bidi="ar"/>
              </w:rPr>
              <w:t xml:space="preserve">2. </w:t>
            </w:r>
            <w:r>
              <w:rPr>
                <w:rStyle w:val="254"/>
                <w:rFonts w:hint="default" w:ascii="Arial" w:hAnsi="Arial" w:cs="Arial"/>
                <w:color w:val="auto"/>
                <w:sz w:val="21"/>
                <w:szCs w:val="21"/>
                <w:highlight w:val="none"/>
                <w:lang w:val="en-US" w:eastAsia="zh-CN" w:bidi="ar"/>
              </w:rPr>
              <w:t>振荡幅度为</w:t>
            </w:r>
            <w:r>
              <w:rPr>
                <w:rFonts w:hint="default" w:ascii="Arial" w:hAnsi="Arial" w:eastAsia="宋体" w:cs="Arial"/>
                <w:i w:val="0"/>
                <w:iCs w:val="0"/>
                <w:color w:val="auto"/>
                <w:kern w:val="0"/>
                <w:sz w:val="21"/>
                <w:szCs w:val="21"/>
                <w:highlight w:val="none"/>
                <w:u w:val="none"/>
                <w:lang w:val="en-US" w:eastAsia="zh-CN" w:bidi="ar"/>
              </w:rPr>
              <w:t>20mm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3. </w:t>
            </w:r>
            <w:r>
              <w:rPr>
                <w:rStyle w:val="254"/>
                <w:rFonts w:hint="default" w:ascii="Arial" w:hAnsi="Arial" w:cs="Arial"/>
                <w:color w:val="auto"/>
                <w:sz w:val="21"/>
                <w:szCs w:val="21"/>
                <w:highlight w:val="none"/>
                <w:lang w:val="en-US" w:eastAsia="zh-CN" w:bidi="ar"/>
              </w:rPr>
              <w:t>温度控制精度</w:t>
            </w:r>
            <w:r>
              <w:rPr>
                <w:rFonts w:hint="default" w:ascii="Arial" w:hAnsi="Arial" w:eastAsia="宋体" w:cs="Arial"/>
                <w:i w:val="0"/>
                <w:iCs w:val="0"/>
                <w:color w:val="auto"/>
                <w:kern w:val="0"/>
                <w:sz w:val="21"/>
                <w:szCs w:val="21"/>
                <w:highlight w:val="none"/>
                <w:u w:val="none"/>
                <w:lang w:val="en-US" w:eastAsia="zh-CN" w:bidi="ar"/>
              </w:rPr>
              <w:t>0.5°C</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4. </w:t>
            </w:r>
            <w:r>
              <w:rPr>
                <w:rStyle w:val="254"/>
                <w:rFonts w:hint="default" w:ascii="Arial" w:hAnsi="Arial" w:cs="Arial"/>
                <w:color w:val="auto"/>
                <w:sz w:val="21"/>
                <w:szCs w:val="21"/>
                <w:highlight w:val="none"/>
                <w:lang w:val="en-US" w:eastAsia="zh-CN" w:bidi="ar"/>
              </w:rPr>
              <w:t>转速范围</w:t>
            </w:r>
            <w:r>
              <w:rPr>
                <w:rFonts w:hint="default" w:ascii="Arial" w:hAnsi="Arial" w:eastAsia="宋体" w:cs="Arial"/>
                <w:i w:val="0"/>
                <w:iCs w:val="0"/>
                <w:color w:val="auto"/>
                <w:kern w:val="0"/>
                <w:sz w:val="21"/>
                <w:szCs w:val="21"/>
                <w:highlight w:val="none"/>
                <w:u w:val="none"/>
                <w:lang w:val="en-US" w:eastAsia="zh-CN" w:bidi="ar"/>
              </w:rPr>
              <w:t>40-300rpm</w:t>
            </w:r>
            <w:r>
              <w:rPr>
                <w:rStyle w:val="254"/>
                <w:rFonts w:hint="default" w:ascii="Arial" w:hAnsi="Arial" w:cs="Arial"/>
                <w:color w:val="auto"/>
                <w:sz w:val="21"/>
                <w:szCs w:val="21"/>
                <w:highlight w:val="none"/>
                <w:lang w:val="en-US" w:eastAsia="zh-CN" w:bidi="ar"/>
              </w:rPr>
              <w:t>。</w:t>
            </w:r>
          </w:p>
        </w:tc>
      </w:tr>
      <w:tr w14:paraId="2C59C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8C7B052">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8</w:t>
            </w:r>
          </w:p>
        </w:tc>
        <w:tc>
          <w:tcPr>
            <w:tcW w:w="911" w:type="dxa"/>
            <w:noWrap w:val="0"/>
            <w:vAlign w:val="center"/>
          </w:tcPr>
          <w:p w14:paraId="0AAC426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小型台式循环水式真空泵</w:t>
            </w:r>
          </w:p>
        </w:tc>
        <w:tc>
          <w:tcPr>
            <w:tcW w:w="582" w:type="dxa"/>
            <w:noWrap w:val="0"/>
            <w:vAlign w:val="center"/>
          </w:tcPr>
          <w:p w14:paraId="4B05BE3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686" w:type="dxa"/>
            <w:noWrap w:val="0"/>
            <w:vAlign w:val="center"/>
          </w:tcPr>
          <w:p w14:paraId="41B12DB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43F8468A">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B51966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主要技术参数： </w:t>
            </w:r>
            <w:r>
              <w:rPr>
                <w:rStyle w:val="254"/>
                <w:rFonts w:hint="default" w:ascii="Arial" w:hAnsi="Arial" w:cs="Arial"/>
                <w:color w:val="auto"/>
                <w:sz w:val="21"/>
                <w:szCs w:val="21"/>
                <w:highlight w:val="none"/>
                <w:lang w:val="en-US" w:eastAsia="zh-CN" w:bidi="ar"/>
              </w:rPr>
              <w:t>防腐双表双抽，功率</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180W,</w:t>
            </w:r>
            <w:r>
              <w:rPr>
                <w:rStyle w:val="254"/>
                <w:rFonts w:hint="default" w:ascii="Arial" w:hAnsi="Arial" w:cs="Arial"/>
                <w:color w:val="auto"/>
                <w:sz w:val="21"/>
                <w:szCs w:val="21"/>
                <w:highlight w:val="none"/>
                <w:lang w:val="en-US" w:eastAsia="zh-CN" w:bidi="ar"/>
              </w:rPr>
              <w:t>流量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60L/分钟，机体材质防腐，扬程</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8米，最大真空度-0.098Mpa；单头抽气量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10L/分钟，储水箱容积</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5L</w:t>
            </w:r>
          </w:p>
        </w:tc>
      </w:tr>
      <w:tr w14:paraId="0DC86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AFDF12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9</w:t>
            </w:r>
          </w:p>
        </w:tc>
        <w:tc>
          <w:tcPr>
            <w:tcW w:w="911" w:type="dxa"/>
            <w:noWrap w:val="0"/>
            <w:vAlign w:val="center"/>
          </w:tcPr>
          <w:p w14:paraId="0E91FA8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台式循环水式多用真空泵</w:t>
            </w:r>
          </w:p>
        </w:tc>
        <w:tc>
          <w:tcPr>
            <w:tcW w:w="582" w:type="dxa"/>
            <w:noWrap w:val="0"/>
            <w:vAlign w:val="center"/>
          </w:tcPr>
          <w:p w14:paraId="257C268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686" w:type="dxa"/>
            <w:noWrap w:val="0"/>
            <w:vAlign w:val="center"/>
          </w:tcPr>
          <w:p w14:paraId="205B0A9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437C36FE">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7FE645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1</w:t>
            </w:r>
            <w:r>
              <w:rPr>
                <w:rStyle w:val="254"/>
                <w:rFonts w:hint="default" w:ascii="Arial" w:hAnsi="Arial" w:cs="Arial"/>
                <w:color w:val="auto"/>
                <w:sz w:val="21"/>
                <w:szCs w:val="21"/>
                <w:highlight w:val="none"/>
                <w:lang w:val="en-US" w:eastAsia="zh-CN" w:bidi="ar"/>
              </w:rPr>
              <w:t>、射流器、抽气咀喷涂</w:t>
            </w:r>
            <w:r>
              <w:rPr>
                <w:rFonts w:hint="default" w:ascii="Arial" w:hAnsi="Arial" w:eastAsia="宋体" w:cs="Arial"/>
                <w:i w:val="0"/>
                <w:iCs w:val="0"/>
                <w:color w:val="auto"/>
                <w:kern w:val="0"/>
                <w:sz w:val="21"/>
                <w:szCs w:val="21"/>
                <w:highlight w:val="none"/>
                <w:u w:val="none"/>
                <w:lang w:val="en-US" w:eastAsia="zh-CN" w:bidi="ar"/>
              </w:rPr>
              <w:t>PTFE</w:t>
            </w:r>
            <w:r>
              <w:rPr>
                <w:rStyle w:val="254"/>
                <w:rFonts w:hint="default" w:ascii="Arial" w:hAnsi="Arial" w:cs="Arial"/>
                <w:color w:val="auto"/>
                <w:sz w:val="21"/>
                <w:szCs w:val="21"/>
                <w:highlight w:val="none"/>
                <w:lang w:val="en-US" w:eastAsia="zh-CN" w:bidi="ar"/>
              </w:rPr>
              <w:t>，氟橡胶材质气体管路。</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功率（</w:t>
            </w:r>
            <w:r>
              <w:rPr>
                <w:rFonts w:hint="default" w:ascii="Arial" w:hAnsi="Arial" w:eastAsia="宋体" w:cs="Arial"/>
                <w:i w:val="0"/>
                <w:iCs w:val="0"/>
                <w:color w:val="auto"/>
                <w:kern w:val="0"/>
                <w:sz w:val="21"/>
                <w:szCs w:val="21"/>
                <w:highlight w:val="none"/>
                <w:u w:val="none"/>
                <w:lang w:val="en-US" w:eastAsia="zh-CN" w:bidi="ar"/>
              </w:rPr>
              <w:t>W</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180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电源（</w:t>
            </w:r>
            <w:r>
              <w:rPr>
                <w:rFonts w:hint="default" w:ascii="Arial" w:hAnsi="Arial" w:eastAsia="宋体" w:cs="Arial"/>
                <w:i w:val="0"/>
                <w:iCs w:val="0"/>
                <w:color w:val="auto"/>
                <w:kern w:val="0"/>
                <w:sz w:val="21"/>
                <w:szCs w:val="21"/>
                <w:highlight w:val="none"/>
                <w:u w:val="none"/>
                <w:lang w:val="en-US" w:eastAsia="zh-CN" w:bidi="ar"/>
              </w:rPr>
              <w:t>V/Hz</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1</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,110V,60Hz</w:t>
            </w:r>
            <w:r>
              <w:rPr>
                <w:rStyle w:val="254"/>
                <w:rFonts w:hint="default" w:ascii="Arial" w:hAnsi="Arial" w:cs="Arial"/>
                <w:color w:val="auto"/>
                <w:sz w:val="21"/>
                <w:szCs w:val="21"/>
                <w:highlight w:val="none"/>
                <w:lang w:val="en-US" w:eastAsia="zh-CN" w:bidi="ar"/>
              </w:rPr>
              <w:t>或</w:t>
            </w:r>
            <w:r>
              <w:rPr>
                <w:rFonts w:hint="default" w:ascii="Arial" w:hAnsi="Arial" w:eastAsia="宋体" w:cs="Arial"/>
                <w:i w:val="0"/>
                <w:iCs w:val="0"/>
                <w:color w:val="auto"/>
                <w:kern w:val="0"/>
                <w:sz w:val="21"/>
                <w:szCs w:val="21"/>
                <w:highlight w:val="none"/>
                <w:u w:val="none"/>
                <w:lang w:val="en-US" w:eastAsia="zh-CN" w:bidi="ar"/>
              </w:rPr>
              <w:t>220V,50Hz</w:t>
            </w:r>
            <w:r>
              <w:rPr>
                <w:rStyle w:val="254"/>
                <w:rFonts w:hint="default" w:ascii="Arial" w:hAnsi="Arial" w:cs="Arial"/>
                <w:color w:val="auto"/>
                <w:sz w:val="21"/>
                <w:szCs w:val="21"/>
                <w:highlight w:val="none"/>
                <w:lang w:val="en-US" w:eastAsia="zh-CN" w:bidi="ar"/>
              </w:rPr>
              <w:t>或</w:t>
            </w:r>
            <w:r>
              <w:rPr>
                <w:rFonts w:hint="default" w:ascii="Arial" w:hAnsi="Arial" w:eastAsia="宋体" w:cs="Arial"/>
                <w:i w:val="0"/>
                <w:iCs w:val="0"/>
                <w:color w:val="auto"/>
                <w:kern w:val="0"/>
                <w:sz w:val="21"/>
                <w:szCs w:val="21"/>
                <w:highlight w:val="none"/>
                <w:u w:val="none"/>
                <w:lang w:val="en-US" w:eastAsia="zh-CN" w:bidi="ar"/>
              </w:rPr>
              <w:t>220V,60Hz</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流量（</w:t>
            </w:r>
            <w:r>
              <w:rPr>
                <w:rFonts w:hint="default" w:ascii="Arial" w:hAnsi="Arial" w:eastAsia="宋体" w:cs="Arial"/>
                <w:i w:val="0"/>
                <w:iCs w:val="0"/>
                <w:color w:val="auto"/>
                <w:kern w:val="0"/>
                <w:sz w:val="21"/>
                <w:szCs w:val="21"/>
                <w:highlight w:val="none"/>
                <w:u w:val="none"/>
                <w:lang w:val="en-US" w:eastAsia="zh-CN" w:bidi="ar"/>
              </w:rPr>
              <w:t>L/min</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80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扬程（</w:t>
            </w:r>
            <w:r>
              <w:rPr>
                <w:rFonts w:hint="default" w:ascii="Arial" w:hAnsi="Arial" w:eastAsia="宋体" w:cs="Arial"/>
                <w:i w:val="0"/>
                <w:iCs w:val="0"/>
                <w:color w:val="auto"/>
                <w:kern w:val="0"/>
                <w:sz w:val="21"/>
                <w:szCs w:val="21"/>
                <w:highlight w:val="none"/>
                <w:u w:val="none"/>
                <w:lang w:val="en-US" w:eastAsia="zh-CN" w:bidi="ar"/>
              </w:rPr>
              <w:t>m</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最大真空度（</w:t>
            </w:r>
            <w:r>
              <w:rPr>
                <w:rFonts w:hint="default" w:ascii="Arial" w:hAnsi="Arial" w:eastAsia="宋体" w:cs="Arial"/>
                <w:i w:val="0"/>
                <w:iCs w:val="0"/>
                <w:color w:val="auto"/>
                <w:kern w:val="0"/>
                <w:sz w:val="21"/>
                <w:szCs w:val="21"/>
                <w:highlight w:val="none"/>
                <w:u w:val="none"/>
                <w:lang w:val="en-US" w:eastAsia="zh-CN" w:bidi="ar"/>
              </w:rPr>
              <w:t>MPa</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0.098(20mbar)</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单头抽气量（</w:t>
            </w:r>
            <w:r>
              <w:rPr>
                <w:rFonts w:hint="default" w:ascii="Arial" w:hAnsi="Arial" w:eastAsia="宋体" w:cs="Arial"/>
                <w:i w:val="0"/>
                <w:iCs w:val="0"/>
                <w:color w:val="auto"/>
                <w:kern w:val="0"/>
                <w:sz w:val="21"/>
                <w:szCs w:val="21"/>
                <w:highlight w:val="none"/>
                <w:u w:val="none"/>
                <w:lang w:val="en-US" w:eastAsia="zh-CN" w:bidi="ar"/>
              </w:rPr>
              <w:t>L/min</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10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抽气头数（个）</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2</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安全功能</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逆流防止阀</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水箱容积（</w:t>
            </w:r>
            <w:r>
              <w:rPr>
                <w:rFonts w:hint="default" w:ascii="Arial" w:hAnsi="Arial" w:eastAsia="宋体" w:cs="Arial"/>
                <w:i w:val="0"/>
                <w:iCs w:val="0"/>
                <w:color w:val="auto"/>
                <w:kern w:val="0"/>
                <w:sz w:val="21"/>
                <w:szCs w:val="21"/>
                <w:highlight w:val="none"/>
                <w:u w:val="none"/>
                <w:lang w:val="en-US" w:eastAsia="zh-CN" w:bidi="ar"/>
              </w:rPr>
              <w:t>L</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15</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水箱材质</w:t>
            </w:r>
            <w:r>
              <w:rPr>
                <w:rFonts w:hint="default" w:ascii="Arial" w:hAnsi="Arial" w:eastAsia="宋体" w:cs="Arial"/>
                <w:i w:val="0"/>
                <w:iCs w:val="0"/>
                <w:color w:val="auto"/>
                <w:kern w:val="0"/>
                <w:sz w:val="21"/>
                <w:szCs w:val="21"/>
                <w:highlight w:val="none"/>
                <w:u w:val="none"/>
                <w:lang w:val="en-US" w:eastAsia="zh-CN" w:bidi="ar"/>
              </w:rPr>
              <w:t xml:space="preserve"> PP</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外形尺寸（</w:t>
            </w:r>
            <w:r>
              <w:rPr>
                <w:rFonts w:hint="default" w:ascii="Arial" w:hAnsi="Arial" w:eastAsia="宋体" w:cs="Arial"/>
                <w:i w:val="0"/>
                <w:iCs w:val="0"/>
                <w:color w:val="auto"/>
                <w:kern w:val="0"/>
                <w:sz w:val="21"/>
                <w:szCs w:val="21"/>
                <w:highlight w:val="none"/>
                <w:u w:val="none"/>
                <w:lang w:val="en-US" w:eastAsia="zh-CN" w:bidi="ar"/>
              </w:rPr>
              <w:t>mm</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385L*280W*420H</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重量（</w:t>
            </w:r>
            <w:r>
              <w:rPr>
                <w:rFonts w:hint="default" w:ascii="Arial" w:hAnsi="Arial" w:eastAsia="宋体" w:cs="Arial"/>
                <w:i w:val="0"/>
                <w:iCs w:val="0"/>
                <w:color w:val="auto"/>
                <w:kern w:val="0"/>
                <w:sz w:val="21"/>
                <w:szCs w:val="21"/>
                <w:highlight w:val="none"/>
                <w:u w:val="none"/>
                <w:lang w:val="en-US" w:eastAsia="zh-CN" w:bidi="ar"/>
              </w:rPr>
              <w:t>kg</w:t>
            </w:r>
            <w:r>
              <w:rPr>
                <w:rStyle w:val="254"/>
                <w:rFonts w:hint="default" w:ascii="Arial" w:hAnsi="Arial" w:cs="Arial"/>
                <w:color w:val="auto"/>
                <w:sz w:val="21"/>
                <w:szCs w:val="21"/>
                <w:highlight w:val="none"/>
                <w:lang w:val="en-US" w:eastAsia="zh-CN" w:bidi="ar"/>
              </w:rPr>
              <w:t>）</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11</w:t>
            </w:r>
          </w:p>
        </w:tc>
      </w:tr>
      <w:tr w14:paraId="0FE81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E7382EE">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w:t>
            </w:r>
          </w:p>
        </w:tc>
        <w:tc>
          <w:tcPr>
            <w:tcW w:w="911" w:type="dxa"/>
            <w:noWrap w:val="0"/>
            <w:vAlign w:val="center"/>
          </w:tcPr>
          <w:p w14:paraId="0F56716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全自动熔点仪</w:t>
            </w:r>
          </w:p>
        </w:tc>
        <w:tc>
          <w:tcPr>
            <w:tcW w:w="582" w:type="dxa"/>
            <w:noWrap w:val="0"/>
            <w:vAlign w:val="center"/>
          </w:tcPr>
          <w:p w14:paraId="59F855D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686" w:type="dxa"/>
            <w:noWrap w:val="0"/>
            <w:vAlign w:val="center"/>
          </w:tcPr>
          <w:p w14:paraId="16B6AE9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67C3FADC">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BFB834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Style w:val="254"/>
                <w:rFonts w:hint="default" w:ascii="Arial" w:hAnsi="Arial" w:cs="Arial"/>
                <w:color w:val="auto"/>
                <w:sz w:val="21"/>
                <w:szCs w:val="21"/>
                <w:highlight w:val="none"/>
                <w:lang w:val="en-US" w:eastAsia="zh-CN" w:bidi="ar"/>
              </w:rPr>
              <w:t>、设备用途：</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用于化学工业、医药研究、食品等，测量生产药物、香料、染料及其他有机晶体物质熔点指标，可视频观察熔化过程。</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w:t>
            </w:r>
            <w:r>
              <w:rPr>
                <w:rStyle w:val="254"/>
                <w:rFonts w:hint="default" w:ascii="Arial" w:hAnsi="Arial" w:cs="Arial"/>
                <w:color w:val="auto"/>
                <w:sz w:val="21"/>
                <w:szCs w:val="21"/>
                <w:highlight w:val="none"/>
                <w:lang w:val="en-US" w:eastAsia="zh-CN" w:bidi="ar"/>
              </w:rPr>
              <w:t>、工作条件：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电源：</w:t>
            </w:r>
            <w:r>
              <w:rPr>
                <w:rFonts w:hint="default" w:ascii="Arial" w:hAnsi="Arial" w:eastAsia="宋体" w:cs="Arial"/>
                <w:i w:val="0"/>
                <w:iCs w:val="0"/>
                <w:color w:val="auto"/>
                <w:kern w:val="0"/>
                <w:sz w:val="21"/>
                <w:szCs w:val="21"/>
                <w:highlight w:val="none"/>
                <w:u w:val="none"/>
                <w:lang w:val="en-US" w:eastAsia="zh-CN" w:bidi="ar"/>
              </w:rPr>
              <w:t>220 VAC ±10%  50Hz</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温度：操作环境</w:t>
            </w:r>
            <w:r>
              <w:rPr>
                <w:rFonts w:hint="default" w:ascii="Arial" w:hAnsi="Arial" w:eastAsia="宋体" w:cs="Arial"/>
                <w:i w:val="0"/>
                <w:iCs w:val="0"/>
                <w:color w:val="auto"/>
                <w:kern w:val="0"/>
                <w:sz w:val="21"/>
                <w:szCs w:val="21"/>
                <w:highlight w:val="none"/>
                <w:u w:val="none"/>
                <w:lang w:val="en-US" w:eastAsia="zh-CN" w:bidi="ar"/>
              </w:rPr>
              <w:t>10-35℃</w:t>
            </w:r>
            <w:r>
              <w:rPr>
                <w:rStyle w:val="254"/>
                <w:rFonts w:hint="default" w:ascii="Arial" w:hAnsi="Arial" w:cs="Arial"/>
                <w:color w:val="auto"/>
                <w:sz w:val="21"/>
                <w:szCs w:val="21"/>
                <w:highlight w:val="none"/>
                <w:lang w:val="en-US" w:eastAsia="zh-CN" w:bidi="ar"/>
              </w:rPr>
              <w:t>，标准温度为</w:t>
            </w:r>
            <w:r>
              <w:rPr>
                <w:rFonts w:hint="default" w:ascii="Arial" w:hAnsi="Arial" w:eastAsia="宋体" w:cs="Arial"/>
                <w:i w:val="0"/>
                <w:iCs w:val="0"/>
                <w:color w:val="auto"/>
                <w:kern w:val="0"/>
                <w:sz w:val="21"/>
                <w:szCs w:val="21"/>
                <w:highlight w:val="none"/>
                <w:u w:val="none"/>
                <w:lang w:val="en-US" w:eastAsia="zh-CN" w:bidi="ar"/>
              </w:rPr>
              <w:t>20℃±5℃</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实验室内的相对湿度一般应保持在</w:t>
            </w:r>
            <w:r>
              <w:rPr>
                <w:rFonts w:hint="default" w:ascii="Arial" w:hAnsi="Arial" w:eastAsia="宋体" w:cs="Arial"/>
                <w:i w:val="0"/>
                <w:iCs w:val="0"/>
                <w:color w:val="auto"/>
                <w:kern w:val="0"/>
                <w:sz w:val="21"/>
                <w:szCs w:val="21"/>
                <w:highlight w:val="none"/>
                <w:u w:val="none"/>
                <w:lang w:val="en-US" w:eastAsia="zh-CN" w:bidi="ar"/>
              </w:rPr>
              <w:t>50</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70</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实验室的噪音、防震、防尘、防腐蚀、防磁与屏蔽等方面的环境条件应符合在室内开展的检定项目之检定规程和计量标准器具及计量检测仪器设备对环境条件的要求，室内采光应利于检定工作和计量检测工作的进行。</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三</w:t>
            </w:r>
            <w:r>
              <w:rPr>
                <w:rStyle w:val="254"/>
                <w:rFonts w:hint="default" w:ascii="Arial" w:hAnsi="Arial" w:cs="Arial"/>
                <w:color w:val="auto"/>
                <w:sz w:val="21"/>
                <w:szCs w:val="21"/>
                <w:highlight w:val="none"/>
                <w:lang w:val="en-US" w:eastAsia="zh-CN" w:bidi="ar"/>
              </w:rPr>
              <w:t>、功能参数：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1. </w:t>
            </w:r>
            <w:r>
              <w:rPr>
                <w:rStyle w:val="254"/>
                <w:rFonts w:hint="default" w:ascii="Arial" w:hAnsi="Arial" w:cs="Arial"/>
                <w:color w:val="auto"/>
                <w:sz w:val="21"/>
                <w:szCs w:val="21"/>
                <w:highlight w:val="none"/>
                <w:lang w:val="en-US" w:eastAsia="zh-CN" w:bidi="ar"/>
              </w:rPr>
              <w:t>全自动视频熔点仪，将视频技术融入到熔点测量，通过彩色显示屏轻松观看样品变化过程，视频上显示水印实时温度及时间。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2. </w:t>
            </w:r>
            <w:r>
              <w:rPr>
                <w:rStyle w:val="254"/>
                <w:rFonts w:hint="default" w:ascii="Arial" w:hAnsi="Arial" w:cs="Arial"/>
                <w:color w:val="auto"/>
                <w:sz w:val="21"/>
                <w:szCs w:val="21"/>
                <w:highlight w:val="none"/>
                <w:lang w:val="en-US" w:eastAsia="zh-CN" w:bidi="ar"/>
              </w:rPr>
              <w:t>全自动，半自动模式可切换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 </w:t>
            </w:r>
            <w:r>
              <w:rPr>
                <w:rStyle w:val="254"/>
                <w:rFonts w:hint="default" w:ascii="Arial" w:hAnsi="Arial" w:cs="Arial"/>
                <w:color w:val="auto"/>
                <w:sz w:val="21"/>
                <w:szCs w:val="21"/>
                <w:highlight w:val="none"/>
                <w:lang w:val="en-US" w:eastAsia="zh-CN" w:bidi="ar"/>
              </w:rPr>
              <w:t>可储存客户实验方法，图谱及详细的测试数据，数量无限制。达到存储上限，可随时导出数据。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4. </w:t>
            </w:r>
            <w:r>
              <w:rPr>
                <w:rStyle w:val="254"/>
                <w:rFonts w:hint="default" w:ascii="Arial" w:hAnsi="Arial" w:cs="Arial"/>
                <w:color w:val="auto"/>
                <w:sz w:val="21"/>
                <w:szCs w:val="21"/>
                <w:highlight w:val="none"/>
                <w:lang w:val="en-US" w:eastAsia="zh-CN" w:bidi="ar"/>
              </w:rPr>
              <w:t>具备最大</w:t>
            </w:r>
            <w:r>
              <w:rPr>
                <w:rFonts w:hint="default" w:ascii="Arial" w:hAnsi="Arial" w:eastAsia="宋体" w:cs="Arial"/>
                <w:i w:val="0"/>
                <w:iCs w:val="0"/>
                <w:color w:val="auto"/>
                <w:kern w:val="0"/>
                <w:sz w:val="21"/>
                <w:szCs w:val="21"/>
                <w:highlight w:val="none"/>
                <w:u w:val="none"/>
                <w:lang w:val="en-US" w:eastAsia="zh-CN" w:bidi="ar"/>
              </w:rPr>
              <w:t>6</w:t>
            </w:r>
            <w:r>
              <w:rPr>
                <w:rStyle w:val="254"/>
                <w:rFonts w:hint="default" w:ascii="Arial" w:hAnsi="Arial" w:cs="Arial"/>
                <w:color w:val="auto"/>
                <w:sz w:val="21"/>
                <w:szCs w:val="21"/>
                <w:highlight w:val="none"/>
                <w:lang w:val="en-US" w:eastAsia="zh-CN" w:bidi="ar"/>
              </w:rPr>
              <w:t>点校准功能，可通过标准物质进行多个温度点的校准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5. </w:t>
            </w:r>
            <w:r>
              <w:rPr>
                <w:rStyle w:val="254"/>
                <w:rFonts w:hint="default" w:ascii="Arial" w:hAnsi="Arial" w:cs="Arial"/>
                <w:color w:val="auto"/>
                <w:sz w:val="21"/>
                <w:szCs w:val="21"/>
                <w:highlight w:val="none"/>
                <w:lang w:val="en-US" w:eastAsia="zh-CN" w:bidi="ar"/>
              </w:rPr>
              <w:t>具备初熔</w:t>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终熔透过率设置，可根据不同样品设置最合适的自动检测方法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6. </w:t>
            </w:r>
            <w:r>
              <w:rPr>
                <w:rStyle w:val="254"/>
                <w:rFonts w:hint="default" w:ascii="Arial" w:hAnsi="Arial" w:cs="Arial"/>
                <w:color w:val="auto"/>
                <w:sz w:val="21"/>
                <w:szCs w:val="21"/>
                <w:highlight w:val="none"/>
                <w:lang w:val="en-US" w:eastAsia="zh-CN" w:bidi="ar"/>
              </w:rPr>
              <w:t>室温升至</w:t>
            </w:r>
            <w:r>
              <w:rPr>
                <w:rFonts w:hint="default" w:ascii="Arial" w:hAnsi="Arial" w:eastAsia="宋体" w:cs="Arial"/>
                <w:i w:val="0"/>
                <w:iCs w:val="0"/>
                <w:color w:val="auto"/>
                <w:kern w:val="0"/>
                <w:sz w:val="21"/>
                <w:szCs w:val="21"/>
                <w:highlight w:val="none"/>
                <w:u w:val="none"/>
                <w:lang w:val="en-US" w:eastAsia="zh-CN" w:bidi="ar"/>
              </w:rPr>
              <w:t>350℃</w:t>
            </w:r>
            <w:r>
              <w:rPr>
                <w:rStyle w:val="254"/>
                <w:rFonts w:hint="default" w:ascii="Arial" w:hAnsi="Arial" w:cs="Arial"/>
                <w:color w:val="auto"/>
                <w:sz w:val="21"/>
                <w:szCs w:val="21"/>
                <w:highlight w:val="none"/>
                <w:lang w:val="en-US" w:eastAsia="zh-CN" w:bidi="ar"/>
              </w:rPr>
              <w:t>以上</w:t>
            </w:r>
            <w:r>
              <w:rPr>
                <w:rFonts w:hint="default" w:ascii="Arial" w:hAnsi="Arial" w:eastAsia="宋体" w:cs="Arial"/>
                <w:i w:val="0"/>
                <w:iCs w:val="0"/>
                <w:color w:val="auto"/>
                <w:kern w:val="0"/>
                <w:sz w:val="21"/>
                <w:szCs w:val="21"/>
                <w:highlight w:val="none"/>
                <w:u w:val="none"/>
                <w:lang w:val="en-US" w:eastAsia="zh-CN" w:bidi="ar"/>
              </w:rPr>
              <w:t>≤5min   350℃</w:t>
            </w:r>
            <w:r>
              <w:rPr>
                <w:rStyle w:val="254"/>
                <w:rFonts w:hint="default" w:ascii="Arial" w:hAnsi="Arial" w:cs="Arial"/>
                <w:color w:val="auto"/>
                <w:sz w:val="21"/>
                <w:szCs w:val="21"/>
                <w:highlight w:val="none"/>
                <w:lang w:val="en-US" w:eastAsia="zh-CN" w:bidi="ar"/>
              </w:rPr>
              <w:t>降至50℃以下≤7min</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7. 全面的一体化保温设计，可抵抗外界环境对实验过程的干扰</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8</w:t>
            </w:r>
            <w:r>
              <w:rPr>
                <w:rStyle w:val="254"/>
                <w:rFonts w:hint="default" w:ascii="Arial" w:hAnsi="Arial" w:cs="Arial"/>
                <w:color w:val="auto"/>
                <w:sz w:val="21"/>
                <w:szCs w:val="21"/>
                <w:highlight w:val="none"/>
                <w:lang w:val="en-US" w:eastAsia="zh-CN" w:bidi="ar"/>
              </w:rPr>
              <w:t>. 测温范围：室温—350℃ PID控温技术</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9</w:t>
            </w:r>
            <w:r>
              <w:rPr>
                <w:rStyle w:val="254"/>
                <w:rFonts w:hint="default" w:ascii="Arial" w:hAnsi="Arial" w:cs="Arial"/>
                <w:color w:val="auto"/>
                <w:sz w:val="21"/>
                <w:szCs w:val="21"/>
                <w:highlight w:val="none"/>
                <w:lang w:val="en-US" w:eastAsia="zh-CN" w:bidi="ar"/>
              </w:rPr>
              <w:t xml:space="preserve">. 温度度分辨率：0.1℃ </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0</w:t>
            </w:r>
            <w:r>
              <w:rPr>
                <w:rStyle w:val="254"/>
                <w:rFonts w:hint="default" w:ascii="Arial" w:hAnsi="Arial" w:cs="Arial"/>
                <w:color w:val="auto"/>
                <w:sz w:val="21"/>
                <w:szCs w:val="21"/>
                <w:highlight w:val="none"/>
                <w:lang w:val="en-US" w:eastAsia="zh-CN" w:bidi="ar"/>
              </w:rPr>
              <w:t>. 重复性：0.2℃（升温速率为0.20℃/min）</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1</w:t>
            </w:r>
            <w:r>
              <w:rPr>
                <w:rStyle w:val="254"/>
                <w:rFonts w:hint="default" w:ascii="Arial" w:hAnsi="Arial" w:cs="Arial"/>
                <w:color w:val="auto"/>
                <w:sz w:val="21"/>
                <w:szCs w:val="21"/>
                <w:highlight w:val="none"/>
                <w:lang w:val="en-US" w:eastAsia="zh-CN" w:bidi="ar"/>
              </w:rPr>
              <w:t>. 准确度：±0.4℃（&lt;200℃）  ±0.7℃（&lt;300℃）</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2</w:t>
            </w:r>
            <w:r>
              <w:rPr>
                <w:rStyle w:val="254"/>
                <w:rFonts w:hint="default" w:ascii="Arial" w:hAnsi="Arial" w:cs="Arial"/>
                <w:color w:val="auto"/>
                <w:sz w:val="21"/>
                <w:szCs w:val="21"/>
                <w:highlight w:val="none"/>
                <w:lang w:val="en-US" w:eastAsia="zh-CN" w:bidi="ar"/>
              </w:rPr>
              <w:t>. 升温速率： 0.1℃--20℃</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3</w:t>
            </w:r>
            <w:r>
              <w:rPr>
                <w:rStyle w:val="254"/>
                <w:rFonts w:hint="default" w:ascii="Arial" w:hAnsi="Arial" w:cs="Arial"/>
                <w:color w:val="auto"/>
                <w:sz w:val="21"/>
                <w:szCs w:val="21"/>
                <w:highlight w:val="none"/>
                <w:lang w:val="en-US" w:eastAsia="zh-CN" w:bidi="ar"/>
              </w:rPr>
              <w:t>. 数据接口：USB×3,RS232，Wi-Fi，RJ45</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4</w:t>
            </w:r>
            <w:r>
              <w:rPr>
                <w:rStyle w:val="254"/>
                <w:rFonts w:hint="default" w:ascii="Arial" w:hAnsi="Arial" w:cs="Arial"/>
                <w:color w:val="auto"/>
                <w:sz w:val="21"/>
                <w:szCs w:val="21"/>
                <w:highlight w:val="none"/>
                <w:lang w:val="en-US" w:eastAsia="zh-CN" w:bidi="ar"/>
              </w:rPr>
              <w:t>. 视频数据储存：</w:t>
            </w:r>
            <w:r>
              <w:rPr>
                <w:rFonts w:hint="eastAsia"/>
                <w:color w:val="auto"/>
                <w:highlight w:val="none"/>
              </w:rPr>
              <w:t>≥</w:t>
            </w:r>
            <w:r>
              <w:rPr>
                <w:rStyle w:val="254"/>
                <w:rFonts w:hint="default" w:ascii="Arial" w:hAnsi="Arial" w:cs="Arial"/>
                <w:color w:val="auto"/>
                <w:sz w:val="21"/>
                <w:szCs w:val="21"/>
                <w:highlight w:val="none"/>
                <w:lang w:val="en-US" w:eastAsia="zh-CN" w:bidi="ar"/>
              </w:rPr>
              <w:t>16G，可储存约5000分钟视频数据</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5</w:t>
            </w:r>
            <w:r>
              <w:rPr>
                <w:rStyle w:val="254"/>
                <w:rFonts w:hint="default" w:ascii="Arial" w:hAnsi="Arial" w:cs="Arial"/>
                <w:color w:val="auto"/>
                <w:sz w:val="21"/>
                <w:szCs w:val="21"/>
                <w:highlight w:val="none"/>
                <w:lang w:val="en-US" w:eastAsia="zh-CN" w:bidi="ar"/>
              </w:rPr>
              <w:t>. 放大倍数：8倍</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6</w:t>
            </w:r>
            <w:r>
              <w:rPr>
                <w:rStyle w:val="254"/>
                <w:rFonts w:hint="default" w:ascii="Arial" w:hAnsi="Arial" w:cs="Arial"/>
                <w:color w:val="auto"/>
                <w:sz w:val="21"/>
                <w:szCs w:val="21"/>
                <w:highlight w:val="none"/>
                <w:lang w:val="en-US" w:eastAsia="zh-CN" w:bidi="ar"/>
              </w:rPr>
              <w:t>. 处理能力：</w:t>
            </w:r>
            <w:r>
              <w:rPr>
                <w:rFonts w:hint="eastAsia"/>
                <w:color w:val="auto"/>
                <w:highlight w:val="none"/>
              </w:rPr>
              <w:t>≥</w:t>
            </w:r>
            <w:r>
              <w:rPr>
                <w:rStyle w:val="254"/>
                <w:rFonts w:hint="default" w:ascii="Arial" w:hAnsi="Arial" w:cs="Arial"/>
                <w:color w:val="auto"/>
                <w:sz w:val="21"/>
                <w:szCs w:val="21"/>
                <w:highlight w:val="none"/>
                <w:lang w:val="en-US" w:eastAsia="zh-CN" w:bidi="ar"/>
              </w:rPr>
              <w:t>4个/批</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7</w:t>
            </w:r>
            <w:r>
              <w:rPr>
                <w:rStyle w:val="254"/>
                <w:rFonts w:hint="default" w:ascii="Arial" w:hAnsi="Arial" w:cs="Arial"/>
                <w:color w:val="auto"/>
                <w:sz w:val="21"/>
                <w:szCs w:val="21"/>
                <w:highlight w:val="none"/>
                <w:lang w:val="en-US" w:eastAsia="zh-CN" w:bidi="ar"/>
              </w:rPr>
              <w:t>. 用户管理：数量无限制，内置用户管理功能，可自由新增、删除用户账号，可为每个用户账号指定不同的操作权限。</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w:t>
            </w:r>
            <w:r>
              <w:rPr>
                <w:rStyle w:val="254"/>
                <w:rFonts w:hint="eastAsia" w:ascii="Arial" w:hAnsi="Arial" w:cs="Arial"/>
                <w:color w:val="auto"/>
                <w:sz w:val="21"/>
                <w:szCs w:val="21"/>
                <w:highlight w:val="none"/>
                <w:lang w:val="en-US" w:eastAsia="zh-CN" w:bidi="ar"/>
              </w:rPr>
              <w:t>8</w:t>
            </w:r>
            <w:r>
              <w:rPr>
                <w:rStyle w:val="254"/>
                <w:rFonts w:hint="default" w:ascii="Arial" w:hAnsi="Arial" w:cs="Arial"/>
                <w:color w:val="auto"/>
                <w:sz w:val="21"/>
                <w:szCs w:val="21"/>
                <w:highlight w:val="none"/>
                <w:lang w:val="en-US" w:eastAsia="zh-CN" w:bidi="ar"/>
              </w:rPr>
              <w:t>. 密码功能: 具备密码老化功能，每个账户可设定密码有效期，到期后强制要求更改密码后才可登录仪器，加强操作人员使用权限的时效管理。密码具备复杂程度设定，可根据需求设置密码复杂程度。具备屏保功能，超时未操作需登录解锁。</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19</w:t>
            </w:r>
            <w:r>
              <w:rPr>
                <w:rStyle w:val="254"/>
                <w:rFonts w:hint="default" w:ascii="Arial" w:hAnsi="Arial" w:cs="Arial"/>
                <w:color w:val="auto"/>
                <w:sz w:val="21"/>
                <w:szCs w:val="21"/>
                <w:highlight w:val="none"/>
                <w:lang w:val="en-US" w:eastAsia="zh-CN" w:bidi="ar"/>
              </w:rPr>
              <w:t>. 语言功能：支持中、英、俄三种语言</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0</w:t>
            </w:r>
            <w:r>
              <w:rPr>
                <w:rStyle w:val="254"/>
                <w:rFonts w:hint="default" w:ascii="Arial" w:hAnsi="Arial" w:cs="Arial"/>
                <w:color w:val="auto"/>
                <w:sz w:val="21"/>
                <w:szCs w:val="21"/>
                <w:highlight w:val="none"/>
                <w:lang w:val="en-US" w:eastAsia="zh-CN" w:bidi="ar"/>
              </w:rPr>
              <w:t>. 视频功能： 摄像，连续摄像时间：40分钟</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1</w:t>
            </w:r>
            <w:r>
              <w:rPr>
                <w:rStyle w:val="254"/>
                <w:rFonts w:hint="default" w:ascii="Arial" w:hAnsi="Arial" w:cs="Arial"/>
                <w:color w:val="auto"/>
                <w:sz w:val="21"/>
                <w:szCs w:val="21"/>
                <w:highlight w:val="none"/>
                <w:lang w:val="en-US" w:eastAsia="zh-CN" w:bidi="ar"/>
              </w:rPr>
              <w:t>. 仪器重放功能：有</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2</w:t>
            </w:r>
            <w:r>
              <w:rPr>
                <w:rStyle w:val="254"/>
                <w:rFonts w:hint="default" w:ascii="Arial" w:hAnsi="Arial" w:cs="Arial"/>
                <w:color w:val="auto"/>
                <w:sz w:val="21"/>
                <w:szCs w:val="21"/>
                <w:highlight w:val="none"/>
                <w:lang w:val="en-US" w:eastAsia="zh-CN" w:bidi="ar"/>
              </w:rPr>
              <w:t>. 显示方式：</w:t>
            </w:r>
            <w:r>
              <w:rPr>
                <w:rFonts w:hint="eastAsia"/>
                <w:color w:val="auto"/>
                <w:highlight w:val="none"/>
              </w:rPr>
              <w:t>≥</w:t>
            </w:r>
            <w:r>
              <w:rPr>
                <w:rStyle w:val="254"/>
                <w:rFonts w:hint="default" w:ascii="Arial" w:hAnsi="Arial" w:cs="Arial"/>
                <w:color w:val="auto"/>
                <w:sz w:val="21"/>
                <w:szCs w:val="21"/>
                <w:highlight w:val="none"/>
                <w:lang w:val="en-US" w:eastAsia="zh-CN" w:bidi="ar"/>
              </w:rPr>
              <w:t>8寸电容屏显示</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3</w:t>
            </w:r>
            <w:r>
              <w:rPr>
                <w:rStyle w:val="254"/>
                <w:rFonts w:hint="default" w:ascii="Arial" w:hAnsi="Arial" w:cs="Arial"/>
                <w:color w:val="auto"/>
                <w:sz w:val="21"/>
                <w:szCs w:val="21"/>
                <w:highlight w:val="none"/>
                <w:lang w:val="en-US" w:eastAsia="zh-CN" w:bidi="ar"/>
              </w:rPr>
              <w:t>. 电源：220 V±10% 50HZ</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4</w:t>
            </w:r>
            <w:r>
              <w:rPr>
                <w:rStyle w:val="254"/>
                <w:rFonts w:hint="default" w:ascii="Arial" w:hAnsi="Arial" w:cs="Arial"/>
                <w:color w:val="auto"/>
                <w:sz w:val="21"/>
                <w:szCs w:val="21"/>
                <w:highlight w:val="none"/>
                <w:lang w:val="en-US" w:eastAsia="zh-CN" w:bidi="ar"/>
              </w:rPr>
              <w:t>. 额定功率：</w:t>
            </w:r>
            <w:r>
              <w:rPr>
                <w:rFonts w:hint="eastAsia"/>
                <w:color w:val="auto"/>
                <w:highlight w:val="none"/>
              </w:rPr>
              <w:t>≥</w:t>
            </w:r>
            <w:r>
              <w:rPr>
                <w:rStyle w:val="254"/>
                <w:rFonts w:hint="default" w:ascii="Arial" w:hAnsi="Arial" w:cs="Arial"/>
                <w:color w:val="auto"/>
                <w:sz w:val="21"/>
                <w:szCs w:val="21"/>
                <w:highlight w:val="none"/>
                <w:lang w:val="en-US" w:eastAsia="zh-CN" w:bidi="ar"/>
              </w:rPr>
              <w:t>120W</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5</w:t>
            </w:r>
            <w:r>
              <w:rPr>
                <w:rStyle w:val="254"/>
                <w:rFonts w:hint="default" w:ascii="Arial" w:hAnsi="Arial" w:cs="Arial"/>
                <w:color w:val="auto"/>
                <w:sz w:val="21"/>
                <w:szCs w:val="21"/>
                <w:highlight w:val="none"/>
                <w:lang w:val="en-US" w:eastAsia="zh-CN" w:bidi="ar"/>
              </w:rPr>
              <w:t>. 外形尺寸（长X宽X高）：</w:t>
            </w:r>
            <w:r>
              <w:rPr>
                <w:rFonts w:hint="eastAsia"/>
                <w:color w:val="auto"/>
                <w:highlight w:val="none"/>
              </w:rPr>
              <w:t>≥</w:t>
            </w:r>
            <w:r>
              <w:rPr>
                <w:rStyle w:val="254"/>
                <w:rFonts w:hint="default" w:ascii="Arial" w:hAnsi="Arial" w:cs="Arial"/>
                <w:color w:val="auto"/>
                <w:sz w:val="21"/>
                <w:szCs w:val="21"/>
                <w:highlight w:val="none"/>
                <w:lang w:val="en-US" w:eastAsia="zh-CN" w:bidi="ar"/>
              </w:rPr>
              <w:t>305mmX220mmX230mm</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w:t>
            </w:r>
            <w:r>
              <w:rPr>
                <w:rStyle w:val="254"/>
                <w:rFonts w:hint="eastAsia" w:ascii="Arial" w:hAnsi="Arial" w:cs="Arial"/>
                <w:color w:val="auto"/>
                <w:sz w:val="21"/>
                <w:szCs w:val="21"/>
                <w:highlight w:val="none"/>
                <w:lang w:val="en-US" w:eastAsia="zh-CN" w:bidi="ar"/>
              </w:rPr>
              <w:t>6</w:t>
            </w:r>
            <w:r>
              <w:rPr>
                <w:rStyle w:val="254"/>
                <w:rFonts w:hint="default" w:ascii="Arial" w:hAnsi="Arial" w:cs="Arial"/>
                <w:color w:val="auto"/>
                <w:sz w:val="21"/>
                <w:szCs w:val="21"/>
                <w:highlight w:val="none"/>
                <w:lang w:val="en-US" w:eastAsia="zh-CN" w:bidi="ar"/>
              </w:rPr>
              <w:t>. 可连接USB打印机、针式打印机或U盘导出实验报告，仪器后置接口实现激光打印、针式打印、U盘导出等各类导出方式</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配置清单：</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全自动视频熔点仪主机</w:t>
            </w:r>
            <w:r>
              <w:rPr>
                <w:rStyle w:val="254"/>
                <w:rFonts w:hint="eastAsia" w:ascii="Arial" w:hAnsi="Arial" w:cs="Arial"/>
                <w:color w:val="auto"/>
                <w:sz w:val="21"/>
                <w:szCs w:val="21"/>
                <w:highlight w:val="none"/>
                <w:lang w:val="en-US" w:eastAsia="zh-CN" w:bidi="ar"/>
              </w:rPr>
              <w:t>1台</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毛细管</w:t>
            </w:r>
            <w:r>
              <w:rPr>
                <w:rStyle w:val="254"/>
                <w:rFonts w:hint="eastAsia" w:ascii="Arial" w:hAnsi="Arial" w:cs="Arial"/>
                <w:color w:val="auto"/>
                <w:sz w:val="21"/>
                <w:szCs w:val="21"/>
                <w:highlight w:val="none"/>
                <w:lang w:val="en-US" w:eastAsia="zh-CN" w:bidi="ar"/>
              </w:rPr>
              <w:t>1</w:t>
            </w:r>
            <w:r>
              <w:rPr>
                <w:rStyle w:val="254"/>
                <w:rFonts w:hint="default" w:ascii="Arial" w:hAnsi="Arial" w:cs="Arial"/>
                <w:color w:val="auto"/>
                <w:sz w:val="21"/>
                <w:szCs w:val="21"/>
                <w:highlight w:val="none"/>
                <w:lang w:val="en-US" w:eastAsia="zh-CN" w:bidi="ar"/>
              </w:rPr>
              <w:t>包</w:t>
            </w:r>
            <w:r>
              <w:rPr>
                <w:rStyle w:val="254"/>
                <w:rFonts w:hint="default" w:ascii="Arial" w:hAnsi="Arial" w:cs="Arial"/>
                <w:color w:val="auto"/>
                <w:sz w:val="21"/>
                <w:szCs w:val="21"/>
                <w:highlight w:val="none"/>
                <w:lang w:val="en-US" w:eastAsia="zh-CN" w:bidi="ar"/>
              </w:rPr>
              <w:br w:type="textWrapping"/>
            </w:r>
            <w:r>
              <w:rPr>
                <w:rStyle w:val="254"/>
                <w:rFonts w:hint="eastAsia" w:ascii="Arial" w:hAnsi="Arial" w:cs="Arial"/>
                <w:color w:val="auto"/>
                <w:sz w:val="21"/>
                <w:szCs w:val="21"/>
                <w:highlight w:val="none"/>
                <w:lang w:val="en-US" w:eastAsia="zh-CN" w:bidi="ar"/>
              </w:rPr>
              <w:t>四</w:t>
            </w:r>
            <w:r>
              <w:rPr>
                <w:rStyle w:val="254"/>
                <w:rFonts w:hint="default" w:ascii="Arial" w:hAnsi="Arial" w:cs="Arial"/>
                <w:color w:val="auto"/>
                <w:sz w:val="21"/>
                <w:szCs w:val="21"/>
                <w:highlight w:val="none"/>
                <w:lang w:val="en-US" w:eastAsia="zh-CN" w:bidi="ar"/>
              </w:rPr>
              <w:t>、售后服务：</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1、 在</w:t>
            </w:r>
            <w:r>
              <w:rPr>
                <w:rStyle w:val="254"/>
                <w:rFonts w:hint="eastAsia" w:ascii="Arial" w:hAnsi="Arial" w:cs="Arial"/>
                <w:color w:val="auto"/>
                <w:sz w:val="21"/>
                <w:szCs w:val="21"/>
                <w:highlight w:val="none"/>
                <w:lang w:val="en-US" w:eastAsia="zh-CN" w:bidi="ar"/>
              </w:rPr>
              <w:t>采购人</w:t>
            </w:r>
            <w:r>
              <w:rPr>
                <w:rStyle w:val="254"/>
                <w:rFonts w:hint="default" w:ascii="Arial" w:hAnsi="Arial" w:cs="Arial"/>
                <w:color w:val="auto"/>
                <w:sz w:val="21"/>
                <w:szCs w:val="21"/>
                <w:highlight w:val="none"/>
                <w:lang w:val="en-US" w:eastAsia="zh-CN" w:bidi="ar"/>
              </w:rPr>
              <w:t>所在地应有专门的技术应用支持工程师。保修期后，保证长期供应零备件和正常的售后服务。 安装验收期间，</w:t>
            </w:r>
            <w:r>
              <w:rPr>
                <w:rStyle w:val="254"/>
                <w:rFonts w:hint="eastAsia" w:ascii="Arial" w:hAnsi="Arial" w:cs="Arial"/>
                <w:color w:val="auto"/>
                <w:sz w:val="21"/>
                <w:szCs w:val="21"/>
                <w:highlight w:val="none"/>
                <w:lang w:val="en-US" w:eastAsia="zh-CN" w:bidi="ar"/>
              </w:rPr>
              <w:t>不收取费用</w:t>
            </w:r>
            <w:r>
              <w:rPr>
                <w:rStyle w:val="254"/>
                <w:rFonts w:hint="default" w:ascii="Arial" w:hAnsi="Arial" w:cs="Arial"/>
                <w:color w:val="auto"/>
                <w:sz w:val="21"/>
                <w:szCs w:val="21"/>
                <w:highlight w:val="none"/>
                <w:lang w:val="en-US" w:eastAsia="zh-CN" w:bidi="ar"/>
              </w:rPr>
              <w:t>对</w:t>
            </w:r>
            <w:r>
              <w:rPr>
                <w:rStyle w:val="254"/>
                <w:rFonts w:hint="eastAsia" w:ascii="Arial" w:hAnsi="Arial" w:cs="Arial"/>
                <w:color w:val="auto"/>
                <w:sz w:val="21"/>
                <w:szCs w:val="21"/>
                <w:highlight w:val="none"/>
                <w:lang w:val="en-US" w:eastAsia="zh-CN" w:bidi="ar"/>
              </w:rPr>
              <w:t>采购人</w:t>
            </w:r>
            <w:r>
              <w:rPr>
                <w:rStyle w:val="254"/>
                <w:rFonts w:hint="default" w:ascii="Arial" w:hAnsi="Arial" w:cs="Arial"/>
                <w:color w:val="auto"/>
                <w:sz w:val="21"/>
                <w:szCs w:val="21"/>
                <w:highlight w:val="none"/>
                <w:lang w:val="en-US" w:eastAsia="zh-CN" w:bidi="ar"/>
              </w:rPr>
              <w:t>进行仪器的基本操作和日常维护的现场培训，内容包括仪器原理，使用方法和维护方法等，厂家需要最终用户指定地点提供上门安装调试并对用户指定的两名操作人员进行操作使用培训；</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2、  质保期：质量保证期</w:t>
            </w:r>
            <w:r>
              <w:rPr>
                <w:rStyle w:val="254"/>
                <w:rFonts w:hint="eastAsia" w:ascii="Arial" w:hAnsi="Arial" w:cs="Arial"/>
                <w:color w:val="auto"/>
                <w:sz w:val="21"/>
                <w:szCs w:val="21"/>
                <w:highlight w:val="none"/>
                <w:lang w:val="en-US" w:eastAsia="zh-CN" w:bidi="ar"/>
              </w:rPr>
              <w:t>不少于</w:t>
            </w:r>
            <w:r>
              <w:rPr>
                <w:rStyle w:val="254"/>
                <w:rFonts w:hint="default" w:ascii="Arial" w:hAnsi="Arial" w:cs="Arial"/>
                <w:color w:val="auto"/>
                <w:sz w:val="21"/>
                <w:szCs w:val="21"/>
                <w:highlight w:val="none"/>
                <w:lang w:val="en-US" w:eastAsia="zh-CN" w:bidi="ar"/>
              </w:rPr>
              <w:t>一年，终身维修；</w:t>
            </w:r>
            <w:r>
              <w:rPr>
                <w:rStyle w:val="254"/>
                <w:rFonts w:hint="default" w:ascii="Arial" w:hAnsi="Arial" w:cs="Arial"/>
                <w:color w:val="auto"/>
                <w:sz w:val="21"/>
                <w:szCs w:val="21"/>
                <w:highlight w:val="none"/>
                <w:lang w:val="en-US" w:eastAsia="zh-CN" w:bidi="ar"/>
              </w:rPr>
              <w:br w:type="textWrapping"/>
            </w:r>
            <w:r>
              <w:rPr>
                <w:rStyle w:val="254"/>
                <w:rFonts w:hint="default" w:ascii="Arial" w:hAnsi="Arial" w:cs="Arial"/>
                <w:color w:val="auto"/>
                <w:sz w:val="21"/>
                <w:szCs w:val="21"/>
                <w:highlight w:val="none"/>
                <w:lang w:val="en-US" w:eastAsia="zh-CN" w:bidi="ar"/>
              </w:rPr>
              <w:t>3、 故障服务：仪器设备出现故障时，</w:t>
            </w:r>
            <w:r>
              <w:rPr>
                <w:rStyle w:val="254"/>
                <w:rFonts w:hint="eastAsia" w:ascii="Arial" w:hAnsi="Arial" w:cs="Arial"/>
                <w:color w:val="auto"/>
                <w:sz w:val="21"/>
                <w:szCs w:val="21"/>
                <w:highlight w:val="none"/>
                <w:lang w:val="en-US" w:eastAsia="zh-CN" w:bidi="ar"/>
              </w:rPr>
              <w:t>供应商</w:t>
            </w:r>
            <w:r>
              <w:rPr>
                <w:rStyle w:val="254"/>
                <w:rFonts w:hint="default" w:ascii="Arial" w:hAnsi="Arial" w:cs="Arial"/>
                <w:color w:val="auto"/>
                <w:sz w:val="21"/>
                <w:szCs w:val="21"/>
                <w:highlight w:val="none"/>
                <w:lang w:val="en-US" w:eastAsia="zh-CN" w:bidi="ar"/>
              </w:rPr>
              <w:t>得到通知3日内派维修人员到达用户现场维修</w:t>
            </w:r>
            <w:r>
              <w:rPr>
                <w:rStyle w:val="254"/>
                <w:rFonts w:hint="eastAsia" w:ascii="Arial" w:hAnsi="Arial" w:cs="Arial"/>
                <w:color w:val="auto"/>
                <w:sz w:val="21"/>
                <w:szCs w:val="21"/>
                <w:highlight w:val="none"/>
                <w:lang w:val="en-US" w:eastAsia="zh-CN" w:bidi="ar"/>
              </w:rPr>
              <w:t>。</w:t>
            </w:r>
          </w:p>
        </w:tc>
      </w:tr>
      <w:tr w14:paraId="524C6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8A09D3D">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w:t>
            </w:r>
          </w:p>
        </w:tc>
        <w:tc>
          <w:tcPr>
            <w:tcW w:w="911" w:type="dxa"/>
            <w:noWrap w:val="0"/>
            <w:vAlign w:val="center"/>
          </w:tcPr>
          <w:p w14:paraId="5A0E6FE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暗箱紫外分析仪</w:t>
            </w:r>
          </w:p>
        </w:tc>
        <w:tc>
          <w:tcPr>
            <w:tcW w:w="582" w:type="dxa"/>
            <w:noWrap w:val="0"/>
            <w:vAlign w:val="center"/>
          </w:tcPr>
          <w:p w14:paraId="471BE63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686" w:type="dxa"/>
            <w:noWrap w:val="0"/>
            <w:vAlign w:val="center"/>
          </w:tcPr>
          <w:p w14:paraId="46DB737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59DBA0AD">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9892DE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电源：220V±10%/50Hz；波长254nm、365nm；                                      灯管管压：50V±10V；点阵灯：标配；                                           紫外滤色片：150*50nm,；净重</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5.5kg,机器尺寸</w:t>
            </w:r>
            <w:r>
              <w:rPr>
                <w:rFonts w:hint="eastAsia"/>
                <w:color w:val="auto"/>
                <w:highlight w:val="none"/>
              </w:rPr>
              <w:t>≥</w:t>
            </w:r>
            <w:r>
              <w:rPr>
                <w:rFonts w:hint="eastAsia" w:ascii="Arial" w:hAnsi="Arial" w:cs="Arial"/>
                <w:color w:val="auto"/>
                <w:kern w:val="0"/>
                <w:szCs w:val="21"/>
                <w:highlight w:val="none"/>
                <w:lang w:val="en-US" w:eastAsia="zh-CN" w:bidi="ar"/>
              </w:rPr>
              <w:t>长</w:t>
            </w:r>
            <w:r>
              <w:rPr>
                <w:rFonts w:ascii="Arial" w:hAnsi="Arial" w:cs="Arial"/>
                <w:color w:val="auto"/>
                <w:kern w:val="0"/>
                <w:szCs w:val="21"/>
                <w:highlight w:val="none"/>
                <w:lang w:bidi="ar"/>
              </w:rPr>
              <w:t>330*</w:t>
            </w:r>
            <w:r>
              <w:rPr>
                <w:rFonts w:hint="eastAsia" w:ascii="Arial" w:hAnsi="Arial" w:cs="Arial"/>
                <w:color w:val="auto"/>
                <w:kern w:val="0"/>
                <w:szCs w:val="21"/>
                <w:highlight w:val="none"/>
                <w:lang w:val="en-US" w:eastAsia="zh-CN" w:bidi="ar"/>
              </w:rPr>
              <w:t>宽</w:t>
            </w:r>
            <w:r>
              <w:rPr>
                <w:rFonts w:ascii="Arial" w:hAnsi="Arial" w:cs="Arial"/>
                <w:color w:val="auto"/>
                <w:kern w:val="0"/>
                <w:szCs w:val="21"/>
                <w:highlight w:val="none"/>
                <w:lang w:bidi="ar"/>
              </w:rPr>
              <w:t>330*</w:t>
            </w:r>
            <w:r>
              <w:rPr>
                <w:rFonts w:hint="eastAsia" w:ascii="Arial" w:hAnsi="Arial" w:cs="Arial"/>
                <w:color w:val="auto"/>
                <w:kern w:val="0"/>
                <w:szCs w:val="21"/>
                <w:highlight w:val="none"/>
                <w:lang w:val="en-US" w:eastAsia="zh-CN" w:bidi="ar"/>
              </w:rPr>
              <w:t>高</w:t>
            </w:r>
            <w:r>
              <w:rPr>
                <w:rFonts w:ascii="Arial" w:hAnsi="Arial" w:cs="Arial"/>
                <w:color w:val="auto"/>
                <w:kern w:val="0"/>
                <w:szCs w:val="21"/>
                <w:highlight w:val="none"/>
                <w:lang w:bidi="ar"/>
              </w:rPr>
              <w:t>270mm</w:t>
            </w:r>
            <w:r>
              <w:rPr>
                <w:rFonts w:hint="default" w:ascii="Arial" w:hAnsi="Arial" w:eastAsia="宋体" w:cs="Arial"/>
                <w:i w:val="0"/>
                <w:iCs w:val="0"/>
                <w:color w:val="auto"/>
                <w:kern w:val="0"/>
                <w:sz w:val="21"/>
                <w:szCs w:val="21"/>
                <w:highlight w:val="none"/>
                <w:u w:val="none"/>
                <w:lang w:val="en-US" w:eastAsia="zh-CN" w:bidi="ar"/>
              </w:rPr>
              <w:t>。</w:t>
            </w:r>
          </w:p>
        </w:tc>
      </w:tr>
      <w:tr w14:paraId="1E2F7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3" w:hRule="atLeast"/>
          <w:jc w:val="center"/>
        </w:trPr>
        <w:tc>
          <w:tcPr>
            <w:tcW w:w="509" w:type="dxa"/>
            <w:noWrap w:val="0"/>
            <w:vAlign w:val="center"/>
          </w:tcPr>
          <w:p w14:paraId="6899B3D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911" w:type="dxa"/>
            <w:noWrap w:val="0"/>
            <w:vAlign w:val="center"/>
          </w:tcPr>
          <w:p w14:paraId="5823612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集热式恒温加热磁力搅拌器 </w:t>
            </w:r>
          </w:p>
        </w:tc>
        <w:tc>
          <w:tcPr>
            <w:tcW w:w="582" w:type="dxa"/>
            <w:noWrap w:val="0"/>
            <w:vAlign w:val="center"/>
          </w:tcPr>
          <w:p w14:paraId="6928606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686" w:type="dxa"/>
            <w:noWrap w:val="0"/>
            <w:vAlign w:val="center"/>
          </w:tcPr>
          <w:p w14:paraId="774B496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7DD43A8A">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4CBD21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智能控温</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数字显示</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搅拌容量</w:t>
            </w:r>
            <w:r>
              <w:rPr>
                <w:rFonts w:hint="default" w:ascii="Arial" w:hAnsi="Arial" w:eastAsia="宋体" w:cs="Arial"/>
                <w:i w:val="0"/>
                <w:iCs w:val="0"/>
                <w:color w:val="auto"/>
                <w:kern w:val="0"/>
                <w:sz w:val="21"/>
                <w:szCs w:val="21"/>
                <w:highlight w:val="none"/>
                <w:u w:val="none"/>
                <w:lang w:val="en-US" w:eastAsia="zh-CN" w:bidi="ar"/>
              </w:rPr>
              <w:t xml:space="preserve"> 20ML-2000ML </w:t>
            </w:r>
            <w:r>
              <w:rPr>
                <w:rStyle w:val="254"/>
                <w:rFonts w:hint="default" w:ascii="Arial" w:hAnsi="Arial" w:cs="Arial"/>
                <w:color w:val="auto"/>
                <w:sz w:val="21"/>
                <w:szCs w:val="21"/>
                <w:highlight w:val="none"/>
                <w:lang w:val="en-US" w:eastAsia="zh-CN" w:bidi="ar"/>
              </w:rPr>
              <w:t>自带立杆</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搅拌速度</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无级调速</w:t>
            </w:r>
            <w:r>
              <w:rPr>
                <w:rFonts w:hint="default" w:ascii="Arial" w:hAnsi="Arial" w:eastAsia="宋体" w:cs="Arial"/>
                <w:i w:val="0"/>
                <w:iCs w:val="0"/>
                <w:color w:val="auto"/>
                <w:kern w:val="0"/>
                <w:sz w:val="21"/>
                <w:szCs w:val="21"/>
                <w:highlight w:val="none"/>
                <w:u w:val="none"/>
                <w:lang w:val="en-US" w:eastAsia="zh-CN" w:bidi="ar"/>
              </w:rPr>
              <w:t xml:space="preserve">0-2600r/min  </w:t>
            </w:r>
            <w:r>
              <w:rPr>
                <w:rStyle w:val="254"/>
                <w:rFonts w:hint="default" w:ascii="Arial" w:hAnsi="Arial" w:cs="Arial"/>
                <w:color w:val="auto"/>
                <w:sz w:val="21"/>
                <w:szCs w:val="21"/>
                <w:highlight w:val="none"/>
                <w:lang w:val="en-US" w:eastAsia="zh-CN" w:bidi="ar"/>
              </w:rPr>
              <w:t>无刷电机</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加热功率</w:t>
            </w:r>
            <w:r>
              <w:rPr>
                <w:rFonts w:hint="default" w:ascii="Arial" w:hAnsi="Arial" w:eastAsia="宋体" w:cs="Arial"/>
                <w:i w:val="0"/>
                <w:iCs w:val="0"/>
                <w:color w:val="auto"/>
                <w:kern w:val="0"/>
                <w:sz w:val="21"/>
                <w:szCs w:val="21"/>
                <w:highlight w:val="none"/>
                <w:u w:val="none"/>
                <w:lang w:val="en-US" w:eastAsia="zh-CN" w:bidi="ar"/>
              </w:rPr>
              <w:t xml:space="preserve"> 500W </w:t>
            </w:r>
            <w:r>
              <w:rPr>
                <w:rStyle w:val="254"/>
                <w:rFonts w:hint="default" w:ascii="Arial" w:hAnsi="Arial" w:cs="Arial"/>
                <w:color w:val="auto"/>
                <w:sz w:val="21"/>
                <w:szCs w:val="21"/>
                <w:highlight w:val="none"/>
                <w:lang w:val="en-US" w:eastAsia="zh-CN" w:bidi="ar"/>
              </w:rPr>
              <w:t>自带加热保护</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加热温度</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室温</w:t>
            </w:r>
            <w:r>
              <w:rPr>
                <w:rFonts w:hint="default" w:ascii="Arial" w:hAnsi="Arial" w:eastAsia="宋体" w:cs="Arial"/>
                <w:i w:val="0"/>
                <w:iCs w:val="0"/>
                <w:color w:val="auto"/>
                <w:kern w:val="0"/>
                <w:sz w:val="21"/>
                <w:szCs w:val="21"/>
                <w:highlight w:val="none"/>
                <w:u w:val="none"/>
                <w:lang w:val="en-US" w:eastAsia="zh-CN" w:bidi="ar"/>
              </w:rPr>
              <w:t>-400</w:t>
            </w:r>
            <w:r>
              <w:rPr>
                <w:rStyle w:val="254"/>
                <w:rFonts w:hint="default" w:ascii="Arial" w:hAnsi="Arial" w:cs="Arial"/>
                <w:color w:val="auto"/>
                <w:sz w:val="21"/>
                <w:szCs w:val="21"/>
                <w:highlight w:val="none"/>
                <w:lang w:val="en-US" w:eastAsia="zh-CN" w:bidi="ar"/>
              </w:rPr>
              <w:t>度</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自带超温保护功能</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控温方式</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智能自动</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带报警功能</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线路板</w:t>
            </w:r>
            <w:r>
              <w:rPr>
                <w:rStyle w:val="254"/>
                <w:rFonts w:hint="eastAsia" w:ascii="Arial" w:hAnsi="Arial" w:cs="Arial"/>
                <w:color w:val="auto"/>
                <w:sz w:val="21"/>
                <w:szCs w:val="21"/>
                <w:highlight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自主开发带设定安全保护</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工作电压</w:t>
            </w:r>
            <w:r>
              <w:rPr>
                <w:rFonts w:hint="default" w:ascii="Arial" w:hAnsi="Arial" w:eastAsia="宋体" w:cs="Arial"/>
                <w:i w:val="0"/>
                <w:iCs w:val="0"/>
                <w:color w:val="auto"/>
                <w:kern w:val="0"/>
                <w:sz w:val="21"/>
                <w:szCs w:val="21"/>
                <w:highlight w:val="none"/>
                <w:u w:val="none"/>
                <w:lang w:val="en-US" w:eastAsia="zh-CN" w:bidi="ar"/>
              </w:rPr>
              <w:t xml:space="preserve"> 220V/50HZ </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搅拌方式</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bidi="ar"/>
              </w:rPr>
              <w:t>高温强磁</w:t>
            </w:r>
            <w:r>
              <w:rPr>
                <w:rFonts w:ascii="Arial" w:hAnsi="Arial" w:cs="Arial"/>
                <w:color w:val="auto"/>
                <w:kern w:val="0"/>
                <w:szCs w:val="21"/>
                <w:highlight w:val="none"/>
                <w:lang w:bidi="ar"/>
              </w:rPr>
              <w:t>Y35</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探头</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带探头脱落保护</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仪器尺寸</w:t>
            </w:r>
            <w:r>
              <w:rPr>
                <w:rStyle w:val="254"/>
                <w:rFonts w:hint="eastAsia" w:ascii="Arial" w:hAnsi="Arial" w:cs="Arial"/>
                <w:color w:val="auto"/>
                <w:sz w:val="21"/>
                <w:szCs w:val="21"/>
                <w:highlight w:val="none"/>
                <w:lang w:val="en-US" w:eastAsia="zh-CN" w:bidi="ar"/>
              </w:rPr>
              <w:t>（</w:t>
            </w:r>
            <w:r>
              <w:rPr>
                <w:rFonts w:ascii="Arial" w:hAnsi="Arial" w:cs="Arial"/>
                <w:color w:val="auto"/>
                <w:kern w:val="0"/>
                <w:szCs w:val="21"/>
                <w:highlight w:val="none"/>
                <w:lang w:bidi="ar"/>
              </w:rPr>
              <w:t>mm</w:t>
            </w:r>
            <w:r>
              <w:rPr>
                <w:rStyle w:val="254"/>
                <w:rFonts w:hint="eastAsia"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color w:val="auto"/>
                <w:highlight w:val="none"/>
              </w:rPr>
              <w:t>≥</w:t>
            </w:r>
            <w:r>
              <w:rPr>
                <w:rFonts w:hint="eastAsia"/>
                <w:color w:val="auto"/>
                <w:highlight w:val="none"/>
                <w:lang w:val="en-US" w:eastAsia="zh-CN"/>
              </w:rPr>
              <w:t>长</w:t>
            </w:r>
            <w:r>
              <w:rPr>
                <w:rFonts w:ascii="Arial" w:hAnsi="Arial" w:cs="Arial"/>
                <w:color w:val="auto"/>
                <w:kern w:val="0"/>
                <w:szCs w:val="21"/>
                <w:highlight w:val="none"/>
                <w:lang w:bidi="ar"/>
              </w:rPr>
              <w:t xml:space="preserve"> 250*</w:t>
            </w:r>
            <w:r>
              <w:rPr>
                <w:rFonts w:hint="eastAsia" w:ascii="Arial" w:hAnsi="Arial" w:cs="Arial"/>
                <w:color w:val="auto"/>
                <w:kern w:val="0"/>
                <w:szCs w:val="21"/>
                <w:highlight w:val="none"/>
                <w:lang w:val="en-US" w:eastAsia="zh-CN" w:bidi="ar"/>
              </w:rPr>
              <w:t>宽</w:t>
            </w:r>
            <w:r>
              <w:rPr>
                <w:rFonts w:ascii="Arial" w:hAnsi="Arial" w:cs="Arial"/>
                <w:color w:val="auto"/>
                <w:kern w:val="0"/>
                <w:szCs w:val="21"/>
                <w:highlight w:val="none"/>
                <w:lang w:bidi="ar"/>
              </w:rPr>
              <w:t>235*</w:t>
            </w:r>
            <w:r>
              <w:rPr>
                <w:rFonts w:hint="eastAsia" w:ascii="Arial" w:hAnsi="Arial" w:cs="Arial"/>
                <w:color w:val="auto"/>
                <w:kern w:val="0"/>
                <w:szCs w:val="21"/>
                <w:highlight w:val="none"/>
                <w:lang w:val="en-US" w:eastAsia="zh-CN" w:bidi="ar"/>
              </w:rPr>
              <w:t>高</w:t>
            </w:r>
            <w:r>
              <w:rPr>
                <w:rFonts w:ascii="Arial" w:hAnsi="Arial" w:cs="Arial"/>
                <w:color w:val="auto"/>
                <w:kern w:val="0"/>
                <w:szCs w:val="21"/>
                <w:highlight w:val="none"/>
                <w:lang w:bidi="ar"/>
              </w:rPr>
              <w:t>220</w:t>
            </w:r>
            <w:r>
              <w:rPr>
                <w:rFonts w:hint="default" w:ascii="Arial" w:hAnsi="Arial" w:eastAsia="宋体" w:cs="Arial"/>
                <w:i w:val="0"/>
                <w:iCs w:val="0"/>
                <w:color w:val="auto"/>
                <w:kern w:val="0"/>
                <w:sz w:val="21"/>
                <w:szCs w:val="21"/>
                <w:highlight w:val="none"/>
                <w:u w:val="none"/>
                <w:lang w:val="en-US" w:eastAsia="zh-CN" w:bidi="ar"/>
              </w:rPr>
              <w:t xml:space="preserve"> </w:t>
            </w:r>
          </w:p>
        </w:tc>
      </w:tr>
      <w:tr w14:paraId="114DA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8C4E4C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w:t>
            </w:r>
          </w:p>
        </w:tc>
        <w:tc>
          <w:tcPr>
            <w:tcW w:w="911" w:type="dxa"/>
            <w:noWrap w:val="0"/>
            <w:vAlign w:val="center"/>
          </w:tcPr>
          <w:p w14:paraId="740CE71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顶置式电动搅拌器</w:t>
            </w:r>
          </w:p>
        </w:tc>
        <w:tc>
          <w:tcPr>
            <w:tcW w:w="582" w:type="dxa"/>
            <w:noWrap w:val="0"/>
            <w:vAlign w:val="center"/>
          </w:tcPr>
          <w:p w14:paraId="0C3C287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686" w:type="dxa"/>
            <w:noWrap w:val="0"/>
            <w:vAlign w:val="center"/>
          </w:tcPr>
          <w:p w14:paraId="541227F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67D5C27B">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C9785AC">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0"/>
                <w:szCs w:val="21"/>
                <w:highlight w:val="none"/>
                <w:lang w:bidi="ar"/>
              </w:rPr>
              <w:t>用途</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LCD顶置式搅拌器采用自锁式夹头，自主研发方形升降固定夹。大液晶屏显示，转速和时间可调，用于固液、液液或中高粘度样品混合。</w:t>
            </w:r>
            <w:r>
              <w:rPr>
                <w:rFonts w:ascii="Arial" w:hAnsi="Arial" w:cs="Arial"/>
                <w:color w:val="auto"/>
                <w:kern w:val="0"/>
                <w:szCs w:val="21"/>
                <w:highlight w:val="none"/>
                <w:lang w:bidi="ar"/>
              </w:rPr>
              <w:br w:type="textWrapping"/>
            </w:r>
            <w:r>
              <w:rPr>
                <w:rStyle w:val="255"/>
                <w:rFonts w:hint="eastAsia" w:ascii="Arial" w:hAnsi="Arial" w:cs="Arial"/>
                <w:color w:val="auto"/>
                <w:sz w:val="21"/>
                <w:szCs w:val="21"/>
                <w:highlight w:val="none"/>
                <w:lang w:val="en-US" w:eastAsia="zh-CN" w:bidi="ar"/>
              </w:rPr>
              <w:t>1</w:t>
            </w:r>
            <w:r>
              <w:rPr>
                <w:rStyle w:val="255"/>
                <w:rFonts w:hint="default" w:ascii="Arial" w:hAnsi="Arial" w:cs="Arial"/>
                <w:color w:val="auto"/>
                <w:sz w:val="21"/>
                <w:szCs w:val="21"/>
                <w:highlight w:val="none"/>
                <w:lang w:bidi="ar"/>
              </w:rPr>
              <w:t>、技术参数</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适配器输入电压V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100~240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适配器输出电压V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24</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频率Hz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50~60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最大搅拌量</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40L</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转速范围rpm</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30~2200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转速显示</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LCD</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转速精度rpm</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±1</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调速方式</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粗调+精调</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定时范围min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1~9999</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时间显示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LCD</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最大扭矩N.cm</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60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最大粘度mpa.s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50000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输入功率W </w:t>
            </w:r>
            <w:r>
              <w:rPr>
                <w:rStyle w:val="255"/>
                <w:rFonts w:ascii="Arial" w:hAnsi="Arial" w:cs="Arial"/>
                <w:color w:val="auto"/>
                <w:sz w:val="21"/>
                <w:szCs w:val="21"/>
                <w:highlight w:val="none"/>
                <w:lang w:bidi="ar"/>
              </w:rPr>
              <w:t>：</w:t>
            </w:r>
            <w:r>
              <w:rPr>
                <w:rFonts w:hint="eastAsia"/>
                <w:color w:val="auto"/>
                <w:highlight w:val="none"/>
              </w:rPr>
              <w:t>≥</w:t>
            </w:r>
            <w:r>
              <w:rPr>
                <w:rStyle w:val="255"/>
                <w:rFonts w:hint="default" w:ascii="Arial" w:hAnsi="Arial" w:cs="Arial"/>
                <w:color w:val="auto"/>
                <w:sz w:val="21"/>
                <w:szCs w:val="21"/>
                <w:highlight w:val="none"/>
                <w:lang w:bidi="ar"/>
              </w:rPr>
              <w:t xml:space="preserve"> 120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输出功率W  </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100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保护等级</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 xml:space="preserve"> IP42</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电机保护</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显示故障自动停止</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过载保护</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显示故障自动停止</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安全保护</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夹头保护套+防滑垫</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允许环境温度℃</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5~40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允许环境湿度%</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80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主机仪器尺寸mm </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 xml:space="preserve"> 210*290*800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主机包装尺寸mm</w:t>
            </w:r>
            <w:r>
              <w:rPr>
                <w:rStyle w:val="255"/>
                <w:rFonts w:ascii="Arial" w:hAnsi="Arial" w:cs="Arial"/>
                <w:color w:val="auto"/>
                <w:sz w:val="21"/>
                <w:szCs w:val="21"/>
                <w:highlight w:val="none"/>
                <w:lang w:bidi="ar"/>
              </w:rPr>
              <w:t>：</w:t>
            </w:r>
            <w:r>
              <w:rPr>
                <w:rFonts w:hint="eastAsia" w:eastAsia="宋体"/>
                <w:color w:val="auto"/>
                <w:highlight w:val="none"/>
              </w:rPr>
              <w:t>≥</w:t>
            </w:r>
            <w:r>
              <w:rPr>
                <w:rFonts w:hint="default" w:eastAsia="宋体"/>
                <w:color w:val="auto"/>
                <w:highlight w:val="none"/>
              </w:rPr>
              <w:t xml:space="preserve"> </w:t>
            </w:r>
            <w:r>
              <w:rPr>
                <w:rStyle w:val="255"/>
                <w:rFonts w:hint="default" w:ascii="Arial" w:hAnsi="Arial" w:cs="Arial"/>
                <w:color w:val="auto"/>
                <w:sz w:val="21"/>
                <w:szCs w:val="21"/>
                <w:highlight w:val="none"/>
                <w:lang w:bidi="ar"/>
              </w:rPr>
              <w:t>475*340*200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套装包装尺寸mm </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 xml:space="preserve"> 803*400*140</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主机仪器净重kg </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w:t>
            </w:r>
            <w:r>
              <w:rPr>
                <w:rFonts w:hint="eastAsia" w:eastAsia="宋体"/>
                <w:color w:val="auto"/>
                <w:highlight w:val="none"/>
              </w:rPr>
              <w:t>≥</w:t>
            </w:r>
            <w:r>
              <w:rPr>
                <w:rStyle w:val="255"/>
                <w:rFonts w:hint="default" w:ascii="Arial" w:hAnsi="Arial" w:cs="Arial"/>
                <w:color w:val="auto"/>
                <w:sz w:val="21"/>
                <w:szCs w:val="21"/>
                <w:highlight w:val="none"/>
                <w:lang w:bidi="ar"/>
              </w:rPr>
              <w:t>4.7</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主机包装毛重kg</w:t>
            </w:r>
            <w:r>
              <w:rPr>
                <w:rStyle w:val="255"/>
                <w:rFonts w:ascii="Arial" w:hAnsi="Arial" w:cs="Arial"/>
                <w:color w:val="auto"/>
                <w:sz w:val="21"/>
                <w:szCs w:val="21"/>
                <w:highlight w:val="none"/>
                <w:lang w:bidi="ar"/>
              </w:rPr>
              <w:t>：</w:t>
            </w:r>
            <w:r>
              <w:rPr>
                <w:rStyle w:val="255"/>
                <w:rFonts w:hint="default" w:ascii="Arial" w:hAnsi="Arial" w:cs="Arial"/>
                <w:color w:val="auto"/>
                <w:sz w:val="21"/>
                <w:szCs w:val="21"/>
                <w:highlight w:val="none"/>
                <w:lang w:bidi="ar"/>
              </w:rPr>
              <w:t xml:space="preserve"> </w:t>
            </w:r>
            <w:r>
              <w:rPr>
                <w:rFonts w:hint="eastAsia" w:eastAsia="宋体"/>
                <w:color w:val="auto"/>
                <w:highlight w:val="none"/>
              </w:rPr>
              <w:t>≥</w:t>
            </w:r>
            <w:r>
              <w:rPr>
                <w:rStyle w:val="255"/>
                <w:rFonts w:hint="default" w:ascii="Arial" w:hAnsi="Arial" w:cs="Arial"/>
                <w:color w:val="auto"/>
                <w:sz w:val="21"/>
                <w:szCs w:val="21"/>
                <w:highlight w:val="none"/>
                <w:lang w:bidi="ar"/>
              </w:rPr>
              <w:t xml:space="preserve"> 6.5</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套装仪器净重kg </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 xml:space="preserve"> 7.5</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 xml:space="preserve">套装包装毛重kg </w:t>
            </w:r>
            <w:r>
              <w:rPr>
                <w:rStyle w:val="255"/>
                <w:rFonts w:ascii="Arial" w:hAnsi="Arial" w:cs="Arial"/>
                <w:color w:val="auto"/>
                <w:sz w:val="21"/>
                <w:szCs w:val="21"/>
                <w:highlight w:val="none"/>
                <w:lang w:bidi="ar"/>
              </w:rPr>
              <w:t>：</w:t>
            </w:r>
            <w:r>
              <w:rPr>
                <w:rFonts w:hint="eastAsia" w:eastAsia="宋体"/>
                <w:color w:val="auto"/>
                <w:highlight w:val="none"/>
              </w:rPr>
              <w:t>≥</w:t>
            </w:r>
            <w:r>
              <w:rPr>
                <w:rStyle w:val="255"/>
                <w:rFonts w:hint="default" w:ascii="Arial" w:hAnsi="Arial" w:cs="Arial"/>
                <w:color w:val="auto"/>
                <w:sz w:val="21"/>
                <w:szCs w:val="21"/>
                <w:highlight w:val="none"/>
                <w:lang w:bidi="ar"/>
              </w:rPr>
              <w:t xml:space="preserve"> 12.5</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4、装箱清单</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名称    数量    单位</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主机1台</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电源1根</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通用平板支架1套</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不锈钢四叶式搅拌桨1根</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合格证（保修卡）1份</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使用说明书    1份</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5、附加</w:t>
            </w:r>
            <w:r>
              <w:rPr>
                <w:rStyle w:val="255"/>
                <w:rFonts w:hint="default" w:ascii="Arial" w:hAnsi="Arial" w:cs="Arial"/>
                <w:color w:val="auto"/>
                <w:sz w:val="21"/>
                <w:szCs w:val="21"/>
                <w:highlight w:val="none"/>
                <w:lang w:bidi="ar"/>
              </w:rPr>
              <w:br w:type="textWrapping"/>
            </w:r>
            <w:r>
              <w:rPr>
                <w:rStyle w:val="255"/>
                <w:rFonts w:hint="default" w:ascii="Arial" w:hAnsi="Arial" w:cs="Arial"/>
                <w:color w:val="auto"/>
                <w:sz w:val="21"/>
                <w:szCs w:val="21"/>
                <w:highlight w:val="none"/>
                <w:lang w:bidi="ar"/>
              </w:rPr>
              <w:t>配聚四氟乙烯斜叶搅拌桨1根</w:t>
            </w:r>
          </w:p>
        </w:tc>
      </w:tr>
      <w:tr w14:paraId="47FF6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509" w:type="dxa"/>
            <w:noWrap w:val="0"/>
            <w:vAlign w:val="center"/>
          </w:tcPr>
          <w:p w14:paraId="6EFBC599">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911" w:type="dxa"/>
            <w:noWrap w:val="0"/>
            <w:vAlign w:val="center"/>
          </w:tcPr>
          <w:p w14:paraId="6758AC0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低速台式离心机</w:t>
            </w:r>
          </w:p>
        </w:tc>
        <w:tc>
          <w:tcPr>
            <w:tcW w:w="582" w:type="dxa"/>
            <w:noWrap w:val="0"/>
            <w:vAlign w:val="center"/>
          </w:tcPr>
          <w:p w14:paraId="585BF81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86" w:type="dxa"/>
            <w:noWrap w:val="0"/>
            <w:vAlign w:val="center"/>
          </w:tcPr>
          <w:p w14:paraId="79C36FA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3DE3E991">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C397C3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Style w:val="254"/>
                <w:rFonts w:hint="default" w:ascii="Arial" w:hAnsi="Arial" w:cs="Arial"/>
                <w:color w:val="auto"/>
                <w:sz w:val="21"/>
                <w:szCs w:val="21"/>
                <w:highlight w:val="none"/>
                <w:lang w:val="en-US" w:eastAsia="zh-CN" w:bidi="ar"/>
              </w:rPr>
              <w:t>最高转速</w:t>
            </w:r>
            <w:r>
              <w:rPr>
                <w:rFonts w:hint="default" w:ascii="Arial" w:hAnsi="Arial" w:eastAsia="宋体" w:cs="Arial"/>
                <w:i w:val="0"/>
                <w:iCs w:val="0"/>
                <w:color w:val="auto"/>
                <w:kern w:val="0"/>
                <w:sz w:val="21"/>
                <w:szCs w:val="21"/>
                <w:highlight w:val="none"/>
                <w:u w:val="none"/>
                <w:lang w:val="en-US" w:eastAsia="zh-CN" w:bidi="ar"/>
              </w:rPr>
              <w:t xml:space="preserve"> 4000rpm</w:t>
            </w:r>
            <w:r>
              <w:rPr>
                <w:rStyle w:val="254"/>
                <w:rFonts w:hint="default" w:ascii="Arial" w:hAnsi="Arial" w:cs="Arial"/>
                <w:color w:val="auto"/>
                <w:sz w:val="21"/>
                <w:szCs w:val="21"/>
                <w:highlight w:val="none"/>
                <w:lang w:val="en-US" w:eastAsia="zh-CN" w:bidi="ar"/>
              </w:rPr>
              <w:t>（转</w:t>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分）</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最大相对离心力</w:t>
            </w:r>
            <w:r>
              <w:rPr>
                <w:rFonts w:hint="default" w:ascii="Arial" w:hAnsi="Arial" w:eastAsia="宋体" w:cs="Arial"/>
                <w:i w:val="0"/>
                <w:iCs w:val="0"/>
                <w:color w:val="auto"/>
                <w:kern w:val="0"/>
                <w:sz w:val="21"/>
                <w:szCs w:val="21"/>
                <w:highlight w:val="none"/>
                <w:u w:val="none"/>
                <w:lang w:val="en-US" w:eastAsia="zh-CN" w:bidi="ar"/>
              </w:rPr>
              <w:t>2325(×g)</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电源</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220v 50Hz 135w</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外形尺寸</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280mm×310mm×265mm(L×W×H)</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重量</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10kg</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至少搭载20ml、10ml、5ml离心管适配器各一套；不可限定离心管材质及离心管所承受的离心力</w:t>
            </w:r>
          </w:p>
        </w:tc>
      </w:tr>
      <w:tr w14:paraId="23B9D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765D01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15</w:t>
            </w:r>
          </w:p>
        </w:tc>
        <w:tc>
          <w:tcPr>
            <w:tcW w:w="911" w:type="dxa"/>
            <w:noWrap w:val="0"/>
            <w:vAlign w:val="center"/>
          </w:tcPr>
          <w:p w14:paraId="0CE20BC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空调扇</w:t>
            </w:r>
          </w:p>
        </w:tc>
        <w:tc>
          <w:tcPr>
            <w:tcW w:w="582" w:type="dxa"/>
            <w:noWrap w:val="0"/>
            <w:vAlign w:val="center"/>
          </w:tcPr>
          <w:p w14:paraId="0F7CD9D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686" w:type="dxa"/>
            <w:noWrap w:val="0"/>
            <w:vAlign w:val="center"/>
          </w:tcPr>
          <w:p w14:paraId="3B9635B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6DA66298">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B23F2B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Style w:val="254"/>
                <w:rFonts w:hint="default" w:ascii="Arial" w:hAnsi="Arial" w:cs="Arial"/>
                <w:color w:val="auto"/>
                <w:sz w:val="21"/>
                <w:szCs w:val="21"/>
                <w:highlight w:val="none"/>
                <w:lang w:val="en-US" w:eastAsia="zh-CN" w:bidi="ar"/>
              </w:rPr>
              <w:t>冷暖类型</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单冷</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变频</w:t>
            </w:r>
            <w:r>
              <w:rPr>
                <w:rFonts w:hint="default" w:ascii="Arial" w:hAnsi="Arial" w:eastAsia="宋体"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定频</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定频</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风力档位</w:t>
            </w:r>
            <w:r>
              <w:rPr>
                <w:rStyle w:val="254"/>
                <w:rFonts w:hint="eastAsia"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3</w:t>
            </w:r>
            <w:r>
              <w:rPr>
                <w:rStyle w:val="254"/>
                <w:rFonts w:hint="default" w:ascii="Arial" w:hAnsi="Arial" w:cs="Arial"/>
                <w:color w:val="auto"/>
                <w:sz w:val="21"/>
                <w:szCs w:val="21"/>
                <w:highlight w:val="none"/>
                <w:lang w:val="en-US" w:eastAsia="zh-CN" w:bidi="ar"/>
              </w:rPr>
              <w:t>档</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加水方式</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上加水</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CCC</w:t>
            </w:r>
            <w:r>
              <w:rPr>
                <w:rStyle w:val="254"/>
                <w:rFonts w:hint="default" w:ascii="Arial" w:hAnsi="Arial" w:cs="Arial"/>
                <w:color w:val="auto"/>
                <w:sz w:val="21"/>
                <w:szCs w:val="21"/>
                <w:highlight w:val="none"/>
                <w:lang w:val="en-US" w:eastAsia="zh-CN" w:bidi="ar"/>
              </w:rPr>
              <w:t>强制性认证</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w:t>
            </w:r>
            <w:r>
              <w:rPr>
                <w:rStyle w:val="254"/>
                <w:rFonts w:hint="default" w:ascii="Arial" w:hAnsi="Arial" w:cs="Arial"/>
                <w:color w:val="auto"/>
                <w:sz w:val="21"/>
                <w:szCs w:val="21"/>
                <w:highlight w:val="none"/>
                <w:lang w:val="en-US" w:eastAsia="zh-CN" w:bidi="ar"/>
              </w:rPr>
              <w:t>是</w:t>
            </w:r>
            <w:r>
              <w:rPr>
                <w:rFonts w:hint="default" w:ascii="Arial" w:hAnsi="Arial" w:eastAsia="宋体"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额定电压 </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220V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额定功率 </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550W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水箱容量 </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110L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包装清单 外包装，主机，说明书</w:t>
            </w:r>
          </w:p>
        </w:tc>
      </w:tr>
      <w:tr w14:paraId="36EBA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3D6D27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16</w:t>
            </w:r>
          </w:p>
        </w:tc>
        <w:tc>
          <w:tcPr>
            <w:tcW w:w="911" w:type="dxa"/>
            <w:noWrap w:val="0"/>
            <w:vAlign w:val="center"/>
          </w:tcPr>
          <w:p w14:paraId="4110281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鼓风干燥箱</w:t>
            </w:r>
          </w:p>
        </w:tc>
        <w:tc>
          <w:tcPr>
            <w:tcW w:w="582" w:type="dxa"/>
            <w:noWrap w:val="0"/>
            <w:vAlign w:val="center"/>
          </w:tcPr>
          <w:p w14:paraId="124868C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686" w:type="dxa"/>
            <w:noWrap w:val="0"/>
            <w:vAlign w:val="center"/>
          </w:tcPr>
          <w:p w14:paraId="5A03723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754" w:type="dxa"/>
            <w:noWrap w:val="0"/>
            <w:vAlign w:val="center"/>
          </w:tcPr>
          <w:p w14:paraId="6D3D9A1F">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E17105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r>
              <w:rPr>
                <w:rStyle w:val="254"/>
                <w:rFonts w:hint="default" w:ascii="Arial" w:hAnsi="Arial" w:cs="Arial"/>
                <w:color w:val="auto"/>
                <w:sz w:val="21"/>
                <w:szCs w:val="21"/>
                <w:highlight w:val="none"/>
                <w:lang w:val="en-US" w:eastAsia="zh-CN" w:bidi="ar"/>
              </w:rPr>
              <w:t>、箱体内均采用镜面不锈钢氩弧焊制作而成，箱体外采用优质钢板。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、采用具有超温偏差保护、数字显示的微电脑</w:t>
            </w:r>
            <w:r>
              <w:rPr>
                <w:rFonts w:hint="default" w:ascii="Arial" w:hAnsi="Arial" w:eastAsia="宋体" w:cs="Arial"/>
                <w:i w:val="0"/>
                <w:iCs w:val="0"/>
                <w:color w:val="auto"/>
                <w:kern w:val="0"/>
                <w:sz w:val="21"/>
                <w:szCs w:val="21"/>
                <w:highlight w:val="none"/>
                <w:u w:val="none"/>
                <w:lang w:val="en-US" w:eastAsia="zh-CN" w:bidi="ar"/>
              </w:rPr>
              <w:t>P.I.D</w:t>
            </w:r>
            <w:r>
              <w:rPr>
                <w:rStyle w:val="254"/>
                <w:rFonts w:hint="default" w:ascii="Arial" w:hAnsi="Arial" w:cs="Arial"/>
                <w:color w:val="auto"/>
                <w:sz w:val="21"/>
                <w:szCs w:val="21"/>
                <w:highlight w:val="none"/>
                <w:lang w:val="en-US" w:eastAsia="zh-CN" w:bidi="ar"/>
              </w:rPr>
              <w:t>温度控制器，带有定时功能，控温精确可靠。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w:t>
            </w:r>
            <w:r>
              <w:rPr>
                <w:rStyle w:val="254"/>
                <w:rFonts w:hint="default" w:ascii="Arial" w:hAnsi="Arial" w:cs="Arial"/>
                <w:color w:val="auto"/>
                <w:sz w:val="21"/>
                <w:szCs w:val="21"/>
                <w:highlight w:val="none"/>
                <w:lang w:val="en-US" w:eastAsia="zh-CN" w:bidi="ar"/>
              </w:rPr>
              <w:t>热风循环系统由能在高温下连续运转的风机和合适风道组成，提高工作室内温度均匀度。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w:t>
            </w:r>
            <w:r>
              <w:rPr>
                <w:rStyle w:val="254"/>
                <w:rFonts w:hint="default" w:ascii="Arial" w:hAnsi="Arial" w:cs="Arial"/>
                <w:color w:val="auto"/>
                <w:sz w:val="21"/>
                <w:szCs w:val="21"/>
                <w:highlight w:val="none"/>
                <w:lang w:val="en-US" w:eastAsia="zh-CN" w:bidi="ar"/>
              </w:rPr>
              <w:t>、采用合成硅密封条，能长期高温运行，使用寿命长，便于更换。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w:t>
            </w:r>
            <w:r>
              <w:rPr>
                <w:rStyle w:val="254"/>
                <w:rFonts w:hint="default" w:ascii="Arial" w:hAnsi="Arial" w:cs="Arial"/>
                <w:color w:val="auto"/>
                <w:sz w:val="21"/>
                <w:szCs w:val="21"/>
                <w:highlight w:val="none"/>
                <w:lang w:val="en-US" w:eastAsia="zh-CN" w:bidi="ar"/>
              </w:rPr>
              <w:t>、可以从控温面板上调节箱内进风和排气量大小。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w:t>
            </w:r>
            <w:r>
              <w:rPr>
                <w:rStyle w:val="254"/>
                <w:rFonts w:hint="default" w:ascii="Arial" w:hAnsi="Arial" w:cs="Arial"/>
                <w:color w:val="auto"/>
                <w:sz w:val="21"/>
                <w:szCs w:val="21"/>
                <w:highlight w:val="none"/>
                <w:lang w:val="en-US" w:eastAsia="zh-CN" w:bidi="ar"/>
              </w:rPr>
              <w:t>、独立限温报警系统，超过限制温度即自动中断，保证实验安全运行不发生意外。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w:t>
            </w:r>
            <w:r>
              <w:rPr>
                <w:rStyle w:val="254"/>
                <w:rFonts w:hint="default" w:ascii="Arial" w:hAnsi="Arial" w:cs="Arial"/>
                <w:color w:val="auto"/>
                <w:sz w:val="21"/>
                <w:szCs w:val="21"/>
                <w:highlight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电源电压：</w:t>
            </w:r>
            <w:r>
              <w:rPr>
                <w:rFonts w:hint="default" w:ascii="Arial" w:hAnsi="Arial" w:eastAsia="宋体" w:cs="Arial"/>
                <w:i w:val="0"/>
                <w:iCs w:val="0"/>
                <w:color w:val="auto"/>
                <w:kern w:val="0"/>
                <w:sz w:val="21"/>
                <w:szCs w:val="21"/>
                <w:highlight w:val="none"/>
                <w:u w:val="none"/>
                <w:lang w:val="en-US" w:eastAsia="zh-CN" w:bidi="ar"/>
              </w:rPr>
              <w:t>AC220V 50HZ</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控温范围：</w:t>
            </w:r>
            <w:r>
              <w:rPr>
                <w:rFonts w:hint="default" w:ascii="Arial" w:hAnsi="Arial" w:eastAsia="宋体" w:cs="Arial"/>
                <w:i w:val="0"/>
                <w:iCs w:val="0"/>
                <w:color w:val="auto"/>
                <w:kern w:val="0"/>
                <w:sz w:val="21"/>
                <w:szCs w:val="21"/>
                <w:highlight w:val="none"/>
                <w:u w:val="none"/>
                <w:lang w:val="en-US" w:eastAsia="zh-CN" w:bidi="ar"/>
              </w:rPr>
              <w:t>RT+10~250℃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温度波动度：</w:t>
            </w:r>
            <w:r>
              <w:rPr>
                <w:rFonts w:hint="default" w:ascii="Arial" w:hAnsi="Arial" w:eastAsia="宋体"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温度分辨率：</w:t>
            </w:r>
            <w:r>
              <w:rPr>
                <w:rFonts w:hint="default" w:ascii="Arial" w:hAnsi="Arial" w:eastAsia="宋体" w:cs="Arial"/>
                <w:i w:val="0"/>
                <w:iCs w:val="0"/>
                <w:color w:val="auto"/>
                <w:kern w:val="0"/>
                <w:sz w:val="21"/>
                <w:szCs w:val="21"/>
                <w:highlight w:val="none"/>
                <w:u w:val="none"/>
                <w:lang w:val="en-US" w:eastAsia="zh-CN" w:bidi="ar"/>
              </w:rPr>
              <w:t>0.1℃</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温度均匀度：</w:t>
            </w:r>
            <w:r>
              <w:rPr>
                <w:rFonts w:hint="default" w:ascii="Arial" w:hAnsi="Arial" w:eastAsia="宋体" w:cs="Arial"/>
                <w:i w:val="0"/>
                <w:iCs w:val="0"/>
                <w:color w:val="auto"/>
                <w:kern w:val="0"/>
                <w:sz w:val="21"/>
                <w:szCs w:val="21"/>
                <w:highlight w:val="none"/>
                <w:u w:val="none"/>
                <w:lang w:val="en-US" w:eastAsia="zh-CN" w:bidi="ar"/>
              </w:rPr>
              <w:t>±3% (</w:t>
            </w:r>
            <w:r>
              <w:rPr>
                <w:rStyle w:val="254"/>
                <w:rFonts w:hint="default" w:ascii="Arial" w:hAnsi="Arial" w:cs="Arial"/>
                <w:color w:val="auto"/>
                <w:sz w:val="21"/>
                <w:szCs w:val="21"/>
                <w:highlight w:val="none"/>
                <w:lang w:val="en-US" w:eastAsia="zh-CN" w:bidi="ar"/>
              </w:rPr>
              <w:t>测试点为</w:t>
            </w:r>
            <w:r>
              <w:rPr>
                <w:rFonts w:hint="default" w:ascii="Arial" w:hAnsi="Arial" w:eastAsia="宋体" w:cs="Arial"/>
                <w:i w:val="0"/>
                <w:iCs w:val="0"/>
                <w:color w:val="auto"/>
                <w:kern w:val="0"/>
                <w:sz w:val="21"/>
                <w:szCs w:val="21"/>
                <w:highlight w:val="none"/>
                <w:u w:val="none"/>
                <w:lang w:val="en-US" w:eastAsia="zh-CN" w:bidi="ar"/>
              </w:rPr>
              <w:t xml:space="preserve">100℃) </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工作环境温度：</w:t>
            </w:r>
            <w:r>
              <w:rPr>
                <w:rFonts w:hint="default" w:ascii="Arial" w:hAnsi="Arial" w:eastAsia="宋体" w:cs="Arial"/>
                <w:i w:val="0"/>
                <w:iCs w:val="0"/>
                <w:color w:val="auto"/>
                <w:kern w:val="0"/>
                <w:sz w:val="21"/>
                <w:szCs w:val="21"/>
                <w:highlight w:val="none"/>
                <w:u w:val="none"/>
                <w:lang w:val="en-US" w:eastAsia="zh-CN" w:bidi="ar"/>
              </w:rPr>
              <w:t>+5</w:t>
            </w:r>
            <w:r>
              <w:rPr>
                <w:rStyle w:val="254"/>
                <w:rFonts w:hint="default" w:ascii="Arial" w:hAnsi="Arial" w:cs="Arial"/>
                <w:color w:val="auto"/>
                <w:sz w:val="21"/>
                <w:szCs w:val="21"/>
                <w:highlight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40℃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输入功率：</w:t>
            </w:r>
            <w:r>
              <w:rPr>
                <w:rFonts w:hint="default" w:ascii="Arial" w:hAnsi="Arial" w:eastAsia="宋体" w:cs="Arial"/>
                <w:i w:val="0"/>
                <w:iCs w:val="0"/>
                <w:color w:val="auto"/>
                <w:kern w:val="0"/>
                <w:sz w:val="21"/>
                <w:szCs w:val="21"/>
                <w:highlight w:val="none"/>
                <w:u w:val="none"/>
                <w:lang w:val="en-US" w:eastAsia="zh-CN" w:bidi="ar"/>
              </w:rPr>
              <w:t>2050W</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容积：</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136L</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内胆尺寸</w:t>
            </w:r>
            <w:r>
              <w:rPr>
                <w:rFonts w:hint="default" w:ascii="Arial" w:hAnsi="Arial" w:eastAsia="宋体" w:cs="Arial"/>
                <w:i w:val="0"/>
                <w:iCs w:val="0"/>
                <w:color w:val="auto"/>
                <w:kern w:val="0"/>
                <w:sz w:val="21"/>
                <w:szCs w:val="21"/>
                <w:highlight w:val="none"/>
                <w:u w:val="none"/>
                <w:lang w:val="en-US" w:eastAsia="zh-CN" w:bidi="ar"/>
              </w:rPr>
              <w:t>(mm)W×D×H</w:t>
            </w:r>
            <w:r>
              <w:rPr>
                <w:rStyle w:val="254"/>
                <w:rFonts w:hint="default" w:ascii="Arial" w:hAnsi="Arial" w:cs="Arial"/>
                <w:color w:val="auto"/>
                <w:sz w:val="21"/>
                <w:szCs w:val="21"/>
                <w:highlight w:val="none"/>
                <w:lang w:val="en-US" w:eastAsia="zh-CN" w:bidi="ar"/>
              </w:rPr>
              <w:t>：</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550×450×550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外形尺寸</w:t>
            </w:r>
            <w:r>
              <w:rPr>
                <w:rFonts w:hint="default" w:ascii="Arial" w:hAnsi="Arial" w:eastAsia="宋体" w:cs="Arial"/>
                <w:i w:val="0"/>
                <w:iCs w:val="0"/>
                <w:color w:val="auto"/>
                <w:kern w:val="0"/>
                <w:sz w:val="21"/>
                <w:szCs w:val="21"/>
                <w:highlight w:val="none"/>
                <w:u w:val="none"/>
                <w:lang w:val="en-US" w:eastAsia="zh-CN" w:bidi="ar"/>
              </w:rPr>
              <w:t>(mm)W×D×H</w:t>
            </w:r>
            <w:r>
              <w:rPr>
                <w:rStyle w:val="254"/>
                <w:rFonts w:hint="default" w:ascii="Arial" w:hAnsi="Arial" w:cs="Arial"/>
                <w:color w:val="auto"/>
                <w:sz w:val="21"/>
                <w:szCs w:val="21"/>
                <w:highlight w:val="none"/>
                <w:lang w:val="en-US" w:eastAsia="zh-CN" w:bidi="ar"/>
              </w:rPr>
              <w:t>：</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840×580×730</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载物托架（标配）：</w:t>
            </w:r>
            <w:r>
              <w:rPr>
                <w:rFonts w:hint="default" w:ascii="Arial" w:hAnsi="Arial" w:eastAsia="宋体" w:cs="Arial"/>
                <w:i w:val="0"/>
                <w:iCs w:val="0"/>
                <w:color w:val="auto"/>
                <w:kern w:val="0"/>
                <w:sz w:val="21"/>
                <w:szCs w:val="21"/>
                <w:highlight w:val="none"/>
                <w:u w:val="none"/>
                <w:lang w:val="en-US" w:eastAsia="zh-CN" w:bidi="ar"/>
              </w:rPr>
              <w:t>2</w:t>
            </w:r>
            <w:r>
              <w:rPr>
                <w:rStyle w:val="254"/>
                <w:rFonts w:hint="default" w:ascii="Arial" w:hAnsi="Arial" w:cs="Arial"/>
                <w:color w:val="auto"/>
                <w:sz w:val="21"/>
                <w:szCs w:val="21"/>
                <w:highlight w:val="none"/>
                <w:lang w:val="en-US" w:eastAsia="zh-CN" w:bidi="ar"/>
              </w:rPr>
              <w:t>块</w:t>
            </w:r>
            <w:r>
              <w:rPr>
                <w:rFonts w:hint="default" w:ascii="Arial" w:hAnsi="Arial" w:eastAsia="宋体" w:cs="Arial"/>
                <w:i w:val="0"/>
                <w:iCs w:val="0"/>
                <w:color w:val="auto"/>
                <w:kern w:val="0"/>
                <w:sz w:val="21"/>
                <w:szCs w:val="21"/>
                <w:highlight w:val="none"/>
                <w:u w:val="none"/>
                <w:lang w:val="en-US" w:eastAsia="zh-CN" w:bidi="ar"/>
              </w:rPr>
              <w:br w:type="textWrapping"/>
            </w:r>
            <w:r>
              <w:rPr>
                <w:rStyle w:val="254"/>
                <w:rFonts w:hint="default" w:ascii="Arial" w:hAnsi="Arial" w:cs="Arial"/>
                <w:color w:val="auto"/>
                <w:sz w:val="21"/>
                <w:szCs w:val="21"/>
                <w:highlight w:val="none"/>
                <w:lang w:val="en-US" w:eastAsia="zh-CN" w:bidi="ar"/>
              </w:rPr>
              <w:t>定时范围：</w:t>
            </w:r>
            <w:r>
              <w:rPr>
                <w:rFonts w:hint="default" w:ascii="Arial" w:hAnsi="Arial" w:eastAsia="宋体" w:cs="Arial"/>
                <w:i w:val="0"/>
                <w:iCs w:val="0"/>
                <w:color w:val="auto"/>
                <w:kern w:val="0"/>
                <w:sz w:val="21"/>
                <w:szCs w:val="21"/>
                <w:highlight w:val="none"/>
                <w:u w:val="none"/>
                <w:lang w:val="en-US" w:eastAsia="zh-CN" w:bidi="ar"/>
              </w:rPr>
              <w:t>1~9999min</w:t>
            </w:r>
          </w:p>
        </w:tc>
      </w:tr>
      <w:tr w14:paraId="04D5F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A0CF19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cs="Times New Roman"/>
                <w:b w:val="0"/>
                <w:bCs w:val="0"/>
                <w:i w:val="0"/>
                <w:iCs w:val="0"/>
                <w:color w:val="auto"/>
                <w:kern w:val="0"/>
                <w:sz w:val="21"/>
                <w:szCs w:val="21"/>
                <w:highlight w:val="none"/>
                <w:u w:val="none"/>
                <w:lang w:val="en-US" w:eastAsia="zh-CN" w:bidi="ar"/>
              </w:rPr>
              <w:t>17</w:t>
            </w:r>
          </w:p>
        </w:tc>
        <w:tc>
          <w:tcPr>
            <w:tcW w:w="911" w:type="dxa"/>
            <w:noWrap w:val="0"/>
            <w:vAlign w:val="center"/>
          </w:tcPr>
          <w:p w14:paraId="75B3B39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孕兔保定器</w:t>
            </w:r>
          </w:p>
        </w:tc>
        <w:tc>
          <w:tcPr>
            <w:tcW w:w="582" w:type="dxa"/>
            <w:noWrap w:val="0"/>
            <w:vAlign w:val="center"/>
          </w:tcPr>
          <w:p w14:paraId="23D0ADF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12</w:t>
            </w:r>
          </w:p>
        </w:tc>
        <w:tc>
          <w:tcPr>
            <w:tcW w:w="686" w:type="dxa"/>
            <w:noWrap w:val="0"/>
            <w:vAlign w:val="center"/>
          </w:tcPr>
          <w:p w14:paraId="56B210B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套</w:t>
            </w:r>
          </w:p>
        </w:tc>
        <w:tc>
          <w:tcPr>
            <w:tcW w:w="754" w:type="dxa"/>
            <w:noWrap w:val="0"/>
            <w:vAlign w:val="center"/>
          </w:tcPr>
          <w:p w14:paraId="3FFBC3C6">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207EE8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Fonts w:hint="eastAsia" w:ascii="Arial" w:hAnsi="Arial" w:cs="Arial"/>
                <w:color w:val="auto"/>
                <w:kern w:val="0"/>
                <w:szCs w:val="21"/>
                <w:highlight w:val="none"/>
                <w:lang w:bidi="ar"/>
              </w:rPr>
              <w:t>孕兔保定器（兔固定器）可用于多种实验和操作：口服、皮下、椎管、静脉、呼吸道、直肠、皮肤、眼睛、脑内等等，也可多方式地采集血液、尿液、胃液等；也可进行药物灌胃、胫部取血、体温测量、尿液导出、皮肤实验等</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w:t>
            </w:r>
            <w:r>
              <w:rPr>
                <w:rFonts w:hint="eastAsia" w:ascii="Arial" w:hAnsi="Arial" w:cs="Arial"/>
                <w:color w:val="auto"/>
                <w:kern w:val="0"/>
                <w:szCs w:val="21"/>
                <w:highlight w:val="none"/>
                <w:lang w:bidi="ar"/>
              </w:rPr>
              <w:t>孕兔保定器（兔固定器）</w:t>
            </w:r>
            <w:r>
              <w:rPr>
                <w:rFonts w:hint="default" w:ascii="Arial" w:hAnsi="Arial" w:eastAsia="宋体" w:cs="Arial"/>
                <w:i w:val="0"/>
                <w:iCs w:val="0"/>
                <w:color w:val="auto"/>
                <w:kern w:val="0"/>
                <w:sz w:val="21"/>
                <w:szCs w:val="21"/>
                <w:highlight w:val="none"/>
                <w:u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1.适用的兔子体重范围：2.5-5kg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2.产品尺寸：</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长45cm*宽14.5cm*高12.5cm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±0.5cm （长*宽*高）</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3.采用铁、铬、镍合金材质与聚甲基乙撑碳酸酯构成，且设备表面无尖锐棱角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4.槽体弧度严格贴合家兔脊柱生理曲度，避免压迫胸腔及腹腔脏器，保障呼吸与循环功能正常。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5.头部挡板采用柔性硅胶缓冲垫，防止头部挤压损伤；四肢预留活动空间，避免关节僵直。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6.固定状态下实验兔头部可自由转动，口鼻部无遮挡，确保正常通气。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7.可单人完成保定操作。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8.提供整机质保</w:t>
            </w:r>
            <w:r>
              <w:rPr>
                <w:rFonts w:hint="eastAsia"/>
                <w:color w:val="auto"/>
                <w:highlight w:val="none"/>
                <w:lang w:val="en-US" w:eastAsia="zh-CN"/>
              </w:rPr>
              <w:t>不少于</w:t>
            </w:r>
            <w:r>
              <w:rPr>
                <w:rFonts w:hint="default" w:ascii="Arial" w:hAnsi="Arial" w:eastAsia="宋体" w:cs="Arial"/>
                <w:i w:val="0"/>
                <w:iCs w:val="0"/>
                <w:color w:val="auto"/>
                <w:kern w:val="0"/>
                <w:sz w:val="21"/>
                <w:szCs w:val="21"/>
                <w:highlight w:val="none"/>
                <w:u w:val="none"/>
                <w:lang w:val="en-US" w:eastAsia="zh-CN" w:bidi="ar"/>
              </w:rPr>
              <w:t>两年，使用过程中非人为操作损坏可</w:t>
            </w:r>
            <w:r>
              <w:rPr>
                <w:rFonts w:hint="eastAsia" w:ascii="Arial" w:hAnsi="Arial" w:cs="Arial"/>
                <w:i w:val="0"/>
                <w:iCs w:val="0"/>
                <w:color w:val="auto"/>
                <w:kern w:val="0"/>
                <w:sz w:val="21"/>
                <w:szCs w:val="21"/>
                <w:highlight w:val="none"/>
                <w:u w:val="none"/>
                <w:lang w:val="en-US" w:eastAsia="zh-CN" w:bidi="ar"/>
              </w:rPr>
              <w:t>不收费</w:t>
            </w:r>
            <w:r>
              <w:rPr>
                <w:rFonts w:hint="default" w:ascii="Arial" w:hAnsi="Arial" w:eastAsia="宋体" w:cs="Arial"/>
                <w:i w:val="0"/>
                <w:iCs w:val="0"/>
                <w:color w:val="auto"/>
                <w:kern w:val="0"/>
                <w:sz w:val="21"/>
                <w:szCs w:val="21"/>
                <w:highlight w:val="none"/>
                <w:u w:val="none"/>
                <w:lang w:val="en-US" w:eastAsia="zh-CN" w:bidi="ar"/>
              </w:rPr>
              <w:t>整机更换。</w:t>
            </w:r>
          </w:p>
        </w:tc>
      </w:tr>
      <w:tr w14:paraId="29921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E4D178D">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cs="Arial"/>
                <w:b w:val="0"/>
                <w:bCs w:val="0"/>
                <w:i w:val="0"/>
                <w:iCs w:val="0"/>
                <w:color w:val="auto"/>
                <w:kern w:val="0"/>
                <w:sz w:val="21"/>
                <w:szCs w:val="21"/>
                <w:highlight w:val="none"/>
                <w:u w:val="none"/>
                <w:lang w:val="en-US" w:eastAsia="zh-CN" w:bidi="ar"/>
              </w:rPr>
              <w:t>18</w:t>
            </w:r>
          </w:p>
        </w:tc>
        <w:tc>
          <w:tcPr>
            <w:tcW w:w="911" w:type="dxa"/>
            <w:noWrap w:val="0"/>
            <w:vAlign w:val="center"/>
          </w:tcPr>
          <w:p w14:paraId="3338ECFB">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无干扰恒温加热兔台</w:t>
            </w:r>
          </w:p>
        </w:tc>
        <w:tc>
          <w:tcPr>
            <w:tcW w:w="582" w:type="dxa"/>
            <w:noWrap w:val="0"/>
            <w:vAlign w:val="center"/>
          </w:tcPr>
          <w:p w14:paraId="0933AF9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12</w:t>
            </w:r>
          </w:p>
        </w:tc>
        <w:tc>
          <w:tcPr>
            <w:tcW w:w="686" w:type="dxa"/>
            <w:noWrap w:val="0"/>
            <w:vAlign w:val="center"/>
          </w:tcPr>
          <w:p w14:paraId="6545FB7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套</w:t>
            </w:r>
          </w:p>
        </w:tc>
        <w:tc>
          <w:tcPr>
            <w:tcW w:w="754" w:type="dxa"/>
            <w:noWrap w:val="0"/>
            <w:vAlign w:val="center"/>
          </w:tcPr>
          <w:p w14:paraId="04003063">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49C1E2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Fonts w:hint="eastAsia" w:ascii="Arial" w:hAnsi="Arial" w:cs="Arial"/>
                <w:color w:val="auto"/>
                <w:kern w:val="0"/>
                <w:szCs w:val="21"/>
                <w:highlight w:val="none"/>
                <w:lang w:bidi="ar"/>
              </w:rPr>
              <w:t>无干扰恒温加热金属兔台可用于动物生理实验、药理实验等实验操作</w:t>
            </w:r>
            <w:r>
              <w:rPr>
                <w:rFonts w:hint="default" w:ascii="Arial" w:hAnsi="Arial" w:eastAsia="宋体" w:cs="Arial"/>
                <w:i w:val="0"/>
                <w:iCs w:val="0"/>
                <w:color w:val="auto"/>
                <w:kern w:val="0"/>
                <w:sz w:val="21"/>
                <w:szCs w:val="21"/>
                <w:highlight w:val="none"/>
                <w:u w:val="none"/>
                <w:lang w:val="en-US" w:eastAsia="zh-CN" w:bidi="ar"/>
              </w:rPr>
              <w:t>。内含加热恒温、废液收集、固定等功能。且整体防水设计可直接水洗。</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w:t>
            </w:r>
            <w:r>
              <w:rPr>
                <w:rFonts w:hint="eastAsia" w:ascii="Arial" w:hAnsi="Arial" w:cs="Arial"/>
                <w:color w:val="auto"/>
                <w:kern w:val="0"/>
                <w:szCs w:val="21"/>
                <w:highlight w:val="none"/>
                <w:lang w:bidi="ar"/>
              </w:rPr>
              <w:t>无干扰恒温加热金属兔台</w:t>
            </w:r>
            <w:r>
              <w:rPr>
                <w:rFonts w:hint="default" w:ascii="Arial" w:hAnsi="Arial" w:eastAsia="宋体" w:cs="Arial"/>
                <w:i w:val="0"/>
                <w:iCs w:val="0"/>
                <w:color w:val="auto"/>
                <w:kern w:val="0"/>
                <w:sz w:val="21"/>
                <w:szCs w:val="21"/>
                <w:highlight w:val="none"/>
                <w:u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1.结构特性：内嵌式加热，CNC一体化铝合金机身</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2.肢体固定方式：收缩结构（伸缩可调）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3.头部固定方式：捆绑式固定</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4.废液收集：标配不锈钢废液收集杯，容量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 xml:space="preserve"> 210ml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5.控温范围：30℃ - 45℃</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6.温度精度：±1℃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7.加热方式：直流加热（防辐射干扰）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8.工作电压：220V 50Hz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9.加热功率：60W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10.兔台尺寸：</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750mm</w:t>
            </w:r>
            <w:r>
              <w:rPr>
                <w:rFonts w:hint="eastAsia" w:ascii="Arial" w:hAnsi="Arial" w:eastAsia="宋体" w:cs="Arial"/>
                <w:i w:val="0"/>
                <w:iCs w:val="0"/>
                <w:color w:val="auto"/>
                <w:kern w:val="0"/>
                <w:sz w:val="21"/>
                <w:szCs w:val="21"/>
                <w:highlight w:val="none"/>
                <w:u w:val="none"/>
                <w:lang w:val="en-US" w:eastAsia="zh-CN" w:bidi="ar"/>
              </w:rPr>
              <w:t>长</w:t>
            </w:r>
            <w:r>
              <w:rPr>
                <w:rFonts w:hint="default" w:ascii="Arial" w:hAnsi="Arial" w:eastAsia="宋体" w:cs="Arial"/>
                <w:i w:val="0"/>
                <w:iCs w:val="0"/>
                <w:color w:val="auto"/>
                <w:kern w:val="0"/>
                <w:sz w:val="21"/>
                <w:szCs w:val="21"/>
                <w:highlight w:val="none"/>
                <w:u w:val="none"/>
                <w:lang w:val="en-US" w:eastAsia="zh-CN" w:bidi="ar"/>
              </w:rPr>
              <w:t xml:space="preserve"> × 340mm</w:t>
            </w:r>
            <w:r>
              <w:rPr>
                <w:rFonts w:hint="eastAsia" w:ascii="Arial" w:hAnsi="Arial" w:eastAsia="宋体" w:cs="Arial"/>
                <w:i w:val="0"/>
                <w:iCs w:val="0"/>
                <w:color w:val="auto"/>
                <w:kern w:val="0"/>
                <w:sz w:val="21"/>
                <w:szCs w:val="21"/>
                <w:highlight w:val="none"/>
                <w:u w:val="none"/>
                <w:lang w:val="en-US" w:eastAsia="zh-CN" w:bidi="ar"/>
              </w:rPr>
              <w:t>宽</w:t>
            </w: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75mm-130mm</w:t>
            </w:r>
            <w:r>
              <w:rPr>
                <w:rFonts w:hint="eastAsia" w:ascii="Arial" w:hAnsi="Arial" w:eastAsia="宋体" w:cs="Arial"/>
                <w:i w:val="0"/>
                <w:iCs w:val="0"/>
                <w:color w:val="auto"/>
                <w:kern w:val="0"/>
                <w:sz w:val="21"/>
                <w:szCs w:val="21"/>
                <w:highlight w:val="none"/>
                <w:u w:val="none"/>
                <w:lang w:val="en-US" w:eastAsia="zh-CN" w:bidi="ar"/>
              </w:rPr>
              <w:t>）高】</w:t>
            </w:r>
            <w:r>
              <w:rPr>
                <w:rFonts w:hint="default" w:ascii="Arial" w:hAnsi="Arial" w:eastAsia="宋体" w:cs="Arial"/>
                <w:i w:val="0"/>
                <w:iCs w:val="0"/>
                <w:color w:val="auto"/>
                <w:kern w:val="0"/>
                <w:sz w:val="21"/>
                <w:szCs w:val="21"/>
                <w:highlight w:val="none"/>
                <w:u w:val="none"/>
                <w:lang w:val="en-US" w:eastAsia="zh-CN" w:bidi="ar"/>
              </w:rPr>
              <w:t xml:space="preserve"> ±0.5cm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11.加热区域尺寸：</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410mm × 120mm</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±0.5cm</w:t>
            </w:r>
            <w:r>
              <w:rPr>
                <w:rFonts w:hint="eastAsia" w:ascii="Arial" w:hAnsi="Arial" w:cs="Arial"/>
                <w:color w:val="auto"/>
                <w:kern w:val="0"/>
                <w:szCs w:val="21"/>
                <w:highlight w:val="none"/>
                <w:lang w:bidi="ar"/>
              </w:rPr>
              <w:t>（长×宽）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12.清洁特性：整体机身防水设计，操作台面可直接水洗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13.显示系统：LED显示屏（同时显示实时温度与设定温度）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14.肢体固定卡扣材质：一体化CNC金属底座，ABS卡扣，尼龙固定绑带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15.头部固定捆绑固定杆：不锈钢可折叠固定杆，长度不</w:t>
            </w:r>
            <w:r>
              <w:rPr>
                <w:rFonts w:hint="eastAsia" w:ascii="Arial" w:hAnsi="Arial" w:cs="Arial"/>
                <w:i w:val="0"/>
                <w:iCs w:val="0"/>
                <w:color w:val="auto"/>
                <w:kern w:val="0"/>
                <w:sz w:val="21"/>
                <w:szCs w:val="21"/>
                <w:highlight w:val="none"/>
                <w:u w:val="none"/>
                <w:lang w:val="en-US" w:eastAsia="zh-CN" w:bidi="ar"/>
              </w:rPr>
              <w:t>小</w:t>
            </w:r>
            <w:r>
              <w:rPr>
                <w:rFonts w:hint="default" w:ascii="Arial" w:hAnsi="Arial" w:eastAsia="宋体" w:cs="Arial"/>
                <w:i w:val="0"/>
                <w:iCs w:val="0"/>
                <w:color w:val="auto"/>
                <w:kern w:val="0"/>
                <w:sz w:val="21"/>
                <w:szCs w:val="21"/>
                <w:highlight w:val="none"/>
                <w:u w:val="none"/>
                <w:lang w:val="en-US" w:eastAsia="zh-CN" w:bidi="ar"/>
              </w:rPr>
              <w:t>于103mm，直径15mm  ±10mm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16.废液收集杯固定支架：ABS可活动固定支架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17.提供整机质保</w:t>
            </w:r>
            <w:r>
              <w:rPr>
                <w:rFonts w:hint="eastAsia"/>
                <w:color w:val="auto"/>
                <w:highlight w:val="none"/>
                <w:lang w:val="en-US" w:eastAsia="zh-CN"/>
              </w:rPr>
              <w:t>不少于</w:t>
            </w:r>
            <w:r>
              <w:rPr>
                <w:rFonts w:hint="default" w:ascii="Arial" w:hAnsi="Arial" w:eastAsia="宋体" w:cs="Arial"/>
                <w:i w:val="0"/>
                <w:iCs w:val="0"/>
                <w:color w:val="auto"/>
                <w:kern w:val="0"/>
                <w:sz w:val="21"/>
                <w:szCs w:val="21"/>
                <w:highlight w:val="none"/>
                <w:u w:val="none"/>
                <w:lang w:val="en-US" w:eastAsia="zh-CN" w:bidi="ar"/>
              </w:rPr>
              <w:t>两年，使用过程中非人为操作损坏可</w:t>
            </w:r>
            <w:r>
              <w:rPr>
                <w:rFonts w:hint="eastAsia" w:ascii="Arial" w:hAnsi="Arial" w:cs="Arial"/>
                <w:i w:val="0"/>
                <w:iCs w:val="0"/>
                <w:color w:val="auto"/>
                <w:kern w:val="0"/>
                <w:sz w:val="21"/>
                <w:szCs w:val="21"/>
                <w:highlight w:val="none"/>
                <w:u w:val="none"/>
                <w:lang w:val="en-US" w:eastAsia="zh-CN" w:bidi="ar"/>
              </w:rPr>
              <w:t>不收费</w:t>
            </w:r>
            <w:r>
              <w:rPr>
                <w:rFonts w:hint="default" w:ascii="Arial" w:hAnsi="Arial" w:eastAsia="宋体" w:cs="Arial"/>
                <w:i w:val="0"/>
                <w:iCs w:val="0"/>
                <w:color w:val="auto"/>
                <w:kern w:val="0"/>
                <w:sz w:val="21"/>
                <w:szCs w:val="21"/>
                <w:highlight w:val="none"/>
                <w:u w:val="none"/>
                <w:lang w:val="en-US" w:eastAsia="zh-CN" w:bidi="ar"/>
              </w:rPr>
              <w:t>整机更换。</w:t>
            </w:r>
          </w:p>
        </w:tc>
      </w:tr>
    </w:tbl>
    <w:p w14:paraId="672FCE39">
      <w:pPr>
        <w:rPr>
          <w:rFonts w:hint="eastAsia" w:ascii="Arial" w:hAnsi="Arial" w:eastAsia="宋体" w:cs="Arial"/>
          <w:b/>
          <w:color w:val="auto"/>
          <w:kern w:val="0"/>
          <w:sz w:val="24"/>
          <w:highlight w:val="none"/>
        </w:rPr>
      </w:pPr>
      <w:r>
        <w:rPr>
          <w:rFonts w:hint="eastAsia" w:ascii="Arial" w:hAnsi="Arial" w:eastAsia="宋体" w:cs="Arial"/>
          <w:b/>
          <w:color w:val="auto"/>
          <w:kern w:val="0"/>
          <w:sz w:val="24"/>
          <w:highlight w:val="none"/>
        </w:rPr>
        <w:br w:type="page"/>
      </w:r>
    </w:p>
    <w:p w14:paraId="791613B2">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C分标：2026年桂林医科大学护理学院教学实验仪器采购</w:t>
      </w:r>
    </w:p>
    <w:p w14:paraId="374B34F9">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4072C914">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687ABA75">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62718958">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65A396A5">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4D3B3BF0">
      <w:pPr>
        <w:adjustRightInd w:val="0"/>
        <w:snapToGrid w:val="0"/>
        <w:spacing w:line="360" w:lineRule="auto"/>
        <w:rPr>
          <w:rFonts w:hint="eastAsia" w:eastAsia="宋体"/>
          <w:color w:val="auto"/>
          <w:highlight w:val="none"/>
          <w:lang w:val="en-US" w:eastAsia="zh-CN"/>
        </w:rPr>
      </w:pPr>
      <w:r>
        <w:rPr>
          <w:rFonts w:ascii="Arial" w:hAnsi="Arial" w:cs="Arial"/>
          <w:b/>
          <w:bCs/>
          <w:color w:val="auto"/>
          <w:szCs w:val="21"/>
          <w:highlight w:val="none"/>
        </w:rPr>
        <w:t>核心产品为：</w:t>
      </w:r>
      <w:r>
        <w:rPr>
          <w:rFonts w:hint="eastAsia" w:ascii="Arial" w:hAnsi="Arial" w:cs="Arial"/>
          <w:b/>
          <w:bCs/>
          <w:color w:val="auto"/>
          <w:szCs w:val="21"/>
          <w:highlight w:val="none"/>
        </w:rPr>
        <w:t>序号5孕妇腹部触诊模型</w:t>
      </w:r>
    </w:p>
    <w:p w14:paraId="51E04067">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127DE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0113E6BD">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911" w:type="dxa"/>
            <w:noWrap w:val="0"/>
            <w:vAlign w:val="center"/>
          </w:tcPr>
          <w:p w14:paraId="46796668">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货物名称</w:t>
            </w:r>
          </w:p>
        </w:tc>
        <w:tc>
          <w:tcPr>
            <w:tcW w:w="582" w:type="dxa"/>
            <w:noWrap w:val="0"/>
            <w:vAlign w:val="center"/>
          </w:tcPr>
          <w:p w14:paraId="10DFCC87">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数量</w:t>
            </w:r>
          </w:p>
        </w:tc>
        <w:tc>
          <w:tcPr>
            <w:tcW w:w="686" w:type="dxa"/>
            <w:noWrap w:val="0"/>
            <w:vAlign w:val="center"/>
          </w:tcPr>
          <w:p w14:paraId="74806445">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计量单位</w:t>
            </w:r>
          </w:p>
        </w:tc>
        <w:tc>
          <w:tcPr>
            <w:tcW w:w="754" w:type="dxa"/>
            <w:noWrap w:val="0"/>
            <w:vAlign w:val="center"/>
          </w:tcPr>
          <w:p w14:paraId="76CCD67C">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所属行业</w:t>
            </w:r>
          </w:p>
        </w:tc>
        <w:tc>
          <w:tcPr>
            <w:tcW w:w="6448" w:type="dxa"/>
            <w:tcBorders>
              <w:left w:val="single" w:color="auto" w:sz="4" w:space="0"/>
              <w:right w:val="single" w:color="auto" w:sz="4" w:space="0"/>
            </w:tcBorders>
            <w:noWrap w:val="0"/>
            <w:vAlign w:val="center"/>
          </w:tcPr>
          <w:p w14:paraId="73DA6584">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技术指标要求</w:t>
            </w:r>
          </w:p>
        </w:tc>
      </w:tr>
      <w:tr w14:paraId="7F6C2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EEC8E9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p>
        </w:tc>
        <w:tc>
          <w:tcPr>
            <w:tcW w:w="911" w:type="dxa"/>
            <w:noWrap w:val="0"/>
            <w:vAlign w:val="center"/>
          </w:tcPr>
          <w:p w14:paraId="5F790D7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静脉曲张疏通仪器 </w:t>
            </w:r>
          </w:p>
        </w:tc>
        <w:tc>
          <w:tcPr>
            <w:tcW w:w="582" w:type="dxa"/>
            <w:noWrap w:val="0"/>
            <w:vAlign w:val="center"/>
          </w:tcPr>
          <w:p w14:paraId="786EDC5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6F92B6E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756C1F2E">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7F3312A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一、压力控制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压力范围：0mmHg-160mmHg可调，误差：±5mmHg；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控制精度：±3kPa 以内；</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显示单位：可切换 kPa/mmHg；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 梯度压力：支持 “远心端向近心端递减”，防止静脉逆流、保护静脉瓣膜。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二、治疗模式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必含模式：深静脉血栓预防模式、消水肿模式；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扩展模式：动脉模式、持续加压模式、序贯充气模式等；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自定义功能：可设置多段压力、时间、充气顺序。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三、气室与充气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气室数量：≥6 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输出路数：双路输出，可同时连接 4 个 6 腔气囊；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充气速度：7-14 秒 / 腔，步长 1 秒可调；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 特殊功能：支持 “单腔零压力设置”（肢体有创面时保护）。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四、时间控制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治疗时间：5-99 分钟连续可调。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五、人机交互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屏幕：≥4.3 英寸彩色 LCD 触屏，图形化显示压力值、模式、剩余时间；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操作：支持 “一键启动”“参数记忆”。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六、配置要求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.1台医用级主机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2.下肢六腔气囊（拉链套筒式，S/M/L 码，复用型）；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3.上肢六腔气囊（拉链套筒式）：1 套（若需上肢辅助治疗）；</w:t>
            </w:r>
          </w:p>
        </w:tc>
      </w:tr>
      <w:tr w14:paraId="23826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125C3D7">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11" w:type="dxa"/>
            <w:noWrap w:val="0"/>
            <w:vAlign w:val="center"/>
          </w:tcPr>
          <w:p w14:paraId="63BE8A4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新生婴儿安妮</w:t>
            </w:r>
          </w:p>
        </w:tc>
        <w:tc>
          <w:tcPr>
            <w:tcW w:w="582" w:type="dxa"/>
            <w:noWrap w:val="0"/>
            <w:vAlign w:val="center"/>
          </w:tcPr>
          <w:p w14:paraId="5A7ABE1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F1BCF8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具</w:t>
            </w:r>
          </w:p>
        </w:tc>
        <w:tc>
          <w:tcPr>
            <w:tcW w:w="754" w:type="dxa"/>
            <w:noWrap w:val="0"/>
            <w:vAlign w:val="center"/>
          </w:tcPr>
          <w:p w14:paraId="51015351">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top"/>
          </w:tcPr>
          <w:p w14:paraId="49AF3D18">
            <w:pPr>
              <w:keepNext w:val="0"/>
              <w:keepLines w:val="0"/>
              <w:widowControl/>
              <w:suppressLineNumbers w:val="0"/>
              <w:jc w:val="left"/>
              <w:textAlignment w:val="top"/>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r>
              <w:rPr>
                <w:rFonts w:hint="eastAsia"/>
                <w:color w:val="auto"/>
                <w:highlight w:val="none"/>
                <w:lang w:val="en-US" w:eastAsia="zh-CN"/>
              </w:rPr>
              <w:t>高度还原</w:t>
            </w:r>
            <w:r>
              <w:rPr>
                <w:rFonts w:hint="default" w:ascii="Arial" w:hAnsi="Arial" w:eastAsia="宋体" w:cs="Arial"/>
                <w:i w:val="0"/>
                <w:iCs w:val="0"/>
                <w:color w:val="auto"/>
                <w:kern w:val="0"/>
                <w:sz w:val="21"/>
                <w:szCs w:val="21"/>
                <w:highlight w:val="none"/>
                <w:u w:val="none"/>
                <w:lang w:val="en-US" w:eastAsia="zh-CN" w:bidi="ar"/>
              </w:rPr>
              <w:t>一个40周的足月新生儿。身长21英寸(51厘米)，体重7磅 (3.5公斤)。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2.可以进行新生儿心肺复苏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3.具有精确的解剖结构，包括气道、声门、声带、下颌等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4.可行气管插管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5.可模拟胎粪致气道阻塞</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6.气道设计能够进行各种新生儿气道管理培训，包括使用正压通气装置、口/鼻咽通气道、气管插管、喉罩及喉镜置入等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7.可经鼻/口置入ET管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8.可右主支插管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9.气管置管位置错误，通气可见腹部胀气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10.通气可以看见单侧或者双侧胸部起伏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11.可行单侧胸腔穿刺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12.脐带可夹紧、捆绑、切割、缝合、插入导管及触诊脉搏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13.具有脐动脉搏动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14.脐带具有静脉和动脉通路，可给药，可模拟插管回血</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15.双腿均可行骨髓穿刺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16.瞳孔可以选择正常、变大、缩小（选配）</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17.四肢关节灵活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18.有胃结构，可以训练胃管插入</w:t>
            </w:r>
          </w:p>
        </w:tc>
      </w:tr>
      <w:tr w14:paraId="2804C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D1995B4">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3</w:t>
            </w:r>
          </w:p>
        </w:tc>
        <w:tc>
          <w:tcPr>
            <w:tcW w:w="911" w:type="dxa"/>
            <w:noWrap w:val="0"/>
            <w:vAlign w:val="center"/>
          </w:tcPr>
          <w:p w14:paraId="55D7C9C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高级孕妇模拟体验套装</w:t>
            </w:r>
          </w:p>
        </w:tc>
        <w:tc>
          <w:tcPr>
            <w:tcW w:w="582" w:type="dxa"/>
            <w:noWrap w:val="0"/>
            <w:vAlign w:val="center"/>
          </w:tcPr>
          <w:p w14:paraId="704B2CA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3C46CAD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具</w:t>
            </w:r>
          </w:p>
        </w:tc>
        <w:tc>
          <w:tcPr>
            <w:tcW w:w="754" w:type="dxa"/>
            <w:noWrap w:val="0"/>
            <w:vAlign w:val="center"/>
          </w:tcPr>
          <w:p w14:paraId="0E8CA836">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A7CE9D7">
            <w:pPr>
              <w:pStyle w:val="17"/>
              <w:numPr>
                <w:ilvl w:val="0"/>
                <w:numId w:val="1"/>
              </w:numPr>
              <w:rPr>
                <w:rFonts w:ascii="Segoe UI" w:hAnsi="Segoe UI" w:eastAsia="Segoe UI" w:cs="Segoe UI"/>
                <w:i w:val="0"/>
                <w:iCs w:val="0"/>
                <w:caps w:val="0"/>
                <w:color w:val="auto"/>
                <w:spacing w:val="0"/>
                <w:sz w:val="22"/>
                <w:szCs w:val="22"/>
                <w:highlight w:val="none"/>
              </w:rPr>
            </w:pPr>
            <w:r>
              <w:rPr>
                <w:rFonts w:ascii="Segoe UI" w:hAnsi="Segoe UI" w:eastAsia="Segoe UI" w:cs="Segoe UI"/>
                <w:i w:val="0"/>
                <w:iCs w:val="0"/>
                <w:caps w:val="0"/>
                <w:color w:val="auto"/>
                <w:spacing w:val="0"/>
                <w:sz w:val="22"/>
                <w:szCs w:val="22"/>
                <w:highlight w:val="none"/>
              </w:rPr>
              <w:t>适用佩戴人群：产品应适用于身高 155cm～165cm 的亚洲女性佩戴；同时应支持男性体验者正常佩戴，佩戴无结构干涉、无佩戴限位；</w:t>
            </w:r>
          </w:p>
          <w:p w14:paraId="4E2E3A6D">
            <w:pPr>
              <w:pStyle w:val="17"/>
              <w:numPr>
                <w:ilvl w:val="0"/>
                <w:numId w:val="1"/>
              </w:numPr>
              <w:ind w:left="0" w:leftChars="0" w:firstLine="0" w:firstLineChars="0"/>
              <w:rPr>
                <w:rFonts w:ascii="Segoe UI" w:hAnsi="Segoe UI" w:eastAsia="Segoe UI" w:cs="Segoe UI"/>
                <w:i w:val="0"/>
                <w:iCs w:val="0"/>
                <w:caps w:val="0"/>
                <w:color w:val="auto"/>
                <w:spacing w:val="0"/>
                <w:sz w:val="22"/>
                <w:szCs w:val="22"/>
                <w:highlight w:val="none"/>
              </w:rPr>
            </w:pPr>
            <w:r>
              <w:rPr>
                <w:rFonts w:ascii="Segoe UI" w:hAnsi="Segoe UI" w:eastAsia="Segoe UI" w:cs="Segoe UI"/>
                <w:i w:val="0"/>
                <w:iCs w:val="0"/>
                <w:caps w:val="0"/>
                <w:color w:val="auto"/>
                <w:spacing w:val="0"/>
                <w:sz w:val="22"/>
                <w:szCs w:val="22"/>
                <w:highlight w:val="none"/>
              </w:rPr>
              <w:t>穿戴结构：主体材料应为无缝、紧致、可贴合外衣的材质，表面摩擦系数适中，穿戴后不应明显移位。肩带应为可调节结构，调节范围应覆盖上述身高及不同体态；</w:t>
            </w:r>
          </w:p>
          <w:p w14:paraId="60D083A5">
            <w:pPr>
              <w:pStyle w:val="17"/>
              <w:numPr>
                <w:ilvl w:val="0"/>
                <w:numId w:val="0"/>
              </w:numPr>
              <w:ind w:leftChars="0"/>
              <w:rPr>
                <w:rFonts w:ascii="Segoe UI" w:hAnsi="Segoe UI" w:eastAsia="Segoe UI" w:cs="Segoe UI"/>
                <w:i w:val="0"/>
                <w:iCs w:val="0"/>
                <w:caps w:val="0"/>
                <w:color w:val="auto"/>
                <w:spacing w:val="0"/>
                <w:sz w:val="22"/>
                <w:szCs w:val="22"/>
                <w:highlight w:val="none"/>
              </w:rPr>
            </w:pPr>
            <w:r>
              <w:rPr>
                <w:rFonts w:ascii="Segoe UI" w:hAnsi="Segoe UI" w:eastAsia="Segoe UI" w:cs="Segoe UI"/>
                <w:i w:val="0"/>
                <w:iCs w:val="0"/>
                <w:caps w:val="0"/>
                <w:color w:val="auto"/>
                <w:spacing w:val="0"/>
                <w:sz w:val="22"/>
                <w:szCs w:val="22"/>
                <w:highlight w:val="none"/>
              </w:rPr>
              <w:t xml:space="preserve"> 3.填充物料：腹部填充物应包含聚氨酯橡胶凝胶和铁颗粒两种材料，所有直接接触皮肤的材料无毒无刺激，人体接触安全性达标；</w:t>
            </w:r>
          </w:p>
          <w:p w14:paraId="100CF5ED">
            <w:pPr>
              <w:pStyle w:val="17"/>
              <w:rPr>
                <w:rFonts w:ascii="Segoe UI" w:hAnsi="Segoe UI" w:eastAsia="Segoe UI" w:cs="Segoe UI"/>
                <w:i w:val="0"/>
                <w:iCs w:val="0"/>
                <w:caps w:val="0"/>
                <w:color w:val="auto"/>
                <w:spacing w:val="0"/>
                <w:sz w:val="22"/>
                <w:szCs w:val="22"/>
                <w:highlight w:val="none"/>
              </w:rPr>
            </w:pPr>
            <w:r>
              <w:rPr>
                <w:rFonts w:hint="eastAsia" w:ascii="Segoe UI" w:hAnsi="Segoe UI" w:eastAsia="宋体" w:cs="Segoe UI"/>
                <w:i w:val="0"/>
                <w:iCs w:val="0"/>
                <w:caps w:val="0"/>
                <w:color w:val="auto"/>
                <w:spacing w:val="0"/>
                <w:sz w:val="22"/>
                <w:szCs w:val="22"/>
                <w:highlight w:val="none"/>
                <w:lang w:val="en-US" w:eastAsia="zh-CN"/>
              </w:rPr>
              <w:t>4.</w:t>
            </w:r>
            <w:r>
              <w:rPr>
                <w:rFonts w:ascii="Segoe UI" w:hAnsi="Segoe UI" w:eastAsia="Segoe UI" w:cs="Segoe UI"/>
                <w:i w:val="0"/>
                <w:iCs w:val="0"/>
                <w:caps w:val="0"/>
                <w:color w:val="auto"/>
                <w:spacing w:val="0"/>
                <w:sz w:val="22"/>
                <w:szCs w:val="22"/>
                <w:highlight w:val="none"/>
              </w:rPr>
              <w:t>配重调节结构：含铁颗粒配重袋采用尼龙魔术贴绑带模块化固定；配重组件支持自由增减装配，整机佩戴重量可线性调节，；</w:t>
            </w:r>
            <w:r>
              <w:rPr>
                <w:rFonts w:hint="eastAsia"/>
                <w:color w:val="auto"/>
                <w:highlight w:val="none"/>
              </w:rPr>
              <w:t>需内置可增减式配重沙袋，支持重量自由调节，可精准模拟人体妊娠8个月至9个月不同阶段的腹部负重状态，满足分阶段孕期体验实训需求。</w:t>
            </w:r>
          </w:p>
          <w:p w14:paraId="620C2C98">
            <w:pPr>
              <w:pStyle w:val="17"/>
              <w:numPr>
                <w:ilvl w:val="0"/>
                <w:numId w:val="0"/>
              </w:numPr>
              <w:ind w:leftChars="0"/>
              <w:rPr>
                <w:rFonts w:hint="default" w:ascii="Arial" w:hAnsi="Arial" w:eastAsia="宋体" w:cs="Arial"/>
                <w:color w:val="auto"/>
                <w:kern w:val="2"/>
                <w:sz w:val="21"/>
                <w:szCs w:val="21"/>
                <w:highlight w:val="none"/>
                <w:lang w:val="en-US" w:eastAsia="zh-CN" w:bidi="ar-SA"/>
              </w:rPr>
            </w:pPr>
            <w:r>
              <w:rPr>
                <w:rFonts w:ascii="Segoe UI" w:hAnsi="Segoe UI" w:eastAsia="Segoe UI" w:cs="Segoe UI"/>
                <w:i w:val="0"/>
                <w:iCs w:val="0"/>
                <w:caps w:val="0"/>
                <w:color w:val="auto"/>
                <w:spacing w:val="0"/>
                <w:sz w:val="22"/>
                <w:szCs w:val="22"/>
                <w:highlight w:val="none"/>
              </w:rPr>
              <w:t>5.腹部外观与触感：腹部外型应模拟妊娠期腹部自然轮廓，表面肌理、软硬度、回弹触感接近真实人体腹部组织，仿生贴合度满足现场感官验收标准；内部采用聚氨酯橡胶凝胶填充，应具备模拟胎儿及羊水的形态效果。</w:t>
            </w:r>
          </w:p>
        </w:tc>
      </w:tr>
      <w:tr w14:paraId="3C7AA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F7769EE">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911" w:type="dxa"/>
            <w:noWrap w:val="0"/>
            <w:vAlign w:val="center"/>
          </w:tcPr>
          <w:p w14:paraId="672335C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妇科检查训练模型</w:t>
            </w:r>
          </w:p>
        </w:tc>
        <w:tc>
          <w:tcPr>
            <w:tcW w:w="582" w:type="dxa"/>
            <w:noWrap w:val="0"/>
            <w:vAlign w:val="center"/>
          </w:tcPr>
          <w:p w14:paraId="79FA76C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4</w:t>
            </w:r>
          </w:p>
        </w:tc>
        <w:tc>
          <w:tcPr>
            <w:tcW w:w="686" w:type="dxa"/>
            <w:noWrap w:val="0"/>
            <w:vAlign w:val="center"/>
          </w:tcPr>
          <w:p w14:paraId="6B92FCF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具</w:t>
            </w:r>
          </w:p>
        </w:tc>
        <w:tc>
          <w:tcPr>
            <w:tcW w:w="754" w:type="dxa"/>
            <w:noWrap w:val="0"/>
            <w:vAlign w:val="center"/>
          </w:tcPr>
          <w:p w14:paraId="60598164">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779D79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1、模型表现成人下腹部躯干至大腿上段，模拟截石体位；</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2、专门用于妇科检查技能训练，包含：双合诊检查、内窥镜使用、巴氏涂片检查、识别宫颈病变、模拟导尿、直肠栓剂放置；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3、模型具有准确的解剖结构，可以清晰的观察骨盆轮廓，包含：坐骨棘、耻骨、骶骨、部分椎骨，以及尿道口、阴道、阴道皱襞、卵巢；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4、采用对向安装方式更换宫颈和子宫模块，包含正常或病理性子宫、宫颈；</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5、模型腹壁采用高品质硅胶材质，触感体验接近真实，透过腹壁可以清晰感受子宫形态及位置；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6、模型外阴与阴道为一体式设计，有效防止了会阴容易撕裂的问题，保证模型的耐用性，在使用窥阴器进行阴道检查时，可以准确的将检查器械放置在模型阴道内，避免阴道错位或空间过大造成的操作失误；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7、至少包含24种不同表现；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8、模型具有真实的骨盆结构，操作难度可以调节，导师可根据训练需求增加难度；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9、具有模拟膀胱，可以使用14Fr导尿管模拟练习导尿操作；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10、提供6种宫颈，包含：未经分娩的正常宫颈、经分娩的宫颈、宫颈糜烂（外翻）、宫颈非典型增生、宫颈癌和筒状癌；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11、提供4种子宫，包含：正常子宫、双角子宫、被拉伸的子宫，妊娠子宫；</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12、子宫外壁有模拟肿瘤，并且可以拆卸，根据训练要求能够模拟疾病的不同发展阶段；</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13、通过调节连接子宫的韧带，可以模拟子宫的前倾、后倾；</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14、腹部及会阴部皮肤采用隐形搭扣的方式与模型相连，保证外观完整性，易于清洁；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15、模型设置便捷，在很短的时间内便可以重复训练；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16、规格：7.7kg</w:t>
            </w:r>
            <w:r>
              <w:rPr>
                <w:rFonts w:hint="eastAsia" w:ascii="宋体" w:hAnsi="宋体" w:eastAsia="宋体" w:cs="宋体"/>
                <w:color w:val="auto"/>
                <w:highlight w:val="none"/>
              </w:rPr>
              <w:t>±</w:t>
            </w:r>
            <w:r>
              <w:rPr>
                <w:rFonts w:hint="eastAsia" w:eastAsia="宋体"/>
                <w:color w:val="auto"/>
                <w:highlight w:val="none"/>
                <w:lang w:val="en-US" w:eastAsia="zh-CN"/>
              </w:rPr>
              <w:t>0.5k</w:t>
            </w:r>
            <w:r>
              <w:rPr>
                <w:rFonts w:hint="eastAsia"/>
                <w:color w:val="auto"/>
                <w:highlight w:val="none"/>
              </w:rPr>
              <w:t>g</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17、具有QR码的智能标签，提供交互式虚拟模型，为</w:t>
            </w:r>
            <w:r>
              <w:rPr>
                <w:rFonts w:hint="eastAsia" w:ascii="Arial" w:hAnsi="Arial" w:cs="Arial"/>
                <w:i w:val="0"/>
                <w:iCs w:val="0"/>
                <w:color w:val="auto"/>
                <w:kern w:val="0"/>
                <w:sz w:val="21"/>
                <w:szCs w:val="21"/>
                <w:highlight w:val="none"/>
                <w:u w:val="none"/>
                <w:lang w:val="en-US" w:eastAsia="zh-CN" w:bidi="ar"/>
              </w:rPr>
              <w:t>采购人</w:t>
            </w:r>
            <w:r>
              <w:rPr>
                <w:rFonts w:hint="default" w:ascii="Arial" w:hAnsi="Arial" w:eastAsia="宋体" w:cs="Arial"/>
                <w:i w:val="0"/>
                <w:iCs w:val="0"/>
                <w:color w:val="auto"/>
                <w:kern w:val="0"/>
                <w:sz w:val="21"/>
                <w:szCs w:val="21"/>
                <w:highlight w:val="none"/>
                <w:u w:val="none"/>
                <w:lang w:val="en-US" w:eastAsia="zh-CN" w:bidi="ar"/>
              </w:rPr>
              <w:t>创建前所未有的逼真和高分辨率内容，可随时随地在智能手机，平板电脑上直接访问App，苹果或安卓系统兼容。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18、App具有集成功能，建立电子学习库，每个被集成的模型具有多个视图模式，查看完整或局部。支持快速搜索和定位，可以使用画笔自由标记重点，及添加注释标签，针对重点知识能够进行随堂考核。</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19、具有AR增强现实功能，可在任意环境下投放，并自由旋转数字模型，支持放大和缩小。</w:t>
            </w:r>
          </w:p>
        </w:tc>
      </w:tr>
      <w:tr w14:paraId="2C7FD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FAF0EAA">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5</w:t>
            </w:r>
          </w:p>
        </w:tc>
        <w:tc>
          <w:tcPr>
            <w:tcW w:w="911" w:type="dxa"/>
            <w:noWrap w:val="0"/>
            <w:vAlign w:val="center"/>
          </w:tcPr>
          <w:p w14:paraId="31515C05">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孕妇腹部触诊模型</w:t>
            </w:r>
          </w:p>
        </w:tc>
        <w:tc>
          <w:tcPr>
            <w:tcW w:w="582" w:type="dxa"/>
            <w:noWrap w:val="0"/>
            <w:vAlign w:val="center"/>
          </w:tcPr>
          <w:p w14:paraId="23EFF00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2F57F5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具</w:t>
            </w:r>
          </w:p>
        </w:tc>
        <w:tc>
          <w:tcPr>
            <w:tcW w:w="754" w:type="dxa"/>
            <w:noWrap w:val="0"/>
            <w:vAlign w:val="center"/>
          </w:tcPr>
          <w:p w14:paraId="3CCD6AA5">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E29529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1.高分子聚合材料，定形准确，表皮与真人皮肤很相似，可给受训人员提供很真实的培训经验。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2.可行四步触诊，真实骨盆外测量，胎心监护。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可进行乳房护理。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4.带有压力调节器，可精确设定子宫内的空气容量，使胎儿和母亲模拟的更为逼真。</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 进行腹部触诊时，可监测学员操作对孕妇腹部的压力值，以评估学员操作的准确性。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 内置式扩音器，胎心音频率和音量可调节，胎心音可从扩音器中播放。</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7.胎心音可直接从孕妇腹部通过听诊器进行听诊。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8.须有标准和难产胎位垫，可模拟标准和难产胎位的触摸练习。</w:t>
            </w:r>
          </w:p>
        </w:tc>
      </w:tr>
      <w:tr w14:paraId="4D807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BFAFD9B">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6</w:t>
            </w:r>
          </w:p>
        </w:tc>
        <w:tc>
          <w:tcPr>
            <w:tcW w:w="911" w:type="dxa"/>
            <w:noWrap w:val="0"/>
            <w:vAlign w:val="center"/>
          </w:tcPr>
          <w:p w14:paraId="70863CF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布艺骨盆与布艺娃娃套装</w:t>
            </w:r>
          </w:p>
        </w:tc>
        <w:tc>
          <w:tcPr>
            <w:tcW w:w="582" w:type="dxa"/>
            <w:noWrap w:val="0"/>
            <w:vAlign w:val="center"/>
          </w:tcPr>
          <w:p w14:paraId="3D98755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8</w:t>
            </w:r>
          </w:p>
        </w:tc>
        <w:tc>
          <w:tcPr>
            <w:tcW w:w="686" w:type="dxa"/>
            <w:noWrap w:val="0"/>
            <w:vAlign w:val="center"/>
          </w:tcPr>
          <w:p w14:paraId="41A3A84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具</w:t>
            </w:r>
          </w:p>
        </w:tc>
        <w:tc>
          <w:tcPr>
            <w:tcW w:w="754" w:type="dxa"/>
            <w:noWrap w:val="0"/>
            <w:vAlign w:val="center"/>
          </w:tcPr>
          <w:p w14:paraId="39F2FF61">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91AC7F1">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布艺模型，内填充珍珠棉，可洗涤。</w:t>
            </w:r>
          </w:p>
          <w:p w14:paraId="727BE5E6">
            <w:pPr>
              <w:keepNext w:val="0"/>
              <w:keepLines w:val="0"/>
              <w:widowControl/>
              <w:suppressLineNumbers w:val="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模型由三部分组成，分别为婴儿模型、胎盘模型、骨盆模型，模型婴儿身长 45cm,初生婴儿大小比例。有凸出的肚脐</w:t>
            </w:r>
            <w:r>
              <w:rPr>
                <w:rFonts w:hint="eastAsia" w:ascii="Arial" w:hAnsi="Arial" w:cs="Arial"/>
                <w:i w:val="0"/>
                <w:iCs w:val="0"/>
                <w:color w:val="auto"/>
                <w:kern w:val="0"/>
                <w:sz w:val="21"/>
                <w:szCs w:val="21"/>
                <w:highlight w:val="none"/>
                <w:u w:val="none"/>
                <w:lang w:val="en-US" w:eastAsia="zh-CN" w:bidi="ar"/>
              </w:rPr>
              <w:t>。</w:t>
            </w:r>
          </w:p>
          <w:p w14:paraId="7E1F083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1.供医学教育包括月嫂、育婴师、准妈妈、妇产科护士、助产士学校教学之用。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2.模拟新生儿娃娃，可摆放各种体位。新生儿头部为塑料材质，身体为软布材质,头部与四肢能活动(关节不能活动)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3.新生儿附有脐带和胎盘，脐带与胎盘，新生儿与脐带均可连接和分离。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4.可作妇婴卫生、婴儿保健的宣教用具。</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5.模型可在骨盆内灵活转动,在临床教学中可提供学生做各种探作，如各种产式的分娩机转，初生儿处理，本产品可为婴儿更换衣物和尿片以及作为脐部处理 眼耳护理和哺乳训练等的示教工具</w:t>
            </w:r>
          </w:p>
        </w:tc>
      </w:tr>
      <w:tr w14:paraId="1C21B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EFBB49E">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7</w:t>
            </w:r>
          </w:p>
        </w:tc>
        <w:tc>
          <w:tcPr>
            <w:tcW w:w="911" w:type="dxa"/>
            <w:noWrap w:val="0"/>
            <w:vAlign w:val="center"/>
          </w:tcPr>
          <w:p w14:paraId="46B5994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婴儿头皮静脉注射模型</w:t>
            </w:r>
          </w:p>
        </w:tc>
        <w:tc>
          <w:tcPr>
            <w:tcW w:w="582" w:type="dxa"/>
            <w:noWrap w:val="0"/>
            <w:vAlign w:val="center"/>
          </w:tcPr>
          <w:p w14:paraId="1B41A2E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8</w:t>
            </w:r>
          </w:p>
        </w:tc>
        <w:tc>
          <w:tcPr>
            <w:tcW w:w="686" w:type="dxa"/>
            <w:noWrap w:val="0"/>
            <w:vAlign w:val="center"/>
          </w:tcPr>
          <w:p w14:paraId="3A030FB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220FED3C">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9B59B4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1.可进行头部颞侧及颈部的静脉注射、输液练习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该模型PVC加硅胶，质地柔软，有弹性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3.有真实的进针刺破感</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 可更换皮肤和血管</w:t>
            </w:r>
          </w:p>
        </w:tc>
      </w:tr>
      <w:tr w14:paraId="4FFF7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6C2A1A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8</w:t>
            </w:r>
          </w:p>
        </w:tc>
        <w:tc>
          <w:tcPr>
            <w:tcW w:w="911" w:type="dxa"/>
            <w:noWrap w:val="0"/>
            <w:vAlign w:val="center"/>
          </w:tcPr>
          <w:p w14:paraId="45B7858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高级新生儿护理模拟人(男婴) Pro版</w:t>
            </w:r>
          </w:p>
        </w:tc>
        <w:tc>
          <w:tcPr>
            <w:tcW w:w="582" w:type="dxa"/>
            <w:noWrap w:val="0"/>
            <w:vAlign w:val="center"/>
          </w:tcPr>
          <w:p w14:paraId="08ED614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59C3B96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76C7E9E8">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E777F75">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1.逼真的男婴模型，身长45cm±2cm，形态逼真，质感真实。</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2.可清晰触及前后囟门、冠状缝、矢状缝，男婴阴囊内有逼真的睾丸。</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3.真实新生儿体重，体重约为2.5KG。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4.耳廓柔软，可以反折，盖住外耳道。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5.果冻胶填充。</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6.新生儿精神状态、面色的观察。</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7.眼睛护理。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8.鼻腔护理。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9.外耳道护理。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10.换尿布：实现臀部护理。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11.新生儿抱持、包裹。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12.洗浴，有真实的皮肤皱褶，浴后可在颈、腋、腹股沟等部位敷爽身粉。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13.脐部护理，脐带可摘下，模拟脐带脱落前后的护理。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14.测量身长、体重、测量胸围、腹围、头围。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15.皮肤护理。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16.体温测量：可行经肛门、经口测量。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17.睾丸检查：可触及阴囊内的睾丸。</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18.灌肠练习。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19.约束法的护理练习。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20.</w:t>
            </w:r>
            <w:r>
              <w:rPr>
                <w:rFonts w:hint="eastAsia" w:ascii="Arial" w:hAnsi="Arial" w:cs="Arial"/>
                <w:i w:val="0"/>
                <w:iCs w:val="0"/>
                <w:color w:val="auto"/>
                <w:kern w:val="0"/>
                <w:sz w:val="21"/>
                <w:szCs w:val="21"/>
                <w:highlight w:val="none"/>
                <w:u w:val="none"/>
                <w:lang w:val="en-US" w:eastAsia="zh-CN" w:bidi="ar"/>
              </w:rPr>
              <w:t>采购人</w:t>
            </w:r>
            <w:r>
              <w:rPr>
                <w:rFonts w:hint="default" w:ascii="Arial" w:hAnsi="Arial" w:eastAsia="宋体" w:cs="Arial"/>
                <w:i w:val="0"/>
                <w:iCs w:val="0"/>
                <w:color w:val="auto"/>
                <w:kern w:val="0"/>
                <w:sz w:val="21"/>
                <w:szCs w:val="21"/>
                <w:highlight w:val="none"/>
                <w:u w:val="none"/>
                <w:lang w:val="en-US" w:eastAsia="zh-CN" w:bidi="ar"/>
              </w:rPr>
              <w:t>可通过“应用商店”自行下载手机ＡＰＰ。云平台服务：提供产品常见问题和解答，帮助</w:t>
            </w:r>
            <w:r>
              <w:rPr>
                <w:rFonts w:hint="eastAsia" w:ascii="Arial" w:hAnsi="Arial" w:cs="Arial"/>
                <w:i w:val="0"/>
                <w:iCs w:val="0"/>
                <w:color w:val="auto"/>
                <w:kern w:val="0"/>
                <w:sz w:val="21"/>
                <w:szCs w:val="21"/>
                <w:highlight w:val="none"/>
                <w:u w:val="none"/>
                <w:lang w:val="en-US" w:eastAsia="zh-CN" w:bidi="ar"/>
              </w:rPr>
              <w:t>采购人</w:t>
            </w:r>
            <w:r>
              <w:rPr>
                <w:rFonts w:hint="default" w:ascii="Arial" w:hAnsi="Arial" w:eastAsia="宋体" w:cs="Arial"/>
                <w:i w:val="0"/>
                <w:iCs w:val="0"/>
                <w:color w:val="auto"/>
                <w:kern w:val="0"/>
                <w:sz w:val="21"/>
                <w:szCs w:val="21"/>
                <w:highlight w:val="none"/>
                <w:u w:val="none"/>
                <w:lang w:val="en-US" w:eastAsia="zh-CN" w:bidi="ar"/>
              </w:rPr>
              <w:t>自行处理简单问题，</w:t>
            </w:r>
            <w:r>
              <w:rPr>
                <w:rFonts w:hint="eastAsia" w:ascii="Arial" w:hAnsi="Arial" w:cs="Arial"/>
                <w:i w:val="0"/>
                <w:iCs w:val="0"/>
                <w:color w:val="auto"/>
                <w:kern w:val="0"/>
                <w:sz w:val="21"/>
                <w:szCs w:val="21"/>
                <w:highlight w:val="none"/>
                <w:u w:val="none"/>
                <w:lang w:val="en-US" w:eastAsia="zh-CN" w:bidi="ar"/>
              </w:rPr>
              <w:t>采购人</w:t>
            </w:r>
            <w:r>
              <w:rPr>
                <w:rFonts w:hint="default" w:ascii="Arial" w:hAnsi="Arial" w:eastAsia="宋体" w:cs="Arial"/>
                <w:i w:val="0"/>
                <w:iCs w:val="0"/>
                <w:color w:val="auto"/>
                <w:kern w:val="0"/>
                <w:sz w:val="21"/>
                <w:szCs w:val="21"/>
                <w:highlight w:val="none"/>
                <w:u w:val="none"/>
                <w:lang w:val="en-US" w:eastAsia="zh-CN" w:bidi="ar"/>
              </w:rPr>
              <w:t>可向通过平台向厂家直接反馈产品问题。（</w:t>
            </w:r>
            <w:r>
              <w:rPr>
                <w:rFonts w:hint="eastAsia" w:ascii="Arial" w:hAnsi="Arial" w:cs="Arial"/>
                <w:i w:val="0"/>
                <w:iCs w:val="0"/>
                <w:color w:val="auto"/>
                <w:kern w:val="0"/>
                <w:sz w:val="21"/>
                <w:szCs w:val="21"/>
                <w:highlight w:val="none"/>
                <w:u w:val="none"/>
                <w:lang w:val="en-US" w:eastAsia="zh-CN" w:bidi="ar"/>
              </w:rPr>
              <w:t>投标文件</w:t>
            </w:r>
            <w:r>
              <w:rPr>
                <w:rFonts w:hint="default" w:ascii="Arial" w:hAnsi="Arial" w:eastAsia="宋体" w:cs="Arial"/>
                <w:i w:val="0"/>
                <w:iCs w:val="0"/>
                <w:color w:val="auto"/>
                <w:kern w:val="0"/>
                <w:sz w:val="21"/>
                <w:szCs w:val="21"/>
                <w:highlight w:val="none"/>
                <w:u w:val="none"/>
                <w:lang w:val="en-US" w:eastAsia="zh-CN" w:bidi="ar"/>
              </w:rPr>
              <w:t>提供功能截图证明）</w:t>
            </w:r>
          </w:p>
        </w:tc>
      </w:tr>
      <w:tr w14:paraId="36A83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F0ABFC1">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9</w:t>
            </w:r>
          </w:p>
        </w:tc>
        <w:tc>
          <w:tcPr>
            <w:tcW w:w="911" w:type="dxa"/>
            <w:noWrap w:val="0"/>
            <w:vAlign w:val="center"/>
          </w:tcPr>
          <w:p w14:paraId="40DCD42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高级新生儿护理模拟人(女婴) Pro版</w:t>
            </w:r>
          </w:p>
        </w:tc>
        <w:tc>
          <w:tcPr>
            <w:tcW w:w="582" w:type="dxa"/>
            <w:noWrap w:val="0"/>
            <w:vAlign w:val="center"/>
          </w:tcPr>
          <w:p w14:paraId="04F9C73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1718D53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563FAC44">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5AD813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1.模型为女婴，身长45cm±2cm，形态逼真，质感真实。</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2.可触及前后囟门、冠状缝、矢状缝。</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3.真实婴儿体重，体重为2.5KG。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4.耳廓柔软，可以反折，盖住外耳道。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5.果冻胶填充。</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6.新生儿精神状态、面色的观察。</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7.眼睛护理。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8.鼻腔护理。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9.外耳道护理。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10.可模拟使用奶瓶进行喂养。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11.换尿布：实现臀部护理。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12.新生儿抱持、包裹。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13.洗浴，有真实的皮肤皱褶，浴后可在颈、腋、腹股沟等部位敷爽身粉。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14.脐部护理，脐带可摘下，模拟脐带脱落前后的护理。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15.测量身长、体重、测量胸围、腹围、头围。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16.皮肤护理。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17.体温测量：可行经肛门、经口测量。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18.灌肠练习。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19.约束法的护理练习。</w:t>
            </w:r>
          </w:p>
        </w:tc>
      </w:tr>
      <w:tr w14:paraId="0B8DA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48F453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w:t>
            </w:r>
          </w:p>
        </w:tc>
        <w:tc>
          <w:tcPr>
            <w:tcW w:w="911" w:type="dxa"/>
            <w:noWrap w:val="0"/>
            <w:vAlign w:val="center"/>
          </w:tcPr>
          <w:p w14:paraId="06DB0A35">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胸、腹部检查智能模拟训练系统（学生机）</w:t>
            </w:r>
          </w:p>
        </w:tc>
        <w:tc>
          <w:tcPr>
            <w:tcW w:w="582" w:type="dxa"/>
            <w:noWrap w:val="0"/>
            <w:vAlign w:val="center"/>
          </w:tcPr>
          <w:p w14:paraId="5336420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4DEB911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套</w:t>
            </w:r>
          </w:p>
        </w:tc>
        <w:tc>
          <w:tcPr>
            <w:tcW w:w="754" w:type="dxa"/>
            <w:noWrap w:val="0"/>
            <w:vAlign w:val="center"/>
          </w:tcPr>
          <w:p w14:paraId="3457C1B2">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BCED244">
            <w:pPr>
              <w:keepNext w:val="0"/>
              <w:keepLines w:val="0"/>
              <w:widowControl/>
              <w:numPr>
                <w:ilvl w:val="0"/>
                <w:numId w:val="2"/>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系统概述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高仿真SP（标准化病人）与计算机虚拟技术的系统相融合，完整体现诊断学胸、腹部检查“视、触、叩、听”的技能训练与考核；有三维全息无线互感听诊技术；有智能一体化腹部触诊技术；有升降副桌面功能的转换实验台，可拓展实验室用途、转换实验室功能的实用性设计；每台设备占地面积不超过1.4m*0.53 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二、胸部检查教学系统主要参数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1、针对诊断学课程体系，满足胸部检查“视、触、叩、听”的技能训练与考核。支持在局域网内一台教室机控制多台学生机的教学方式；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2、采用无线听诊器，可实现多人同时听诊；三维全息互感声音处理技术，实现胸部50余个听诊区域的全信息同时覆盖的高仿真听诊效果；无线、互感多功能听诊器实现即可听诊模型，亦可听诊真实人体的功能；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3、对于易混淆、难区别的听诊体征，有声音元素分解听诊，便于鉴别；</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4、有音量自适应功能，可在计算机系统中自动分析、设置听诊音量，使操作者感受到更接近真实人体的听诊音，能避免因设备差异或设置音量的主观化而影响听诊效果；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5、三维互动视觉体验，形象阐释病理体征的解剖变化及听诊音产生原理，界面生动、操作简捷；</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心脏的听诊检查，听诊音在心尖、心底、心前区、腋下、后背以及剑突下等不同的听诊区立体播放，收集整理了常见心血管检查生理及病理体征240例，肺部检查体征124例；可触及的模型动脉搏动及心尖搏动与教学系统界面内三维动画的心脏运动实现同步。</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7、有心尖和心前区搏动功能，同步配合心音图及心电图显示，更便于听诊鉴别，可设置甲状腺血管杂音和颈动脉血管杂音；</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8、胸部触诊可设置语颤、猫喘、压痛、心包摩擦感、胸膜摩擦感，并可设置不同病变、不同区域、不同强弱的触诊体征；后背部可设置脊柱、肾区的压痛及叩击痛，更接近真实病例；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9、心脏检查的视诊和叩诊采用虚拟显示技术，视诊心前区隆起及心尖搏动；叩诊可人机互动虚拟心脏叩诊，设置不同病变的心界。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10、模型内衬真实的骨骼结构、体表标志清晰，满足各项检查方法选择操作部位的教学与训练；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11、试题筛选、试卷管理、系统随机出题、教师自主选题、保存试卷、查看成绩、打印等功能一应俱全，选择题有笔试和模型操作，全面评估学习效果。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12心率可调节：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正常心率可在每分钟60-100次间任意调整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窦性心动过速可在每分钟101-150次间任意调整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窦性心动过缓可在每分钟30-50次间任意调整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阵发性室上性心动过速可在每分钟160-260次间任意调整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阵发性室性心动过速可在每分钟140-200次间任意调整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心房颤动可在每分钟80-140次间任意调整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S1强弱不等可在每分钟60-120次间任意调整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舒张早期奔马律可在每分钟 100-120次间任意调整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三、腹部检查教学系统主要参数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1、腹部检查SP为成人女性半身模型，体表标志清晰；可进行乳房触诊，可设置有不同数目、大小、质地及压痛的包块，腋窝可触及肿大的淋巴结；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2、体表皮肤触感柔软、光滑，深部触诊手感软硬度模拟真实人体；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3、模拟深浅腹式呼吸，实现呼吸幅度及频率的调节功能，肝、脾随呼吸动作上下移动；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4、肝脾触诊可以模拟10余种不同级别大小的体征改变，实现脏器大小、触痛、叩击痛程度可调节功能；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5、模拟16个不同部位的压痛点、反跳痛，实现压痛以及多种不同的呻吟声音功能，并可模拟振水音及墨菲氏征；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6、腹部设有6个不同的血管杂音听诊点以及全腹部听诊的肠鸣音，实现肠鸣音可以调节为正常、减弱、消失、增强、亢进、气过水声等7种模拟音功能；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7、网络版教学系统具有教师控制同一局域网内全部学生机SP工作状态的功能，使示教功能强大；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腹部检查SP内部工艺采用单独驱动方式驱动呼吸以及实质性脏器的变化，使设备更加稳定可靠，采用虚拟增强技术，强化腹部的体格检查：腹部检查SP采用计算机教学系统控制，教学系统配合显示腹部的10余种不同的视诊体征、互动模拟腹部的4种叩诊体征：视诊有不同的腹部皮肤改变、腹部膨隆、胃肠型及蠕动波；触诊有血管检查、液波震颤，叩诊有肝区叩诊、水坑征、移动性浊音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9、腹部检查SP具有故障检测及警示功能；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10、全新的腹部检查考核系统，更多的试题选择。试题筛选、试卷管理、系统随机出题、教师自主选题、保存试卷、查看成绩、打印等功能一应俱全，选择题有笔试和模型操作，全面评估学习效果。</w:t>
            </w:r>
          </w:p>
          <w:p w14:paraId="7DF49142">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四、计算机配置要求不低于以下标准：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1、CPU：≧4核心</w:t>
            </w:r>
            <w:r>
              <w:rPr>
                <w:rFonts w:hint="eastAsia" w:ascii="Arial" w:hAnsi="Arial" w:cs="Arial"/>
                <w:i w:val="0"/>
                <w:iCs w:val="0"/>
                <w:color w:val="auto"/>
                <w:kern w:val="0"/>
                <w:sz w:val="21"/>
                <w:szCs w:val="21"/>
                <w:highlight w:val="none"/>
                <w:u w:val="none"/>
                <w:lang w:val="en-US" w:eastAsia="zh-CN" w:bidi="ar"/>
              </w:rPr>
              <w:t>数</w:t>
            </w:r>
          </w:p>
          <w:p w14:paraId="19EBFC16">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2、内存：≧4G DDR3</w:t>
            </w:r>
          </w:p>
          <w:p w14:paraId="723CFE9D">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3、硬盘：≧500G</w:t>
            </w:r>
          </w:p>
          <w:p w14:paraId="611604B4">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4、显卡：独立显存1G以上</w:t>
            </w:r>
          </w:p>
          <w:p w14:paraId="08F41FC1">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5、声卡：7.1声道（具有6个音频接口）</w:t>
            </w:r>
          </w:p>
          <w:p w14:paraId="4F5B4140">
            <w:pPr>
              <w:keepNext w:val="0"/>
              <w:keepLines w:val="0"/>
              <w:widowControl/>
              <w:numPr>
                <w:ilvl w:val="0"/>
                <w:numId w:val="0"/>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6、系统：windows7 32位</w:t>
            </w:r>
          </w:p>
          <w:p w14:paraId="2D7D7D84">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7、显示器：≧19寸 分辨率支持1440*900</w:t>
            </w:r>
          </w:p>
        </w:tc>
      </w:tr>
      <w:tr w14:paraId="3ED5D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3FE6053">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w:t>
            </w:r>
          </w:p>
        </w:tc>
        <w:tc>
          <w:tcPr>
            <w:tcW w:w="911" w:type="dxa"/>
            <w:noWrap w:val="0"/>
            <w:vAlign w:val="center"/>
          </w:tcPr>
          <w:p w14:paraId="0535A5AD">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病人监护仪</w:t>
            </w:r>
          </w:p>
        </w:tc>
        <w:tc>
          <w:tcPr>
            <w:tcW w:w="582" w:type="dxa"/>
            <w:noWrap w:val="0"/>
            <w:vAlign w:val="center"/>
          </w:tcPr>
          <w:p w14:paraId="0029E98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449B31C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3D6A8F29">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236494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一、监护参数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心电（ECG）、呼吸(RESP)、无创血压(NIBP)、血氧饱和度(SpO</w:t>
            </w:r>
            <w:r>
              <w:rPr>
                <w:rFonts w:hint="default" w:ascii="Arial" w:hAnsi="Arial" w:eastAsia="宋体" w:cs="Arial"/>
                <w:i w:val="0"/>
                <w:iCs w:val="0"/>
                <w:color w:val="auto"/>
                <w:kern w:val="0"/>
                <w:sz w:val="21"/>
                <w:szCs w:val="21"/>
                <w:highlight w:val="none"/>
                <w:u w:val="none"/>
                <w:vertAlign w:val="subscript"/>
                <w:lang w:val="en-US" w:eastAsia="zh-CN" w:bidi="ar"/>
              </w:rPr>
              <w:t>2</w:t>
            </w:r>
            <w:r>
              <w:rPr>
                <w:rFonts w:hint="default" w:ascii="Arial" w:hAnsi="Arial" w:eastAsia="宋体" w:cs="Arial"/>
                <w:i w:val="0"/>
                <w:iCs w:val="0"/>
                <w:color w:val="auto"/>
                <w:kern w:val="0"/>
                <w:sz w:val="21"/>
                <w:szCs w:val="21"/>
                <w:highlight w:val="none"/>
                <w:u w:val="none"/>
                <w:lang w:val="en-US" w:eastAsia="zh-CN" w:bidi="ar"/>
              </w:rPr>
              <w:t>)、脉搏(PR)、双通道体温(TEMP)、有创血压（IBP）（选配）、呼气末二氧化碳（EtCO</w:t>
            </w:r>
            <w:r>
              <w:rPr>
                <w:rFonts w:hint="default" w:ascii="Arial" w:hAnsi="Arial" w:eastAsia="宋体" w:cs="Arial"/>
                <w:i w:val="0"/>
                <w:iCs w:val="0"/>
                <w:color w:val="auto"/>
                <w:kern w:val="0"/>
                <w:sz w:val="21"/>
                <w:szCs w:val="21"/>
                <w:highlight w:val="none"/>
                <w:u w:val="none"/>
                <w:vertAlign w:val="subscript"/>
                <w:lang w:val="en-US" w:eastAsia="zh-CN" w:bidi="ar"/>
              </w:rPr>
              <w:t>2</w:t>
            </w:r>
            <w:r>
              <w:rPr>
                <w:rFonts w:hint="default" w:ascii="Arial" w:hAnsi="Arial" w:eastAsia="宋体" w:cs="Arial"/>
                <w:i w:val="0"/>
                <w:iCs w:val="0"/>
                <w:color w:val="auto"/>
                <w:kern w:val="0"/>
                <w:sz w:val="21"/>
                <w:szCs w:val="21"/>
                <w:highlight w:val="none"/>
                <w:u w:val="none"/>
                <w:lang w:val="en-US" w:eastAsia="zh-CN" w:bidi="ar"/>
              </w:rPr>
              <w:t>）（选配）、Nellcor血氧（选配）</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二、显示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1.屏幕尺寸：</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8.4英寸彩色显示屏，分辨率：800×600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2.支持同屏显示11道波形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3.可根据医护人员临床观察需要自由组合4个参数和波形进行大字体显示功能，大字体界面需支持NIBP多组回顾、对比，使得医护人员可以全方位、远距离清晰观察</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4.具有呼吸氧合图观察界面，同步显示心率、呼吸、血氧饱和度参数，准确反映患者三个参数间的关联反应，帮助医生准确作出判断</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5.具有短趋势共存界面显示，方便同屏查看实时数据及趋势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主界面上支持“进入趋势图回顾界面”、“进入趋势表回顾界面”、“快速接收一名病人”、“进入呼吸氧合界面”、“夜间模式”等多种快捷键操作，且可根据不同医护人员使用习惯选择是否在主屏幕显示快捷键列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7.支持待机模式、夜间模式、演示模式、隐私模式等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三、数据存储、回顾</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支持机内存储＞7G数据,1G存储空间的数据存储量如下：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1.90小时连续参数数据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2.至少68000组NIBP数据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3.至少4500组生理报警事件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4.至少4500组心律失常事件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5.90小时全息波形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6.具备USB数据接口，可选配U盘实现监测数据存储容量扩充</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四、性能特点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1.支持七道心电波形同屏显示、心电波形级联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2.心电增益有：1.25mm/mv (×0.125), 2.5 mm/mv (×0.25), 5 mm/mv (×0.5),10 mm/mv (×1), 20 mm/mv (×2), 40 mm/mv (×4),自动增益，多种选择，满足临床需求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3.共模抑制比：弱滤波（诊断）&gt;95dB，监护、强滤波（手术）&gt;105dB</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4.ST段分析功能：在强滤波、监护、弱滤波模式下，均支持进行ST段分析，保证各类病人监护安全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5.标配一体式挂床提手，便于转运监护时挂床安装</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6.具有待机功能，暂时停止所有监护操作，节省功耗．退出该状态，就可立即进行监护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7.具有脉搏调制音，通过心跳声音的音调变化来判断血氧饱和度的高低变化,使医护人员从听觉中获取病人生命体征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8.选配条形码扫描枪，方便快速录入病人信息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9.具有护士呼叫功能，能够把病人信息报警直接传递到护士站</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10.声光双重三级报警，同屏显示报警上下限</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11.技术报警和生理报警分别有各自的报警指示灯（2个独立的报警指示灯）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 xml:space="preserve">.内含NIBP防尘阀设计，减少气路障碍，有效延长泵使用寿命，提高测量准确性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.支持选配无线联网功能，实现无线/有线等混合方式联网</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.支持选配触摸屏操作，支持锁屏功能，防止外界干扰影响监护仪的工作状态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.可选配三通道内置热敏打印机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标配可拆卸充电锂电池，具有RJ-45网络口、辅助输出接口、VGA外接显示器接口、USB口、防盗锁孔、电源线卡扣（防止电源脱落）等</w:t>
            </w:r>
          </w:p>
        </w:tc>
      </w:tr>
      <w:tr w14:paraId="6A128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7A3C304">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911" w:type="dxa"/>
            <w:noWrap w:val="0"/>
            <w:vAlign w:val="center"/>
          </w:tcPr>
          <w:p w14:paraId="3806D327">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空气净化器空气消毒机</w:t>
            </w:r>
          </w:p>
        </w:tc>
        <w:tc>
          <w:tcPr>
            <w:tcW w:w="582" w:type="dxa"/>
            <w:noWrap w:val="0"/>
            <w:vAlign w:val="center"/>
          </w:tcPr>
          <w:p w14:paraId="3C0F8E0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1090F540">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7905F7F9">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6E0E05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1.材质选用 ABS 环保塑料，确保无异味、抗老化，产品净重不低于 13.9kg，包装尺寸与机身尺寸偏差不超过 ±5%。</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2.固态污染物 CADR 值≥900m³/h，气态污染物（甲醛）CADR 值≥400m³/h；颗粒物累积净化量（CCM）需达到 P4 等级，甲醛累积净化量（CCM）需达到 F4 等级。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3.净化方式采用 “过滤式 + 消毒功能” 组合，配备 H11 及以上等级 HEPA 滤网，可有效过滤 PM2.5、甲醛、二手烟、过敏原（如花粉、宠物皮屑）、细菌、病毒（含甲流病毒）等污染物，过滤效率对 0.3 微米及以上颗粒物≥99.9%。</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4.适用面积≥108㎡，满足大空间净化需求；颗粒物净化能效与甲醛净化能效均需达到 “高效级”，符合国家能效标准；额定电压为 220VAC、50Hz，额定输入功率≤105W。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5.最低档声功率级噪音≤32dB（睡眠模式），最高档声功率级噪音≤69dB，确保不同场景下的静音需求；支持 APP 远程操控 + 机身按键操控双模式，配备 PM2.5 数字显示及 TVOC 灯光显示功能，可实时反馈空气质量；具备滤网更新提醒功能，支持 2/4/8 小时 auto-off 定时功能，设有睡眠模式（自动降低风速、关闭指示灯）。</w:t>
            </w:r>
          </w:p>
        </w:tc>
      </w:tr>
      <w:tr w14:paraId="36202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0D1B615">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13</w:t>
            </w:r>
          </w:p>
        </w:tc>
        <w:tc>
          <w:tcPr>
            <w:tcW w:w="911" w:type="dxa"/>
            <w:noWrap w:val="0"/>
            <w:vAlign w:val="center"/>
          </w:tcPr>
          <w:p w14:paraId="3CA1928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模拟除颤仪</w:t>
            </w:r>
          </w:p>
        </w:tc>
        <w:tc>
          <w:tcPr>
            <w:tcW w:w="582" w:type="dxa"/>
            <w:noWrap w:val="0"/>
            <w:vAlign w:val="center"/>
          </w:tcPr>
          <w:p w14:paraId="27CAB97F">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769FC6F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500DAB7F">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ED503A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专为急救人员在使用真实除颤仪之前的培训而设计。模型为高仿真的模拟除颤仪，具有与真实除颤仪无差别的外形，操作流程与真实除颤仪操作无异，便于培训急救人员进行除颤训练。具有手动除颤和自动除颤（AED)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2、模拟除颤仪</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7寸彩色屏幕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3、焦耳档位选择，可以选择所需要的除颤能量值。</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4、系统自动侦测电联可报警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5、界面可显示心电图波形，并分析当前采集的心律是否可除颤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6、可模拟显示双相波除颤的能量曲线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7、可语音提示“正在充电”“充电完成”等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8、可传输当前除颤能量值到模型端，和模型互动反馈。</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9、模拟AED功能：参照心肺复苏急救标准，内置10种情景模式供训练使用。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10、可配合模拟人演示，智能检测是否插入电极片。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11、可选择成人或儿童除颤模式，配有儿童和成人2 种电极片，便于教学。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12、模拟除颤仪正面有彩色屏幕，可进行急救的动画演示。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13、除颤手柄具有磁力，可自动吸引，便于放置手柄。</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14、可模拟心电监护，显示12导联心电波形，内置40个心电病例。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15、可模拟体外起搏，起搏电压和起搏频率可设置。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16、可模拟同步复律，当心律为室上心动过速、心房扑动、心房颤动、室性心动过速时可进行同步复律，同步复律时可检测出QRS波，选择最佳放电时期（心室肌绝对不应期放电，即R波降支或R波即使后30ms）。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17、内置锂电池，除颤界面有电池电量图标，实时监控模拟除颤仪电量信息。</w:t>
            </w:r>
          </w:p>
        </w:tc>
      </w:tr>
      <w:tr w14:paraId="37D85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C7A5E0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911" w:type="dxa"/>
            <w:noWrap w:val="0"/>
            <w:vAlign w:val="center"/>
          </w:tcPr>
          <w:p w14:paraId="1B0F413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超声洁牙机</w:t>
            </w:r>
          </w:p>
        </w:tc>
        <w:tc>
          <w:tcPr>
            <w:tcW w:w="582" w:type="dxa"/>
            <w:noWrap w:val="0"/>
            <w:vAlign w:val="center"/>
          </w:tcPr>
          <w:p w14:paraId="52B3D36E">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496BD018">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AC6B4D3">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E3B53E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一、主要技术参数：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1.电源输入：～220V 50Hz 输入功率：38VA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2.主机输入：～24V 50Hz 1.3A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3.输出的尖端主振动偏移：1μm～100μm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4.输出的尖端振动频率：28kHz±3kHz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5.输出的半偏移力：0.1N～2N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6.尖端输出功率：3W～20W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7.主机保险：T1.6AL 250V</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8.电源适配器保险：T0.5AL 250V</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9.主机重量：1.17kg±0.1kg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10.电源适配器重量：1kg±0.1kg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11.运行模式：连续运行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12.使用年限：</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10年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二、功能描述：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主要用于牙科清除结石，牙齿根管的清洁、荡洗。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2.手柄带LED灯。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3.具有自动供水功能。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4.内水管由防腐材料加工而成，可使用专用药液，如双氧水、洗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必泰、次氯酸钠。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5.采用全自动频率跟踪系统，自动搜索最佳工作状态。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6.工作手柄可自由拔插，能在134℃高温和0.22MPa高压中消毒。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7.工作过程采用微电脑全自动控制。</w:t>
            </w:r>
          </w:p>
        </w:tc>
      </w:tr>
    </w:tbl>
    <w:p w14:paraId="6CA73BD7">
      <w:pPr>
        <w:rPr>
          <w:rFonts w:hint="eastAsia" w:ascii="Arial" w:hAnsi="Arial" w:eastAsia="宋体" w:cs="Arial"/>
          <w:b/>
          <w:color w:val="auto"/>
          <w:kern w:val="0"/>
          <w:sz w:val="24"/>
          <w:highlight w:val="none"/>
        </w:rPr>
      </w:pPr>
      <w:r>
        <w:rPr>
          <w:rFonts w:hint="eastAsia" w:ascii="Arial" w:hAnsi="Arial" w:eastAsia="宋体" w:cs="Arial"/>
          <w:b/>
          <w:color w:val="auto"/>
          <w:kern w:val="0"/>
          <w:sz w:val="24"/>
          <w:highlight w:val="none"/>
        </w:rPr>
        <w:br w:type="page"/>
      </w:r>
    </w:p>
    <w:p w14:paraId="18477683">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D分标：2026年桂林医科大学人工智能医学院教学实验仪器采购</w:t>
      </w:r>
    </w:p>
    <w:p w14:paraId="02E8F423">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61C4C447">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20EFD1FA">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39944F28">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27278902">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6EFB7C73">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hint="eastAsia" w:ascii="Arial" w:hAnsi="Arial" w:cs="Arial"/>
          <w:b/>
          <w:bCs/>
          <w:color w:val="auto"/>
          <w:szCs w:val="21"/>
          <w:highlight w:val="none"/>
          <w:u w:val="single"/>
        </w:rPr>
        <w:t>序号9数字电路与EDA实验平台</w:t>
      </w:r>
    </w:p>
    <w:p w14:paraId="04B773AD">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5FEA8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3CFA78E0">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911" w:type="dxa"/>
            <w:noWrap w:val="0"/>
            <w:vAlign w:val="center"/>
          </w:tcPr>
          <w:p w14:paraId="64C8CB18">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货物名称</w:t>
            </w:r>
          </w:p>
        </w:tc>
        <w:tc>
          <w:tcPr>
            <w:tcW w:w="582" w:type="dxa"/>
            <w:noWrap w:val="0"/>
            <w:vAlign w:val="center"/>
          </w:tcPr>
          <w:p w14:paraId="0333213F">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数量</w:t>
            </w:r>
          </w:p>
        </w:tc>
        <w:tc>
          <w:tcPr>
            <w:tcW w:w="686" w:type="dxa"/>
            <w:noWrap w:val="0"/>
            <w:vAlign w:val="center"/>
          </w:tcPr>
          <w:p w14:paraId="48172060">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计量单位</w:t>
            </w:r>
          </w:p>
        </w:tc>
        <w:tc>
          <w:tcPr>
            <w:tcW w:w="754" w:type="dxa"/>
            <w:noWrap w:val="0"/>
            <w:vAlign w:val="center"/>
          </w:tcPr>
          <w:p w14:paraId="62D73C99">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所属行业</w:t>
            </w:r>
          </w:p>
        </w:tc>
        <w:tc>
          <w:tcPr>
            <w:tcW w:w="6448" w:type="dxa"/>
            <w:tcBorders>
              <w:left w:val="single" w:color="auto" w:sz="4" w:space="0"/>
              <w:right w:val="single" w:color="auto" w:sz="4" w:space="0"/>
            </w:tcBorders>
            <w:noWrap w:val="0"/>
            <w:vAlign w:val="center"/>
          </w:tcPr>
          <w:p w14:paraId="1CDFC41B">
            <w:pPr>
              <w:adjustRightInd w:val="0"/>
              <w:snapToGrid w:val="0"/>
              <w:spacing w:after="0" w:line="288" w:lineRule="auto"/>
              <w:jc w:val="center"/>
              <w:rPr>
                <w:rFonts w:hint="default" w:ascii="Arial" w:hAnsi="Arial" w:cs="Arial"/>
                <w:color w:val="auto"/>
                <w:szCs w:val="21"/>
                <w:highlight w:val="none"/>
              </w:rPr>
            </w:pPr>
            <w:r>
              <w:rPr>
                <w:rFonts w:hint="default" w:ascii="Arial" w:hAnsi="Arial" w:cs="Arial"/>
                <w:color w:val="auto"/>
                <w:szCs w:val="21"/>
                <w:highlight w:val="none"/>
              </w:rPr>
              <w:t>技术指标要求</w:t>
            </w:r>
          </w:p>
        </w:tc>
      </w:tr>
      <w:tr w14:paraId="048D6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42EF667">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p>
        </w:tc>
        <w:tc>
          <w:tcPr>
            <w:tcW w:w="911" w:type="dxa"/>
            <w:noWrap w:val="0"/>
            <w:vAlign w:val="center"/>
          </w:tcPr>
          <w:p w14:paraId="388FA140">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冷冻干燥机</w:t>
            </w:r>
          </w:p>
        </w:tc>
        <w:tc>
          <w:tcPr>
            <w:tcW w:w="582" w:type="dxa"/>
            <w:noWrap w:val="0"/>
            <w:vAlign w:val="center"/>
          </w:tcPr>
          <w:p w14:paraId="023B2E0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07B3EA1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53154F7E">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12BE7417">
            <w:pPr>
              <w:keepNext w:val="0"/>
              <w:keepLines w:val="0"/>
              <w:widowControl/>
              <w:numPr>
                <w:ilvl w:val="0"/>
                <w:numId w:val="3"/>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67" name="Picture_22"/>
                  <wp:cNvGraphicFramePr/>
                  <a:graphic xmlns:a="http://schemas.openxmlformats.org/drawingml/2006/main">
                    <a:graphicData uri="http://schemas.openxmlformats.org/drawingml/2006/picture">
                      <pic:pic xmlns:pic="http://schemas.openxmlformats.org/drawingml/2006/picture">
                        <pic:nvPicPr>
                          <pic:cNvPr id="67" name="Picture_2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68" name="Picture_44"/>
                  <wp:cNvGraphicFramePr/>
                  <a:graphic xmlns:a="http://schemas.openxmlformats.org/drawingml/2006/main">
                    <a:graphicData uri="http://schemas.openxmlformats.org/drawingml/2006/picture">
                      <pic:pic xmlns:pic="http://schemas.openxmlformats.org/drawingml/2006/picture">
                        <pic:nvPicPr>
                          <pic:cNvPr id="68" name="Picture_4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69" name="Picture_44_SpCnt_1"/>
                  <wp:cNvGraphicFramePr/>
                  <a:graphic xmlns:a="http://schemas.openxmlformats.org/drawingml/2006/main">
                    <a:graphicData uri="http://schemas.openxmlformats.org/drawingml/2006/picture">
                      <pic:pic xmlns:pic="http://schemas.openxmlformats.org/drawingml/2006/picture">
                        <pic:nvPicPr>
                          <pic:cNvPr id="69" name="Picture_44_SpCnt_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0" name="Picture_44_SpCnt_2"/>
                  <wp:cNvGraphicFramePr/>
                  <a:graphic xmlns:a="http://schemas.openxmlformats.org/drawingml/2006/main">
                    <a:graphicData uri="http://schemas.openxmlformats.org/drawingml/2006/picture">
                      <pic:pic xmlns:pic="http://schemas.openxmlformats.org/drawingml/2006/picture">
                        <pic:nvPicPr>
                          <pic:cNvPr id="70" name="Picture_44_SpCnt_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1" name="Picture_44_SpCnt_3"/>
                  <wp:cNvGraphicFramePr/>
                  <a:graphic xmlns:a="http://schemas.openxmlformats.org/drawingml/2006/main">
                    <a:graphicData uri="http://schemas.openxmlformats.org/drawingml/2006/picture">
                      <pic:pic xmlns:pic="http://schemas.openxmlformats.org/drawingml/2006/picture">
                        <pic:nvPicPr>
                          <pic:cNvPr id="71" name="Picture_44_SpCnt_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2" name="Picture_45"/>
                  <wp:cNvGraphicFramePr/>
                  <a:graphic xmlns:a="http://schemas.openxmlformats.org/drawingml/2006/main">
                    <a:graphicData uri="http://schemas.openxmlformats.org/drawingml/2006/picture">
                      <pic:pic xmlns:pic="http://schemas.openxmlformats.org/drawingml/2006/picture">
                        <pic:nvPicPr>
                          <pic:cNvPr id="72" name="Picture_45"/>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3" name="Picture_44_SpCnt_4"/>
                  <wp:cNvGraphicFramePr/>
                  <a:graphic xmlns:a="http://schemas.openxmlformats.org/drawingml/2006/main">
                    <a:graphicData uri="http://schemas.openxmlformats.org/drawingml/2006/picture">
                      <pic:pic xmlns:pic="http://schemas.openxmlformats.org/drawingml/2006/picture">
                        <pic:nvPicPr>
                          <pic:cNvPr id="73" name="Picture_44_SpCnt_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4" name="Picture_23"/>
                  <wp:cNvGraphicFramePr/>
                  <a:graphic xmlns:a="http://schemas.openxmlformats.org/drawingml/2006/main">
                    <a:graphicData uri="http://schemas.openxmlformats.org/drawingml/2006/picture">
                      <pic:pic xmlns:pic="http://schemas.openxmlformats.org/drawingml/2006/picture">
                        <pic:nvPicPr>
                          <pic:cNvPr id="74" name="Picture_2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5" name="Picture_22_SpCnt_1"/>
                  <wp:cNvGraphicFramePr/>
                  <a:graphic xmlns:a="http://schemas.openxmlformats.org/drawingml/2006/main">
                    <a:graphicData uri="http://schemas.openxmlformats.org/drawingml/2006/picture">
                      <pic:pic xmlns:pic="http://schemas.openxmlformats.org/drawingml/2006/picture">
                        <pic:nvPicPr>
                          <pic:cNvPr id="75" name="Picture_22_SpCnt_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6" name="Picture_45_SpCnt_1"/>
                  <wp:cNvGraphicFramePr/>
                  <a:graphic xmlns:a="http://schemas.openxmlformats.org/drawingml/2006/main">
                    <a:graphicData uri="http://schemas.openxmlformats.org/drawingml/2006/picture">
                      <pic:pic xmlns:pic="http://schemas.openxmlformats.org/drawingml/2006/picture">
                        <pic:nvPicPr>
                          <pic:cNvPr id="76" name="Picture_45_SpCnt_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7" name="Picture_44_SpCnt_5"/>
                  <wp:cNvGraphicFramePr/>
                  <a:graphic xmlns:a="http://schemas.openxmlformats.org/drawingml/2006/main">
                    <a:graphicData uri="http://schemas.openxmlformats.org/drawingml/2006/picture">
                      <pic:pic xmlns:pic="http://schemas.openxmlformats.org/drawingml/2006/picture">
                        <pic:nvPicPr>
                          <pic:cNvPr id="77" name="Picture_44_SpCnt_5"/>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8" name="Picture_23_SpCnt_1"/>
                  <wp:cNvGraphicFramePr/>
                  <a:graphic xmlns:a="http://schemas.openxmlformats.org/drawingml/2006/main">
                    <a:graphicData uri="http://schemas.openxmlformats.org/drawingml/2006/picture">
                      <pic:pic xmlns:pic="http://schemas.openxmlformats.org/drawingml/2006/picture">
                        <pic:nvPicPr>
                          <pic:cNvPr id="78" name="Picture_23_SpCnt_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79" name="Picture_22_SpCnt_2"/>
                  <wp:cNvGraphicFramePr/>
                  <a:graphic xmlns:a="http://schemas.openxmlformats.org/drawingml/2006/main">
                    <a:graphicData uri="http://schemas.openxmlformats.org/drawingml/2006/picture">
                      <pic:pic xmlns:pic="http://schemas.openxmlformats.org/drawingml/2006/picture">
                        <pic:nvPicPr>
                          <pic:cNvPr id="79" name="Picture_22_SpCnt_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0" name="Picture_45_SpCnt_2"/>
                  <wp:cNvGraphicFramePr/>
                  <a:graphic xmlns:a="http://schemas.openxmlformats.org/drawingml/2006/main">
                    <a:graphicData uri="http://schemas.openxmlformats.org/drawingml/2006/picture">
                      <pic:pic xmlns:pic="http://schemas.openxmlformats.org/drawingml/2006/picture">
                        <pic:nvPicPr>
                          <pic:cNvPr id="80" name="Picture_45_SpCnt_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1" name="Picture_44_SpCnt_6"/>
                  <wp:cNvGraphicFramePr/>
                  <a:graphic xmlns:a="http://schemas.openxmlformats.org/drawingml/2006/main">
                    <a:graphicData uri="http://schemas.openxmlformats.org/drawingml/2006/picture">
                      <pic:pic xmlns:pic="http://schemas.openxmlformats.org/drawingml/2006/picture">
                        <pic:nvPicPr>
                          <pic:cNvPr id="81" name="Picture_44_SpCnt_6"/>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2" name="Picture_23_SpCnt_2"/>
                  <wp:cNvGraphicFramePr/>
                  <a:graphic xmlns:a="http://schemas.openxmlformats.org/drawingml/2006/main">
                    <a:graphicData uri="http://schemas.openxmlformats.org/drawingml/2006/picture">
                      <pic:pic xmlns:pic="http://schemas.openxmlformats.org/drawingml/2006/picture">
                        <pic:nvPicPr>
                          <pic:cNvPr id="82" name="Picture_23_SpCnt_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3" name="Picture_22_SpCnt_3"/>
                  <wp:cNvGraphicFramePr/>
                  <a:graphic xmlns:a="http://schemas.openxmlformats.org/drawingml/2006/main">
                    <a:graphicData uri="http://schemas.openxmlformats.org/drawingml/2006/picture">
                      <pic:pic xmlns:pic="http://schemas.openxmlformats.org/drawingml/2006/picture">
                        <pic:nvPicPr>
                          <pic:cNvPr id="83" name="Picture_22_SpCnt_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4" name="Picture_45_SpCnt_3"/>
                  <wp:cNvGraphicFramePr/>
                  <a:graphic xmlns:a="http://schemas.openxmlformats.org/drawingml/2006/main">
                    <a:graphicData uri="http://schemas.openxmlformats.org/drawingml/2006/picture">
                      <pic:pic xmlns:pic="http://schemas.openxmlformats.org/drawingml/2006/picture">
                        <pic:nvPicPr>
                          <pic:cNvPr id="84" name="Picture_45_SpCnt_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5" name="Picture_44_SpCnt_7"/>
                  <wp:cNvGraphicFramePr/>
                  <a:graphic xmlns:a="http://schemas.openxmlformats.org/drawingml/2006/main">
                    <a:graphicData uri="http://schemas.openxmlformats.org/drawingml/2006/picture">
                      <pic:pic xmlns:pic="http://schemas.openxmlformats.org/drawingml/2006/picture">
                        <pic:nvPicPr>
                          <pic:cNvPr id="85" name="Picture_44_SpCnt_7"/>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6" name="Picture_23_SpCnt_3"/>
                  <wp:cNvGraphicFramePr/>
                  <a:graphic xmlns:a="http://schemas.openxmlformats.org/drawingml/2006/main">
                    <a:graphicData uri="http://schemas.openxmlformats.org/drawingml/2006/picture">
                      <pic:pic xmlns:pic="http://schemas.openxmlformats.org/drawingml/2006/picture">
                        <pic:nvPicPr>
                          <pic:cNvPr id="86" name="Picture_23_SpCnt_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7" name="Picture_22_SpCnt_4"/>
                  <wp:cNvGraphicFramePr/>
                  <a:graphic xmlns:a="http://schemas.openxmlformats.org/drawingml/2006/main">
                    <a:graphicData uri="http://schemas.openxmlformats.org/drawingml/2006/picture">
                      <pic:pic xmlns:pic="http://schemas.openxmlformats.org/drawingml/2006/picture">
                        <pic:nvPicPr>
                          <pic:cNvPr id="87" name="Picture_22_SpCnt_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8" name="Picture_45_SpCnt_4"/>
                  <wp:cNvGraphicFramePr/>
                  <a:graphic xmlns:a="http://schemas.openxmlformats.org/drawingml/2006/main">
                    <a:graphicData uri="http://schemas.openxmlformats.org/drawingml/2006/picture">
                      <pic:pic xmlns:pic="http://schemas.openxmlformats.org/drawingml/2006/picture">
                        <pic:nvPicPr>
                          <pic:cNvPr id="88" name="Picture_45_SpCnt_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89" name="Picture_44_SpCnt_8"/>
                  <wp:cNvGraphicFramePr/>
                  <a:graphic xmlns:a="http://schemas.openxmlformats.org/drawingml/2006/main">
                    <a:graphicData uri="http://schemas.openxmlformats.org/drawingml/2006/picture">
                      <pic:pic xmlns:pic="http://schemas.openxmlformats.org/drawingml/2006/picture">
                        <pic:nvPicPr>
                          <pic:cNvPr id="89" name="Picture_44_SpCnt_8"/>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0" name="Picture_23_SpCnt_4"/>
                  <wp:cNvGraphicFramePr/>
                  <a:graphic xmlns:a="http://schemas.openxmlformats.org/drawingml/2006/main">
                    <a:graphicData uri="http://schemas.openxmlformats.org/drawingml/2006/picture">
                      <pic:pic xmlns:pic="http://schemas.openxmlformats.org/drawingml/2006/picture">
                        <pic:nvPicPr>
                          <pic:cNvPr id="90" name="Picture_23_SpCnt_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1" name="Picture_22_SpCnt_5"/>
                  <wp:cNvGraphicFramePr/>
                  <a:graphic xmlns:a="http://schemas.openxmlformats.org/drawingml/2006/main">
                    <a:graphicData uri="http://schemas.openxmlformats.org/drawingml/2006/picture">
                      <pic:pic xmlns:pic="http://schemas.openxmlformats.org/drawingml/2006/picture">
                        <pic:nvPicPr>
                          <pic:cNvPr id="91" name="Picture_22_SpCnt_5"/>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2" name="Picture_45_SpCnt_5"/>
                  <wp:cNvGraphicFramePr/>
                  <a:graphic xmlns:a="http://schemas.openxmlformats.org/drawingml/2006/main">
                    <a:graphicData uri="http://schemas.openxmlformats.org/drawingml/2006/picture">
                      <pic:pic xmlns:pic="http://schemas.openxmlformats.org/drawingml/2006/picture">
                        <pic:nvPicPr>
                          <pic:cNvPr id="92" name="Picture_45_SpCnt_5"/>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3" name="Picture_44_SpCnt_9"/>
                  <wp:cNvGraphicFramePr/>
                  <a:graphic xmlns:a="http://schemas.openxmlformats.org/drawingml/2006/main">
                    <a:graphicData uri="http://schemas.openxmlformats.org/drawingml/2006/picture">
                      <pic:pic xmlns:pic="http://schemas.openxmlformats.org/drawingml/2006/picture">
                        <pic:nvPicPr>
                          <pic:cNvPr id="93" name="Picture_44_SpCnt_9"/>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4" name="Picture_23_SpCnt_5"/>
                  <wp:cNvGraphicFramePr/>
                  <a:graphic xmlns:a="http://schemas.openxmlformats.org/drawingml/2006/main">
                    <a:graphicData uri="http://schemas.openxmlformats.org/drawingml/2006/picture">
                      <pic:pic xmlns:pic="http://schemas.openxmlformats.org/drawingml/2006/picture">
                        <pic:nvPicPr>
                          <pic:cNvPr id="94" name="Picture_23_SpCnt_5"/>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5" name="Picture_22_SpCnt_6"/>
                  <wp:cNvGraphicFramePr/>
                  <a:graphic xmlns:a="http://schemas.openxmlformats.org/drawingml/2006/main">
                    <a:graphicData uri="http://schemas.openxmlformats.org/drawingml/2006/picture">
                      <pic:pic xmlns:pic="http://schemas.openxmlformats.org/drawingml/2006/picture">
                        <pic:nvPicPr>
                          <pic:cNvPr id="95" name="Picture_22_SpCnt_6"/>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6" name="Picture_45_SpCnt_6"/>
                  <wp:cNvGraphicFramePr/>
                  <a:graphic xmlns:a="http://schemas.openxmlformats.org/drawingml/2006/main">
                    <a:graphicData uri="http://schemas.openxmlformats.org/drawingml/2006/picture">
                      <pic:pic xmlns:pic="http://schemas.openxmlformats.org/drawingml/2006/picture">
                        <pic:nvPicPr>
                          <pic:cNvPr id="96" name="Picture_45_SpCnt_6"/>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7" name="Picture_44_SpCnt_10"/>
                  <wp:cNvGraphicFramePr/>
                  <a:graphic xmlns:a="http://schemas.openxmlformats.org/drawingml/2006/main">
                    <a:graphicData uri="http://schemas.openxmlformats.org/drawingml/2006/picture">
                      <pic:pic xmlns:pic="http://schemas.openxmlformats.org/drawingml/2006/picture">
                        <pic:nvPicPr>
                          <pic:cNvPr id="97" name="Picture_44_SpCnt_10"/>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8" name="Picture_23_SpCnt_6"/>
                  <wp:cNvGraphicFramePr/>
                  <a:graphic xmlns:a="http://schemas.openxmlformats.org/drawingml/2006/main">
                    <a:graphicData uri="http://schemas.openxmlformats.org/drawingml/2006/picture">
                      <pic:pic xmlns:pic="http://schemas.openxmlformats.org/drawingml/2006/picture">
                        <pic:nvPicPr>
                          <pic:cNvPr id="98" name="Picture_23_SpCnt_6"/>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99" name="Picture_22_SpCnt_7"/>
                  <wp:cNvGraphicFramePr/>
                  <a:graphic xmlns:a="http://schemas.openxmlformats.org/drawingml/2006/main">
                    <a:graphicData uri="http://schemas.openxmlformats.org/drawingml/2006/picture">
                      <pic:pic xmlns:pic="http://schemas.openxmlformats.org/drawingml/2006/picture">
                        <pic:nvPicPr>
                          <pic:cNvPr id="99" name="Picture_22_SpCnt_7"/>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0" name="Picture_23_SpCnt_7"/>
                  <wp:cNvGraphicFramePr/>
                  <a:graphic xmlns:a="http://schemas.openxmlformats.org/drawingml/2006/main">
                    <a:graphicData uri="http://schemas.openxmlformats.org/drawingml/2006/picture">
                      <pic:pic xmlns:pic="http://schemas.openxmlformats.org/drawingml/2006/picture">
                        <pic:nvPicPr>
                          <pic:cNvPr id="100" name="Picture_23_SpCnt_7"/>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1" name="Picture_45_SpCnt_7"/>
                  <wp:cNvGraphicFramePr/>
                  <a:graphic xmlns:a="http://schemas.openxmlformats.org/drawingml/2006/main">
                    <a:graphicData uri="http://schemas.openxmlformats.org/drawingml/2006/picture">
                      <pic:pic xmlns:pic="http://schemas.openxmlformats.org/drawingml/2006/picture">
                        <pic:nvPicPr>
                          <pic:cNvPr id="101" name="Picture_45_SpCnt_7"/>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2" name="Picture_22_SpCnt_8"/>
                  <wp:cNvGraphicFramePr/>
                  <a:graphic xmlns:a="http://schemas.openxmlformats.org/drawingml/2006/main">
                    <a:graphicData uri="http://schemas.openxmlformats.org/drawingml/2006/picture">
                      <pic:pic xmlns:pic="http://schemas.openxmlformats.org/drawingml/2006/picture">
                        <pic:nvPicPr>
                          <pic:cNvPr id="102" name="Picture_22_SpCnt_8"/>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3" name="Picture_45_SpCnt_8"/>
                  <wp:cNvGraphicFramePr/>
                  <a:graphic xmlns:a="http://schemas.openxmlformats.org/drawingml/2006/main">
                    <a:graphicData uri="http://schemas.openxmlformats.org/drawingml/2006/picture">
                      <pic:pic xmlns:pic="http://schemas.openxmlformats.org/drawingml/2006/picture">
                        <pic:nvPicPr>
                          <pic:cNvPr id="103" name="Picture_45_SpCnt_8"/>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4" name="Picture_44_SpCnt_11"/>
                  <wp:cNvGraphicFramePr/>
                  <a:graphic xmlns:a="http://schemas.openxmlformats.org/drawingml/2006/main">
                    <a:graphicData uri="http://schemas.openxmlformats.org/drawingml/2006/picture">
                      <pic:pic xmlns:pic="http://schemas.openxmlformats.org/drawingml/2006/picture">
                        <pic:nvPicPr>
                          <pic:cNvPr id="104" name="Picture_44_SpCnt_1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5" name="Picture_23_SpCnt_8"/>
                  <wp:cNvGraphicFramePr/>
                  <a:graphic xmlns:a="http://schemas.openxmlformats.org/drawingml/2006/main">
                    <a:graphicData uri="http://schemas.openxmlformats.org/drawingml/2006/picture">
                      <pic:pic xmlns:pic="http://schemas.openxmlformats.org/drawingml/2006/picture">
                        <pic:nvPicPr>
                          <pic:cNvPr id="105" name="Picture_23_SpCnt_8"/>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6" name="Picture_22_SpCnt_9"/>
                  <wp:cNvGraphicFramePr/>
                  <a:graphic xmlns:a="http://schemas.openxmlformats.org/drawingml/2006/main">
                    <a:graphicData uri="http://schemas.openxmlformats.org/drawingml/2006/picture">
                      <pic:pic xmlns:pic="http://schemas.openxmlformats.org/drawingml/2006/picture">
                        <pic:nvPicPr>
                          <pic:cNvPr id="106" name="Picture_22_SpCnt_9"/>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7" name="Picture_45_SpCnt_9"/>
                  <wp:cNvGraphicFramePr/>
                  <a:graphic xmlns:a="http://schemas.openxmlformats.org/drawingml/2006/main">
                    <a:graphicData uri="http://schemas.openxmlformats.org/drawingml/2006/picture">
                      <pic:pic xmlns:pic="http://schemas.openxmlformats.org/drawingml/2006/picture">
                        <pic:nvPicPr>
                          <pic:cNvPr id="107" name="Picture_45_SpCnt_9"/>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8" name="Picture_44_SpCnt_12"/>
                  <wp:cNvGraphicFramePr/>
                  <a:graphic xmlns:a="http://schemas.openxmlformats.org/drawingml/2006/main">
                    <a:graphicData uri="http://schemas.openxmlformats.org/drawingml/2006/picture">
                      <pic:pic xmlns:pic="http://schemas.openxmlformats.org/drawingml/2006/picture">
                        <pic:nvPicPr>
                          <pic:cNvPr id="108" name="Picture_44_SpCnt_1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09" name="Picture_23_SpCnt_9"/>
                  <wp:cNvGraphicFramePr/>
                  <a:graphic xmlns:a="http://schemas.openxmlformats.org/drawingml/2006/main">
                    <a:graphicData uri="http://schemas.openxmlformats.org/drawingml/2006/picture">
                      <pic:pic xmlns:pic="http://schemas.openxmlformats.org/drawingml/2006/picture">
                        <pic:nvPicPr>
                          <pic:cNvPr id="109" name="Picture_23_SpCnt_9"/>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0" name="Picture_22_SpCnt_10"/>
                  <wp:cNvGraphicFramePr/>
                  <a:graphic xmlns:a="http://schemas.openxmlformats.org/drawingml/2006/main">
                    <a:graphicData uri="http://schemas.openxmlformats.org/drawingml/2006/picture">
                      <pic:pic xmlns:pic="http://schemas.openxmlformats.org/drawingml/2006/picture">
                        <pic:nvPicPr>
                          <pic:cNvPr id="110" name="Picture_22_SpCnt_10"/>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1" name="Picture_45_SpCnt_10"/>
                  <wp:cNvGraphicFramePr/>
                  <a:graphic xmlns:a="http://schemas.openxmlformats.org/drawingml/2006/main">
                    <a:graphicData uri="http://schemas.openxmlformats.org/drawingml/2006/picture">
                      <pic:pic xmlns:pic="http://schemas.openxmlformats.org/drawingml/2006/picture">
                        <pic:nvPicPr>
                          <pic:cNvPr id="111" name="Picture_45_SpCnt_10"/>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2" name="Picture_44_SpCnt_13"/>
                  <wp:cNvGraphicFramePr/>
                  <a:graphic xmlns:a="http://schemas.openxmlformats.org/drawingml/2006/main">
                    <a:graphicData uri="http://schemas.openxmlformats.org/drawingml/2006/picture">
                      <pic:pic xmlns:pic="http://schemas.openxmlformats.org/drawingml/2006/picture">
                        <pic:nvPicPr>
                          <pic:cNvPr id="112" name="Picture_44_SpCnt_1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3" name="Picture_23_SpCnt_10"/>
                  <wp:cNvGraphicFramePr/>
                  <a:graphic xmlns:a="http://schemas.openxmlformats.org/drawingml/2006/main">
                    <a:graphicData uri="http://schemas.openxmlformats.org/drawingml/2006/picture">
                      <pic:pic xmlns:pic="http://schemas.openxmlformats.org/drawingml/2006/picture">
                        <pic:nvPicPr>
                          <pic:cNvPr id="113" name="Picture_23_SpCnt_10"/>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4" name="Picture_22_SpCnt_11"/>
                  <wp:cNvGraphicFramePr/>
                  <a:graphic xmlns:a="http://schemas.openxmlformats.org/drawingml/2006/main">
                    <a:graphicData uri="http://schemas.openxmlformats.org/drawingml/2006/picture">
                      <pic:pic xmlns:pic="http://schemas.openxmlformats.org/drawingml/2006/picture">
                        <pic:nvPicPr>
                          <pic:cNvPr id="114" name="Picture_22_SpCnt_1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5" name="Picture_23_SpCnt_11"/>
                  <wp:cNvGraphicFramePr/>
                  <a:graphic xmlns:a="http://schemas.openxmlformats.org/drawingml/2006/main">
                    <a:graphicData uri="http://schemas.openxmlformats.org/drawingml/2006/picture">
                      <pic:pic xmlns:pic="http://schemas.openxmlformats.org/drawingml/2006/picture">
                        <pic:nvPicPr>
                          <pic:cNvPr id="115" name="Picture_23_SpCnt_1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6" name="Picture_45_SpCnt_11"/>
                  <wp:cNvGraphicFramePr/>
                  <a:graphic xmlns:a="http://schemas.openxmlformats.org/drawingml/2006/main">
                    <a:graphicData uri="http://schemas.openxmlformats.org/drawingml/2006/picture">
                      <pic:pic xmlns:pic="http://schemas.openxmlformats.org/drawingml/2006/picture">
                        <pic:nvPicPr>
                          <pic:cNvPr id="116" name="Picture_45_SpCnt_11"/>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7" name="Picture_22_SpCnt_12"/>
                  <wp:cNvGraphicFramePr/>
                  <a:graphic xmlns:a="http://schemas.openxmlformats.org/drawingml/2006/main">
                    <a:graphicData uri="http://schemas.openxmlformats.org/drawingml/2006/picture">
                      <pic:pic xmlns:pic="http://schemas.openxmlformats.org/drawingml/2006/picture">
                        <pic:nvPicPr>
                          <pic:cNvPr id="117" name="Picture_22_SpCnt_1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8" name="Picture_45_SpCnt_12"/>
                  <wp:cNvGraphicFramePr/>
                  <a:graphic xmlns:a="http://schemas.openxmlformats.org/drawingml/2006/main">
                    <a:graphicData uri="http://schemas.openxmlformats.org/drawingml/2006/picture">
                      <pic:pic xmlns:pic="http://schemas.openxmlformats.org/drawingml/2006/picture">
                        <pic:nvPicPr>
                          <pic:cNvPr id="118" name="Picture_45_SpCnt_1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19" name="Picture_44_SpCnt_14"/>
                  <wp:cNvGraphicFramePr/>
                  <a:graphic xmlns:a="http://schemas.openxmlformats.org/drawingml/2006/main">
                    <a:graphicData uri="http://schemas.openxmlformats.org/drawingml/2006/picture">
                      <pic:pic xmlns:pic="http://schemas.openxmlformats.org/drawingml/2006/picture">
                        <pic:nvPicPr>
                          <pic:cNvPr id="119" name="Picture_44_SpCnt_1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0" name="Picture_23_SpCnt_12"/>
                  <wp:cNvGraphicFramePr/>
                  <a:graphic xmlns:a="http://schemas.openxmlformats.org/drawingml/2006/main">
                    <a:graphicData uri="http://schemas.openxmlformats.org/drawingml/2006/picture">
                      <pic:pic xmlns:pic="http://schemas.openxmlformats.org/drawingml/2006/picture">
                        <pic:nvPicPr>
                          <pic:cNvPr id="120" name="Picture_23_SpCnt_12"/>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1" name="Picture_22_SpCnt_13"/>
                  <wp:cNvGraphicFramePr/>
                  <a:graphic xmlns:a="http://schemas.openxmlformats.org/drawingml/2006/main">
                    <a:graphicData uri="http://schemas.openxmlformats.org/drawingml/2006/picture">
                      <pic:pic xmlns:pic="http://schemas.openxmlformats.org/drawingml/2006/picture">
                        <pic:nvPicPr>
                          <pic:cNvPr id="121" name="Picture_22_SpCnt_1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2" name="Picture_23_SpCnt_13"/>
                  <wp:cNvGraphicFramePr/>
                  <a:graphic xmlns:a="http://schemas.openxmlformats.org/drawingml/2006/main">
                    <a:graphicData uri="http://schemas.openxmlformats.org/drawingml/2006/picture">
                      <pic:pic xmlns:pic="http://schemas.openxmlformats.org/drawingml/2006/picture">
                        <pic:nvPicPr>
                          <pic:cNvPr id="122" name="Picture_23_SpCnt_1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3" name="Picture_45_SpCnt_13"/>
                  <wp:cNvGraphicFramePr/>
                  <a:graphic xmlns:a="http://schemas.openxmlformats.org/drawingml/2006/main">
                    <a:graphicData uri="http://schemas.openxmlformats.org/drawingml/2006/picture">
                      <pic:pic xmlns:pic="http://schemas.openxmlformats.org/drawingml/2006/picture">
                        <pic:nvPicPr>
                          <pic:cNvPr id="123" name="Picture_45_SpCnt_13"/>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4" name="Picture_22_SpCnt_14"/>
                  <wp:cNvGraphicFramePr/>
                  <a:graphic xmlns:a="http://schemas.openxmlformats.org/drawingml/2006/main">
                    <a:graphicData uri="http://schemas.openxmlformats.org/drawingml/2006/picture">
                      <pic:pic xmlns:pic="http://schemas.openxmlformats.org/drawingml/2006/picture">
                        <pic:nvPicPr>
                          <pic:cNvPr id="124" name="Picture_22_SpCnt_1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5" name="Picture_23_SpCnt_14"/>
                  <wp:cNvGraphicFramePr/>
                  <a:graphic xmlns:a="http://schemas.openxmlformats.org/drawingml/2006/main">
                    <a:graphicData uri="http://schemas.openxmlformats.org/drawingml/2006/picture">
                      <pic:pic xmlns:pic="http://schemas.openxmlformats.org/drawingml/2006/picture">
                        <pic:nvPicPr>
                          <pic:cNvPr id="125" name="Picture_23_SpCnt_1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8890" cy="31115"/>
                  <wp:effectExtent l="0" t="0" r="0" b="0"/>
                  <wp:wrapNone/>
                  <wp:docPr id="126" name="Picture_45_SpCnt_14"/>
                  <wp:cNvGraphicFramePr/>
                  <a:graphic xmlns:a="http://schemas.openxmlformats.org/drawingml/2006/main">
                    <a:graphicData uri="http://schemas.openxmlformats.org/drawingml/2006/picture">
                      <pic:pic xmlns:pic="http://schemas.openxmlformats.org/drawingml/2006/picture">
                        <pic:nvPicPr>
                          <pic:cNvPr id="126" name="Picture_45_SpCnt_14"/>
                          <pic:cNvPicPr/>
                        </pic:nvPicPr>
                        <pic:blipFill>
                          <a:blip r:embed="rId21"/>
                          <a:stretch>
                            <a:fillRect/>
                          </a:stretch>
                        </pic:blipFill>
                        <pic:spPr>
                          <a:xfrm>
                            <a:off x="0" y="0"/>
                            <a:ext cx="8890" cy="3111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385W压缩机功率</w:t>
            </w:r>
            <w:r>
              <w:rPr>
                <w:rFonts w:hint="default" w:ascii="Arial" w:hAnsi="Arial" w:eastAsia="宋体" w:cs="Arial"/>
                <w:i w:val="0"/>
                <w:iCs w:val="0"/>
                <w:color w:val="auto"/>
                <w:kern w:val="0"/>
                <w:sz w:val="21"/>
                <w:szCs w:val="21"/>
                <w:highlight w:val="none"/>
                <w:u w:val="none"/>
                <w:lang w:val="en-US" w:eastAsia="zh-CN" w:bidi="ar"/>
              </w:rPr>
              <w:t>，</w:t>
            </w:r>
            <w:r>
              <w:rPr>
                <w:rFonts w:hint="eastAsia"/>
                <w:color w:val="auto"/>
                <w:highlight w:val="none"/>
                <w:lang w:val="en-US" w:eastAsia="zh-CN"/>
              </w:rPr>
              <w:t>输入电源≥AC220V/50Hz，</w:t>
            </w:r>
          </w:p>
          <w:p w14:paraId="1F1A2E5D">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 2、冷阱温度≤-60℃（空载，环境温度≤28℃</w:t>
            </w:r>
            <w:r>
              <w:rPr>
                <w:rFonts w:hint="eastAsia" w:ascii="Arial" w:hAnsi="Arial" w:cs="Arial"/>
                <w:i w:val="0"/>
                <w:iCs w:val="0"/>
                <w:color w:val="auto"/>
                <w:kern w:val="0"/>
                <w:sz w:val="21"/>
                <w:szCs w:val="21"/>
                <w:highlight w:val="none"/>
                <w:u w:val="none"/>
                <w:lang w:val="en-US" w:eastAsia="zh-CN" w:bidi="ar"/>
              </w:rPr>
              <w:t>），冷阱尺寸≥Φ236×170mm</w:t>
            </w:r>
            <w:r>
              <w:rPr>
                <w:rFonts w:hint="default" w:ascii="Arial" w:hAnsi="Arial" w:eastAsia="宋体" w:cs="Arial"/>
                <w:i w:val="0"/>
                <w:iCs w:val="0"/>
                <w:color w:val="auto"/>
                <w:kern w:val="0"/>
                <w:sz w:val="21"/>
                <w:szCs w:val="21"/>
                <w:highlight w:val="none"/>
                <w:u w:val="none"/>
                <w:lang w:val="en-US" w:eastAsia="zh-CN" w:bidi="ar"/>
              </w:rPr>
              <w:t>，带有回冷器（利用回冷来二次降温）制冷效率高；</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3、采用环保制冷剂（绝对不含有国家禁用的制冷剂），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4、仪器标配真空泵，且真空泵与主机连接采用国际标准 KF 快</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速接头，可与多种真空泵联用；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5、真空压力显示单位可自由切换，支持 MBAR（毫巴），PA（帕斯卡），TORR（托尔）；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6、带有电加热除霜功能，冻干实验结束后，帮助冷阱加热化霜；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7、标配氮气充气阀，可充氮气或者惰性气体，进行仪器干燥后的保护。  </w:t>
            </w:r>
          </w:p>
        </w:tc>
      </w:tr>
      <w:tr w14:paraId="7FE6B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2F1A112">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11" w:type="dxa"/>
            <w:noWrap w:val="0"/>
            <w:vAlign w:val="center"/>
          </w:tcPr>
          <w:p w14:paraId="142B2A60">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离心机</w:t>
            </w:r>
          </w:p>
        </w:tc>
        <w:tc>
          <w:tcPr>
            <w:tcW w:w="582" w:type="dxa"/>
            <w:noWrap w:val="0"/>
            <w:vAlign w:val="center"/>
          </w:tcPr>
          <w:p w14:paraId="22AA55D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59A8173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2D233A4A">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4093A2B7">
            <w:pPr>
              <w:rPr>
                <w:rFonts w:hint="eastAsia"/>
                <w:color w:val="auto"/>
                <w:highlight w:val="none"/>
              </w:rPr>
            </w:pPr>
            <w:r>
              <w:rPr>
                <w:rFonts w:hint="eastAsia"/>
                <w:color w:val="auto"/>
                <w:highlight w:val="none"/>
                <w:lang w:val="en-US" w:eastAsia="zh-CN"/>
              </w:rPr>
              <w:t>≥</w:t>
            </w:r>
            <w:r>
              <w:rPr>
                <w:rFonts w:hint="eastAsia"/>
                <w:color w:val="auto"/>
                <w:highlight w:val="none"/>
              </w:rPr>
              <w:t>5寸高灵敏度（可戴手套直接操作）、高清触摸屏控制，操作简便，显示直观；</w:t>
            </w:r>
          </w:p>
          <w:p w14:paraId="0FF964F2">
            <w:pPr>
              <w:rPr>
                <w:rFonts w:hint="eastAsia" w:ascii="Arial" w:hAnsi="Arial" w:cs="Arial"/>
                <w:i w:val="0"/>
                <w:iCs w:val="0"/>
                <w:color w:val="auto"/>
                <w:kern w:val="0"/>
                <w:sz w:val="21"/>
                <w:szCs w:val="21"/>
                <w:highlight w:val="none"/>
                <w:u w:val="none"/>
                <w:lang w:val="en-US" w:eastAsia="zh-CN" w:bidi="ar"/>
              </w:rPr>
            </w:pPr>
            <w:r>
              <w:rPr>
                <w:rFonts w:hint="eastAsia"/>
                <w:color w:val="auto"/>
                <w:highlight w:val="none"/>
              </w:rPr>
              <w:t>最高转速 15000r/min</w:t>
            </w:r>
            <w:r>
              <w:rPr>
                <w:rFonts w:hint="eastAsia"/>
                <w:color w:val="auto"/>
                <w:highlight w:val="none"/>
                <w:lang w:eastAsia="zh-CN"/>
              </w:rPr>
              <w:t>，</w:t>
            </w:r>
            <w:r>
              <w:rPr>
                <w:rFonts w:hint="eastAsia" w:ascii="Arial" w:hAnsi="Arial" w:cs="Arial"/>
                <w:i w:val="0"/>
                <w:iCs w:val="0"/>
                <w:color w:val="auto"/>
                <w:kern w:val="0"/>
                <w:sz w:val="21"/>
                <w:szCs w:val="21"/>
                <w:highlight w:val="none"/>
                <w:u w:val="none"/>
                <w:lang w:val="en-US" w:eastAsia="zh-CN" w:bidi="ar"/>
              </w:rPr>
              <w:t>配置</w:t>
            </w:r>
            <w:r>
              <w:rPr>
                <w:rFonts w:hint="default" w:ascii="Arial" w:hAnsi="Arial" w:eastAsia="宋体" w:cs="Arial"/>
                <w:i w:val="0"/>
                <w:iCs w:val="0"/>
                <w:color w:val="auto"/>
                <w:kern w:val="0"/>
                <w:sz w:val="21"/>
                <w:szCs w:val="21"/>
                <w:highlight w:val="none"/>
                <w:u w:val="none"/>
                <w:lang w:val="en-US" w:eastAsia="zh-CN" w:bidi="ar"/>
              </w:rPr>
              <w:t>两个角转子No.1(24×1.5/2.2ml)</w:t>
            </w:r>
            <w:r>
              <w:rPr>
                <w:rFonts w:hint="eastAsia" w:ascii="Arial" w:hAnsi="Arial" w:cs="Arial"/>
                <w:i w:val="0"/>
                <w:iCs w:val="0"/>
                <w:color w:val="auto"/>
                <w:kern w:val="0"/>
                <w:sz w:val="21"/>
                <w:szCs w:val="21"/>
                <w:highlight w:val="none"/>
                <w:u w:val="none"/>
                <w:lang w:val="en-US" w:eastAsia="zh-CN" w:bidi="ar"/>
              </w:rPr>
              <w:t>，</w:t>
            </w:r>
          </w:p>
          <w:p w14:paraId="2FD6B7FE">
            <w:pP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11档加速，12档减速档位；第10档可以自定义加速、降速时间</w:t>
            </w:r>
            <w:r>
              <w:rPr>
                <w:rFonts w:hint="default" w:ascii="Arial" w:hAnsi="Arial" w:eastAsia="宋体" w:cs="Arial"/>
                <w:i w:val="0"/>
                <w:iCs w:val="0"/>
                <w:color w:val="auto"/>
                <w:kern w:val="0"/>
                <w:sz w:val="21"/>
                <w:szCs w:val="21"/>
                <w:highlight w:val="none"/>
                <w:u w:val="none"/>
                <w:lang w:val="en-US" w:eastAsia="zh-CN" w:bidi="ar"/>
              </w:rPr>
              <w:t xml:space="preserve">                                                                                                                                        </w:t>
            </w:r>
          </w:p>
        </w:tc>
      </w:tr>
      <w:tr w14:paraId="5528F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509" w:type="dxa"/>
            <w:noWrap w:val="0"/>
            <w:vAlign w:val="center"/>
          </w:tcPr>
          <w:p w14:paraId="7952EFB9">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3</w:t>
            </w:r>
          </w:p>
        </w:tc>
        <w:tc>
          <w:tcPr>
            <w:tcW w:w="911" w:type="dxa"/>
            <w:noWrap w:val="0"/>
            <w:vAlign w:val="center"/>
          </w:tcPr>
          <w:p w14:paraId="548C86C1">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多功能圆周脱色摇床</w:t>
            </w:r>
          </w:p>
        </w:tc>
        <w:tc>
          <w:tcPr>
            <w:tcW w:w="582" w:type="dxa"/>
            <w:noWrap w:val="0"/>
            <w:vAlign w:val="center"/>
          </w:tcPr>
          <w:p w14:paraId="50732DF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02E8A30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04562417">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09D11913">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1.周转直径：4mm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2.最大载重量：2.5kg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3.电机类型：直流无刷电机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4.电机输入功率：28W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5.电机输出功率：15W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6.速度范围：100~800rpm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7.速度显示：LCD</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8.定时器显示：LCD</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9.运作方式：定时/连续运转</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10.时间设置范围：1min-99h59min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11.电压：100~240V，50/60Hz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12.功率：</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30W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13.重量：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8.1kg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14.允许环境温度湿度：5~40s℃，80%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15.尺寸（长x宽x高）：</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300×340×100mm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16.外壳防护等级：</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IP20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17.数据接口：RS232</w:t>
            </w:r>
          </w:p>
        </w:tc>
      </w:tr>
      <w:tr w14:paraId="0E5A1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CC42F6E">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4</w:t>
            </w:r>
          </w:p>
        </w:tc>
        <w:tc>
          <w:tcPr>
            <w:tcW w:w="911" w:type="dxa"/>
            <w:noWrap w:val="0"/>
            <w:vAlign w:val="center"/>
          </w:tcPr>
          <w:p w14:paraId="45E16B12">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电泳 + 转印组合模块</w:t>
            </w:r>
          </w:p>
        </w:tc>
        <w:tc>
          <w:tcPr>
            <w:tcW w:w="582" w:type="dxa"/>
            <w:noWrap w:val="0"/>
            <w:vAlign w:val="center"/>
          </w:tcPr>
          <w:p w14:paraId="1063738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1678A21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3E865544">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5F981BEE">
            <w:pPr>
              <w:keepNext w:val="0"/>
              <w:keepLines w:val="0"/>
              <w:widowControl/>
              <w:numPr>
                <w:ilvl w:val="0"/>
                <w:numId w:val="4"/>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凝胶数：1-4块；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2.凝胶厚度：0.75mm、1mm、1.5mm可选；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3.加样梳齿数：10齿、15齿可选；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4.玻璃尺寸：短玻璃板（W×L：10.1×7.3cm</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尺寸公差 ±0.1cm）、长玻璃板（W×L：10.1×8.2cm）</w:t>
            </w:r>
            <w:r>
              <w:rPr>
                <w:rFonts w:hint="eastAsia"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尺寸公差 ±0.1cm</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5.凝胶大小：手灌胶（W×L：8.3×7.3cm</w:t>
            </w:r>
            <w:r>
              <w:rPr>
                <w:rFonts w:hint="eastAsia" w:ascii="Arial" w:hAnsi="Arial" w:cs="Arial"/>
                <w:i w:val="0"/>
                <w:iCs w:val="0"/>
                <w:color w:val="auto"/>
                <w:kern w:val="0"/>
                <w:sz w:val="21"/>
                <w:szCs w:val="21"/>
                <w:highlight w:val="none"/>
                <w:u w:val="none"/>
                <w:lang w:val="en-US" w:eastAsia="zh-CN" w:bidi="ar"/>
              </w:rPr>
              <w:t>，尺寸公差 ±0.1cm</w:t>
            </w:r>
            <w:r>
              <w:rPr>
                <w:rFonts w:hint="default" w:ascii="Arial" w:hAnsi="Arial" w:eastAsia="宋体" w:cs="Arial"/>
                <w:i w:val="0"/>
                <w:iCs w:val="0"/>
                <w:color w:val="auto"/>
                <w:kern w:val="0"/>
                <w:sz w:val="21"/>
                <w:szCs w:val="21"/>
                <w:highlight w:val="none"/>
                <w:u w:val="none"/>
                <w:lang w:val="en-US" w:eastAsia="zh-CN" w:bidi="ar"/>
              </w:rPr>
              <w:t>）、预制胶（W×L：8.6×6.8cm）。</w:t>
            </w:r>
          </w:p>
          <w:p w14:paraId="51D5D088">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eastAsia="宋体"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.可快速、高质量地转印小型凝胶，可容纳2个凝胶支架转印夹，可同时转印两块小型凝胶，也可进行低强度的过夜转印。</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eastAsia="宋体"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.电极丝相距4cm以产生强电场保证有效的蛋白转印。</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eastAsia="宋体"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.颜色标记的转印夹和电极确保凝胶的正确定向。</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eastAsia="宋体"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.转印凝胶数：2块；</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eastAsia="宋体"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t>.转印孔板面积：W×L：10×7.5cm</w:t>
            </w:r>
            <w:r>
              <w:rPr>
                <w:rFonts w:hint="eastAsia" w:ascii="Arial" w:hAnsi="Arial" w:cs="Arial"/>
                <w:i w:val="0"/>
                <w:iCs w:val="0"/>
                <w:color w:val="auto"/>
                <w:kern w:val="0"/>
                <w:sz w:val="21"/>
                <w:szCs w:val="21"/>
                <w:highlight w:val="none"/>
                <w:u w:val="none"/>
                <w:lang w:val="en-US" w:eastAsia="zh-CN" w:bidi="ar"/>
              </w:rPr>
              <w:t>，尺寸公差 ±0.1cm</w:t>
            </w:r>
            <w:r>
              <w:rPr>
                <w:rFonts w:hint="default" w:ascii="Arial" w:hAnsi="Arial" w:eastAsia="宋体" w:cs="Arial"/>
                <w:i w:val="0"/>
                <w:iCs w:val="0"/>
                <w:color w:val="auto"/>
                <w:kern w:val="0"/>
                <w:sz w:val="21"/>
                <w:szCs w:val="21"/>
                <w:highlight w:val="none"/>
                <w:u w:val="none"/>
                <w:lang w:val="en-US" w:eastAsia="zh-CN" w:bidi="ar"/>
              </w:rPr>
              <w:t>。</w:t>
            </w:r>
          </w:p>
        </w:tc>
      </w:tr>
      <w:tr w14:paraId="1452B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CDFB46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5</w:t>
            </w:r>
          </w:p>
        </w:tc>
        <w:tc>
          <w:tcPr>
            <w:tcW w:w="911" w:type="dxa"/>
            <w:noWrap w:val="0"/>
            <w:vAlign w:val="center"/>
          </w:tcPr>
          <w:p w14:paraId="6F291674">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服务器内存</w:t>
            </w:r>
          </w:p>
        </w:tc>
        <w:tc>
          <w:tcPr>
            <w:tcW w:w="582" w:type="dxa"/>
            <w:noWrap w:val="0"/>
            <w:vAlign w:val="center"/>
          </w:tcPr>
          <w:p w14:paraId="4FA9AA0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15</w:t>
            </w:r>
          </w:p>
        </w:tc>
        <w:tc>
          <w:tcPr>
            <w:tcW w:w="686" w:type="dxa"/>
            <w:noWrap w:val="0"/>
            <w:vAlign w:val="center"/>
          </w:tcPr>
          <w:p w14:paraId="5051AD0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条</w:t>
            </w:r>
          </w:p>
        </w:tc>
        <w:tc>
          <w:tcPr>
            <w:tcW w:w="754" w:type="dxa"/>
            <w:noWrap w:val="0"/>
            <w:vAlign w:val="center"/>
          </w:tcPr>
          <w:p w14:paraId="22965B46">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652A63E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32GB 2Rx4 DDR4-3200 RDIMM内存模块</w:t>
            </w:r>
          </w:p>
        </w:tc>
      </w:tr>
      <w:tr w14:paraId="44CBC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9B7A9D2">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6</w:t>
            </w:r>
          </w:p>
        </w:tc>
        <w:tc>
          <w:tcPr>
            <w:tcW w:w="911" w:type="dxa"/>
            <w:noWrap w:val="0"/>
            <w:vAlign w:val="center"/>
          </w:tcPr>
          <w:p w14:paraId="33347C5C">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服务器硬盘</w:t>
            </w:r>
          </w:p>
        </w:tc>
        <w:tc>
          <w:tcPr>
            <w:tcW w:w="582" w:type="dxa"/>
            <w:noWrap w:val="0"/>
            <w:vAlign w:val="center"/>
          </w:tcPr>
          <w:p w14:paraId="3928E84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6</w:t>
            </w:r>
          </w:p>
        </w:tc>
        <w:tc>
          <w:tcPr>
            <w:tcW w:w="686" w:type="dxa"/>
            <w:noWrap w:val="0"/>
            <w:vAlign w:val="center"/>
          </w:tcPr>
          <w:p w14:paraId="55AE7CE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块</w:t>
            </w:r>
          </w:p>
        </w:tc>
        <w:tc>
          <w:tcPr>
            <w:tcW w:w="754" w:type="dxa"/>
            <w:noWrap w:val="0"/>
            <w:vAlign w:val="center"/>
          </w:tcPr>
          <w:p w14:paraId="17DA49B0">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7826F8C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3.84TB 6Gb/s SATA 2.5in RI SSD 通用硬盘模块</w:t>
            </w:r>
          </w:p>
        </w:tc>
      </w:tr>
      <w:tr w14:paraId="6F4ED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C2990BF">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7</w:t>
            </w:r>
          </w:p>
        </w:tc>
        <w:tc>
          <w:tcPr>
            <w:tcW w:w="911" w:type="dxa"/>
            <w:noWrap w:val="0"/>
            <w:vAlign w:val="center"/>
          </w:tcPr>
          <w:p w14:paraId="68314E16">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服务器硬盘笼</w:t>
            </w:r>
          </w:p>
        </w:tc>
        <w:tc>
          <w:tcPr>
            <w:tcW w:w="582" w:type="dxa"/>
            <w:noWrap w:val="0"/>
            <w:vAlign w:val="center"/>
          </w:tcPr>
          <w:p w14:paraId="2CA56A2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1</w:t>
            </w:r>
          </w:p>
        </w:tc>
        <w:tc>
          <w:tcPr>
            <w:tcW w:w="686" w:type="dxa"/>
            <w:noWrap w:val="0"/>
            <w:vAlign w:val="center"/>
          </w:tcPr>
          <w:p w14:paraId="2A489CE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个</w:t>
            </w:r>
          </w:p>
        </w:tc>
        <w:tc>
          <w:tcPr>
            <w:tcW w:w="754" w:type="dxa"/>
            <w:noWrap w:val="0"/>
            <w:vAlign w:val="center"/>
          </w:tcPr>
          <w:p w14:paraId="11CC94AB">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CE9358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 </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8盘位（2.5寸）硬盘背板模块</w:t>
            </w:r>
          </w:p>
        </w:tc>
      </w:tr>
      <w:tr w14:paraId="2F15A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9" w:type="dxa"/>
            <w:noWrap w:val="0"/>
            <w:vAlign w:val="center"/>
          </w:tcPr>
          <w:p w14:paraId="1B83BD68">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8</w:t>
            </w:r>
          </w:p>
        </w:tc>
        <w:tc>
          <w:tcPr>
            <w:tcW w:w="911" w:type="dxa"/>
            <w:noWrap w:val="0"/>
            <w:vAlign w:val="center"/>
          </w:tcPr>
          <w:p w14:paraId="472C161F">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目视旋光仪（钠光灯）</w:t>
            </w:r>
          </w:p>
        </w:tc>
        <w:tc>
          <w:tcPr>
            <w:tcW w:w="582" w:type="dxa"/>
            <w:noWrap w:val="0"/>
            <w:vAlign w:val="center"/>
          </w:tcPr>
          <w:p w14:paraId="2FB5225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20</w:t>
            </w:r>
          </w:p>
        </w:tc>
        <w:tc>
          <w:tcPr>
            <w:tcW w:w="686" w:type="dxa"/>
            <w:noWrap w:val="0"/>
            <w:vAlign w:val="center"/>
          </w:tcPr>
          <w:p w14:paraId="21F6C0C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5962CC30">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3F9D7529">
            <w:pPr>
              <w:keepNext w:val="0"/>
              <w:keepLines w:val="0"/>
              <w:widowControl/>
              <w:suppressLineNumbers w:val="0"/>
              <w:spacing w:after="200" w:afterAutospacing="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旋光度</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仪器光源(可选配)</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波长589nm（钠光灯）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测量范围</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±180°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度盘格值</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度盘游标读数值</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0.05°</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放大镜放大倍数</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试管长度</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100mm/200mm普通型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电源</w:t>
            </w:r>
            <w:r>
              <w:rPr>
                <w:rFonts w:hint="eastAsia"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220V±22V , 50Hz±1Hz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仪器尺寸</w:t>
            </w:r>
            <w:r>
              <w:rPr>
                <w:rFonts w:hint="eastAsia" w:ascii="Arial" w:hAnsi="Arial" w:eastAsia="宋体" w:cs="Arial"/>
                <w:i w:val="0"/>
                <w:iCs w:val="0"/>
                <w:color w:val="auto"/>
                <w:kern w:val="0"/>
                <w:sz w:val="21"/>
                <w:szCs w:val="21"/>
                <w:highlight w:val="none"/>
                <w:u w:val="none"/>
                <w:lang w:val="en-US" w:eastAsia="zh-CN" w:bidi="ar"/>
              </w:rPr>
              <w:t>：（长x宽x高）</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435mm×135mm×320mm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仪器净重</w:t>
            </w:r>
            <w:r>
              <w:rPr>
                <w:rFonts w:hint="eastAsia" w:ascii="Arial" w:hAnsi="Arial" w:eastAsia="宋体" w:cs="Arial"/>
                <w:i w:val="0"/>
                <w:iCs w:val="0"/>
                <w:color w:val="auto"/>
                <w:kern w:val="0"/>
                <w:sz w:val="21"/>
                <w:szCs w:val="21"/>
                <w:highlight w:val="none"/>
                <w:u w:val="none"/>
                <w:lang w:val="en-US" w:eastAsia="zh-CN" w:bidi="ar"/>
              </w:rPr>
              <w:t>：</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5.0kg</w:t>
            </w:r>
          </w:p>
        </w:tc>
      </w:tr>
      <w:tr w14:paraId="7219B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F99B896">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9</w:t>
            </w:r>
          </w:p>
        </w:tc>
        <w:tc>
          <w:tcPr>
            <w:tcW w:w="911" w:type="dxa"/>
            <w:noWrap w:val="0"/>
            <w:vAlign w:val="center"/>
          </w:tcPr>
          <w:p w14:paraId="4455A2AB">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数字电路与EDA实验平台</w:t>
            </w:r>
          </w:p>
        </w:tc>
        <w:tc>
          <w:tcPr>
            <w:tcW w:w="582" w:type="dxa"/>
            <w:noWrap w:val="0"/>
            <w:vAlign w:val="center"/>
          </w:tcPr>
          <w:p w14:paraId="7A5CDEE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20</w:t>
            </w:r>
          </w:p>
        </w:tc>
        <w:tc>
          <w:tcPr>
            <w:tcW w:w="686" w:type="dxa"/>
            <w:noWrap w:val="0"/>
            <w:vAlign w:val="center"/>
          </w:tcPr>
          <w:p w14:paraId="54EFDD1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74F3D581">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noWrap w:val="0"/>
            <w:vAlign w:val="center"/>
          </w:tcPr>
          <w:p w14:paraId="2094135F">
            <w:pPr>
              <w:keepNext w:val="0"/>
              <w:keepLines w:val="0"/>
              <w:widowControl/>
              <w:suppressLineNumbers w:val="0"/>
              <w:jc w:val="left"/>
              <w:textAlignment w:val="center"/>
              <w:rPr>
                <w:rFonts w:hint="default"/>
                <w:color w:val="auto"/>
                <w:highlight w:val="none"/>
                <w:lang w:val="en-US" w:eastAsia="zh-CN"/>
              </w:rPr>
            </w:pPr>
            <w:r>
              <w:rPr>
                <w:rFonts w:hint="default"/>
                <w:color w:val="auto"/>
                <w:highlight w:val="none"/>
                <w:lang w:val="en-US" w:eastAsia="zh-CN"/>
              </w:rPr>
              <w:t>一、主要技术参数：</w:t>
            </w:r>
            <w:r>
              <w:rPr>
                <w:rFonts w:hint="default"/>
                <w:color w:val="auto"/>
                <w:highlight w:val="none"/>
                <w:lang w:val="en-US" w:eastAsia="zh-CN"/>
              </w:rPr>
              <w:br w:type="textWrapping"/>
            </w:r>
            <w:r>
              <w:rPr>
                <w:rFonts w:hint="default"/>
                <w:color w:val="auto"/>
                <w:highlight w:val="none"/>
                <w:lang w:val="en-US" w:eastAsia="zh-CN"/>
              </w:rPr>
              <w:t xml:space="preserve">1、实验箱采用主板加模块结构，接插件可靠，便于升级维护； </w:t>
            </w:r>
            <w:r>
              <w:rPr>
                <w:rFonts w:hint="default"/>
                <w:color w:val="auto"/>
                <w:highlight w:val="none"/>
                <w:lang w:val="en-US" w:eastAsia="zh-CN"/>
              </w:rPr>
              <w:br w:type="textWrapping"/>
            </w:r>
            <w:r>
              <w:rPr>
                <w:rFonts w:hint="default"/>
                <w:color w:val="auto"/>
                <w:highlight w:val="none"/>
                <w:lang w:val="en-US" w:eastAsia="zh-CN"/>
              </w:rPr>
              <w:t xml:space="preserve">2、主板功能：  </w:t>
            </w:r>
            <w:r>
              <w:rPr>
                <w:rFonts w:hint="default"/>
                <w:color w:val="auto"/>
                <w:highlight w:val="none"/>
                <w:lang w:val="en-US" w:eastAsia="zh-CN"/>
              </w:rPr>
              <w:br w:type="textWrapping"/>
            </w:r>
            <w:r>
              <w:rPr>
                <w:rFonts w:hint="default"/>
                <w:color w:val="auto"/>
                <w:highlight w:val="none"/>
                <w:lang w:val="en-US" w:eastAsia="zh-CN"/>
              </w:rPr>
              <w:t>(1)内嵌</w:t>
            </w:r>
            <w:r>
              <w:rPr>
                <w:rFonts w:hint="eastAsia"/>
                <w:color w:val="auto"/>
                <w:highlight w:val="none"/>
                <w:lang w:val="en-US" w:eastAsia="zh-CN"/>
              </w:rPr>
              <w:t>≥7</w:t>
            </w:r>
            <w:r>
              <w:rPr>
                <w:rFonts w:hint="default"/>
                <w:color w:val="auto"/>
                <w:highlight w:val="none"/>
                <w:lang w:val="en-US" w:eastAsia="zh-CN"/>
              </w:rPr>
              <w:t>寸液晶，触摸操控，通过人机交互界面，选择并拖放DIP插座所需74系列芯片；真实完成组合逻辑电路、时序逻辑电路设计与开发，减轻配发、检查芯片的工作量；</w:t>
            </w:r>
            <w:r>
              <w:rPr>
                <w:rFonts w:hint="eastAsia"/>
                <w:color w:val="auto"/>
                <w:highlight w:val="none"/>
                <w:lang w:val="en-US" w:eastAsia="zh-CN"/>
              </w:rPr>
              <w:t>具备74系统芯片映射功能，即DIP插座可以插74系列芯片做实验，也可通过人机对话方式在DIP插座上映射74系列芯片，不插芯片也可做实验。（响应文件中需提供不插芯片，既芯片映射功能做实验的功能截图，否则响应无效）</w:t>
            </w:r>
            <w:r>
              <w:rPr>
                <w:rFonts w:hint="default"/>
                <w:color w:val="auto"/>
                <w:highlight w:val="none"/>
                <w:lang w:val="en-US" w:eastAsia="zh-CN"/>
              </w:rPr>
              <w:br w:type="textWrapping"/>
            </w:r>
            <w:r>
              <w:rPr>
                <w:rFonts w:hint="default"/>
                <w:color w:val="auto"/>
                <w:highlight w:val="none"/>
                <w:lang w:val="en-US" w:eastAsia="zh-CN"/>
              </w:rPr>
              <w:t>(2)8路逻辑分析仪，分辩率40ns，存贮深度：50KB；</w:t>
            </w:r>
            <w:r>
              <w:rPr>
                <w:rFonts w:hint="default"/>
                <w:color w:val="auto"/>
                <w:highlight w:val="none"/>
                <w:lang w:val="en-US" w:eastAsia="zh-CN"/>
              </w:rPr>
              <w:br w:type="textWrapping"/>
            </w:r>
            <w:r>
              <w:rPr>
                <w:rFonts w:hint="default"/>
                <w:color w:val="auto"/>
                <w:highlight w:val="none"/>
                <w:lang w:val="en-US" w:eastAsia="zh-CN"/>
              </w:rPr>
              <w:t>(3)1路示波器，模拟带宽500K；</w:t>
            </w:r>
            <w:r>
              <w:rPr>
                <w:rFonts w:hint="default"/>
                <w:color w:val="auto"/>
                <w:highlight w:val="none"/>
                <w:lang w:val="en-US" w:eastAsia="zh-CN"/>
              </w:rPr>
              <w:br w:type="textWrapping"/>
            </w:r>
            <w:r>
              <w:rPr>
                <w:rFonts w:hint="default"/>
                <w:color w:val="auto"/>
                <w:highlight w:val="none"/>
                <w:lang w:val="en-US" w:eastAsia="zh-CN"/>
              </w:rPr>
              <w:t>(4)DDS信号源：正弦波、方波、三角波；正弦波频率：0-200KHZ（可编程）；方波和三角波：0-20KHZ（可编程）；幅度：0-4Vpp；</w:t>
            </w:r>
            <w:r>
              <w:rPr>
                <w:rFonts w:hint="default"/>
                <w:color w:val="auto"/>
                <w:highlight w:val="none"/>
                <w:lang w:val="en-US" w:eastAsia="zh-CN"/>
              </w:rPr>
              <w:br w:type="textWrapping"/>
            </w:r>
            <w:r>
              <w:rPr>
                <w:rFonts w:hint="default"/>
                <w:color w:val="auto"/>
                <w:highlight w:val="none"/>
                <w:lang w:val="en-US" w:eastAsia="zh-CN"/>
              </w:rPr>
              <w:t>(5)6路消抖正负脉冲输出、16路逻辑电平输出；</w:t>
            </w:r>
            <w:r>
              <w:rPr>
                <w:rFonts w:hint="default"/>
                <w:color w:val="auto"/>
                <w:highlight w:val="none"/>
                <w:lang w:val="en-US" w:eastAsia="zh-CN"/>
              </w:rPr>
              <w:br w:type="textWrapping"/>
            </w:r>
            <w:r>
              <w:rPr>
                <w:rFonts w:hint="default"/>
                <w:color w:val="auto"/>
                <w:highlight w:val="none"/>
                <w:lang w:val="en-US" w:eastAsia="zh-CN"/>
              </w:rPr>
              <w:t>(6)8位LED数码管（6个BCD译码，2个不译码）、16个LED指示灯；</w:t>
            </w:r>
            <w:r>
              <w:rPr>
                <w:rFonts w:hint="default"/>
                <w:color w:val="auto"/>
                <w:highlight w:val="none"/>
                <w:lang w:val="en-US" w:eastAsia="zh-CN"/>
              </w:rPr>
              <w:br w:type="textWrapping"/>
            </w:r>
            <w:r>
              <w:rPr>
                <w:rFonts w:hint="default"/>
                <w:color w:val="auto"/>
                <w:highlight w:val="none"/>
                <w:lang w:val="en-US" w:eastAsia="zh-CN"/>
              </w:rPr>
              <w:t>(7)三态逻辑笔；</w:t>
            </w:r>
            <w:r>
              <w:rPr>
                <w:rFonts w:hint="default"/>
                <w:color w:val="auto"/>
                <w:highlight w:val="none"/>
                <w:lang w:val="en-US" w:eastAsia="zh-CN"/>
              </w:rPr>
              <w:br w:type="textWrapping"/>
            </w:r>
            <w:r>
              <w:rPr>
                <w:rFonts w:hint="default"/>
                <w:color w:val="auto"/>
                <w:highlight w:val="none"/>
                <w:lang w:val="en-US" w:eastAsia="zh-CN"/>
              </w:rPr>
              <w:t>(8)开放模拟器件区、喇叭、蜂鸣器；</w:t>
            </w:r>
            <w:r>
              <w:rPr>
                <w:rFonts w:hint="default"/>
                <w:color w:val="auto"/>
                <w:highlight w:val="none"/>
                <w:lang w:val="en-US" w:eastAsia="zh-CN"/>
              </w:rPr>
              <w:br w:type="textWrapping"/>
            </w:r>
            <w:r>
              <w:rPr>
                <w:rFonts w:hint="default"/>
                <w:color w:val="auto"/>
                <w:highlight w:val="none"/>
                <w:lang w:val="en-US" w:eastAsia="zh-CN"/>
              </w:rPr>
              <w:t>(9)时钟信号：1HZ、2HZ、4HZ、8KHZ、10KHZ、1KHZ、10KHZ、1MHZ；连续脉冲：0HZ-1MHZ连续可调；</w:t>
            </w:r>
            <w:r>
              <w:rPr>
                <w:rFonts w:hint="default"/>
                <w:color w:val="auto"/>
                <w:highlight w:val="none"/>
                <w:lang w:val="en-US" w:eastAsia="zh-CN"/>
              </w:rPr>
              <w:br w:type="textWrapping"/>
            </w:r>
            <w:r>
              <w:rPr>
                <w:rFonts w:hint="default"/>
                <w:color w:val="auto"/>
                <w:highlight w:val="none"/>
                <w:lang w:val="en-US" w:eastAsia="zh-CN"/>
              </w:rPr>
              <w:t>(10)课件功能：实时查阅实验内容、任务、注意事项、器件真值表，提高实验效率；存贮拷贝实验结果（时序图、逻辑图）供电子报告上传；</w:t>
            </w:r>
            <w:r>
              <w:rPr>
                <w:rFonts w:hint="default"/>
                <w:color w:val="auto"/>
                <w:highlight w:val="none"/>
                <w:lang w:val="en-US" w:eastAsia="zh-CN"/>
              </w:rPr>
              <w:br w:type="textWrapping"/>
            </w:r>
            <w:r>
              <w:rPr>
                <w:rFonts w:hint="default"/>
                <w:color w:val="auto"/>
                <w:highlight w:val="none"/>
                <w:lang w:val="en-US" w:eastAsia="zh-CN"/>
              </w:rPr>
              <w:t>(11)支持远程74系统元件库更新，满足不同需求；</w:t>
            </w:r>
            <w:r>
              <w:rPr>
                <w:rFonts w:hint="eastAsia"/>
                <w:color w:val="auto"/>
                <w:highlight w:val="none"/>
                <w:lang w:val="en-US" w:eastAsia="zh-CN"/>
              </w:rPr>
              <w:t>映射芯片断电保护，下次实验不需重选芯片。</w:t>
            </w:r>
            <w:r>
              <w:rPr>
                <w:rFonts w:hint="default"/>
                <w:color w:val="auto"/>
                <w:highlight w:val="none"/>
                <w:lang w:val="en-US" w:eastAsia="zh-CN"/>
              </w:rPr>
              <w:br w:type="textWrapping"/>
            </w:r>
            <w:r>
              <w:rPr>
                <w:rFonts w:hint="default"/>
                <w:color w:val="auto"/>
                <w:highlight w:val="none"/>
                <w:lang w:val="en-US" w:eastAsia="zh-CN"/>
              </w:rPr>
              <w:t>3、标配带锁紧功能的圆孔DIP插座开发板两块，每个模块提供14芯插座2个、16芯插座2个、20芯插座1个，采用K2A33插孔连线，可靠接触，性能稳定；</w:t>
            </w:r>
            <w:r>
              <w:rPr>
                <w:rFonts w:hint="default"/>
                <w:color w:val="auto"/>
                <w:highlight w:val="none"/>
                <w:lang w:val="en-US" w:eastAsia="zh-CN"/>
              </w:rPr>
              <w:br w:type="textWrapping"/>
            </w:r>
            <w:r>
              <w:rPr>
                <w:rFonts w:hint="default"/>
                <w:color w:val="auto"/>
                <w:highlight w:val="none"/>
                <w:lang w:val="en-US" w:eastAsia="zh-CN"/>
              </w:rPr>
              <w:t>4、DIP插座具有芯片映射功能，即DIP插座可以插74系列芯片做实验，也可通过人机对话方式在DIP插座上映射74系列芯片（不插芯片）做实验；</w:t>
            </w:r>
            <w:r>
              <w:rPr>
                <w:rFonts w:hint="default"/>
                <w:color w:val="auto"/>
                <w:highlight w:val="none"/>
                <w:lang w:val="en-US" w:eastAsia="zh-CN"/>
              </w:rPr>
              <w:br w:type="textWrapping"/>
            </w:r>
            <w:r>
              <w:rPr>
                <w:rFonts w:hint="default"/>
                <w:color w:val="auto"/>
                <w:highlight w:val="none"/>
                <w:lang w:val="en-US" w:eastAsia="zh-CN"/>
              </w:rPr>
              <w:t>5、“虚拟芯片，实体实验”，学生通过鼠标选取并拖放虚拟芯片至插座，完成芯片映射；</w:t>
            </w:r>
            <w:r>
              <w:rPr>
                <w:rFonts w:hint="default"/>
                <w:color w:val="auto"/>
                <w:highlight w:val="none"/>
                <w:lang w:val="en-US" w:eastAsia="zh-CN"/>
              </w:rPr>
              <w:br w:type="textWrapping"/>
            </w:r>
            <w:r>
              <w:rPr>
                <w:rFonts w:hint="default"/>
                <w:color w:val="auto"/>
                <w:highlight w:val="none"/>
                <w:lang w:val="en-US" w:eastAsia="zh-CN"/>
              </w:rPr>
              <w:t>6、支持加载FPGA开发软件，DIP插座开发板内置FPGA芯片，开放80个IO</w:t>
            </w:r>
            <w:r>
              <w:rPr>
                <w:rFonts w:hint="eastAsia"/>
                <w:color w:val="auto"/>
                <w:highlight w:val="none"/>
                <w:lang w:val="en-US" w:eastAsia="zh-CN"/>
              </w:rPr>
              <w:t>口</w:t>
            </w:r>
            <w:r>
              <w:rPr>
                <w:rFonts w:hint="default"/>
                <w:color w:val="auto"/>
                <w:highlight w:val="none"/>
                <w:lang w:val="en-US" w:eastAsia="zh-CN"/>
              </w:rPr>
              <w:t>，学生可自定义IO完全EDA实验；FPGA软件不需JTAG下载线，可通过无线网络远程下载；</w:t>
            </w:r>
            <w:r>
              <w:rPr>
                <w:rFonts w:hint="default"/>
                <w:color w:val="auto"/>
                <w:highlight w:val="none"/>
                <w:lang w:val="en-US" w:eastAsia="zh-CN"/>
              </w:rPr>
              <w:br w:type="textWrapping"/>
            </w:r>
            <w:r>
              <w:rPr>
                <w:rFonts w:hint="default"/>
                <w:color w:val="auto"/>
                <w:highlight w:val="none"/>
                <w:lang w:val="en-US" w:eastAsia="zh-CN"/>
              </w:rPr>
              <w:t>7、平台内置实验课件、器件真值表查阅等功能；</w:t>
            </w:r>
            <w:r>
              <w:rPr>
                <w:rFonts w:hint="default"/>
                <w:color w:val="auto"/>
                <w:highlight w:val="none"/>
                <w:lang w:val="en-US" w:eastAsia="zh-CN"/>
              </w:rPr>
              <w:br w:type="textWrapping"/>
            </w:r>
            <w:r>
              <w:rPr>
                <w:rFonts w:hint="default"/>
                <w:color w:val="auto"/>
                <w:highlight w:val="none"/>
                <w:lang w:val="en-US" w:eastAsia="zh-CN"/>
              </w:rPr>
              <w:t>8、平台支持数字系统设计的原理图输入、仿真、加载、性能验证，学生不用插各种芯片并进行复杂连线，提升实验效率。</w:t>
            </w:r>
          </w:p>
          <w:p w14:paraId="5DE64C56">
            <w:pPr>
              <w:keepNext w:val="0"/>
              <w:keepLines w:val="0"/>
              <w:widowControl/>
              <w:suppressLineNumbers w:val="0"/>
              <w:jc w:val="left"/>
              <w:textAlignment w:val="center"/>
              <w:rPr>
                <w:rFonts w:hint="eastAsia"/>
                <w:color w:val="auto"/>
                <w:highlight w:val="none"/>
                <w:lang w:val="en-US" w:eastAsia="zh-CN"/>
              </w:rPr>
            </w:pPr>
            <w:r>
              <w:rPr>
                <w:rFonts w:hint="eastAsia"/>
                <w:color w:val="auto"/>
                <w:highlight w:val="none"/>
                <w:lang w:val="en-US" w:eastAsia="zh-CN"/>
              </w:rPr>
              <w:t>9、数码管与LED显示模块：8位LED数码管（6个BCD译码，2个不译码）、16个LED指示灯。</w:t>
            </w:r>
          </w:p>
          <w:p w14:paraId="744D6D82">
            <w:pPr>
              <w:keepNext w:val="0"/>
              <w:keepLines w:val="0"/>
              <w:widowControl/>
              <w:suppressLineNumbers w:val="0"/>
              <w:jc w:val="left"/>
              <w:textAlignment w:val="center"/>
              <w:rPr>
                <w:rFonts w:hint="eastAsia"/>
                <w:color w:val="auto"/>
                <w:highlight w:val="none"/>
                <w:lang w:val="en-US" w:eastAsia="zh-CN"/>
              </w:rPr>
            </w:pPr>
            <w:r>
              <w:rPr>
                <w:rFonts w:hint="eastAsia"/>
                <w:color w:val="auto"/>
                <w:highlight w:val="none"/>
                <w:lang w:val="en-US" w:eastAsia="zh-CN"/>
              </w:rPr>
              <w:t>10、阻容模块：内置多种电阻电容和电位器，两个运算放大器，满足模数、数模转换、555定时电路所需器件。</w:t>
            </w:r>
          </w:p>
          <w:p w14:paraId="06D71009">
            <w:pPr>
              <w:keepNext w:val="0"/>
              <w:keepLines w:val="0"/>
              <w:widowControl/>
              <w:suppressLineNumbers w:val="0"/>
              <w:jc w:val="left"/>
              <w:textAlignment w:val="center"/>
              <w:rPr>
                <w:rFonts w:hint="default"/>
                <w:color w:val="auto"/>
                <w:highlight w:val="none"/>
                <w:lang w:val="en-US" w:eastAsia="zh-CN"/>
              </w:rPr>
            </w:pPr>
            <w:r>
              <w:rPr>
                <w:rFonts w:hint="eastAsia"/>
                <w:color w:val="auto"/>
                <w:highlight w:val="none"/>
                <w:lang w:val="en-US" w:eastAsia="zh-CN"/>
              </w:rPr>
              <w:t>11、芯片库必须能够支持学生自行开发设计，设计好的芯片功能可以下载到实验箱进行验证。（响应文件中需体提供在PC端用原理图设计基于1KHz时钟的秒计数器，下载任一DIP开发板后，在实验箱上验证秒计数功能的截图，否则响应无效）</w:t>
            </w:r>
          </w:p>
          <w:p w14:paraId="7A570BA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color w:val="auto"/>
                <w:highlight w:val="none"/>
                <w:lang w:val="en-US" w:eastAsia="zh-CN"/>
              </w:rPr>
              <w:t>二、故障考核仿真软件：基于BS架构，能在浏览器上完成所数字逻辑电路实验的仿真；支持电路原理图输入仿真；内置和商用仪器面板一致的4通道虚拟示波器、虚拟任意波形发生器等仪表；教师端可设置并发送有故障的数字电路，学生接收故障电路后，利用标配的虚拟仪器仪表对故障电路进行检测分析，找出故障器件。故障类型有：仪表设置故障，逻辑芯片功能故障，外设（按键，LED，数码管等）损坏故障，连线错误故障，连接线开路故障等多种故障类型</w:t>
            </w:r>
            <w:r>
              <w:rPr>
                <w:rFonts w:hint="eastAsia"/>
                <w:color w:val="auto"/>
                <w:highlight w:val="none"/>
                <w:lang w:val="en-US" w:eastAsia="zh-CN"/>
              </w:rPr>
              <w:t>。仿真软件可选两种工作模式，分别为：原理仿真、故障检测仿真。原理仿真时学生可自主搭建数字电路，利用配套真实仪器面板的虚拟万用表、信号源、双踪示波器、稳压源进行电路原理仿真和调测。故障检测仿真时教师在管理员平台设置给定电路的故障点与故障类型（包括：有源无源器件损坏、元件标称错误、连接导线开路等），通过网络定向发给某个学生或全体学生，学生利用虚拟仪器测量分析并排除故障，支持教师在线辅导，并发用户数不少于40个（响应文件中需提供上述仿真软件功能截图，①需搭建三人表决器电路并用仪器验证电路功能；②教师在管理员端给该电路设置≥2个故障，学生接收故障电路、测试分析定位故障；否则响应无效）。</w:t>
            </w:r>
            <w:r>
              <w:rPr>
                <w:rFonts w:hint="default"/>
                <w:color w:val="auto"/>
                <w:highlight w:val="none"/>
                <w:lang w:val="en-US" w:eastAsia="zh-CN"/>
              </w:rPr>
              <w:br w:type="textWrapping"/>
            </w:r>
            <w:r>
              <w:rPr>
                <w:rFonts w:hint="default"/>
                <w:color w:val="auto"/>
                <w:highlight w:val="none"/>
                <w:lang w:val="en-US" w:eastAsia="zh-CN"/>
              </w:rPr>
              <w:t>三、实验项目</w:t>
            </w:r>
            <w:r>
              <w:rPr>
                <w:rFonts w:hint="default"/>
                <w:color w:val="auto"/>
                <w:highlight w:val="none"/>
                <w:lang w:val="en-US" w:eastAsia="zh-CN"/>
              </w:rPr>
              <w:br w:type="textWrapping"/>
            </w:r>
            <w:r>
              <w:rPr>
                <w:rFonts w:hint="default"/>
                <w:color w:val="auto"/>
                <w:highlight w:val="none"/>
                <w:lang w:val="en-US" w:eastAsia="zh-CN"/>
              </w:rPr>
              <w:t>第一章  基本实验</w:t>
            </w:r>
            <w:r>
              <w:rPr>
                <w:rFonts w:hint="default"/>
                <w:color w:val="auto"/>
                <w:highlight w:val="none"/>
                <w:lang w:val="en-US" w:eastAsia="zh-CN"/>
              </w:rPr>
              <w:br w:type="textWrapping"/>
            </w:r>
            <w:r>
              <w:rPr>
                <w:rFonts w:hint="default"/>
                <w:color w:val="auto"/>
                <w:highlight w:val="none"/>
                <w:lang w:val="en-US" w:eastAsia="zh-CN"/>
              </w:rPr>
              <w:t>实验一  实验箱的使用</w:t>
            </w:r>
            <w:r>
              <w:rPr>
                <w:rFonts w:hint="default"/>
                <w:color w:val="auto"/>
                <w:highlight w:val="none"/>
                <w:lang w:val="en-US" w:eastAsia="zh-CN"/>
              </w:rPr>
              <w:br w:type="textWrapping"/>
            </w:r>
            <w:r>
              <w:rPr>
                <w:rFonts w:hint="default"/>
                <w:color w:val="auto"/>
                <w:highlight w:val="none"/>
                <w:lang w:val="en-US" w:eastAsia="zh-CN"/>
              </w:rPr>
              <w:t xml:space="preserve">实验二  门电路逻辑功能及测试 </w:t>
            </w:r>
            <w:r>
              <w:rPr>
                <w:rFonts w:hint="default"/>
                <w:color w:val="auto"/>
                <w:highlight w:val="none"/>
                <w:lang w:val="en-US" w:eastAsia="zh-CN"/>
              </w:rPr>
              <w:br w:type="textWrapping"/>
            </w:r>
            <w:r>
              <w:rPr>
                <w:rFonts w:hint="default"/>
                <w:color w:val="auto"/>
                <w:highlight w:val="none"/>
                <w:lang w:val="en-US" w:eastAsia="zh-CN"/>
              </w:rPr>
              <w:t xml:space="preserve">实验三  三态门和OC门的研究 </w:t>
            </w:r>
            <w:r>
              <w:rPr>
                <w:rFonts w:hint="default"/>
                <w:color w:val="auto"/>
                <w:highlight w:val="none"/>
                <w:lang w:val="en-US" w:eastAsia="zh-CN"/>
              </w:rPr>
              <w:br w:type="textWrapping"/>
            </w:r>
            <w:r>
              <w:rPr>
                <w:rFonts w:hint="default"/>
                <w:color w:val="auto"/>
                <w:highlight w:val="none"/>
                <w:lang w:val="en-US" w:eastAsia="zh-CN"/>
              </w:rPr>
              <w:t xml:space="preserve">实验四  组合逻辑电路（半加器、全加器） </w:t>
            </w:r>
            <w:r>
              <w:rPr>
                <w:rFonts w:hint="default"/>
                <w:color w:val="auto"/>
                <w:highlight w:val="none"/>
                <w:lang w:val="en-US" w:eastAsia="zh-CN"/>
              </w:rPr>
              <w:br w:type="textWrapping"/>
            </w:r>
            <w:r>
              <w:rPr>
                <w:rFonts w:hint="default"/>
                <w:color w:val="auto"/>
                <w:highlight w:val="none"/>
                <w:lang w:val="en-US" w:eastAsia="zh-CN"/>
              </w:rPr>
              <w:t xml:space="preserve">实验五  编码器与译码器 </w:t>
            </w:r>
            <w:r>
              <w:rPr>
                <w:rFonts w:hint="default"/>
                <w:color w:val="auto"/>
                <w:highlight w:val="none"/>
                <w:lang w:val="en-US" w:eastAsia="zh-CN"/>
              </w:rPr>
              <w:br w:type="textWrapping"/>
            </w:r>
            <w:r>
              <w:rPr>
                <w:rFonts w:hint="default"/>
                <w:color w:val="auto"/>
                <w:highlight w:val="none"/>
                <w:lang w:val="en-US" w:eastAsia="zh-CN"/>
              </w:rPr>
              <w:t xml:space="preserve">实验六  数据选择器 </w:t>
            </w:r>
            <w:r>
              <w:rPr>
                <w:rFonts w:hint="default"/>
                <w:color w:val="auto"/>
                <w:highlight w:val="none"/>
                <w:lang w:val="en-US" w:eastAsia="zh-CN"/>
              </w:rPr>
              <w:br w:type="textWrapping"/>
            </w:r>
            <w:r>
              <w:rPr>
                <w:rFonts w:hint="default"/>
                <w:color w:val="auto"/>
                <w:highlight w:val="none"/>
                <w:lang w:val="en-US" w:eastAsia="zh-CN"/>
              </w:rPr>
              <w:t xml:space="preserve">实验七  触发器及其功能转换 </w:t>
            </w:r>
            <w:r>
              <w:rPr>
                <w:rFonts w:hint="default"/>
                <w:color w:val="auto"/>
                <w:highlight w:val="none"/>
                <w:lang w:val="en-US" w:eastAsia="zh-CN"/>
              </w:rPr>
              <w:br w:type="textWrapping"/>
            </w:r>
            <w:r>
              <w:rPr>
                <w:rFonts w:hint="default"/>
                <w:color w:val="auto"/>
                <w:highlight w:val="none"/>
                <w:lang w:val="en-US" w:eastAsia="zh-CN"/>
              </w:rPr>
              <w:t xml:space="preserve">实验八  移位寄存器 </w:t>
            </w:r>
            <w:r>
              <w:rPr>
                <w:rFonts w:hint="default"/>
                <w:color w:val="auto"/>
                <w:highlight w:val="none"/>
                <w:lang w:val="en-US" w:eastAsia="zh-CN"/>
              </w:rPr>
              <w:br w:type="textWrapping"/>
            </w:r>
            <w:r>
              <w:rPr>
                <w:rFonts w:hint="default"/>
                <w:color w:val="auto"/>
                <w:highlight w:val="none"/>
                <w:lang w:val="en-US" w:eastAsia="zh-CN"/>
              </w:rPr>
              <w:t xml:space="preserve">实验九  组合电路中的竞争与冒险 </w:t>
            </w:r>
            <w:r>
              <w:rPr>
                <w:rFonts w:hint="default"/>
                <w:color w:val="auto"/>
                <w:highlight w:val="none"/>
                <w:lang w:val="en-US" w:eastAsia="zh-CN"/>
              </w:rPr>
              <w:br w:type="textWrapping"/>
            </w:r>
            <w:r>
              <w:rPr>
                <w:rFonts w:hint="default"/>
                <w:color w:val="auto"/>
                <w:highlight w:val="none"/>
                <w:lang w:val="en-US" w:eastAsia="zh-CN"/>
              </w:rPr>
              <w:t xml:space="preserve">第二章  应用设计实验 </w:t>
            </w:r>
            <w:r>
              <w:rPr>
                <w:rFonts w:hint="default"/>
                <w:color w:val="auto"/>
                <w:highlight w:val="none"/>
                <w:lang w:val="en-US" w:eastAsia="zh-CN"/>
              </w:rPr>
              <w:br w:type="textWrapping"/>
            </w:r>
            <w:r>
              <w:rPr>
                <w:rFonts w:hint="default"/>
                <w:color w:val="auto"/>
                <w:highlight w:val="none"/>
                <w:lang w:val="en-US" w:eastAsia="zh-CN"/>
              </w:rPr>
              <w:t xml:space="preserve">实验一  逻辑门的应用 </w:t>
            </w:r>
            <w:r>
              <w:rPr>
                <w:rFonts w:hint="default"/>
                <w:color w:val="auto"/>
                <w:highlight w:val="none"/>
                <w:lang w:val="en-US" w:eastAsia="zh-CN"/>
              </w:rPr>
              <w:br w:type="textWrapping"/>
            </w:r>
            <w:r>
              <w:rPr>
                <w:rFonts w:hint="default"/>
                <w:color w:val="auto"/>
                <w:highlight w:val="none"/>
                <w:lang w:val="en-US" w:eastAsia="zh-CN"/>
              </w:rPr>
              <w:t xml:space="preserve">实验二  计数、译码与显示 </w:t>
            </w:r>
            <w:r>
              <w:rPr>
                <w:rFonts w:hint="default"/>
                <w:color w:val="auto"/>
                <w:highlight w:val="none"/>
                <w:lang w:val="en-US" w:eastAsia="zh-CN"/>
              </w:rPr>
              <w:br w:type="textWrapping"/>
            </w:r>
            <w:r>
              <w:rPr>
                <w:rFonts w:hint="default"/>
                <w:color w:val="auto"/>
                <w:highlight w:val="none"/>
                <w:lang w:val="en-US" w:eastAsia="zh-CN"/>
              </w:rPr>
              <w:t xml:space="preserve">实验三  MSI计数器的应用 </w:t>
            </w:r>
            <w:r>
              <w:rPr>
                <w:rFonts w:hint="default"/>
                <w:color w:val="auto"/>
                <w:highlight w:val="none"/>
                <w:lang w:val="en-US" w:eastAsia="zh-CN"/>
              </w:rPr>
              <w:br w:type="textWrapping"/>
            </w:r>
            <w:r>
              <w:rPr>
                <w:rFonts w:hint="default"/>
                <w:color w:val="auto"/>
                <w:highlight w:val="none"/>
                <w:lang w:val="en-US" w:eastAsia="zh-CN"/>
              </w:rPr>
              <w:t xml:space="preserve">实验四  双向移位寄存器应用 </w:t>
            </w:r>
            <w:r>
              <w:rPr>
                <w:rFonts w:hint="default"/>
                <w:color w:val="auto"/>
                <w:highlight w:val="none"/>
                <w:lang w:val="en-US" w:eastAsia="zh-CN"/>
              </w:rPr>
              <w:br w:type="textWrapping"/>
            </w:r>
            <w:r>
              <w:rPr>
                <w:rFonts w:hint="default"/>
                <w:color w:val="auto"/>
                <w:highlight w:val="none"/>
                <w:lang w:val="en-US" w:eastAsia="zh-CN"/>
              </w:rPr>
              <w:t xml:space="preserve">实验五  累加器的设计 </w:t>
            </w:r>
            <w:r>
              <w:rPr>
                <w:rFonts w:hint="default"/>
                <w:color w:val="auto"/>
                <w:highlight w:val="none"/>
                <w:lang w:val="en-US" w:eastAsia="zh-CN"/>
              </w:rPr>
              <w:br w:type="textWrapping"/>
            </w:r>
            <w:r>
              <w:rPr>
                <w:rFonts w:hint="default"/>
                <w:color w:val="auto"/>
                <w:highlight w:val="none"/>
                <w:lang w:val="en-US" w:eastAsia="zh-CN"/>
              </w:rPr>
              <w:t xml:space="preserve">实验六  格雷码与自然二进制码转换器 </w:t>
            </w:r>
            <w:r>
              <w:rPr>
                <w:rFonts w:hint="default"/>
                <w:color w:val="auto"/>
                <w:highlight w:val="none"/>
                <w:lang w:val="en-US" w:eastAsia="zh-CN"/>
              </w:rPr>
              <w:br w:type="textWrapping"/>
            </w:r>
            <w:r>
              <w:rPr>
                <w:rFonts w:hint="default"/>
                <w:color w:val="auto"/>
                <w:highlight w:val="none"/>
                <w:lang w:val="en-US" w:eastAsia="zh-CN"/>
              </w:rPr>
              <w:t xml:space="preserve">实验七  十翻二运算电路设计 </w:t>
            </w:r>
            <w:r>
              <w:rPr>
                <w:rFonts w:hint="default"/>
                <w:color w:val="auto"/>
                <w:highlight w:val="none"/>
                <w:lang w:val="en-US" w:eastAsia="zh-CN"/>
              </w:rPr>
              <w:br w:type="textWrapping"/>
            </w:r>
            <w:r>
              <w:rPr>
                <w:rFonts w:hint="default"/>
                <w:color w:val="auto"/>
                <w:highlight w:val="none"/>
                <w:lang w:val="en-US" w:eastAsia="zh-CN"/>
              </w:rPr>
              <w:t>实验八   555定时器</w:t>
            </w:r>
            <w:r>
              <w:rPr>
                <w:rFonts w:hint="default"/>
                <w:color w:val="auto"/>
                <w:highlight w:val="none"/>
                <w:lang w:val="en-US" w:eastAsia="zh-CN"/>
              </w:rPr>
              <w:br w:type="textWrapping"/>
            </w:r>
            <w:r>
              <w:rPr>
                <w:rFonts w:hint="default"/>
                <w:color w:val="auto"/>
                <w:highlight w:val="none"/>
                <w:lang w:val="en-US" w:eastAsia="zh-CN"/>
              </w:rPr>
              <w:t>实验九   SRAM存储器</w:t>
            </w:r>
            <w:r>
              <w:rPr>
                <w:rFonts w:hint="default"/>
                <w:color w:val="auto"/>
                <w:highlight w:val="none"/>
                <w:lang w:val="en-US" w:eastAsia="zh-CN"/>
              </w:rPr>
              <w:br w:type="textWrapping"/>
            </w:r>
            <w:r>
              <w:rPr>
                <w:rFonts w:hint="default"/>
                <w:color w:val="auto"/>
                <w:highlight w:val="none"/>
                <w:lang w:val="en-US" w:eastAsia="zh-CN"/>
              </w:rPr>
              <w:t>实验十   AD模数转换</w:t>
            </w:r>
            <w:r>
              <w:rPr>
                <w:rFonts w:hint="default"/>
                <w:color w:val="auto"/>
                <w:highlight w:val="none"/>
                <w:lang w:val="en-US" w:eastAsia="zh-CN"/>
              </w:rPr>
              <w:br w:type="textWrapping"/>
            </w:r>
            <w:r>
              <w:rPr>
                <w:rFonts w:hint="default"/>
                <w:color w:val="auto"/>
                <w:highlight w:val="none"/>
                <w:lang w:val="en-US" w:eastAsia="zh-CN"/>
              </w:rPr>
              <w:t>实验十一 DA数模转换</w:t>
            </w:r>
            <w:r>
              <w:rPr>
                <w:rFonts w:hint="default"/>
                <w:color w:val="auto"/>
                <w:highlight w:val="none"/>
                <w:lang w:val="en-US" w:eastAsia="zh-CN"/>
              </w:rPr>
              <w:br w:type="textWrapping"/>
            </w:r>
            <w:r>
              <w:rPr>
                <w:rFonts w:hint="default"/>
                <w:color w:val="auto"/>
                <w:highlight w:val="none"/>
                <w:lang w:val="en-US" w:eastAsia="zh-CN"/>
              </w:rPr>
              <w:t>实验十二 信号采集与LED显示数字系统设计</w:t>
            </w:r>
            <w:r>
              <w:rPr>
                <w:rFonts w:hint="default"/>
                <w:color w:val="auto"/>
                <w:highlight w:val="none"/>
                <w:lang w:val="en-US" w:eastAsia="zh-CN"/>
              </w:rPr>
              <w:br w:type="textWrapping"/>
            </w:r>
            <w:r>
              <w:rPr>
                <w:rFonts w:hint="default"/>
                <w:color w:val="auto"/>
                <w:highlight w:val="none"/>
                <w:lang w:val="en-US" w:eastAsia="zh-CN"/>
              </w:rPr>
              <w:t xml:space="preserve">第三章  课程设计 </w:t>
            </w:r>
            <w:r>
              <w:rPr>
                <w:rFonts w:hint="default"/>
                <w:color w:val="auto"/>
                <w:highlight w:val="none"/>
                <w:lang w:val="en-US" w:eastAsia="zh-CN"/>
              </w:rPr>
              <w:br w:type="textWrapping"/>
            </w:r>
            <w:r>
              <w:rPr>
                <w:rFonts w:hint="default"/>
                <w:color w:val="auto"/>
                <w:highlight w:val="none"/>
                <w:lang w:val="en-US" w:eastAsia="zh-CN"/>
              </w:rPr>
              <w:t xml:space="preserve">课题一  莫尔斯电码数发报器 </w:t>
            </w:r>
            <w:r>
              <w:rPr>
                <w:rFonts w:hint="default"/>
                <w:color w:val="auto"/>
                <w:highlight w:val="none"/>
                <w:lang w:val="en-US" w:eastAsia="zh-CN"/>
              </w:rPr>
              <w:br w:type="textWrapping"/>
            </w:r>
            <w:r>
              <w:rPr>
                <w:rFonts w:hint="default"/>
                <w:color w:val="auto"/>
                <w:highlight w:val="none"/>
                <w:lang w:val="en-US" w:eastAsia="zh-CN"/>
              </w:rPr>
              <w:t xml:space="preserve">课题二  动量程转换的数字频率计 </w:t>
            </w:r>
            <w:r>
              <w:rPr>
                <w:rFonts w:hint="default"/>
                <w:color w:val="auto"/>
                <w:highlight w:val="none"/>
                <w:lang w:val="en-US" w:eastAsia="zh-CN"/>
              </w:rPr>
              <w:br w:type="textWrapping"/>
            </w:r>
            <w:r>
              <w:rPr>
                <w:rFonts w:hint="default"/>
                <w:color w:val="auto"/>
                <w:highlight w:val="none"/>
                <w:lang w:val="en-US" w:eastAsia="zh-CN"/>
              </w:rPr>
              <w:t>课题三  8路彩灯控制器</w:t>
            </w:r>
            <w:r>
              <w:rPr>
                <w:rFonts w:hint="default"/>
                <w:color w:val="auto"/>
                <w:highlight w:val="none"/>
                <w:lang w:val="en-US" w:eastAsia="zh-CN"/>
              </w:rPr>
              <w:br w:type="textWrapping"/>
            </w:r>
            <w:r>
              <w:rPr>
                <w:rFonts w:hint="default"/>
                <w:color w:val="auto"/>
                <w:highlight w:val="none"/>
                <w:lang w:val="en-US" w:eastAsia="zh-CN"/>
              </w:rPr>
              <w:t>课题四  十字路口的交通灯控制器</w:t>
            </w:r>
            <w:r>
              <w:rPr>
                <w:rFonts w:hint="default"/>
                <w:color w:val="auto"/>
                <w:highlight w:val="none"/>
                <w:lang w:val="en-US" w:eastAsia="zh-CN"/>
              </w:rPr>
              <w:br w:type="textWrapping"/>
            </w:r>
            <w:r>
              <w:rPr>
                <w:rFonts w:hint="default"/>
                <w:color w:val="auto"/>
                <w:highlight w:val="none"/>
                <w:lang w:val="en-US" w:eastAsia="zh-CN"/>
              </w:rPr>
              <w:t>课题五  数字电子钟逻辑设计</w:t>
            </w:r>
            <w:r>
              <w:rPr>
                <w:rFonts w:hint="default"/>
                <w:color w:val="auto"/>
                <w:highlight w:val="none"/>
                <w:lang w:val="en-US" w:eastAsia="zh-CN"/>
              </w:rPr>
              <w:br w:type="textWrapping"/>
            </w:r>
            <w:r>
              <w:rPr>
                <w:rFonts w:hint="default"/>
                <w:color w:val="auto"/>
                <w:highlight w:val="none"/>
                <w:lang w:val="en-US" w:eastAsia="zh-CN"/>
              </w:rPr>
              <w:t>课题六  家用电风扇控制逻辑电路设计</w:t>
            </w:r>
            <w:r>
              <w:rPr>
                <w:rFonts w:hint="default"/>
                <w:color w:val="auto"/>
                <w:highlight w:val="none"/>
                <w:lang w:val="en-US" w:eastAsia="zh-CN"/>
              </w:rPr>
              <w:br w:type="textWrapping"/>
            </w:r>
            <w:r>
              <w:rPr>
                <w:rFonts w:hint="default"/>
                <w:color w:val="auto"/>
                <w:highlight w:val="none"/>
                <w:lang w:val="en-US" w:eastAsia="zh-CN"/>
              </w:rPr>
              <w:t>课题七  鉴向倍频逻辑电路设计</w:t>
            </w:r>
            <w:r>
              <w:rPr>
                <w:rFonts w:hint="default"/>
                <w:color w:val="auto"/>
                <w:highlight w:val="none"/>
                <w:lang w:val="en-US" w:eastAsia="zh-CN"/>
              </w:rPr>
              <w:br w:type="textWrapping"/>
            </w:r>
            <w:r>
              <w:rPr>
                <w:rFonts w:hint="default"/>
                <w:color w:val="auto"/>
                <w:highlight w:val="none"/>
                <w:lang w:val="en-US" w:eastAsia="zh-CN"/>
              </w:rPr>
              <w:t>课题八  四位二进制乘法器</w:t>
            </w:r>
          </w:p>
        </w:tc>
      </w:tr>
      <w:tr w14:paraId="088A1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757F273">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10</w:t>
            </w:r>
          </w:p>
        </w:tc>
        <w:tc>
          <w:tcPr>
            <w:tcW w:w="911" w:type="dxa"/>
            <w:noWrap w:val="0"/>
            <w:vAlign w:val="center"/>
          </w:tcPr>
          <w:p w14:paraId="5785AB76">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模拟电路实验箱</w:t>
            </w:r>
          </w:p>
        </w:tc>
        <w:tc>
          <w:tcPr>
            <w:tcW w:w="582" w:type="dxa"/>
            <w:noWrap w:val="0"/>
            <w:vAlign w:val="center"/>
          </w:tcPr>
          <w:p w14:paraId="0858294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20</w:t>
            </w:r>
          </w:p>
        </w:tc>
        <w:tc>
          <w:tcPr>
            <w:tcW w:w="686" w:type="dxa"/>
            <w:noWrap w:val="0"/>
            <w:vAlign w:val="center"/>
          </w:tcPr>
          <w:p w14:paraId="2604AF4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5EF76FAD">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shd w:val="clear" w:color="auto" w:fill="auto"/>
            <w:noWrap w:val="0"/>
            <w:vAlign w:val="center"/>
          </w:tcPr>
          <w:p w14:paraId="2A37A62D">
            <w:pPr>
              <w:keepNext w:val="0"/>
              <w:keepLines w:val="0"/>
              <w:widowControl/>
              <w:suppressLineNumbers w:val="0"/>
              <w:jc w:val="left"/>
              <w:textAlignment w:val="center"/>
              <w:rPr>
                <w:rFonts w:hint="eastAsia"/>
                <w:color w:val="auto"/>
                <w:highlight w:val="none"/>
                <w:lang w:val="en-US" w:eastAsia="zh-CN"/>
              </w:rPr>
            </w:pPr>
            <w:r>
              <w:rPr>
                <w:rFonts w:hint="default"/>
                <w:color w:val="auto"/>
                <w:highlight w:val="none"/>
                <w:lang w:val="en-US" w:eastAsia="zh-CN"/>
              </w:rPr>
              <w:t>一、主要技术参数：</w:t>
            </w:r>
            <w:r>
              <w:rPr>
                <w:rFonts w:hint="default"/>
                <w:color w:val="auto"/>
                <w:highlight w:val="none"/>
                <w:lang w:val="en-US" w:eastAsia="zh-CN"/>
              </w:rPr>
              <w:br w:type="textWrapping"/>
            </w:r>
            <w:r>
              <w:rPr>
                <w:rFonts w:hint="default"/>
                <w:color w:val="auto"/>
                <w:highlight w:val="none"/>
                <w:lang w:val="en-US" w:eastAsia="zh-CN"/>
              </w:rPr>
              <w:t>1、信号源单元：DDS信号源：正弦波（0-100KHZ），方波和三角波（0-50KHZ）、音乐信号；信号幅度Vpp:0-10V；</w:t>
            </w:r>
            <w:r>
              <w:rPr>
                <w:rFonts w:hint="default"/>
                <w:color w:val="auto"/>
                <w:highlight w:val="none"/>
                <w:lang w:val="en-US" w:eastAsia="zh-CN"/>
              </w:rPr>
              <w:br w:type="textWrapping"/>
            </w:r>
            <w:r>
              <w:rPr>
                <w:rFonts w:hint="default"/>
                <w:color w:val="auto"/>
                <w:highlight w:val="none"/>
                <w:lang w:val="en-US" w:eastAsia="zh-CN"/>
              </w:rPr>
              <w:t>2、可变直流电压信号：两路可编程直流电压输出，步进0.1V，调节范围：-3V-+3V；</w:t>
            </w:r>
            <w:r>
              <w:rPr>
                <w:rFonts w:hint="default"/>
                <w:color w:val="auto"/>
                <w:highlight w:val="none"/>
                <w:lang w:val="en-US" w:eastAsia="zh-CN"/>
              </w:rPr>
              <w:br w:type="textWrapping"/>
            </w:r>
            <w:r>
              <w:rPr>
                <w:rFonts w:hint="default"/>
                <w:color w:val="auto"/>
                <w:highlight w:val="none"/>
                <w:lang w:val="en-US" w:eastAsia="zh-CN"/>
              </w:rPr>
              <w:t>3、显示单元：2个4位LED数码管和相应LED指示灯，显示信号波形、频率、幅度；</w:t>
            </w:r>
            <w:r>
              <w:rPr>
                <w:rFonts w:hint="default"/>
                <w:color w:val="auto"/>
                <w:highlight w:val="none"/>
                <w:lang w:val="en-US" w:eastAsia="zh-CN"/>
              </w:rPr>
              <w:br w:type="textWrapping"/>
            </w:r>
            <w:r>
              <w:rPr>
                <w:rFonts w:hint="default"/>
                <w:color w:val="auto"/>
                <w:highlight w:val="none"/>
                <w:lang w:val="en-US" w:eastAsia="zh-CN"/>
              </w:rPr>
              <w:t>4、稳压固定电源：+12V（1A）、-12V（1A）、+5V（2A）；</w:t>
            </w:r>
            <w:r>
              <w:rPr>
                <w:rFonts w:hint="default"/>
                <w:color w:val="auto"/>
                <w:highlight w:val="none"/>
                <w:lang w:val="en-US" w:eastAsia="zh-CN"/>
              </w:rPr>
              <w:br w:type="textWrapping"/>
            </w:r>
            <w:r>
              <w:rPr>
                <w:rFonts w:hint="default"/>
                <w:color w:val="auto"/>
                <w:highlight w:val="none"/>
                <w:lang w:val="en-US" w:eastAsia="zh-CN"/>
              </w:rPr>
              <w:t>5、标配模块（7个）：</w:t>
            </w:r>
            <w:r>
              <w:rPr>
                <w:rFonts w:hint="default"/>
                <w:color w:val="auto"/>
                <w:highlight w:val="none"/>
                <w:lang w:val="en-US" w:eastAsia="zh-CN"/>
              </w:rPr>
              <w:br w:type="textWrapping"/>
            </w:r>
            <w:r>
              <w:rPr>
                <w:rFonts w:hint="default"/>
                <w:color w:val="auto"/>
                <w:highlight w:val="none"/>
                <w:lang w:val="en-US" w:eastAsia="zh-CN"/>
              </w:rPr>
              <w:t>(1)晶体管放大电路模块：完成单级放大电路（场效应管）、两级放大电路、两级负反馈放大电路、射极跟随器实验，LC振荡器及选频放大器实验；偏置、反馈、负载可调；</w:t>
            </w:r>
            <w:r>
              <w:rPr>
                <w:rFonts w:hint="default"/>
                <w:color w:val="auto"/>
                <w:highlight w:val="none"/>
                <w:lang w:val="en-US" w:eastAsia="zh-CN"/>
              </w:rPr>
              <w:br w:type="textWrapping"/>
            </w:r>
            <w:r>
              <w:rPr>
                <w:rFonts w:hint="default"/>
                <w:color w:val="auto"/>
                <w:highlight w:val="none"/>
                <w:lang w:val="en-US" w:eastAsia="zh-CN"/>
              </w:rPr>
              <w:t>(2)差分放大器模块：完成双端差模放大、单端差模放大、双端共模抑止实验；可调零；</w:t>
            </w:r>
            <w:r>
              <w:rPr>
                <w:rFonts w:hint="default"/>
                <w:color w:val="auto"/>
                <w:highlight w:val="none"/>
                <w:lang w:val="en-US" w:eastAsia="zh-CN"/>
              </w:rPr>
              <w:br w:type="textWrapping"/>
            </w:r>
            <w:r>
              <w:rPr>
                <w:rFonts w:hint="default"/>
                <w:color w:val="auto"/>
                <w:highlight w:val="none"/>
                <w:lang w:val="en-US" w:eastAsia="zh-CN"/>
              </w:rPr>
              <w:t>(3)运算放大器模块：完成比例求和、微积分电路、电压比较、有源低通高通带阻滤波器实验；方波、占空比可调矩形波、三角波、锯齿波产生实验；集成电路RC正弦波振荡器、RC正弦波振荡器、方波三角波变换电路、电压电流变换电路、电压频率变换电路实验；</w:t>
            </w:r>
            <w:r>
              <w:rPr>
                <w:rFonts w:hint="default"/>
                <w:color w:val="auto"/>
                <w:highlight w:val="none"/>
                <w:lang w:val="en-US" w:eastAsia="zh-CN"/>
              </w:rPr>
              <w:br w:type="textWrapping"/>
            </w:r>
            <w:r>
              <w:rPr>
                <w:rFonts w:hint="default"/>
                <w:color w:val="auto"/>
                <w:highlight w:val="none"/>
                <w:lang w:val="en-US" w:eastAsia="zh-CN"/>
              </w:rPr>
              <w:t xml:space="preserve">(4)功放模块：集成功率放大器实验，互补对称功率放大器； </w:t>
            </w:r>
            <w:r>
              <w:rPr>
                <w:rFonts w:hint="default"/>
                <w:color w:val="auto"/>
                <w:highlight w:val="none"/>
                <w:lang w:val="en-US" w:eastAsia="zh-CN"/>
              </w:rPr>
              <w:br w:type="textWrapping"/>
            </w:r>
            <w:r>
              <w:rPr>
                <w:rFonts w:hint="default"/>
                <w:color w:val="auto"/>
                <w:highlight w:val="none"/>
                <w:lang w:val="en-US" w:eastAsia="zh-CN"/>
              </w:rPr>
              <w:t>(5)稳压源模块：整流滤波、集成稳压、串并联稳压；</w:t>
            </w:r>
            <w:r>
              <w:rPr>
                <w:rFonts w:hint="default"/>
                <w:color w:val="auto"/>
                <w:highlight w:val="none"/>
                <w:lang w:val="en-US" w:eastAsia="zh-CN"/>
              </w:rPr>
              <w:br w:type="textWrapping"/>
            </w:r>
            <w:r>
              <w:rPr>
                <w:rFonts w:hint="default"/>
                <w:color w:val="auto"/>
                <w:highlight w:val="none"/>
                <w:lang w:val="en-US" w:eastAsia="zh-CN"/>
              </w:rPr>
              <w:t>(6)信号源：变压器双12V交流输出、单9V交流输出；两路直流电压信号输出，一路DDS函数信号输出；</w:t>
            </w:r>
            <w:r>
              <w:rPr>
                <w:rFonts w:hint="default"/>
                <w:color w:val="auto"/>
                <w:highlight w:val="none"/>
                <w:lang w:val="en-US" w:eastAsia="zh-CN"/>
              </w:rPr>
              <w:br w:type="textWrapping"/>
            </w:r>
            <w:r>
              <w:rPr>
                <w:rFonts w:hint="default"/>
                <w:color w:val="auto"/>
                <w:highlight w:val="none"/>
                <w:lang w:val="en-US" w:eastAsia="zh-CN"/>
              </w:rPr>
              <w:t>(7)模电综合设计模块：为便于学生自主设计电路，模块配套开放的各种无源元件（电阻、电容、电感）、多个晶体管（小功率、大功率）、多种运算放大器（双电源、单电源）、比较器及二极管稳压管等；学生可通过自主连线设计单元模拟电路、设计实际工程应用电子电路；支持：频率计输入电路设计（知识点：小信号放大器与滞回比较器设计）：输入信号幅度Vpp不高于100mv，信号频率不高于100hz）；音响电路设计（知识点：负反馈电路调音、OTL功放）：运算放大器音频信号产生（信号频率100hz-10KHz）、音频信号驱动（内阻不大于100欧，信号幅度不小于2Vpp）、高中低音频信号调音（100-500Hz、500-5000Hz、5-10KHz，每个频段增益可调范围不小于3db）；OTL功放负载8欧，输出功率不小于2W；信号分解与合成电路设计（知识点：滤波器、移相器、加法器），运算放大器产生频率2KHz方波，三个有源滤波器取出（基波2KHz、三次谐波6KHz、5次谐波10KHz）、谐波移相与谐波幅度调整、信号合成；</w:t>
            </w:r>
            <w:r>
              <w:rPr>
                <w:rFonts w:hint="default"/>
                <w:color w:val="auto"/>
                <w:highlight w:val="none"/>
                <w:lang w:val="en-US" w:eastAsia="zh-CN"/>
              </w:rPr>
              <w:br w:type="textWrapping"/>
            </w:r>
            <w:r>
              <w:rPr>
                <w:rFonts w:hint="default"/>
                <w:color w:val="auto"/>
                <w:highlight w:val="none"/>
                <w:lang w:val="en-US" w:eastAsia="zh-CN"/>
              </w:rPr>
              <w:t>二、仿真系统：基于BS架构，能在浏览器上完成模拟电路仿真实验：工作点调整、电路参数配置、信号源选择、反馈量控制、响应信号测试等；配套提供和商用仪器面板一致的4通道虚拟示波器、虚拟任意波形发生器等仪表；模拟电路故障检测定位仿真：BS架构可设置发送有故障的模拟电路，学生端接收故障电路后，利用标配的虚拟仪器仪表对故障电路进行检测分析，找出故障器件。故障类型有：仪表设置故障，晶体管与运算放大器功能故障、连线错误故障，连接线开路故障等多种故障类型</w:t>
            </w:r>
            <w:r>
              <w:rPr>
                <w:rFonts w:hint="eastAsia"/>
                <w:color w:val="auto"/>
                <w:highlight w:val="none"/>
                <w:lang w:val="en-US" w:eastAsia="zh-CN"/>
              </w:rPr>
              <w:t>。仿真软件可选两种工作模式，分别为：原理仿真、故障检测仿真。原理仿真时学生可自主搭建模拟电路，利用配套真实仪器面板的虚拟万用表、信号源、双踪示波器、稳压源进行电路原理仿真和调测。故障检测仿真时教师在管理员平台设置给定电路的故障点与故障类型（包括：有源无源器件损坏、元件标称错误、连接导线开路等），通过网络定向发给某个学生或全体学生，学生利用虚拟仪器测量分析并排除故障，支持教师在线辅导。并发用户数不少于40个。（响应文件中需提供上述仿真软件功能演示截图，否则投标无效，要求：①搭建一个负反馈调音电路（至少可调高、中、低三个音调），并用仪器验证电路功能；②教师在管理员端给该电路设置≥2个故障，学生接收故障电路、测试分析定位故障。）</w:t>
            </w:r>
          </w:p>
          <w:p w14:paraId="1060BEE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三、虚实混合实验模块（整个项目共配置1套）：虚实混合实验模块要求能与仿真软件相互结合使用，可将仿真软件输出信号转化为真实电信号，可用外置示波器通过模块输出口进行观测，外部真实信号亦可通过模块输送到仿真软件，为电路提供真实信号。（要求响应文件中提供满足以上功能的截图证明，否则响应无效）</w:t>
            </w:r>
            <w:r>
              <w:rPr>
                <w:rFonts w:hint="default"/>
                <w:color w:val="auto"/>
                <w:highlight w:val="none"/>
                <w:lang w:val="en-US" w:eastAsia="zh-CN"/>
              </w:rPr>
              <w:br w:type="textWrapping"/>
            </w:r>
            <w:r>
              <w:rPr>
                <w:rFonts w:hint="eastAsia"/>
                <w:color w:val="auto"/>
                <w:highlight w:val="none"/>
                <w:lang w:val="en-US" w:eastAsia="zh-CN"/>
              </w:rPr>
              <w:t>四</w:t>
            </w:r>
            <w:r>
              <w:rPr>
                <w:rFonts w:hint="default"/>
                <w:color w:val="auto"/>
                <w:highlight w:val="none"/>
                <w:lang w:val="en-US" w:eastAsia="zh-CN"/>
              </w:rPr>
              <w:t>、实验目录</w:t>
            </w:r>
            <w:r>
              <w:rPr>
                <w:rFonts w:hint="default"/>
                <w:color w:val="auto"/>
                <w:highlight w:val="none"/>
                <w:lang w:val="en-US" w:eastAsia="zh-CN"/>
              </w:rPr>
              <w:br w:type="textWrapping"/>
            </w:r>
            <w:r>
              <w:rPr>
                <w:rFonts w:hint="default"/>
                <w:color w:val="auto"/>
                <w:highlight w:val="none"/>
                <w:lang w:val="en-US" w:eastAsia="zh-CN"/>
              </w:rPr>
              <w:t>第1章   基础实验</w:t>
            </w:r>
            <w:r>
              <w:rPr>
                <w:rFonts w:hint="default"/>
                <w:color w:val="auto"/>
                <w:highlight w:val="none"/>
                <w:lang w:val="en-US" w:eastAsia="zh-CN"/>
              </w:rPr>
              <w:br w:type="textWrapping"/>
            </w:r>
            <w:r>
              <w:rPr>
                <w:rFonts w:hint="default"/>
                <w:color w:val="auto"/>
                <w:highlight w:val="none"/>
                <w:lang w:val="en-US" w:eastAsia="zh-CN"/>
              </w:rPr>
              <w:t>实验一   单级放大电路</w:t>
            </w:r>
            <w:r>
              <w:rPr>
                <w:rFonts w:hint="default"/>
                <w:color w:val="auto"/>
                <w:highlight w:val="none"/>
                <w:lang w:val="en-US" w:eastAsia="zh-CN"/>
              </w:rPr>
              <w:br w:type="textWrapping"/>
            </w:r>
            <w:r>
              <w:rPr>
                <w:rFonts w:hint="default"/>
                <w:color w:val="auto"/>
                <w:highlight w:val="none"/>
                <w:lang w:val="en-US" w:eastAsia="zh-CN"/>
              </w:rPr>
              <w:t>实验二   两级放大电路</w:t>
            </w:r>
            <w:r>
              <w:rPr>
                <w:rFonts w:hint="default"/>
                <w:color w:val="auto"/>
                <w:highlight w:val="none"/>
                <w:lang w:val="en-US" w:eastAsia="zh-CN"/>
              </w:rPr>
              <w:br w:type="textWrapping"/>
            </w:r>
            <w:r>
              <w:rPr>
                <w:rFonts w:hint="default"/>
                <w:color w:val="auto"/>
                <w:highlight w:val="none"/>
                <w:lang w:val="en-US" w:eastAsia="zh-CN"/>
              </w:rPr>
              <w:t>实验三   负反馈放大电路</w:t>
            </w:r>
            <w:r>
              <w:rPr>
                <w:rFonts w:hint="default"/>
                <w:color w:val="auto"/>
                <w:highlight w:val="none"/>
                <w:lang w:val="en-US" w:eastAsia="zh-CN"/>
              </w:rPr>
              <w:br w:type="textWrapping"/>
            </w:r>
            <w:r>
              <w:rPr>
                <w:rFonts w:hint="default"/>
                <w:color w:val="auto"/>
                <w:highlight w:val="none"/>
                <w:lang w:val="en-US" w:eastAsia="zh-CN"/>
              </w:rPr>
              <w:t>实验四   射极跟随器</w:t>
            </w:r>
            <w:r>
              <w:rPr>
                <w:rFonts w:hint="default"/>
                <w:color w:val="auto"/>
                <w:highlight w:val="none"/>
                <w:lang w:val="en-US" w:eastAsia="zh-CN"/>
              </w:rPr>
              <w:br w:type="textWrapping"/>
            </w:r>
            <w:r>
              <w:rPr>
                <w:rFonts w:hint="default"/>
                <w:color w:val="auto"/>
                <w:highlight w:val="none"/>
                <w:lang w:val="en-US" w:eastAsia="zh-CN"/>
              </w:rPr>
              <w:t>实验五   差动放大电路</w:t>
            </w:r>
            <w:r>
              <w:rPr>
                <w:rFonts w:hint="default"/>
                <w:color w:val="auto"/>
                <w:highlight w:val="none"/>
                <w:lang w:val="en-US" w:eastAsia="zh-CN"/>
              </w:rPr>
              <w:br w:type="textWrapping"/>
            </w:r>
            <w:r>
              <w:rPr>
                <w:rFonts w:hint="default"/>
                <w:color w:val="auto"/>
                <w:highlight w:val="none"/>
                <w:lang w:val="en-US" w:eastAsia="zh-CN"/>
              </w:rPr>
              <w:t>实验六   比例求和运算电路</w:t>
            </w:r>
            <w:r>
              <w:rPr>
                <w:rFonts w:hint="default"/>
                <w:color w:val="auto"/>
                <w:highlight w:val="none"/>
                <w:lang w:val="en-US" w:eastAsia="zh-CN"/>
              </w:rPr>
              <w:br w:type="textWrapping"/>
            </w:r>
            <w:r>
              <w:rPr>
                <w:rFonts w:hint="default"/>
                <w:color w:val="auto"/>
                <w:highlight w:val="none"/>
                <w:lang w:val="en-US" w:eastAsia="zh-CN"/>
              </w:rPr>
              <w:t>实验七   积分与微分电路</w:t>
            </w:r>
            <w:r>
              <w:rPr>
                <w:rFonts w:hint="default"/>
                <w:color w:val="auto"/>
                <w:highlight w:val="none"/>
                <w:lang w:val="en-US" w:eastAsia="zh-CN"/>
              </w:rPr>
              <w:br w:type="textWrapping"/>
            </w:r>
            <w:r>
              <w:rPr>
                <w:rFonts w:hint="default"/>
                <w:color w:val="auto"/>
                <w:highlight w:val="none"/>
                <w:lang w:val="en-US" w:eastAsia="zh-CN"/>
              </w:rPr>
              <w:t>实验八   波形发生电路</w:t>
            </w:r>
            <w:r>
              <w:rPr>
                <w:rFonts w:hint="default"/>
                <w:color w:val="auto"/>
                <w:highlight w:val="none"/>
                <w:lang w:val="en-US" w:eastAsia="zh-CN"/>
              </w:rPr>
              <w:br w:type="textWrapping"/>
            </w:r>
            <w:r>
              <w:rPr>
                <w:rFonts w:hint="default"/>
                <w:color w:val="auto"/>
                <w:highlight w:val="none"/>
                <w:lang w:val="en-US" w:eastAsia="zh-CN"/>
              </w:rPr>
              <w:t>实验九   有源滤波器</w:t>
            </w:r>
            <w:r>
              <w:rPr>
                <w:rFonts w:hint="default"/>
                <w:color w:val="auto"/>
                <w:highlight w:val="none"/>
                <w:lang w:val="en-US" w:eastAsia="zh-CN"/>
              </w:rPr>
              <w:br w:type="textWrapping"/>
            </w:r>
            <w:r>
              <w:rPr>
                <w:rFonts w:hint="default"/>
                <w:color w:val="auto"/>
                <w:highlight w:val="none"/>
                <w:lang w:val="en-US" w:eastAsia="zh-CN"/>
              </w:rPr>
              <w:t>实验十   电压比较器</w:t>
            </w:r>
            <w:r>
              <w:rPr>
                <w:rFonts w:hint="default"/>
                <w:color w:val="auto"/>
                <w:highlight w:val="none"/>
                <w:lang w:val="en-US" w:eastAsia="zh-CN"/>
              </w:rPr>
              <w:br w:type="textWrapping"/>
            </w:r>
            <w:r>
              <w:rPr>
                <w:rFonts w:hint="default"/>
                <w:color w:val="auto"/>
                <w:highlight w:val="none"/>
                <w:lang w:val="en-US" w:eastAsia="zh-CN"/>
              </w:rPr>
              <w:t>实验十一  集成电路RC正弦波振荡器</w:t>
            </w:r>
            <w:r>
              <w:rPr>
                <w:rFonts w:hint="default"/>
                <w:color w:val="auto"/>
                <w:highlight w:val="none"/>
                <w:lang w:val="en-US" w:eastAsia="zh-CN"/>
              </w:rPr>
              <w:br w:type="textWrapping"/>
            </w:r>
            <w:r>
              <w:rPr>
                <w:rFonts w:hint="default"/>
                <w:color w:val="auto"/>
                <w:highlight w:val="none"/>
                <w:lang w:val="en-US" w:eastAsia="zh-CN"/>
              </w:rPr>
              <w:t>实验十二  集成功率放大器</w:t>
            </w:r>
            <w:r>
              <w:rPr>
                <w:rFonts w:hint="default"/>
                <w:color w:val="auto"/>
                <w:highlight w:val="none"/>
                <w:lang w:val="en-US" w:eastAsia="zh-CN"/>
              </w:rPr>
              <w:br w:type="textWrapping"/>
            </w:r>
            <w:r>
              <w:rPr>
                <w:rFonts w:hint="default"/>
                <w:color w:val="auto"/>
                <w:highlight w:val="none"/>
                <w:lang w:val="en-US" w:eastAsia="zh-CN"/>
              </w:rPr>
              <w:t>实验十五   电流/电压转换电路</w:t>
            </w:r>
            <w:r>
              <w:rPr>
                <w:rFonts w:hint="default"/>
                <w:color w:val="auto"/>
                <w:highlight w:val="none"/>
                <w:lang w:val="en-US" w:eastAsia="zh-CN"/>
              </w:rPr>
              <w:br w:type="textWrapping"/>
            </w:r>
            <w:r>
              <w:rPr>
                <w:rFonts w:hint="default"/>
                <w:color w:val="auto"/>
                <w:highlight w:val="none"/>
                <w:lang w:val="en-US" w:eastAsia="zh-CN"/>
              </w:rPr>
              <w:t>实验十六   电压/频率转换电路</w:t>
            </w:r>
            <w:r>
              <w:rPr>
                <w:rFonts w:hint="default"/>
                <w:color w:val="auto"/>
                <w:highlight w:val="none"/>
                <w:lang w:val="en-US" w:eastAsia="zh-CN"/>
              </w:rPr>
              <w:br w:type="textWrapping"/>
            </w:r>
            <w:r>
              <w:rPr>
                <w:rFonts w:hint="default"/>
                <w:color w:val="auto"/>
                <w:highlight w:val="none"/>
                <w:lang w:val="en-US" w:eastAsia="zh-CN"/>
              </w:rPr>
              <w:t>实验十七   波形变换电路</w:t>
            </w:r>
            <w:r>
              <w:rPr>
                <w:rFonts w:hint="default"/>
                <w:color w:val="auto"/>
                <w:highlight w:val="none"/>
                <w:lang w:val="en-US" w:eastAsia="zh-CN"/>
              </w:rPr>
              <w:br w:type="textWrapping"/>
            </w:r>
            <w:r>
              <w:rPr>
                <w:rFonts w:hint="default"/>
                <w:color w:val="auto"/>
                <w:highlight w:val="none"/>
                <w:lang w:val="en-US" w:eastAsia="zh-CN"/>
              </w:rPr>
              <w:t>实验十八   互补对称功率放大器</w:t>
            </w:r>
            <w:r>
              <w:rPr>
                <w:rFonts w:hint="default"/>
                <w:color w:val="auto"/>
                <w:highlight w:val="none"/>
                <w:lang w:val="en-US" w:eastAsia="zh-CN"/>
              </w:rPr>
              <w:br w:type="textWrapping"/>
            </w:r>
            <w:r>
              <w:rPr>
                <w:rFonts w:hint="default"/>
                <w:color w:val="auto"/>
                <w:highlight w:val="none"/>
                <w:lang w:val="en-US" w:eastAsia="zh-CN"/>
              </w:rPr>
              <w:t>实验十九   整流滤波与并联稳压电路</w:t>
            </w:r>
            <w:r>
              <w:rPr>
                <w:rFonts w:hint="default"/>
                <w:color w:val="auto"/>
                <w:highlight w:val="none"/>
                <w:lang w:val="en-US" w:eastAsia="zh-CN"/>
              </w:rPr>
              <w:br w:type="textWrapping"/>
            </w:r>
            <w:r>
              <w:rPr>
                <w:rFonts w:hint="default"/>
                <w:color w:val="auto"/>
                <w:highlight w:val="none"/>
                <w:lang w:val="en-US" w:eastAsia="zh-CN"/>
              </w:rPr>
              <w:t>实验二十   串联稳压电路</w:t>
            </w:r>
            <w:r>
              <w:rPr>
                <w:rFonts w:hint="default"/>
                <w:color w:val="auto"/>
                <w:highlight w:val="none"/>
                <w:lang w:val="en-US" w:eastAsia="zh-CN"/>
              </w:rPr>
              <w:br w:type="textWrapping"/>
            </w:r>
            <w:r>
              <w:rPr>
                <w:rFonts w:hint="default"/>
                <w:color w:val="auto"/>
                <w:highlight w:val="none"/>
                <w:lang w:val="en-US" w:eastAsia="zh-CN"/>
              </w:rPr>
              <w:t>实验二十一 集成稳压电路</w:t>
            </w:r>
            <w:r>
              <w:rPr>
                <w:rFonts w:hint="default"/>
                <w:color w:val="auto"/>
                <w:highlight w:val="none"/>
                <w:lang w:val="en-US" w:eastAsia="zh-CN"/>
              </w:rPr>
              <w:br w:type="textWrapping"/>
            </w:r>
            <w:r>
              <w:rPr>
                <w:rFonts w:hint="default"/>
                <w:color w:val="auto"/>
                <w:highlight w:val="none"/>
                <w:lang w:val="en-US" w:eastAsia="zh-CN"/>
              </w:rPr>
              <w:t>第2章   开发实验</w:t>
            </w:r>
            <w:r>
              <w:rPr>
                <w:rFonts w:hint="default"/>
                <w:color w:val="auto"/>
                <w:highlight w:val="none"/>
                <w:lang w:val="en-US" w:eastAsia="zh-CN"/>
              </w:rPr>
              <w:br w:type="textWrapping"/>
            </w:r>
            <w:r>
              <w:rPr>
                <w:rFonts w:hint="default"/>
                <w:color w:val="auto"/>
                <w:highlight w:val="none"/>
                <w:lang w:val="en-US" w:eastAsia="zh-CN"/>
              </w:rPr>
              <w:t xml:space="preserve">实验一     交直流变换 </w:t>
            </w:r>
            <w:r>
              <w:rPr>
                <w:rFonts w:hint="default"/>
                <w:color w:val="auto"/>
                <w:highlight w:val="none"/>
                <w:lang w:val="en-US" w:eastAsia="zh-CN"/>
              </w:rPr>
              <w:br w:type="textWrapping"/>
            </w:r>
            <w:r>
              <w:rPr>
                <w:rFonts w:hint="default"/>
                <w:color w:val="auto"/>
                <w:highlight w:val="none"/>
                <w:lang w:val="en-US" w:eastAsia="zh-CN"/>
              </w:rPr>
              <w:t xml:space="preserve">实验二     滞回比较器 </w:t>
            </w:r>
            <w:r>
              <w:rPr>
                <w:rFonts w:hint="default"/>
                <w:color w:val="auto"/>
                <w:highlight w:val="none"/>
                <w:lang w:val="en-US" w:eastAsia="zh-CN"/>
              </w:rPr>
              <w:br w:type="textWrapping"/>
            </w:r>
            <w:r>
              <w:rPr>
                <w:rFonts w:hint="default"/>
                <w:color w:val="auto"/>
                <w:highlight w:val="none"/>
                <w:lang w:val="en-US" w:eastAsia="zh-CN"/>
              </w:rPr>
              <w:t xml:space="preserve">实验三     移相器 </w:t>
            </w:r>
            <w:r>
              <w:rPr>
                <w:rFonts w:hint="default"/>
                <w:color w:val="auto"/>
                <w:highlight w:val="none"/>
                <w:lang w:val="en-US" w:eastAsia="zh-CN"/>
              </w:rPr>
              <w:br w:type="textWrapping"/>
            </w:r>
            <w:r>
              <w:rPr>
                <w:rFonts w:hint="default"/>
                <w:color w:val="auto"/>
                <w:highlight w:val="none"/>
                <w:lang w:val="en-US" w:eastAsia="zh-CN"/>
              </w:rPr>
              <w:t xml:space="preserve">实验四     频率计输入电路设计 </w:t>
            </w:r>
            <w:r>
              <w:rPr>
                <w:rFonts w:hint="default"/>
                <w:color w:val="auto"/>
                <w:highlight w:val="none"/>
                <w:lang w:val="en-US" w:eastAsia="zh-CN"/>
              </w:rPr>
              <w:br w:type="textWrapping"/>
            </w:r>
            <w:r>
              <w:rPr>
                <w:rFonts w:hint="default"/>
                <w:color w:val="auto"/>
                <w:highlight w:val="none"/>
                <w:lang w:val="en-US" w:eastAsia="zh-CN"/>
              </w:rPr>
              <w:t xml:space="preserve">实验五     音响调音及功放电路设计 </w:t>
            </w:r>
            <w:r>
              <w:rPr>
                <w:rFonts w:hint="default"/>
                <w:color w:val="auto"/>
                <w:highlight w:val="none"/>
                <w:lang w:val="en-US" w:eastAsia="zh-CN"/>
              </w:rPr>
              <w:br w:type="textWrapping"/>
            </w:r>
            <w:r>
              <w:rPr>
                <w:rFonts w:hint="default"/>
                <w:color w:val="auto"/>
                <w:highlight w:val="none"/>
                <w:lang w:val="en-US" w:eastAsia="zh-CN"/>
              </w:rPr>
              <w:t>实验六     信号分解合成电路设计</w:t>
            </w:r>
          </w:p>
        </w:tc>
      </w:tr>
      <w:tr w14:paraId="77D96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9" w:type="dxa"/>
            <w:noWrap w:val="0"/>
            <w:vAlign w:val="center"/>
          </w:tcPr>
          <w:p w14:paraId="1D9D76CA">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11</w:t>
            </w:r>
          </w:p>
        </w:tc>
        <w:tc>
          <w:tcPr>
            <w:tcW w:w="911" w:type="dxa"/>
            <w:noWrap w:val="0"/>
            <w:vAlign w:val="center"/>
          </w:tcPr>
          <w:p w14:paraId="4C1D385E">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信号发生器</w:t>
            </w:r>
          </w:p>
        </w:tc>
        <w:tc>
          <w:tcPr>
            <w:tcW w:w="582" w:type="dxa"/>
            <w:noWrap w:val="0"/>
            <w:vAlign w:val="center"/>
          </w:tcPr>
          <w:p w14:paraId="4B9416C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20</w:t>
            </w:r>
          </w:p>
        </w:tc>
        <w:tc>
          <w:tcPr>
            <w:tcW w:w="686" w:type="dxa"/>
            <w:noWrap w:val="0"/>
            <w:vAlign w:val="center"/>
          </w:tcPr>
          <w:p w14:paraId="1D6EC57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2B297D6D">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shd w:val="clear" w:color="auto" w:fill="auto"/>
            <w:noWrap w:val="0"/>
            <w:vAlign w:val="center"/>
          </w:tcPr>
          <w:p w14:paraId="51A0DB9C">
            <w:pPr>
              <w:keepNext w:val="0"/>
              <w:keepLines w:val="0"/>
              <w:widowControl/>
              <w:suppressLineNumbers w:val="0"/>
              <w:jc w:val="left"/>
              <w:textAlignment w:val="center"/>
              <w:rPr>
                <w:rFonts w:hint="default"/>
                <w:color w:val="auto"/>
                <w:highlight w:val="none"/>
                <w:lang w:val="en-US" w:eastAsia="zh-CN"/>
              </w:rPr>
            </w:pPr>
            <w:r>
              <w:rPr>
                <w:rFonts w:hint="default"/>
                <w:color w:val="auto"/>
                <w:highlight w:val="none"/>
                <w:lang w:val="en-US" w:eastAsia="zh-CN"/>
              </w:rPr>
              <w:t>1、采用任意采样率设定技术：逐点生成任意波形，不失真还原信号，采样率精确可调，所有输出波形（包括：方波、脉冲等）抖动低至200ps；每通道任意波存储深度标配达2Mpts, 可扩展至16Mpts，内置8次谐波发生器，内置7 Digits，200MHz带宽的全功能频率计；标配等性能双通道，相当于两个独立信号源。</w:t>
            </w:r>
            <w:r>
              <w:rPr>
                <w:rFonts w:hint="default"/>
                <w:color w:val="auto"/>
                <w:highlight w:val="none"/>
                <w:lang w:val="en-US" w:eastAsia="zh-CN"/>
              </w:rPr>
              <w:br w:type="textWrapping"/>
            </w:r>
            <w:r>
              <w:rPr>
                <w:rFonts w:hint="default"/>
                <w:color w:val="auto"/>
                <w:highlight w:val="none"/>
                <w:lang w:val="en-US" w:eastAsia="zh-CN"/>
              </w:rPr>
              <w:t>2、±1ppm 高频率稳定度,相噪低至-125dBc/Hz。</w:t>
            </w:r>
            <w:r>
              <w:rPr>
                <w:rFonts w:hint="default"/>
                <w:color w:val="auto"/>
                <w:highlight w:val="none"/>
                <w:lang w:val="en-US" w:eastAsia="zh-CN"/>
              </w:rPr>
              <w:br w:type="textWrapping"/>
            </w:r>
            <w:r>
              <w:rPr>
                <w:rFonts w:hint="default"/>
                <w:color w:val="auto"/>
                <w:highlight w:val="none"/>
                <w:lang w:val="en-US" w:eastAsia="zh-CN"/>
              </w:rPr>
              <w:t>3、内置任意波形：Sinc、指数上升、指数下降、心电图、高斯、半正矢、洛仑兹、双音频等共计160种，囊括了工程应用、医疗电子、汽车电子、数学处理等各个领域的常用信号，采样率高达200MSa/s，垂直分辨率：14bits；多种模拟和数字调制功能：AM、FM、PM、ASK、FSK、PSK和PWM；标配波形叠加功能，可以在基本波形的基础上叠加指定波形后输出。</w:t>
            </w:r>
            <w:r>
              <w:rPr>
                <w:rFonts w:hint="default"/>
                <w:color w:val="auto"/>
                <w:highlight w:val="none"/>
                <w:lang w:val="en-US" w:eastAsia="zh-CN"/>
              </w:rPr>
              <w:br w:type="textWrapping"/>
            </w:r>
            <w:r>
              <w:rPr>
                <w:rFonts w:hint="default"/>
                <w:color w:val="auto"/>
                <w:highlight w:val="none"/>
                <w:lang w:val="en-US" w:eastAsia="zh-CN"/>
              </w:rPr>
              <w:t>4、主机具有方便的任意波形编辑界面，也可通过上位机软件生成任意波形。</w:t>
            </w:r>
            <w:r>
              <w:rPr>
                <w:rFonts w:hint="default"/>
                <w:color w:val="auto"/>
                <w:highlight w:val="none"/>
                <w:lang w:val="en-US" w:eastAsia="zh-CN"/>
              </w:rPr>
              <w:br w:type="textWrapping"/>
            </w:r>
            <w:r>
              <w:rPr>
                <w:rFonts w:hint="default"/>
                <w:color w:val="auto"/>
                <w:highlight w:val="none"/>
                <w:lang w:val="en-US" w:eastAsia="zh-CN"/>
              </w:rPr>
              <w:t>5、标配通道跟踪功能，跟踪打开时，双通道所有参数均可同时根据用户的配置更新。</w:t>
            </w:r>
            <w:r>
              <w:rPr>
                <w:rFonts w:hint="default"/>
                <w:color w:val="auto"/>
                <w:highlight w:val="none"/>
                <w:lang w:val="en-US" w:eastAsia="zh-CN"/>
              </w:rPr>
              <w:br w:type="textWrapping"/>
            </w:r>
            <w:r>
              <w:rPr>
                <w:rFonts w:hint="default"/>
                <w:color w:val="auto"/>
                <w:highlight w:val="none"/>
                <w:lang w:val="en-US" w:eastAsia="zh-CN"/>
              </w:rPr>
              <w:t>6、最高输出频率：25MHz。</w:t>
            </w:r>
            <w:r>
              <w:rPr>
                <w:rFonts w:hint="default"/>
                <w:color w:val="auto"/>
                <w:highlight w:val="none"/>
                <w:lang w:val="en-US" w:eastAsia="zh-CN"/>
              </w:rPr>
              <w:br w:type="textWrapping"/>
            </w:r>
            <w:r>
              <w:rPr>
                <w:rFonts w:hint="default"/>
                <w:color w:val="auto"/>
                <w:highlight w:val="none"/>
                <w:lang w:val="en-US" w:eastAsia="zh-CN"/>
              </w:rPr>
              <w:t>7、输出幅度范围：≤10MHz：2.5mVpp ~ 10Vpp；≤30MHz：2.5mVpp ~ 5.0Vpp。</w:t>
            </w:r>
            <w:r>
              <w:rPr>
                <w:rFonts w:hint="default"/>
                <w:color w:val="auto"/>
                <w:highlight w:val="none"/>
                <w:lang w:val="en-US" w:eastAsia="zh-CN"/>
              </w:rPr>
              <w:br w:type="textWrapping"/>
            </w:r>
            <w:r>
              <w:rPr>
                <w:rFonts w:hint="default"/>
                <w:color w:val="auto"/>
                <w:highlight w:val="none"/>
                <w:lang w:val="en-US" w:eastAsia="zh-CN"/>
              </w:rPr>
              <w:t>8、标准波形：正弦波、方波、锯齿波、脉冲、噪声。</w:t>
            </w:r>
            <w:r>
              <w:rPr>
                <w:rFonts w:hint="default"/>
                <w:color w:val="auto"/>
                <w:highlight w:val="none"/>
                <w:lang w:val="en-US" w:eastAsia="zh-CN"/>
              </w:rPr>
              <w:br w:type="textWrapping"/>
            </w:r>
            <w:r>
              <w:rPr>
                <w:rFonts w:hint="default"/>
                <w:color w:val="auto"/>
                <w:highlight w:val="none"/>
                <w:lang w:val="en-US" w:eastAsia="zh-CN"/>
              </w:rPr>
              <w:t>9、频率特性：正弦波：1µHz-25MHz；方波：1µHz-25MHz；锯齿波：1µHz-500kHz；脉冲波：1µHz-15MHz；谐波：1µHz-10MHz；噪声（-3dB）：25MHz带宽；任意波：1μHz-10MHz；分辨率：1μHz；准确度：±(设置值的1ppm)，18℃至28℃。</w:t>
            </w:r>
            <w:r>
              <w:rPr>
                <w:rFonts w:hint="default"/>
                <w:color w:val="auto"/>
                <w:highlight w:val="none"/>
                <w:lang w:val="en-US" w:eastAsia="zh-CN"/>
              </w:rPr>
              <w:br w:type="textWrapping"/>
            </w:r>
            <w:r>
              <w:rPr>
                <w:rFonts w:hint="default"/>
                <w:color w:val="auto"/>
                <w:highlight w:val="none"/>
                <w:lang w:val="en-US" w:eastAsia="zh-CN"/>
              </w:rPr>
              <w:t>10、调制类型：AM,FM,PM,ASK,FSK,PSK,PWM。</w:t>
            </w:r>
            <w:r>
              <w:rPr>
                <w:rFonts w:hint="default"/>
                <w:color w:val="auto"/>
                <w:highlight w:val="none"/>
                <w:lang w:val="en-US" w:eastAsia="zh-CN"/>
              </w:rPr>
              <w:br w:type="textWrapping"/>
            </w:r>
            <w:r>
              <w:rPr>
                <w:rFonts w:hint="default"/>
                <w:color w:val="auto"/>
                <w:highlight w:val="none"/>
                <w:lang w:val="en-US" w:eastAsia="zh-CN"/>
              </w:rPr>
              <w:t>11、扫频类型：线性、对数、步进。</w:t>
            </w:r>
            <w:r>
              <w:rPr>
                <w:rFonts w:hint="default"/>
                <w:color w:val="auto"/>
                <w:highlight w:val="none"/>
                <w:lang w:val="en-US" w:eastAsia="zh-CN"/>
              </w:rPr>
              <w:br w:type="textWrapping"/>
            </w:r>
            <w:r>
              <w:rPr>
                <w:rFonts w:hint="default"/>
                <w:color w:val="auto"/>
                <w:highlight w:val="none"/>
                <w:lang w:val="en-US" w:eastAsia="zh-CN"/>
              </w:rPr>
              <w:t>12、显示：3.5寸TFT LCD,320水平×RGB×240垂直分辨率。</w:t>
            </w:r>
            <w:r>
              <w:rPr>
                <w:rFonts w:hint="default"/>
                <w:color w:val="auto"/>
                <w:highlight w:val="none"/>
                <w:lang w:val="en-US" w:eastAsia="zh-CN"/>
              </w:rPr>
              <w:br w:type="textWrapping"/>
            </w:r>
            <w:r>
              <w:rPr>
                <w:rFonts w:hint="default"/>
                <w:color w:val="auto"/>
                <w:highlight w:val="none"/>
                <w:lang w:val="en-US" w:eastAsia="zh-CN"/>
              </w:rPr>
              <w:t>13、频率计功能：标配200MHz。</w:t>
            </w:r>
            <w:r>
              <w:rPr>
                <w:rFonts w:hint="default"/>
                <w:color w:val="auto"/>
                <w:highlight w:val="none"/>
                <w:lang w:val="en-US" w:eastAsia="zh-CN"/>
              </w:rPr>
              <w:br w:type="textWrapping"/>
            </w:r>
            <w:r>
              <w:rPr>
                <w:rFonts w:hint="default"/>
                <w:color w:val="auto"/>
                <w:highlight w:val="none"/>
                <w:lang w:val="en-US" w:eastAsia="zh-CN"/>
              </w:rPr>
              <w:t>14、接口：USB Host，USB Device，LAN(LXI Core Device 2011)。</w:t>
            </w:r>
            <w:r>
              <w:rPr>
                <w:rFonts w:hint="default"/>
                <w:color w:val="auto"/>
                <w:highlight w:val="none"/>
                <w:lang w:val="en-US" w:eastAsia="zh-CN"/>
              </w:rPr>
              <w:br w:type="textWrapping"/>
            </w:r>
            <w:r>
              <w:rPr>
                <w:rFonts w:hint="default"/>
                <w:color w:val="auto"/>
                <w:highlight w:val="none"/>
                <w:lang w:val="en-US" w:eastAsia="zh-CN"/>
              </w:rPr>
              <w:t>15、与示波器无缝对接，直接获取示波器中存储的波形并无损地重现。</w:t>
            </w:r>
            <w:r>
              <w:rPr>
                <w:rFonts w:hint="default"/>
                <w:color w:val="auto"/>
                <w:highlight w:val="none"/>
                <w:lang w:val="en-US" w:eastAsia="zh-CN"/>
              </w:rPr>
              <w:br w:type="textWrapping"/>
            </w:r>
            <w:r>
              <w:rPr>
                <w:rFonts w:hint="default"/>
                <w:color w:val="auto"/>
                <w:highlight w:val="none"/>
                <w:lang w:val="en-US" w:eastAsia="zh-CN"/>
              </w:rPr>
              <w:t>16、支持中英文输入，多国语言用户界面；图形化界面可以对信号设置进行可视化验证；中英文嵌入式帮助系统。</w:t>
            </w:r>
          </w:p>
          <w:p w14:paraId="03172696">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17、支持PC上位机波形编辑功能：可通过软件实现网络互连、实时传输、远程控制、数据存储、二次开发：提供简单方便的波形生成工具，如标准波形库、公式编辑器、波形数学运算以及波形绘制工具，可快速、轻松地生成定制波形，并可提供滤波和加窗功能，可轻松修改并进一步定义波形。该软件基于业界通用的标准驱动VISA设计。可通过USB-TMC或LAN接口实现软件与仪器的通信，从而将生成的波形下载至仪器。支持10/100M以太网。标准波形库可快速插入常用信号；三种波形绘制模式(点、自由和直线)可轻松绘制所需的波形；公式编辑器可使用精确的多项式创建波形。</w:t>
            </w:r>
          </w:p>
        </w:tc>
      </w:tr>
      <w:tr w14:paraId="0CD9B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729C844">
            <w:pPr>
              <w:keepNext w:val="0"/>
              <w:keepLines w:val="0"/>
              <w:widowControl/>
              <w:suppressLineNumbers w:val="0"/>
              <w:jc w:val="center"/>
              <w:textAlignment w:val="center"/>
              <w:rPr>
                <w:rFonts w:hint="default" w:ascii="Arial" w:hAnsi="Arial" w:cs="Arial"/>
                <w:b w:val="0"/>
                <w:bCs w:val="0"/>
                <w:color w:val="auto"/>
                <w:kern w:val="0"/>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911" w:type="dxa"/>
            <w:noWrap w:val="0"/>
            <w:vAlign w:val="center"/>
          </w:tcPr>
          <w:p w14:paraId="34B3ADFB">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台式万用表</w:t>
            </w:r>
          </w:p>
        </w:tc>
        <w:tc>
          <w:tcPr>
            <w:tcW w:w="582" w:type="dxa"/>
            <w:noWrap w:val="0"/>
            <w:vAlign w:val="center"/>
          </w:tcPr>
          <w:p w14:paraId="715A0E5C">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0"/>
                <w:szCs w:val="20"/>
                <w:highlight w:val="none"/>
                <w:u w:val="none"/>
                <w:lang w:val="en-US" w:eastAsia="zh-CN" w:bidi="ar"/>
              </w:rPr>
              <w:t>20</w:t>
            </w:r>
          </w:p>
        </w:tc>
        <w:tc>
          <w:tcPr>
            <w:tcW w:w="686" w:type="dxa"/>
            <w:noWrap w:val="0"/>
            <w:vAlign w:val="center"/>
          </w:tcPr>
          <w:p w14:paraId="1899611D">
            <w:pPr>
              <w:keepNext w:val="0"/>
              <w:keepLines w:val="0"/>
              <w:widowControl/>
              <w:suppressLineNumbers w:val="0"/>
              <w:jc w:val="center"/>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0"/>
                <w:szCs w:val="20"/>
                <w:highlight w:val="none"/>
                <w:u w:val="none"/>
                <w:lang w:val="en-US" w:eastAsia="zh-CN" w:bidi="ar"/>
              </w:rPr>
              <w:t>台</w:t>
            </w:r>
          </w:p>
        </w:tc>
        <w:tc>
          <w:tcPr>
            <w:tcW w:w="754" w:type="dxa"/>
            <w:noWrap w:val="0"/>
            <w:vAlign w:val="center"/>
          </w:tcPr>
          <w:p w14:paraId="6AE4B05E">
            <w:pPr>
              <w:widowControl/>
              <w:adjustRightInd w:val="0"/>
              <w:snapToGrid w:val="0"/>
              <w:spacing w:after="0" w:line="288" w:lineRule="auto"/>
              <w:jc w:val="center"/>
              <w:textAlignment w:val="center"/>
              <w:rPr>
                <w:rFonts w:hint="default" w:ascii="Arial" w:hAnsi="Arial" w:eastAsia="宋体" w:cs="Arial"/>
                <w:color w:val="auto"/>
                <w:szCs w:val="21"/>
                <w:highlight w:val="none"/>
                <w:lang w:val="en-US" w:eastAsia="zh-CN"/>
              </w:rPr>
            </w:pPr>
            <w:r>
              <w:rPr>
                <w:rFonts w:hint="default" w:ascii="Arial" w:hAnsi="Arial" w:eastAsia="宋体" w:cs="Arial"/>
                <w:color w:val="auto"/>
                <w:szCs w:val="21"/>
                <w:highlight w:val="none"/>
                <w:lang w:val="en-US" w:eastAsia="zh-CN"/>
              </w:rPr>
              <w:t>工业</w:t>
            </w:r>
          </w:p>
        </w:tc>
        <w:tc>
          <w:tcPr>
            <w:tcW w:w="6448" w:type="dxa"/>
            <w:tcBorders>
              <w:left w:val="single" w:color="auto" w:sz="4" w:space="0"/>
              <w:right w:val="single" w:color="auto" w:sz="4" w:space="0"/>
            </w:tcBorders>
            <w:shd w:val="clear" w:color="auto" w:fill="auto"/>
            <w:noWrap w:val="0"/>
            <w:vAlign w:val="center"/>
          </w:tcPr>
          <w:p w14:paraId="19CB395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color w:val="auto"/>
                <w:highlight w:val="none"/>
                <w:lang w:val="en-US" w:eastAsia="zh-CN"/>
              </w:rPr>
              <w:t>1、5½位读数分辨率；读数速率最高可达125个读数/秒；最高500,000点记录存储器；真有效值交流电压和交流电流测量；内置10组数据存储，10组设置存储；强大的数学运算功能，支持多种应用分析；</w:t>
            </w:r>
            <w:r>
              <w:rPr>
                <w:rFonts w:hint="eastAsia"/>
                <w:color w:val="auto"/>
                <w:highlight w:val="none"/>
                <w:lang w:val="en-US" w:eastAsia="zh-CN"/>
              </w:rPr>
              <w:t>≥</w:t>
            </w:r>
            <w:r>
              <w:rPr>
                <w:rFonts w:hint="default"/>
                <w:color w:val="auto"/>
                <w:highlight w:val="none"/>
                <w:lang w:val="en-US" w:eastAsia="zh-CN"/>
              </w:rPr>
              <w:t>7英寸彩色触摸屏，可同时显示双测量结果；Type-C电源接口供电，支持移动电源</w:t>
            </w:r>
            <w:r>
              <w:rPr>
                <w:rFonts w:hint="eastAsia"/>
                <w:color w:val="auto"/>
                <w:highlight w:val="none"/>
                <w:lang w:val="en-US" w:eastAsia="zh-CN"/>
              </w:rPr>
              <w:t>、充电宝</w:t>
            </w:r>
            <w:r>
              <w:rPr>
                <w:rFonts w:hint="default"/>
                <w:color w:val="auto"/>
                <w:highlight w:val="none"/>
                <w:lang w:val="en-US" w:eastAsia="zh-CN"/>
              </w:rPr>
              <w:t>供电；标配USB、LAN</w:t>
            </w:r>
            <w:r>
              <w:rPr>
                <w:rFonts w:hint="eastAsia"/>
                <w:color w:val="auto"/>
                <w:highlight w:val="none"/>
                <w:lang w:val="en-US" w:eastAsia="zh-CN"/>
              </w:rPr>
              <w:t>（支持LXI-C）</w:t>
            </w:r>
            <w:r>
              <w:rPr>
                <w:rFonts w:hint="default"/>
                <w:color w:val="auto"/>
                <w:highlight w:val="none"/>
                <w:lang w:val="en-US" w:eastAsia="zh-CN"/>
              </w:rPr>
              <w:t>接口，</w:t>
            </w:r>
            <w:r>
              <w:rPr>
                <w:rFonts w:hint="eastAsia"/>
                <w:color w:val="auto"/>
                <w:highlight w:val="none"/>
                <w:lang w:val="en-US" w:eastAsia="zh-CN"/>
              </w:rPr>
              <w:t>支持标准的SCPI命令集；</w:t>
            </w:r>
            <w:r>
              <w:rPr>
                <w:rFonts w:hint="default"/>
                <w:color w:val="auto"/>
                <w:highlight w:val="none"/>
                <w:lang w:val="en-US" w:eastAsia="zh-CN"/>
              </w:rPr>
              <w:t>支持Webcontrol，与PC机连接操控仪器。</w:t>
            </w:r>
            <w:r>
              <w:rPr>
                <w:rFonts w:hint="default"/>
                <w:color w:val="auto"/>
                <w:highlight w:val="none"/>
                <w:lang w:val="en-US" w:eastAsia="zh-CN"/>
              </w:rPr>
              <w:br w:type="textWrapping"/>
            </w:r>
            <w:r>
              <w:rPr>
                <w:rFonts w:hint="default"/>
                <w:color w:val="auto"/>
                <w:highlight w:val="none"/>
                <w:lang w:val="en-US" w:eastAsia="zh-CN"/>
              </w:rPr>
              <w:t>2、1年DCV 准确度：0.030%。</w:t>
            </w:r>
            <w:r>
              <w:rPr>
                <w:rFonts w:hint="default"/>
                <w:color w:val="auto"/>
                <w:highlight w:val="none"/>
                <w:lang w:val="en-US" w:eastAsia="zh-CN"/>
              </w:rPr>
              <w:br w:type="textWrapping"/>
            </w:r>
            <w:r>
              <w:rPr>
                <w:rFonts w:hint="default"/>
                <w:color w:val="auto"/>
                <w:highlight w:val="none"/>
                <w:lang w:val="en-US" w:eastAsia="zh-CN"/>
              </w:rPr>
              <w:t>3、最大电流测量量程：10 A。</w:t>
            </w:r>
            <w:r>
              <w:rPr>
                <w:rFonts w:hint="default"/>
                <w:color w:val="auto"/>
                <w:highlight w:val="none"/>
                <w:lang w:val="en-US" w:eastAsia="zh-CN"/>
              </w:rPr>
              <w:br w:type="textWrapping"/>
            </w:r>
            <w:r>
              <w:rPr>
                <w:rFonts w:hint="default"/>
                <w:color w:val="auto"/>
                <w:highlight w:val="none"/>
                <w:lang w:val="en-US" w:eastAsia="zh-CN"/>
              </w:rPr>
              <w:t>4、最大电容测量量程：10 mF。</w:t>
            </w:r>
            <w:r>
              <w:rPr>
                <w:rFonts w:hint="default"/>
                <w:color w:val="auto"/>
                <w:highlight w:val="none"/>
                <w:lang w:val="en-US" w:eastAsia="zh-CN"/>
              </w:rPr>
              <w:br w:type="textWrapping"/>
            </w:r>
            <w:r>
              <w:rPr>
                <w:rFonts w:hint="default"/>
                <w:color w:val="auto"/>
                <w:highlight w:val="none"/>
                <w:lang w:val="en-US" w:eastAsia="zh-CN"/>
              </w:rPr>
              <w:t>5、直流电压量程（DCV）：100.000 mV（0.03 + 0.004）；V（0.03 + 0.003）；10.0000 V（0.03 + 0.004）；100.000 V（0.03 + 0.003）；1000.00 V（0.03 + 0.003）。</w:t>
            </w:r>
            <w:r>
              <w:rPr>
                <w:rFonts w:hint="default"/>
                <w:color w:val="auto"/>
                <w:highlight w:val="none"/>
                <w:lang w:val="en-US" w:eastAsia="zh-CN"/>
              </w:rPr>
              <w:br w:type="textWrapping"/>
            </w:r>
            <w:r>
              <w:rPr>
                <w:rFonts w:hint="default"/>
                <w:color w:val="auto"/>
                <w:highlight w:val="none"/>
                <w:lang w:val="en-US" w:eastAsia="zh-CN"/>
              </w:rPr>
              <w:t>6、直流电流量程（DCI）：100.000 μA、&lt;0.05 V（0.055 + 0.005）；1.00000 mA、&lt;0.5 V（0.055 + 0.005）；10.0000 mA、&lt;0.05 V（0.095 + 0.020）；100.000 mA、&lt;0.5 V（0.070 + 0.008）；1.00000 A、&lt;0.01 V（0.170 + 0.020）；10.0000 A、&lt;0.1 V（0.250 + 0.010）。</w:t>
            </w:r>
            <w:r>
              <w:rPr>
                <w:rFonts w:hint="default"/>
                <w:color w:val="auto"/>
                <w:highlight w:val="none"/>
                <w:lang w:val="en-US" w:eastAsia="zh-CN"/>
              </w:rPr>
              <w:br w:type="textWrapping"/>
            </w:r>
            <w:r>
              <w:rPr>
                <w:rFonts w:hint="default"/>
                <w:color w:val="auto"/>
                <w:highlight w:val="none"/>
                <w:lang w:val="en-US" w:eastAsia="zh-CN"/>
              </w:rPr>
              <w:t>7、电阻量程（R）：100.000 Ω、1 mA（0.050 + 0.020）；1.00000 kΩ、100 μA（0.050 + 0.020）；10.0000 kΩ、10 μA（0.050 + 0.020）；100.000 kΩ、1 μA（0.10 + 0.05）；1.00000 MΩ、1 μA（1.00 + 0.05）；10.0000 MΩ、100 nA（1.50 + 0.05）；100.000 MΩ、10 nA（3.00 + 0.05）。</w:t>
            </w:r>
            <w:r>
              <w:rPr>
                <w:rFonts w:hint="default"/>
                <w:color w:val="auto"/>
                <w:highlight w:val="none"/>
                <w:lang w:val="en-US" w:eastAsia="zh-CN"/>
              </w:rPr>
              <w:br w:type="textWrapping"/>
            </w:r>
            <w:r>
              <w:rPr>
                <w:rFonts w:hint="default"/>
                <w:color w:val="auto"/>
                <w:highlight w:val="none"/>
                <w:lang w:val="en-US" w:eastAsia="zh-CN"/>
              </w:rPr>
              <w:t>8、二极管测试量程：2.0000 V、350 μA（0.050+0.15）。</w:t>
            </w:r>
            <w:r>
              <w:rPr>
                <w:rFonts w:hint="default"/>
                <w:color w:val="auto"/>
                <w:highlight w:val="none"/>
                <w:lang w:val="en-US" w:eastAsia="zh-CN"/>
              </w:rPr>
              <w:br w:type="textWrapping"/>
            </w:r>
            <w:r>
              <w:rPr>
                <w:rFonts w:hint="default"/>
                <w:color w:val="auto"/>
                <w:highlight w:val="none"/>
                <w:lang w:val="en-US" w:eastAsia="zh-CN"/>
              </w:rPr>
              <w:t>9、短路测试：1000 Ω、100 μA（0.3+0.15）。</w:t>
            </w:r>
            <w:r>
              <w:rPr>
                <w:rFonts w:hint="default"/>
                <w:color w:val="auto"/>
                <w:highlight w:val="none"/>
                <w:lang w:val="en-US" w:eastAsia="zh-CN"/>
              </w:rPr>
              <w:br w:type="textWrapping"/>
            </w:r>
            <w:r>
              <w:rPr>
                <w:rFonts w:hint="default"/>
                <w:color w:val="auto"/>
                <w:highlight w:val="none"/>
                <w:lang w:val="en-US" w:eastAsia="zh-CN"/>
              </w:rPr>
              <w:t>10、输入电阻：100 mV 和 1 V 量程：11.2 MΩ 或&gt;10 GΩ 可选；10 V、100 V 和 1000 V。</w:t>
            </w:r>
            <w:r>
              <w:rPr>
                <w:rFonts w:hint="default"/>
                <w:color w:val="auto"/>
                <w:highlight w:val="none"/>
                <w:lang w:val="en-US" w:eastAsia="zh-CN"/>
              </w:rPr>
              <w:br w:type="textWrapping"/>
            </w:r>
            <w:r>
              <w:rPr>
                <w:rFonts w:hint="default"/>
                <w:color w:val="auto"/>
                <w:highlight w:val="none"/>
                <w:lang w:val="en-US" w:eastAsia="zh-CN"/>
              </w:rPr>
              <w:t>11、量程：11.2 MΩ ± 5%。</w:t>
            </w:r>
            <w:r>
              <w:rPr>
                <w:rFonts w:hint="default"/>
                <w:color w:val="auto"/>
                <w:highlight w:val="none"/>
                <w:lang w:val="en-US" w:eastAsia="zh-CN"/>
              </w:rPr>
              <w:br w:type="textWrapping"/>
            </w:r>
            <w:r>
              <w:rPr>
                <w:rFonts w:hint="default"/>
                <w:color w:val="auto"/>
                <w:highlight w:val="none"/>
                <w:lang w:val="en-US" w:eastAsia="zh-CN"/>
              </w:rPr>
              <w:t>12、输入偏流：&lt;300 pA，25℃时。</w:t>
            </w:r>
            <w:r>
              <w:rPr>
                <w:rFonts w:hint="default"/>
                <w:color w:val="auto"/>
                <w:highlight w:val="none"/>
                <w:lang w:val="en-US" w:eastAsia="zh-CN"/>
              </w:rPr>
              <w:br w:type="textWrapping"/>
            </w:r>
            <w:r>
              <w:rPr>
                <w:rFonts w:hint="default"/>
                <w:color w:val="auto"/>
                <w:highlight w:val="none"/>
                <w:lang w:val="en-US" w:eastAsia="zh-CN"/>
              </w:rPr>
              <w:t>13、输入保护：1000 V，所有量程。</w:t>
            </w:r>
            <w:r>
              <w:rPr>
                <w:rFonts w:hint="default"/>
                <w:color w:val="auto"/>
                <w:highlight w:val="none"/>
                <w:lang w:val="en-US" w:eastAsia="zh-CN"/>
              </w:rPr>
              <w:br w:type="textWrapping"/>
            </w:r>
            <w:r>
              <w:rPr>
                <w:rFonts w:hint="default"/>
                <w:color w:val="auto"/>
                <w:highlight w:val="none"/>
                <w:lang w:val="en-US" w:eastAsia="zh-CN"/>
              </w:rPr>
              <w:t>14、共模抑制比：120 dB（对于 LO 引线的 1 kΩ 不平衡电阻，最大±500 VDC）。</w:t>
            </w:r>
            <w:r>
              <w:rPr>
                <w:rFonts w:hint="default"/>
                <w:color w:val="auto"/>
                <w:highlight w:val="none"/>
                <w:lang w:val="en-US" w:eastAsia="zh-CN"/>
              </w:rPr>
              <w:br w:type="textWrapping"/>
            </w:r>
            <w:r>
              <w:rPr>
                <w:rFonts w:hint="default"/>
                <w:color w:val="auto"/>
                <w:highlight w:val="none"/>
                <w:lang w:val="en-US" w:eastAsia="zh-CN"/>
              </w:rPr>
              <w:t>15、常模抑制比：“慢”速率时 60 dB。</w:t>
            </w:r>
          </w:p>
        </w:tc>
      </w:tr>
    </w:tbl>
    <w:p w14:paraId="46B03AB4">
      <w:pPr>
        <w:rPr>
          <w:rFonts w:hint="eastAsia" w:ascii="Arial" w:hAnsi="Arial" w:eastAsia="宋体" w:cs="Arial"/>
          <w:b/>
          <w:color w:val="auto"/>
          <w:kern w:val="0"/>
          <w:sz w:val="24"/>
          <w:highlight w:val="none"/>
        </w:rPr>
      </w:pPr>
      <w:r>
        <w:rPr>
          <w:rFonts w:hint="eastAsia" w:ascii="Arial" w:hAnsi="Arial" w:eastAsia="宋体" w:cs="Arial"/>
          <w:b/>
          <w:color w:val="auto"/>
          <w:kern w:val="0"/>
          <w:sz w:val="24"/>
          <w:highlight w:val="none"/>
        </w:rPr>
        <w:br w:type="page"/>
      </w:r>
    </w:p>
    <w:p w14:paraId="1C1E3F5C">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E分标：2026年桂林医科大学公共卫生学院教学实验仪器采购</w:t>
      </w:r>
    </w:p>
    <w:p w14:paraId="0E5D0737">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6BDB3102">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18107F6C">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465FB112">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5DF9B27E">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387F8A39">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ascii="Arial" w:hAnsi="Arial" w:cs="Arial"/>
          <w:b/>
          <w:bCs/>
          <w:color w:val="auto"/>
          <w:szCs w:val="21"/>
          <w:highlight w:val="none"/>
          <w:u w:val="single"/>
        </w:rPr>
        <w:t xml:space="preserve"> </w:t>
      </w:r>
      <w:r>
        <w:rPr>
          <w:rFonts w:hint="eastAsia" w:ascii="Arial" w:hAnsi="Arial" w:cs="Arial"/>
          <w:b/>
          <w:bCs/>
          <w:color w:val="auto"/>
          <w:szCs w:val="21"/>
          <w:highlight w:val="none"/>
          <w:u w:val="single"/>
          <w:lang w:val="en-US" w:eastAsia="zh-CN"/>
        </w:rPr>
        <w:t>序号1蠕动泵</w:t>
      </w:r>
    </w:p>
    <w:p w14:paraId="570E434A">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2D996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3" w:hRule="atLeast"/>
          <w:jc w:val="center"/>
        </w:trPr>
        <w:tc>
          <w:tcPr>
            <w:tcW w:w="509" w:type="dxa"/>
            <w:noWrap w:val="0"/>
            <w:vAlign w:val="center"/>
          </w:tcPr>
          <w:p w14:paraId="00E3B391">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序号</w:t>
            </w:r>
          </w:p>
        </w:tc>
        <w:tc>
          <w:tcPr>
            <w:tcW w:w="911" w:type="dxa"/>
            <w:noWrap w:val="0"/>
            <w:vAlign w:val="center"/>
          </w:tcPr>
          <w:p w14:paraId="4593966F">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货物名称</w:t>
            </w:r>
          </w:p>
        </w:tc>
        <w:tc>
          <w:tcPr>
            <w:tcW w:w="582" w:type="dxa"/>
            <w:noWrap w:val="0"/>
            <w:vAlign w:val="center"/>
          </w:tcPr>
          <w:p w14:paraId="6EE40F24">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数量</w:t>
            </w:r>
          </w:p>
        </w:tc>
        <w:tc>
          <w:tcPr>
            <w:tcW w:w="686" w:type="dxa"/>
            <w:noWrap w:val="0"/>
            <w:vAlign w:val="center"/>
          </w:tcPr>
          <w:p w14:paraId="655CFDF2">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计量单位</w:t>
            </w:r>
          </w:p>
        </w:tc>
        <w:tc>
          <w:tcPr>
            <w:tcW w:w="754" w:type="dxa"/>
            <w:noWrap w:val="0"/>
            <w:vAlign w:val="center"/>
          </w:tcPr>
          <w:p w14:paraId="32546B70">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所属行业</w:t>
            </w:r>
          </w:p>
        </w:tc>
        <w:tc>
          <w:tcPr>
            <w:tcW w:w="6448" w:type="dxa"/>
            <w:tcBorders>
              <w:left w:val="single" w:color="auto" w:sz="4" w:space="0"/>
              <w:right w:val="single" w:color="auto" w:sz="4" w:space="0"/>
            </w:tcBorders>
            <w:noWrap w:val="0"/>
            <w:vAlign w:val="center"/>
          </w:tcPr>
          <w:p w14:paraId="41108897">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技术指标要求</w:t>
            </w:r>
          </w:p>
        </w:tc>
      </w:tr>
      <w:tr w14:paraId="27165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E0974E6">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w:t>
            </w:r>
          </w:p>
        </w:tc>
        <w:tc>
          <w:tcPr>
            <w:tcW w:w="911" w:type="dxa"/>
            <w:noWrap w:val="0"/>
            <w:vAlign w:val="center"/>
          </w:tcPr>
          <w:p w14:paraId="05943221">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蠕动泵</w:t>
            </w:r>
          </w:p>
        </w:tc>
        <w:tc>
          <w:tcPr>
            <w:tcW w:w="582" w:type="dxa"/>
            <w:noWrap w:val="0"/>
            <w:vAlign w:val="center"/>
          </w:tcPr>
          <w:p w14:paraId="5852505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29210"/>
                  <wp:effectExtent l="0" t="0" r="0" b="0"/>
                  <wp:wrapNone/>
                  <wp:docPr id="135" name="Picture_22"/>
                  <wp:cNvGraphicFramePr/>
                  <a:graphic xmlns:a="http://schemas.openxmlformats.org/drawingml/2006/main">
                    <a:graphicData uri="http://schemas.openxmlformats.org/drawingml/2006/picture">
                      <pic:pic xmlns:pic="http://schemas.openxmlformats.org/drawingml/2006/picture">
                        <pic:nvPicPr>
                          <pic:cNvPr id="135" name="Picture_22"/>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665952F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5D9385C6">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D7AD288">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电源电压：AC100V～AC250V50Hz/60Hz或DC100V～DC275V，停转待机功率：&lt;11W，正常带载功率：&lt;20W，启动功率：&lt;40W，显示方式：LED 3位数码管，转速可调范围rpm：0.1～200，转速分辨率rpm：0.1rpm（转速≤100rpm)     1rpm（转速＞100rpm），定时范围：0.1秒～99小时，定时精度：≤20毫秒，定时调节方式：手动：分档调节       通讯：连续调节，内部可控功能项：转速、启停、正反、全速</w:t>
            </w:r>
          </w:p>
        </w:tc>
      </w:tr>
      <w:tr w14:paraId="2B33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4C4EF6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2</w:t>
            </w:r>
          </w:p>
        </w:tc>
        <w:tc>
          <w:tcPr>
            <w:tcW w:w="911" w:type="dxa"/>
            <w:noWrap w:val="0"/>
            <w:vAlign w:val="center"/>
          </w:tcPr>
          <w:p w14:paraId="32D66421">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自动部份收集器</w:t>
            </w:r>
          </w:p>
        </w:tc>
        <w:tc>
          <w:tcPr>
            <w:tcW w:w="582" w:type="dxa"/>
            <w:noWrap w:val="0"/>
            <w:vAlign w:val="center"/>
          </w:tcPr>
          <w:p w14:paraId="2EA89CC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1E28D4A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49574F8C">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154BB9A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定时收集范围：1秒 —9999分，任意选择，计滴收集范围：1—9999滴，任意选择，定峰收集范围：1—100mv任意选择 ，断电数据保存时间：10年 ，管号选择：DBS-100型 、末管1—100 末管≥管，计滴收集时断液报警时间：8分钟 ，连续工作时间：10天，实现全自动收集：外接电脑恒流泵、紫外检测仪、记录仪，电源：AC220V±10%；50Hz</w:t>
            </w:r>
          </w:p>
        </w:tc>
      </w:tr>
      <w:tr w14:paraId="06FA3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93B1F1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3</w:t>
            </w:r>
          </w:p>
        </w:tc>
        <w:tc>
          <w:tcPr>
            <w:tcW w:w="911" w:type="dxa"/>
            <w:noWrap w:val="0"/>
            <w:vAlign w:val="center"/>
          </w:tcPr>
          <w:p w14:paraId="76A5288E">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冷冻干燥机</w:t>
            </w:r>
          </w:p>
        </w:tc>
        <w:tc>
          <w:tcPr>
            <w:tcW w:w="582" w:type="dxa"/>
            <w:noWrap w:val="0"/>
            <w:vAlign w:val="center"/>
          </w:tcPr>
          <w:p w14:paraId="2AC9A77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29210"/>
                  <wp:effectExtent l="0" t="0" r="0" b="0"/>
                  <wp:wrapNone/>
                  <wp:docPr id="136" name="Picture_22_SpCnt_1"/>
                  <wp:cNvGraphicFramePr/>
                  <a:graphic xmlns:a="http://schemas.openxmlformats.org/drawingml/2006/main">
                    <a:graphicData uri="http://schemas.openxmlformats.org/drawingml/2006/picture">
                      <pic:pic xmlns:pic="http://schemas.openxmlformats.org/drawingml/2006/picture">
                        <pic:nvPicPr>
                          <pic:cNvPr id="136" name="Picture_22_SpCnt_1"/>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6B5E964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2F214762">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9C3CB0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功率1300w，重量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80kg,真空调节：电磁阀控制，制冷压缩机：双机复叠，冷阱温度：-86℃，极限真空度：5Pa，捕水能力：6ka，外形尺寸：长</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宽</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高480*560*457mm</w:t>
            </w:r>
          </w:p>
        </w:tc>
      </w:tr>
      <w:tr w14:paraId="02B8E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569A79D">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4</w:t>
            </w:r>
          </w:p>
        </w:tc>
        <w:tc>
          <w:tcPr>
            <w:tcW w:w="911" w:type="dxa"/>
            <w:noWrap w:val="0"/>
            <w:vAlign w:val="center"/>
          </w:tcPr>
          <w:p w14:paraId="67BF061C">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分析天平</w:t>
            </w:r>
          </w:p>
        </w:tc>
        <w:tc>
          <w:tcPr>
            <w:tcW w:w="582" w:type="dxa"/>
            <w:noWrap w:val="0"/>
            <w:vAlign w:val="center"/>
          </w:tcPr>
          <w:p w14:paraId="3825022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4</w:t>
            </w:r>
          </w:p>
        </w:tc>
        <w:tc>
          <w:tcPr>
            <w:tcW w:w="686" w:type="dxa"/>
            <w:noWrap w:val="0"/>
            <w:vAlign w:val="center"/>
          </w:tcPr>
          <w:p w14:paraId="23F12B0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40A61AEA">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8059A2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1.1量程：220g；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1.2可读性：1mg；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1.3典型重复性：≤±0.5mg；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1.4线性：≤±0.6mg；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1.5稳定时间：≤1S；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1.6灵敏度漂移（+10°C ~+30°C）：≤±2ppm/K；</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2.功能指标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 LED触摸屏，操作容易，读数方便；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2.2自动检测并通知校准结果是否超出正常范围，确保操作符合(SOP)要求；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2.4配备自测试功能，保证可靠性；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2.5采用耐磨的聚对苯二甲酸丁二酯(PBT)外壳，化学耐受性强；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2.6采用涂层玻璃，最大限度地减小样品带静电引起的称量误差；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2.7自动检测并图形显示打印机、PC等外设是否连接正常；</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2.8 PC 直连功能，轻松连接到PC，以便将称量数据直接传输到电子表格或者文本如Microsoft Excel 或Word 等格式的文档中；</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2.9只需点击屏幕图标，一键选择防震等级；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2.10内置 12 种应用程序：称量 | 填料、计数、称量百分比、混合 | 净重总重、组分 | 总重、动物称量、计算 | 自由因子、密度测定、统计、峰值保持、检重、质量单位转换等；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2.11可完全拆卸的防风罩便于清洁；</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2.12 USB Type-C及RS232接口，可连接打印机、PC、第二显示器、扫描枪等外设；</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2.13密码保护，防止意外更改天平设置；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2.14 ID设置，可以为设备、样品和批次分配ID号；</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2.15称量室高度240mm，便于较大容器及样品的称量；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2.16下部吊钩称量；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3.配置清单：主机1台、防风罩1个、防尘罩1个、秤盘1个、电源适配器1个、操作说明书1份。</w:t>
            </w:r>
          </w:p>
        </w:tc>
      </w:tr>
      <w:tr w14:paraId="69159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D7A3B85">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5</w:t>
            </w:r>
          </w:p>
        </w:tc>
        <w:tc>
          <w:tcPr>
            <w:tcW w:w="911" w:type="dxa"/>
            <w:noWrap w:val="0"/>
            <w:vAlign w:val="center"/>
          </w:tcPr>
          <w:p w14:paraId="58201082">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紫外分光光度仪</w:t>
            </w:r>
          </w:p>
        </w:tc>
        <w:tc>
          <w:tcPr>
            <w:tcW w:w="582" w:type="dxa"/>
            <w:noWrap w:val="0"/>
            <w:vAlign w:val="center"/>
          </w:tcPr>
          <w:p w14:paraId="04838610">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29210"/>
                  <wp:effectExtent l="0" t="0" r="0" b="0"/>
                  <wp:wrapNone/>
                  <wp:docPr id="137" name="Picture_22_SpCnt_2"/>
                  <wp:cNvGraphicFramePr/>
                  <a:graphic xmlns:a="http://schemas.openxmlformats.org/drawingml/2006/main">
                    <a:graphicData uri="http://schemas.openxmlformats.org/drawingml/2006/picture">
                      <pic:pic xmlns:pic="http://schemas.openxmlformats.org/drawingml/2006/picture">
                        <pic:nvPicPr>
                          <pic:cNvPr id="137" name="Picture_22_SpCnt_2"/>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4</w:t>
            </w:r>
          </w:p>
        </w:tc>
        <w:tc>
          <w:tcPr>
            <w:tcW w:w="686" w:type="dxa"/>
            <w:noWrap w:val="0"/>
            <w:vAlign w:val="center"/>
          </w:tcPr>
          <w:p w14:paraId="692E0BE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19F81C28">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FBC1BE9">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波长范围：325~ 1000nm，波长准确度：±0.5 n,波长移动速度：10000 nm/min,光度范围：-0.3 ~ 3 A，0 ~ 200 %T，0 ~ 9999.9 C,光度准确度：±0.002 A @ 0.0 ~ 0.5 A，±0.004 A @ 0.5 ~ 1 A，±0.3 %T @ 0 ~ 100 %T,光度重复性：≤0.001 A @ 0.0 ~ 0.5 A，≤0.002 A @ 0.5 ~ 1 A，≤0.2 %T @ 0 ~ 100 %T,噪声：≤0.0005 A @ 500 nm漂移：≤0.002 A/h @ 500 nm，预热2小时后,杂散光：≤0.05%T @ 220 nm &amp; 360 nm,测量模式：光度测量，定量测量,</w:t>
            </w:r>
          </w:p>
          <w:p w14:paraId="6CC594C9">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重要功能：拥有槽差校正功能</w:t>
            </w:r>
            <w:r>
              <w:rPr>
                <w:rFonts w:hint="default" w:ascii="Arial" w:hAnsi="Arial" w:eastAsia="宋体" w:cs="Arial"/>
                <w:b/>
                <w:bCs/>
                <w:i w:val="0"/>
                <w:iCs w:val="0"/>
                <w:color w:val="auto"/>
                <w:kern w:val="0"/>
                <w:sz w:val="21"/>
                <w:szCs w:val="21"/>
                <w:highlight w:val="none"/>
                <w:u w:val="none"/>
                <w:lang w:val="en-US" w:eastAsia="zh-CN" w:bidi="ar"/>
              </w:rPr>
              <w:t>（提供截图盖公章证明）</w:t>
            </w:r>
            <w:r>
              <w:rPr>
                <w:rFonts w:hint="default" w:ascii="Arial" w:hAnsi="Arial" w:eastAsia="宋体" w:cs="Arial"/>
                <w:i w:val="0"/>
                <w:iCs w:val="0"/>
                <w:color w:val="auto"/>
                <w:kern w:val="0"/>
                <w:sz w:val="21"/>
                <w:szCs w:val="21"/>
                <w:highlight w:val="none"/>
                <w:u w:val="none"/>
                <w:lang w:val="en-US" w:eastAsia="zh-CN" w:bidi="ar"/>
              </w:rPr>
              <w:t>,</w:t>
            </w:r>
          </w:p>
          <w:p w14:paraId="613D698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接收器：硅光电池,存储：236 KB（内置），无限制扩展（USB扩展）,接口：RS232串口×1（打印机），USB-A×1（USB存储器），USB-B×1（电脑</w:t>
            </w:r>
            <w:r>
              <w:rPr>
                <w:rFonts w:hint="eastAsia" w:ascii="Arial" w:hAnsi="Arial" w:cs="Arial"/>
                <w:i w:val="0"/>
                <w:iCs w:val="0"/>
                <w:color w:val="auto"/>
                <w:kern w:val="0"/>
                <w:sz w:val="21"/>
                <w:szCs w:val="21"/>
                <w:highlight w:val="none"/>
                <w:u w:val="none"/>
                <w:lang w:val="en-US" w:eastAsia="zh-CN" w:bidi="ar"/>
              </w:rPr>
              <w:t>）</w:t>
            </w:r>
          </w:p>
        </w:tc>
      </w:tr>
      <w:tr w14:paraId="60DCC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BFADC0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6</w:t>
            </w:r>
          </w:p>
        </w:tc>
        <w:tc>
          <w:tcPr>
            <w:tcW w:w="911" w:type="dxa"/>
            <w:noWrap w:val="0"/>
            <w:vAlign w:val="center"/>
          </w:tcPr>
          <w:p w14:paraId="3ECD6BE4">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冰箱</w:t>
            </w:r>
          </w:p>
        </w:tc>
        <w:tc>
          <w:tcPr>
            <w:tcW w:w="582" w:type="dxa"/>
            <w:noWrap w:val="0"/>
            <w:vAlign w:val="center"/>
          </w:tcPr>
          <w:p w14:paraId="344A9BF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5ABCF9F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681BA89B">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86C0587">
            <w:pPr>
              <w:keepNext w:val="0"/>
              <w:keepLines w:val="0"/>
              <w:widowControl/>
              <w:numPr>
                <w:ilvl w:val="0"/>
                <w:numId w:val="5"/>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最大容积：≥309L；</w:t>
            </w:r>
          </w:p>
          <w:p w14:paraId="1871CF1F">
            <w:pPr>
              <w:keepNext w:val="0"/>
              <w:keepLines w:val="0"/>
              <w:widowControl/>
              <w:numPr>
                <w:ilvl w:val="0"/>
                <w:numId w:val="5"/>
              </w:numPr>
              <w:suppressLineNumbers w:val="0"/>
              <w:ind w:left="0" w:leftChars="0" w:firstLine="0" w:firstLine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冷冻室容积：≥136L；</w:t>
            </w:r>
          </w:p>
          <w:p w14:paraId="4B48536D">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冷藏室容积：≥142L</w:t>
            </w:r>
            <w:r>
              <w:rPr>
                <w:rFonts w:hint="eastAsia" w:ascii="Arial" w:hAnsi="Arial" w:cs="Arial"/>
                <w:i w:val="0"/>
                <w:iCs w:val="0"/>
                <w:color w:val="auto"/>
                <w:kern w:val="0"/>
                <w:sz w:val="21"/>
                <w:szCs w:val="21"/>
                <w:highlight w:val="none"/>
                <w:u w:val="none"/>
                <w:lang w:val="en-US" w:eastAsia="zh-CN" w:bidi="ar"/>
              </w:rPr>
              <w:t>；</w:t>
            </w:r>
          </w:p>
          <w:p w14:paraId="7E6EEE2D">
            <w:pPr>
              <w:keepNext w:val="0"/>
              <w:keepLines w:val="0"/>
              <w:widowControl/>
              <w:numPr>
                <w:ilvl w:val="0"/>
                <w:numId w:val="5"/>
              </w:numPr>
              <w:suppressLineNumbers w:val="0"/>
              <w:ind w:left="0" w:leftChars="0" w:firstLine="0" w:firstLine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尺寸规格：宽×深(厚)×高：603x670x1775mm</w:t>
            </w:r>
            <w:r>
              <w:rPr>
                <w:rFonts w:hint="eastAsia" w:ascii="Arial" w:hAnsi="Arial" w:cs="Arial"/>
                <w:i w:val="0"/>
                <w:iCs w:val="0"/>
                <w:color w:val="auto"/>
                <w:kern w:val="0"/>
                <w:sz w:val="21"/>
                <w:szCs w:val="21"/>
                <w:highlight w:val="none"/>
                <w:u w:val="none"/>
                <w:lang w:val="en-US" w:eastAsia="zh-CN" w:bidi="ar"/>
              </w:rPr>
              <w:t>（±10mm）</w:t>
            </w:r>
            <w:r>
              <w:rPr>
                <w:rFonts w:hint="default" w:ascii="Arial" w:hAnsi="Arial" w:eastAsia="宋体" w:cs="Arial"/>
                <w:i w:val="0"/>
                <w:iCs w:val="0"/>
                <w:color w:val="auto"/>
                <w:kern w:val="0"/>
                <w:sz w:val="21"/>
                <w:szCs w:val="21"/>
                <w:highlight w:val="none"/>
                <w:u w:val="none"/>
                <w:lang w:val="en-US" w:eastAsia="zh-CN" w:bidi="ar"/>
              </w:rPr>
              <w:t>,</w:t>
            </w:r>
          </w:p>
          <w:p w14:paraId="6AF39C2D">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面板类型：钢化玻璃面板</w:t>
            </w:r>
            <w:r>
              <w:rPr>
                <w:rFonts w:hint="eastAsia" w:ascii="Arial" w:hAnsi="Arial" w:cs="Arial"/>
                <w:i w:val="0"/>
                <w:iCs w:val="0"/>
                <w:color w:val="auto"/>
                <w:kern w:val="0"/>
                <w:sz w:val="21"/>
                <w:szCs w:val="21"/>
                <w:highlight w:val="none"/>
                <w:u w:val="none"/>
                <w:lang w:val="en-US" w:eastAsia="zh-CN" w:bidi="ar"/>
              </w:rPr>
              <w:t>；</w:t>
            </w:r>
          </w:p>
          <w:p w14:paraId="18AD085F">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制冷方式：风冷</w:t>
            </w:r>
            <w:r>
              <w:rPr>
                <w:rFonts w:hint="eastAsia" w:ascii="Arial" w:hAnsi="Arial" w:cs="Arial"/>
                <w:i w:val="0"/>
                <w:iCs w:val="0"/>
                <w:color w:val="auto"/>
                <w:kern w:val="0"/>
                <w:sz w:val="21"/>
                <w:szCs w:val="21"/>
                <w:highlight w:val="none"/>
                <w:u w:val="none"/>
                <w:lang w:val="en-US" w:eastAsia="zh-CN" w:bidi="ar"/>
              </w:rPr>
              <w:t>；</w:t>
            </w:r>
          </w:p>
          <w:p w14:paraId="1A918E94">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箱门结构：双门式</w:t>
            </w:r>
            <w:r>
              <w:rPr>
                <w:rFonts w:hint="eastAsia" w:ascii="Arial" w:hAnsi="Arial" w:cs="Arial"/>
                <w:i w:val="0"/>
                <w:iCs w:val="0"/>
                <w:color w:val="auto"/>
                <w:kern w:val="0"/>
                <w:sz w:val="21"/>
                <w:szCs w:val="21"/>
                <w:highlight w:val="none"/>
                <w:u w:val="none"/>
                <w:lang w:val="en-US" w:eastAsia="zh-CN" w:bidi="ar"/>
              </w:rPr>
              <w:t>；</w:t>
            </w:r>
          </w:p>
          <w:p w14:paraId="14DE850A">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冰箱冷柜机型：冷藏冷冻冰箱</w:t>
            </w:r>
            <w:r>
              <w:rPr>
                <w:rFonts w:hint="eastAsia" w:ascii="Arial" w:hAnsi="Arial" w:cs="Arial"/>
                <w:i w:val="0"/>
                <w:iCs w:val="0"/>
                <w:color w:val="auto"/>
                <w:kern w:val="0"/>
                <w:sz w:val="21"/>
                <w:szCs w:val="21"/>
                <w:highlight w:val="none"/>
                <w:u w:val="none"/>
                <w:lang w:val="en-US" w:eastAsia="zh-CN" w:bidi="ar"/>
              </w:rPr>
              <w:t>；</w:t>
            </w:r>
          </w:p>
          <w:p w14:paraId="1E9C4800">
            <w:pPr>
              <w:keepNext w:val="0"/>
              <w:keepLines w:val="0"/>
              <w:widowControl/>
              <w:numPr>
                <w:ilvl w:val="0"/>
                <w:numId w:val="5"/>
              </w:numPr>
              <w:suppressLineNumbers w:val="0"/>
              <w:ind w:left="0" w:leftChars="0" w:firstLine="0" w:firstLineChars="0"/>
              <w:jc w:val="left"/>
              <w:textAlignment w:val="center"/>
              <w:rPr>
                <w:rFonts w:hint="eastAsia" w:ascii="Arial" w:hAnsi="Arial"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制冷控制系统 ：电子温控</w:t>
            </w:r>
            <w:r>
              <w:rPr>
                <w:rFonts w:hint="eastAsia" w:ascii="Arial" w:hAnsi="Arial" w:cs="Arial"/>
                <w:i w:val="0"/>
                <w:iCs w:val="0"/>
                <w:color w:val="auto"/>
                <w:kern w:val="0"/>
                <w:sz w:val="21"/>
                <w:szCs w:val="21"/>
                <w:highlight w:val="none"/>
                <w:u w:val="none"/>
                <w:lang w:val="en-US" w:eastAsia="zh-CN" w:bidi="ar"/>
              </w:rPr>
              <w:t>；</w:t>
            </w:r>
          </w:p>
          <w:p w14:paraId="2E144380">
            <w:pPr>
              <w:keepNext w:val="0"/>
              <w:keepLines w:val="0"/>
              <w:widowControl/>
              <w:numPr>
                <w:ilvl w:val="0"/>
                <w:numId w:val="0"/>
              </w:numPr>
              <w:suppressLineNumbers w:val="0"/>
              <w:ind w:leftChars="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10、能效等级：一级</w:t>
            </w:r>
          </w:p>
        </w:tc>
      </w:tr>
      <w:tr w14:paraId="5ED1E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035D28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7</w:t>
            </w:r>
          </w:p>
        </w:tc>
        <w:tc>
          <w:tcPr>
            <w:tcW w:w="911" w:type="dxa"/>
            <w:noWrap w:val="0"/>
            <w:vAlign w:val="center"/>
          </w:tcPr>
          <w:p w14:paraId="7C9E9AC9">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大气采样器</w:t>
            </w:r>
          </w:p>
        </w:tc>
        <w:tc>
          <w:tcPr>
            <w:tcW w:w="582" w:type="dxa"/>
            <w:noWrap w:val="0"/>
            <w:vAlign w:val="center"/>
          </w:tcPr>
          <w:p w14:paraId="6D9F6AF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29210"/>
                  <wp:effectExtent l="0" t="0" r="0" b="0"/>
                  <wp:wrapNone/>
                  <wp:docPr id="138" name="Picture_22_SpCnt_3"/>
                  <wp:cNvGraphicFramePr/>
                  <a:graphic xmlns:a="http://schemas.openxmlformats.org/drawingml/2006/main">
                    <a:graphicData uri="http://schemas.openxmlformats.org/drawingml/2006/picture">
                      <pic:pic xmlns:pic="http://schemas.openxmlformats.org/drawingml/2006/picture">
                        <pic:nvPicPr>
                          <pic:cNvPr id="138" name="Picture_22_SpCnt_3"/>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10</w:t>
            </w:r>
          </w:p>
        </w:tc>
        <w:tc>
          <w:tcPr>
            <w:tcW w:w="686" w:type="dxa"/>
            <w:noWrap w:val="0"/>
            <w:vAlign w:val="center"/>
          </w:tcPr>
          <w:p w14:paraId="029B4A5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AF00CF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006212B0">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定时范围：1min～99h59min；</w:t>
            </w:r>
          </w:p>
          <w:p w14:paraId="1B8646D2">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工作温度：-10～50℃；</w:t>
            </w:r>
          </w:p>
          <w:p w14:paraId="141A1769">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负载能力：≥35000pa；</w:t>
            </w:r>
          </w:p>
          <w:p w14:paraId="6CDEC46A">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相对湿度：≤95%RH；</w:t>
            </w:r>
          </w:p>
          <w:p w14:paraId="4FCF04A6">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恒流方式：电子恒流（数字恒流；内置高精度传感器；可对仪器进行自校流量不受电压波动和气阻变化的影响）；</w:t>
            </w:r>
          </w:p>
          <w:p w14:paraId="78318A3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电源：DC7.4V,220VAC±10%</w:t>
            </w:r>
          </w:p>
        </w:tc>
      </w:tr>
      <w:tr w14:paraId="3CD4A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D480502">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8</w:t>
            </w:r>
          </w:p>
        </w:tc>
        <w:tc>
          <w:tcPr>
            <w:tcW w:w="911" w:type="dxa"/>
            <w:noWrap w:val="0"/>
            <w:vAlign w:val="center"/>
          </w:tcPr>
          <w:p w14:paraId="0C421997">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粉尘采样器</w:t>
            </w:r>
          </w:p>
        </w:tc>
        <w:tc>
          <w:tcPr>
            <w:tcW w:w="582" w:type="dxa"/>
            <w:noWrap w:val="0"/>
            <w:vAlign w:val="center"/>
          </w:tcPr>
          <w:p w14:paraId="4FF4E9D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10</w:t>
            </w:r>
          </w:p>
        </w:tc>
        <w:tc>
          <w:tcPr>
            <w:tcW w:w="686" w:type="dxa"/>
            <w:noWrap w:val="0"/>
            <w:vAlign w:val="center"/>
          </w:tcPr>
          <w:p w14:paraId="73580E3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5BC752AD">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15D67808">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一、</w:t>
            </w:r>
            <w:r>
              <w:rPr>
                <w:rFonts w:hint="default" w:ascii="Arial" w:hAnsi="Arial" w:eastAsia="宋体" w:cs="Arial"/>
                <w:i w:val="0"/>
                <w:iCs w:val="0"/>
                <w:color w:val="auto"/>
                <w:kern w:val="0"/>
                <w:sz w:val="21"/>
                <w:szCs w:val="21"/>
                <w:highlight w:val="none"/>
                <w:u w:val="none"/>
                <w:lang w:val="en-US" w:eastAsia="zh-CN" w:bidi="ar"/>
              </w:rPr>
              <w:t>执行标准: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GB/T20964-2007《粉尘采样器》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Q/HHD 0103-2009《粉尘采样器企业标准》                               </w:t>
            </w:r>
          </w:p>
          <w:p w14:paraId="28B8F065">
            <w:pPr>
              <w:keepNext w:val="0"/>
              <w:keepLines w:val="0"/>
              <w:widowControl/>
              <w:suppressLineNumbers w:val="0"/>
              <w:jc w:val="left"/>
              <w:textAlignment w:val="center"/>
              <w:rPr>
                <w:rFonts w:hint="eastAsia" w:ascii="Arial" w:hAnsi="Arial"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二、</w:t>
            </w:r>
            <w:r>
              <w:rPr>
                <w:rFonts w:hint="default" w:ascii="Arial" w:hAnsi="Arial" w:eastAsia="宋体" w:cs="Arial"/>
                <w:i w:val="0"/>
                <w:iCs w:val="0"/>
                <w:color w:val="auto"/>
                <w:kern w:val="0"/>
                <w:sz w:val="21"/>
                <w:szCs w:val="21"/>
                <w:highlight w:val="none"/>
                <w:u w:val="none"/>
                <w:lang w:val="en-US" w:eastAsia="zh-CN" w:bidi="ar"/>
              </w:rPr>
              <w:t>适用范围：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适用于粉尘作业环境中对呼吸性粉尘和总粉尘进行短时间、大流量采样。适用于煤矿井下及其它含有爆炸危险性气体的作业场所使用。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三、技术参数</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采样流量： 3～30L/min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负载能力： ≥200Pa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采尘范围： 全尘或呼吸性粉尘</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定时范围： 0~99分钟内任意设置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连续工作时间： ≥150min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工作噪音： ≤75dB（A）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电源： 采样器电池为</w:t>
            </w:r>
            <w:r>
              <w:rPr>
                <w:rFonts w:hint="eastAsia" w:ascii="Arial" w:hAnsi="Arial" w:cs="Arial"/>
                <w:i w:val="0"/>
                <w:iCs w:val="0"/>
                <w:color w:val="auto"/>
                <w:kern w:val="0"/>
                <w:sz w:val="21"/>
                <w:szCs w:val="21"/>
                <w:highlight w:val="none"/>
                <w:u w:val="none"/>
                <w:lang w:val="en-US" w:eastAsia="zh-CN" w:bidi="ar"/>
              </w:rPr>
              <w:t>为内置锂电池</w:t>
            </w:r>
          </w:p>
          <w:p w14:paraId="527CF7E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外形尺寸（mm）： 200*120mm*75（长*宽*高）</w:t>
            </w:r>
            <w:r>
              <w:rPr>
                <w:rFonts w:hint="eastAsia" w:ascii="Arial" w:hAnsi="Arial" w:cs="Arial"/>
                <w:i w:val="0"/>
                <w:iCs w:val="0"/>
                <w:color w:val="auto"/>
                <w:kern w:val="0"/>
                <w:sz w:val="21"/>
                <w:szCs w:val="21"/>
                <w:highlight w:val="none"/>
                <w:u w:val="none"/>
                <w:lang w:val="en-US" w:eastAsia="zh-CN" w:bidi="ar"/>
              </w:rPr>
              <w:t>（数字偏差</w:t>
            </w:r>
            <w:r>
              <w:rPr>
                <w:rFonts w:hint="eastAsia" w:ascii="微软雅黑" w:hAnsi="微软雅黑" w:eastAsia="微软雅黑" w:cs="微软雅黑"/>
                <w:i w:val="0"/>
                <w:iCs w:val="0"/>
                <w:color w:val="auto"/>
                <w:kern w:val="0"/>
                <w:sz w:val="21"/>
                <w:szCs w:val="21"/>
                <w:highlight w:val="none"/>
                <w:u w:val="none"/>
                <w:lang w:val="en-US" w:eastAsia="zh-CN" w:bidi="ar"/>
              </w:rPr>
              <w:t>±10%</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仪器质量： ≤1.8kg                            </w:t>
            </w:r>
          </w:p>
        </w:tc>
      </w:tr>
      <w:tr w14:paraId="60A5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FB94BE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9</w:t>
            </w:r>
          </w:p>
        </w:tc>
        <w:tc>
          <w:tcPr>
            <w:tcW w:w="911" w:type="dxa"/>
            <w:noWrap w:val="0"/>
            <w:vAlign w:val="center"/>
          </w:tcPr>
          <w:p w14:paraId="6B69F522">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一体式超声波细胞破碎机（有探头）</w:t>
            </w:r>
          </w:p>
        </w:tc>
        <w:tc>
          <w:tcPr>
            <w:tcW w:w="582" w:type="dxa"/>
            <w:noWrap w:val="0"/>
            <w:vAlign w:val="center"/>
          </w:tcPr>
          <w:p w14:paraId="558E020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29210"/>
                  <wp:effectExtent l="0" t="0" r="0" b="0"/>
                  <wp:wrapNone/>
                  <wp:docPr id="139" name="Picture_22_SpCnt_4"/>
                  <wp:cNvGraphicFramePr/>
                  <a:graphic xmlns:a="http://schemas.openxmlformats.org/drawingml/2006/main">
                    <a:graphicData uri="http://schemas.openxmlformats.org/drawingml/2006/picture">
                      <pic:pic xmlns:pic="http://schemas.openxmlformats.org/drawingml/2006/picture">
                        <pic:nvPicPr>
                          <pic:cNvPr id="139" name="Picture_22_SpCnt_4"/>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5F559E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18AD861D">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2C31ED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一</w:t>
            </w:r>
            <w:r>
              <w:rPr>
                <w:rFonts w:hint="default" w:ascii="Arial" w:hAnsi="Arial" w:eastAsia="宋体" w:cs="Arial"/>
                <w:i w:val="0"/>
                <w:iCs w:val="0"/>
                <w:color w:val="auto"/>
                <w:kern w:val="0"/>
                <w:sz w:val="21"/>
                <w:szCs w:val="21"/>
                <w:highlight w:val="none"/>
                <w:u w:val="none"/>
                <w:lang w:val="en-US" w:eastAsia="zh-CN" w:bidi="ar"/>
              </w:rPr>
              <w:t>、主要应用：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1、 药物提取，细胞，细菌，病毒组织破碎。如细胞内含物的萃取。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2、物质颗粒的分散、匀质，及乳化。如纳米材料的分散。</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3、加速溶解，加速化学反应，如用于化学合成。</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4、可用于植物提取，水处理、固液系分散、液体中颗粒的解团聚、促进固液反应等效果，使较大粒径的聚集体分散为较小的颗粒。稳定化指保证粉体颗粒在液体中保持长期的均匀分散等</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w:t>
            </w:r>
            <w:r>
              <w:rPr>
                <w:rFonts w:hint="default" w:ascii="Arial" w:hAnsi="Arial" w:eastAsia="宋体" w:cs="Arial"/>
                <w:i w:val="0"/>
                <w:iCs w:val="0"/>
                <w:color w:val="auto"/>
                <w:kern w:val="0"/>
                <w:sz w:val="21"/>
                <w:szCs w:val="21"/>
                <w:highlight w:val="none"/>
                <w:u w:val="none"/>
                <w:lang w:val="en-US" w:eastAsia="zh-CN" w:bidi="ar"/>
              </w:rPr>
              <w:t>、技术参数：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1.整体设备操控屏幕和隔音箱一体式设计，箱体主要部件ABS开模制造流线型外观，符合人体工程学的操作界面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2.箱体内胆采用钣金烤漆工艺内胆，内置夹层隔音棉，降低噪音的同时，方便清洁，防止细菌生成</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w:t>
            </w:r>
            <w:r>
              <w:rPr>
                <w:rFonts w:hint="eastAsia"/>
                <w:color w:val="auto"/>
                <w:highlight w:val="none"/>
                <w:lang w:val="en-US" w:eastAsia="zh-CN"/>
              </w:rPr>
              <w:t>具有</w:t>
            </w:r>
            <w:r>
              <w:rPr>
                <w:rFonts w:hint="default" w:ascii="Arial" w:hAnsi="Arial" w:eastAsia="宋体" w:cs="Arial"/>
                <w:i w:val="0"/>
                <w:iCs w:val="0"/>
                <w:color w:val="auto"/>
                <w:kern w:val="0"/>
                <w:sz w:val="21"/>
                <w:szCs w:val="21"/>
                <w:highlight w:val="none"/>
                <w:u w:val="none"/>
                <w:lang w:val="en-US" w:eastAsia="zh-CN" w:bidi="ar"/>
              </w:rPr>
              <w:t>自动追踪频率及自动谐振点和功率控制，无需经常手动调节能量。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4.设备具有超声变幅杆自动识别功能，更换不同尺寸的钛合金变幅杆无需手动调节，仪器具有自动识别功能；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5.二种超声模式可选：可选择连续超声模式；可选择间隙性超声模式，适合不同实验需求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 超声变频器采用锆钛酸铅晶体压电变频器，密封处理隔离水汽和腐蚀性气体</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 自动振幅和脉冲补偿功能，保持频率稳定，确保在超声过程中探头振幅不因承载变化而变化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8.超声探头采用TC4高强度钛合金材质，可间歇工作，也可空载运行，长时间使用探头不易磨损空化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9.设备主要参数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9.1 超声频率：25KHz自动追频，自适应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9.2 超声标称功率：1000W，功率可调：0-100%，步进10%，也可细化至步进1%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9.3 处理量： 0.1-900ML，需要选配不同的变幅杆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9.4 总时间可调：0.1s-9999m，脉冲间隙时间可调：0.1s-99.9s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9.5</w:t>
            </w:r>
            <w:r>
              <w:rPr>
                <w:rFonts w:hint="eastAsia"/>
                <w:color w:val="auto"/>
                <w:highlight w:val="none"/>
              </w:rPr>
              <w:t>≥7英寸</w:t>
            </w:r>
            <w:r>
              <w:rPr>
                <w:rFonts w:hint="default" w:ascii="Arial" w:hAnsi="Arial" w:eastAsia="宋体" w:cs="Arial"/>
                <w:i w:val="0"/>
                <w:iCs w:val="0"/>
                <w:color w:val="auto"/>
                <w:kern w:val="0"/>
                <w:sz w:val="21"/>
                <w:szCs w:val="21"/>
                <w:highlight w:val="none"/>
                <w:u w:val="none"/>
                <w:lang w:val="en-US" w:eastAsia="zh-CN" w:bidi="ar"/>
              </w:rPr>
              <w:t>医用级电阻触摸屏触控操作，时间、温度、功率及连续模式和间隙模式显示，操作简单便捷；屏幕实时显示工作参数，运行状态倒计时显示；微处理控制器设有密码保护功能，可自由编辑50组程序及自动记忆设定的程序；智能芯片可自动识别不同尺寸变幅杆的功能；仪器具有超电流、超电压、超温报警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9.6 采用PT100温度传感器，监测样品温度（0-100 ℃）（需选配低温槽实现制冷）</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9.7 换能器采用ibidi陶瓷晶片可长时间工作不易发热。</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9.8 一体式隔音箱分两部分组成，外壳尺寸：360*330*510mm</w:t>
            </w:r>
            <w:r>
              <w:rPr>
                <w:rFonts w:hint="eastAsia" w:ascii="Arial" w:hAnsi="Arial" w:eastAsia="宋体" w:cs="Arial"/>
                <w:i w:val="0"/>
                <w:iCs w:val="0"/>
                <w:color w:val="auto"/>
                <w:kern w:val="0"/>
                <w:sz w:val="21"/>
                <w:szCs w:val="21"/>
                <w:highlight w:val="none"/>
                <w:u w:val="none"/>
                <w:lang w:val="en-US" w:eastAsia="zh-CN" w:bidi="ar"/>
              </w:rPr>
              <w:t>（±10mm）</w:t>
            </w:r>
            <w:r>
              <w:rPr>
                <w:rFonts w:hint="default" w:ascii="Arial" w:hAnsi="Arial" w:eastAsia="宋体" w:cs="Arial"/>
                <w:i w:val="0"/>
                <w:iCs w:val="0"/>
                <w:color w:val="auto"/>
                <w:kern w:val="0"/>
                <w:sz w:val="21"/>
                <w:szCs w:val="21"/>
                <w:highlight w:val="none"/>
                <w:u w:val="none"/>
                <w:lang w:val="en-US" w:eastAsia="zh-CN" w:bidi="ar"/>
              </w:rPr>
              <w:t xml:space="preserve">，内胆尺寸：280*290*320mm </w:t>
            </w:r>
            <w:r>
              <w:rPr>
                <w:rFonts w:hint="eastAsia" w:ascii="Arial" w:hAnsi="Arial" w:eastAsia="宋体" w:cs="Arial"/>
                <w:i w:val="0"/>
                <w:iCs w:val="0"/>
                <w:color w:val="auto"/>
                <w:kern w:val="0"/>
                <w:sz w:val="21"/>
                <w:szCs w:val="21"/>
                <w:highlight w:val="none"/>
                <w:u w:val="none"/>
                <w:lang w:val="en-US" w:eastAsia="zh-CN" w:bidi="ar"/>
              </w:rPr>
              <w:t>（±10mm），</w:t>
            </w:r>
            <w:r>
              <w:rPr>
                <w:rFonts w:hint="default" w:ascii="Arial" w:hAnsi="Arial" w:eastAsia="宋体" w:cs="Arial"/>
                <w:i w:val="0"/>
                <w:iCs w:val="0"/>
                <w:color w:val="auto"/>
                <w:kern w:val="0"/>
                <w:sz w:val="21"/>
                <w:szCs w:val="21"/>
                <w:highlight w:val="none"/>
                <w:u w:val="none"/>
                <w:lang w:val="en-US" w:eastAsia="zh-CN" w:bidi="ar"/>
              </w:rPr>
              <w:t>设备材质为ABS塑料和钣金烤漆，一体式氩焊成型，同时具备照明功能，紫外及臭氧杀菌功能以及自动升降平台，隔音箱可升级成低温循环功能等。</w:t>
            </w:r>
            <w:r>
              <w:rPr>
                <w:rFonts w:hint="default" w:ascii="Arial" w:hAnsi="Arial" w:eastAsia="宋体" w:cs="Arial"/>
                <w:b/>
                <w:bCs/>
                <w:i w:val="0"/>
                <w:iCs w:val="0"/>
                <w:color w:val="auto"/>
                <w:kern w:val="0"/>
                <w:sz w:val="21"/>
                <w:szCs w:val="21"/>
                <w:highlight w:val="none"/>
                <w:u w:val="none"/>
                <w:lang w:val="en-US" w:eastAsia="zh-CN" w:bidi="ar"/>
              </w:rPr>
              <w:t>（提供佐证材料</w:t>
            </w:r>
            <w:r>
              <w:rPr>
                <w:rFonts w:hint="eastAsia" w:ascii="Arial" w:hAnsi="Arial" w:cs="Arial"/>
                <w:b/>
                <w:bCs/>
                <w:i w:val="0"/>
                <w:iCs w:val="0"/>
                <w:color w:val="auto"/>
                <w:kern w:val="0"/>
                <w:sz w:val="21"/>
                <w:szCs w:val="21"/>
                <w:highlight w:val="none"/>
                <w:u w:val="none"/>
                <w:lang w:val="en-US" w:eastAsia="zh-CN" w:bidi="ar"/>
              </w:rPr>
              <w:t>加盖公章</w:t>
            </w:r>
            <w:r>
              <w:rPr>
                <w:rFonts w:hint="default" w:ascii="Arial" w:hAnsi="Arial" w:eastAsia="宋体" w:cs="Arial"/>
                <w:b/>
                <w:bCs/>
                <w:i w:val="0"/>
                <w:iCs w:val="0"/>
                <w:color w:val="auto"/>
                <w:kern w:val="0"/>
                <w:sz w:val="21"/>
                <w:szCs w:val="21"/>
                <w:highlight w:val="none"/>
                <w:u w:val="none"/>
                <w:lang w:val="en-US" w:eastAsia="zh-CN" w:bidi="ar"/>
              </w:rPr>
              <w:t>）</w:t>
            </w:r>
            <w:r>
              <w:rPr>
                <w:rFonts w:hint="default" w:ascii="Arial" w:hAnsi="Arial" w:eastAsia="宋体" w:cs="Arial"/>
                <w:b/>
                <w:bCs/>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9.9 钛合金变幅杆标配：6mm(其他尺寸可选)；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三、</w:t>
            </w:r>
            <w:r>
              <w:rPr>
                <w:rFonts w:hint="default" w:ascii="Arial" w:hAnsi="Arial" w:eastAsia="宋体" w:cs="Arial"/>
                <w:i w:val="0"/>
                <w:iCs w:val="0"/>
                <w:color w:val="auto"/>
                <w:kern w:val="0"/>
                <w:sz w:val="21"/>
                <w:szCs w:val="21"/>
                <w:highlight w:val="none"/>
                <w:u w:val="none"/>
                <w:lang w:val="en-US" w:eastAsia="zh-CN" w:bidi="ar"/>
              </w:rPr>
              <w:t>基本配置：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1.一体式超声破碎机主机 1台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2.密闭加长换能器器及钛合金探头1套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3.304不锈钢升降台1个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4.操作手册1份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5.紫外杀菌臭氧消毒系统1套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6.照明灯1套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7.温度探头1个</w:t>
            </w:r>
          </w:p>
        </w:tc>
      </w:tr>
      <w:tr w14:paraId="747DE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65B71D2">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10</w:t>
            </w:r>
          </w:p>
        </w:tc>
        <w:tc>
          <w:tcPr>
            <w:tcW w:w="911" w:type="dxa"/>
            <w:noWrap w:val="0"/>
            <w:vAlign w:val="center"/>
          </w:tcPr>
          <w:p w14:paraId="582D7A32">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小型台式制冰机</w:t>
            </w:r>
          </w:p>
        </w:tc>
        <w:tc>
          <w:tcPr>
            <w:tcW w:w="582" w:type="dxa"/>
            <w:noWrap w:val="0"/>
            <w:vAlign w:val="center"/>
          </w:tcPr>
          <w:p w14:paraId="126E675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2E1DE1C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1A5CDC64">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11E4F35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1.日产冰量：</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85（Kg/24h）</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2.储冰量：</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25 (Kg)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3.机体材质：不锈钢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4.冰 形：不规则的微小颗粒雪花状冰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5.外型尺寸：</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400×512×873(mm)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6.输入功率：</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430（W）</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整机重量：</w:t>
            </w:r>
            <w:r>
              <w:rPr>
                <w:rFonts w:hint="eastAsia" w:eastAsia="宋体"/>
                <w:color w:val="auto"/>
                <w:highlight w:val="none"/>
              </w:rPr>
              <w:t>≥</w:t>
            </w:r>
            <w:r>
              <w:rPr>
                <w:rFonts w:hint="default" w:ascii="Arial" w:hAnsi="Arial" w:eastAsia="宋体" w:cs="Arial"/>
                <w:i w:val="0"/>
                <w:iCs w:val="0"/>
                <w:color w:val="auto"/>
                <w:kern w:val="0"/>
                <w:sz w:val="21"/>
                <w:szCs w:val="21"/>
                <w:highlight w:val="none"/>
                <w:u w:val="none"/>
                <w:lang w:val="en-US" w:eastAsia="zh-CN" w:bidi="ar"/>
              </w:rPr>
              <w:t>57（Kg）</w:t>
            </w:r>
          </w:p>
        </w:tc>
      </w:tr>
      <w:tr w14:paraId="348F3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BB89A50">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11</w:t>
            </w:r>
          </w:p>
        </w:tc>
        <w:tc>
          <w:tcPr>
            <w:tcW w:w="911" w:type="dxa"/>
            <w:noWrap w:val="0"/>
            <w:vAlign w:val="center"/>
          </w:tcPr>
          <w:p w14:paraId="15CFBF3E">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立式压力蒸汽灭菌器</w:t>
            </w:r>
          </w:p>
        </w:tc>
        <w:tc>
          <w:tcPr>
            <w:tcW w:w="582" w:type="dxa"/>
            <w:noWrap w:val="0"/>
            <w:vAlign w:val="center"/>
          </w:tcPr>
          <w:p w14:paraId="1DFBB37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29210"/>
                  <wp:effectExtent l="0" t="0" r="0" b="0"/>
                  <wp:wrapNone/>
                  <wp:docPr id="140" name="图片_41"/>
                  <wp:cNvGraphicFramePr/>
                  <a:graphic xmlns:a="http://schemas.openxmlformats.org/drawingml/2006/main">
                    <a:graphicData uri="http://schemas.openxmlformats.org/drawingml/2006/picture">
                      <pic:pic xmlns:pic="http://schemas.openxmlformats.org/drawingml/2006/picture">
                        <pic:nvPicPr>
                          <pic:cNvPr id="140" name="图片_41"/>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3B69EB3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8E121A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314C01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一、资格要求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1、具有特种设备制造许可证。</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、随附压力容器质量证明文件，包括产品合格证、特种设备制造监督检验证书、设计蓝图等。</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、备品备件和零部件国内库存充足，大中城市7天内到货。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二、技术性能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1、蒸汽产生方式：加热自产饱和蒸汽，无需外接蒸汽源。</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2、最高使用温度135℃。使用温度范围：45 - 80℃（预热）、45 - 60℃（保温）、65 -100℃（溶解）、105 - 135℃（灭菌）。温度控制与显示精度为0.1℃。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3、最高使用压力为0.255MPa。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4、设计使用年限20年，设计压力0.42Mpa，设计温度151℃。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5、提供多种运行功能：标配适用于器具、橡胶、液体、培养基等的器具灭菌工程、液体灭菌工程、灭菌保温工程、溶解保温工程、手动操作模式。可以自定义并重复运行任意工程。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6、门关闭互锁检测系统：所有锁钩和和电磁锁位置开关检测到位后才能启动程序。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7、灭菌器的盖子设计蒸汽导流系统，当高温开盖时，蒸汽会从两侧平稳释放，避免正面喷出，确保实验人员的安全。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8、自适应饱和水蒸气判定系统：智能识别饱和水蒸气状态，确保最佳灭菌效果，无需设定海拔或沸点。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9、传感器自检保护功能：自动检测传感器故障，并通过声音和控制面板提示。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10、控制器采用电脑PID控制温度，全程自动程序控制升温、灭菌和排汽。灭菌循环结束后，通过蜂鸣声和控制面板文字提示。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11、控制器定时范围：0或1 min ~ 99 h 59 min，分辨率：1 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12、其他功能：按键锁、预约、记忆、预热、强制冷却、程序锁、警报发生记录（20件）、时间积算显示、时刻显示、操作音开关、选配试料温度传感器。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13、安全装置包括：传感器异常检测、SSR短路保护、加热器断线检测、防空烧（液胀式温控器）、冷却水壶异常警告、盖锁异常检测、记忆异常检测、压力安全阀（0.255MPa）。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14、故障报警：故障时，声音提示、控制面板显示故障代码和文本信息，帮助操作人员排除故障，确保人员和设备安全。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15、GLP/GMP检测规则对应。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三、结构参数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1、操作面板位于盖子前侧，方便操作和观看。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2、盖部结构为手动上下开关式，节省空间。配备自涨式密封圈。多重压力盖开启保护锁确保安全。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3、灭菌器内腔采用3mm耐腐蚀不锈钢材质，表面镜面处理。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4、压力表和安全阀可轻松拆卸以进行校验。</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5、标准装备冷却风叶（轴流风机）。支持强制冷却和自然冷却。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6、灭菌用加热器：110V，1500W × 2。</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7、排气阀：使用电磁阀，包括一个快排气阀和一个缓慢排气阀。降温时，缓慢排阀气常开，当缸内温度达到排气温度后，快排气阀自动开启。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8、选购品：生物安全过滤系统、试料温度传感器、缸内温度测定传感器、记录仪、温度输出端子（4～20mA）、外部警报输出端子、时间到达输出端子、标准提篮、加高型提篮。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9、外形尺寸（宽×深×高mm）：</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520 × 660 × 1161。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10、缸体有效尺寸（直径×高mm）：</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370 × 750。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11、缸体有效内容积：</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80L。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12、重量：约105kg。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13、电源（50/60Hz）额定电流：AC220V  14A。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四、环境条件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1、使用环境：温度5℃~35℃；相对湿度不超过85%。</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五、配置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1、立式压力蒸汽灭菌器  1台</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配套</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提篮2个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蒸汽接水杯 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冷却水壶1个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加热器挡板1个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过滤器1个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排水管1根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抱箍1个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接水盘1个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长臂夹1个</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灭菌测试卡1套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3、资料：</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压力容器产品质量证明书1份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安全阀合格证1份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使用说明书1份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保证书 </w:t>
            </w:r>
            <w:r>
              <w:rPr>
                <w:rFonts w:hint="eastAsia" w:ascii="Arial" w:hAnsi="Arial" w:cs="Arial"/>
                <w:i w:val="0"/>
                <w:iCs w:val="0"/>
                <w:color w:val="auto"/>
                <w:kern w:val="0"/>
                <w:sz w:val="21"/>
                <w:szCs w:val="21"/>
                <w:highlight w:val="none"/>
                <w:u w:val="none"/>
                <w:lang w:val="en-US" w:eastAsia="zh-CN" w:bidi="ar"/>
              </w:rPr>
              <w:t>1份</w:t>
            </w:r>
            <w:r>
              <w:rPr>
                <w:rFonts w:hint="default" w:ascii="Arial" w:hAnsi="Arial" w:eastAsia="宋体" w:cs="Arial"/>
                <w:i w:val="0"/>
                <w:iCs w:val="0"/>
                <w:color w:val="auto"/>
                <w:kern w:val="0"/>
                <w:sz w:val="21"/>
                <w:szCs w:val="21"/>
                <w:highlight w:val="none"/>
                <w:u w:val="none"/>
                <w:lang w:val="en-US" w:eastAsia="zh-CN" w:bidi="ar"/>
              </w:rPr>
              <w:t xml:space="preserve">   </w:t>
            </w:r>
          </w:p>
        </w:tc>
      </w:tr>
      <w:tr w14:paraId="58E73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38D728C">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12</w:t>
            </w:r>
          </w:p>
        </w:tc>
        <w:tc>
          <w:tcPr>
            <w:tcW w:w="911" w:type="dxa"/>
            <w:noWrap w:val="0"/>
            <w:vAlign w:val="center"/>
          </w:tcPr>
          <w:p w14:paraId="0F6A9EB3">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台式高速大容量冷冻离心机</w:t>
            </w:r>
          </w:p>
        </w:tc>
        <w:tc>
          <w:tcPr>
            <w:tcW w:w="582" w:type="dxa"/>
            <w:noWrap w:val="0"/>
            <w:vAlign w:val="center"/>
          </w:tcPr>
          <w:p w14:paraId="60ADF44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29210"/>
                  <wp:effectExtent l="0" t="0" r="0" b="0"/>
                  <wp:wrapNone/>
                  <wp:docPr id="141" name="Picture_22_SpCnt_5"/>
                  <wp:cNvGraphicFramePr/>
                  <a:graphic xmlns:a="http://schemas.openxmlformats.org/drawingml/2006/main">
                    <a:graphicData uri="http://schemas.openxmlformats.org/drawingml/2006/picture">
                      <pic:pic xmlns:pic="http://schemas.openxmlformats.org/drawingml/2006/picture">
                        <pic:nvPicPr>
                          <pic:cNvPr id="141" name="Picture_22_SpCnt_5"/>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29210"/>
                  <wp:effectExtent l="0" t="0" r="0" b="0"/>
                  <wp:wrapNone/>
                  <wp:docPr id="142" name="图片_49"/>
                  <wp:cNvGraphicFramePr/>
                  <a:graphic xmlns:a="http://schemas.openxmlformats.org/drawingml/2006/main">
                    <a:graphicData uri="http://schemas.openxmlformats.org/drawingml/2006/picture">
                      <pic:pic xmlns:pic="http://schemas.openxmlformats.org/drawingml/2006/picture">
                        <pic:nvPicPr>
                          <pic:cNvPr id="142" name="图片_49"/>
                          <pic:cNvPicPr/>
                        </pic:nvPicPr>
                        <pic:blipFill>
                          <a:blip r:embed="rId21"/>
                          <a:stretch>
                            <a:fillRect/>
                          </a:stretch>
                        </pic:blipFill>
                        <pic:spPr>
                          <a:xfrm>
                            <a:off x="0" y="0"/>
                            <a:ext cx="9525" cy="2921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3B81C8C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18F4BA9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3953AD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主机，水平转子（4*750mL，4*500mL），转速精度：±10r/min，定时范围：1-99min59sec，温度设置范围-20℃-40℃，温度控制精度：±1℃，整体噪音《65dB，电源220±22V，50Hz，整机功率：1.5kW，外形尺寸：</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550*800*440（mm)，净重：</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95kg。</w:t>
            </w:r>
          </w:p>
        </w:tc>
      </w:tr>
      <w:tr w14:paraId="1BB48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B606C5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13</w:t>
            </w:r>
          </w:p>
        </w:tc>
        <w:tc>
          <w:tcPr>
            <w:tcW w:w="911" w:type="dxa"/>
            <w:noWrap w:val="0"/>
            <w:vAlign w:val="center"/>
          </w:tcPr>
          <w:p w14:paraId="000D1DC3">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电子天平</w:t>
            </w:r>
          </w:p>
        </w:tc>
        <w:tc>
          <w:tcPr>
            <w:tcW w:w="582" w:type="dxa"/>
            <w:noWrap w:val="0"/>
            <w:vAlign w:val="center"/>
          </w:tcPr>
          <w:p w14:paraId="7B3DED0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CA1E55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7AA2737E">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538695F">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万分之一天平，最大量程：120g，可读性：0.1mg，重复性：0.08mg，最小秤量值：16mg，稳定时间：2s，校正：外部，显示屏：LCD混合触摸屏</w:t>
            </w:r>
          </w:p>
        </w:tc>
      </w:tr>
      <w:tr w14:paraId="0FF97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E2BEC95">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14</w:t>
            </w:r>
          </w:p>
        </w:tc>
        <w:tc>
          <w:tcPr>
            <w:tcW w:w="911" w:type="dxa"/>
            <w:noWrap w:val="0"/>
            <w:vAlign w:val="center"/>
          </w:tcPr>
          <w:p w14:paraId="071870D7">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分析天平</w:t>
            </w:r>
          </w:p>
        </w:tc>
        <w:tc>
          <w:tcPr>
            <w:tcW w:w="582" w:type="dxa"/>
            <w:noWrap w:val="0"/>
            <w:vAlign w:val="center"/>
          </w:tcPr>
          <w:p w14:paraId="32C316C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239DC56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478E73C3">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B5080E7">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1.技术指标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1.1量程：55g；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1.2可读性：0.01mg；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1.3典型重复性：≤±0.015mg；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1.4线性：≤±0.05mg；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1.5稳定时间：≤4 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1.6灵敏度漂移（+10°C ~+30°C）：≤±1ppm/K；</w:t>
            </w:r>
          </w:p>
        </w:tc>
      </w:tr>
      <w:tr w14:paraId="5FD65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9" w:type="dxa"/>
            <w:noWrap w:val="0"/>
            <w:vAlign w:val="center"/>
          </w:tcPr>
          <w:p w14:paraId="66E7EF9D">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15</w:t>
            </w:r>
          </w:p>
        </w:tc>
        <w:tc>
          <w:tcPr>
            <w:tcW w:w="911" w:type="dxa"/>
            <w:noWrap w:val="0"/>
            <w:vAlign w:val="center"/>
          </w:tcPr>
          <w:p w14:paraId="6F90D79F">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风速仪</w:t>
            </w:r>
          </w:p>
        </w:tc>
        <w:tc>
          <w:tcPr>
            <w:tcW w:w="582" w:type="dxa"/>
            <w:noWrap w:val="0"/>
            <w:vAlign w:val="center"/>
          </w:tcPr>
          <w:p w14:paraId="109CB09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3E2B922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F0A05A6">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2BC91BB">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1 . 测量范围： 0-5m/s 0-10m/s 0-20m/s 0—30m/s 任选</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 分辨率：0.01m/s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 度：±（读数×2%+0.2 ）m/s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 . 4位字段液晶显示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 . 工作环境：5℃</w:t>
            </w:r>
            <w:r>
              <w:rPr>
                <w:rFonts w:hint="default" w:ascii="Arial" w:hAnsi="Arial" w:eastAsia="宋体" w:cs="Arial"/>
                <w:i w:val="0"/>
                <w:iCs w:val="0"/>
                <w:color w:val="auto"/>
                <w:kern w:val="0"/>
                <w:sz w:val="21"/>
                <w:szCs w:val="21"/>
                <w:highlight w:val="none"/>
                <w:u w:val="none"/>
                <w:lang w:val="en-US" w:eastAsia="zh-CN" w:bidi="ar"/>
              </w:rPr>
              <w:softHyphen/>
            </w:r>
            <w:r>
              <w:rPr>
                <w:rFonts w:hint="default" w:ascii="Arial" w:hAnsi="Arial" w:eastAsia="宋体" w:cs="Arial"/>
                <w:i w:val="0"/>
                <w:iCs w:val="0"/>
                <w:color w:val="auto"/>
                <w:kern w:val="0"/>
                <w:sz w:val="21"/>
                <w:szCs w:val="21"/>
                <w:highlight w:val="none"/>
                <w:u w:val="none"/>
                <w:lang w:val="en-US" w:eastAsia="zh-CN" w:bidi="ar"/>
              </w:rPr>
              <w:t>—50℃ 清洁空气中的风</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 . 电源：①锂离子充电电池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②AC适配器（选择性）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 . 规格：</w:t>
            </w:r>
          </w:p>
          <w:p w14:paraId="7FB6AFA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主机：</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135×70×30mm</w:t>
            </w:r>
            <w:r>
              <w:rPr>
                <w:rFonts w:hint="eastAsia" w:ascii="Arial" w:hAnsi="Arial" w:cs="Arial"/>
                <w:i w:val="0"/>
                <w:iCs w:val="0"/>
                <w:color w:val="auto"/>
                <w:kern w:val="0"/>
                <w:sz w:val="21"/>
                <w:szCs w:val="21"/>
                <w:highlight w:val="none"/>
                <w:u w:val="none"/>
                <w:lang w:val="en-US" w:eastAsia="zh-CN" w:bidi="ar"/>
              </w:rPr>
              <w:t>（</w:t>
            </w:r>
            <w:r>
              <w:rPr>
                <w:rFonts w:hint="eastAsia"/>
                <w:color w:val="auto"/>
                <w:highlight w:val="none"/>
                <w:lang w:val="en-US" w:eastAsia="zh-CN"/>
              </w:rPr>
              <w:t>长*宽*高</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拉杆：160mm—422mm可拉伸探杆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电缆：75cm-150cm可拉伸弹簧电缆线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 . 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0.28Kg</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 操作说明</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1 . 开机检测，按POWER键仪器加电，几秒钟后仪器显示回到“0.00”，这时已经进入测试状态，待仪器充分稳定后开始测试。</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9.</w:t>
            </w:r>
            <w:r>
              <w:rPr>
                <w:rFonts w:hint="default" w:ascii="Arial" w:hAnsi="Arial" w:eastAsia="宋体" w:cs="Arial"/>
                <w:i w:val="0"/>
                <w:iCs w:val="0"/>
                <w:color w:val="auto"/>
                <w:kern w:val="0"/>
                <w:sz w:val="21"/>
                <w:szCs w:val="21"/>
                <w:highlight w:val="none"/>
                <w:u w:val="none"/>
                <w:lang w:val="en-US" w:eastAsia="zh-CN" w:bidi="ar"/>
              </w:rPr>
              <w:t>2 . 将仪器拿到测试地点，拉开拉杆，漏出传感器探头，使探头带红点的方向朝向风速方向，待液晶显示较为稳定，所显示的数值即为所测得风速。此时按下“HOLD”键，液晶保持闪烁显示所测得数值，再按下”HOLD”键又回到测试状态。可多次测量取其平均值。</w:t>
            </w:r>
          </w:p>
        </w:tc>
      </w:tr>
      <w:tr w14:paraId="458D9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DA3DE16">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16</w:t>
            </w:r>
          </w:p>
        </w:tc>
        <w:tc>
          <w:tcPr>
            <w:tcW w:w="911" w:type="dxa"/>
            <w:noWrap w:val="0"/>
            <w:vAlign w:val="center"/>
          </w:tcPr>
          <w:p w14:paraId="77FDE8C0">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空气微生物采样器</w:t>
            </w:r>
          </w:p>
        </w:tc>
        <w:tc>
          <w:tcPr>
            <w:tcW w:w="582" w:type="dxa"/>
            <w:noWrap w:val="0"/>
            <w:vAlign w:val="center"/>
          </w:tcPr>
          <w:p w14:paraId="6BA13A8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13C6D014">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4190FE85">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6CB9CEE3">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color w:val="auto"/>
                <w:highlight w:val="none"/>
                <w:lang w:val="en-US" w:eastAsia="zh-CN"/>
              </w:rPr>
              <w:t>一、技术参数</w:t>
            </w:r>
          </w:p>
          <w:p w14:paraId="08C5D6EE">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1.捕获率：≥98％</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2.捕获粒子范围：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第一级  ＞7.0um          孔径1.18mm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第二级  4.7-7.0um         孔径0.91mm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第三级  3.3-4.7um         孔径0.71mm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第四级  2.1-3.3um         孔径0.53mm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第五级  1.1-2.1um         孔径0.34mm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第六级  0.65-1.1um        孔径0.25mm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3.采样流量28.3L/min（可调节）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4.电源： 11.1V/6600mAh锂离子可充电电池 DC12.6V/1A锂电池充电器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5.功率：35W，锂电池充满电，可连续工作5小时以上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6.体积：Φ108mm x 192mm</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主机:长210mm x宽 140mm x 高180mm</w:t>
            </w:r>
            <w:r>
              <w:rPr>
                <w:rFonts w:hint="eastAsia" w:ascii="Arial" w:hAnsi="Arial"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7.重量：撞击器：1kg    主机：3kg</w:t>
            </w:r>
            <w:r>
              <w:rPr>
                <w:rFonts w:hint="eastAsia" w:ascii="Arial" w:hAnsi="Arial" w:cs="Arial"/>
                <w:i w:val="0"/>
                <w:iCs w:val="0"/>
                <w:color w:val="auto"/>
                <w:kern w:val="0"/>
                <w:sz w:val="21"/>
                <w:szCs w:val="21"/>
                <w:highlight w:val="none"/>
                <w:u w:val="none"/>
                <w:lang w:val="en-US" w:eastAsia="zh-CN" w:bidi="ar"/>
              </w:rPr>
              <w:t>（±10%）</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二、使用方法</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(一)采样器的流量校正</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六级筛孔撞击式空气微生物采样器是28.3L/min，采样前校正好流量。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 须保证圆盘上孔眼通畅，然后按顺序将撞击器装配好，一手从上部按住撞击器，另一只手挂在三个弹簧挂钩。</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用橡胶管连接撞击器出口→主机进气口，取下撞击器进气口的上盖。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 按下主机上“电源开关”，调节“流量调节”旋钮，使流量计转子稳定在28.3L/min。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(二)撞击器的清洗与消毒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1.用中性洗涤剂温水清洗撞击器，用超声波洗则更好，可除去喷孔的塞物。</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2．若喷孔发生阻塞，用高压气流或配备的细针清除</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3.六级撞击器使用70％酒精擦拭消毒。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（三）采样平皿的制备</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1.一般需氧的空气微生物采样用普通琼脂培养基（培养基1.8％-2.0％）若采集特殊微生物(如高营养的病原因，病毒，真菌等)可选用相应的采样介质。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 平皿采用国产Φ90 x 18mm玻璃培养皿，用高压蒸汽灭菌后备用。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3.在无菌条件下用量杯往 平皿内倒入琼脂24-30ml，琼脂表面与高密圈（8mm）一平，以保证采样时喷孔与琼脂表面之间2-3mm的最佳撞击距离。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4.将加入采样介质的平皿，倒置放入37℃恒温培养箱中培养24小时，无杂菌生长方可使用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（四）现场采样</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1.将三角架支开并锁紧，把三角架顶部调至水平，撞击器底部与三角架顶端螺纹连接，主机放在桌上或地上，用橡胶管连接  撞击器出气口→主机进气口。</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2.顺序放入采样平皿，一手打开平皿盖，另一手迅速盖上撞击盘，然后按住撞击器上部，挂上三个弹簧挂钩。</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放入和取出采样平皿时，须戴口罩，以防口鼻排出细菌污染平皿。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3．打开撞击器进气口上盖，离开采样点2米之外，即可启动采样。可用定时器设定采样时间，参照定时器使用说明书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4.采样时间长短视所才空气环境的污染程度而定，但不超过30分钟，一面长时间的气流冲击致使采样介质脱水而影响微生物生长。</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5.为了保持菌落计数的准确性，每个平皿的均落在250个以下为宜，一般室外空气环境采10分钟，室内空气环境采1-5分钟即可。</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6.采样完毕后，取出采样平皿扣上盖子，注意顺序和编号号码，切勿弄错。</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（五）培养计数菌落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1.将采样后的平皿倒置于37℃恒温箱中培养48小时，对有特殊要求的微生物则放相应条件下培养。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2.计数各级平皿上的菌落数，一个菌落既是一个菌落形成单位（cuf）</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（六）结果计算</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1.空气中微生物数量：是以每立方米空气中所含粒子数量表示之。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空气中微生物数量（cuf）/m³= 所有平皿菌落数x 1000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采样时间（min） x   28.3（L/min）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2.空气中微生物大小分布：是以各级的菌落数占六级总菌落数百分比表示之</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各级微生物粒子数％=      </w:t>
            </w:r>
            <w:r>
              <w:rPr>
                <w:rFonts w:hint="eastAsia" w:ascii="Arial" w:hAnsi="Arial"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t xml:space="preserve">该级菌落数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 xml:space="preserve">                          </w:t>
            </w:r>
            <w:r>
              <w:rPr>
                <w:rFonts w:hint="eastAsia" w:ascii="Arial" w:hAnsi="Arial" w:cs="Arial"/>
                <w:i w:val="0"/>
                <w:iCs w:val="0"/>
                <w:color w:val="auto"/>
                <w:kern w:val="0"/>
                <w:sz w:val="21"/>
                <w:szCs w:val="21"/>
                <w:highlight w:val="none"/>
                <w:u w:val="single"/>
                <w:lang w:val="en-US" w:eastAsia="zh-CN" w:bidi="ar"/>
              </w:rPr>
              <w:t xml:space="preserve">                 </w:t>
            </w:r>
            <w:r>
              <w:rPr>
                <w:rFonts w:hint="eastAsia" w:ascii="Arial" w:hAnsi="Arial" w:cs="Arial"/>
                <w:i w:val="0"/>
                <w:iCs w:val="0"/>
                <w:color w:val="auto"/>
                <w:kern w:val="0"/>
                <w:sz w:val="21"/>
                <w:szCs w:val="21"/>
                <w:highlight w:val="none"/>
                <w:u w:val="none"/>
                <w:lang w:val="en-US" w:eastAsia="zh-CN" w:bidi="ar"/>
              </w:rPr>
              <w:t xml:space="preserve"> </w:t>
            </w:r>
            <w:r>
              <w:rPr>
                <w:rFonts w:hint="default" w:ascii="Arial" w:hAnsi="Arial" w:eastAsia="宋体" w:cs="Arial"/>
                <w:i w:val="0"/>
                <w:iCs w:val="0"/>
                <w:color w:val="auto"/>
                <w:kern w:val="0"/>
                <w:sz w:val="21"/>
                <w:szCs w:val="21"/>
                <w:highlight w:val="none"/>
                <w:u w:val="none"/>
                <w:lang w:val="en-US" w:eastAsia="zh-CN" w:bidi="ar"/>
              </w:rPr>
              <w:t>x100%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                              六级总菌落数</w:t>
            </w:r>
          </w:p>
        </w:tc>
      </w:tr>
      <w:tr w14:paraId="759B2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jc w:val="center"/>
        </w:trPr>
        <w:tc>
          <w:tcPr>
            <w:tcW w:w="509" w:type="dxa"/>
            <w:noWrap w:val="0"/>
            <w:vAlign w:val="center"/>
          </w:tcPr>
          <w:p w14:paraId="2A940B59">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cs="Arial"/>
                <w:b w:val="0"/>
                <w:bCs w:val="0"/>
                <w:i w:val="0"/>
                <w:iCs w:val="0"/>
                <w:color w:val="auto"/>
                <w:kern w:val="0"/>
                <w:sz w:val="21"/>
                <w:szCs w:val="21"/>
                <w:highlight w:val="none"/>
                <w:u w:val="none"/>
                <w:lang w:val="en-US" w:eastAsia="zh-CN" w:bidi="ar"/>
              </w:rPr>
              <w:t>17</w:t>
            </w:r>
          </w:p>
        </w:tc>
        <w:tc>
          <w:tcPr>
            <w:tcW w:w="911" w:type="dxa"/>
            <w:noWrap w:val="0"/>
            <w:vAlign w:val="center"/>
          </w:tcPr>
          <w:p w14:paraId="6106A679">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便携式激光粉尘检测仪</w:t>
            </w:r>
          </w:p>
        </w:tc>
        <w:tc>
          <w:tcPr>
            <w:tcW w:w="582" w:type="dxa"/>
            <w:noWrap w:val="0"/>
            <w:vAlign w:val="center"/>
          </w:tcPr>
          <w:p w14:paraId="575D838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616C550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E94247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11F95E1A">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测量粒径： PM2.5、PM10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检测原理： 激光散射检测原理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检测范围： 0-1000μg/m³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检测方式：实时检测，可设置1-600s时间内定时检测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响应时间： ≤15秒（T90）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恢复时间： ≤20秒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显示方式： </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2.5英寸 320*240高清彩屏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外壳材质： 高分子外壳、耐高温、防爆耐腐蚀、坚固耐用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防爆标志：</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ExiaⅡCT4</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防护等级：</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IP66</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工作温度： -20℃～+50℃（更高要求需要定制）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工作湿度：  ≤10%～95%RH，无冷凝（更高要求需要定制）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工作压力： ≤30Kpa（更高要求需要定制）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温度显示：  -40℃~+120℃  精度0.3℃</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湿度显示： 0-100%RH      精度3%RH</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通讯接口： 红外、USB、RS232 自动识别</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数据存储： 内置2万组数据内存；可扩充32GB内存，20万组数据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电池容量：</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4700mA</w:t>
            </w:r>
          </w:p>
        </w:tc>
      </w:tr>
      <w:tr w14:paraId="31F31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58EA68E">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cs="Arial"/>
                <w:b w:val="0"/>
                <w:bCs w:val="0"/>
                <w:i w:val="0"/>
                <w:iCs w:val="0"/>
                <w:color w:val="auto"/>
                <w:kern w:val="0"/>
                <w:sz w:val="21"/>
                <w:szCs w:val="21"/>
                <w:highlight w:val="none"/>
                <w:u w:val="none"/>
                <w:lang w:val="en-US" w:eastAsia="zh-CN" w:bidi="ar"/>
              </w:rPr>
              <w:t>18</w:t>
            </w:r>
          </w:p>
        </w:tc>
        <w:tc>
          <w:tcPr>
            <w:tcW w:w="911" w:type="dxa"/>
            <w:noWrap w:val="0"/>
            <w:vAlign w:val="center"/>
          </w:tcPr>
          <w:p w14:paraId="42B72E9B">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红外线一氧化碳/二氧化碳二合一检测仪</w:t>
            </w:r>
          </w:p>
        </w:tc>
        <w:tc>
          <w:tcPr>
            <w:tcW w:w="582" w:type="dxa"/>
            <w:noWrap w:val="0"/>
            <w:vAlign w:val="center"/>
          </w:tcPr>
          <w:p w14:paraId="0D3A2D4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62870B7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5201AC03">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CE35CD9">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测量原理:不分光红外线气体分析法/非分散红外法(NDIR)</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采样方式:内置泵吸式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测量范围:CO:0~50ppm(0~100ppm、0~200ppm可定制)CO分辨率:CO:0.1x105;CO:0.001%单位选择:mg/m、ppm、体积百分比</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线性误差:≤±2% F.S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重复性:≤1.0%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零点漂移:≤±2% F.S/h</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量程漂移:≤±2% FS/3h</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预热时间:30min</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响应时间:CO≤60S;CO≤30S</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(0.5-2.0)L/min流量范围:</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数字接口:RS232，配数据传输软件 上位机软件另购</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存储功能:≤5000组测量数据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供电电源:交直流两用，220AVC(+10%)或机内充电电池彩色触摸屏显示、带数据存储和数据输出</w:t>
            </w:r>
          </w:p>
        </w:tc>
      </w:tr>
      <w:tr w14:paraId="422E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4A6C8A2">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cs="Arial"/>
                <w:b w:val="0"/>
                <w:bCs w:val="0"/>
                <w:i w:val="0"/>
                <w:iCs w:val="0"/>
                <w:color w:val="auto"/>
                <w:kern w:val="0"/>
                <w:sz w:val="21"/>
                <w:szCs w:val="21"/>
                <w:highlight w:val="none"/>
                <w:u w:val="none"/>
                <w:lang w:val="en-US" w:eastAsia="zh-CN" w:bidi="ar"/>
              </w:rPr>
              <w:t>19</w:t>
            </w:r>
          </w:p>
        </w:tc>
        <w:tc>
          <w:tcPr>
            <w:tcW w:w="911" w:type="dxa"/>
            <w:noWrap w:val="0"/>
            <w:vAlign w:val="center"/>
          </w:tcPr>
          <w:p w14:paraId="454B420E">
            <w:pPr>
              <w:keepNext w:val="0"/>
              <w:keepLines w:val="0"/>
              <w:widowControl/>
              <w:suppressLineNumbers w:val="0"/>
              <w:jc w:val="center"/>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TEC温湿度计</w:t>
            </w:r>
          </w:p>
        </w:tc>
        <w:tc>
          <w:tcPr>
            <w:tcW w:w="582" w:type="dxa"/>
            <w:noWrap w:val="0"/>
            <w:vAlign w:val="center"/>
          </w:tcPr>
          <w:p w14:paraId="11CFF82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3D969AA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A6944F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F016628">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1、显    示：13MM高 LCD显示</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2、测量范围：湿度 10％-95％RH，温度 –20℃-+60℃（-4℉-+140℉）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3、解 析 度：湿度0.1%RH，温度 0.1℃,0.1℉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4、准 确 度：湿度：±3% RH（在25℃时，30-95% RH），±5% RH（在25℃时，10-30% RH），温度： ±0.8℃（≤1.5℉）</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5、感 测 器：湿度-精密电容式感测器   温度-半导体式感测器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6、反应时间：湿度- 45%RH –95%RH≤3分钟，95%RH –45%RH≤5分钟，温度-约1℃/2SCE</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7、取样时间： 2.5次/秒</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8、操作温湿度：温度- 0℃ – 50℃   相对湿度- 80%RH以下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9、储存温湿度：温度- -10℃- 60℃  相对湿度- 70%RH以下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10、电    源：单个9V电池，006P或NEDA1604</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11、电池寿命：连续使用约400小时。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12、体    积：270</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68</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25（mm）</w:t>
            </w:r>
            <w:r>
              <w:rPr>
                <w:rFonts w:hint="eastAsia" w:ascii="Arial" w:hAnsi="Arial" w:cs="Arial"/>
                <w:i w:val="0"/>
                <w:iCs w:val="0"/>
                <w:color w:val="auto"/>
                <w:kern w:val="0"/>
                <w:sz w:val="21"/>
                <w:szCs w:val="21"/>
                <w:highlight w:val="none"/>
                <w:u w:val="none"/>
                <w:lang w:val="en-US" w:eastAsia="zh-CN" w:bidi="ar"/>
              </w:rPr>
              <w:t>（±10%）</w:t>
            </w:r>
          </w:p>
        </w:tc>
      </w:tr>
    </w:tbl>
    <w:p w14:paraId="502E1996">
      <w:pPr>
        <w:rPr>
          <w:rFonts w:hint="eastAsia" w:ascii="Arial" w:hAnsi="Arial" w:eastAsia="宋体" w:cs="Arial"/>
          <w:b/>
          <w:color w:val="auto"/>
          <w:kern w:val="0"/>
          <w:sz w:val="24"/>
          <w:highlight w:val="none"/>
        </w:rPr>
      </w:pPr>
      <w:r>
        <w:rPr>
          <w:rFonts w:hint="eastAsia" w:ascii="Arial" w:hAnsi="Arial" w:eastAsia="宋体" w:cs="Arial"/>
          <w:b/>
          <w:color w:val="auto"/>
          <w:kern w:val="0"/>
          <w:sz w:val="24"/>
          <w:highlight w:val="none"/>
        </w:rPr>
        <w:br w:type="page"/>
      </w:r>
    </w:p>
    <w:p w14:paraId="23434C4B">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F分标：2026年桂林医科大学检验与生物技术学院教学实验仪器采购</w:t>
      </w:r>
    </w:p>
    <w:p w14:paraId="4BD26911">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6DED9AF5">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2D9DD674">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1B5CEB70">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7F563E96">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2CAEE639">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ascii="Arial" w:hAnsi="Arial" w:cs="Arial"/>
          <w:b/>
          <w:bCs/>
          <w:color w:val="auto"/>
          <w:szCs w:val="21"/>
          <w:highlight w:val="none"/>
          <w:u w:val="single"/>
        </w:rPr>
        <w:t xml:space="preserve"> </w:t>
      </w:r>
      <w:r>
        <w:rPr>
          <w:rFonts w:hint="eastAsia" w:ascii="Arial" w:hAnsi="Arial" w:cs="Arial"/>
          <w:b/>
          <w:bCs/>
          <w:color w:val="auto"/>
          <w:szCs w:val="21"/>
          <w:highlight w:val="none"/>
          <w:u w:val="single"/>
          <w:lang w:val="en-US" w:eastAsia="zh-CN"/>
        </w:rPr>
        <w:t>序号6大容量高速冷冻离心机</w:t>
      </w:r>
    </w:p>
    <w:p w14:paraId="36B903B9">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603EE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3131820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序号</w:t>
            </w:r>
          </w:p>
        </w:tc>
        <w:tc>
          <w:tcPr>
            <w:tcW w:w="911" w:type="dxa"/>
            <w:noWrap w:val="0"/>
            <w:vAlign w:val="center"/>
          </w:tcPr>
          <w:p w14:paraId="1E4DDAE8">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货物名称</w:t>
            </w:r>
          </w:p>
        </w:tc>
        <w:tc>
          <w:tcPr>
            <w:tcW w:w="582" w:type="dxa"/>
            <w:noWrap w:val="0"/>
            <w:vAlign w:val="center"/>
          </w:tcPr>
          <w:p w14:paraId="3A7DAA8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数量</w:t>
            </w:r>
          </w:p>
        </w:tc>
        <w:tc>
          <w:tcPr>
            <w:tcW w:w="686" w:type="dxa"/>
            <w:noWrap w:val="0"/>
            <w:vAlign w:val="center"/>
          </w:tcPr>
          <w:p w14:paraId="49D15EAE">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计量单位</w:t>
            </w:r>
          </w:p>
        </w:tc>
        <w:tc>
          <w:tcPr>
            <w:tcW w:w="754" w:type="dxa"/>
            <w:noWrap w:val="0"/>
            <w:vAlign w:val="center"/>
          </w:tcPr>
          <w:p w14:paraId="74746F6B">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所属行业</w:t>
            </w:r>
          </w:p>
        </w:tc>
        <w:tc>
          <w:tcPr>
            <w:tcW w:w="6448" w:type="dxa"/>
            <w:tcBorders>
              <w:left w:val="single" w:color="auto" w:sz="4" w:space="0"/>
              <w:right w:val="single" w:color="auto" w:sz="4" w:space="0"/>
            </w:tcBorders>
            <w:noWrap w:val="0"/>
            <w:vAlign w:val="center"/>
          </w:tcPr>
          <w:p w14:paraId="5098BD1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技术指标要求</w:t>
            </w:r>
          </w:p>
        </w:tc>
      </w:tr>
      <w:tr w14:paraId="065B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09345F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w:t>
            </w:r>
          </w:p>
        </w:tc>
        <w:tc>
          <w:tcPr>
            <w:tcW w:w="911" w:type="dxa"/>
            <w:noWrap w:val="0"/>
            <w:vAlign w:val="center"/>
          </w:tcPr>
          <w:p w14:paraId="5B8D8D59">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24F5195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35</w:t>
            </w:r>
          </w:p>
        </w:tc>
        <w:tc>
          <w:tcPr>
            <w:tcW w:w="686" w:type="dxa"/>
            <w:noWrap w:val="0"/>
            <w:vAlign w:val="center"/>
          </w:tcPr>
          <w:p w14:paraId="4CD368C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33655"/>
                  <wp:effectExtent l="0" t="0" r="0" b="0"/>
                  <wp:wrapNone/>
                  <wp:docPr id="6" name="Picture_22"/>
                  <wp:cNvGraphicFramePr/>
                  <a:graphic xmlns:a="http://schemas.openxmlformats.org/drawingml/2006/main">
                    <a:graphicData uri="http://schemas.openxmlformats.org/drawingml/2006/picture">
                      <pic:pic xmlns:pic="http://schemas.openxmlformats.org/drawingml/2006/picture">
                        <pic:nvPicPr>
                          <pic:cNvPr id="6" name="Picture_22"/>
                          <pic:cNvPicPr/>
                        </pic:nvPicPr>
                        <pic:blipFill>
                          <a:blip r:embed="rId22"/>
                          <a:stretch>
                            <a:fillRect/>
                          </a:stretch>
                        </pic:blipFill>
                        <pic:spPr>
                          <a:xfrm>
                            <a:off x="0" y="0"/>
                            <a:ext cx="10795" cy="3365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26035"/>
                  <wp:effectExtent l="0" t="0" r="0" b="0"/>
                  <wp:wrapNone/>
                  <wp:docPr id="8" name="Picture_22_SpCnt_1"/>
                  <wp:cNvGraphicFramePr/>
                  <a:graphic xmlns:a="http://schemas.openxmlformats.org/drawingml/2006/main">
                    <a:graphicData uri="http://schemas.openxmlformats.org/drawingml/2006/picture">
                      <pic:pic xmlns:pic="http://schemas.openxmlformats.org/drawingml/2006/picture">
                        <pic:nvPicPr>
                          <pic:cNvPr id="8" name="Picture_22_SpCnt_1"/>
                          <pic:cNvPicPr/>
                        </pic:nvPicPr>
                        <pic:blipFill>
                          <a:blip r:embed="rId23"/>
                          <a:stretch>
                            <a:fillRect/>
                          </a:stretch>
                        </pic:blipFill>
                        <pic:spPr>
                          <a:xfrm>
                            <a:off x="0" y="0"/>
                            <a:ext cx="10795" cy="2603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26035"/>
                  <wp:effectExtent l="0" t="0" r="0" b="0"/>
                  <wp:wrapNone/>
                  <wp:docPr id="9" name="Picture_22_SpCnt_2"/>
                  <wp:cNvGraphicFramePr/>
                  <a:graphic xmlns:a="http://schemas.openxmlformats.org/drawingml/2006/main">
                    <a:graphicData uri="http://schemas.openxmlformats.org/drawingml/2006/picture">
                      <pic:pic xmlns:pic="http://schemas.openxmlformats.org/drawingml/2006/picture">
                        <pic:nvPicPr>
                          <pic:cNvPr id="9" name="Picture_22_SpCnt_2"/>
                          <pic:cNvPicPr/>
                        </pic:nvPicPr>
                        <pic:blipFill>
                          <a:blip r:embed="rId23"/>
                          <a:stretch>
                            <a:fillRect/>
                          </a:stretch>
                        </pic:blipFill>
                        <pic:spPr>
                          <a:xfrm>
                            <a:off x="0" y="0"/>
                            <a:ext cx="10795" cy="2603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0371FF49">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0E8C2325">
            <w:pPr>
              <w:pStyle w:val="17"/>
              <w:rPr>
                <w:color w:val="auto"/>
                <w:highlight w:val="none"/>
              </w:rPr>
            </w:pPr>
            <w:r>
              <w:rPr>
                <w:rFonts w:hint="eastAsia" w:ascii="Arial" w:hAnsi="Arial" w:cs="Arial"/>
                <w:i w:val="0"/>
                <w:iCs w:val="0"/>
                <w:color w:val="auto"/>
                <w:kern w:val="0"/>
                <w:sz w:val="21"/>
                <w:szCs w:val="21"/>
                <w:highlight w:val="none"/>
                <w:u w:val="none"/>
                <w:lang w:val="en-US" w:eastAsia="zh-CN" w:bidi="ar"/>
              </w:rPr>
              <w:t>长</w:t>
            </w:r>
            <w:r>
              <w:rPr>
                <w:rFonts w:hint="eastAsia"/>
                <w:color w:val="auto"/>
                <w:highlight w:val="none"/>
                <w:lang w:val="en-US" w:eastAsia="zh-CN"/>
              </w:rPr>
              <w:t>*</w:t>
            </w:r>
            <w:r>
              <w:rPr>
                <w:rFonts w:hint="eastAsia" w:ascii="Arial" w:hAnsi="Arial" w:cs="Arial"/>
                <w:i w:val="0"/>
                <w:iCs w:val="0"/>
                <w:color w:val="auto"/>
                <w:kern w:val="0"/>
                <w:sz w:val="21"/>
                <w:szCs w:val="21"/>
                <w:highlight w:val="none"/>
                <w:u w:val="none"/>
                <w:lang w:val="en-US" w:eastAsia="zh-CN" w:bidi="ar"/>
              </w:rPr>
              <w:t>宽</w:t>
            </w:r>
            <w:r>
              <w:rPr>
                <w:rFonts w:hint="eastAsia"/>
                <w:color w:val="auto"/>
                <w:highlight w:val="none"/>
                <w:lang w:val="en-US" w:eastAsia="zh-CN"/>
              </w:rPr>
              <w:t>*</w:t>
            </w:r>
            <w:r>
              <w:rPr>
                <w:rFonts w:hint="eastAsia" w:ascii="Arial" w:hAnsi="Arial" w:cs="Arial"/>
                <w:i w:val="0"/>
                <w:iCs w:val="0"/>
                <w:color w:val="auto"/>
                <w:kern w:val="0"/>
                <w:sz w:val="21"/>
                <w:szCs w:val="21"/>
                <w:highlight w:val="none"/>
                <w:u w:val="none"/>
                <w:lang w:val="en-US" w:eastAsia="zh-CN" w:bidi="ar"/>
              </w:rPr>
              <w:t>高</w:t>
            </w:r>
            <w:r>
              <w:rPr>
                <w:rFonts w:hint="default" w:ascii="Arial" w:hAnsi="Arial" w:eastAsia="宋体" w:cs="Arial"/>
                <w:i w:val="0"/>
                <w:iCs w:val="0"/>
                <w:color w:val="auto"/>
                <w:kern w:val="0"/>
                <w:sz w:val="21"/>
                <w:szCs w:val="21"/>
                <w:highlight w:val="none"/>
                <w:u w:val="none"/>
                <w:lang w:val="en-US" w:eastAsia="zh-CN" w:bidi="ar"/>
              </w:rPr>
              <w:t>2200*600*800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（16组），C型钢架、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w:t>
            </w:r>
          </w:p>
          <w:p w14:paraId="5CF4532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绿色理化板台面，凹凸柜。</w:t>
            </w:r>
          </w:p>
        </w:tc>
      </w:tr>
      <w:tr w14:paraId="09B43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168F1AF">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2</w:t>
            </w:r>
          </w:p>
        </w:tc>
        <w:tc>
          <w:tcPr>
            <w:tcW w:w="911" w:type="dxa"/>
            <w:noWrap w:val="0"/>
            <w:vAlign w:val="center"/>
          </w:tcPr>
          <w:p w14:paraId="7CAC597B">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376E44D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5</w:t>
            </w:r>
          </w:p>
        </w:tc>
        <w:tc>
          <w:tcPr>
            <w:tcW w:w="686" w:type="dxa"/>
            <w:noWrap w:val="0"/>
            <w:vAlign w:val="center"/>
          </w:tcPr>
          <w:p w14:paraId="39EA55F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795" cy="26670"/>
                  <wp:effectExtent l="0" t="0" r="0" b="0"/>
                  <wp:wrapNone/>
                  <wp:docPr id="10" name="Picture_22_SpCnt_3"/>
                  <wp:cNvGraphicFramePr/>
                  <a:graphic xmlns:a="http://schemas.openxmlformats.org/drawingml/2006/main">
                    <a:graphicData uri="http://schemas.openxmlformats.org/drawingml/2006/picture">
                      <pic:pic xmlns:pic="http://schemas.openxmlformats.org/drawingml/2006/picture">
                        <pic:nvPicPr>
                          <pic:cNvPr id="10" name="Picture_22_SpCnt_3"/>
                          <pic:cNvPicPr/>
                        </pic:nvPicPr>
                        <pic:blipFill>
                          <a:blip r:embed="rId23"/>
                          <a:stretch>
                            <a:fillRect/>
                          </a:stretch>
                        </pic:blipFill>
                        <pic:spPr>
                          <a:xfrm>
                            <a:off x="0" y="0"/>
                            <a:ext cx="10795" cy="2667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1866013E">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B4847B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1650*700*800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6B967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06ADBAC">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3</w:t>
            </w:r>
          </w:p>
        </w:tc>
        <w:tc>
          <w:tcPr>
            <w:tcW w:w="911" w:type="dxa"/>
            <w:noWrap w:val="0"/>
            <w:vAlign w:val="center"/>
          </w:tcPr>
          <w:p w14:paraId="7241A22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1B9A744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1.8</w:t>
            </w:r>
          </w:p>
        </w:tc>
        <w:tc>
          <w:tcPr>
            <w:tcW w:w="686" w:type="dxa"/>
            <w:noWrap w:val="0"/>
            <w:vAlign w:val="center"/>
          </w:tcPr>
          <w:p w14:paraId="64B4DBD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5B381461">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BD0EF2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1800*700*800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364E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2BEA1F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4</w:t>
            </w:r>
          </w:p>
        </w:tc>
        <w:tc>
          <w:tcPr>
            <w:tcW w:w="911" w:type="dxa"/>
            <w:noWrap w:val="0"/>
            <w:vAlign w:val="center"/>
          </w:tcPr>
          <w:p w14:paraId="2A3B0ECE">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57CC59E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6</w:t>
            </w:r>
          </w:p>
        </w:tc>
        <w:tc>
          <w:tcPr>
            <w:tcW w:w="686" w:type="dxa"/>
            <w:noWrap w:val="0"/>
            <w:vAlign w:val="center"/>
          </w:tcPr>
          <w:p w14:paraId="5634398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2ECCCA3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48CBAFD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1500*700*800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605A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2A02135">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5</w:t>
            </w:r>
          </w:p>
        </w:tc>
        <w:tc>
          <w:tcPr>
            <w:tcW w:w="911" w:type="dxa"/>
            <w:noWrap w:val="0"/>
            <w:vAlign w:val="center"/>
          </w:tcPr>
          <w:p w14:paraId="54C72308">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实验室专用学生坐席</w:t>
            </w:r>
          </w:p>
        </w:tc>
        <w:tc>
          <w:tcPr>
            <w:tcW w:w="582" w:type="dxa"/>
            <w:noWrap w:val="0"/>
            <w:vAlign w:val="center"/>
          </w:tcPr>
          <w:p w14:paraId="7BAC6AD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50</w:t>
            </w:r>
          </w:p>
        </w:tc>
        <w:tc>
          <w:tcPr>
            <w:tcW w:w="686" w:type="dxa"/>
            <w:noWrap w:val="0"/>
            <w:vAlign w:val="center"/>
          </w:tcPr>
          <w:p w14:paraId="6D16892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54C4D2E5">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B13453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不锈钢框架，皮质台面。可上下升降。调节高度45-61cm，凳面直径≥35cm，凳面厚度≥9cm。</w:t>
            </w:r>
          </w:p>
        </w:tc>
      </w:tr>
      <w:tr w14:paraId="5295E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418D82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6</w:t>
            </w:r>
          </w:p>
        </w:tc>
        <w:tc>
          <w:tcPr>
            <w:tcW w:w="911" w:type="dxa"/>
            <w:noWrap w:val="0"/>
            <w:vAlign w:val="center"/>
          </w:tcPr>
          <w:p w14:paraId="06258A12">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大容量高速冷冻离心机</w:t>
            </w:r>
          </w:p>
        </w:tc>
        <w:tc>
          <w:tcPr>
            <w:tcW w:w="582" w:type="dxa"/>
            <w:noWrap w:val="0"/>
            <w:vAlign w:val="center"/>
          </w:tcPr>
          <w:p w14:paraId="3C97774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3A9EC79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3FE55F1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C377AA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1.最高转速26000rpm，最大离心力82600xg，最大容量6L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2.具有功能，可精确控制离心运转过程中的离心腔的温度，设置范围以0.1℃步进如果实际温差相对于设定值偏离设定温差，离心机运行期间温度超出此范围，将显示错误消息，离心机将减速至完全停止。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3.高强度铝合金离心腔，牢固安全，表面涂层处理，整体耐腐蚀性能优异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4.具有快速制冷功能和静止预冻功能。具有定速计时功能，实现精确离心。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5.所有转子最高转速下运转时，离心腔温度≤4℃。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6.运行安静 ≤60 dB(A)，改善用户的工作环境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7.转头ID静态自动识别：标配射频自动转子识别技术（RFID），原位静态转子识别，避免误操作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8.多种转头可选，满足用户的多种应用需求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9.同屏显示设置参数与实时参数，自由切换曲线模式与数字模式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10.多种操作语言可选，标配中英文切换。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11.自定义运行模式，可对每组程序进行简易的描述，方便调取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12.配备USB接口，方便数据导出与管理。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13.灵活智能化的真空减摩系统，减少风阻，加快到达最高转速，密封处不需涂真空硅脂，各密封零部件均不需要特殊的维护保养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 具有离心机门盖联锁控制装置，超速检测和不平衡、超温等多种安全保护功能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15.计时器: 精确的“秒”或“分”单位模式：从1秒/分到65535秒/分任意设置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16.加速/减速控制: 19级可变加速控制、19级制动减速控制与滑行减速控制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17.最高转速：26000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18.最大容量：6000ml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19.最大 RCF：82600xg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20.速度设置范围：500 到 26000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21.速度设置精度：±1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22.温度设定范围：-20℃ 到 +40℃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23.温控精度：±2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.加速/减速控制：19级可变加速控制、19级制动减速控制与滑行减速控制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.编程功能：可存储99个编程运行程序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.显示和运行功能：显示和设定速度/RCF(xg)操作，RTC（实时控制）操作（选用）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.设备日志管理：选用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.驱动电机：异步电动机（变频控制）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29</w:t>
            </w:r>
            <w:r>
              <w:rPr>
                <w:rFonts w:hint="default" w:ascii="Arial" w:hAnsi="Arial" w:eastAsia="宋体" w:cs="Arial"/>
                <w:i w:val="0"/>
                <w:iCs w:val="0"/>
                <w:color w:val="auto"/>
                <w:kern w:val="0"/>
                <w:sz w:val="21"/>
                <w:szCs w:val="21"/>
                <w:highlight w:val="none"/>
                <w:u w:val="none"/>
                <w:lang w:val="en-US" w:eastAsia="zh-CN" w:bidi="ar"/>
              </w:rPr>
              <w:t>.制冷设备：压缩机（制冷剂：R404A）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0</w:t>
            </w:r>
            <w:r>
              <w:rPr>
                <w:rFonts w:hint="default" w:ascii="Arial" w:hAnsi="Arial" w:eastAsia="宋体" w:cs="Arial"/>
                <w:i w:val="0"/>
                <w:iCs w:val="0"/>
                <w:color w:val="auto"/>
                <w:kern w:val="0"/>
                <w:sz w:val="21"/>
                <w:szCs w:val="21"/>
                <w:highlight w:val="none"/>
                <w:u w:val="none"/>
                <w:lang w:val="en-US" w:eastAsia="zh-CN" w:bidi="ar"/>
              </w:rPr>
              <w:t>.设备安全：门联锁、超速检测、不平衡检测、超温检测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.屏幕显示和操作：</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10英寸液晶触摸屏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.尺寸：</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770(宽度) x 810 (深度) x 890 (高度) 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.噪声级：≤60 dB(A) （最高转速时）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.电源要求：单相AC220 V±10 %，50Hz，20A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.环境要求：室温为31℃到40℃时，相对湿度线性递减从80%到50%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.环境温度：2℃到 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290 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.角转子24x1.5ml《材质铝合金》最高转速：26000rpm，最大 RCF：62700xg</w:t>
            </w:r>
          </w:p>
        </w:tc>
      </w:tr>
      <w:tr w14:paraId="615D5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1BFDDD3">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7</w:t>
            </w:r>
          </w:p>
        </w:tc>
        <w:tc>
          <w:tcPr>
            <w:tcW w:w="911" w:type="dxa"/>
            <w:noWrap w:val="0"/>
            <w:vAlign w:val="center"/>
          </w:tcPr>
          <w:p w14:paraId="49BA6764">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功放</w:t>
            </w:r>
          </w:p>
        </w:tc>
        <w:tc>
          <w:tcPr>
            <w:tcW w:w="582" w:type="dxa"/>
            <w:noWrap w:val="0"/>
            <w:vAlign w:val="center"/>
          </w:tcPr>
          <w:p w14:paraId="419AFDB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43BEE56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E60F94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CEC22F2">
            <w:pPr>
              <w:keepNext w:val="0"/>
              <w:keepLines w:val="0"/>
              <w:widowControl/>
              <w:numPr>
                <w:ilvl w:val="0"/>
                <w:numId w:val="6"/>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四路音源输入（三路线路，一路USB播放，带电子切换）开机预置“通道1”；                                                                                                                                                       2. 专用USB数字无线话筒接口 ；                                                                                                                                                                                                                                             3. USB声卡播放功能，可用USB线连接电脑播放音乐，USB储存器接口；MP3、WAV和WMA三解码多媒体播放器；液晶显示；USB WAV格式数字录音功能；                                    </w:t>
            </w:r>
          </w:p>
          <w:p w14:paraId="504017E4">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4. 四路话筒输入（前二，后二）平衡与非平衡输入，1、3与2、4话筒独立高低音调节（方便无线话筒与有线话筒输入），                                                                      5. 专用复合卡侬输入插座，带48V幻象电源和6V极相电源,独立电源开关</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6. 本机设置反馈、混响调节功能，且能对话筒、线路的音调、音量，独立调节；                                                                                                                                                       7. 一组前级输出，一组录音输出接口及A、B两组功率输出，可驱动4只8欧音箱。</w:t>
            </w:r>
          </w:p>
        </w:tc>
      </w:tr>
      <w:tr w14:paraId="1D38F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E1748B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8</w:t>
            </w:r>
          </w:p>
        </w:tc>
        <w:tc>
          <w:tcPr>
            <w:tcW w:w="911" w:type="dxa"/>
            <w:noWrap w:val="0"/>
            <w:vAlign w:val="center"/>
          </w:tcPr>
          <w:p w14:paraId="0A36BD4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光黑板</w:t>
            </w:r>
          </w:p>
        </w:tc>
        <w:tc>
          <w:tcPr>
            <w:tcW w:w="582" w:type="dxa"/>
            <w:noWrap w:val="0"/>
            <w:vAlign w:val="center"/>
          </w:tcPr>
          <w:p w14:paraId="20F4582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8E415C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22BF83DF">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E125B8B">
            <w:pPr>
              <w:keepNext w:val="0"/>
              <w:keepLines w:val="0"/>
              <w:widowControl/>
              <w:numPr>
                <w:ilvl w:val="0"/>
                <w:numId w:val="7"/>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硬件要求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1、单块光能黑板≥1129（长）*1319（高）mm。下边框具有可调节平台，可根据触控一体机高度进行调整，兼具置物功能。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2、采用任何硬度适中的工具均可在板面进行书写，无需专用耗材，单点书写、可擦次数达10万次。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3、光能黑板应无频闪、无背光，上膜不应产生眩光。板书笔迹可视距离40米，可视角度≥150°，对比度≥150:1[响应文件中提供国家认可检测（检验）机构所出具的检测（检验）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4、光能黑板的光泽度不高于30光泽单位[响应文件中提供国家认可检测（检验）机构所出具的检测（检验）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5、书写膜的透光率不低于87%，雾度不高于40%[响应文件中提供国家认可检测（检验）机构所出具的检测（检验）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6、一键擦除：按下一键擦除按键，可实现板书的全部擦除，擦除后无明显残留痕迹。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7、局部擦除：可使用板擦和手势对板书进行局部擦除。擦除精度小于10mm*10mm，擦除延时＜60ms。光能板具有独立供电装置，可在液晶屏关机的情况下独立使用，不影响局部擦除功能。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8、板内设有电压补偿机制，可以通过手势按压书写板板面的特定位置，控制书写板内部电压高低，以调节擦除灵敏度。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设备内提供的电池组保护电路，符合标准要求，并通过带二次锂电池的设备的充电安全防护。黑板通过恒定力和冲击试验，机械强度符合标准要求[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10、黑板表面具有暗格，用以提供给师生在书写板书时的直线参照，可避免板书歪斜。黑板表面可吸附磁贴、磁扣等教学工具，便于老师教学使用。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11、光能黑板通过恒定湿热40℃、95%RH测试，产品外观无变形、损坏等现象，通电运行正常[响应文件中提供国家认可检测（检验）机构所出具的检测（检验）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12、边框采用铝合金材质。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13、采用一体式按键指示灯，可通过不同颜色、闪烁等方式表示擦除、电量不足等工作状态。每块光能黑板具备DC接口*2和USB接口*2，。</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14、光能黑板通过抗电强度1500V试验，无击穿现象，符合GB4943的安全要求。（</w:t>
            </w:r>
            <w:r>
              <w:rPr>
                <w:rFonts w:hint="eastAsia" w:ascii="Arial" w:hAnsi="Arial" w:cs="Arial"/>
                <w:i w:val="0"/>
                <w:iCs w:val="0"/>
                <w:color w:val="auto"/>
                <w:kern w:val="0"/>
                <w:sz w:val="21"/>
                <w:szCs w:val="21"/>
                <w:highlight w:val="none"/>
                <w:u w:val="none"/>
                <w:lang w:val="en-US" w:eastAsia="zh-CN" w:bidi="ar"/>
              </w:rPr>
              <w:t>响应文件中必须提供</w:t>
            </w:r>
            <w:r>
              <w:rPr>
                <w:rFonts w:hint="default" w:ascii="Arial" w:hAnsi="Arial" w:eastAsia="宋体" w:cs="Arial"/>
                <w:i w:val="0"/>
                <w:iCs w:val="0"/>
                <w:color w:val="auto"/>
                <w:kern w:val="0"/>
                <w:sz w:val="21"/>
                <w:szCs w:val="21"/>
                <w:highlight w:val="none"/>
                <w:u w:val="none"/>
                <w:lang w:val="en-US" w:eastAsia="zh-CN" w:bidi="ar"/>
              </w:rPr>
              <w:t>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供应商公章</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15、产品的最大工作电流（瞬间电流）≤1000mA</w:t>
            </w:r>
            <w:r>
              <w:rPr>
                <w:rFonts w:hint="eastAsia" w:ascii="Arial" w:hAnsi="Arial" w:cs="Arial"/>
                <w:i w:val="0"/>
                <w:iCs w:val="0"/>
                <w:color w:val="auto"/>
                <w:kern w:val="0"/>
                <w:sz w:val="21"/>
                <w:szCs w:val="21"/>
                <w:highlight w:val="none"/>
                <w:u w:val="none"/>
                <w:lang w:val="en-US" w:eastAsia="zh-CN" w:bidi="ar"/>
              </w:rPr>
              <w:t>【响应文件中必须提供</w:t>
            </w:r>
            <w:r>
              <w:rPr>
                <w:rFonts w:hint="default" w:ascii="Arial" w:hAnsi="Arial" w:eastAsia="宋体" w:cs="Arial"/>
                <w:i w:val="0"/>
                <w:iCs w:val="0"/>
                <w:color w:val="auto"/>
                <w:kern w:val="0"/>
                <w:sz w:val="21"/>
                <w:szCs w:val="21"/>
                <w:highlight w:val="none"/>
                <w:u w:val="none"/>
                <w:lang w:val="en-US" w:eastAsia="zh-CN" w:bidi="ar"/>
              </w:rPr>
              <w:t>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供应商公章】</w:t>
            </w:r>
            <w:r>
              <w:rPr>
                <w:rFonts w:hint="default" w:ascii="Arial" w:hAnsi="Arial" w:eastAsia="宋体" w:cs="Arial"/>
                <w:i w:val="0"/>
                <w:iCs w:val="0"/>
                <w:color w:val="auto"/>
                <w:kern w:val="0"/>
                <w:sz w:val="21"/>
                <w:szCs w:val="21"/>
                <w:highlight w:val="none"/>
                <w:u w:val="none"/>
                <w:lang w:val="en-US" w:eastAsia="zh-CN" w:bidi="ar"/>
              </w:rPr>
              <w:t xml:space="preserve">。 </w:t>
            </w:r>
          </w:p>
          <w:p w14:paraId="46F7F8D8">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二、软件要求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1、同步互联：左、右光能黑板可与触控一体机进行互动，将光能黑板的内容与触控一体机无缝连接，教师在光能黑板上的书写内容可同步显示在触控一体机上。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2、颜色切换：可设置不同的软件端笔迹颜色，可实现老师对于教学重点的标识及批注；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3、板书记录：可同步传输老师的板书到软件界面；按下清除键后，板面和软件端的笔迹均可以被清除；点击“前一页”可找回清除掉的板书；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4、单双页切换：两种光能黑板的书写记录模式，支持单板书写记录内容为一个单页面，也可以支持双板同时书写时记录在一个页面上；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5、桌面切换：黑板书写内容和屏体显示内容可一键切换，不影响老师正常授课操作。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6、一键保存：支持将板书内容保存为PDF文档，便于学校对课堂板书的管理和传递。无需花费时间找存储路径，点击“打开”，直接进入存储位置，快速找到存储文件。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三、其他要求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color w:val="auto"/>
                <w:highlight w:val="none"/>
                <w:lang w:val="en-US" w:eastAsia="zh-CN"/>
              </w:rPr>
              <w:t>兼容性要求：该项设备需要与实验室当前智能交互平板（品牌：创维，型号:100V2-HG1）设备兼容互联，可实现在光黑板板书，通过二维码形式传输到智能一体机示教使用。</w:t>
            </w:r>
          </w:p>
        </w:tc>
      </w:tr>
      <w:tr w14:paraId="4BC14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07951A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9</w:t>
            </w:r>
          </w:p>
        </w:tc>
        <w:tc>
          <w:tcPr>
            <w:tcW w:w="911" w:type="dxa"/>
            <w:noWrap w:val="0"/>
            <w:vAlign w:val="center"/>
          </w:tcPr>
          <w:p w14:paraId="7049602E">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光照培养箱</w:t>
            </w:r>
          </w:p>
        </w:tc>
        <w:tc>
          <w:tcPr>
            <w:tcW w:w="582" w:type="dxa"/>
            <w:noWrap w:val="0"/>
            <w:vAlign w:val="center"/>
          </w:tcPr>
          <w:p w14:paraId="5B844AF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0617EF8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1A3D61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0D3E0FD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1.电源电压：220V, 50Hz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2.控温范围：0~50℃  无光照/10~50℃ 有光照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3.温度波动：±1℃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4.光照度：≥30000Lux</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5.消耗功率：2050W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6.工作室尺寸：</w:t>
            </w:r>
            <w:r>
              <w:rPr>
                <w:rFonts w:hint="eastAsia" w:ascii="Arial" w:hAnsi="Arial" w:cs="Arial"/>
                <w:i w:val="0"/>
                <w:iCs w:val="0"/>
                <w:color w:val="auto"/>
                <w:kern w:val="0"/>
                <w:sz w:val="21"/>
                <w:szCs w:val="21"/>
                <w:highlight w:val="none"/>
                <w:u w:val="none"/>
                <w:lang w:val="en-US" w:eastAsia="zh-CN" w:bidi="ar"/>
              </w:rPr>
              <w:t>≤</w:t>
            </w: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600×550×1000mm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7.外形尺寸：</w:t>
            </w:r>
            <w:r>
              <w:rPr>
                <w:rFonts w:hint="eastAsia" w:ascii="Arial" w:hAnsi="Arial" w:cs="Arial"/>
                <w:i w:val="0"/>
                <w:iCs w:val="0"/>
                <w:color w:val="auto"/>
                <w:kern w:val="0"/>
                <w:sz w:val="21"/>
                <w:szCs w:val="21"/>
                <w:highlight w:val="none"/>
                <w:u w:val="none"/>
                <w:lang w:val="en-US" w:eastAsia="zh-CN" w:bidi="ar"/>
              </w:rPr>
              <w:t>≤</w:t>
            </w: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740×77×1755mm</w:t>
            </w:r>
          </w:p>
        </w:tc>
      </w:tr>
      <w:tr w14:paraId="2293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A3FD79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10</w:t>
            </w:r>
          </w:p>
        </w:tc>
        <w:tc>
          <w:tcPr>
            <w:tcW w:w="911" w:type="dxa"/>
            <w:noWrap w:val="0"/>
            <w:vAlign w:val="center"/>
          </w:tcPr>
          <w:p w14:paraId="2E78B183">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边台</w:t>
            </w:r>
          </w:p>
        </w:tc>
        <w:tc>
          <w:tcPr>
            <w:tcW w:w="582" w:type="dxa"/>
            <w:noWrap w:val="0"/>
            <w:vAlign w:val="center"/>
          </w:tcPr>
          <w:p w14:paraId="2DE3631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6</w:t>
            </w:r>
          </w:p>
        </w:tc>
        <w:tc>
          <w:tcPr>
            <w:tcW w:w="686" w:type="dxa"/>
            <w:noWrap w:val="0"/>
            <w:vAlign w:val="center"/>
          </w:tcPr>
          <w:p w14:paraId="57DA844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2F50BCD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64F9C26">
            <w:pPr>
              <w:pStyle w:val="17"/>
              <w:rPr>
                <w:color w:val="auto"/>
                <w:highlight w:val="none"/>
              </w:rPr>
            </w:pPr>
            <w:r>
              <w:rPr>
                <w:rFonts w:hint="default" w:ascii="Arial" w:hAnsi="Arial" w:eastAsia="宋体" w:cs="Arial"/>
                <w:i w:val="0"/>
                <w:iCs w:val="0"/>
                <w:color w:val="auto"/>
                <w:kern w:val="0"/>
                <w:sz w:val="21"/>
                <w:szCs w:val="21"/>
                <w:highlight w:val="none"/>
                <w:u w:val="none"/>
                <w:lang w:val="en-US" w:eastAsia="zh-CN" w:bidi="ar"/>
              </w:rPr>
              <w:t>长宽高</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4650*1200*800</w:t>
            </w:r>
            <w:r>
              <w:rPr>
                <w:rFonts w:hint="eastAsia" w:ascii="Arial" w:hAnsi="Arial" w:cs="Arial"/>
                <w:i w:val="0"/>
                <w:iCs w:val="0"/>
                <w:color w:val="auto"/>
                <w:kern w:val="0"/>
                <w:sz w:val="21"/>
                <w:szCs w:val="21"/>
                <w:highlight w:val="none"/>
                <w:u w:val="none"/>
                <w:lang w:val="en-US" w:eastAsia="zh-CN" w:bidi="ar"/>
              </w:rPr>
              <w:t>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p w14:paraId="53F9B14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p>
        </w:tc>
      </w:tr>
      <w:tr w14:paraId="6DE44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1D8C5BF">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11</w:t>
            </w:r>
          </w:p>
        </w:tc>
        <w:tc>
          <w:tcPr>
            <w:tcW w:w="911" w:type="dxa"/>
            <w:noWrap w:val="0"/>
            <w:vAlign w:val="center"/>
          </w:tcPr>
          <w:p w14:paraId="40226181">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625909E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15</w:t>
            </w:r>
          </w:p>
        </w:tc>
        <w:tc>
          <w:tcPr>
            <w:tcW w:w="686" w:type="dxa"/>
            <w:noWrap w:val="0"/>
            <w:vAlign w:val="center"/>
          </w:tcPr>
          <w:p w14:paraId="1D3C373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571EE635">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8448A3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长宽高</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4650*1200*800</w:t>
            </w:r>
            <w:r>
              <w:rPr>
                <w:rFonts w:hint="eastAsia" w:ascii="Arial" w:hAnsi="Arial" w:cs="Arial"/>
                <w:i w:val="0"/>
                <w:iCs w:val="0"/>
                <w:color w:val="auto"/>
                <w:kern w:val="0"/>
                <w:sz w:val="21"/>
                <w:szCs w:val="21"/>
                <w:highlight w:val="none"/>
                <w:u w:val="none"/>
                <w:lang w:val="en-US" w:eastAsia="zh-CN" w:bidi="ar"/>
              </w:rPr>
              <w:t>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1023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CA87DF2">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12</w:t>
            </w:r>
          </w:p>
        </w:tc>
        <w:tc>
          <w:tcPr>
            <w:tcW w:w="911" w:type="dxa"/>
            <w:noWrap w:val="0"/>
            <w:vAlign w:val="center"/>
          </w:tcPr>
          <w:p w14:paraId="6ABDECC4">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eastAsia"/>
                <w:color w:val="auto"/>
                <w:highlight w:val="none"/>
                <w:lang w:val="en-US" w:eastAsia="zh-CN"/>
              </w:rPr>
              <w:t>电泳仪系统</w:t>
            </w:r>
          </w:p>
        </w:tc>
        <w:tc>
          <w:tcPr>
            <w:tcW w:w="582" w:type="dxa"/>
            <w:noWrap w:val="0"/>
            <w:vAlign w:val="center"/>
          </w:tcPr>
          <w:p w14:paraId="67860A7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4</w:t>
            </w:r>
          </w:p>
        </w:tc>
        <w:tc>
          <w:tcPr>
            <w:tcW w:w="686" w:type="dxa"/>
            <w:noWrap w:val="0"/>
            <w:vAlign w:val="center"/>
          </w:tcPr>
          <w:p w14:paraId="0A5A25F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套</w:t>
            </w:r>
          </w:p>
        </w:tc>
        <w:tc>
          <w:tcPr>
            <w:tcW w:w="754" w:type="dxa"/>
            <w:noWrap w:val="0"/>
            <w:vAlign w:val="center"/>
          </w:tcPr>
          <w:p w14:paraId="46E48080">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67696671">
            <w:pPr>
              <w:pStyle w:val="256"/>
              <w:rPr>
                <w:rFonts w:hint="default" w:ascii="Arial" w:hAnsi="Arial" w:cs="Arial"/>
                <w:color w:val="auto"/>
                <w:highlight w:val="none"/>
              </w:rPr>
            </w:pPr>
            <w:r>
              <w:rPr>
                <w:rFonts w:hint="default" w:ascii="Arial" w:hAnsi="Arial" w:cs="Arial"/>
                <w:color w:val="auto"/>
                <w:highlight w:val="none"/>
              </w:rPr>
              <w:t>1.凝胶数：1-4块；</w:t>
            </w:r>
          </w:p>
          <w:p w14:paraId="33729582">
            <w:pPr>
              <w:pStyle w:val="256"/>
              <w:rPr>
                <w:rFonts w:hint="default" w:ascii="Arial" w:hAnsi="Arial" w:cs="Arial"/>
                <w:color w:val="auto"/>
                <w:highlight w:val="none"/>
              </w:rPr>
            </w:pPr>
            <w:r>
              <w:rPr>
                <w:rFonts w:hint="default" w:ascii="Arial" w:hAnsi="Arial" w:cs="Arial"/>
                <w:color w:val="auto"/>
                <w:highlight w:val="none"/>
              </w:rPr>
              <w:t>2.凝胶厚度：0.75mm、1mm、1.5mm可选；</w:t>
            </w:r>
          </w:p>
          <w:p w14:paraId="62602D08">
            <w:pPr>
              <w:pStyle w:val="256"/>
              <w:rPr>
                <w:rFonts w:hint="default" w:ascii="Arial" w:hAnsi="Arial" w:cs="Arial"/>
                <w:color w:val="auto"/>
                <w:highlight w:val="none"/>
              </w:rPr>
            </w:pPr>
            <w:r>
              <w:rPr>
                <w:rFonts w:hint="default" w:ascii="Arial" w:hAnsi="Arial" w:cs="Arial"/>
                <w:color w:val="auto"/>
                <w:highlight w:val="none"/>
              </w:rPr>
              <w:t>3.加样梳齿数：10齿、15齿可选；</w:t>
            </w:r>
          </w:p>
          <w:p w14:paraId="46DBDAF1">
            <w:pPr>
              <w:pStyle w:val="256"/>
              <w:rPr>
                <w:rFonts w:hint="default" w:ascii="Arial" w:hAnsi="Arial" w:cs="Arial"/>
                <w:color w:val="auto"/>
                <w:highlight w:val="none"/>
              </w:rPr>
            </w:pPr>
            <w:r>
              <w:rPr>
                <w:rFonts w:hint="default" w:ascii="Arial" w:hAnsi="Arial" w:cs="Arial"/>
                <w:color w:val="auto"/>
                <w:highlight w:val="none"/>
              </w:rPr>
              <w:t>4.玻璃尺寸：短玻璃板（W×L：10.1×7.3cm）、长玻璃板（W×L：10.1×8.2cm）；</w:t>
            </w:r>
          </w:p>
          <w:p w14:paraId="5FDDB300">
            <w:pPr>
              <w:pStyle w:val="256"/>
              <w:rPr>
                <w:rFonts w:hint="default" w:ascii="Arial" w:hAnsi="Arial" w:cs="Arial"/>
                <w:color w:val="auto"/>
                <w:highlight w:val="none"/>
              </w:rPr>
            </w:pPr>
            <w:r>
              <w:rPr>
                <w:rFonts w:hint="default" w:ascii="Arial" w:hAnsi="Arial" w:cs="Arial"/>
                <w:color w:val="auto"/>
                <w:highlight w:val="none"/>
              </w:rPr>
              <w:t>5.凝胶大小：手灌胶（W×L：8.3×7.3cm）、预制胶（W×L：8.6×6.8cm）。</w:t>
            </w:r>
          </w:p>
          <w:p w14:paraId="0242B14D">
            <w:pPr>
              <w:pStyle w:val="256"/>
              <w:rPr>
                <w:rFonts w:hint="default" w:ascii="Arial" w:hAnsi="Arial" w:cs="Arial"/>
                <w:color w:val="auto"/>
                <w:highlight w:val="none"/>
              </w:rPr>
            </w:pPr>
            <w:r>
              <w:rPr>
                <w:rFonts w:hint="default" w:ascii="Arial" w:hAnsi="Arial" w:cs="Arial"/>
                <w:color w:val="auto"/>
                <w:highlight w:val="none"/>
              </w:rPr>
              <w:t>蛋白转印系统</w:t>
            </w:r>
          </w:p>
          <w:p w14:paraId="314CE623">
            <w:pPr>
              <w:pStyle w:val="256"/>
              <w:rPr>
                <w:rFonts w:hint="default" w:ascii="Arial" w:hAnsi="Arial" w:cs="Arial"/>
                <w:color w:val="auto"/>
                <w:highlight w:val="none"/>
              </w:rPr>
            </w:pPr>
            <w:r>
              <w:rPr>
                <w:rFonts w:hint="default" w:ascii="Arial" w:hAnsi="Arial" w:cs="Arial"/>
                <w:color w:val="auto"/>
                <w:highlight w:val="none"/>
              </w:rPr>
              <w:t>1.本产品可快速、高质量地转印小型凝胶，它可容纳2个凝胶支架转印夹，可同时转印两块小型凝胶，也可进行低强度的过夜转印。</w:t>
            </w:r>
          </w:p>
          <w:p w14:paraId="6A4DE79E">
            <w:pPr>
              <w:pStyle w:val="256"/>
              <w:rPr>
                <w:rFonts w:hint="default" w:ascii="Arial" w:hAnsi="Arial" w:cs="Arial"/>
                <w:color w:val="auto"/>
                <w:highlight w:val="none"/>
              </w:rPr>
            </w:pPr>
            <w:r>
              <w:rPr>
                <w:rFonts w:hint="default" w:ascii="Arial" w:hAnsi="Arial" w:cs="Arial"/>
                <w:color w:val="auto"/>
                <w:highlight w:val="none"/>
              </w:rPr>
              <w:t>2.电极丝相距4㎝以产生强电场保证有效的蛋白转印。</w:t>
            </w:r>
          </w:p>
          <w:p w14:paraId="191D1B14">
            <w:pPr>
              <w:pStyle w:val="256"/>
              <w:rPr>
                <w:rFonts w:hint="default" w:ascii="Arial" w:hAnsi="Arial" w:cs="Arial"/>
                <w:color w:val="auto"/>
                <w:highlight w:val="none"/>
              </w:rPr>
            </w:pPr>
            <w:r>
              <w:rPr>
                <w:rFonts w:hint="default" w:ascii="Arial" w:hAnsi="Arial" w:cs="Arial"/>
                <w:color w:val="auto"/>
                <w:highlight w:val="none"/>
              </w:rPr>
              <w:t>3.颜色标记的转印夹和电极确保凝胶的正确定向。</w:t>
            </w:r>
          </w:p>
          <w:p w14:paraId="2F6C8FB6">
            <w:pPr>
              <w:pStyle w:val="256"/>
              <w:rPr>
                <w:rFonts w:hint="default" w:ascii="Arial" w:hAnsi="Arial" w:cs="Arial"/>
                <w:color w:val="auto"/>
                <w:highlight w:val="none"/>
              </w:rPr>
            </w:pPr>
            <w:r>
              <w:rPr>
                <w:rFonts w:hint="default" w:ascii="Arial" w:hAnsi="Arial" w:cs="Arial"/>
                <w:color w:val="auto"/>
                <w:highlight w:val="none"/>
              </w:rPr>
              <w:t>4.转印凝胶数：2块；</w:t>
            </w:r>
          </w:p>
          <w:p w14:paraId="49A117DE">
            <w:pPr>
              <w:pStyle w:val="256"/>
              <w:rPr>
                <w:rFonts w:hint="default" w:ascii="Arial" w:hAnsi="Arial" w:cs="Arial"/>
                <w:color w:val="auto"/>
                <w:highlight w:val="none"/>
              </w:rPr>
            </w:pPr>
            <w:r>
              <w:rPr>
                <w:rFonts w:hint="default" w:ascii="Arial" w:hAnsi="Arial" w:cs="Arial"/>
                <w:color w:val="auto"/>
                <w:highlight w:val="none"/>
              </w:rPr>
              <w:t>5.转印孔板面积：W×L：</w:t>
            </w:r>
            <w:r>
              <w:rPr>
                <w:rFonts w:hint="default" w:ascii="Arial" w:hAnsi="Arial" w:cs="Arial"/>
                <w:color w:val="auto"/>
                <w:highlight w:val="none"/>
                <w:lang w:val="en-US" w:eastAsia="zh-CN"/>
              </w:rPr>
              <w:t>≤</w:t>
            </w:r>
            <w:r>
              <w:rPr>
                <w:rFonts w:hint="default" w:ascii="Arial" w:hAnsi="Arial" w:cs="Arial"/>
                <w:color w:val="auto"/>
                <w:highlight w:val="none"/>
              </w:rPr>
              <w:t>10×7.5㎝。</w:t>
            </w:r>
          </w:p>
          <w:p w14:paraId="0C8BCD0F">
            <w:pPr>
              <w:pStyle w:val="256"/>
              <w:rPr>
                <w:rFonts w:hint="default" w:ascii="Arial" w:hAnsi="Arial" w:cs="Arial"/>
                <w:color w:val="auto"/>
                <w:highlight w:val="none"/>
              </w:rPr>
            </w:pPr>
            <w:r>
              <w:rPr>
                <w:rFonts w:hint="default" w:ascii="Arial" w:hAnsi="Arial" w:cs="Arial"/>
                <w:color w:val="auto"/>
                <w:highlight w:val="none"/>
              </w:rPr>
              <w:t>电源</w:t>
            </w:r>
          </w:p>
          <w:p w14:paraId="746A3BB7">
            <w:pPr>
              <w:pStyle w:val="256"/>
              <w:rPr>
                <w:rFonts w:hint="default" w:ascii="Arial" w:hAnsi="Arial" w:cs="Arial"/>
                <w:color w:val="auto"/>
                <w:highlight w:val="none"/>
              </w:rPr>
            </w:pPr>
            <w:r>
              <w:rPr>
                <w:rFonts w:hint="default" w:ascii="Arial" w:hAnsi="Arial" w:cs="Arial"/>
                <w:color w:val="auto"/>
                <w:highlight w:val="none"/>
              </w:rPr>
              <w:t>1.采用触摸屏设计，可同时显示设定电压、设定电流、</w:t>
            </w:r>
          </w:p>
          <w:p w14:paraId="6A59316A">
            <w:pPr>
              <w:pStyle w:val="256"/>
              <w:rPr>
                <w:rFonts w:hint="default" w:ascii="Arial" w:hAnsi="Arial" w:cs="Arial"/>
                <w:color w:val="auto"/>
                <w:highlight w:val="none"/>
              </w:rPr>
            </w:pPr>
            <w:r>
              <w:rPr>
                <w:rFonts w:hint="default" w:ascii="Arial" w:hAnsi="Arial" w:cs="Arial"/>
                <w:color w:val="auto"/>
                <w:highlight w:val="none"/>
              </w:rPr>
              <w:t>设定时间等信息，方便调整工作电压、电流与定时等；</w:t>
            </w:r>
          </w:p>
          <w:p w14:paraId="35F79AE7">
            <w:pPr>
              <w:pStyle w:val="256"/>
              <w:rPr>
                <w:rFonts w:hint="default" w:ascii="Arial" w:hAnsi="Arial" w:cs="Arial"/>
                <w:color w:val="auto"/>
                <w:highlight w:val="none"/>
              </w:rPr>
            </w:pPr>
            <w:r>
              <w:rPr>
                <w:rFonts w:hint="default" w:ascii="Arial" w:hAnsi="Arial" w:cs="Arial"/>
                <w:color w:val="auto"/>
                <w:highlight w:val="none"/>
              </w:rPr>
              <w:t>2.稳压、稳流与自由设置三种工作模式，可以满足多种</w:t>
            </w:r>
          </w:p>
          <w:p w14:paraId="1C9960FF">
            <w:pPr>
              <w:pStyle w:val="256"/>
              <w:rPr>
                <w:rFonts w:hint="default" w:ascii="Arial" w:hAnsi="Arial" w:cs="Arial"/>
                <w:color w:val="auto"/>
                <w:highlight w:val="none"/>
              </w:rPr>
            </w:pPr>
            <w:r>
              <w:rPr>
                <w:rFonts w:hint="default" w:ascii="Arial" w:hAnsi="Arial" w:cs="Arial"/>
                <w:color w:val="auto"/>
                <w:highlight w:val="none"/>
              </w:rPr>
              <w:t>电泳实验需求；</w:t>
            </w:r>
          </w:p>
          <w:p w14:paraId="34F00267">
            <w:pPr>
              <w:pStyle w:val="256"/>
              <w:rPr>
                <w:rFonts w:hint="default" w:ascii="Arial" w:hAnsi="Arial" w:cs="Arial"/>
                <w:color w:val="auto"/>
                <w:highlight w:val="none"/>
              </w:rPr>
            </w:pPr>
            <w:r>
              <w:rPr>
                <w:rFonts w:hint="default" w:ascii="Arial" w:hAnsi="Arial" w:cs="Arial"/>
                <w:color w:val="auto"/>
                <w:highlight w:val="none"/>
              </w:rPr>
              <w:t>3.可以显示电源工作历史记录数据；</w:t>
            </w:r>
          </w:p>
          <w:p w14:paraId="32C0D0AD">
            <w:pPr>
              <w:pStyle w:val="256"/>
              <w:rPr>
                <w:rFonts w:hint="default" w:ascii="Arial" w:hAnsi="Arial" w:cs="Arial"/>
                <w:color w:val="auto"/>
                <w:highlight w:val="none"/>
              </w:rPr>
            </w:pPr>
            <w:r>
              <w:rPr>
                <w:rFonts w:hint="default" w:ascii="Arial" w:hAnsi="Arial" w:cs="Arial"/>
                <w:color w:val="auto"/>
                <w:highlight w:val="none"/>
              </w:rPr>
              <w:t>4.在工作状态中可以实时微调各项参数；</w:t>
            </w:r>
          </w:p>
          <w:p w14:paraId="170D2BD7">
            <w:pPr>
              <w:pStyle w:val="256"/>
              <w:rPr>
                <w:rFonts w:hint="default" w:ascii="Arial" w:hAnsi="Arial" w:cs="Arial"/>
                <w:color w:val="auto"/>
                <w:highlight w:val="none"/>
              </w:rPr>
            </w:pPr>
            <w:r>
              <w:rPr>
                <w:rFonts w:hint="default" w:ascii="Arial" w:hAnsi="Arial" w:cs="Arial"/>
                <w:color w:val="auto"/>
                <w:highlight w:val="none"/>
              </w:rPr>
              <w:t>5.微电脑智能控制；</w:t>
            </w:r>
          </w:p>
          <w:p w14:paraId="79BAFBFE">
            <w:pPr>
              <w:pStyle w:val="256"/>
              <w:rPr>
                <w:rFonts w:hint="default" w:ascii="Arial" w:hAnsi="Arial" w:cs="Arial"/>
                <w:color w:val="auto"/>
                <w:highlight w:val="none"/>
              </w:rPr>
            </w:pPr>
            <w:r>
              <w:rPr>
                <w:rFonts w:hint="default" w:ascii="Arial" w:hAnsi="Arial" w:cs="Arial"/>
                <w:color w:val="auto"/>
                <w:highlight w:val="none"/>
              </w:rPr>
              <w:t>6.液晶显示，同时显示电压，电流和定时时间</w:t>
            </w:r>
          </w:p>
          <w:p w14:paraId="126A0AEC">
            <w:pPr>
              <w:pStyle w:val="256"/>
              <w:rPr>
                <w:rFonts w:hint="default" w:ascii="Arial" w:hAnsi="Arial" w:cs="Arial"/>
                <w:color w:val="auto"/>
                <w:highlight w:val="none"/>
              </w:rPr>
            </w:pPr>
            <w:r>
              <w:rPr>
                <w:rFonts w:hint="default" w:ascii="Arial" w:hAnsi="Arial" w:cs="Arial"/>
                <w:color w:val="auto"/>
                <w:highlight w:val="none"/>
              </w:rPr>
              <w:t>7.采用开关电源输出；</w:t>
            </w:r>
          </w:p>
          <w:p w14:paraId="693CB113">
            <w:pPr>
              <w:pStyle w:val="256"/>
              <w:rPr>
                <w:rFonts w:hint="default" w:ascii="Arial" w:hAnsi="Arial" w:cs="Arial"/>
                <w:color w:val="auto"/>
                <w:highlight w:val="none"/>
              </w:rPr>
            </w:pPr>
            <w:r>
              <w:rPr>
                <w:rFonts w:hint="default" w:ascii="Arial" w:hAnsi="Arial" w:cs="Arial"/>
                <w:color w:val="auto"/>
                <w:highlight w:val="none"/>
              </w:rPr>
              <w:t>8.具有存储记忆功能；</w:t>
            </w:r>
          </w:p>
          <w:p w14:paraId="389B468D">
            <w:pPr>
              <w:pStyle w:val="256"/>
              <w:rPr>
                <w:rFonts w:hint="default" w:ascii="Arial" w:hAnsi="Arial" w:cs="Arial"/>
                <w:color w:val="auto"/>
                <w:highlight w:val="none"/>
              </w:rPr>
            </w:pPr>
            <w:r>
              <w:rPr>
                <w:rFonts w:hint="default" w:ascii="Arial" w:hAnsi="Arial" w:cs="Arial"/>
                <w:color w:val="auto"/>
                <w:highlight w:val="none"/>
              </w:rPr>
              <w:t>9.具有过压、过流、过载、变载、空载等多项报警保护功能。</w:t>
            </w:r>
          </w:p>
          <w:p w14:paraId="18726CE0">
            <w:pPr>
              <w:pStyle w:val="256"/>
              <w:rPr>
                <w:rFonts w:hint="default" w:ascii="Arial" w:hAnsi="Arial" w:cs="Arial"/>
                <w:color w:val="auto"/>
                <w:highlight w:val="none"/>
              </w:rPr>
            </w:pPr>
            <w:r>
              <w:rPr>
                <w:rFonts w:hint="eastAsia" w:ascii="Arial" w:hAnsi="Arial" w:cs="Arial"/>
                <w:color w:val="auto"/>
                <w:highlight w:val="none"/>
                <w:lang w:val="en-US" w:eastAsia="zh-CN"/>
              </w:rPr>
              <w:t>10.</w:t>
            </w:r>
            <w:r>
              <w:rPr>
                <w:rFonts w:hint="default" w:ascii="Arial" w:hAnsi="Arial" w:cs="Arial"/>
                <w:color w:val="auto"/>
                <w:highlight w:val="none"/>
              </w:rPr>
              <w:t>外型尺寸 (W×D×H)</w:t>
            </w:r>
            <w:r>
              <w:rPr>
                <w:rFonts w:hint="default" w:ascii="Arial" w:hAnsi="Arial" w:cs="Arial"/>
                <w:color w:val="auto"/>
                <w:highlight w:val="none"/>
                <w:lang w:eastAsia="zh-CN"/>
              </w:rPr>
              <w:t>：</w:t>
            </w:r>
            <w:r>
              <w:rPr>
                <w:rFonts w:hint="default" w:ascii="Arial" w:hAnsi="Arial" w:cs="Arial"/>
                <w:color w:val="auto"/>
                <w:highlight w:val="none"/>
                <w:lang w:val="en-US" w:eastAsia="zh-CN"/>
              </w:rPr>
              <w:t>≤</w:t>
            </w:r>
            <w:r>
              <w:rPr>
                <w:rFonts w:hint="default" w:ascii="Arial" w:hAnsi="Arial" w:cs="Arial"/>
                <w:color w:val="auto"/>
                <w:highlight w:val="none"/>
              </w:rPr>
              <w:t>235×295×95mm</w:t>
            </w:r>
          </w:p>
          <w:p w14:paraId="161E1E84">
            <w:pPr>
              <w:pStyle w:val="256"/>
              <w:rPr>
                <w:rFonts w:hint="default" w:ascii="Arial" w:hAnsi="Arial" w:cs="Arial"/>
                <w:color w:val="auto"/>
                <w:highlight w:val="none"/>
              </w:rPr>
            </w:pPr>
            <w:r>
              <w:rPr>
                <w:rFonts w:hint="eastAsia" w:ascii="Arial" w:hAnsi="Arial" w:cs="Arial"/>
                <w:color w:val="auto"/>
                <w:highlight w:val="none"/>
                <w:lang w:val="en-US" w:eastAsia="zh-CN"/>
              </w:rPr>
              <w:t>11.</w:t>
            </w:r>
            <w:r>
              <w:rPr>
                <w:rFonts w:hint="default" w:ascii="Arial" w:hAnsi="Arial" w:cs="Arial"/>
                <w:color w:val="auto"/>
                <w:highlight w:val="none"/>
              </w:rPr>
              <w:t>并联输出：4组</w:t>
            </w:r>
          </w:p>
          <w:p w14:paraId="37167FDC">
            <w:pPr>
              <w:pStyle w:val="256"/>
              <w:rPr>
                <w:rFonts w:hint="default" w:ascii="Arial" w:hAnsi="Arial" w:cs="Arial"/>
                <w:color w:val="auto"/>
                <w:highlight w:val="none"/>
              </w:rPr>
            </w:pPr>
            <w:r>
              <w:rPr>
                <w:rFonts w:hint="eastAsia" w:ascii="Arial" w:hAnsi="Arial" w:cs="Arial"/>
                <w:color w:val="auto"/>
                <w:highlight w:val="none"/>
                <w:lang w:val="en-US" w:eastAsia="zh-CN"/>
              </w:rPr>
              <w:t>12.</w:t>
            </w:r>
            <w:r>
              <w:rPr>
                <w:rFonts w:hint="default" w:ascii="Arial" w:hAnsi="Arial" w:cs="Arial"/>
                <w:color w:val="auto"/>
                <w:highlight w:val="none"/>
              </w:rPr>
              <w:t>输出范围(显示分辨率):6～600V(1V)</w:t>
            </w:r>
          </w:p>
          <w:p w14:paraId="33F9202B">
            <w:pPr>
              <w:pStyle w:val="256"/>
              <w:rPr>
                <w:rFonts w:hint="default" w:ascii="Arial" w:hAnsi="Arial" w:cs="Arial"/>
                <w:color w:val="auto"/>
                <w:highlight w:val="none"/>
              </w:rPr>
            </w:pPr>
            <w:r>
              <w:rPr>
                <w:rFonts w:hint="default" w:ascii="Arial" w:hAnsi="Arial" w:cs="Arial"/>
                <w:color w:val="auto"/>
                <w:highlight w:val="none"/>
              </w:rPr>
              <w:t>4～400mA(1mA)</w:t>
            </w:r>
          </w:p>
          <w:p w14:paraId="1B68FE87">
            <w:pPr>
              <w:pStyle w:val="256"/>
              <w:rPr>
                <w:rFonts w:hint="default" w:ascii="Arial" w:hAnsi="Arial" w:cs="Arial"/>
                <w:color w:val="auto"/>
                <w:highlight w:val="none"/>
              </w:rPr>
            </w:pPr>
            <w:r>
              <w:rPr>
                <w:rFonts w:hint="default" w:ascii="Arial" w:hAnsi="Arial" w:cs="Arial"/>
                <w:color w:val="auto"/>
                <w:highlight w:val="none"/>
              </w:rPr>
              <w:t>240W</w:t>
            </w:r>
          </w:p>
          <w:p w14:paraId="6418A357">
            <w:pPr>
              <w:pStyle w:val="17"/>
              <w:rPr>
                <w:rFonts w:hint="default" w:ascii="Arial" w:hAnsi="Arial" w:eastAsia="宋体" w:cs="Arial"/>
                <w:color w:val="auto"/>
                <w:kern w:val="2"/>
                <w:sz w:val="21"/>
                <w:szCs w:val="21"/>
                <w:highlight w:val="none"/>
                <w:lang w:val="en-US" w:eastAsia="zh-CN" w:bidi="ar-SA"/>
              </w:rPr>
            </w:pPr>
            <w:r>
              <w:rPr>
                <w:rFonts w:hint="eastAsia" w:ascii="Arial" w:hAnsi="Arial" w:cs="Arial"/>
                <w:color w:val="auto"/>
                <w:highlight w:val="none"/>
                <w:lang w:val="en-US" w:eastAsia="zh-CN"/>
              </w:rPr>
              <w:t>13.</w:t>
            </w:r>
            <w:r>
              <w:rPr>
                <w:rFonts w:hint="default" w:ascii="Arial" w:hAnsi="Arial" w:cs="Arial"/>
                <w:color w:val="auto"/>
                <w:highlight w:val="none"/>
              </w:rPr>
              <w:t>重量：</w:t>
            </w:r>
            <w:r>
              <w:rPr>
                <w:rFonts w:hint="default" w:ascii="Arial" w:hAnsi="Arial" w:cs="Arial"/>
                <w:color w:val="auto"/>
                <w:highlight w:val="none"/>
                <w:lang w:val="en-US" w:eastAsia="zh-CN"/>
              </w:rPr>
              <w:t>≤</w:t>
            </w:r>
            <w:r>
              <w:rPr>
                <w:rFonts w:hint="default" w:ascii="Arial" w:hAnsi="Arial" w:cs="Arial"/>
                <w:color w:val="auto"/>
                <w:highlight w:val="none"/>
              </w:rPr>
              <w:t>2.5kg</w:t>
            </w:r>
          </w:p>
        </w:tc>
      </w:tr>
      <w:tr w14:paraId="4B953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0712CDB">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13</w:t>
            </w:r>
          </w:p>
        </w:tc>
        <w:tc>
          <w:tcPr>
            <w:tcW w:w="911" w:type="dxa"/>
            <w:noWrap w:val="0"/>
            <w:vAlign w:val="center"/>
          </w:tcPr>
          <w:p w14:paraId="264D6CD9">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话筒</w:t>
            </w:r>
          </w:p>
        </w:tc>
        <w:tc>
          <w:tcPr>
            <w:tcW w:w="582" w:type="dxa"/>
            <w:noWrap w:val="0"/>
            <w:vAlign w:val="center"/>
          </w:tcPr>
          <w:p w14:paraId="20651E2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5D8BFB4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331DBA26">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495EA33D">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咪杆和输出连接采用螺旋结构；金属鹅颈咪管，减少附加噪声；咪管带红色光环指示灯；适用于多媒体教室和各种中高档会议室扩声之用。</w:t>
            </w:r>
          </w:p>
          <w:p w14:paraId="20A353B7">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规格参数：换能方式：永久极性电容收音头</w:t>
            </w:r>
          </w:p>
          <w:p w14:paraId="086B8C7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 频率响应：50Hz-16KHz 指向性：单指向性 输出阻抗：75Ω平衡 灵敏度：-47dB 最高输入音量：128dB声压 动态范围：101dB、1KHz 讯噪比：65dB  供电电压：DC3V/极相6V 话筒重量：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0.6KG  有效拾音距离：</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30CM 开关：拨动动开关 净重：</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0.15Kg</w:t>
            </w:r>
          </w:p>
        </w:tc>
      </w:tr>
      <w:tr w14:paraId="215F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CC8B07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14</w:t>
            </w:r>
          </w:p>
        </w:tc>
        <w:tc>
          <w:tcPr>
            <w:tcW w:w="911" w:type="dxa"/>
            <w:noWrap w:val="0"/>
            <w:vAlign w:val="center"/>
          </w:tcPr>
          <w:p w14:paraId="57C936B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音响</w:t>
            </w:r>
          </w:p>
        </w:tc>
        <w:tc>
          <w:tcPr>
            <w:tcW w:w="582" w:type="dxa"/>
            <w:noWrap w:val="0"/>
            <w:vAlign w:val="center"/>
          </w:tcPr>
          <w:p w14:paraId="181C55B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3EAD1C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对</w:t>
            </w:r>
          </w:p>
        </w:tc>
        <w:tc>
          <w:tcPr>
            <w:tcW w:w="754" w:type="dxa"/>
            <w:noWrap w:val="0"/>
            <w:vAlign w:val="center"/>
          </w:tcPr>
          <w:p w14:paraId="2FB8C07B">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A41AF41">
            <w:pPr>
              <w:keepNext w:val="0"/>
              <w:keepLines w:val="0"/>
              <w:widowControl/>
              <w:numPr>
                <w:ilvl w:val="0"/>
                <w:numId w:val="8"/>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音箱箱体为高密度中纤板喷漆箱体、全钢网面罩设计；  </w:t>
            </w:r>
          </w:p>
          <w:p w14:paraId="4725F7F2">
            <w:pPr>
              <w:keepNext w:val="0"/>
              <w:keepLines w:val="0"/>
              <w:widowControl/>
              <w:numPr>
                <w:ilvl w:val="0"/>
                <w:numId w:val="8"/>
              </w:numPr>
              <w:suppressLineNumbers w:val="0"/>
              <w:ind w:left="0" w:leftChars="0" w:firstLine="0" w:firstLine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采用一只8寸橡皮边低音单元，一只3寸纸盆高音，动态性能良好；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3、箱体结构采用计算机CAD辅助设计；                 </w:t>
            </w:r>
          </w:p>
          <w:p w14:paraId="535E7A8C">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 xml:space="preserve">分频器经过专业扬声器测试系统调校、检测；                      </w:t>
            </w:r>
          </w:p>
          <w:p w14:paraId="4A7E4192">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、标准支架安装模式（配置万能安装支架，方便安装调试）；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 xml:space="preserve">、用于多媒体会议室、课室和电教室。                </w:t>
            </w:r>
          </w:p>
          <w:p w14:paraId="78A49442">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 xml:space="preserve">、频率响应：55Hz-20kHz   驱动器：LF:1X 8″, HF: 1 X 3″ 标称功率：100W  标称阻抗：4Ω 灵敏度：93dB/1W/1M  最大声压级：105dB  分频器：1.8KHz  覆盖角度：90°H x 50°V  </w:t>
            </w:r>
          </w:p>
          <w:p w14:paraId="4C3D5ECD">
            <w:pPr>
              <w:keepNext w:val="0"/>
              <w:keepLines w:val="0"/>
              <w:widowControl/>
              <w:numPr>
                <w:ilvl w:val="0"/>
                <w:numId w:val="0"/>
              </w:numPr>
              <w:suppressLineNumbers w:val="0"/>
              <w:ind w:leftChars="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箱体型式：倒相式  箱体及外饰：高密度中纤板箱体，钢网   安装：配置万能安装支架  尺寸：</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（D长×W宽×H高 单位：210*230*373mm）  净重：</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 4.4Kg</w:t>
            </w:r>
          </w:p>
        </w:tc>
      </w:tr>
    </w:tbl>
    <w:p w14:paraId="04C702F1">
      <w:pPr>
        <w:pStyle w:val="2"/>
        <w:rPr>
          <w:rFonts w:hint="eastAsia"/>
          <w:color w:val="auto"/>
          <w:highlight w:val="none"/>
        </w:rPr>
      </w:pPr>
    </w:p>
    <w:p w14:paraId="1B65233D">
      <w:pPr>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br w:type="page"/>
      </w:r>
    </w:p>
    <w:p w14:paraId="75B8B8BF">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326B4023">
      <w:pPr>
        <w:spacing w:line="360" w:lineRule="auto"/>
        <w:rPr>
          <w:color w:val="auto"/>
          <w:szCs w:val="21"/>
          <w:highlight w:val="none"/>
        </w:rPr>
      </w:pPr>
      <w:r>
        <w:rPr>
          <w:rFonts w:hint="eastAsia"/>
          <w:color w:val="auto"/>
          <w:szCs w:val="21"/>
          <w:highlight w:val="none"/>
        </w:rPr>
        <w:t>1．报价要求</w:t>
      </w:r>
    </w:p>
    <w:p w14:paraId="070DD809">
      <w:pPr>
        <w:spacing w:line="360" w:lineRule="auto"/>
        <w:rPr>
          <w:color w:val="auto"/>
          <w:szCs w:val="21"/>
          <w:highlight w:val="none"/>
        </w:rPr>
      </w:pPr>
      <w:r>
        <w:rPr>
          <w:rFonts w:hint="eastAsia"/>
          <w:color w:val="auto"/>
          <w:szCs w:val="21"/>
          <w:highlight w:val="none"/>
        </w:rPr>
        <w:t>本次报价须为人民币报价，包含产品价、运输费（含装卸费）、保险费、安装调试费、税费、培训费、产品检测费、产品质保期内维护费</w:t>
      </w:r>
      <w:r>
        <w:rPr>
          <w:rFonts w:hint="eastAsia"/>
          <w:color w:val="auto"/>
          <w:szCs w:val="21"/>
          <w:highlight w:val="none"/>
          <w:lang w:val="en-US" w:eastAsia="zh-CN"/>
        </w:rPr>
        <w:t>、代理费</w:t>
      </w:r>
      <w:r>
        <w:rPr>
          <w:rFonts w:hint="eastAsia"/>
          <w:color w:val="auto"/>
          <w:szCs w:val="21"/>
          <w:highlight w:val="none"/>
        </w:rPr>
        <w:t>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p w14:paraId="6A98DF0F">
      <w:pPr>
        <w:spacing w:line="360" w:lineRule="auto"/>
        <w:rPr>
          <w:color w:val="auto"/>
          <w:szCs w:val="21"/>
          <w:highlight w:val="none"/>
        </w:rPr>
      </w:pPr>
      <w:r>
        <w:rPr>
          <w:rFonts w:hint="eastAsia"/>
          <w:color w:val="auto"/>
          <w:szCs w:val="21"/>
          <w:highlight w:val="none"/>
        </w:rPr>
        <w:t>2.合同签订日期</w:t>
      </w:r>
    </w:p>
    <w:p w14:paraId="5238B221">
      <w:pPr>
        <w:spacing w:line="360" w:lineRule="auto"/>
        <w:rPr>
          <w:rFonts w:hint="eastAsia"/>
          <w:color w:val="auto"/>
          <w:szCs w:val="21"/>
          <w:highlight w:val="none"/>
        </w:rPr>
      </w:pPr>
      <w:r>
        <w:rPr>
          <w:rFonts w:hint="eastAsia"/>
          <w:color w:val="auto"/>
          <w:szCs w:val="21"/>
          <w:highlight w:val="none"/>
        </w:rPr>
        <w:t>成交通知书发出后25日内。</w:t>
      </w:r>
    </w:p>
    <w:p w14:paraId="50DF8766">
      <w:pPr>
        <w:spacing w:line="360" w:lineRule="auto"/>
        <w:rPr>
          <w:color w:val="auto"/>
          <w:szCs w:val="21"/>
          <w:highlight w:val="none"/>
        </w:rPr>
      </w:pPr>
      <w:r>
        <w:rPr>
          <w:rFonts w:hint="eastAsia"/>
          <w:color w:val="auto"/>
          <w:szCs w:val="21"/>
          <w:highlight w:val="none"/>
        </w:rPr>
        <w:t>3.交货（实施）时间</w:t>
      </w:r>
    </w:p>
    <w:p w14:paraId="5BE009FD">
      <w:pPr>
        <w:adjustRightInd w:val="0"/>
        <w:snapToGrid w:val="0"/>
        <w:spacing w:after="0" w:line="360" w:lineRule="auto"/>
        <w:rPr>
          <w:rFonts w:ascii="Arial" w:hAnsi="Arial" w:eastAsia="宋体" w:cs="Arial"/>
          <w:b/>
          <w:bCs/>
          <w:color w:val="auto"/>
          <w:highlight w:val="none"/>
        </w:rPr>
      </w:pPr>
      <w:r>
        <w:rPr>
          <w:rFonts w:ascii="Arial" w:hAnsi="Arial" w:eastAsia="宋体" w:cs="Arial"/>
          <w:b/>
          <w:bCs/>
          <w:color w:val="auto"/>
          <w:kern w:val="0"/>
          <w:szCs w:val="21"/>
          <w:highlight w:val="none"/>
        </w:rPr>
        <w:t>自签订合同之日起30个日历日内交货并完成安装调试</w:t>
      </w:r>
    </w:p>
    <w:p w14:paraId="2FC2AD43">
      <w:pPr>
        <w:spacing w:line="360" w:lineRule="auto"/>
        <w:rPr>
          <w:color w:val="auto"/>
          <w:szCs w:val="21"/>
          <w:highlight w:val="none"/>
        </w:rPr>
      </w:pPr>
      <w:r>
        <w:rPr>
          <w:rFonts w:hint="eastAsia"/>
          <w:color w:val="auto"/>
          <w:szCs w:val="21"/>
          <w:highlight w:val="none"/>
        </w:rPr>
        <w:t>4.交货地点或服务地点</w:t>
      </w:r>
    </w:p>
    <w:p w14:paraId="1F9BD63C">
      <w:pPr>
        <w:adjustRightInd w:val="0"/>
        <w:snapToGrid w:val="0"/>
        <w:spacing w:after="0" w:line="360" w:lineRule="auto"/>
        <w:rPr>
          <w:rFonts w:ascii="Arial" w:hAnsi="Arial" w:eastAsia="宋体" w:cs="Arial"/>
          <w:color w:val="auto"/>
          <w:szCs w:val="21"/>
          <w:highlight w:val="none"/>
        </w:rPr>
      </w:pPr>
      <w:r>
        <w:rPr>
          <w:rFonts w:ascii="Arial" w:hAnsi="Arial" w:eastAsia="宋体" w:cs="Arial"/>
          <w:color w:val="auto"/>
          <w:szCs w:val="21"/>
          <w:highlight w:val="none"/>
        </w:rPr>
        <w:t>桂林市内采购人指定地点。</w:t>
      </w:r>
    </w:p>
    <w:p w14:paraId="2127ABA4">
      <w:pPr>
        <w:spacing w:line="360" w:lineRule="auto"/>
        <w:rPr>
          <w:color w:val="auto"/>
          <w:szCs w:val="21"/>
          <w:highlight w:val="none"/>
        </w:rPr>
      </w:pPr>
      <w:r>
        <w:rPr>
          <w:rFonts w:hint="eastAsia"/>
          <w:color w:val="auto"/>
          <w:szCs w:val="21"/>
          <w:highlight w:val="none"/>
        </w:rPr>
        <w:t>5.验收标准</w:t>
      </w:r>
    </w:p>
    <w:p w14:paraId="6752AE84">
      <w:pPr>
        <w:spacing w:line="360" w:lineRule="auto"/>
        <w:rPr>
          <w:color w:val="auto"/>
          <w:szCs w:val="21"/>
          <w:highlight w:val="none"/>
        </w:rPr>
      </w:pPr>
      <w:r>
        <w:rPr>
          <w:rFonts w:hint="eastAsia"/>
          <w:color w:val="auto"/>
          <w:szCs w:val="21"/>
          <w:highlight w:val="none"/>
        </w:rPr>
        <w:t>详见采购文件合同主要条款格式部分</w:t>
      </w:r>
    </w:p>
    <w:p w14:paraId="43F0EBF7">
      <w:pPr>
        <w:spacing w:line="360" w:lineRule="auto"/>
        <w:rPr>
          <w:color w:val="auto"/>
          <w:szCs w:val="21"/>
          <w:highlight w:val="none"/>
        </w:rPr>
      </w:pPr>
      <w:r>
        <w:rPr>
          <w:rFonts w:hint="eastAsia"/>
          <w:color w:val="auto"/>
          <w:szCs w:val="21"/>
          <w:highlight w:val="none"/>
        </w:rPr>
        <w:t>6.服务标准、期限、效率</w:t>
      </w:r>
    </w:p>
    <w:p w14:paraId="7379B127">
      <w:pPr>
        <w:spacing w:line="360" w:lineRule="auto"/>
        <w:rPr>
          <w:color w:val="auto"/>
          <w:szCs w:val="21"/>
          <w:highlight w:val="none"/>
        </w:rPr>
      </w:pPr>
      <w:r>
        <w:rPr>
          <w:rFonts w:hint="eastAsia"/>
          <w:color w:val="auto"/>
          <w:szCs w:val="21"/>
          <w:highlight w:val="none"/>
        </w:rPr>
        <w:t>6.1成交供应商在质量保证期内应当为采购人提供以下技术支持和服务：</w:t>
      </w:r>
    </w:p>
    <w:p w14:paraId="037E8A95">
      <w:pPr>
        <w:spacing w:line="360" w:lineRule="auto"/>
        <w:rPr>
          <w:color w:val="auto"/>
          <w:szCs w:val="21"/>
          <w:highlight w:val="none"/>
        </w:rPr>
      </w:pPr>
      <w:r>
        <w:rPr>
          <w:rFonts w:hint="eastAsia"/>
          <w:color w:val="auto"/>
          <w:szCs w:val="21"/>
          <w:highlight w:val="none"/>
        </w:rPr>
        <w:t>6.1.1电话咨询</w:t>
      </w:r>
    </w:p>
    <w:p w14:paraId="1499D14B">
      <w:pPr>
        <w:spacing w:line="360" w:lineRule="auto"/>
        <w:rPr>
          <w:color w:val="auto"/>
          <w:szCs w:val="21"/>
          <w:highlight w:val="none"/>
        </w:rPr>
      </w:pPr>
      <w:r>
        <w:rPr>
          <w:rFonts w:hint="eastAsia"/>
          <w:color w:val="auto"/>
          <w:szCs w:val="21"/>
          <w:highlight w:val="none"/>
        </w:rPr>
        <w:t>成交供应商应当为采购人提供技术援助电话，解答采购人在使用中遇到的问题，及时为采购人提出解决问题的建议。</w:t>
      </w:r>
    </w:p>
    <w:p w14:paraId="6AE59A32">
      <w:pPr>
        <w:spacing w:line="360" w:lineRule="auto"/>
        <w:rPr>
          <w:color w:val="auto"/>
          <w:szCs w:val="21"/>
          <w:highlight w:val="none"/>
        </w:rPr>
      </w:pPr>
      <w:r>
        <w:rPr>
          <w:rFonts w:hint="eastAsia"/>
          <w:color w:val="auto"/>
          <w:szCs w:val="21"/>
          <w:highlight w:val="none"/>
        </w:rPr>
        <w:t>6.1.2现场响应</w:t>
      </w:r>
    </w:p>
    <w:p w14:paraId="7A54E59C">
      <w:pPr>
        <w:spacing w:line="360" w:lineRule="auto"/>
        <w:rPr>
          <w:color w:val="auto"/>
          <w:szCs w:val="21"/>
          <w:highlight w:val="none"/>
        </w:rPr>
      </w:pPr>
      <w:r>
        <w:rPr>
          <w:rFonts w:hint="eastAsia"/>
          <w:color w:val="auto"/>
          <w:szCs w:val="21"/>
          <w:highlight w:val="none"/>
        </w:rPr>
        <w:t>采购人遇到使用或技术问题，电话咨询不能解决的，成交供应商应在2小时内到达现场进行处理，到达现场后2小时内排除故障，恢复正常使用。</w:t>
      </w:r>
    </w:p>
    <w:p w14:paraId="395DA9D6">
      <w:pPr>
        <w:spacing w:line="360" w:lineRule="auto"/>
        <w:rPr>
          <w:color w:val="auto"/>
          <w:szCs w:val="21"/>
          <w:highlight w:val="none"/>
        </w:rPr>
      </w:pPr>
      <w:r>
        <w:rPr>
          <w:rFonts w:hint="eastAsia"/>
          <w:color w:val="auto"/>
          <w:szCs w:val="21"/>
          <w:highlight w:val="none"/>
        </w:rPr>
        <w:t>6.1.3技术升级</w:t>
      </w:r>
    </w:p>
    <w:p w14:paraId="11CC857B">
      <w:pPr>
        <w:spacing w:line="360" w:lineRule="auto"/>
        <w:rPr>
          <w:color w:val="auto"/>
          <w:szCs w:val="21"/>
          <w:highlight w:val="none"/>
        </w:rPr>
      </w:pPr>
      <w:r>
        <w:rPr>
          <w:rFonts w:hint="eastAsia"/>
          <w:color w:val="auto"/>
          <w:szCs w:val="21"/>
          <w:highlight w:val="none"/>
        </w:rPr>
        <w:t>在质保期内，如果成交供应商的产品或服务升级，成交供应商应及时通知采购人，如采购人有相应要求，成交供应商应对采购人购买的产品或服务进行升级。</w:t>
      </w:r>
    </w:p>
    <w:p w14:paraId="7F5F5F2E">
      <w:pPr>
        <w:spacing w:line="360" w:lineRule="auto"/>
        <w:rPr>
          <w:color w:val="auto"/>
          <w:szCs w:val="21"/>
          <w:highlight w:val="none"/>
        </w:rPr>
      </w:pPr>
      <w:r>
        <w:rPr>
          <w:rFonts w:hint="eastAsia"/>
          <w:color w:val="auto"/>
          <w:szCs w:val="21"/>
          <w:highlight w:val="none"/>
        </w:rPr>
        <w:t>7.培训</w:t>
      </w:r>
    </w:p>
    <w:p w14:paraId="27032E7C">
      <w:pPr>
        <w:spacing w:line="360" w:lineRule="auto"/>
        <w:rPr>
          <w:color w:val="auto"/>
          <w:szCs w:val="21"/>
          <w:highlight w:val="none"/>
        </w:rPr>
      </w:pP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5DB608F9">
      <w:pPr>
        <w:spacing w:line="360" w:lineRule="auto"/>
        <w:rPr>
          <w:color w:val="auto"/>
          <w:szCs w:val="21"/>
          <w:highlight w:val="none"/>
        </w:rPr>
      </w:pPr>
      <w:r>
        <w:rPr>
          <w:rFonts w:hint="eastAsia"/>
          <w:color w:val="auto"/>
          <w:szCs w:val="21"/>
          <w:highlight w:val="none"/>
        </w:rPr>
        <w:t>8.付款方式、时间及条件</w:t>
      </w:r>
    </w:p>
    <w:p w14:paraId="0F10FB65">
      <w:pPr>
        <w:spacing w:line="360" w:lineRule="auto"/>
        <w:rPr>
          <w:color w:val="auto"/>
          <w:szCs w:val="21"/>
          <w:highlight w:val="none"/>
        </w:rPr>
      </w:pPr>
      <w:r>
        <w:rPr>
          <w:rFonts w:hint="eastAsia"/>
          <w:color w:val="auto"/>
          <w:szCs w:val="21"/>
          <w:highlight w:val="none"/>
        </w:rPr>
        <w:t>详见采购文件合同主要条款格式部分</w:t>
      </w:r>
    </w:p>
    <w:p w14:paraId="5DBA3229">
      <w:pPr>
        <w:spacing w:line="360" w:lineRule="auto"/>
        <w:rPr>
          <w:color w:val="auto"/>
          <w:szCs w:val="21"/>
          <w:highlight w:val="none"/>
        </w:rPr>
      </w:pPr>
      <w:r>
        <w:rPr>
          <w:rFonts w:hint="eastAsia"/>
          <w:color w:val="auto"/>
          <w:szCs w:val="21"/>
          <w:highlight w:val="none"/>
        </w:rPr>
        <w:t>9.履约保证金</w:t>
      </w:r>
    </w:p>
    <w:p w14:paraId="37485826">
      <w:pPr>
        <w:spacing w:line="360" w:lineRule="auto"/>
        <w:rPr>
          <w:color w:val="auto"/>
          <w:szCs w:val="21"/>
          <w:highlight w:val="none"/>
        </w:rPr>
      </w:pPr>
      <w:r>
        <w:rPr>
          <w:rFonts w:hint="eastAsia"/>
          <w:color w:val="auto"/>
          <w:szCs w:val="21"/>
          <w:highlight w:val="none"/>
        </w:rPr>
        <w:t>详见采购文件合同主要条款格式部分</w:t>
      </w:r>
    </w:p>
    <w:p w14:paraId="122122DA">
      <w:pPr>
        <w:spacing w:line="360" w:lineRule="auto"/>
        <w:rPr>
          <w:color w:val="auto"/>
          <w:szCs w:val="21"/>
          <w:highlight w:val="none"/>
        </w:rPr>
      </w:pPr>
      <w:r>
        <w:rPr>
          <w:rFonts w:hint="eastAsia"/>
          <w:color w:val="auto"/>
          <w:szCs w:val="21"/>
          <w:highlight w:val="none"/>
        </w:rPr>
        <w:t>10.包装和运输要求</w:t>
      </w:r>
    </w:p>
    <w:p w14:paraId="53B47E13">
      <w:pPr>
        <w:spacing w:line="360" w:lineRule="auto"/>
        <w:rPr>
          <w:color w:val="auto"/>
          <w:szCs w:val="21"/>
          <w:highlight w:val="none"/>
        </w:rPr>
      </w:pPr>
      <w:r>
        <w:rPr>
          <w:rFonts w:hint="eastAsia"/>
          <w:color w:val="auto"/>
          <w:szCs w:val="21"/>
          <w:highlight w:val="none"/>
        </w:rPr>
        <w:t>根据《财政部等三部门联合印发商品包装和快递包装政府采购需求标准（试行）》财办库</w:t>
      </w:r>
      <w:r>
        <w:rPr>
          <w:rFonts w:hint="eastAsia"/>
          <w:color w:val="auto"/>
          <w:szCs w:val="21"/>
          <w:highlight w:val="none"/>
          <w:lang w:eastAsia="zh-CN"/>
        </w:rPr>
        <w:t>〔2020〕123号</w:t>
      </w:r>
      <w:r>
        <w:rPr>
          <w:rFonts w:hint="eastAsia"/>
          <w:color w:val="auto"/>
          <w:szCs w:val="21"/>
          <w:highlight w:val="none"/>
        </w:rPr>
        <w:t>文规定，若响应产品使用塑料、纸质、木质等包装材料时应满足《商品包装政府采购需求标准（试行）》要求，若响应产品需要快递包装，快递封装材料应满足《快递包装政府采购需求标准（试行）》要求。</w:t>
      </w:r>
    </w:p>
    <w:p w14:paraId="07BB7317">
      <w:pPr>
        <w:spacing w:line="360" w:lineRule="auto"/>
        <w:rPr>
          <w:color w:val="auto"/>
          <w:szCs w:val="21"/>
          <w:highlight w:val="none"/>
        </w:rPr>
      </w:pPr>
      <w:r>
        <w:rPr>
          <w:rFonts w:hint="eastAsia"/>
          <w:color w:val="auto"/>
          <w:szCs w:val="21"/>
          <w:highlight w:val="none"/>
        </w:rPr>
        <w:t>运输要求详见采购文件合同主要条款格式部分。</w:t>
      </w:r>
    </w:p>
    <w:p w14:paraId="374479E8">
      <w:pPr>
        <w:spacing w:line="360" w:lineRule="auto"/>
        <w:rPr>
          <w:color w:val="auto"/>
          <w:szCs w:val="21"/>
          <w:highlight w:val="none"/>
        </w:rPr>
      </w:pPr>
      <w:r>
        <w:rPr>
          <w:rFonts w:hint="eastAsia"/>
          <w:color w:val="auto"/>
          <w:szCs w:val="21"/>
          <w:highlight w:val="none"/>
        </w:rPr>
        <w:t>11.售后服务</w:t>
      </w:r>
    </w:p>
    <w:p w14:paraId="127F17FB">
      <w:pPr>
        <w:spacing w:line="360" w:lineRule="auto"/>
        <w:rPr>
          <w:color w:val="auto"/>
          <w:szCs w:val="21"/>
          <w:highlight w:val="none"/>
        </w:rPr>
      </w:pPr>
      <w:r>
        <w:rPr>
          <w:rFonts w:hint="eastAsia"/>
          <w:color w:val="auto"/>
          <w:szCs w:val="21"/>
          <w:highlight w:val="none"/>
        </w:rPr>
        <w:t>11.1成交供应商应按照国家有关法律法规和“三包”规定以及采购文件、响应文件、合同及附件的规定，为采购人提供售后服务。成交供应商承诺质量保证期优于国家“三包”规定的，或优于采购文件规定的，按成交供应商实际承诺执行。</w:t>
      </w:r>
    </w:p>
    <w:p w14:paraId="274F17B1">
      <w:pPr>
        <w:spacing w:line="360" w:lineRule="auto"/>
        <w:rPr>
          <w:b/>
          <w:bCs/>
          <w:color w:val="auto"/>
          <w:sz w:val="22"/>
          <w:szCs w:val="22"/>
          <w:highlight w:val="none"/>
        </w:rPr>
      </w:pPr>
      <w:r>
        <w:rPr>
          <w:rFonts w:hint="eastAsia"/>
          <w:b/>
          <w:bCs/>
          <w:color w:val="auto"/>
          <w:sz w:val="22"/>
          <w:szCs w:val="22"/>
          <w:highlight w:val="none"/>
        </w:rPr>
        <w:t>11.2成交供应商应明确承诺采购文件采购需求部分如无特别要求，则质保期为自验收合格之日起</w:t>
      </w:r>
      <w:r>
        <w:rPr>
          <w:rFonts w:hint="eastAsia"/>
          <w:b/>
          <w:bCs/>
          <w:color w:val="auto"/>
          <w:sz w:val="22"/>
          <w:szCs w:val="22"/>
          <w:highlight w:val="none"/>
          <w:lang w:val="en-US" w:eastAsia="zh-CN"/>
        </w:rPr>
        <w:t>不少于</w:t>
      </w:r>
      <w:r>
        <w:rPr>
          <w:rFonts w:hint="eastAsia"/>
          <w:b/>
          <w:bCs/>
          <w:color w:val="auto"/>
          <w:sz w:val="22"/>
          <w:szCs w:val="22"/>
          <w:highlight w:val="none"/>
        </w:rPr>
        <w:t>一年，采购文件采购需求部分有特别要求的则以技术参数要求表为准。</w:t>
      </w:r>
    </w:p>
    <w:p w14:paraId="06E46D67">
      <w:pPr>
        <w:spacing w:line="360" w:lineRule="auto"/>
        <w:rPr>
          <w:color w:val="auto"/>
          <w:szCs w:val="21"/>
          <w:highlight w:val="none"/>
        </w:rPr>
      </w:pPr>
      <w:r>
        <w:rPr>
          <w:rFonts w:hint="eastAsia"/>
          <w:color w:val="auto"/>
          <w:szCs w:val="21"/>
          <w:highlight w:val="none"/>
        </w:rPr>
        <w:t>11.3成交后产品或服务由制造商（指产品生产制造商或服务实际提供人）负责质保期内的售后服务的，供应商应当在响应文件中予以明确说明，制造商提供的售后服务也应达到采购文件要求的标准，相关的售后服务费用由供应商向制造商支付，供应商可视情况在响应报价中予以考虑，采购人不予另行支付。</w:t>
      </w:r>
    </w:p>
    <w:p w14:paraId="27D5A92B">
      <w:pPr>
        <w:spacing w:line="360" w:lineRule="auto"/>
        <w:rPr>
          <w:color w:val="auto"/>
          <w:szCs w:val="21"/>
          <w:highlight w:val="none"/>
        </w:rPr>
      </w:pPr>
      <w:r>
        <w:rPr>
          <w:rFonts w:hint="eastAsia"/>
          <w:color w:val="auto"/>
          <w:szCs w:val="21"/>
          <w:highlight w:val="none"/>
        </w:rPr>
        <w:t>11.4成交供应商售后服务中，维修使用的备品备件及易损件应为原厂配件，未经采购人同意不得使用非原厂配件，质保期内维修使用的备品备件及易损件的费用，由成交供应商承担。质量保证期过后，采购人需要继续由原成交供应商提供售后服务的，该成交供应商应以优惠价格提供售后服务，常用的、容易损坏的备品备件及易损件的优惠价格清单须在响应文件中列出。</w:t>
      </w:r>
    </w:p>
    <w:p w14:paraId="413AF039">
      <w:pPr>
        <w:spacing w:line="360" w:lineRule="auto"/>
        <w:rPr>
          <w:color w:val="auto"/>
          <w:szCs w:val="21"/>
          <w:highlight w:val="none"/>
        </w:rPr>
      </w:pPr>
      <w:r>
        <w:rPr>
          <w:rFonts w:hint="eastAsia"/>
          <w:color w:val="auto"/>
          <w:szCs w:val="21"/>
          <w:highlight w:val="none"/>
        </w:rPr>
        <w:t>11.5质量保证期内的费用</w:t>
      </w:r>
    </w:p>
    <w:p w14:paraId="660684E4">
      <w:pPr>
        <w:spacing w:line="360" w:lineRule="auto"/>
        <w:rPr>
          <w:color w:val="auto"/>
          <w:szCs w:val="21"/>
          <w:highlight w:val="none"/>
        </w:rPr>
      </w:pPr>
      <w:r>
        <w:rPr>
          <w:rFonts w:hint="eastAsia"/>
          <w:color w:val="auto"/>
          <w:szCs w:val="21"/>
          <w:highlight w:val="none"/>
        </w:rPr>
        <w:t>质量保证期内供应商为采购人所提供的所有技术支持和服务费用以及上门维修、更换零部件费用均包含在响应报价中，采购人不再另行支付。</w:t>
      </w:r>
    </w:p>
    <w:p w14:paraId="6DA28FF6">
      <w:pPr>
        <w:spacing w:line="360" w:lineRule="auto"/>
        <w:rPr>
          <w:color w:val="auto"/>
          <w:szCs w:val="21"/>
          <w:highlight w:val="none"/>
        </w:rPr>
      </w:pPr>
      <w:r>
        <w:rPr>
          <w:rFonts w:hint="eastAsia"/>
          <w:color w:val="auto"/>
          <w:szCs w:val="21"/>
          <w:highlight w:val="none"/>
        </w:rPr>
        <w:t>11.6质保期过后的服务要求</w:t>
      </w:r>
    </w:p>
    <w:p w14:paraId="395C7384">
      <w:pPr>
        <w:spacing w:line="360" w:lineRule="auto"/>
        <w:rPr>
          <w:rFonts w:hint="eastAsia"/>
          <w:color w:val="auto"/>
          <w:szCs w:val="21"/>
          <w:highlight w:val="none"/>
        </w:rPr>
      </w:pPr>
      <w:r>
        <w:rPr>
          <w:rFonts w:hint="eastAsia"/>
          <w:color w:val="auto"/>
          <w:szCs w:val="21"/>
          <w:highlight w:val="none"/>
        </w:rPr>
        <w:t>电话咨询：产品质量保证期过后，成交供应商应当为采购人提供技术援助电话，解答采购人在使用中遇到的问题，及时为采购人提出解决问题的建议，并不予收费。</w:t>
      </w:r>
    </w:p>
    <w:p w14:paraId="088A853C">
      <w:pPr>
        <w:spacing w:line="360" w:lineRule="auto"/>
        <w:rPr>
          <w:color w:val="auto"/>
          <w:szCs w:val="21"/>
          <w:highlight w:val="none"/>
        </w:rPr>
      </w:pPr>
      <w:r>
        <w:rPr>
          <w:rFonts w:hint="eastAsia"/>
          <w:color w:val="auto"/>
          <w:szCs w:val="21"/>
          <w:highlight w:val="none"/>
        </w:rPr>
        <w:t>12.保险</w:t>
      </w:r>
    </w:p>
    <w:p w14:paraId="1FF506FD">
      <w:pPr>
        <w:spacing w:line="360" w:lineRule="auto"/>
        <w:rPr>
          <w:color w:val="auto"/>
          <w:szCs w:val="21"/>
          <w:highlight w:val="none"/>
        </w:rPr>
      </w:pPr>
      <w:r>
        <w:rPr>
          <w:rFonts w:hint="eastAsia"/>
          <w:color w:val="auto"/>
          <w:szCs w:val="21"/>
          <w:highlight w:val="none"/>
        </w:rPr>
        <w:t>供应商负责办理运输和保险，将货物运抵交货地点。与运输、保险相关的费用由供应商承担。</w:t>
      </w:r>
    </w:p>
    <w:p w14:paraId="393367AC">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5CADAF6D">
      <w:pPr>
        <w:rPr>
          <w:color w:val="auto"/>
          <w:sz w:val="2"/>
          <w:szCs w:val="2"/>
          <w:highlight w:val="none"/>
        </w:rPr>
      </w:pPr>
      <w:r>
        <w:rPr>
          <w:rFonts w:hint="eastAsia"/>
          <w:color w:val="auto"/>
          <w:szCs w:val="21"/>
          <w:highlight w:val="none"/>
        </w:rPr>
        <w:t>无</w:t>
      </w:r>
    </w:p>
    <w:p w14:paraId="547F94A7">
      <w:pPr>
        <w:spacing w:line="528" w:lineRule="exact"/>
        <w:ind w:firstLine="210" w:firstLineChars="100"/>
        <w:rPr>
          <w:color w:val="auto"/>
          <w:sz w:val="28"/>
          <w:szCs w:val="28"/>
          <w:highlight w:val="none"/>
        </w:rPr>
      </w:pPr>
      <w:r>
        <w:rPr>
          <w:color w:val="auto"/>
          <w:szCs w:val="21"/>
          <w:highlight w:val="none"/>
        </w:rPr>
        <w:br w:type="page"/>
      </w:r>
      <w:r>
        <w:rPr>
          <w:rFonts w:hint="eastAsia"/>
          <w:color w:val="auto"/>
          <w:sz w:val="28"/>
          <w:szCs w:val="28"/>
          <w:highlight w:val="none"/>
        </w:rPr>
        <w:t xml:space="preserve">附件1： </w:t>
      </w:r>
      <w:r>
        <w:rPr>
          <w:color w:val="auto"/>
          <w:sz w:val="28"/>
          <w:szCs w:val="28"/>
          <w:highlight w:val="none"/>
        </w:rPr>
        <w:t xml:space="preserve">                              </w:t>
      </w:r>
    </w:p>
    <w:p w14:paraId="0093BF66">
      <w:pPr>
        <w:spacing w:line="528" w:lineRule="exact"/>
        <w:ind w:firstLine="3500" w:firstLineChars="1250"/>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F7AEA61">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1FD613F3">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1E8DE4A8">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3EE4E584">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659650D0">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4CD8EB20">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3D555BC8">
            <w:pPr>
              <w:widowControl/>
              <w:jc w:val="left"/>
              <w:rPr>
                <w:color w:val="auto"/>
                <w:szCs w:val="21"/>
                <w:highlight w:val="none"/>
              </w:rPr>
            </w:pPr>
            <w:r>
              <w:rPr>
                <w:rFonts w:hint="eastAsia"/>
                <w:color w:val="auto"/>
                <w:szCs w:val="21"/>
                <w:highlight w:val="none"/>
              </w:rPr>
              <w:t>微型</w:t>
            </w:r>
          </w:p>
        </w:tc>
      </w:tr>
      <w:tr w14:paraId="035EB87E">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E5CFF77">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401FC64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3DCE42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DAA6129">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4D7ECB43">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1E5F5F8B">
            <w:pPr>
              <w:widowControl/>
              <w:jc w:val="left"/>
              <w:rPr>
                <w:color w:val="auto"/>
                <w:szCs w:val="21"/>
                <w:highlight w:val="none"/>
              </w:rPr>
            </w:pPr>
            <w:r>
              <w:rPr>
                <w:rFonts w:hint="eastAsia"/>
                <w:color w:val="auto"/>
                <w:szCs w:val="21"/>
                <w:highlight w:val="none"/>
              </w:rPr>
              <w:t>Y＜50</w:t>
            </w:r>
          </w:p>
        </w:tc>
      </w:tr>
      <w:tr w14:paraId="513F3A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9A62F4">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68012D0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7A3146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888904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178235B">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6969D1A">
            <w:pPr>
              <w:widowControl/>
              <w:jc w:val="left"/>
              <w:rPr>
                <w:color w:val="auto"/>
                <w:szCs w:val="21"/>
                <w:highlight w:val="none"/>
              </w:rPr>
            </w:pPr>
            <w:r>
              <w:rPr>
                <w:rFonts w:hint="eastAsia"/>
                <w:color w:val="auto"/>
                <w:szCs w:val="21"/>
                <w:highlight w:val="none"/>
              </w:rPr>
              <w:t>X＜20</w:t>
            </w:r>
          </w:p>
        </w:tc>
      </w:tr>
      <w:tr w14:paraId="1822EAE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E5847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2E5F39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AFE956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DCF53AE">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1F612C9B">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201026D9">
            <w:pPr>
              <w:widowControl/>
              <w:jc w:val="left"/>
              <w:rPr>
                <w:color w:val="auto"/>
                <w:szCs w:val="21"/>
                <w:highlight w:val="none"/>
              </w:rPr>
            </w:pPr>
            <w:r>
              <w:rPr>
                <w:rFonts w:hint="eastAsia"/>
                <w:color w:val="auto"/>
                <w:szCs w:val="21"/>
                <w:highlight w:val="none"/>
              </w:rPr>
              <w:t>Y＜300</w:t>
            </w:r>
          </w:p>
        </w:tc>
      </w:tr>
      <w:tr w14:paraId="423103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0CAD0A">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7101920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3D3969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72E895">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2A0D59C1">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7CB718EF">
            <w:pPr>
              <w:widowControl/>
              <w:jc w:val="left"/>
              <w:rPr>
                <w:color w:val="auto"/>
                <w:szCs w:val="21"/>
                <w:highlight w:val="none"/>
              </w:rPr>
            </w:pPr>
            <w:r>
              <w:rPr>
                <w:rFonts w:hint="eastAsia"/>
                <w:color w:val="auto"/>
                <w:szCs w:val="21"/>
                <w:highlight w:val="none"/>
              </w:rPr>
              <w:t>Y＜300</w:t>
            </w:r>
          </w:p>
        </w:tc>
      </w:tr>
      <w:tr w14:paraId="6481A0A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1DC2D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E0D9E54">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54B505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627A66A">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70095A12">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3A01CFE1">
            <w:pPr>
              <w:widowControl/>
              <w:jc w:val="left"/>
              <w:rPr>
                <w:color w:val="auto"/>
                <w:szCs w:val="21"/>
                <w:highlight w:val="none"/>
              </w:rPr>
            </w:pPr>
            <w:r>
              <w:rPr>
                <w:rFonts w:hint="eastAsia"/>
                <w:color w:val="auto"/>
                <w:szCs w:val="21"/>
                <w:highlight w:val="none"/>
              </w:rPr>
              <w:t>Z＜300</w:t>
            </w:r>
          </w:p>
        </w:tc>
      </w:tr>
      <w:tr w14:paraId="7E594F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BE54FC8">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1E92404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841CFD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7F864D7">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DD9B114">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746E2FF6">
            <w:pPr>
              <w:widowControl/>
              <w:jc w:val="left"/>
              <w:rPr>
                <w:color w:val="auto"/>
                <w:szCs w:val="21"/>
                <w:highlight w:val="none"/>
              </w:rPr>
            </w:pPr>
            <w:r>
              <w:rPr>
                <w:rFonts w:hint="eastAsia"/>
                <w:color w:val="auto"/>
                <w:szCs w:val="21"/>
                <w:highlight w:val="none"/>
              </w:rPr>
              <w:t>X＜5</w:t>
            </w:r>
          </w:p>
        </w:tc>
      </w:tr>
      <w:tr w14:paraId="3D0983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859546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3D59E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62E61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8B60D2">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32A1B9EF">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7346F989">
            <w:pPr>
              <w:widowControl/>
              <w:jc w:val="left"/>
              <w:rPr>
                <w:color w:val="auto"/>
                <w:szCs w:val="21"/>
                <w:highlight w:val="none"/>
              </w:rPr>
            </w:pPr>
            <w:r>
              <w:rPr>
                <w:rFonts w:hint="eastAsia"/>
                <w:color w:val="auto"/>
                <w:szCs w:val="21"/>
                <w:highlight w:val="none"/>
              </w:rPr>
              <w:t>Y＜1000</w:t>
            </w:r>
          </w:p>
        </w:tc>
      </w:tr>
      <w:tr w14:paraId="7316FB7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9C7630D">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5386059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1DA058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91044CF">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7ECC0195">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3D50C8FC">
            <w:pPr>
              <w:widowControl/>
              <w:jc w:val="left"/>
              <w:rPr>
                <w:color w:val="auto"/>
                <w:szCs w:val="21"/>
                <w:highlight w:val="none"/>
              </w:rPr>
            </w:pPr>
            <w:r>
              <w:rPr>
                <w:rFonts w:hint="eastAsia"/>
                <w:color w:val="auto"/>
                <w:szCs w:val="21"/>
                <w:highlight w:val="none"/>
              </w:rPr>
              <w:t>X＜10</w:t>
            </w:r>
          </w:p>
        </w:tc>
      </w:tr>
      <w:tr w14:paraId="28001DD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0F62B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5138AB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DF7700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5DDCE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21E61BD8">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9BB83C3">
            <w:pPr>
              <w:widowControl/>
              <w:jc w:val="left"/>
              <w:rPr>
                <w:color w:val="auto"/>
                <w:szCs w:val="21"/>
                <w:highlight w:val="none"/>
              </w:rPr>
            </w:pPr>
            <w:r>
              <w:rPr>
                <w:rFonts w:hint="eastAsia"/>
                <w:color w:val="auto"/>
                <w:szCs w:val="21"/>
                <w:highlight w:val="none"/>
              </w:rPr>
              <w:t>Y＜100</w:t>
            </w:r>
          </w:p>
        </w:tc>
      </w:tr>
      <w:tr w14:paraId="7FF7413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03C036">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6234FB9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AE2932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006598E">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B86B7C5">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195A1F8">
            <w:pPr>
              <w:widowControl/>
              <w:jc w:val="left"/>
              <w:rPr>
                <w:color w:val="auto"/>
                <w:szCs w:val="21"/>
                <w:highlight w:val="none"/>
              </w:rPr>
            </w:pPr>
            <w:r>
              <w:rPr>
                <w:rFonts w:hint="eastAsia"/>
                <w:color w:val="auto"/>
                <w:szCs w:val="21"/>
                <w:highlight w:val="none"/>
              </w:rPr>
              <w:t>X＜20</w:t>
            </w:r>
          </w:p>
        </w:tc>
      </w:tr>
      <w:tr w14:paraId="3B6CE62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4AA1726">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70333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C7E1FE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E5C44FE">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3974BF3">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07579D3F">
            <w:pPr>
              <w:widowControl/>
              <w:jc w:val="left"/>
              <w:rPr>
                <w:color w:val="auto"/>
                <w:szCs w:val="21"/>
                <w:highlight w:val="none"/>
              </w:rPr>
            </w:pPr>
            <w:r>
              <w:rPr>
                <w:rFonts w:hint="eastAsia"/>
                <w:color w:val="auto"/>
                <w:szCs w:val="21"/>
                <w:highlight w:val="none"/>
              </w:rPr>
              <w:t>Y＜200</w:t>
            </w:r>
          </w:p>
        </w:tc>
      </w:tr>
      <w:tr w14:paraId="45BE630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1A8F63">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484898D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BA5C0F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4C022D7">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2A35B3DA">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34AAF8EC">
            <w:pPr>
              <w:widowControl/>
              <w:jc w:val="left"/>
              <w:rPr>
                <w:color w:val="auto"/>
                <w:szCs w:val="21"/>
                <w:highlight w:val="none"/>
              </w:rPr>
            </w:pPr>
            <w:r>
              <w:rPr>
                <w:rFonts w:hint="eastAsia"/>
                <w:color w:val="auto"/>
                <w:szCs w:val="21"/>
                <w:highlight w:val="none"/>
              </w:rPr>
              <w:t>X＜20</w:t>
            </w:r>
          </w:p>
        </w:tc>
      </w:tr>
      <w:tr w14:paraId="04137AA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A67CB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C45A19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B448FC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F3AE496">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66E8E329">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410FD30">
            <w:pPr>
              <w:widowControl/>
              <w:jc w:val="left"/>
              <w:rPr>
                <w:color w:val="auto"/>
                <w:szCs w:val="21"/>
                <w:highlight w:val="none"/>
              </w:rPr>
            </w:pPr>
            <w:r>
              <w:rPr>
                <w:rFonts w:hint="eastAsia"/>
                <w:color w:val="auto"/>
                <w:szCs w:val="21"/>
                <w:highlight w:val="none"/>
              </w:rPr>
              <w:t>Y＜100</w:t>
            </w:r>
          </w:p>
        </w:tc>
      </w:tr>
      <w:tr w14:paraId="5BAD83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2ECE235">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A9459E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12FCF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9BA6E4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B1D2C23">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14637C3A">
            <w:pPr>
              <w:widowControl/>
              <w:jc w:val="left"/>
              <w:rPr>
                <w:color w:val="auto"/>
                <w:szCs w:val="21"/>
                <w:highlight w:val="none"/>
              </w:rPr>
            </w:pPr>
            <w:r>
              <w:rPr>
                <w:rFonts w:hint="eastAsia"/>
                <w:color w:val="auto"/>
                <w:szCs w:val="21"/>
                <w:highlight w:val="none"/>
              </w:rPr>
              <w:t>X＜20</w:t>
            </w:r>
          </w:p>
        </w:tc>
      </w:tr>
      <w:tr w14:paraId="257662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DDC0F4">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2EB0C9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087FAC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72D4BED">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774A6116">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8159202">
            <w:pPr>
              <w:widowControl/>
              <w:jc w:val="left"/>
              <w:rPr>
                <w:color w:val="auto"/>
                <w:szCs w:val="21"/>
                <w:highlight w:val="none"/>
              </w:rPr>
            </w:pPr>
            <w:r>
              <w:rPr>
                <w:rFonts w:hint="eastAsia"/>
                <w:color w:val="auto"/>
                <w:szCs w:val="21"/>
                <w:highlight w:val="none"/>
              </w:rPr>
              <w:t>Y＜100</w:t>
            </w:r>
          </w:p>
        </w:tc>
      </w:tr>
      <w:tr w14:paraId="78918C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DFA4345">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7DCDBD4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DBBBC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E79B4C0">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7C19A9A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E6F8867">
            <w:pPr>
              <w:widowControl/>
              <w:jc w:val="left"/>
              <w:rPr>
                <w:color w:val="auto"/>
                <w:szCs w:val="21"/>
                <w:highlight w:val="none"/>
              </w:rPr>
            </w:pPr>
            <w:r>
              <w:rPr>
                <w:rFonts w:hint="eastAsia"/>
                <w:color w:val="auto"/>
                <w:szCs w:val="21"/>
                <w:highlight w:val="none"/>
              </w:rPr>
              <w:t>X＜10</w:t>
            </w:r>
          </w:p>
        </w:tc>
      </w:tr>
      <w:tr w14:paraId="3C781C0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9F7FC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80C603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55F52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B22FCB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1CC32963">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B59DCB3">
            <w:pPr>
              <w:widowControl/>
              <w:jc w:val="left"/>
              <w:rPr>
                <w:color w:val="auto"/>
                <w:szCs w:val="21"/>
                <w:highlight w:val="none"/>
              </w:rPr>
            </w:pPr>
            <w:r>
              <w:rPr>
                <w:rFonts w:hint="eastAsia"/>
                <w:color w:val="auto"/>
                <w:szCs w:val="21"/>
                <w:highlight w:val="none"/>
              </w:rPr>
              <w:t>Y＜100</w:t>
            </w:r>
          </w:p>
        </w:tc>
      </w:tr>
      <w:tr w14:paraId="52E3D2A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6EEC6C">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3E7C902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252E3A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8796A3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7B23D2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507406A">
            <w:pPr>
              <w:widowControl/>
              <w:jc w:val="left"/>
              <w:rPr>
                <w:color w:val="auto"/>
                <w:szCs w:val="21"/>
                <w:highlight w:val="none"/>
              </w:rPr>
            </w:pPr>
            <w:r>
              <w:rPr>
                <w:rFonts w:hint="eastAsia"/>
                <w:color w:val="auto"/>
                <w:szCs w:val="21"/>
                <w:highlight w:val="none"/>
              </w:rPr>
              <w:t>X＜10</w:t>
            </w:r>
          </w:p>
        </w:tc>
      </w:tr>
      <w:tr w14:paraId="2C6399E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08A890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63244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D10680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B7FAD07">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526C71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D0DB962">
            <w:pPr>
              <w:widowControl/>
              <w:jc w:val="left"/>
              <w:rPr>
                <w:color w:val="auto"/>
                <w:szCs w:val="21"/>
                <w:highlight w:val="none"/>
              </w:rPr>
            </w:pPr>
            <w:r>
              <w:rPr>
                <w:rFonts w:hint="eastAsia"/>
                <w:color w:val="auto"/>
                <w:szCs w:val="21"/>
                <w:highlight w:val="none"/>
              </w:rPr>
              <w:t>Y＜100</w:t>
            </w:r>
          </w:p>
        </w:tc>
      </w:tr>
      <w:tr w14:paraId="6C0FD26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EC7B38">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3F65A6D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6C5FD7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6B852E0">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78D0D18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4854A79D">
            <w:pPr>
              <w:widowControl/>
              <w:jc w:val="left"/>
              <w:rPr>
                <w:color w:val="auto"/>
                <w:szCs w:val="21"/>
                <w:highlight w:val="none"/>
              </w:rPr>
            </w:pPr>
            <w:r>
              <w:rPr>
                <w:rFonts w:hint="eastAsia"/>
                <w:color w:val="auto"/>
                <w:szCs w:val="21"/>
                <w:highlight w:val="none"/>
              </w:rPr>
              <w:t>X＜10</w:t>
            </w:r>
          </w:p>
        </w:tc>
      </w:tr>
      <w:tr w14:paraId="4D6E192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A1CE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6B5613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CBDA75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ED3C7C2">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6A6F131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7A1E1A8">
            <w:pPr>
              <w:widowControl/>
              <w:jc w:val="left"/>
              <w:rPr>
                <w:color w:val="auto"/>
                <w:szCs w:val="21"/>
                <w:highlight w:val="none"/>
              </w:rPr>
            </w:pPr>
            <w:r>
              <w:rPr>
                <w:rFonts w:hint="eastAsia"/>
                <w:color w:val="auto"/>
                <w:szCs w:val="21"/>
                <w:highlight w:val="none"/>
              </w:rPr>
              <w:t>Y＜100</w:t>
            </w:r>
          </w:p>
        </w:tc>
      </w:tr>
      <w:tr w14:paraId="1591EA9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884558">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4707950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584608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744D8B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278F9F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1B7AC7A">
            <w:pPr>
              <w:widowControl/>
              <w:jc w:val="left"/>
              <w:rPr>
                <w:color w:val="auto"/>
                <w:szCs w:val="21"/>
                <w:highlight w:val="none"/>
              </w:rPr>
            </w:pPr>
            <w:r>
              <w:rPr>
                <w:rFonts w:hint="eastAsia"/>
                <w:color w:val="auto"/>
                <w:szCs w:val="21"/>
                <w:highlight w:val="none"/>
              </w:rPr>
              <w:t>X＜10</w:t>
            </w:r>
          </w:p>
        </w:tc>
      </w:tr>
      <w:tr w14:paraId="13CCD4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18D64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8473E6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6C90E1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ECFE153">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388B478A">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40C5375B">
            <w:pPr>
              <w:widowControl/>
              <w:jc w:val="left"/>
              <w:rPr>
                <w:color w:val="auto"/>
                <w:szCs w:val="21"/>
                <w:highlight w:val="none"/>
              </w:rPr>
            </w:pPr>
            <w:r>
              <w:rPr>
                <w:rFonts w:hint="eastAsia"/>
                <w:color w:val="auto"/>
                <w:szCs w:val="21"/>
                <w:highlight w:val="none"/>
              </w:rPr>
              <w:t>Y＜50</w:t>
            </w:r>
          </w:p>
        </w:tc>
      </w:tr>
      <w:tr w14:paraId="0772D0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87D68F2">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A7D264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0C3546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A27E6BA">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49FCB654">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3DEB7BC7">
            <w:pPr>
              <w:widowControl/>
              <w:jc w:val="left"/>
              <w:rPr>
                <w:color w:val="auto"/>
                <w:szCs w:val="21"/>
                <w:highlight w:val="none"/>
              </w:rPr>
            </w:pPr>
            <w:r>
              <w:rPr>
                <w:rFonts w:hint="eastAsia"/>
                <w:color w:val="auto"/>
                <w:szCs w:val="21"/>
                <w:highlight w:val="none"/>
              </w:rPr>
              <w:t>X＜100</w:t>
            </w:r>
          </w:p>
        </w:tc>
      </w:tr>
      <w:tr w14:paraId="7EAB121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E666241">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1AF5E7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F73CB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38965AC">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5D84ADFA">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2DA68051">
            <w:pPr>
              <w:widowControl/>
              <w:jc w:val="left"/>
              <w:rPr>
                <w:color w:val="auto"/>
                <w:szCs w:val="21"/>
                <w:highlight w:val="none"/>
              </w:rPr>
            </w:pPr>
            <w:r>
              <w:rPr>
                <w:rFonts w:hint="eastAsia"/>
                <w:color w:val="auto"/>
                <w:szCs w:val="21"/>
                <w:highlight w:val="none"/>
              </w:rPr>
              <w:t>Y＜2000</w:t>
            </w:r>
          </w:p>
        </w:tc>
      </w:tr>
      <w:tr w14:paraId="017B13C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09C7E29">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5A45345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BC5A0D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31EE82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C9092F0">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6F4C5439">
            <w:pPr>
              <w:widowControl/>
              <w:jc w:val="left"/>
              <w:rPr>
                <w:color w:val="auto"/>
                <w:szCs w:val="21"/>
                <w:highlight w:val="none"/>
              </w:rPr>
            </w:pPr>
            <w:r>
              <w:rPr>
                <w:rFonts w:hint="eastAsia"/>
                <w:color w:val="auto"/>
                <w:szCs w:val="21"/>
                <w:highlight w:val="none"/>
              </w:rPr>
              <w:t>X＜100</w:t>
            </w:r>
          </w:p>
        </w:tc>
      </w:tr>
      <w:tr w14:paraId="3A671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63440C5">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F144AE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9F9685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55D3779">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5B3E473">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26406449">
            <w:pPr>
              <w:widowControl/>
              <w:jc w:val="left"/>
              <w:rPr>
                <w:color w:val="auto"/>
                <w:szCs w:val="21"/>
                <w:highlight w:val="none"/>
              </w:rPr>
            </w:pPr>
            <w:r>
              <w:rPr>
                <w:rFonts w:hint="eastAsia"/>
                <w:color w:val="auto"/>
                <w:szCs w:val="21"/>
                <w:highlight w:val="none"/>
              </w:rPr>
              <w:t>Y＜500</w:t>
            </w:r>
          </w:p>
        </w:tc>
      </w:tr>
      <w:tr w14:paraId="40EBFC0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F753CA4">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7ADA89E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F43D64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D3839D2">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11025D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A66D4F0">
            <w:pPr>
              <w:widowControl/>
              <w:jc w:val="left"/>
              <w:rPr>
                <w:color w:val="auto"/>
                <w:szCs w:val="21"/>
                <w:highlight w:val="none"/>
              </w:rPr>
            </w:pPr>
            <w:r>
              <w:rPr>
                <w:rFonts w:hint="eastAsia"/>
                <w:color w:val="auto"/>
                <w:szCs w:val="21"/>
                <w:highlight w:val="none"/>
              </w:rPr>
              <w:t>X＜10</w:t>
            </w:r>
          </w:p>
        </w:tc>
      </w:tr>
      <w:tr w14:paraId="52F54A4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DD8D09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31C23A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3273099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E10CA71">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A67F98">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55C1A248">
            <w:pPr>
              <w:widowControl/>
              <w:jc w:val="left"/>
              <w:rPr>
                <w:color w:val="auto"/>
                <w:szCs w:val="21"/>
                <w:highlight w:val="none"/>
              </w:rPr>
            </w:pPr>
            <w:r>
              <w:rPr>
                <w:rFonts w:hint="eastAsia"/>
                <w:color w:val="auto"/>
                <w:szCs w:val="21"/>
                <w:highlight w:val="none"/>
              </w:rPr>
              <w:t>Y＜100</w:t>
            </w:r>
          </w:p>
        </w:tc>
      </w:tr>
      <w:tr w14:paraId="0BFCFB0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942CB06">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72A5F70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6FD581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5D8FAA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7436B27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8C6C526">
            <w:pPr>
              <w:widowControl/>
              <w:jc w:val="left"/>
              <w:rPr>
                <w:color w:val="auto"/>
                <w:szCs w:val="21"/>
                <w:highlight w:val="none"/>
              </w:rPr>
            </w:pPr>
            <w:r>
              <w:rPr>
                <w:rFonts w:hint="eastAsia"/>
                <w:color w:val="auto"/>
                <w:szCs w:val="21"/>
                <w:highlight w:val="none"/>
              </w:rPr>
              <w:t>X＜10</w:t>
            </w:r>
          </w:p>
        </w:tc>
      </w:tr>
    </w:tbl>
    <w:p w14:paraId="47310909">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p w14:paraId="39074AEC">
      <w:pPr>
        <w:spacing w:line="360" w:lineRule="auto"/>
        <w:rPr>
          <w:color w:val="auto"/>
          <w:sz w:val="28"/>
          <w:szCs w:val="28"/>
          <w:highlight w:val="none"/>
        </w:rPr>
      </w:pPr>
      <w:r>
        <w:rPr>
          <w:color w:val="auto"/>
          <w:szCs w:val="21"/>
          <w:highlight w:val="none"/>
        </w:rPr>
        <w:br w:type="page"/>
      </w:r>
      <w:bookmarkStart w:id="25" w:name="_Hlk132788258"/>
      <w:r>
        <w:rPr>
          <w:rFonts w:hint="eastAsia"/>
          <w:color w:val="auto"/>
          <w:sz w:val="28"/>
          <w:szCs w:val="28"/>
          <w:highlight w:val="none"/>
        </w:rPr>
        <w:t>附件2：</w:t>
      </w:r>
    </w:p>
    <w:p w14:paraId="3DC08069">
      <w:pPr>
        <w:spacing w:line="360" w:lineRule="auto"/>
        <w:rPr>
          <w:rFonts w:hint="eastAsia"/>
          <w:color w:val="auto"/>
          <w:szCs w:val="21"/>
          <w:highlight w:val="none"/>
        </w:rPr>
        <w:sectPr>
          <w:footerReference r:id="rId8" w:type="first"/>
          <w:headerReference r:id="rId7" w:type="default"/>
          <w:pgSz w:w="11906" w:h="16838"/>
          <w:pgMar w:top="851" w:right="1133" w:bottom="1246" w:left="1418" w:header="851" w:footer="797" w:gutter="0"/>
          <w:cols w:space="720" w:num="1"/>
          <w:docGrid w:linePitch="312" w:charSpace="0"/>
        </w:sectPr>
      </w:pPr>
      <w:r>
        <w:rPr>
          <w:color w:val="auto"/>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205105</wp:posOffset>
            </wp:positionV>
            <wp:extent cx="5573395" cy="8125460"/>
            <wp:effectExtent l="0" t="0" r="8255" b="8890"/>
            <wp:wrapSquare wrapText="bothSides"/>
            <wp:docPr id="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pic:cNvPicPr>
                      <a:picLocks noChangeAspect="1"/>
                    </pic:cNvPicPr>
                  </pic:nvPicPr>
                  <pic:blipFill>
                    <a:blip r:embed="rId24"/>
                    <a:stretch>
                      <a:fillRect/>
                    </a:stretch>
                  </pic:blipFill>
                  <pic:spPr>
                    <a:xfrm>
                      <a:off x="0" y="0"/>
                      <a:ext cx="5573395" cy="8125460"/>
                    </a:xfrm>
                    <a:prstGeom prst="rect">
                      <a:avLst/>
                    </a:prstGeom>
                    <a:noFill/>
                    <a:ln>
                      <a:noFill/>
                    </a:ln>
                  </pic:spPr>
                </pic:pic>
              </a:graphicData>
            </a:graphic>
          </wp:anchor>
        </w:drawing>
      </w:r>
      <w:bookmarkEnd w:id="25"/>
    </w:p>
    <w:bookmarkEnd w:id="21"/>
    <w:bookmarkEnd w:id="22"/>
    <w:p w14:paraId="4A26E2B7">
      <w:pPr>
        <w:spacing w:line="360" w:lineRule="auto"/>
        <w:rPr>
          <w:color w:val="auto"/>
          <w:sz w:val="28"/>
          <w:szCs w:val="28"/>
          <w:highlight w:val="none"/>
        </w:rPr>
      </w:pPr>
      <w:r>
        <w:rPr>
          <w:rFonts w:hint="eastAsia"/>
          <w:color w:val="auto"/>
          <w:sz w:val="28"/>
          <w:szCs w:val="28"/>
          <w:highlight w:val="none"/>
        </w:rPr>
        <w:t>附件3：</w:t>
      </w:r>
    </w:p>
    <w:p w14:paraId="155E845C">
      <w:pPr>
        <w:spacing w:line="528" w:lineRule="exact"/>
        <w:ind w:firstLine="280" w:firstLineChars="10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节能产品政府采购品目清单</w:t>
      </w:r>
    </w:p>
    <w:p w14:paraId="524CDBDB">
      <w:pPr>
        <w:spacing w:line="151" w:lineRule="exact"/>
        <w:rPr>
          <w:color w:val="auto"/>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3CA8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0A315357">
            <w:pPr>
              <w:pStyle w:val="248"/>
              <w:spacing w:before="128" w:line="224" w:lineRule="auto"/>
              <w:ind w:left="91"/>
              <w:rPr>
                <w:color w:val="auto"/>
                <w:sz w:val="22"/>
                <w:szCs w:val="22"/>
                <w:highlight w:val="none"/>
              </w:rPr>
            </w:pPr>
            <w:r>
              <w:rPr>
                <w:b/>
                <w:bCs/>
                <w:color w:val="auto"/>
                <w:spacing w:val="-9"/>
                <w:sz w:val="22"/>
                <w:szCs w:val="22"/>
                <w:highlight w:val="none"/>
              </w:rPr>
              <w:t>品目</w:t>
            </w:r>
          </w:p>
          <w:p w14:paraId="598A6C7F">
            <w:pPr>
              <w:pStyle w:val="248"/>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vAlign w:val="top"/>
          </w:tcPr>
          <w:p w14:paraId="66D4BAAC">
            <w:pPr>
              <w:pStyle w:val="248"/>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vAlign w:val="top"/>
          </w:tcPr>
          <w:p w14:paraId="3A2744A3">
            <w:pPr>
              <w:pStyle w:val="248"/>
              <w:spacing w:before="285" w:line="220" w:lineRule="auto"/>
              <w:ind w:left="939"/>
              <w:rPr>
                <w:color w:val="auto"/>
                <w:sz w:val="22"/>
                <w:szCs w:val="22"/>
                <w:highlight w:val="none"/>
              </w:rPr>
            </w:pPr>
            <w:r>
              <w:rPr>
                <w:b/>
                <w:bCs/>
                <w:color w:val="auto"/>
                <w:spacing w:val="-4"/>
                <w:sz w:val="22"/>
                <w:szCs w:val="22"/>
                <w:highlight w:val="none"/>
              </w:rPr>
              <w:t>依据的标准</w:t>
            </w:r>
          </w:p>
        </w:tc>
      </w:tr>
      <w:tr w14:paraId="690A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vAlign w:val="top"/>
          </w:tcPr>
          <w:p w14:paraId="1228478B">
            <w:pPr>
              <w:spacing w:line="246" w:lineRule="auto"/>
              <w:rPr>
                <w:rFonts w:ascii="Arial"/>
                <w:color w:val="auto"/>
                <w:sz w:val="21"/>
                <w:highlight w:val="none"/>
              </w:rPr>
            </w:pPr>
          </w:p>
          <w:p w14:paraId="07C59DD1">
            <w:pPr>
              <w:spacing w:line="247" w:lineRule="auto"/>
              <w:rPr>
                <w:rFonts w:ascii="Arial"/>
                <w:color w:val="auto"/>
                <w:sz w:val="21"/>
                <w:highlight w:val="none"/>
              </w:rPr>
            </w:pPr>
          </w:p>
          <w:p w14:paraId="3A849AFF">
            <w:pPr>
              <w:spacing w:line="247" w:lineRule="auto"/>
              <w:rPr>
                <w:rFonts w:ascii="Arial"/>
                <w:color w:val="auto"/>
                <w:sz w:val="21"/>
                <w:highlight w:val="none"/>
              </w:rPr>
            </w:pPr>
          </w:p>
          <w:p w14:paraId="29D73DF7">
            <w:pPr>
              <w:spacing w:line="247" w:lineRule="auto"/>
              <w:rPr>
                <w:rFonts w:ascii="Arial"/>
                <w:color w:val="auto"/>
                <w:sz w:val="21"/>
                <w:highlight w:val="none"/>
              </w:rPr>
            </w:pPr>
          </w:p>
          <w:p w14:paraId="1C83C889">
            <w:pPr>
              <w:pStyle w:val="248"/>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vAlign w:val="top"/>
          </w:tcPr>
          <w:p w14:paraId="4C2387A2">
            <w:pPr>
              <w:spacing w:line="277" w:lineRule="auto"/>
              <w:rPr>
                <w:rFonts w:ascii="Arial"/>
                <w:color w:val="auto"/>
                <w:sz w:val="21"/>
                <w:highlight w:val="none"/>
              </w:rPr>
            </w:pPr>
          </w:p>
          <w:p w14:paraId="6CE6E9A5">
            <w:pPr>
              <w:spacing w:line="277" w:lineRule="auto"/>
              <w:rPr>
                <w:rFonts w:ascii="Arial"/>
                <w:color w:val="auto"/>
                <w:sz w:val="21"/>
                <w:highlight w:val="none"/>
              </w:rPr>
            </w:pPr>
          </w:p>
          <w:p w14:paraId="5F3A6CB2">
            <w:pPr>
              <w:spacing w:line="278" w:lineRule="auto"/>
              <w:rPr>
                <w:rFonts w:ascii="Arial"/>
                <w:color w:val="auto"/>
                <w:sz w:val="21"/>
                <w:highlight w:val="none"/>
              </w:rPr>
            </w:pPr>
          </w:p>
          <w:p w14:paraId="561B9496">
            <w:pPr>
              <w:pStyle w:val="248"/>
              <w:spacing w:before="62" w:line="304" w:lineRule="auto"/>
              <w:ind w:left="14" w:right="8" w:hanging="5"/>
              <w:rPr>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vAlign w:val="top"/>
          </w:tcPr>
          <w:p w14:paraId="4ABE0E89">
            <w:pPr>
              <w:pStyle w:val="248"/>
              <w:spacing w:before="155" w:line="304" w:lineRule="auto"/>
              <w:ind w:left="17" w:right="10" w:firstLine="1"/>
              <w:rPr>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1914" w:type="dxa"/>
            <w:vAlign w:val="top"/>
          </w:tcPr>
          <w:p w14:paraId="22F9EE17">
            <w:pPr>
              <w:rPr>
                <w:rFonts w:ascii="Arial"/>
                <w:color w:val="auto"/>
                <w:sz w:val="21"/>
                <w:highlight w:val="none"/>
              </w:rPr>
            </w:pPr>
          </w:p>
        </w:tc>
        <w:tc>
          <w:tcPr>
            <w:tcW w:w="2969" w:type="dxa"/>
            <w:vAlign w:val="top"/>
          </w:tcPr>
          <w:p w14:paraId="184594AE">
            <w:pPr>
              <w:pStyle w:val="248"/>
              <w:spacing w:before="156" w:line="304"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3F33F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vAlign w:val="top"/>
          </w:tcPr>
          <w:p w14:paraId="0625F8B3">
            <w:pPr>
              <w:rPr>
                <w:rFonts w:ascii="Arial"/>
                <w:color w:val="auto"/>
                <w:sz w:val="21"/>
                <w:highlight w:val="none"/>
              </w:rPr>
            </w:pPr>
          </w:p>
        </w:tc>
        <w:tc>
          <w:tcPr>
            <w:tcW w:w="1166" w:type="dxa"/>
            <w:vMerge w:val="continue"/>
            <w:tcBorders>
              <w:top w:val="nil"/>
              <w:bottom w:val="nil"/>
            </w:tcBorders>
            <w:vAlign w:val="top"/>
          </w:tcPr>
          <w:p w14:paraId="40B80048">
            <w:pPr>
              <w:rPr>
                <w:rFonts w:ascii="Arial"/>
                <w:color w:val="auto"/>
                <w:sz w:val="21"/>
                <w:highlight w:val="none"/>
              </w:rPr>
            </w:pPr>
          </w:p>
        </w:tc>
        <w:tc>
          <w:tcPr>
            <w:tcW w:w="1799" w:type="dxa"/>
            <w:vAlign w:val="top"/>
          </w:tcPr>
          <w:p w14:paraId="6B92F9DE">
            <w:pPr>
              <w:pStyle w:val="248"/>
              <w:spacing w:before="108" w:line="293" w:lineRule="auto"/>
              <w:ind w:left="15" w:right="10" w:firstLine="3"/>
              <w:rPr>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vAlign w:val="top"/>
          </w:tcPr>
          <w:p w14:paraId="14E453B6">
            <w:pPr>
              <w:rPr>
                <w:rFonts w:ascii="Arial"/>
                <w:color w:val="auto"/>
                <w:sz w:val="21"/>
                <w:highlight w:val="none"/>
              </w:rPr>
            </w:pPr>
          </w:p>
        </w:tc>
        <w:tc>
          <w:tcPr>
            <w:tcW w:w="2969" w:type="dxa"/>
            <w:vAlign w:val="top"/>
          </w:tcPr>
          <w:p w14:paraId="194ACF51">
            <w:pPr>
              <w:pStyle w:val="248"/>
              <w:spacing w:before="108" w:line="293"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5F48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vAlign w:val="top"/>
          </w:tcPr>
          <w:p w14:paraId="5AD3B477">
            <w:pPr>
              <w:rPr>
                <w:rFonts w:ascii="Arial"/>
                <w:color w:val="auto"/>
                <w:sz w:val="21"/>
                <w:highlight w:val="none"/>
              </w:rPr>
            </w:pPr>
          </w:p>
        </w:tc>
        <w:tc>
          <w:tcPr>
            <w:tcW w:w="1166" w:type="dxa"/>
            <w:vMerge w:val="continue"/>
            <w:tcBorders>
              <w:top w:val="nil"/>
            </w:tcBorders>
            <w:vAlign w:val="top"/>
          </w:tcPr>
          <w:p w14:paraId="0C5EF5BF">
            <w:pPr>
              <w:rPr>
                <w:rFonts w:ascii="Arial"/>
                <w:color w:val="auto"/>
                <w:sz w:val="21"/>
                <w:highlight w:val="none"/>
              </w:rPr>
            </w:pPr>
          </w:p>
        </w:tc>
        <w:tc>
          <w:tcPr>
            <w:tcW w:w="1799" w:type="dxa"/>
            <w:vAlign w:val="top"/>
          </w:tcPr>
          <w:p w14:paraId="0E8D6FD6">
            <w:pPr>
              <w:pStyle w:val="248"/>
              <w:spacing w:before="128" w:line="301" w:lineRule="auto"/>
              <w:ind w:left="15" w:right="10" w:firstLine="3"/>
              <w:rPr>
                <w:color w:val="auto"/>
                <w:highlight w:val="none"/>
              </w:rPr>
            </w:pPr>
            <w:r>
              <w:rPr>
                <w:color w:val="auto"/>
                <w:spacing w:val="3"/>
                <w:highlight w:val="none"/>
              </w:rPr>
              <w:t>★A02010107 平板式</w:t>
            </w:r>
            <w:r>
              <w:rPr>
                <w:color w:val="auto"/>
                <w:spacing w:val="12"/>
                <w:highlight w:val="none"/>
              </w:rPr>
              <w:t xml:space="preserve"> </w:t>
            </w:r>
            <w:r>
              <w:rPr>
                <w:color w:val="auto"/>
                <w:spacing w:val="8"/>
                <w:highlight w:val="none"/>
              </w:rPr>
              <w:t>微型计算机</w:t>
            </w:r>
          </w:p>
        </w:tc>
        <w:tc>
          <w:tcPr>
            <w:tcW w:w="1914" w:type="dxa"/>
            <w:vAlign w:val="top"/>
          </w:tcPr>
          <w:p w14:paraId="1D7B8C81">
            <w:pPr>
              <w:rPr>
                <w:rFonts w:ascii="Arial"/>
                <w:color w:val="auto"/>
                <w:sz w:val="21"/>
                <w:highlight w:val="none"/>
              </w:rPr>
            </w:pPr>
          </w:p>
        </w:tc>
        <w:tc>
          <w:tcPr>
            <w:tcW w:w="2969" w:type="dxa"/>
            <w:vAlign w:val="top"/>
          </w:tcPr>
          <w:p w14:paraId="7C74F5E3">
            <w:pPr>
              <w:pStyle w:val="248"/>
              <w:spacing w:before="128" w:line="301"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53F2F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vAlign w:val="top"/>
          </w:tcPr>
          <w:p w14:paraId="42DEF06C">
            <w:pPr>
              <w:spacing w:line="250" w:lineRule="auto"/>
              <w:rPr>
                <w:rFonts w:ascii="Arial"/>
                <w:color w:val="auto"/>
                <w:sz w:val="21"/>
                <w:highlight w:val="none"/>
              </w:rPr>
            </w:pPr>
          </w:p>
          <w:p w14:paraId="2DF3F2B3">
            <w:pPr>
              <w:spacing w:line="251" w:lineRule="auto"/>
              <w:rPr>
                <w:rFonts w:ascii="Arial"/>
                <w:color w:val="auto"/>
                <w:sz w:val="21"/>
                <w:highlight w:val="none"/>
              </w:rPr>
            </w:pPr>
          </w:p>
          <w:p w14:paraId="13EAE6DA">
            <w:pPr>
              <w:spacing w:line="251" w:lineRule="auto"/>
              <w:rPr>
                <w:rFonts w:ascii="Arial"/>
                <w:color w:val="auto"/>
                <w:sz w:val="21"/>
                <w:highlight w:val="none"/>
              </w:rPr>
            </w:pPr>
          </w:p>
          <w:p w14:paraId="4DBFEF75">
            <w:pPr>
              <w:spacing w:line="251" w:lineRule="auto"/>
              <w:rPr>
                <w:rFonts w:ascii="Arial"/>
                <w:color w:val="auto"/>
                <w:sz w:val="21"/>
                <w:highlight w:val="none"/>
              </w:rPr>
            </w:pPr>
          </w:p>
          <w:p w14:paraId="6709EF03">
            <w:pPr>
              <w:spacing w:line="251" w:lineRule="auto"/>
              <w:rPr>
                <w:rFonts w:ascii="Arial"/>
                <w:color w:val="auto"/>
                <w:sz w:val="21"/>
                <w:highlight w:val="none"/>
              </w:rPr>
            </w:pPr>
          </w:p>
          <w:p w14:paraId="66613EC7">
            <w:pPr>
              <w:spacing w:line="251" w:lineRule="auto"/>
              <w:rPr>
                <w:rFonts w:ascii="Arial"/>
                <w:color w:val="auto"/>
                <w:sz w:val="21"/>
                <w:highlight w:val="none"/>
              </w:rPr>
            </w:pPr>
          </w:p>
          <w:p w14:paraId="4946EADF">
            <w:pPr>
              <w:spacing w:line="251" w:lineRule="auto"/>
              <w:rPr>
                <w:rFonts w:ascii="Arial"/>
                <w:color w:val="auto"/>
                <w:sz w:val="21"/>
                <w:highlight w:val="none"/>
              </w:rPr>
            </w:pPr>
          </w:p>
          <w:p w14:paraId="07C8A2A9">
            <w:pPr>
              <w:spacing w:line="251" w:lineRule="auto"/>
              <w:rPr>
                <w:rFonts w:ascii="Arial"/>
                <w:color w:val="auto"/>
                <w:sz w:val="21"/>
                <w:highlight w:val="none"/>
              </w:rPr>
            </w:pPr>
          </w:p>
          <w:p w14:paraId="554BC166">
            <w:pPr>
              <w:pStyle w:val="248"/>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vAlign w:val="top"/>
          </w:tcPr>
          <w:p w14:paraId="57CB3C0F">
            <w:pPr>
              <w:spacing w:line="264" w:lineRule="auto"/>
              <w:rPr>
                <w:rFonts w:ascii="Arial"/>
                <w:color w:val="auto"/>
                <w:sz w:val="21"/>
                <w:highlight w:val="none"/>
              </w:rPr>
            </w:pPr>
          </w:p>
          <w:p w14:paraId="3F33C448">
            <w:pPr>
              <w:spacing w:line="264" w:lineRule="auto"/>
              <w:rPr>
                <w:rFonts w:ascii="Arial"/>
                <w:color w:val="auto"/>
                <w:sz w:val="21"/>
                <w:highlight w:val="none"/>
              </w:rPr>
            </w:pPr>
          </w:p>
          <w:p w14:paraId="6C6EE0C6">
            <w:pPr>
              <w:spacing w:line="264" w:lineRule="auto"/>
              <w:rPr>
                <w:rFonts w:ascii="Arial"/>
                <w:color w:val="auto"/>
                <w:sz w:val="21"/>
                <w:highlight w:val="none"/>
              </w:rPr>
            </w:pPr>
          </w:p>
          <w:p w14:paraId="01ADF2A1">
            <w:pPr>
              <w:spacing w:line="265" w:lineRule="auto"/>
              <w:rPr>
                <w:rFonts w:ascii="Arial"/>
                <w:color w:val="auto"/>
                <w:sz w:val="21"/>
                <w:highlight w:val="none"/>
              </w:rPr>
            </w:pPr>
          </w:p>
          <w:p w14:paraId="428C943E">
            <w:pPr>
              <w:spacing w:line="265" w:lineRule="auto"/>
              <w:rPr>
                <w:rFonts w:ascii="Arial"/>
                <w:color w:val="auto"/>
                <w:sz w:val="21"/>
                <w:highlight w:val="none"/>
              </w:rPr>
            </w:pPr>
          </w:p>
          <w:p w14:paraId="03F5F8D9">
            <w:pPr>
              <w:spacing w:line="265" w:lineRule="auto"/>
              <w:rPr>
                <w:rFonts w:ascii="Arial"/>
                <w:color w:val="auto"/>
                <w:sz w:val="21"/>
                <w:highlight w:val="none"/>
              </w:rPr>
            </w:pPr>
          </w:p>
          <w:p w14:paraId="66753446">
            <w:pPr>
              <w:spacing w:line="265" w:lineRule="auto"/>
              <w:rPr>
                <w:rFonts w:ascii="Arial"/>
                <w:color w:val="auto"/>
                <w:sz w:val="21"/>
                <w:highlight w:val="none"/>
              </w:rPr>
            </w:pPr>
          </w:p>
          <w:p w14:paraId="5CDCB347">
            <w:pPr>
              <w:pStyle w:val="248"/>
              <w:spacing w:before="62" w:line="304" w:lineRule="auto"/>
              <w:ind w:left="14" w:right="8" w:hanging="5"/>
              <w:rPr>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vAlign w:val="top"/>
          </w:tcPr>
          <w:p w14:paraId="6337D827">
            <w:pPr>
              <w:spacing w:line="315" w:lineRule="auto"/>
              <w:rPr>
                <w:rFonts w:ascii="Arial"/>
                <w:color w:val="auto"/>
                <w:sz w:val="21"/>
                <w:highlight w:val="none"/>
              </w:rPr>
            </w:pPr>
          </w:p>
          <w:p w14:paraId="7A823806">
            <w:pPr>
              <w:spacing w:line="315" w:lineRule="auto"/>
              <w:rPr>
                <w:rFonts w:ascii="Arial"/>
                <w:color w:val="auto"/>
                <w:sz w:val="21"/>
                <w:highlight w:val="none"/>
              </w:rPr>
            </w:pPr>
          </w:p>
          <w:p w14:paraId="3D3BFA49">
            <w:pPr>
              <w:spacing w:line="315" w:lineRule="auto"/>
              <w:rPr>
                <w:rFonts w:ascii="Arial"/>
                <w:color w:val="auto"/>
                <w:sz w:val="21"/>
                <w:highlight w:val="none"/>
              </w:rPr>
            </w:pPr>
          </w:p>
          <w:p w14:paraId="25EE30A5">
            <w:pPr>
              <w:pStyle w:val="248"/>
              <w:spacing w:before="62" w:line="229" w:lineRule="auto"/>
              <w:ind w:left="9"/>
              <w:rPr>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vAlign w:val="top"/>
          </w:tcPr>
          <w:p w14:paraId="7F31F808">
            <w:pPr>
              <w:pStyle w:val="248"/>
              <w:spacing w:before="114" w:line="297" w:lineRule="auto"/>
              <w:ind w:left="31" w:right="8" w:hanging="21"/>
              <w:rPr>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vAlign w:val="top"/>
          </w:tcPr>
          <w:p w14:paraId="77135BFF">
            <w:pPr>
              <w:pStyle w:val="248"/>
              <w:spacing w:before="114" w:line="297"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161A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113919B2">
            <w:pPr>
              <w:rPr>
                <w:rFonts w:ascii="Arial"/>
                <w:color w:val="auto"/>
                <w:sz w:val="21"/>
                <w:highlight w:val="none"/>
              </w:rPr>
            </w:pPr>
          </w:p>
        </w:tc>
        <w:tc>
          <w:tcPr>
            <w:tcW w:w="1166" w:type="dxa"/>
            <w:vMerge w:val="continue"/>
            <w:tcBorders>
              <w:top w:val="nil"/>
              <w:bottom w:val="nil"/>
            </w:tcBorders>
            <w:vAlign w:val="top"/>
          </w:tcPr>
          <w:p w14:paraId="5A8B70EA">
            <w:pPr>
              <w:rPr>
                <w:rFonts w:ascii="Arial"/>
                <w:color w:val="auto"/>
                <w:sz w:val="21"/>
                <w:highlight w:val="none"/>
              </w:rPr>
            </w:pPr>
          </w:p>
        </w:tc>
        <w:tc>
          <w:tcPr>
            <w:tcW w:w="1799" w:type="dxa"/>
            <w:vMerge w:val="continue"/>
            <w:tcBorders>
              <w:top w:val="nil"/>
              <w:bottom w:val="nil"/>
            </w:tcBorders>
            <w:vAlign w:val="top"/>
          </w:tcPr>
          <w:p w14:paraId="1BABABE3">
            <w:pPr>
              <w:rPr>
                <w:rFonts w:ascii="Arial"/>
                <w:color w:val="auto"/>
                <w:sz w:val="21"/>
                <w:highlight w:val="none"/>
              </w:rPr>
            </w:pPr>
          </w:p>
        </w:tc>
        <w:tc>
          <w:tcPr>
            <w:tcW w:w="1914" w:type="dxa"/>
            <w:vAlign w:val="top"/>
          </w:tcPr>
          <w:p w14:paraId="1829A827">
            <w:pPr>
              <w:pStyle w:val="248"/>
              <w:spacing w:before="116" w:line="296" w:lineRule="auto"/>
              <w:ind w:left="19" w:right="8"/>
              <w:rPr>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vAlign w:val="top"/>
          </w:tcPr>
          <w:p w14:paraId="7EC2AD05">
            <w:pPr>
              <w:pStyle w:val="248"/>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64666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58C0881B">
            <w:pPr>
              <w:rPr>
                <w:rFonts w:ascii="Arial"/>
                <w:color w:val="auto"/>
                <w:sz w:val="21"/>
                <w:highlight w:val="none"/>
              </w:rPr>
            </w:pPr>
          </w:p>
        </w:tc>
        <w:tc>
          <w:tcPr>
            <w:tcW w:w="1166" w:type="dxa"/>
            <w:vMerge w:val="continue"/>
            <w:tcBorders>
              <w:top w:val="nil"/>
              <w:bottom w:val="nil"/>
            </w:tcBorders>
            <w:vAlign w:val="top"/>
          </w:tcPr>
          <w:p w14:paraId="2084B94C">
            <w:pPr>
              <w:rPr>
                <w:rFonts w:ascii="Arial"/>
                <w:color w:val="auto"/>
                <w:sz w:val="21"/>
                <w:highlight w:val="none"/>
              </w:rPr>
            </w:pPr>
          </w:p>
        </w:tc>
        <w:tc>
          <w:tcPr>
            <w:tcW w:w="1799" w:type="dxa"/>
            <w:vMerge w:val="continue"/>
            <w:tcBorders>
              <w:top w:val="nil"/>
            </w:tcBorders>
            <w:vAlign w:val="top"/>
          </w:tcPr>
          <w:p w14:paraId="59040E5C">
            <w:pPr>
              <w:rPr>
                <w:rFonts w:ascii="Arial"/>
                <w:color w:val="auto"/>
                <w:sz w:val="21"/>
                <w:highlight w:val="none"/>
              </w:rPr>
            </w:pPr>
          </w:p>
        </w:tc>
        <w:tc>
          <w:tcPr>
            <w:tcW w:w="1914" w:type="dxa"/>
            <w:vAlign w:val="top"/>
          </w:tcPr>
          <w:p w14:paraId="23C697E9">
            <w:pPr>
              <w:pStyle w:val="248"/>
              <w:spacing w:before="116" w:line="296" w:lineRule="auto"/>
              <w:ind w:left="19" w:right="8"/>
              <w:rPr>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vAlign w:val="top"/>
          </w:tcPr>
          <w:p w14:paraId="729BCEFE">
            <w:pPr>
              <w:pStyle w:val="248"/>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67C0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vAlign w:val="top"/>
          </w:tcPr>
          <w:p w14:paraId="6E8A581E">
            <w:pPr>
              <w:rPr>
                <w:rFonts w:ascii="Arial"/>
                <w:color w:val="auto"/>
                <w:sz w:val="21"/>
                <w:highlight w:val="none"/>
              </w:rPr>
            </w:pPr>
          </w:p>
        </w:tc>
        <w:tc>
          <w:tcPr>
            <w:tcW w:w="1166" w:type="dxa"/>
            <w:vMerge w:val="continue"/>
            <w:tcBorders>
              <w:top w:val="nil"/>
              <w:bottom w:val="nil"/>
            </w:tcBorders>
            <w:vAlign w:val="top"/>
          </w:tcPr>
          <w:p w14:paraId="48AD7B59">
            <w:pPr>
              <w:rPr>
                <w:rFonts w:ascii="Arial"/>
                <w:color w:val="auto"/>
                <w:sz w:val="21"/>
                <w:highlight w:val="none"/>
              </w:rPr>
            </w:pPr>
          </w:p>
        </w:tc>
        <w:tc>
          <w:tcPr>
            <w:tcW w:w="1799" w:type="dxa"/>
            <w:vAlign w:val="top"/>
          </w:tcPr>
          <w:p w14:paraId="012842CB">
            <w:pPr>
              <w:pStyle w:val="248"/>
              <w:spacing w:before="290" w:line="230" w:lineRule="auto"/>
              <w:ind w:left="9"/>
              <w:rPr>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vAlign w:val="top"/>
          </w:tcPr>
          <w:p w14:paraId="5C12ACEB">
            <w:pPr>
              <w:pStyle w:val="248"/>
              <w:spacing w:before="133" w:line="303" w:lineRule="auto"/>
              <w:ind w:left="20" w:right="8" w:hanging="1"/>
              <w:rPr>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vAlign w:val="top"/>
          </w:tcPr>
          <w:p w14:paraId="18494CB7">
            <w:pPr>
              <w:pStyle w:val="248"/>
              <w:spacing w:before="133" w:line="303" w:lineRule="auto"/>
              <w:ind w:left="22" w:right="11"/>
              <w:rPr>
                <w:color w:val="auto"/>
                <w:highlight w:val="none"/>
              </w:rPr>
            </w:pPr>
            <w:r>
              <w:rPr>
                <w:color w:val="auto"/>
                <w:spacing w:val="19"/>
                <w:highlight w:val="none"/>
              </w:rPr>
              <w:t>《计算机显示器能效限定值及能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21520）</w:t>
            </w:r>
          </w:p>
        </w:tc>
      </w:tr>
      <w:tr w14:paraId="227E7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vAlign w:val="top"/>
          </w:tcPr>
          <w:p w14:paraId="2D2B5A45">
            <w:pPr>
              <w:rPr>
                <w:rFonts w:ascii="Arial"/>
                <w:color w:val="auto"/>
                <w:sz w:val="21"/>
                <w:highlight w:val="none"/>
              </w:rPr>
            </w:pPr>
          </w:p>
        </w:tc>
        <w:tc>
          <w:tcPr>
            <w:tcW w:w="1166" w:type="dxa"/>
            <w:vMerge w:val="continue"/>
            <w:tcBorders>
              <w:top w:val="nil"/>
            </w:tcBorders>
            <w:vAlign w:val="top"/>
          </w:tcPr>
          <w:p w14:paraId="6B725E32">
            <w:pPr>
              <w:rPr>
                <w:rFonts w:ascii="Arial"/>
                <w:color w:val="auto"/>
                <w:sz w:val="21"/>
                <w:highlight w:val="none"/>
              </w:rPr>
            </w:pPr>
          </w:p>
        </w:tc>
        <w:tc>
          <w:tcPr>
            <w:tcW w:w="1799" w:type="dxa"/>
            <w:vAlign w:val="top"/>
          </w:tcPr>
          <w:p w14:paraId="6DAC4AEF">
            <w:pPr>
              <w:spacing w:line="364" w:lineRule="auto"/>
              <w:rPr>
                <w:rFonts w:ascii="Arial"/>
                <w:color w:val="auto"/>
                <w:sz w:val="21"/>
                <w:highlight w:val="none"/>
              </w:rPr>
            </w:pPr>
          </w:p>
          <w:p w14:paraId="113F2740">
            <w:pPr>
              <w:pStyle w:val="248"/>
              <w:spacing w:before="62" w:line="304" w:lineRule="auto"/>
              <w:ind w:left="14" w:right="10" w:hanging="5"/>
              <w:rPr>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vAlign w:val="top"/>
          </w:tcPr>
          <w:p w14:paraId="6805AE99">
            <w:pPr>
              <w:spacing w:line="259" w:lineRule="auto"/>
              <w:rPr>
                <w:rFonts w:ascii="Arial"/>
                <w:color w:val="auto"/>
                <w:sz w:val="21"/>
                <w:highlight w:val="none"/>
              </w:rPr>
            </w:pPr>
          </w:p>
          <w:p w14:paraId="4DA0013E">
            <w:pPr>
              <w:spacing w:line="260" w:lineRule="auto"/>
              <w:rPr>
                <w:rFonts w:ascii="Arial"/>
                <w:color w:val="auto"/>
                <w:sz w:val="21"/>
                <w:highlight w:val="none"/>
              </w:rPr>
            </w:pPr>
          </w:p>
          <w:p w14:paraId="68978D05">
            <w:pPr>
              <w:pStyle w:val="248"/>
              <w:spacing w:before="61" w:line="229" w:lineRule="auto"/>
              <w:ind w:left="10"/>
              <w:rPr>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vAlign w:val="top"/>
          </w:tcPr>
          <w:p w14:paraId="74E2A656">
            <w:pPr>
              <w:pStyle w:val="248"/>
              <w:spacing w:before="114" w:line="299" w:lineRule="auto"/>
              <w:ind w:left="22" w:hanging="3"/>
              <w:jc w:val="both"/>
              <w:rPr>
                <w:color w:val="auto"/>
                <w:highlight w:val="none"/>
              </w:rPr>
            </w:pPr>
            <w:r>
              <w:rPr>
                <w:color w:val="auto"/>
                <w:highlight w:val="none"/>
              </w:rPr>
              <w:t>参照《复印机、打印机和传真机能</w:t>
            </w:r>
            <w:r>
              <w:rPr>
                <w:color w:val="auto"/>
                <w:spacing w:val="3"/>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21521）</w:t>
            </w:r>
            <w:r>
              <w:rPr>
                <w:color w:val="auto"/>
                <w:highlight w:val="none"/>
              </w:rPr>
              <w:t xml:space="preserve"> </w:t>
            </w:r>
            <w:r>
              <w:rPr>
                <w:color w:val="auto"/>
                <w:spacing w:val="4"/>
                <w:highlight w:val="none"/>
              </w:rPr>
              <w:t>中打印速度为</w:t>
            </w:r>
            <w:r>
              <w:rPr>
                <w:color w:val="auto"/>
                <w:spacing w:val="38"/>
                <w:highlight w:val="none"/>
              </w:rPr>
              <w:t xml:space="preserve"> </w:t>
            </w:r>
            <w:r>
              <w:rPr>
                <w:color w:val="auto"/>
                <w:spacing w:val="4"/>
                <w:highlight w:val="none"/>
              </w:rPr>
              <w:t>15 页/分的针式打</w:t>
            </w:r>
            <w:r>
              <w:rPr>
                <w:color w:val="auto"/>
                <w:highlight w:val="none"/>
              </w:rPr>
              <w:t xml:space="preserve">  </w:t>
            </w:r>
            <w:r>
              <w:rPr>
                <w:color w:val="auto"/>
                <w:spacing w:val="2"/>
                <w:highlight w:val="none"/>
              </w:rPr>
              <w:t>印机相关要求</w:t>
            </w:r>
          </w:p>
        </w:tc>
      </w:tr>
      <w:tr w14:paraId="4363F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vAlign w:val="top"/>
          </w:tcPr>
          <w:p w14:paraId="7DEEA9BA">
            <w:pPr>
              <w:pStyle w:val="248"/>
              <w:spacing w:before="246" w:line="256" w:lineRule="exact"/>
              <w:ind w:left="246"/>
              <w:rPr>
                <w:color w:val="auto"/>
                <w:highlight w:val="none"/>
              </w:rPr>
            </w:pPr>
            <w:r>
              <w:rPr>
                <w:color w:val="auto"/>
                <w:position w:val="1"/>
                <w:highlight w:val="none"/>
              </w:rPr>
              <w:t>3</w:t>
            </w:r>
          </w:p>
        </w:tc>
        <w:tc>
          <w:tcPr>
            <w:tcW w:w="1166" w:type="dxa"/>
            <w:vAlign w:val="top"/>
          </w:tcPr>
          <w:p w14:paraId="5A4B440B">
            <w:pPr>
              <w:pStyle w:val="248"/>
              <w:spacing w:before="90" w:line="281" w:lineRule="auto"/>
              <w:ind w:left="15" w:right="8" w:hanging="6"/>
              <w:rPr>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vAlign w:val="top"/>
          </w:tcPr>
          <w:p w14:paraId="0D5D17E9">
            <w:pPr>
              <w:rPr>
                <w:rFonts w:ascii="Arial"/>
                <w:color w:val="auto"/>
                <w:sz w:val="21"/>
                <w:highlight w:val="none"/>
              </w:rPr>
            </w:pPr>
          </w:p>
        </w:tc>
        <w:tc>
          <w:tcPr>
            <w:tcW w:w="1914" w:type="dxa"/>
            <w:vAlign w:val="top"/>
          </w:tcPr>
          <w:p w14:paraId="3227F6BA">
            <w:pPr>
              <w:rPr>
                <w:rFonts w:ascii="Arial"/>
                <w:color w:val="auto"/>
                <w:sz w:val="21"/>
                <w:highlight w:val="none"/>
              </w:rPr>
            </w:pPr>
          </w:p>
        </w:tc>
        <w:tc>
          <w:tcPr>
            <w:tcW w:w="2969" w:type="dxa"/>
            <w:vAlign w:val="top"/>
          </w:tcPr>
          <w:p w14:paraId="5CE677B4">
            <w:pPr>
              <w:pStyle w:val="248"/>
              <w:spacing w:before="90" w:line="281" w:lineRule="auto"/>
              <w:ind w:left="27" w:hanging="4"/>
              <w:rPr>
                <w:color w:val="auto"/>
                <w:highlight w:val="none"/>
              </w:rPr>
            </w:pPr>
            <w:r>
              <w:rPr>
                <w:color w:val="auto"/>
                <w:spacing w:val="6"/>
                <w:highlight w:val="none"/>
              </w:rPr>
              <w:t>《投影机能效限定值及能效等级》</w:t>
            </w:r>
            <w:r>
              <w:rPr>
                <w:color w:val="auto"/>
                <w:highlight w:val="none"/>
              </w:rPr>
              <w:t xml:space="preserve"> （GB</w:t>
            </w:r>
            <w:r>
              <w:rPr>
                <w:color w:val="auto"/>
                <w:spacing w:val="22"/>
                <w:highlight w:val="none"/>
              </w:rPr>
              <w:t xml:space="preserve"> </w:t>
            </w:r>
            <w:r>
              <w:rPr>
                <w:color w:val="auto"/>
                <w:highlight w:val="none"/>
              </w:rPr>
              <w:t>32028）</w:t>
            </w:r>
          </w:p>
        </w:tc>
      </w:tr>
      <w:tr w14:paraId="16063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vAlign w:val="top"/>
          </w:tcPr>
          <w:p w14:paraId="3518E151">
            <w:pPr>
              <w:pStyle w:val="248"/>
              <w:spacing w:before="289" w:line="258" w:lineRule="exact"/>
              <w:ind w:left="242"/>
              <w:rPr>
                <w:color w:val="auto"/>
                <w:highlight w:val="none"/>
              </w:rPr>
            </w:pPr>
            <w:r>
              <w:rPr>
                <w:color w:val="auto"/>
                <w:position w:val="1"/>
                <w:highlight w:val="none"/>
              </w:rPr>
              <w:t>4</w:t>
            </w:r>
          </w:p>
        </w:tc>
        <w:tc>
          <w:tcPr>
            <w:tcW w:w="1166" w:type="dxa"/>
            <w:vAlign w:val="top"/>
          </w:tcPr>
          <w:p w14:paraId="5A536960">
            <w:pPr>
              <w:pStyle w:val="248"/>
              <w:spacing w:before="134" w:line="230" w:lineRule="auto"/>
              <w:ind w:left="9"/>
              <w:rPr>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p>
          <w:p w14:paraId="64B209AC">
            <w:pPr>
              <w:pStyle w:val="248"/>
              <w:spacing w:before="75" w:line="228" w:lineRule="auto"/>
              <w:ind w:left="23"/>
              <w:rPr>
                <w:color w:val="auto"/>
                <w:highlight w:val="none"/>
              </w:rPr>
            </w:pPr>
            <w:r>
              <w:rPr>
                <w:color w:val="auto"/>
                <w:spacing w:val="5"/>
                <w:highlight w:val="none"/>
              </w:rPr>
              <w:t>能一体机</w:t>
            </w:r>
          </w:p>
        </w:tc>
        <w:tc>
          <w:tcPr>
            <w:tcW w:w="1799" w:type="dxa"/>
            <w:vAlign w:val="top"/>
          </w:tcPr>
          <w:p w14:paraId="798B9457">
            <w:pPr>
              <w:rPr>
                <w:rFonts w:ascii="Arial"/>
                <w:color w:val="auto"/>
                <w:sz w:val="21"/>
                <w:highlight w:val="none"/>
              </w:rPr>
            </w:pPr>
          </w:p>
        </w:tc>
        <w:tc>
          <w:tcPr>
            <w:tcW w:w="1914" w:type="dxa"/>
            <w:vAlign w:val="top"/>
          </w:tcPr>
          <w:p w14:paraId="5AA17216">
            <w:pPr>
              <w:rPr>
                <w:rFonts w:ascii="Arial"/>
                <w:color w:val="auto"/>
                <w:sz w:val="21"/>
                <w:highlight w:val="none"/>
              </w:rPr>
            </w:pPr>
          </w:p>
        </w:tc>
        <w:tc>
          <w:tcPr>
            <w:tcW w:w="2969" w:type="dxa"/>
            <w:vAlign w:val="top"/>
          </w:tcPr>
          <w:p w14:paraId="17A8257C">
            <w:pPr>
              <w:pStyle w:val="248"/>
              <w:spacing w:before="133" w:line="302"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21E9C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vAlign w:val="top"/>
          </w:tcPr>
          <w:p w14:paraId="23F67604">
            <w:pPr>
              <w:pStyle w:val="248"/>
              <w:spacing w:before="227" w:line="256" w:lineRule="exact"/>
              <w:ind w:left="246"/>
              <w:rPr>
                <w:color w:val="auto"/>
                <w:highlight w:val="none"/>
              </w:rPr>
            </w:pPr>
            <w:r>
              <w:rPr>
                <w:color w:val="auto"/>
                <w:position w:val="1"/>
                <w:highlight w:val="none"/>
              </w:rPr>
              <w:t>5</w:t>
            </w:r>
          </w:p>
        </w:tc>
        <w:tc>
          <w:tcPr>
            <w:tcW w:w="1166" w:type="dxa"/>
            <w:vAlign w:val="top"/>
          </w:tcPr>
          <w:p w14:paraId="55CB746F">
            <w:pPr>
              <w:pStyle w:val="248"/>
              <w:spacing w:before="227" w:line="229" w:lineRule="auto"/>
              <w:ind w:left="9"/>
              <w:rPr>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vAlign w:val="top"/>
          </w:tcPr>
          <w:p w14:paraId="32D1D5D1">
            <w:pPr>
              <w:pStyle w:val="248"/>
              <w:spacing w:before="227" w:line="229" w:lineRule="auto"/>
              <w:ind w:left="9"/>
              <w:rPr>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vAlign w:val="top"/>
          </w:tcPr>
          <w:p w14:paraId="25F44149">
            <w:pPr>
              <w:rPr>
                <w:rFonts w:ascii="Arial"/>
                <w:color w:val="auto"/>
                <w:sz w:val="21"/>
                <w:highlight w:val="none"/>
              </w:rPr>
            </w:pPr>
          </w:p>
        </w:tc>
        <w:tc>
          <w:tcPr>
            <w:tcW w:w="2969" w:type="dxa"/>
            <w:vAlign w:val="top"/>
          </w:tcPr>
          <w:p w14:paraId="5DE31904">
            <w:pPr>
              <w:pStyle w:val="248"/>
              <w:spacing w:before="72" w:line="271" w:lineRule="auto"/>
              <w:ind w:left="17" w:right="11" w:firstLine="6"/>
              <w:rPr>
                <w:color w:val="auto"/>
                <w:highlight w:val="none"/>
              </w:rPr>
            </w:pPr>
            <w:r>
              <w:rPr>
                <w:color w:val="auto"/>
                <w:spacing w:val="19"/>
                <w:highlight w:val="none"/>
              </w:rPr>
              <w:t>《清水离心泵能效限定值及节能</w:t>
            </w:r>
            <w:r>
              <w:rPr>
                <w:color w:val="auto"/>
                <w:spacing w:val="2"/>
                <w:highlight w:val="none"/>
              </w:rPr>
              <w:t xml:space="preserve"> </w:t>
            </w:r>
            <w:r>
              <w:rPr>
                <w:color w:val="auto"/>
                <w:spacing w:val="4"/>
                <w:highlight w:val="none"/>
              </w:rPr>
              <w:t>评价值》（</w:t>
            </w:r>
            <w:r>
              <w:rPr>
                <w:color w:val="auto"/>
                <w:highlight w:val="none"/>
              </w:rPr>
              <w:t>GB</w:t>
            </w:r>
            <w:r>
              <w:rPr>
                <w:color w:val="auto"/>
                <w:spacing w:val="39"/>
                <w:highlight w:val="none"/>
              </w:rPr>
              <w:t xml:space="preserve"> </w:t>
            </w:r>
            <w:r>
              <w:rPr>
                <w:color w:val="auto"/>
                <w:spacing w:val="4"/>
                <w:highlight w:val="none"/>
              </w:rPr>
              <w:t>19762）</w:t>
            </w:r>
          </w:p>
        </w:tc>
      </w:tr>
      <w:tr w14:paraId="31386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vAlign w:val="top"/>
          </w:tcPr>
          <w:p w14:paraId="7F5F898F">
            <w:pPr>
              <w:spacing w:line="290" w:lineRule="auto"/>
              <w:rPr>
                <w:rFonts w:ascii="Arial"/>
                <w:color w:val="auto"/>
                <w:sz w:val="21"/>
                <w:highlight w:val="none"/>
              </w:rPr>
            </w:pPr>
          </w:p>
          <w:p w14:paraId="6004FD54">
            <w:pPr>
              <w:spacing w:line="290" w:lineRule="auto"/>
              <w:rPr>
                <w:rFonts w:ascii="Arial"/>
                <w:color w:val="auto"/>
                <w:sz w:val="21"/>
                <w:highlight w:val="none"/>
              </w:rPr>
            </w:pPr>
          </w:p>
          <w:p w14:paraId="0D1B5A54">
            <w:pPr>
              <w:spacing w:line="291" w:lineRule="auto"/>
              <w:rPr>
                <w:rFonts w:ascii="Arial"/>
                <w:color w:val="auto"/>
                <w:sz w:val="21"/>
                <w:highlight w:val="none"/>
              </w:rPr>
            </w:pPr>
          </w:p>
          <w:p w14:paraId="2F9C1294">
            <w:pPr>
              <w:pStyle w:val="248"/>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vAlign w:val="top"/>
          </w:tcPr>
          <w:p w14:paraId="7C6C1221">
            <w:pPr>
              <w:spacing w:line="358" w:lineRule="auto"/>
              <w:rPr>
                <w:rFonts w:ascii="Arial"/>
                <w:color w:val="auto"/>
                <w:sz w:val="21"/>
                <w:highlight w:val="none"/>
              </w:rPr>
            </w:pPr>
          </w:p>
          <w:p w14:paraId="1080EB1C">
            <w:pPr>
              <w:spacing w:line="358" w:lineRule="auto"/>
              <w:rPr>
                <w:rFonts w:ascii="Arial"/>
                <w:color w:val="auto"/>
                <w:sz w:val="21"/>
                <w:highlight w:val="none"/>
              </w:rPr>
            </w:pPr>
          </w:p>
          <w:p w14:paraId="109E7F2F">
            <w:pPr>
              <w:pStyle w:val="248"/>
              <w:spacing w:before="61" w:line="230" w:lineRule="auto"/>
              <w:ind w:left="9"/>
              <w:rPr>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p>
          <w:p w14:paraId="743302EF">
            <w:pPr>
              <w:pStyle w:val="248"/>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vAlign w:val="top"/>
          </w:tcPr>
          <w:p w14:paraId="0C9D3459">
            <w:pPr>
              <w:spacing w:line="358" w:lineRule="auto"/>
              <w:rPr>
                <w:rFonts w:ascii="Arial"/>
                <w:color w:val="auto"/>
                <w:sz w:val="21"/>
                <w:highlight w:val="none"/>
              </w:rPr>
            </w:pPr>
          </w:p>
          <w:p w14:paraId="4136821A">
            <w:pPr>
              <w:spacing w:line="358" w:lineRule="auto"/>
              <w:rPr>
                <w:rFonts w:ascii="Arial"/>
                <w:color w:val="auto"/>
                <w:sz w:val="21"/>
                <w:highlight w:val="none"/>
              </w:rPr>
            </w:pPr>
          </w:p>
          <w:p w14:paraId="0329F5B6">
            <w:pPr>
              <w:pStyle w:val="248"/>
              <w:spacing w:before="62" w:line="304" w:lineRule="auto"/>
              <w:ind w:left="15" w:right="10" w:firstLine="3"/>
              <w:rPr>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vAlign w:val="top"/>
          </w:tcPr>
          <w:p w14:paraId="25AD69B8">
            <w:pPr>
              <w:spacing w:line="251" w:lineRule="auto"/>
              <w:rPr>
                <w:rFonts w:ascii="Arial"/>
                <w:color w:val="auto"/>
                <w:sz w:val="21"/>
                <w:highlight w:val="none"/>
              </w:rPr>
            </w:pPr>
          </w:p>
          <w:p w14:paraId="18D52263">
            <w:pPr>
              <w:spacing w:line="251" w:lineRule="auto"/>
              <w:rPr>
                <w:rFonts w:ascii="Arial"/>
                <w:color w:val="auto"/>
                <w:sz w:val="21"/>
                <w:highlight w:val="none"/>
              </w:rPr>
            </w:pPr>
          </w:p>
          <w:p w14:paraId="273C3DD7">
            <w:pPr>
              <w:pStyle w:val="248"/>
              <w:spacing w:before="61" w:line="228" w:lineRule="auto"/>
              <w:ind w:left="18"/>
              <w:rPr>
                <w:color w:val="auto"/>
                <w:highlight w:val="none"/>
              </w:rPr>
            </w:pPr>
            <w:r>
              <w:rPr>
                <w:color w:val="auto"/>
                <w:spacing w:val="6"/>
                <w:highlight w:val="none"/>
              </w:rPr>
              <w:t>冷水机组</w:t>
            </w:r>
          </w:p>
        </w:tc>
        <w:tc>
          <w:tcPr>
            <w:tcW w:w="2969" w:type="dxa"/>
            <w:vAlign w:val="top"/>
          </w:tcPr>
          <w:p w14:paraId="4FEBE0EA">
            <w:pPr>
              <w:pStyle w:val="248"/>
              <w:spacing w:before="96" w:line="294" w:lineRule="auto"/>
              <w:ind w:left="17" w:right="11" w:firstLine="5"/>
              <w:jc w:val="both"/>
              <w:rPr>
                <w:color w:val="auto"/>
                <w:highlight w:val="none"/>
              </w:rPr>
            </w:pPr>
            <w:r>
              <w:rPr>
                <w:color w:val="auto"/>
                <w:spacing w:val="19"/>
                <w:highlight w:val="none"/>
              </w:rPr>
              <w:t>《冷水机组能效限定值及能效等</w:t>
            </w:r>
            <w:r>
              <w:rPr>
                <w:color w:val="auto"/>
                <w:spacing w:val="2"/>
                <w:highlight w:val="none"/>
              </w:rPr>
              <w:t xml:space="preserve"> </w:t>
            </w:r>
            <w:r>
              <w:rPr>
                <w:color w:val="auto"/>
                <w:spacing w:val="6"/>
                <w:highlight w:val="none"/>
              </w:rPr>
              <w:t>级》（</w:t>
            </w:r>
            <w:r>
              <w:rPr>
                <w:color w:val="auto"/>
                <w:highlight w:val="none"/>
              </w:rPr>
              <w:t>GB</w:t>
            </w:r>
            <w:r>
              <w:rPr>
                <w:color w:val="auto"/>
                <w:spacing w:val="-21"/>
                <w:highlight w:val="none"/>
              </w:rPr>
              <w:t xml:space="preserve"> </w:t>
            </w:r>
            <w:r>
              <w:rPr>
                <w:color w:val="auto"/>
                <w:spacing w:val="6"/>
                <w:highlight w:val="none"/>
              </w:rPr>
              <w:t>19577</w:t>
            </w:r>
            <w:r>
              <w:rPr>
                <w:color w:val="auto"/>
                <w:spacing w:val="9"/>
                <w:highlight w:val="none"/>
              </w:rPr>
              <w:t>），</w:t>
            </w:r>
            <w:r>
              <w:rPr>
                <w:color w:val="auto"/>
                <w:spacing w:val="6"/>
                <w:highlight w:val="none"/>
              </w:rPr>
              <w:t>《低环境温度</w:t>
            </w:r>
            <w:r>
              <w:rPr>
                <w:color w:val="auto"/>
                <w:highlight w:val="none"/>
              </w:rPr>
              <w:t xml:space="preserve"> </w:t>
            </w:r>
            <w:r>
              <w:rPr>
                <w:color w:val="auto"/>
                <w:spacing w:val="5"/>
                <w:highlight w:val="none"/>
              </w:rPr>
              <w:t>空气源热泵（冷水）机组能效限定</w:t>
            </w:r>
            <w:r>
              <w:rPr>
                <w:color w:val="auto"/>
                <w:spacing w:val="6"/>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37480）</w:t>
            </w:r>
          </w:p>
        </w:tc>
      </w:tr>
      <w:tr w14:paraId="67049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vAlign w:val="top"/>
          </w:tcPr>
          <w:p w14:paraId="23906384">
            <w:pPr>
              <w:rPr>
                <w:rFonts w:ascii="Arial"/>
                <w:color w:val="auto"/>
                <w:sz w:val="21"/>
                <w:highlight w:val="none"/>
              </w:rPr>
            </w:pPr>
          </w:p>
        </w:tc>
        <w:tc>
          <w:tcPr>
            <w:tcW w:w="1166" w:type="dxa"/>
            <w:vMerge w:val="continue"/>
            <w:tcBorders>
              <w:top w:val="nil"/>
            </w:tcBorders>
            <w:vAlign w:val="top"/>
          </w:tcPr>
          <w:p w14:paraId="7A0BAD70">
            <w:pPr>
              <w:rPr>
                <w:rFonts w:ascii="Arial"/>
                <w:color w:val="auto"/>
                <w:sz w:val="21"/>
                <w:highlight w:val="none"/>
              </w:rPr>
            </w:pPr>
          </w:p>
        </w:tc>
        <w:tc>
          <w:tcPr>
            <w:tcW w:w="1799" w:type="dxa"/>
            <w:vMerge w:val="continue"/>
            <w:tcBorders>
              <w:top w:val="nil"/>
            </w:tcBorders>
            <w:vAlign w:val="top"/>
          </w:tcPr>
          <w:p w14:paraId="6E0EE609">
            <w:pPr>
              <w:rPr>
                <w:rFonts w:ascii="Arial"/>
                <w:color w:val="auto"/>
                <w:sz w:val="21"/>
                <w:highlight w:val="none"/>
              </w:rPr>
            </w:pPr>
          </w:p>
        </w:tc>
        <w:tc>
          <w:tcPr>
            <w:tcW w:w="1914" w:type="dxa"/>
            <w:vAlign w:val="top"/>
          </w:tcPr>
          <w:p w14:paraId="2E1FBFD3">
            <w:pPr>
              <w:pStyle w:val="248"/>
              <w:spacing w:before="276" w:line="228" w:lineRule="auto"/>
              <w:ind w:left="19"/>
              <w:rPr>
                <w:color w:val="auto"/>
                <w:highlight w:val="none"/>
              </w:rPr>
            </w:pPr>
            <w:r>
              <w:rPr>
                <w:color w:val="auto"/>
                <w:spacing w:val="7"/>
                <w:highlight w:val="none"/>
              </w:rPr>
              <w:t>水源热泵机组</w:t>
            </w:r>
          </w:p>
        </w:tc>
        <w:tc>
          <w:tcPr>
            <w:tcW w:w="2969" w:type="dxa"/>
            <w:vAlign w:val="top"/>
          </w:tcPr>
          <w:p w14:paraId="6B09B45B">
            <w:pPr>
              <w:pStyle w:val="248"/>
              <w:spacing w:before="120" w:line="298" w:lineRule="auto"/>
              <w:ind w:left="17" w:right="13" w:firstLine="6"/>
              <w:rPr>
                <w:color w:val="auto"/>
                <w:highlight w:val="none"/>
              </w:rPr>
            </w:pPr>
            <w:r>
              <w:rPr>
                <w:color w:val="auto"/>
                <w:spacing w:val="5"/>
                <w:highlight w:val="none"/>
              </w:rPr>
              <w:t>《水（地）源热泵机组能效限定值</w:t>
            </w:r>
            <w:r>
              <w:rPr>
                <w:color w:val="auto"/>
                <w:highlight w:val="none"/>
              </w:rPr>
              <w:t xml:space="preserve"> </w:t>
            </w:r>
            <w:r>
              <w:rPr>
                <w:color w:val="auto"/>
                <w:spacing w:val="7"/>
                <w:highlight w:val="none"/>
              </w:rPr>
              <w:t>及能效等级》（</w:t>
            </w:r>
            <w:r>
              <w:rPr>
                <w:color w:val="auto"/>
                <w:highlight w:val="none"/>
              </w:rPr>
              <w:t>GB</w:t>
            </w:r>
            <w:r>
              <w:rPr>
                <w:color w:val="auto"/>
                <w:spacing w:val="7"/>
                <w:highlight w:val="none"/>
              </w:rPr>
              <w:t xml:space="preserve"> 30721）</w:t>
            </w:r>
          </w:p>
        </w:tc>
      </w:tr>
    </w:tbl>
    <w:p w14:paraId="4E0066F2">
      <w:pPr>
        <w:rPr>
          <w:rFonts w:ascii="Arial"/>
          <w:color w:val="auto"/>
          <w:sz w:val="21"/>
          <w:highlight w:val="none"/>
        </w:rPr>
      </w:pPr>
    </w:p>
    <w:p w14:paraId="47423BD4">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6F0C3D02">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08F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vAlign w:val="top"/>
          </w:tcPr>
          <w:p w14:paraId="34DDC35A">
            <w:pPr>
              <w:rPr>
                <w:rFonts w:ascii="Arial"/>
                <w:color w:val="auto"/>
                <w:sz w:val="21"/>
                <w:highlight w:val="none"/>
              </w:rPr>
            </w:pPr>
          </w:p>
        </w:tc>
        <w:tc>
          <w:tcPr>
            <w:tcW w:w="1166" w:type="dxa"/>
            <w:vMerge w:val="restart"/>
            <w:tcBorders>
              <w:bottom w:val="nil"/>
            </w:tcBorders>
            <w:vAlign w:val="top"/>
          </w:tcPr>
          <w:p w14:paraId="1295C6B7">
            <w:pPr>
              <w:rPr>
                <w:rFonts w:ascii="Arial"/>
                <w:color w:val="auto"/>
                <w:sz w:val="21"/>
                <w:highlight w:val="none"/>
              </w:rPr>
            </w:pPr>
          </w:p>
        </w:tc>
        <w:tc>
          <w:tcPr>
            <w:tcW w:w="1799" w:type="dxa"/>
            <w:vAlign w:val="top"/>
          </w:tcPr>
          <w:p w14:paraId="051857CC">
            <w:pPr>
              <w:rPr>
                <w:rFonts w:ascii="Arial"/>
                <w:color w:val="auto"/>
                <w:sz w:val="21"/>
                <w:highlight w:val="none"/>
              </w:rPr>
            </w:pPr>
          </w:p>
        </w:tc>
        <w:tc>
          <w:tcPr>
            <w:tcW w:w="1914" w:type="dxa"/>
            <w:vAlign w:val="top"/>
          </w:tcPr>
          <w:p w14:paraId="549510A5">
            <w:pPr>
              <w:pStyle w:val="248"/>
              <w:spacing w:before="159" w:line="310" w:lineRule="auto"/>
              <w:ind w:left="19" w:right="11" w:firstLine="1"/>
              <w:rPr>
                <w:color w:val="auto"/>
                <w:highlight w:val="none"/>
              </w:rPr>
            </w:pPr>
            <w:r>
              <w:rPr>
                <w:color w:val="auto"/>
                <w:spacing w:val="18"/>
                <w:highlight w:val="none"/>
              </w:rPr>
              <w:t>溴化锂吸收式冷水机</w:t>
            </w:r>
            <w:r>
              <w:rPr>
                <w:color w:val="auto"/>
                <w:spacing w:val="4"/>
                <w:highlight w:val="none"/>
              </w:rPr>
              <w:t xml:space="preserve"> </w:t>
            </w:r>
            <w:r>
              <w:rPr>
                <w:color w:val="auto"/>
                <w:highlight w:val="none"/>
              </w:rPr>
              <w:t>组</w:t>
            </w:r>
          </w:p>
        </w:tc>
        <w:tc>
          <w:tcPr>
            <w:tcW w:w="2969" w:type="dxa"/>
            <w:vAlign w:val="top"/>
          </w:tcPr>
          <w:p w14:paraId="75C2DCD0">
            <w:pPr>
              <w:pStyle w:val="248"/>
              <w:spacing w:before="160" w:line="304" w:lineRule="auto"/>
              <w:ind w:left="22" w:right="11"/>
              <w:rPr>
                <w:color w:val="auto"/>
                <w:highlight w:val="none"/>
              </w:rPr>
            </w:pPr>
            <w:r>
              <w:rPr>
                <w:color w:val="auto"/>
                <w:spacing w:val="19"/>
                <w:highlight w:val="none"/>
              </w:rPr>
              <w:t>《溴化锂吸收式冷水机组能效限</w:t>
            </w:r>
            <w:r>
              <w:rPr>
                <w:color w:val="auto"/>
                <w:spacing w:val="2"/>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29540）</w:t>
            </w:r>
          </w:p>
        </w:tc>
      </w:tr>
      <w:tr w14:paraId="0C6F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712B95">
            <w:pPr>
              <w:rPr>
                <w:rFonts w:ascii="Arial"/>
                <w:color w:val="auto"/>
                <w:sz w:val="21"/>
                <w:highlight w:val="none"/>
              </w:rPr>
            </w:pPr>
          </w:p>
        </w:tc>
        <w:tc>
          <w:tcPr>
            <w:tcW w:w="1166" w:type="dxa"/>
            <w:vMerge w:val="continue"/>
            <w:tcBorders>
              <w:top w:val="nil"/>
              <w:bottom w:val="nil"/>
            </w:tcBorders>
            <w:vAlign w:val="top"/>
          </w:tcPr>
          <w:p w14:paraId="13D0E73E">
            <w:pPr>
              <w:rPr>
                <w:rFonts w:ascii="Arial"/>
                <w:color w:val="auto"/>
                <w:sz w:val="21"/>
                <w:highlight w:val="none"/>
              </w:rPr>
            </w:pPr>
          </w:p>
        </w:tc>
        <w:tc>
          <w:tcPr>
            <w:tcW w:w="1799" w:type="dxa"/>
            <w:vMerge w:val="restart"/>
            <w:tcBorders>
              <w:bottom w:val="nil"/>
            </w:tcBorders>
            <w:vAlign w:val="top"/>
          </w:tcPr>
          <w:p w14:paraId="29D9A29D">
            <w:pPr>
              <w:spacing w:line="265" w:lineRule="auto"/>
              <w:rPr>
                <w:rFonts w:ascii="Arial"/>
                <w:color w:val="auto"/>
                <w:sz w:val="21"/>
                <w:highlight w:val="none"/>
              </w:rPr>
            </w:pPr>
          </w:p>
          <w:p w14:paraId="4D8D1BB0">
            <w:pPr>
              <w:spacing w:line="265" w:lineRule="auto"/>
              <w:rPr>
                <w:rFonts w:ascii="Arial"/>
                <w:color w:val="auto"/>
                <w:sz w:val="21"/>
                <w:highlight w:val="none"/>
              </w:rPr>
            </w:pPr>
          </w:p>
          <w:p w14:paraId="339DFC02">
            <w:pPr>
              <w:spacing w:line="266" w:lineRule="auto"/>
              <w:rPr>
                <w:rFonts w:ascii="Arial"/>
                <w:color w:val="auto"/>
                <w:sz w:val="21"/>
                <w:highlight w:val="none"/>
              </w:rPr>
            </w:pPr>
          </w:p>
          <w:p w14:paraId="7696CF3E">
            <w:pPr>
              <w:pStyle w:val="248"/>
              <w:spacing w:before="62" w:line="310" w:lineRule="auto"/>
              <w:ind w:left="17" w:right="10"/>
              <w:rPr>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vAlign w:val="top"/>
          </w:tcPr>
          <w:p w14:paraId="67D043F6">
            <w:pPr>
              <w:pStyle w:val="248"/>
              <w:spacing w:before="65" w:line="284"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8"/>
                <w:highlight w:val="none"/>
              </w:rPr>
              <w:t>机</w:t>
            </w:r>
            <w:r>
              <w:rPr>
                <w:color w:val="auto"/>
                <w:spacing w:val="34"/>
                <w:highlight w:val="none"/>
              </w:rPr>
              <w:t xml:space="preserve">  </w:t>
            </w:r>
            <w:r>
              <w:rPr>
                <w:color w:val="auto"/>
                <w:spacing w:val="-8"/>
                <w:highlight w:val="none"/>
              </w:rPr>
              <w:t>组</w:t>
            </w:r>
            <w:r>
              <w:rPr>
                <w:color w:val="auto"/>
                <w:spacing w:val="2"/>
                <w:highlight w:val="none"/>
              </w:rPr>
              <w:t xml:space="preserve">   </w:t>
            </w:r>
            <w:r>
              <w:rPr>
                <w:color w:val="auto"/>
                <w:spacing w:val="-8"/>
                <w:highlight w:val="none"/>
              </w:rPr>
              <w:t>(</w:t>
            </w:r>
            <w:r>
              <w:rPr>
                <w:color w:val="auto"/>
                <w:spacing w:val="33"/>
                <w:highlight w:val="none"/>
              </w:rPr>
              <w:t xml:space="preserve">  </w:t>
            </w:r>
            <w:r>
              <w:rPr>
                <w:color w:val="auto"/>
                <w:spacing w:val="-8"/>
                <w:highlight w:val="none"/>
              </w:rPr>
              <w:t>制</w:t>
            </w:r>
            <w:r>
              <w:rPr>
                <w:color w:val="auto"/>
                <w:spacing w:val="35"/>
                <w:highlight w:val="none"/>
              </w:rPr>
              <w:t xml:space="preserve">  </w:t>
            </w:r>
            <w:r>
              <w:rPr>
                <w:color w:val="auto"/>
                <w:spacing w:val="-8"/>
                <w:highlight w:val="none"/>
              </w:rPr>
              <w:t>冷</w:t>
            </w:r>
            <w:r>
              <w:rPr>
                <w:color w:val="auto"/>
                <w:highlight w:val="none"/>
              </w:rPr>
              <w:t xml:space="preserve"> </w:t>
            </w:r>
            <w:r>
              <w:rPr>
                <w:color w:val="auto"/>
                <w:spacing w:val="5"/>
                <w:highlight w:val="none"/>
              </w:rPr>
              <w:t>量&gt;14000W)</w:t>
            </w:r>
          </w:p>
        </w:tc>
        <w:tc>
          <w:tcPr>
            <w:tcW w:w="2969" w:type="dxa"/>
            <w:vAlign w:val="top"/>
          </w:tcPr>
          <w:p w14:paraId="52513D91">
            <w:pPr>
              <w:pStyle w:val="248"/>
              <w:spacing w:before="221"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292FD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vAlign w:val="top"/>
          </w:tcPr>
          <w:p w14:paraId="1DB28F93">
            <w:pPr>
              <w:rPr>
                <w:rFonts w:ascii="Arial"/>
                <w:color w:val="auto"/>
                <w:sz w:val="21"/>
                <w:highlight w:val="none"/>
              </w:rPr>
            </w:pPr>
          </w:p>
        </w:tc>
        <w:tc>
          <w:tcPr>
            <w:tcW w:w="1166" w:type="dxa"/>
            <w:vMerge w:val="continue"/>
            <w:tcBorders>
              <w:top w:val="nil"/>
              <w:bottom w:val="nil"/>
            </w:tcBorders>
            <w:vAlign w:val="top"/>
          </w:tcPr>
          <w:p w14:paraId="34C6D3BD">
            <w:pPr>
              <w:rPr>
                <w:rFonts w:ascii="Arial"/>
                <w:color w:val="auto"/>
                <w:sz w:val="21"/>
                <w:highlight w:val="none"/>
              </w:rPr>
            </w:pPr>
          </w:p>
        </w:tc>
        <w:tc>
          <w:tcPr>
            <w:tcW w:w="1799" w:type="dxa"/>
            <w:vMerge w:val="continue"/>
            <w:tcBorders>
              <w:top w:val="nil"/>
            </w:tcBorders>
            <w:vAlign w:val="top"/>
          </w:tcPr>
          <w:p w14:paraId="36405C00">
            <w:pPr>
              <w:rPr>
                <w:rFonts w:ascii="Arial"/>
                <w:color w:val="auto"/>
                <w:sz w:val="21"/>
                <w:highlight w:val="none"/>
              </w:rPr>
            </w:pPr>
          </w:p>
        </w:tc>
        <w:tc>
          <w:tcPr>
            <w:tcW w:w="1914" w:type="dxa"/>
            <w:vAlign w:val="top"/>
          </w:tcPr>
          <w:p w14:paraId="7B028113">
            <w:pPr>
              <w:spacing w:line="319" w:lineRule="auto"/>
              <w:rPr>
                <w:rFonts w:ascii="Arial"/>
                <w:color w:val="auto"/>
                <w:sz w:val="21"/>
                <w:highlight w:val="none"/>
              </w:rPr>
            </w:pPr>
          </w:p>
          <w:p w14:paraId="36C0C62A">
            <w:pPr>
              <w:pStyle w:val="248"/>
              <w:spacing w:before="62"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2"/>
                <w:highlight w:val="none"/>
              </w:rPr>
              <w:t>(制冷量&gt;14000W)</w:t>
            </w:r>
          </w:p>
        </w:tc>
        <w:tc>
          <w:tcPr>
            <w:tcW w:w="2969" w:type="dxa"/>
            <w:vAlign w:val="top"/>
          </w:tcPr>
          <w:p w14:paraId="3E6731E4">
            <w:pPr>
              <w:pStyle w:val="248"/>
              <w:spacing w:before="72" w:line="290" w:lineRule="auto"/>
              <w:ind w:left="16"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6"/>
                <w:highlight w:val="none"/>
              </w:rPr>
              <w:t>及能效等级》（</w:t>
            </w:r>
            <w:r>
              <w:rPr>
                <w:color w:val="auto"/>
                <w:highlight w:val="none"/>
              </w:rPr>
              <w:t>GB</w:t>
            </w:r>
            <w:r>
              <w:rPr>
                <w:color w:val="auto"/>
                <w:spacing w:val="-13"/>
                <w:highlight w:val="none"/>
              </w:rPr>
              <w:t xml:space="preserve"> </w:t>
            </w:r>
            <w:r>
              <w:rPr>
                <w:color w:val="auto"/>
                <w:spacing w:val="6"/>
                <w:highlight w:val="none"/>
              </w:rPr>
              <w:t>19576）《风管</w:t>
            </w:r>
            <w:r>
              <w:rPr>
                <w:color w:val="auto"/>
                <w:highlight w:val="none"/>
              </w:rPr>
              <w:t xml:space="preserve"> </w:t>
            </w:r>
            <w:r>
              <w:rPr>
                <w:color w:val="auto"/>
                <w:spacing w:val="19"/>
                <w:highlight w:val="none"/>
              </w:rPr>
              <w:t>送风式空调机组能效限定值及能</w:t>
            </w:r>
            <w:r>
              <w:rPr>
                <w:color w:val="auto"/>
                <w:spacing w:val="9"/>
                <w:highlight w:val="none"/>
              </w:rPr>
              <w:t xml:space="preserve"> </w:t>
            </w:r>
            <w:r>
              <w:rPr>
                <w:color w:val="auto"/>
                <w:spacing w:val="7"/>
                <w:highlight w:val="none"/>
              </w:rPr>
              <w:t>效等级》（</w:t>
            </w:r>
            <w:r>
              <w:rPr>
                <w:color w:val="auto"/>
                <w:highlight w:val="none"/>
              </w:rPr>
              <w:t>GB</w:t>
            </w:r>
            <w:r>
              <w:rPr>
                <w:color w:val="auto"/>
                <w:spacing w:val="7"/>
                <w:highlight w:val="none"/>
              </w:rPr>
              <w:t xml:space="preserve"> 37479）</w:t>
            </w:r>
          </w:p>
        </w:tc>
      </w:tr>
      <w:tr w14:paraId="55E2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vAlign w:val="top"/>
          </w:tcPr>
          <w:p w14:paraId="6D522909">
            <w:pPr>
              <w:rPr>
                <w:rFonts w:ascii="Arial"/>
                <w:color w:val="auto"/>
                <w:sz w:val="21"/>
                <w:highlight w:val="none"/>
              </w:rPr>
            </w:pPr>
          </w:p>
        </w:tc>
        <w:tc>
          <w:tcPr>
            <w:tcW w:w="1166" w:type="dxa"/>
            <w:vMerge w:val="continue"/>
            <w:tcBorders>
              <w:top w:val="nil"/>
              <w:bottom w:val="nil"/>
            </w:tcBorders>
            <w:vAlign w:val="top"/>
          </w:tcPr>
          <w:p w14:paraId="0A99859A">
            <w:pPr>
              <w:rPr>
                <w:rFonts w:ascii="Arial"/>
                <w:color w:val="auto"/>
                <w:sz w:val="21"/>
                <w:highlight w:val="none"/>
              </w:rPr>
            </w:pPr>
          </w:p>
        </w:tc>
        <w:tc>
          <w:tcPr>
            <w:tcW w:w="1799" w:type="dxa"/>
            <w:vAlign w:val="top"/>
          </w:tcPr>
          <w:p w14:paraId="7EF887A3">
            <w:pPr>
              <w:pStyle w:val="248"/>
              <w:spacing w:before="146" w:line="303" w:lineRule="auto"/>
              <w:ind w:left="17" w:right="10" w:firstLine="1"/>
              <w:rPr>
                <w:color w:val="auto"/>
                <w:highlight w:val="none"/>
              </w:rPr>
            </w:pPr>
            <w:r>
              <w:rPr>
                <w:color w:val="auto"/>
                <w:spacing w:val="3"/>
                <w:highlight w:val="none"/>
              </w:rPr>
              <w:t>★A02052309 专用制</w:t>
            </w:r>
            <w:r>
              <w:rPr>
                <w:color w:val="auto"/>
                <w:spacing w:val="12"/>
                <w:highlight w:val="none"/>
              </w:rPr>
              <w:t xml:space="preserve"> </w:t>
            </w:r>
            <w:r>
              <w:rPr>
                <w:color w:val="auto"/>
                <w:spacing w:val="8"/>
                <w:highlight w:val="none"/>
              </w:rPr>
              <w:t>冷、空调设备</w:t>
            </w:r>
          </w:p>
        </w:tc>
        <w:tc>
          <w:tcPr>
            <w:tcW w:w="1914" w:type="dxa"/>
            <w:vAlign w:val="top"/>
          </w:tcPr>
          <w:p w14:paraId="3BB04D24">
            <w:pPr>
              <w:pStyle w:val="248"/>
              <w:spacing w:before="300" w:line="228" w:lineRule="auto"/>
              <w:ind w:left="15"/>
              <w:rPr>
                <w:color w:val="auto"/>
                <w:highlight w:val="none"/>
              </w:rPr>
            </w:pPr>
            <w:r>
              <w:rPr>
                <w:color w:val="auto"/>
                <w:spacing w:val="7"/>
                <w:highlight w:val="none"/>
              </w:rPr>
              <w:t>机房空调</w:t>
            </w:r>
          </w:p>
        </w:tc>
        <w:tc>
          <w:tcPr>
            <w:tcW w:w="2969" w:type="dxa"/>
            <w:vAlign w:val="top"/>
          </w:tcPr>
          <w:p w14:paraId="14505153">
            <w:pPr>
              <w:pStyle w:val="248"/>
              <w:spacing w:before="146" w:line="302" w:lineRule="auto"/>
              <w:ind w:left="17" w:right="11" w:firstLine="6"/>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19576）</w:t>
            </w:r>
          </w:p>
        </w:tc>
      </w:tr>
      <w:tr w14:paraId="5A7D0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vAlign w:val="top"/>
          </w:tcPr>
          <w:p w14:paraId="4E4FA394">
            <w:pPr>
              <w:rPr>
                <w:rFonts w:ascii="Arial"/>
                <w:color w:val="auto"/>
                <w:sz w:val="21"/>
                <w:highlight w:val="none"/>
              </w:rPr>
            </w:pPr>
          </w:p>
        </w:tc>
        <w:tc>
          <w:tcPr>
            <w:tcW w:w="1166" w:type="dxa"/>
            <w:vMerge w:val="continue"/>
            <w:tcBorders>
              <w:top w:val="nil"/>
            </w:tcBorders>
            <w:vAlign w:val="top"/>
          </w:tcPr>
          <w:p w14:paraId="7FF8E5AD">
            <w:pPr>
              <w:rPr>
                <w:rFonts w:ascii="Arial"/>
                <w:color w:val="auto"/>
                <w:sz w:val="21"/>
                <w:highlight w:val="none"/>
              </w:rPr>
            </w:pPr>
          </w:p>
        </w:tc>
        <w:tc>
          <w:tcPr>
            <w:tcW w:w="1799" w:type="dxa"/>
            <w:vAlign w:val="top"/>
          </w:tcPr>
          <w:p w14:paraId="43BD647D">
            <w:pPr>
              <w:spacing w:line="265" w:lineRule="auto"/>
              <w:rPr>
                <w:rFonts w:ascii="Arial"/>
                <w:color w:val="auto"/>
                <w:sz w:val="21"/>
                <w:highlight w:val="none"/>
              </w:rPr>
            </w:pPr>
          </w:p>
          <w:p w14:paraId="0E290F5F">
            <w:pPr>
              <w:spacing w:line="265" w:lineRule="auto"/>
              <w:rPr>
                <w:rFonts w:ascii="Arial"/>
                <w:color w:val="auto"/>
                <w:sz w:val="21"/>
                <w:highlight w:val="none"/>
              </w:rPr>
            </w:pPr>
          </w:p>
          <w:p w14:paraId="3C4963DD">
            <w:pPr>
              <w:pStyle w:val="248"/>
              <w:spacing w:before="62" w:line="230" w:lineRule="auto"/>
              <w:ind w:left="9"/>
              <w:rPr>
                <w:color w:val="auto"/>
                <w:highlight w:val="none"/>
              </w:rPr>
            </w:pPr>
            <w:r>
              <w:rPr>
                <w:color w:val="auto"/>
                <w:spacing w:val="4"/>
                <w:highlight w:val="none"/>
              </w:rPr>
              <w:t>A02052399 其他制冷</w:t>
            </w:r>
          </w:p>
          <w:p w14:paraId="082E8639">
            <w:pPr>
              <w:pStyle w:val="248"/>
              <w:spacing w:before="75" w:line="230" w:lineRule="auto"/>
              <w:ind w:left="21"/>
              <w:rPr>
                <w:color w:val="auto"/>
                <w:highlight w:val="none"/>
              </w:rPr>
            </w:pPr>
            <w:r>
              <w:rPr>
                <w:color w:val="auto"/>
                <w:spacing w:val="5"/>
                <w:highlight w:val="none"/>
              </w:rPr>
              <w:t>空调设备</w:t>
            </w:r>
          </w:p>
        </w:tc>
        <w:tc>
          <w:tcPr>
            <w:tcW w:w="1914" w:type="dxa"/>
            <w:vAlign w:val="top"/>
          </w:tcPr>
          <w:p w14:paraId="31FEB5CC">
            <w:pPr>
              <w:spacing w:line="343" w:lineRule="auto"/>
              <w:rPr>
                <w:rFonts w:ascii="Arial"/>
                <w:color w:val="auto"/>
                <w:sz w:val="21"/>
                <w:highlight w:val="none"/>
              </w:rPr>
            </w:pPr>
          </w:p>
          <w:p w14:paraId="24C75AAC">
            <w:pPr>
              <w:spacing w:line="343" w:lineRule="auto"/>
              <w:rPr>
                <w:rFonts w:ascii="Arial"/>
                <w:color w:val="auto"/>
                <w:sz w:val="21"/>
                <w:highlight w:val="none"/>
              </w:rPr>
            </w:pPr>
          </w:p>
          <w:p w14:paraId="07034F75">
            <w:pPr>
              <w:pStyle w:val="248"/>
              <w:spacing w:before="62" w:line="231" w:lineRule="auto"/>
              <w:ind w:left="18"/>
              <w:rPr>
                <w:color w:val="auto"/>
                <w:highlight w:val="none"/>
              </w:rPr>
            </w:pPr>
            <w:r>
              <w:rPr>
                <w:color w:val="auto"/>
                <w:spacing w:val="6"/>
                <w:highlight w:val="none"/>
              </w:rPr>
              <w:t>冷却塔</w:t>
            </w:r>
          </w:p>
        </w:tc>
        <w:tc>
          <w:tcPr>
            <w:tcW w:w="2969" w:type="dxa"/>
            <w:vAlign w:val="top"/>
          </w:tcPr>
          <w:p w14:paraId="376AF64F">
            <w:pPr>
              <w:pStyle w:val="248"/>
              <w:spacing w:before="284" w:line="304" w:lineRule="auto"/>
              <w:ind w:left="23"/>
              <w:jc w:val="both"/>
              <w:rPr>
                <w:color w:val="auto"/>
                <w:highlight w:val="none"/>
              </w:rPr>
            </w:pPr>
            <w:r>
              <w:rPr>
                <w:color w:val="auto"/>
                <w:spacing w:val="2"/>
                <w:highlight w:val="none"/>
              </w:rPr>
              <w:t>《机械通风冷却塔 第 1 部分：中</w:t>
            </w:r>
            <w:r>
              <w:rPr>
                <w:color w:val="auto"/>
                <w:spacing w:val="3"/>
                <w:highlight w:val="none"/>
              </w:rPr>
              <w:t xml:space="preserve"> </w:t>
            </w:r>
            <w:r>
              <w:rPr>
                <w:color w:val="auto"/>
                <w:spacing w:val="-6"/>
                <w:highlight w:val="none"/>
              </w:rPr>
              <w:t>小型开式冷却塔》（GB</w:t>
            </w:r>
            <w:r>
              <w:rPr>
                <w:color w:val="auto"/>
                <w:spacing w:val="-36"/>
                <w:highlight w:val="none"/>
              </w:rPr>
              <w:t xml:space="preserve"> </w:t>
            </w:r>
            <w:r>
              <w:rPr>
                <w:color w:val="auto"/>
                <w:spacing w:val="-6"/>
                <w:highlight w:val="none"/>
              </w:rPr>
              <w:t>/T</w:t>
            </w:r>
            <w:r>
              <w:rPr>
                <w:color w:val="auto"/>
                <w:spacing w:val="-31"/>
                <w:highlight w:val="none"/>
              </w:rPr>
              <w:t xml:space="preserve"> </w:t>
            </w:r>
            <w:r>
              <w:rPr>
                <w:color w:val="auto"/>
                <w:spacing w:val="-6"/>
                <w:highlight w:val="none"/>
              </w:rPr>
              <w:t>7190.1</w:t>
            </w:r>
            <w:r>
              <w:rPr>
                <w:color w:val="auto"/>
                <w:spacing w:val="-49"/>
                <w:w w:val="97"/>
                <w:highlight w:val="none"/>
              </w:rPr>
              <w:t>）；</w:t>
            </w:r>
            <w:r>
              <w:rPr>
                <w:color w:val="auto"/>
                <w:highlight w:val="none"/>
              </w:rPr>
              <w:t xml:space="preserve"> </w:t>
            </w:r>
            <w:r>
              <w:rPr>
                <w:color w:val="auto"/>
                <w:spacing w:val="2"/>
                <w:highlight w:val="none"/>
              </w:rPr>
              <w:t>《机械通风冷却塔 第 2 部分：大</w:t>
            </w:r>
            <w:r>
              <w:rPr>
                <w:color w:val="auto"/>
                <w:spacing w:val="3"/>
                <w:highlight w:val="none"/>
              </w:rPr>
              <w:t xml:space="preserve"> </w:t>
            </w:r>
            <w:r>
              <w:rPr>
                <w:color w:val="auto"/>
                <w:spacing w:val="4"/>
                <w:highlight w:val="none"/>
              </w:rPr>
              <w:t>型开式冷却塔》（</w:t>
            </w:r>
            <w:r>
              <w:rPr>
                <w:color w:val="auto"/>
                <w:highlight w:val="none"/>
              </w:rPr>
              <w:t>GB</w:t>
            </w:r>
            <w:r>
              <w:rPr>
                <w:color w:val="auto"/>
                <w:spacing w:val="4"/>
                <w:highlight w:val="none"/>
              </w:rPr>
              <w:t xml:space="preserve"> /T 7190.2）</w:t>
            </w:r>
          </w:p>
        </w:tc>
      </w:tr>
      <w:tr w14:paraId="59B0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Align w:val="top"/>
          </w:tcPr>
          <w:p w14:paraId="5E95CF61">
            <w:pPr>
              <w:pStyle w:val="248"/>
              <w:spacing w:before="272" w:line="257" w:lineRule="exact"/>
              <w:ind w:left="247"/>
              <w:rPr>
                <w:color w:val="auto"/>
                <w:highlight w:val="none"/>
              </w:rPr>
            </w:pPr>
            <w:r>
              <w:rPr>
                <w:color w:val="auto"/>
                <w:position w:val="1"/>
                <w:highlight w:val="none"/>
              </w:rPr>
              <w:t>7</w:t>
            </w:r>
          </w:p>
        </w:tc>
        <w:tc>
          <w:tcPr>
            <w:tcW w:w="1166" w:type="dxa"/>
            <w:vAlign w:val="top"/>
          </w:tcPr>
          <w:p w14:paraId="6A682227">
            <w:pPr>
              <w:pStyle w:val="248"/>
              <w:spacing w:before="273" w:line="228" w:lineRule="auto"/>
              <w:ind w:left="9"/>
              <w:rPr>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vAlign w:val="top"/>
          </w:tcPr>
          <w:p w14:paraId="73D04498">
            <w:pPr>
              <w:rPr>
                <w:rFonts w:ascii="Arial"/>
                <w:color w:val="auto"/>
                <w:sz w:val="21"/>
                <w:highlight w:val="none"/>
              </w:rPr>
            </w:pPr>
          </w:p>
        </w:tc>
        <w:tc>
          <w:tcPr>
            <w:tcW w:w="1914" w:type="dxa"/>
            <w:vAlign w:val="top"/>
          </w:tcPr>
          <w:p w14:paraId="74565906">
            <w:pPr>
              <w:rPr>
                <w:rFonts w:ascii="Arial"/>
                <w:color w:val="auto"/>
                <w:sz w:val="21"/>
                <w:highlight w:val="none"/>
              </w:rPr>
            </w:pPr>
          </w:p>
        </w:tc>
        <w:tc>
          <w:tcPr>
            <w:tcW w:w="2969" w:type="dxa"/>
            <w:vAlign w:val="top"/>
          </w:tcPr>
          <w:p w14:paraId="02034A5E">
            <w:pPr>
              <w:pStyle w:val="248"/>
              <w:spacing w:before="116" w:line="296" w:lineRule="auto"/>
              <w:ind w:left="22" w:right="11"/>
              <w:rPr>
                <w:color w:val="auto"/>
                <w:highlight w:val="none"/>
              </w:rPr>
            </w:pPr>
            <w:r>
              <w:rPr>
                <w:color w:val="auto"/>
                <w:spacing w:val="19"/>
                <w:highlight w:val="none"/>
              </w:rPr>
              <w:t>《中小型三相异步电动机能效限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18613）</w:t>
            </w:r>
          </w:p>
        </w:tc>
      </w:tr>
      <w:tr w14:paraId="7A596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vAlign w:val="top"/>
          </w:tcPr>
          <w:p w14:paraId="43BD90CE">
            <w:pPr>
              <w:pStyle w:val="248"/>
              <w:spacing w:before="251" w:line="257" w:lineRule="exact"/>
              <w:ind w:left="243"/>
              <w:rPr>
                <w:color w:val="auto"/>
                <w:highlight w:val="none"/>
              </w:rPr>
            </w:pPr>
            <w:r>
              <w:rPr>
                <w:color w:val="auto"/>
                <w:position w:val="1"/>
                <w:highlight w:val="none"/>
              </w:rPr>
              <w:t>8</w:t>
            </w:r>
          </w:p>
        </w:tc>
        <w:tc>
          <w:tcPr>
            <w:tcW w:w="1166" w:type="dxa"/>
            <w:vAlign w:val="top"/>
          </w:tcPr>
          <w:p w14:paraId="16699CB6">
            <w:pPr>
              <w:pStyle w:val="248"/>
              <w:spacing w:before="96" w:line="285" w:lineRule="auto"/>
              <w:ind w:left="15" w:right="8" w:hanging="6"/>
              <w:rPr>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vAlign w:val="top"/>
          </w:tcPr>
          <w:p w14:paraId="60C2819E">
            <w:pPr>
              <w:pStyle w:val="248"/>
              <w:spacing w:before="252" w:line="230" w:lineRule="auto"/>
              <w:ind w:left="15"/>
              <w:rPr>
                <w:color w:val="auto"/>
                <w:highlight w:val="none"/>
              </w:rPr>
            </w:pPr>
            <w:r>
              <w:rPr>
                <w:color w:val="auto"/>
                <w:spacing w:val="8"/>
                <w:highlight w:val="none"/>
              </w:rPr>
              <w:t>配电变压器</w:t>
            </w:r>
          </w:p>
        </w:tc>
        <w:tc>
          <w:tcPr>
            <w:tcW w:w="1914" w:type="dxa"/>
            <w:vAlign w:val="top"/>
          </w:tcPr>
          <w:p w14:paraId="36F1C913">
            <w:pPr>
              <w:rPr>
                <w:rFonts w:ascii="Arial"/>
                <w:color w:val="auto"/>
                <w:sz w:val="21"/>
                <w:highlight w:val="none"/>
              </w:rPr>
            </w:pPr>
          </w:p>
        </w:tc>
        <w:tc>
          <w:tcPr>
            <w:tcW w:w="2969" w:type="dxa"/>
            <w:vAlign w:val="top"/>
          </w:tcPr>
          <w:p w14:paraId="2A601436">
            <w:pPr>
              <w:pStyle w:val="248"/>
              <w:spacing w:before="96" w:line="285" w:lineRule="auto"/>
              <w:ind w:left="25" w:right="11" w:hanging="2"/>
              <w:rPr>
                <w:color w:val="auto"/>
                <w:highlight w:val="none"/>
              </w:rPr>
            </w:pPr>
            <w:r>
              <w:rPr>
                <w:color w:val="auto"/>
                <w:spacing w:val="19"/>
                <w:highlight w:val="none"/>
              </w:rPr>
              <w:t>《三相配电变压器能效限定值及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20052）</w:t>
            </w:r>
          </w:p>
        </w:tc>
      </w:tr>
      <w:tr w14:paraId="73FC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vAlign w:val="top"/>
          </w:tcPr>
          <w:p w14:paraId="203491C1">
            <w:pPr>
              <w:spacing w:line="284" w:lineRule="auto"/>
              <w:rPr>
                <w:rFonts w:ascii="Arial"/>
                <w:color w:val="auto"/>
                <w:sz w:val="21"/>
                <w:highlight w:val="none"/>
              </w:rPr>
            </w:pPr>
          </w:p>
          <w:p w14:paraId="7D7C1423">
            <w:pPr>
              <w:pStyle w:val="248"/>
              <w:spacing w:before="62" w:line="256" w:lineRule="exact"/>
              <w:ind w:left="243"/>
              <w:rPr>
                <w:color w:val="auto"/>
                <w:highlight w:val="none"/>
              </w:rPr>
            </w:pPr>
            <w:r>
              <w:rPr>
                <w:color w:val="auto"/>
                <w:position w:val="1"/>
                <w:highlight w:val="none"/>
              </w:rPr>
              <w:t>9</w:t>
            </w:r>
          </w:p>
        </w:tc>
        <w:tc>
          <w:tcPr>
            <w:tcW w:w="1166" w:type="dxa"/>
            <w:vAlign w:val="top"/>
          </w:tcPr>
          <w:p w14:paraId="693D96EB">
            <w:pPr>
              <w:pStyle w:val="248"/>
              <w:spacing w:before="192" w:line="306" w:lineRule="auto"/>
              <w:ind w:left="16" w:right="8" w:firstLine="2"/>
              <w:rPr>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vAlign w:val="top"/>
          </w:tcPr>
          <w:p w14:paraId="7BD00772">
            <w:pPr>
              <w:spacing w:line="284" w:lineRule="auto"/>
              <w:rPr>
                <w:rFonts w:ascii="Arial"/>
                <w:color w:val="auto"/>
                <w:sz w:val="21"/>
                <w:highlight w:val="none"/>
              </w:rPr>
            </w:pPr>
          </w:p>
          <w:p w14:paraId="36BCBE7C">
            <w:pPr>
              <w:pStyle w:val="248"/>
              <w:spacing w:before="62" w:line="229" w:lineRule="auto"/>
              <w:ind w:left="19"/>
              <w:rPr>
                <w:color w:val="auto"/>
                <w:highlight w:val="none"/>
              </w:rPr>
            </w:pPr>
            <w:r>
              <w:rPr>
                <w:color w:val="auto"/>
                <w:spacing w:val="8"/>
                <w:highlight w:val="none"/>
              </w:rPr>
              <w:t>管型荧光灯镇流器</w:t>
            </w:r>
          </w:p>
        </w:tc>
        <w:tc>
          <w:tcPr>
            <w:tcW w:w="1914" w:type="dxa"/>
            <w:vAlign w:val="top"/>
          </w:tcPr>
          <w:p w14:paraId="0E1F29EA">
            <w:pPr>
              <w:rPr>
                <w:rFonts w:ascii="Arial"/>
                <w:color w:val="auto"/>
                <w:sz w:val="21"/>
                <w:highlight w:val="none"/>
              </w:rPr>
            </w:pPr>
          </w:p>
        </w:tc>
        <w:tc>
          <w:tcPr>
            <w:tcW w:w="2969" w:type="dxa"/>
            <w:vAlign w:val="top"/>
          </w:tcPr>
          <w:p w14:paraId="5C17DF92">
            <w:pPr>
              <w:pStyle w:val="248"/>
              <w:spacing w:before="192" w:line="304" w:lineRule="auto"/>
              <w:ind w:left="17" w:right="11" w:firstLine="6"/>
              <w:rPr>
                <w:color w:val="auto"/>
                <w:highlight w:val="none"/>
              </w:rPr>
            </w:pPr>
            <w:r>
              <w:rPr>
                <w:color w:val="auto"/>
                <w:spacing w:val="19"/>
                <w:highlight w:val="none"/>
              </w:rPr>
              <w:t>《管形荧光灯镇流器能效限定值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17896）</w:t>
            </w:r>
          </w:p>
        </w:tc>
      </w:tr>
      <w:tr w14:paraId="4875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vAlign w:val="top"/>
          </w:tcPr>
          <w:p w14:paraId="2FFC9C0D">
            <w:pPr>
              <w:spacing w:line="258" w:lineRule="auto"/>
              <w:rPr>
                <w:rFonts w:ascii="Arial"/>
                <w:color w:val="auto"/>
                <w:sz w:val="21"/>
                <w:highlight w:val="none"/>
              </w:rPr>
            </w:pPr>
          </w:p>
          <w:p w14:paraId="4BC34DFB">
            <w:pPr>
              <w:spacing w:line="258" w:lineRule="auto"/>
              <w:rPr>
                <w:rFonts w:ascii="Arial"/>
                <w:color w:val="auto"/>
                <w:sz w:val="21"/>
                <w:highlight w:val="none"/>
              </w:rPr>
            </w:pPr>
          </w:p>
          <w:p w14:paraId="27F0CA2E">
            <w:pPr>
              <w:spacing w:line="258" w:lineRule="auto"/>
              <w:rPr>
                <w:rFonts w:ascii="Arial"/>
                <w:color w:val="auto"/>
                <w:sz w:val="21"/>
                <w:highlight w:val="none"/>
              </w:rPr>
            </w:pPr>
          </w:p>
          <w:p w14:paraId="4174F754">
            <w:pPr>
              <w:spacing w:line="258" w:lineRule="auto"/>
              <w:rPr>
                <w:rFonts w:ascii="Arial"/>
                <w:color w:val="auto"/>
                <w:sz w:val="21"/>
                <w:highlight w:val="none"/>
              </w:rPr>
            </w:pPr>
          </w:p>
          <w:p w14:paraId="4C2AE276">
            <w:pPr>
              <w:spacing w:line="258" w:lineRule="auto"/>
              <w:rPr>
                <w:rFonts w:ascii="Arial"/>
                <w:color w:val="auto"/>
                <w:sz w:val="21"/>
                <w:highlight w:val="none"/>
              </w:rPr>
            </w:pPr>
          </w:p>
          <w:p w14:paraId="05756276">
            <w:pPr>
              <w:spacing w:line="258" w:lineRule="auto"/>
              <w:rPr>
                <w:rFonts w:ascii="Arial"/>
                <w:color w:val="auto"/>
                <w:sz w:val="21"/>
                <w:highlight w:val="none"/>
              </w:rPr>
            </w:pPr>
          </w:p>
          <w:p w14:paraId="25BA9C53">
            <w:pPr>
              <w:spacing w:line="259" w:lineRule="auto"/>
              <w:rPr>
                <w:rFonts w:ascii="Arial"/>
                <w:color w:val="auto"/>
                <w:sz w:val="21"/>
                <w:highlight w:val="none"/>
              </w:rPr>
            </w:pPr>
          </w:p>
          <w:p w14:paraId="27E1AD97">
            <w:pPr>
              <w:spacing w:line="259" w:lineRule="auto"/>
              <w:rPr>
                <w:rFonts w:ascii="Arial"/>
                <w:color w:val="auto"/>
                <w:sz w:val="21"/>
                <w:highlight w:val="none"/>
              </w:rPr>
            </w:pPr>
          </w:p>
          <w:p w14:paraId="2E175F8D">
            <w:pPr>
              <w:spacing w:line="259" w:lineRule="auto"/>
              <w:rPr>
                <w:rFonts w:ascii="Arial"/>
                <w:color w:val="auto"/>
                <w:sz w:val="21"/>
                <w:highlight w:val="none"/>
              </w:rPr>
            </w:pPr>
          </w:p>
          <w:p w14:paraId="2DF15992">
            <w:pPr>
              <w:spacing w:line="259" w:lineRule="auto"/>
              <w:rPr>
                <w:rFonts w:ascii="Arial"/>
                <w:color w:val="auto"/>
                <w:sz w:val="21"/>
                <w:highlight w:val="none"/>
              </w:rPr>
            </w:pPr>
          </w:p>
          <w:p w14:paraId="347391D1">
            <w:pPr>
              <w:pStyle w:val="248"/>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vAlign w:val="top"/>
          </w:tcPr>
          <w:p w14:paraId="4E90FA5B">
            <w:pPr>
              <w:spacing w:line="242" w:lineRule="auto"/>
              <w:rPr>
                <w:rFonts w:ascii="Arial"/>
                <w:color w:val="auto"/>
                <w:sz w:val="21"/>
                <w:highlight w:val="none"/>
              </w:rPr>
            </w:pPr>
          </w:p>
          <w:p w14:paraId="51278A5E">
            <w:pPr>
              <w:spacing w:line="243" w:lineRule="auto"/>
              <w:rPr>
                <w:rFonts w:ascii="Arial"/>
                <w:color w:val="auto"/>
                <w:sz w:val="21"/>
                <w:highlight w:val="none"/>
              </w:rPr>
            </w:pPr>
          </w:p>
          <w:p w14:paraId="48CC9D44">
            <w:pPr>
              <w:spacing w:line="243" w:lineRule="auto"/>
              <w:rPr>
                <w:rFonts w:ascii="Arial"/>
                <w:color w:val="auto"/>
                <w:sz w:val="21"/>
                <w:highlight w:val="none"/>
              </w:rPr>
            </w:pPr>
          </w:p>
          <w:p w14:paraId="79C67AEE">
            <w:pPr>
              <w:spacing w:line="243" w:lineRule="auto"/>
              <w:rPr>
                <w:rFonts w:ascii="Arial"/>
                <w:color w:val="auto"/>
                <w:sz w:val="21"/>
                <w:highlight w:val="none"/>
              </w:rPr>
            </w:pPr>
          </w:p>
          <w:p w14:paraId="647FD45B">
            <w:pPr>
              <w:spacing w:line="243" w:lineRule="auto"/>
              <w:rPr>
                <w:rFonts w:ascii="Arial"/>
                <w:color w:val="auto"/>
                <w:sz w:val="21"/>
                <w:highlight w:val="none"/>
              </w:rPr>
            </w:pPr>
          </w:p>
          <w:p w14:paraId="35B62772">
            <w:pPr>
              <w:spacing w:line="243" w:lineRule="auto"/>
              <w:rPr>
                <w:rFonts w:ascii="Arial"/>
                <w:color w:val="auto"/>
                <w:sz w:val="21"/>
                <w:highlight w:val="none"/>
              </w:rPr>
            </w:pPr>
          </w:p>
          <w:p w14:paraId="27C82EB7">
            <w:pPr>
              <w:spacing w:line="243" w:lineRule="auto"/>
              <w:rPr>
                <w:rFonts w:ascii="Arial"/>
                <w:color w:val="auto"/>
                <w:sz w:val="21"/>
                <w:highlight w:val="none"/>
              </w:rPr>
            </w:pPr>
          </w:p>
          <w:p w14:paraId="051F9F2D">
            <w:pPr>
              <w:spacing w:line="243" w:lineRule="auto"/>
              <w:rPr>
                <w:rFonts w:ascii="Arial"/>
                <w:color w:val="auto"/>
                <w:sz w:val="21"/>
                <w:highlight w:val="none"/>
              </w:rPr>
            </w:pPr>
          </w:p>
          <w:p w14:paraId="43DF196A">
            <w:pPr>
              <w:spacing w:line="243" w:lineRule="auto"/>
              <w:rPr>
                <w:rFonts w:ascii="Arial"/>
                <w:color w:val="auto"/>
                <w:sz w:val="21"/>
                <w:highlight w:val="none"/>
              </w:rPr>
            </w:pPr>
          </w:p>
          <w:p w14:paraId="567805F2">
            <w:pPr>
              <w:spacing w:line="243" w:lineRule="auto"/>
              <w:rPr>
                <w:rFonts w:ascii="Arial"/>
                <w:color w:val="auto"/>
                <w:sz w:val="21"/>
                <w:highlight w:val="none"/>
              </w:rPr>
            </w:pPr>
          </w:p>
          <w:p w14:paraId="7D11DCB6">
            <w:pPr>
              <w:pStyle w:val="248"/>
              <w:spacing w:before="62" w:line="305" w:lineRule="auto"/>
              <w:ind w:left="16" w:right="8" w:hanging="7"/>
              <w:rPr>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vAlign w:val="top"/>
          </w:tcPr>
          <w:p w14:paraId="7B0373FD">
            <w:pPr>
              <w:pStyle w:val="248"/>
              <w:spacing w:before="276" w:line="230" w:lineRule="auto"/>
              <w:ind w:left="9"/>
              <w:rPr>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vAlign w:val="top"/>
          </w:tcPr>
          <w:p w14:paraId="1A47534D">
            <w:pPr>
              <w:rPr>
                <w:rFonts w:ascii="Arial"/>
                <w:color w:val="auto"/>
                <w:sz w:val="21"/>
                <w:highlight w:val="none"/>
              </w:rPr>
            </w:pPr>
          </w:p>
        </w:tc>
        <w:tc>
          <w:tcPr>
            <w:tcW w:w="2969" w:type="dxa"/>
            <w:vAlign w:val="top"/>
          </w:tcPr>
          <w:p w14:paraId="2016FBFD">
            <w:pPr>
              <w:pStyle w:val="248"/>
              <w:spacing w:before="119" w:line="296" w:lineRule="auto"/>
              <w:ind w:left="22" w:right="11"/>
              <w:rPr>
                <w:color w:val="auto"/>
                <w:highlight w:val="none"/>
              </w:rPr>
            </w:pPr>
            <w:r>
              <w:rPr>
                <w:color w:val="auto"/>
                <w:spacing w:val="19"/>
                <w:highlight w:val="none"/>
              </w:rPr>
              <w:t>《家用电冰箱耗电量限定值及能</w:t>
            </w:r>
            <w:r>
              <w:rPr>
                <w:color w:val="auto"/>
                <w:spacing w:val="2"/>
                <w:highlight w:val="none"/>
              </w:rPr>
              <w:t xml:space="preserve"> </w:t>
            </w:r>
            <w:r>
              <w:rPr>
                <w:color w:val="auto"/>
                <w:spacing w:val="4"/>
                <w:highlight w:val="none"/>
              </w:rPr>
              <w:t>效等级》（</w:t>
            </w:r>
            <w:r>
              <w:rPr>
                <w:color w:val="auto"/>
                <w:highlight w:val="none"/>
              </w:rPr>
              <w:t>GB</w:t>
            </w:r>
            <w:r>
              <w:rPr>
                <w:color w:val="auto"/>
                <w:spacing w:val="20"/>
                <w:highlight w:val="none"/>
              </w:rPr>
              <w:t xml:space="preserve">  </w:t>
            </w:r>
            <w:r>
              <w:rPr>
                <w:color w:val="auto"/>
                <w:spacing w:val="4"/>
                <w:highlight w:val="none"/>
              </w:rPr>
              <w:t>12021.2）</w:t>
            </w:r>
          </w:p>
        </w:tc>
      </w:tr>
      <w:tr w14:paraId="4C95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vAlign w:val="top"/>
          </w:tcPr>
          <w:p w14:paraId="5272FC17">
            <w:pPr>
              <w:rPr>
                <w:rFonts w:ascii="Arial"/>
                <w:color w:val="auto"/>
                <w:sz w:val="21"/>
                <w:highlight w:val="none"/>
              </w:rPr>
            </w:pPr>
          </w:p>
        </w:tc>
        <w:tc>
          <w:tcPr>
            <w:tcW w:w="1166" w:type="dxa"/>
            <w:vMerge w:val="continue"/>
            <w:tcBorders>
              <w:top w:val="nil"/>
              <w:bottom w:val="nil"/>
            </w:tcBorders>
            <w:vAlign w:val="top"/>
          </w:tcPr>
          <w:p w14:paraId="5327A86C">
            <w:pPr>
              <w:rPr>
                <w:rFonts w:ascii="Arial"/>
                <w:color w:val="auto"/>
                <w:sz w:val="21"/>
                <w:highlight w:val="none"/>
              </w:rPr>
            </w:pPr>
          </w:p>
        </w:tc>
        <w:tc>
          <w:tcPr>
            <w:tcW w:w="1799" w:type="dxa"/>
            <w:vMerge w:val="restart"/>
            <w:tcBorders>
              <w:bottom w:val="nil"/>
            </w:tcBorders>
            <w:vAlign w:val="top"/>
          </w:tcPr>
          <w:p w14:paraId="46954BC3">
            <w:pPr>
              <w:spacing w:line="247" w:lineRule="auto"/>
              <w:rPr>
                <w:rFonts w:ascii="Arial"/>
                <w:color w:val="auto"/>
                <w:sz w:val="21"/>
                <w:highlight w:val="none"/>
              </w:rPr>
            </w:pPr>
          </w:p>
          <w:p w14:paraId="71155D9A">
            <w:pPr>
              <w:spacing w:line="248" w:lineRule="auto"/>
              <w:rPr>
                <w:rFonts w:ascii="Arial"/>
                <w:color w:val="auto"/>
                <w:sz w:val="21"/>
                <w:highlight w:val="none"/>
              </w:rPr>
            </w:pPr>
          </w:p>
          <w:p w14:paraId="3AEF88A9">
            <w:pPr>
              <w:spacing w:line="248" w:lineRule="auto"/>
              <w:rPr>
                <w:rFonts w:ascii="Arial"/>
                <w:color w:val="auto"/>
                <w:sz w:val="21"/>
                <w:highlight w:val="none"/>
              </w:rPr>
            </w:pPr>
          </w:p>
          <w:p w14:paraId="373676A3">
            <w:pPr>
              <w:spacing w:line="248" w:lineRule="auto"/>
              <w:rPr>
                <w:rFonts w:ascii="Arial"/>
                <w:color w:val="auto"/>
                <w:sz w:val="21"/>
                <w:highlight w:val="none"/>
              </w:rPr>
            </w:pPr>
          </w:p>
          <w:p w14:paraId="4E79B147">
            <w:pPr>
              <w:spacing w:line="248" w:lineRule="auto"/>
              <w:rPr>
                <w:rFonts w:ascii="Arial"/>
                <w:color w:val="auto"/>
                <w:sz w:val="21"/>
                <w:highlight w:val="none"/>
              </w:rPr>
            </w:pPr>
          </w:p>
          <w:p w14:paraId="3C7692B9">
            <w:pPr>
              <w:spacing w:line="248" w:lineRule="auto"/>
              <w:rPr>
                <w:rFonts w:ascii="Arial"/>
                <w:color w:val="auto"/>
                <w:sz w:val="21"/>
                <w:highlight w:val="none"/>
              </w:rPr>
            </w:pPr>
          </w:p>
          <w:p w14:paraId="3B713381">
            <w:pPr>
              <w:spacing w:line="248" w:lineRule="auto"/>
              <w:rPr>
                <w:rFonts w:ascii="Arial"/>
                <w:color w:val="auto"/>
                <w:sz w:val="21"/>
                <w:highlight w:val="none"/>
              </w:rPr>
            </w:pPr>
          </w:p>
          <w:p w14:paraId="29736577">
            <w:pPr>
              <w:pStyle w:val="248"/>
              <w:spacing w:before="62" w:line="304" w:lineRule="auto"/>
              <w:ind w:left="14" w:right="10" w:firstLine="3"/>
              <w:rPr>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vAlign w:val="top"/>
          </w:tcPr>
          <w:p w14:paraId="2B115098">
            <w:pPr>
              <w:spacing w:line="261" w:lineRule="auto"/>
              <w:rPr>
                <w:rFonts w:ascii="Arial"/>
                <w:color w:val="auto"/>
                <w:sz w:val="21"/>
                <w:highlight w:val="none"/>
              </w:rPr>
            </w:pPr>
          </w:p>
          <w:p w14:paraId="0E26B55E">
            <w:pPr>
              <w:spacing w:line="261" w:lineRule="auto"/>
              <w:rPr>
                <w:rFonts w:ascii="Arial"/>
                <w:color w:val="auto"/>
                <w:sz w:val="21"/>
                <w:highlight w:val="none"/>
              </w:rPr>
            </w:pPr>
          </w:p>
          <w:p w14:paraId="21AB1BA2">
            <w:pPr>
              <w:spacing w:line="261" w:lineRule="auto"/>
              <w:rPr>
                <w:rFonts w:ascii="Arial"/>
                <w:color w:val="auto"/>
                <w:sz w:val="21"/>
                <w:highlight w:val="none"/>
              </w:rPr>
            </w:pPr>
          </w:p>
          <w:p w14:paraId="6CB759CA">
            <w:pPr>
              <w:pStyle w:val="248"/>
              <w:spacing w:before="62" w:line="230" w:lineRule="auto"/>
              <w:ind w:left="17"/>
              <w:rPr>
                <w:color w:val="auto"/>
                <w:highlight w:val="none"/>
              </w:rPr>
            </w:pPr>
            <w:r>
              <w:rPr>
                <w:color w:val="auto"/>
                <w:spacing w:val="8"/>
                <w:highlight w:val="none"/>
              </w:rPr>
              <w:t>房间空气调节器</w:t>
            </w:r>
          </w:p>
        </w:tc>
        <w:tc>
          <w:tcPr>
            <w:tcW w:w="2969" w:type="dxa"/>
            <w:vAlign w:val="top"/>
          </w:tcPr>
          <w:p w14:paraId="5EFC417D">
            <w:pPr>
              <w:pStyle w:val="248"/>
              <w:spacing w:before="68" w:line="293" w:lineRule="auto"/>
              <w:ind w:left="17" w:firstLine="5"/>
              <w:jc w:val="both"/>
              <w:rPr>
                <w:color w:val="auto"/>
                <w:highlight w:val="none"/>
              </w:rPr>
            </w:pPr>
            <w:r>
              <w:rPr>
                <w:color w:val="auto"/>
                <w:spacing w:val="14"/>
                <w:highlight w:val="none"/>
              </w:rPr>
              <w:t>《转速可控型房间空气调节器能</w:t>
            </w:r>
            <w:r>
              <w:rPr>
                <w:color w:val="auto"/>
                <w:highlight w:val="none"/>
              </w:rPr>
              <w:t xml:space="preserve">  </w:t>
            </w:r>
            <w:r>
              <w:rPr>
                <w:color w:val="auto"/>
                <w:spacing w:val="-9"/>
                <w:highlight w:val="none"/>
              </w:rPr>
              <w:t>效</w:t>
            </w:r>
            <w:r>
              <w:rPr>
                <w:color w:val="auto"/>
                <w:spacing w:val="-19"/>
                <w:highlight w:val="none"/>
              </w:rPr>
              <w:t xml:space="preserve"> </w:t>
            </w:r>
            <w:r>
              <w:rPr>
                <w:color w:val="auto"/>
                <w:spacing w:val="-9"/>
                <w:highlight w:val="none"/>
              </w:rPr>
              <w:t>限</w:t>
            </w:r>
            <w:r>
              <w:rPr>
                <w:color w:val="auto"/>
                <w:spacing w:val="-33"/>
                <w:highlight w:val="none"/>
              </w:rPr>
              <w:t xml:space="preserve"> </w:t>
            </w:r>
            <w:r>
              <w:rPr>
                <w:color w:val="auto"/>
                <w:spacing w:val="-9"/>
                <w:highlight w:val="none"/>
              </w:rPr>
              <w:t>定</w:t>
            </w:r>
            <w:r>
              <w:rPr>
                <w:color w:val="auto"/>
                <w:spacing w:val="-38"/>
                <w:highlight w:val="none"/>
              </w:rPr>
              <w:t xml:space="preserve"> </w:t>
            </w:r>
            <w:r>
              <w:rPr>
                <w:color w:val="auto"/>
                <w:spacing w:val="-9"/>
                <w:highlight w:val="none"/>
              </w:rPr>
              <w:t>值</w:t>
            </w:r>
            <w:r>
              <w:rPr>
                <w:color w:val="auto"/>
                <w:spacing w:val="-39"/>
                <w:highlight w:val="none"/>
              </w:rPr>
              <w:t xml:space="preserve"> </w:t>
            </w:r>
            <w:r>
              <w:rPr>
                <w:color w:val="auto"/>
                <w:spacing w:val="-9"/>
                <w:highlight w:val="none"/>
              </w:rPr>
              <w:t>及</w:t>
            </w:r>
            <w:r>
              <w:rPr>
                <w:color w:val="auto"/>
                <w:spacing w:val="-31"/>
                <w:highlight w:val="none"/>
              </w:rPr>
              <w:t xml:space="preserve"> </w:t>
            </w:r>
            <w:r>
              <w:rPr>
                <w:color w:val="auto"/>
                <w:spacing w:val="-9"/>
                <w:highlight w:val="none"/>
              </w:rPr>
              <w:t>能</w:t>
            </w:r>
            <w:r>
              <w:rPr>
                <w:color w:val="auto"/>
                <w:spacing w:val="-34"/>
                <w:highlight w:val="none"/>
              </w:rPr>
              <w:t xml:space="preserve"> </w:t>
            </w:r>
            <w:r>
              <w:rPr>
                <w:color w:val="auto"/>
                <w:spacing w:val="-9"/>
                <w:highlight w:val="none"/>
              </w:rPr>
              <w:t>效</w:t>
            </w:r>
            <w:r>
              <w:rPr>
                <w:color w:val="auto"/>
                <w:spacing w:val="-36"/>
                <w:highlight w:val="none"/>
              </w:rPr>
              <w:t xml:space="preserve"> </w:t>
            </w:r>
            <w:r>
              <w:rPr>
                <w:color w:val="auto"/>
                <w:spacing w:val="-9"/>
                <w:highlight w:val="none"/>
              </w:rPr>
              <w:t>等</w:t>
            </w:r>
            <w:r>
              <w:rPr>
                <w:color w:val="auto"/>
                <w:spacing w:val="-36"/>
                <w:highlight w:val="none"/>
              </w:rPr>
              <w:t xml:space="preserve"> </w:t>
            </w:r>
            <w:r>
              <w:rPr>
                <w:color w:val="auto"/>
                <w:spacing w:val="-9"/>
                <w:highlight w:val="none"/>
              </w:rPr>
              <w:t>级</w:t>
            </w:r>
            <w:r>
              <w:rPr>
                <w:color w:val="auto"/>
                <w:spacing w:val="-29"/>
                <w:highlight w:val="none"/>
              </w:rPr>
              <w:t xml:space="preserve"> </w:t>
            </w:r>
            <w:r>
              <w:rPr>
                <w:color w:val="auto"/>
                <w:spacing w:val="-9"/>
                <w:highlight w:val="none"/>
              </w:rPr>
              <w:t>》</w:t>
            </w:r>
            <w:r>
              <w:rPr>
                <w:color w:val="auto"/>
                <w:spacing w:val="-41"/>
                <w:highlight w:val="none"/>
              </w:rPr>
              <w:t xml:space="preserve"> </w:t>
            </w:r>
            <w:r>
              <w:rPr>
                <w:color w:val="auto"/>
                <w:spacing w:val="-9"/>
                <w:highlight w:val="none"/>
              </w:rPr>
              <w:t>（ GB</w:t>
            </w:r>
            <w:r>
              <w:rPr>
                <w:color w:val="auto"/>
                <w:highlight w:val="none"/>
              </w:rPr>
              <w:t xml:space="preserve">  21455-2013</w:t>
            </w:r>
            <w:r>
              <w:rPr>
                <w:color w:val="auto"/>
                <w:spacing w:val="12"/>
                <w:highlight w:val="none"/>
              </w:rPr>
              <w:t>），</w:t>
            </w:r>
            <w:r>
              <w:rPr>
                <w:color w:val="auto"/>
                <w:highlight w:val="none"/>
              </w:rPr>
              <w:t>待 2019</w:t>
            </w:r>
            <w:r>
              <w:rPr>
                <w:color w:val="auto"/>
                <w:spacing w:val="-15"/>
                <w:highlight w:val="none"/>
              </w:rPr>
              <w:t xml:space="preserve"> </w:t>
            </w:r>
            <w:r>
              <w:rPr>
                <w:color w:val="auto"/>
                <w:highlight w:val="none"/>
              </w:rPr>
              <w:t>年修订发  布后，按《房间空气调节器能效限</w:t>
            </w:r>
            <w:r>
              <w:rPr>
                <w:color w:val="auto"/>
                <w:spacing w:val="4"/>
                <w:highlight w:val="none"/>
              </w:rPr>
              <w:t xml:space="preserve">  </w:t>
            </w:r>
            <w:r>
              <w:rPr>
                <w:color w:val="auto"/>
                <w:spacing w:val="-5"/>
                <w:highlight w:val="none"/>
              </w:rPr>
              <w:t>定值及能效等级》（GB21455-2019）</w:t>
            </w:r>
            <w:r>
              <w:rPr>
                <w:color w:val="auto"/>
                <w:spacing w:val="15"/>
                <w:highlight w:val="none"/>
              </w:rPr>
              <w:t xml:space="preserve"> </w:t>
            </w:r>
            <w:r>
              <w:rPr>
                <w:color w:val="auto"/>
                <w:highlight w:val="none"/>
              </w:rPr>
              <w:t>实施。</w:t>
            </w:r>
          </w:p>
        </w:tc>
      </w:tr>
      <w:tr w14:paraId="79A64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5F1BAD">
            <w:pPr>
              <w:rPr>
                <w:rFonts w:ascii="Arial"/>
                <w:color w:val="auto"/>
                <w:sz w:val="21"/>
                <w:highlight w:val="none"/>
              </w:rPr>
            </w:pPr>
          </w:p>
        </w:tc>
        <w:tc>
          <w:tcPr>
            <w:tcW w:w="1166" w:type="dxa"/>
            <w:vMerge w:val="continue"/>
            <w:tcBorders>
              <w:top w:val="nil"/>
              <w:bottom w:val="nil"/>
            </w:tcBorders>
            <w:vAlign w:val="top"/>
          </w:tcPr>
          <w:p w14:paraId="5CF65E0E">
            <w:pPr>
              <w:rPr>
                <w:rFonts w:ascii="Arial"/>
                <w:color w:val="auto"/>
                <w:sz w:val="21"/>
                <w:highlight w:val="none"/>
              </w:rPr>
            </w:pPr>
          </w:p>
        </w:tc>
        <w:tc>
          <w:tcPr>
            <w:tcW w:w="1799" w:type="dxa"/>
            <w:vMerge w:val="continue"/>
            <w:tcBorders>
              <w:top w:val="nil"/>
              <w:bottom w:val="nil"/>
            </w:tcBorders>
            <w:vAlign w:val="top"/>
          </w:tcPr>
          <w:p w14:paraId="67979D17">
            <w:pPr>
              <w:rPr>
                <w:rFonts w:ascii="Arial"/>
                <w:color w:val="auto"/>
                <w:sz w:val="21"/>
                <w:highlight w:val="none"/>
              </w:rPr>
            </w:pPr>
          </w:p>
        </w:tc>
        <w:tc>
          <w:tcPr>
            <w:tcW w:w="1914" w:type="dxa"/>
            <w:vAlign w:val="top"/>
          </w:tcPr>
          <w:p w14:paraId="5563FE61">
            <w:pPr>
              <w:pStyle w:val="248"/>
              <w:spacing w:before="71" w:line="282"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4"/>
                <w:highlight w:val="none"/>
              </w:rPr>
              <w:t>机 组 （</w:t>
            </w:r>
            <w:r>
              <w:rPr>
                <w:color w:val="auto"/>
                <w:spacing w:val="28"/>
                <w:highlight w:val="none"/>
              </w:rPr>
              <w:t xml:space="preserve"> </w:t>
            </w:r>
            <w:r>
              <w:rPr>
                <w:color w:val="auto"/>
                <w:spacing w:val="-4"/>
                <w:highlight w:val="none"/>
              </w:rPr>
              <w:t>制 冷 量 ≤</w:t>
            </w:r>
            <w:r>
              <w:rPr>
                <w:color w:val="auto"/>
                <w:highlight w:val="none"/>
              </w:rPr>
              <w:t xml:space="preserve"> </w:t>
            </w:r>
            <w:r>
              <w:rPr>
                <w:color w:val="auto"/>
                <w:spacing w:val="3"/>
                <w:highlight w:val="none"/>
              </w:rPr>
              <w:t>14000W）</w:t>
            </w:r>
          </w:p>
        </w:tc>
        <w:tc>
          <w:tcPr>
            <w:tcW w:w="2969" w:type="dxa"/>
            <w:vAlign w:val="top"/>
          </w:tcPr>
          <w:p w14:paraId="4097116E">
            <w:pPr>
              <w:pStyle w:val="248"/>
              <w:spacing w:before="225"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2BAB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vAlign w:val="top"/>
          </w:tcPr>
          <w:p w14:paraId="48AFFED1">
            <w:pPr>
              <w:rPr>
                <w:rFonts w:ascii="Arial"/>
                <w:color w:val="auto"/>
                <w:sz w:val="21"/>
                <w:highlight w:val="none"/>
              </w:rPr>
            </w:pPr>
          </w:p>
        </w:tc>
        <w:tc>
          <w:tcPr>
            <w:tcW w:w="1166" w:type="dxa"/>
            <w:vMerge w:val="continue"/>
            <w:tcBorders>
              <w:top w:val="nil"/>
              <w:bottom w:val="nil"/>
            </w:tcBorders>
            <w:vAlign w:val="top"/>
          </w:tcPr>
          <w:p w14:paraId="10E71562">
            <w:pPr>
              <w:rPr>
                <w:rFonts w:ascii="Arial"/>
                <w:color w:val="auto"/>
                <w:sz w:val="21"/>
                <w:highlight w:val="none"/>
              </w:rPr>
            </w:pPr>
          </w:p>
        </w:tc>
        <w:tc>
          <w:tcPr>
            <w:tcW w:w="1799" w:type="dxa"/>
            <w:vMerge w:val="continue"/>
            <w:tcBorders>
              <w:top w:val="nil"/>
            </w:tcBorders>
            <w:vAlign w:val="top"/>
          </w:tcPr>
          <w:p w14:paraId="51628529">
            <w:pPr>
              <w:rPr>
                <w:rFonts w:ascii="Arial"/>
                <w:color w:val="auto"/>
                <w:sz w:val="21"/>
                <w:highlight w:val="none"/>
              </w:rPr>
            </w:pPr>
          </w:p>
        </w:tc>
        <w:tc>
          <w:tcPr>
            <w:tcW w:w="1914" w:type="dxa"/>
            <w:vAlign w:val="top"/>
          </w:tcPr>
          <w:p w14:paraId="745A02AE">
            <w:pPr>
              <w:spacing w:line="319" w:lineRule="auto"/>
              <w:rPr>
                <w:rFonts w:ascii="Arial"/>
                <w:color w:val="auto"/>
                <w:sz w:val="21"/>
                <w:highlight w:val="none"/>
              </w:rPr>
            </w:pPr>
          </w:p>
          <w:p w14:paraId="1C83C537">
            <w:pPr>
              <w:pStyle w:val="248"/>
              <w:spacing w:before="61"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3"/>
                <w:highlight w:val="none"/>
              </w:rPr>
              <w:t>(制冷量≤14000W)</w:t>
            </w:r>
          </w:p>
        </w:tc>
        <w:tc>
          <w:tcPr>
            <w:tcW w:w="2969" w:type="dxa"/>
            <w:vAlign w:val="top"/>
          </w:tcPr>
          <w:p w14:paraId="05145D7A">
            <w:pPr>
              <w:pStyle w:val="248"/>
              <w:spacing w:before="72" w:line="287" w:lineRule="auto"/>
              <w:ind w:left="17"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及能源效率等级》（GB</w:t>
            </w:r>
            <w:r>
              <w:rPr>
                <w:color w:val="auto"/>
                <w:spacing w:val="-13"/>
                <w:highlight w:val="none"/>
              </w:rPr>
              <w:t xml:space="preserve"> </w:t>
            </w:r>
            <w:r>
              <w:rPr>
                <w:color w:val="auto"/>
                <w:spacing w:val="-5"/>
                <w:highlight w:val="none"/>
              </w:rPr>
              <w:t>19576）《风</w:t>
            </w:r>
            <w:r>
              <w:rPr>
                <w:color w:val="auto"/>
                <w:highlight w:val="none"/>
              </w:rPr>
              <w:t xml:space="preserve"> </w:t>
            </w:r>
            <w:r>
              <w:rPr>
                <w:color w:val="auto"/>
                <w:spacing w:val="19"/>
                <w:highlight w:val="none"/>
              </w:rPr>
              <w:t>管送风式空调机组能效限定值及</w:t>
            </w:r>
            <w:r>
              <w:rPr>
                <w:color w:val="auto"/>
                <w:spacing w:val="8"/>
                <w:highlight w:val="none"/>
              </w:rPr>
              <w:t xml:space="preserve"> </w:t>
            </w:r>
            <w:r>
              <w:rPr>
                <w:color w:val="auto"/>
                <w:spacing w:val="7"/>
                <w:highlight w:val="none"/>
              </w:rPr>
              <w:t>能效等级》（</w:t>
            </w:r>
            <w:r>
              <w:rPr>
                <w:color w:val="auto"/>
                <w:highlight w:val="none"/>
              </w:rPr>
              <w:t>GB</w:t>
            </w:r>
            <w:r>
              <w:rPr>
                <w:color w:val="auto"/>
                <w:spacing w:val="7"/>
                <w:highlight w:val="none"/>
              </w:rPr>
              <w:t xml:space="preserve"> 37479）</w:t>
            </w:r>
          </w:p>
        </w:tc>
      </w:tr>
      <w:tr w14:paraId="793D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vAlign w:val="top"/>
          </w:tcPr>
          <w:p w14:paraId="25D9BA33">
            <w:pPr>
              <w:rPr>
                <w:rFonts w:ascii="Arial"/>
                <w:color w:val="auto"/>
                <w:sz w:val="21"/>
                <w:highlight w:val="none"/>
              </w:rPr>
            </w:pPr>
          </w:p>
        </w:tc>
        <w:tc>
          <w:tcPr>
            <w:tcW w:w="1166" w:type="dxa"/>
            <w:vMerge w:val="continue"/>
            <w:tcBorders>
              <w:top w:val="nil"/>
            </w:tcBorders>
            <w:vAlign w:val="top"/>
          </w:tcPr>
          <w:p w14:paraId="7DD1EC21">
            <w:pPr>
              <w:rPr>
                <w:rFonts w:ascii="Arial"/>
                <w:color w:val="auto"/>
                <w:sz w:val="21"/>
                <w:highlight w:val="none"/>
              </w:rPr>
            </w:pPr>
          </w:p>
        </w:tc>
        <w:tc>
          <w:tcPr>
            <w:tcW w:w="1799" w:type="dxa"/>
            <w:vAlign w:val="top"/>
          </w:tcPr>
          <w:p w14:paraId="2105E109">
            <w:pPr>
              <w:pStyle w:val="248"/>
              <w:spacing w:before="230" w:line="228" w:lineRule="auto"/>
              <w:ind w:left="9"/>
              <w:rPr>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vAlign w:val="top"/>
          </w:tcPr>
          <w:p w14:paraId="7A382A83">
            <w:pPr>
              <w:rPr>
                <w:rFonts w:ascii="Arial"/>
                <w:color w:val="auto"/>
                <w:sz w:val="21"/>
                <w:highlight w:val="none"/>
              </w:rPr>
            </w:pPr>
          </w:p>
        </w:tc>
        <w:tc>
          <w:tcPr>
            <w:tcW w:w="2969" w:type="dxa"/>
            <w:vAlign w:val="top"/>
          </w:tcPr>
          <w:p w14:paraId="17E09339">
            <w:pPr>
              <w:pStyle w:val="248"/>
              <w:spacing w:before="74" w:line="276" w:lineRule="auto"/>
              <w:ind w:left="19" w:right="11" w:firstLine="3"/>
              <w:rPr>
                <w:color w:val="auto"/>
                <w:highlight w:val="none"/>
              </w:rPr>
            </w:pPr>
            <w:r>
              <w:rPr>
                <w:color w:val="auto"/>
                <w:spacing w:val="19"/>
                <w:highlight w:val="none"/>
              </w:rPr>
              <w:t>《电动洗衣机能效水效限定值及</w:t>
            </w:r>
            <w:r>
              <w:rPr>
                <w:color w:val="auto"/>
                <w:spacing w:val="2"/>
                <w:highlight w:val="none"/>
              </w:rPr>
              <w:t xml:space="preserve"> </w:t>
            </w:r>
            <w:r>
              <w:rPr>
                <w:color w:val="auto"/>
                <w:spacing w:val="4"/>
                <w:highlight w:val="none"/>
              </w:rPr>
              <w:t>等级》（</w:t>
            </w:r>
            <w:r>
              <w:rPr>
                <w:color w:val="auto"/>
                <w:highlight w:val="none"/>
              </w:rPr>
              <w:t>GB</w:t>
            </w:r>
            <w:r>
              <w:rPr>
                <w:color w:val="auto"/>
                <w:spacing w:val="33"/>
                <w:highlight w:val="none"/>
              </w:rPr>
              <w:t xml:space="preserve"> </w:t>
            </w:r>
            <w:r>
              <w:rPr>
                <w:color w:val="auto"/>
                <w:spacing w:val="4"/>
                <w:highlight w:val="none"/>
              </w:rPr>
              <w:t>12021.4）</w:t>
            </w:r>
          </w:p>
        </w:tc>
      </w:tr>
    </w:tbl>
    <w:p w14:paraId="44622A36">
      <w:pPr>
        <w:rPr>
          <w:rFonts w:ascii="Arial"/>
          <w:color w:val="auto"/>
          <w:sz w:val="21"/>
          <w:highlight w:val="none"/>
        </w:rPr>
      </w:pPr>
    </w:p>
    <w:p w14:paraId="49F23B4C">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397E8DA5">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9CE1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vAlign w:val="top"/>
          </w:tcPr>
          <w:p w14:paraId="68DF05E0">
            <w:pPr>
              <w:rPr>
                <w:rFonts w:ascii="Arial"/>
                <w:color w:val="auto"/>
                <w:sz w:val="21"/>
                <w:highlight w:val="none"/>
              </w:rPr>
            </w:pPr>
          </w:p>
        </w:tc>
        <w:tc>
          <w:tcPr>
            <w:tcW w:w="1166" w:type="dxa"/>
            <w:vMerge w:val="restart"/>
            <w:tcBorders>
              <w:bottom w:val="nil"/>
            </w:tcBorders>
            <w:vAlign w:val="top"/>
          </w:tcPr>
          <w:p w14:paraId="232F69D4">
            <w:pPr>
              <w:rPr>
                <w:rFonts w:ascii="Arial"/>
                <w:color w:val="auto"/>
                <w:sz w:val="21"/>
                <w:highlight w:val="none"/>
              </w:rPr>
            </w:pPr>
          </w:p>
        </w:tc>
        <w:tc>
          <w:tcPr>
            <w:tcW w:w="1799" w:type="dxa"/>
            <w:vMerge w:val="restart"/>
            <w:tcBorders>
              <w:bottom w:val="nil"/>
            </w:tcBorders>
            <w:vAlign w:val="top"/>
          </w:tcPr>
          <w:p w14:paraId="5255A109">
            <w:pPr>
              <w:spacing w:line="244" w:lineRule="auto"/>
              <w:rPr>
                <w:rFonts w:ascii="Arial"/>
                <w:color w:val="auto"/>
                <w:sz w:val="21"/>
                <w:highlight w:val="none"/>
              </w:rPr>
            </w:pPr>
          </w:p>
          <w:p w14:paraId="5F21F882">
            <w:pPr>
              <w:spacing w:line="244" w:lineRule="auto"/>
              <w:rPr>
                <w:rFonts w:ascii="Arial"/>
                <w:color w:val="auto"/>
                <w:sz w:val="21"/>
                <w:highlight w:val="none"/>
              </w:rPr>
            </w:pPr>
          </w:p>
          <w:p w14:paraId="769077C0">
            <w:pPr>
              <w:spacing w:line="244" w:lineRule="auto"/>
              <w:rPr>
                <w:rFonts w:ascii="Arial"/>
                <w:color w:val="auto"/>
                <w:sz w:val="21"/>
                <w:highlight w:val="none"/>
              </w:rPr>
            </w:pPr>
          </w:p>
          <w:p w14:paraId="485A0B09">
            <w:pPr>
              <w:spacing w:line="244" w:lineRule="auto"/>
              <w:rPr>
                <w:rFonts w:ascii="Arial"/>
                <w:color w:val="auto"/>
                <w:sz w:val="21"/>
                <w:highlight w:val="none"/>
              </w:rPr>
            </w:pPr>
          </w:p>
          <w:p w14:paraId="67F7C1E6">
            <w:pPr>
              <w:spacing w:line="245" w:lineRule="auto"/>
              <w:rPr>
                <w:rFonts w:ascii="Arial"/>
                <w:color w:val="auto"/>
                <w:sz w:val="21"/>
                <w:highlight w:val="none"/>
              </w:rPr>
            </w:pPr>
          </w:p>
          <w:p w14:paraId="1E6CC489">
            <w:pPr>
              <w:spacing w:line="245" w:lineRule="auto"/>
              <w:rPr>
                <w:rFonts w:ascii="Arial"/>
                <w:color w:val="auto"/>
                <w:sz w:val="21"/>
                <w:highlight w:val="none"/>
              </w:rPr>
            </w:pPr>
          </w:p>
          <w:p w14:paraId="11F845B0">
            <w:pPr>
              <w:pStyle w:val="248"/>
              <w:spacing w:before="62" w:line="229" w:lineRule="auto"/>
              <w:ind w:left="9"/>
              <w:rPr>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vAlign w:val="top"/>
          </w:tcPr>
          <w:p w14:paraId="3DBE7627">
            <w:pPr>
              <w:pStyle w:val="248"/>
              <w:spacing w:before="275" w:line="229" w:lineRule="auto"/>
              <w:ind w:left="19"/>
              <w:rPr>
                <w:color w:val="auto"/>
                <w:highlight w:val="none"/>
              </w:rPr>
            </w:pPr>
            <w:r>
              <w:rPr>
                <w:color w:val="auto"/>
                <w:spacing w:val="7"/>
                <w:highlight w:val="none"/>
              </w:rPr>
              <w:t>★电热水器</w:t>
            </w:r>
          </w:p>
        </w:tc>
        <w:tc>
          <w:tcPr>
            <w:tcW w:w="2969" w:type="dxa"/>
            <w:vAlign w:val="top"/>
          </w:tcPr>
          <w:p w14:paraId="40986011">
            <w:pPr>
              <w:pStyle w:val="248"/>
              <w:spacing w:before="119" w:line="297" w:lineRule="auto"/>
              <w:ind w:left="25" w:right="11" w:hanging="2"/>
              <w:rPr>
                <w:color w:val="auto"/>
                <w:highlight w:val="none"/>
              </w:rPr>
            </w:pPr>
            <w:r>
              <w:rPr>
                <w:color w:val="auto"/>
                <w:spacing w:val="19"/>
                <w:highlight w:val="none"/>
              </w:rPr>
              <w:t>《储水式电热水器能效限定值及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21519）</w:t>
            </w:r>
          </w:p>
        </w:tc>
      </w:tr>
      <w:tr w14:paraId="0BD14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6005965A">
            <w:pPr>
              <w:rPr>
                <w:rFonts w:ascii="Arial"/>
                <w:color w:val="auto"/>
                <w:sz w:val="21"/>
                <w:highlight w:val="none"/>
              </w:rPr>
            </w:pPr>
          </w:p>
        </w:tc>
        <w:tc>
          <w:tcPr>
            <w:tcW w:w="1166" w:type="dxa"/>
            <w:vMerge w:val="continue"/>
            <w:tcBorders>
              <w:top w:val="nil"/>
              <w:bottom w:val="nil"/>
            </w:tcBorders>
            <w:vAlign w:val="top"/>
          </w:tcPr>
          <w:p w14:paraId="3D56B3AD">
            <w:pPr>
              <w:rPr>
                <w:rFonts w:ascii="Arial"/>
                <w:color w:val="auto"/>
                <w:sz w:val="21"/>
                <w:highlight w:val="none"/>
              </w:rPr>
            </w:pPr>
          </w:p>
        </w:tc>
        <w:tc>
          <w:tcPr>
            <w:tcW w:w="1799" w:type="dxa"/>
            <w:vMerge w:val="continue"/>
            <w:tcBorders>
              <w:top w:val="nil"/>
              <w:bottom w:val="nil"/>
            </w:tcBorders>
            <w:vAlign w:val="top"/>
          </w:tcPr>
          <w:p w14:paraId="43E781D7">
            <w:pPr>
              <w:rPr>
                <w:rFonts w:ascii="Arial"/>
                <w:color w:val="auto"/>
                <w:sz w:val="21"/>
                <w:highlight w:val="none"/>
              </w:rPr>
            </w:pPr>
          </w:p>
        </w:tc>
        <w:tc>
          <w:tcPr>
            <w:tcW w:w="1914" w:type="dxa"/>
            <w:vAlign w:val="top"/>
          </w:tcPr>
          <w:p w14:paraId="647A98FC">
            <w:pPr>
              <w:spacing w:line="315" w:lineRule="auto"/>
              <w:rPr>
                <w:rFonts w:ascii="Arial"/>
                <w:color w:val="auto"/>
                <w:sz w:val="21"/>
                <w:highlight w:val="none"/>
              </w:rPr>
            </w:pPr>
          </w:p>
          <w:p w14:paraId="70738594">
            <w:pPr>
              <w:pStyle w:val="248"/>
              <w:spacing w:before="61" w:line="229" w:lineRule="auto"/>
              <w:ind w:left="15"/>
              <w:rPr>
                <w:color w:val="auto"/>
                <w:highlight w:val="none"/>
              </w:rPr>
            </w:pPr>
            <w:r>
              <w:rPr>
                <w:color w:val="auto"/>
                <w:spacing w:val="8"/>
                <w:highlight w:val="none"/>
              </w:rPr>
              <w:t>燃气热水器</w:t>
            </w:r>
          </w:p>
        </w:tc>
        <w:tc>
          <w:tcPr>
            <w:tcW w:w="2969" w:type="dxa"/>
            <w:vAlign w:val="top"/>
          </w:tcPr>
          <w:p w14:paraId="4A0B5633">
            <w:pPr>
              <w:pStyle w:val="248"/>
              <w:spacing w:before="68" w:line="283" w:lineRule="auto"/>
              <w:ind w:left="25" w:hanging="2"/>
              <w:jc w:val="both"/>
              <w:rPr>
                <w:color w:val="auto"/>
                <w:highlight w:val="none"/>
              </w:rPr>
            </w:pPr>
            <w:r>
              <w:rPr>
                <w:color w:val="auto"/>
                <w:spacing w:val="17"/>
                <w:highlight w:val="none"/>
              </w:rPr>
              <w:t>《家用燃气快速热水器和燃气采</w:t>
            </w:r>
            <w:r>
              <w:rPr>
                <w:color w:val="auto"/>
                <w:highlight w:val="none"/>
              </w:rPr>
              <w:t xml:space="preserve"> </w:t>
            </w:r>
            <w:r>
              <w:rPr>
                <w:color w:val="auto"/>
                <w:spacing w:val="5"/>
                <w:highlight w:val="none"/>
              </w:rPr>
              <w:t>暖热水炉能效限定值及能效等级》</w:t>
            </w:r>
            <w:r>
              <w:rPr>
                <w:color w:val="auto"/>
                <w:spacing w:val="12"/>
                <w:highlight w:val="none"/>
              </w:rPr>
              <w:t xml:space="preserve"> </w:t>
            </w:r>
            <w:r>
              <w:rPr>
                <w:color w:val="auto"/>
                <w:spacing w:val="1"/>
                <w:highlight w:val="none"/>
              </w:rPr>
              <w:t>（</w:t>
            </w:r>
            <w:r>
              <w:rPr>
                <w:color w:val="auto"/>
                <w:highlight w:val="none"/>
              </w:rPr>
              <w:t>GB</w:t>
            </w:r>
            <w:r>
              <w:rPr>
                <w:color w:val="auto"/>
                <w:spacing w:val="18"/>
                <w:highlight w:val="none"/>
              </w:rPr>
              <w:t xml:space="preserve"> </w:t>
            </w:r>
            <w:r>
              <w:rPr>
                <w:color w:val="auto"/>
                <w:spacing w:val="1"/>
                <w:highlight w:val="none"/>
              </w:rPr>
              <w:t>20665）</w:t>
            </w:r>
          </w:p>
        </w:tc>
      </w:tr>
      <w:tr w14:paraId="7C24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vAlign w:val="top"/>
          </w:tcPr>
          <w:p w14:paraId="2B5A8A2A">
            <w:pPr>
              <w:rPr>
                <w:rFonts w:ascii="Arial"/>
                <w:color w:val="auto"/>
                <w:sz w:val="21"/>
                <w:highlight w:val="none"/>
              </w:rPr>
            </w:pPr>
          </w:p>
        </w:tc>
        <w:tc>
          <w:tcPr>
            <w:tcW w:w="1166" w:type="dxa"/>
            <w:vMerge w:val="continue"/>
            <w:tcBorders>
              <w:top w:val="nil"/>
              <w:bottom w:val="nil"/>
            </w:tcBorders>
            <w:vAlign w:val="top"/>
          </w:tcPr>
          <w:p w14:paraId="0B3E6B5E">
            <w:pPr>
              <w:rPr>
                <w:rFonts w:ascii="Arial"/>
                <w:color w:val="auto"/>
                <w:sz w:val="21"/>
                <w:highlight w:val="none"/>
              </w:rPr>
            </w:pPr>
          </w:p>
        </w:tc>
        <w:tc>
          <w:tcPr>
            <w:tcW w:w="1799" w:type="dxa"/>
            <w:vMerge w:val="continue"/>
            <w:tcBorders>
              <w:top w:val="nil"/>
              <w:bottom w:val="nil"/>
            </w:tcBorders>
            <w:vAlign w:val="top"/>
          </w:tcPr>
          <w:p w14:paraId="31AE8D92">
            <w:pPr>
              <w:rPr>
                <w:rFonts w:ascii="Arial"/>
                <w:color w:val="auto"/>
                <w:sz w:val="21"/>
                <w:highlight w:val="none"/>
              </w:rPr>
            </w:pPr>
          </w:p>
        </w:tc>
        <w:tc>
          <w:tcPr>
            <w:tcW w:w="1914" w:type="dxa"/>
            <w:vAlign w:val="top"/>
          </w:tcPr>
          <w:p w14:paraId="6FD46B1C">
            <w:pPr>
              <w:spacing w:line="248" w:lineRule="auto"/>
              <w:rPr>
                <w:rFonts w:ascii="Arial"/>
                <w:color w:val="auto"/>
                <w:sz w:val="21"/>
                <w:highlight w:val="none"/>
              </w:rPr>
            </w:pPr>
          </w:p>
          <w:p w14:paraId="0CA164E9">
            <w:pPr>
              <w:pStyle w:val="248"/>
              <w:spacing w:before="62" w:line="229" w:lineRule="auto"/>
              <w:ind w:left="20"/>
              <w:rPr>
                <w:color w:val="auto"/>
                <w:highlight w:val="none"/>
              </w:rPr>
            </w:pPr>
            <w:r>
              <w:rPr>
                <w:color w:val="auto"/>
                <w:spacing w:val="7"/>
                <w:highlight w:val="none"/>
              </w:rPr>
              <w:t>热泵热水器</w:t>
            </w:r>
          </w:p>
        </w:tc>
        <w:tc>
          <w:tcPr>
            <w:tcW w:w="2969" w:type="dxa"/>
            <w:vAlign w:val="top"/>
          </w:tcPr>
          <w:p w14:paraId="73FE9B8A">
            <w:pPr>
              <w:pStyle w:val="248"/>
              <w:spacing w:before="156" w:line="304" w:lineRule="auto"/>
              <w:ind w:left="25" w:right="13" w:hanging="2"/>
              <w:rPr>
                <w:color w:val="auto"/>
                <w:highlight w:val="none"/>
              </w:rPr>
            </w:pPr>
            <w:r>
              <w:rPr>
                <w:color w:val="auto"/>
                <w:spacing w:val="5"/>
                <w:highlight w:val="none"/>
              </w:rPr>
              <w:t>《热泵热水机（器）能效限定值及</w:t>
            </w:r>
            <w:r>
              <w:rPr>
                <w:color w:val="auto"/>
                <w:spacing w:val="1"/>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29541）</w:t>
            </w:r>
          </w:p>
        </w:tc>
      </w:tr>
      <w:tr w14:paraId="3CE2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vAlign w:val="top"/>
          </w:tcPr>
          <w:p w14:paraId="748CE7B1">
            <w:pPr>
              <w:rPr>
                <w:rFonts w:ascii="Arial"/>
                <w:color w:val="auto"/>
                <w:sz w:val="21"/>
                <w:highlight w:val="none"/>
              </w:rPr>
            </w:pPr>
          </w:p>
        </w:tc>
        <w:tc>
          <w:tcPr>
            <w:tcW w:w="1166" w:type="dxa"/>
            <w:vMerge w:val="continue"/>
            <w:tcBorders>
              <w:top w:val="nil"/>
            </w:tcBorders>
            <w:vAlign w:val="top"/>
          </w:tcPr>
          <w:p w14:paraId="2AA3A1D4">
            <w:pPr>
              <w:rPr>
                <w:rFonts w:ascii="Arial"/>
                <w:color w:val="auto"/>
                <w:sz w:val="21"/>
                <w:highlight w:val="none"/>
              </w:rPr>
            </w:pPr>
          </w:p>
        </w:tc>
        <w:tc>
          <w:tcPr>
            <w:tcW w:w="1799" w:type="dxa"/>
            <w:vMerge w:val="continue"/>
            <w:tcBorders>
              <w:top w:val="nil"/>
            </w:tcBorders>
            <w:vAlign w:val="top"/>
          </w:tcPr>
          <w:p w14:paraId="6895AE21">
            <w:pPr>
              <w:rPr>
                <w:rFonts w:ascii="Arial"/>
                <w:color w:val="auto"/>
                <w:sz w:val="21"/>
                <w:highlight w:val="none"/>
              </w:rPr>
            </w:pPr>
          </w:p>
        </w:tc>
        <w:tc>
          <w:tcPr>
            <w:tcW w:w="1914" w:type="dxa"/>
            <w:vAlign w:val="top"/>
          </w:tcPr>
          <w:p w14:paraId="774FBF49">
            <w:pPr>
              <w:pStyle w:val="248"/>
              <w:spacing w:before="271" w:line="229" w:lineRule="auto"/>
              <w:ind w:left="16"/>
              <w:rPr>
                <w:color w:val="auto"/>
                <w:highlight w:val="none"/>
              </w:rPr>
            </w:pPr>
            <w:r>
              <w:rPr>
                <w:color w:val="auto"/>
                <w:spacing w:val="8"/>
                <w:highlight w:val="none"/>
              </w:rPr>
              <w:t>太阳能热水系统</w:t>
            </w:r>
          </w:p>
        </w:tc>
        <w:tc>
          <w:tcPr>
            <w:tcW w:w="2969" w:type="dxa"/>
            <w:vAlign w:val="top"/>
          </w:tcPr>
          <w:p w14:paraId="5EDA258B">
            <w:pPr>
              <w:pStyle w:val="248"/>
              <w:spacing w:before="114" w:line="297" w:lineRule="auto"/>
              <w:ind w:left="17" w:right="11" w:firstLine="5"/>
              <w:rPr>
                <w:color w:val="auto"/>
                <w:highlight w:val="none"/>
              </w:rPr>
            </w:pPr>
            <w:r>
              <w:rPr>
                <w:color w:val="auto"/>
                <w:spacing w:val="19"/>
                <w:highlight w:val="none"/>
              </w:rPr>
              <w:t>《家用太阳能热水系统能效限定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26969）</w:t>
            </w:r>
          </w:p>
        </w:tc>
      </w:tr>
      <w:tr w14:paraId="1B03C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vAlign w:val="top"/>
          </w:tcPr>
          <w:p w14:paraId="5EB53C24">
            <w:pPr>
              <w:spacing w:line="269" w:lineRule="auto"/>
              <w:rPr>
                <w:rFonts w:ascii="Arial"/>
                <w:color w:val="auto"/>
                <w:sz w:val="21"/>
                <w:highlight w:val="none"/>
              </w:rPr>
            </w:pPr>
          </w:p>
          <w:p w14:paraId="74E7D8B3">
            <w:pPr>
              <w:spacing w:line="269" w:lineRule="auto"/>
              <w:rPr>
                <w:rFonts w:ascii="Arial"/>
                <w:color w:val="auto"/>
                <w:sz w:val="21"/>
                <w:highlight w:val="none"/>
              </w:rPr>
            </w:pPr>
          </w:p>
          <w:p w14:paraId="3925A389">
            <w:pPr>
              <w:spacing w:line="269" w:lineRule="auto"/>
              <w:rPr>
                <w:rFonts w:ascii="Arial"/>
                <w:color w:val="auto"/>
                <w:sz w:val="21"/>
                <w:highlight w:val="none"/>
              </w:rPr>
            </w:pPr>
          </w:p>
          <w:p w14:paraId="64684425">
            <w:pPr>
              <w:spacing w:line="269" w:lineRule="auto"/>
              <w:rPr>
                <w:rFonts w:ascii="Arial"/>
                <w:color w:val="auto"/>
                <w:sz w:val="21"/>
                <w:highlight w:val="none"/>
              </w:rPr>
            </w:pPr>
          </w:p>
          <w:p w14:paraId="37BDCB2E">
            <w:pPr>
              <w:spacing w:line="269" w:lineRule="auto"/>
              <w:rPr>
                <w:rFonts w:ascii="Arial"/>
                <w:color w:val="auto"/>
                <w:sz w:val="21"/>
                <w:highlight w:val="none"/>
              </w:rPr>
            </w:pPr>
          </w:p>
          <w:p w14:paraId="1D5F833E">
            <w:pPr>
              <w:spacing w:line="269" w:lineRule="auto"/>
              <w:rPr>
                <w:rFonts w:ascii="Arial"/>
                <w:color w:val="auto"/>
                <w:sz w:val="21"/>
                <w:highlight w:val="none"/>
              </w:rPr>
            </w:pPr>
          </w:p>
          <w:p w14:paraId="2E1A2EBE">
            <w:pPr>
              <w:pStyle w:val="248"/>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vAlign w:val="top"/>
          </w:tcPr>
          <w:p w14:paraId="56A14D05">
            <w:pPr>
              <w:spacing w:line="243" w:lineRule="auto"/>
              <w:rPr>
                <w:rFonts w:ascii="Arial"/>
                <w:color w:val="auto"/>
                <w:sz w:val="21"/>
                <w:highlight w:val="none"/>
              </w:rPr>
            </w:pPr>
          </w:p>
          <w:p w14:paraId="0BCC3ABE">
            <w:pPr>
              <w:spacing w:line="243" w:lineRule="auto"/>
              <w:rPr>
                <w:rFonts w:ascii="Arial"/>
                <w:color w:val="auto"/>
                <w:sz w:val="21"/>
                <w:highlight w:val="none"/>
              </w:rPr>
            </w:pPr>
          </w:p>
          <w:p w14:paraId="32242E13">
            <w:pPr>
              <w:spacing w:line="243" w:lineRule="auto"/>
              <w:rPr>
                <w:rFonts w:ascii="Arial"/>
                <w:color w:val="auto"/>
                <w:sz w:val="21"/>
                <w:highlight w:val="none"/>
              </w:rPr>
            </w:pPr>
          </w:p>
          <w:p w14:paraId="711CB489">
            <w:pPr>
              <w:spacing w:line="243" w:lineRule="auto"/>
              <w:rPr>
                <w:rFonts w:ascii="Arial"/>
                <w:color w:val="auto"/>
                <w:sz w:val="21"/>
                <w:highlight w:val="none"/>
              </w:rPr>
            </w:pPr>
          </w:p>
          <w:p w14:paraId="0E854077">
            <w:pPr>
              <w:spacing w:line="243" w:lineRule="auto"/>
              <w:rPr>
                <w:rFonts w:ascii="Arial"/>
                <w:color w:val="auto"/>
                <w:sz w:val="21"/>
                <w:highlight w:val="none"/>
              </w:rPr>
            </w:pPr>
          </w:p>
          <w:p w14:paraId="0969A93B">
            <w:pPr>
              <w:spacing w:line="244" w:lineRule="auto"/>
              <w:rPr>
                <w:rFonts w:ascii="Arial"/>
                <w:color w:val="auto"/>
                <w:sz w:val="21"/>
                <w:highlight w:val="none"/>
              </w:rPr>
            </w:pPr>
          </w:p>
          <w:p w14:paraId="2D3F9A27">
            <w:pPr>
              <w:pStyle w:val="248"/>
              <w:spacing w:before="61" w:line="305" w:lineRule="auto"/>
              <w:ind w:left="18" w:right="8" w:hanging="9"/>
              <w:rPr>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vAlign w:val="top"/>
          </w:tcPr>
          <w:p w14:paraId="2B28A870">
            <w:pPr>
              <w:pStyle w:val="248"/>
              <w:spacing w:before="198" w:line="304" w:lineRule="auto"/>
              <w:ind w:left="20" w:right="12" w:hanging="2"/>
              <w:rPr>
                <w:color w:val="auto"/>
                <w:highlight w:val="none"/>
              </w:rPr>
            </w:pPr>
            <w:r>
              <w:rPr>
                <w:color w:val="auto"/>
                <w:spacing w:val="19"/>
                <w:highlight w:val="none"/>
              </w:rPr>
              <w:t>★</w:t>
            </w:r>
            <w:r>
              <w:rPr>
                <w:color w:val="auto"/>
                <w:spacing w:val="-59"/>
                <w:highlight w:val="none"/>
              </w:rPr>
              <w:t xml:space="preserve"> </w:t>
            </w:r>
            <w:r>
              <w:rPr>
                <w:color w:val="auto"/>
                <w:spacing w:val="19"/>
                <w:highlight w:val="none"/>
              </w:rPr>
              <w:t>普通照</w:t>
            </w:r>
            <w:r>
              <w:rPr>
                <w:color w:val="auto"/>
                <w:spacing w:val="-42"/>
                <w:highlight w:val="none"/>
              </w:rPr>
              <w:t xml:space="preserve"> </w:t>
            </w:r>
            <w:r>
              <w:rPr>
                <w:color w:val="auto"/>
                <w:spacing w:val="19"/>
                <w:highlight w:val="none"/>
              </w:rPr>
              <w:t>明用双端</w:t>
            </w:r>
            <w:r>
              <w:rPr>
                <w:color w:val="auto"/>
                <w:highlight w:val="none"/>
              </w:rPr>
              <w:t xml:space="preserve"> </w:t>
            </w:r>
            <w:r>
              <w:rPr>
                <w:color w:val="auto"/>
                <w:spacing w:val="4"/>
                <w:highlight w:val="none"/>
              </w:rPr>
              <w:t>荧光灯</w:t>
            </w:r>
          </w:p>
        </w:tc>
        <w:tc>
          <w:tcPr>
            <w:tcW w:w="1914" w:type="dxa"/>
            <w:vAlign w:val="top"/>
          </w:tcPr>
          <w:p w14:paraId="2ED8761F">
            <w:pPr>
              <w:rPr>
                <w:rFonts w:ascii="Arial"/>
                <w:color w:val="auto"/>
                <w:sz w:val="21"/>
                <w:highlight w:val="none"/>
              </w:rPr>
            </w:pPr>
          </w:p>
        </w:tc>
        <w:tc>
          <w:tcPr>
            <w:tcW w:w="2969" w:type="dxa"/>
            <w:vAlign w:val="top"/>
          </w:tcPr>
          <w:p w14:paraId="08486711">
            <w:pPr>
              <w:pStyle w:val="248"/>
              <w:spacing w:before="198" w:line="304" w:lineRule="auto"/>
              <w:ind w:left="22" w:right="11"/>
              <w:rPr>
                <w:color w:val="auto"/>
                <w:highlight w:val="none"/>
              </w:rPr>
            </w:pPr>
            <w:r>
              <w:rPr>
                <w:color w:val="auto"/>
                <w:spacing w:val="19"/>
                <w:highlight w:val="none"/>
              </w:rPr>
              <w:t>《普通照明用双端荧光灯能效限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19043）</w:t>
            </w:r>
          </w:p>
        </w:tc>
      </w:tr>
      <w:tr w14:paraId="7BA4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vAlign w:val="top"/>
          </w:tcPr>
          <w:p w14:paraId="78B9F2AA">
            <w:pPr>
              <w:rPr>
                <w:rFonts w:ascii="Arial"/>
                <w:color w:val="auto"/>
                <w:sz w:val="21"/>
                <w:highlight w:val="none"/>
              </w:rPr>
            </w:pPr>
          </w:p>
        </w:tc>
        <w:tc>
          <w:tcPr>
            <w:tcW w:w="1166" w:type="dxa"/>
            <w:vMerge w:val="continue"/>
            <w:tcBorders>
              <w:top w:val="nil"/>
              <w:bottom w:val="nil"/>
            </w:tcBorders>
            <w:vAlign w:val="top"/>
          </w:tcPr>
          <w:p w14:paraId="20FF4058">
            <w:pPr>
              <w:rPr>
                <w:rFonts w:ascii="Arial"/>
                <w:color w:val="auto"/>
                <w:sz w:val="21"/>
                <w:highlight w:val="none"/>
              </w:rPr>
            </w:pPr>
          </w:p>
        </w:tc>
        <w:tc>
          <w:tcPr>
            <w:tcW w:w="1799" w:type="dxa"/>
            <w:vAlign w:val="top"/>
          </w:tcPr>
          <w:p w14:paraId="5D6B13E4">
            <w:pPr>
              <w:pStyle w:val="248"/>
              <w:spacing w:before="156" w:line="305" w:lineRule="auto"/>
              <w:ind w:left="14" w:right="7" w:hanging="1"/>
              <w:rPr>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vAlign w:val="top"/>
          </w:tcPr>
          <w:p w14:paraId="3CE345D1">
            <w:pPr>
              <w:rPr>
                <w:rFonts w:ascii="Arial"/>
                <w:color w:val="auto"/>
                <w:sz w:val="21"/>
                <w:highlight w:val="none"/>
              </w:rPr>
            </w:pPr>
          </w:p>
        </w:tc>
        <w:tc>
          <w:tcPr>
            <w:tcW w:w="2969" w:type="dxa"/>
            <w:vAlign w:val="top"/>
          </w:tcPr>
          <w:p w14:paraId="241D4861">
            <w:pPr>
              <w:pStyle w:val="248"/>
              <w:spacing w:before="156" w:line="305" w:lineRule="auto"/>
              <w:ind w:left="22"/>
              <w:rPr>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6B5E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vAlign w:val="top"/>
          </w:tcPr>
          <w:p w14:paraId="038DD605">
            <w:pPr>
              <w:rPr>
                <w:rFonts w:ascii="Arial"/>
                <w:color w:val="auto"/>
                <w:sz w:val="21"/>
                <w:highlight w:val="none"/>
              </w:rPr>
            </w:pPr>
          </w:p>
        </w:tc>
        <w:tc>
          <w:tcPr>
            <w:tcW w:w="1166" w:type="dxa"/>
            <w:vMerge w:val="continue"/>
            <w:tcBorders>
              <w:top w:val="nil"/>
              <w:bottom w:val="nil"/>
            </w:tcBorders>
            <w:vAlign w:val="top"/>
          </w:tcPr>
          <w:p w14:paraId="7ECD9DDA">
            <w:pPr>
              <w:rPr>
                <w:rFonts w:ascii="Arial"/>
                <w:color w:val="auto"/>
                <w:sz w:val="21"/>
                <w:highlight w:val="none"/>
              </w:rPr>
            </w:pPr>
          </w:p>
        </w:tc>
        <w:tc>
          <w:tcPr>
            <w:tcW w:w="1799" w:type="dxa"/>
            <w:vAlign w:val="top"/>
          </w:tcPr>
          <w:p w14:paraId="43633CFA">
            <w:pPr>
              <w:rPr>
                <w:rFonts w:ascii="Arial"/>
                <w:color w:val="auto"/>
                <w:sz w:val="21"/>
                <w:highlight w:val="none"/>
              </w:rPr>
            </w:pPr>
          </w:p>
          <w:p w14:paraId="493C90A2">
            <w:pPr>
              <w:pStyle w:val="248"/>
              <w:spacing w:before="62" w:line="229" w:lineRule="auto"/>
              <w:ind w:left="13"/>
              <w:rPr>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vAlign w:val="top"/>
          </w:tcPr>
          <w:p w14:paraId="3B0070CD">
            <w:pPr>
              <w:rPr>
                <w:rFonts w:ascii="Arial"/>
                <w:color w:val="auto"/>
                <w:sz w:val="21"/>
                <w:highlight w:val="none"/>
              </w:rPr>
            </w:pPr>
          </w:p>
        </w:tc>
        <w:tc>
          <w:tcPr>
            <w:tcW w:w="2969" w:type="dxa"/>
            <w:vAlign w:val="top"/>
          </w:tcPr>
          <w:p w14:paraId="41F25484">
            <w:pPr>
              <w:pStyle w:val="248"/>
              <w:spacing w:before="148"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1DE4C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vAlign w:val="top"/>
          </w:tcPr>
          <w:p w14:paraId="724F1B39">
            <w:pPr>
              <w:rPr>
                <w:rFonts w:ascii="Arial"/>
                <w:color w:val="auto"/>
                <w:sz w:val="21"/>
                <w:highlight w:val="none"/>
              </w:rPr>
            </w:pPr>
          </w:p>
        </w:tc>
        <w:tc>
          <w:tcPr>
            <w:tcW w:w="1166" w:type="dxa"/>
            <w:vMerge w:val="continue"/>
            <w:tcBorders>
              <w:top w:val="nil"/>
            </w:tcBorders>
            <w:vAlign w:val="top"/>
          </w:tcPr>
          <w:p w14:paraId="1C182A65">
            <w:pPr>
              <w:rPr>
                <w:rFonts w:ascii="Arial"/>
                <w:color w:val="auto"/>
                <w:sz w:val="21"/>
                <w:highlight w:val="none"/>
              </w:rPr>
            </w:pPr>
          </w:p>
        </w:tc>
        <w:tc>
          <w:tcPr>
            <w:tcW w:w="1799" w:type="dxa"/>
            <w:vAlign w:val="top"/>
          </w:tcPr>
          <w:p w14:paraId="350DC787">
            <w:pPr>
              <w:pStyle w:val="248"/>
              <w:spacing w:before="265" w:line="304" w:lineRule="auto"/>
              <w:ind w:left="47" w:right="12" w:hanging="33"/>
              <w:rPr>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vAlign w:val="top"/>
          </w:tcPr>
          <w:p w14:paraId="660D9771">
            <w:pPr>
              <w:rPr>
                <w:rFonts w:ascii="Arial"/>
                <w:color w:val="auto"/>
                <w:sz w:val="21"/>
                <w:highlight w:val="none"/>
              </w:rPr>
            </w:pPr>
          </w:p>
        </w:tc>
        <w:tc>
          <w:tcPr>
            <w:tcW w:w="2969" w:type="dxa"/>
            <w:vAlign w:val="top"/>
          </w:tcPr>
          <w:p w14:paraId="218E746A">
            <w:pPr>
              <w:pStyle w:val="248"/>
              <w:spacing w:before="265"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4C749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Align w:val="top"/>
          </w:tcPr>
          <w:p w14:paraId="1A5D257B">
            <w:pPr>
              <w:pStyle w:val="248"/>
              <w:spacing w:before="301" w:line="258" w:lineRule="exact"/>
              <w:ind w:left="209"/>
              <w:rPr>
                <w:color w:val="auto"/>
                <w:highlight w:val="none"/>
              </w:rPr>
            </w:pPr>
            <w:r>
              <w:rPr>
                <w:color w:val="auto"/>
                <w:spacing w:val="-7"/>
                <w:position w:val="1"/>
                <w:highlight w:val="none"/>
              </w:rPr>
              <w:t>12</w:t>
            </w:r>
          </w:p>
        </w:tc>
        <w:tc>
          <w:tcPr>
            <w:tcW w:w="1166" w:type="dxa"/>
            <w:vAlign w:val="top"/>
          </w:tcPr>
          <w:p w14:paraId="23DC9EF0">
            <w:pPr>
              <w:pStyle w:val="248"/>
              <w:spacing w:before="145" w:line="305" w:lineRule="auto"/>
              <w:ind w:left="14" w:right="8" w:firstLine="3"/>
              <w:rPr>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vAlign w:val="top"/>
          </w:tcPr>
          <w:p w14:paraId="602A962D">
            <w:pPr>
              <w:pStyle w:val="248"/>
              <w:spacing w:before="145" w:line="304" w:lineRule="auto"/>
              <w:ind w:left="18" w:right="10" w:hanging="9"/>
              <w:rPr>
                <w:color w:val="auto"/>
                <w:highlight w:val="none"/>
              </w:rPr>
            </w:pPr>
            <w:r>
              <w:rPr>
                <w:color w:val="auto"/>
                <w:spacing w:val="4"/>
                <w:highlight w:val="none"/>
              </w:rPr>
              <w:t>A02091001 普通电视</w:t>
            </w:r>
            <w:r>
              <w:rPr>
                <w:color w:val="auto"/>
                <w:spacing w:val="7"/>
                <w:highlight w:val="none"/>
              </w:rPr>
              <w:t xml:space="preserve"> </w:t>
            </w:r>
            <w:r>
              <w:rPr>
                <w:color w:val="auto"/>
                <w:spacing w:val="6"/>
                <w:highlight w:val="none"/>
              </w:rPr>
              <w:t>设备（电视机）</w:t>
            </w:r>
          </w:p>
        </w:tc>
        <w:tc>
          <w:tcPr>
            <w:tcW w:w="1914" w:type="dxa"/>
            <w:vAlign w:val="top"/>
          </w:tcPr>
          <w:p w14:paraId="687D4C5B">
            <w:pPr>
              <w:rPr>
                <w:rFonts w:ascii="Arial"/>
                <w:color w:val="auto"/>
                <w:sz w:val="21"/>
                <w:highlight w:val="none"/>
              </w:rPr>
            </w:pPr>
          </w:p>
        </w:tc>
        <w:tc>
          <w:tcPr>
            <w:tcW w:w="2969" w:type="dxa"/>
            <w:vAlign w:val="top"/>
          </w:tcPr>
          <w:p w14:paraId="6D852FF4">
            <w:pPr>
              <w:pStyle w:val="248"/>
              <w:spacing w:before="146" w:line="305" w:lineRule="auto"/>
              <w:ind w:left="21" w:right="11" w:firstLine="2"/>
              <w:rPr>
                <w:color w:val="auto"/>
                <w:highlight w:val="none"/>
              </w:rPr>
            </w:pPr>
            <w:r>
              <w:rPr>
                <w:color w:val="auto"/>
                <w:spacing w:val="19"/>
                <w:highlight w:val="none"/>
              </w:rPr>
              <w:t>《平板电视能效限定值及能效等</w:t>
            </w:r>
            <w:r>
              <w:rPr>
                <w:color w:val="auto"/>
                <w:spacing w:val="2"/>
                <w:highlight w:val="none"/>
              </w:rPr>
              <w:t xml:space="preserve"> </w:t>
            </w:r>
            <w:r>
              <w:rPr>
                <w:color w:val="auto"/>
                <w:spacing w:val="4"/>
                <w:highlight w:val="none"/>
              </w:rPr>
              <w:t>级》（</w:t>
            </w:r>
            <w:r>
              <w:rPr>
                <w:color w:val="auto"/>
                <w:highlight w:val="none"/>
              </w:rPr>
              <w:t>GB</w:t>
            </w:r>
            <w:r>
              <w:rPr>
                <w:color w:val="auto"/>
                <w:spacing w:val="23"/>
                <w:highlight w:val="none"/>
              </w:rPr>
              <w:t xml:space="preserve"> </w:t>
            </w:r>
            <w:r>
              <w:rPr>
                <w:color w:val="auto"/>
                <w:spacing w:val="4"/>
                <w:highlight w:val="none"/>
              </w:rPr>
              <w:t>24850）</w:t>
            </w:r>
          </w:p>
        </w:tc>
      </w:tr>
      <w:tr w14:paraId="17B4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vAlign w:val="top"/>
          </w:tcPr>
          <w:p w14:paraId="0B7C1DC1">
            <w:pPr>
              <w:spacing w:line="268" w:lineRule="auto"/>
              <w:rPr>
                <w:rFonts w:ascii="Arial"/>
                <w:color w:val="auto"/>
                <w:sz w:val="21"/>
                <w:highlight w:val="none"/>
              </w:rPr>
            </w:pPr>
          </w:p>
          <w:p w14:paraId="4937BACC">
            <w:pPr>
              <w:spacing w:line="269" w:lineRule="auto"/>
              <w:rPr>
                <w:rFonts w:ascii="Arial"/>
                <w:color w:val="auto"/>
                <w:sz w:val="21"/>
                <w:highlight w:val="none"/>
              </w:rPr>
            </w:pPr>
          </w:p>
          <w:p w14:paraId="35A6CC62">
            <w:pPr>
              <w:spacing w:line="269" w:lineRule="auto"/>
              <w:rPr>
                <w:rFonts w:ascii="Arial"/>
                <w:color w:val="auto"/>
                <w:sz w:val="21"/>
                <w:highlight w:val="none"/>
              </w:rPr>
            </w:pPr>
          </w:p>
          <w:p w14:paraId="48B9F6FC">
            <w:pPr>
              <w:pStyle w:val="248"/>
              <w:spacing w:before="62" w:line="256" w:lineRule="exact"/>
              <w:ind w:left="209"/>
              <w:rPr>
                <w:color w:val="auto"/>
                <w:highlight w:val="none"/>
              </w:rPr>
            </w:pPr>
            <w:r>
              <w:rPr>
                <w:color w:val="auto"/>
                <w:spacing w:val="-7"/>
                <w:position w:val="1"/>
                <w:highlight w:val="none"/>
              </w:rPr>
              <w:t>13</w:t>
            </w:r>
          </w:p>
        </w:tc>
        <w:tc>
          <w:tcPr>
            <w:tcW w:w="1166" w:type="dxa"/>
            <w:vAlign w:val="top"/>
          </w:tcPr>
          <w:p w14:paraId="6A2C27E7">
            <w:pPr>
              <w:spacing w:line="325" w:lineRule="auto"/>
              <w:rPr>
                <w:rFonts w:ascii="Arial"/>
                <w:color w:val="auto"/>
                <w:sz w:val="21"/>
                <w:highlight w:val="none"/>
              </w:rPr>
            </w:pPr>
          </w:p>
          <w:p w14:paraId="1B1074DF">
            <w:pPr>
              <w:spacing w:line="326" w:lineRule="auto"/>
              <w:rPr>
                <w:rFonts w:ascii="Arial"/>
                <w:color w:val="auto"/>
                <w:sz w:val="21"/>
                <w:highlight w:val="none"/>
              </w:rPr>
            </w:pPr>
          </w:p>
          <w:p w14:paraId="162AA68E">
            <w:pPr>
              <w:pStyle w:val="248"/>
              <w:spacing w:before="62" w:line="305" w:lineRule="auto"/>
              <w:ind w:left="16" w:right="8" w:firstLine="2"/>
              <w:rPr>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vAlign w:val="top"/>
          </w:tcPr>
          <w:p w14:paraId="40E984F6">
            <w:pPr>
              <w:spacing w:line="325" w:lineRule="auto"/>
              <w:rPr>
                <w:rFonts w:ascii="Arial"/>
                <w:color w:val="auto"/>
                <w:sz w:val="21"/>
                <w:highlight w:val="none"/>
              </w:rPr>
            </w:pPr>
          </w:p>
          <w:p w14:paraId="0E87A601">
            <w:pPr>
              <w:spacing w:line="326" w:lineRule="auto"/>
              <w:rPr>
                <w:rFonts w:ascii="Arial"/>
                <w:color w:val="auto"/>
                <w:sz w:val="21"/>
                <w:highlight w:val="none"/>
              </w:rPr>
            </w:pPr>
          </w:p>
          <w:p w14:paraId="5E79B368">
            <w:pPr>
              <w:pStyle w:val="248"/>
              <w:spacing w:before="62" w:line="305" w:lineRule="auto"/>
              <w:ind w:left="18" w:right="10" w:hanging="9"/>
              <w:rPr>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vAlign w:val="top"/>
          </w:tcPr>
          <w:p w14:paraId="7E981341">
            <w:pPr>
              <w:spacing w:line="268" w:lineRule="auto"/>
              <w:rPr>
                <w:rFonts w:ascii="Arial"/>
                <w:color w:val="auto"/>
                <w:sz w:val="21"/>
                <w:highlight w:val="none"/>
              </w:rPr>
            </w:pPr>
          </w:p>
          <w:p w14:paraId="6FB42634">
            <w:pPr>
              <w:spacing w:line="269" w:lineRule="auto"/>
              <w:rPr>
                <w:rFonts w:ascii="Arial"/>
                <w:color w:val="auto"/>
                <w:sz w:val="21"/>
                <w:highlight w:val="none"/>
              </w:rPr>
            </w:pPr>
          </w:p>
          <w:p w14:paraId="6B6291C4">
            <w:pPr>
              <w:spacing w:line="269" w:lineRule="auto"/>
              <w:rPr>
                <w:rFonts w:ascii="Arial"/>
                <w:color w:val="auto"/>
                <w:sz w:val="21"/>
                <w:highlight w:val="none"/>
              </w:rPr>
            </w:pPr>
          </w:p>
          <w:p w14:paraId="144E9D4D">
            <w:pPr>
              <w:pStyle w:val="248"/>
              <w:spacing w:before="62" w:line="230" w:lineRule="auto"/>
              <w:ind w:left="17"/>
              <w:rPr>
                <w:color w:val="auto"/>
                <w:highlight w:val="none"/>
              </w:rPr>
            </w:pPr>
            <w:r>
              <w:rPr>
                <w:color w:val="auto"/>
                <w:spacing w:val="6"/>
                <w:highlight w:val="none"/>
              </w:rPr>
              <w:t>监视器</w:t>
            </w:r>
          </w:p>
        </w:tc>
        <w:tc>
          <w:tcPr>
            <w:tcW w:w="2969" w:type="dxa"/>
            <w:vAlign w:val="top"/>
          </w:tcPr>
          <w:p w14:paraId="29162634">
            <w:pPr>
              <w:pStyle w:val="248"/>
              <w:spacing w:before="93" w:line="303" w:lineRule="auto"/>
              <w:ind w:left="17" w:right="11" w:firstLine="23"/>
              <w:rPr>
                <w:color w:val="auto"/>
                <w:highlight w:val="none"/>
              </w:rPr>
            </w:pPr>
            <w:r>
              <w:rPr>
                <w:color w:val="auto"/>
                <w:spacing w:val="18"/>
                <w:highlight w:val="none"/>
              </w:rPr>
              <w:t>以射频信号为主要信号输入的监</w:t>
            </w:r>
            <w:r>
              <w:rPr>
                <w:color w:val="auto"/>
                <w:highlight w:val="none"/>
              </w:rPr>
              <w:t xml:space="preserve"> </w:t>
            </w:r>
            <w:r>
              <w:rPr>
                <w:color w:val="auto"/>
                <w:spacing w:val="5"/>
                <w:highlight w:val="none"/>
              </w:rPr>
              <w:t>视器应符合《平板电视能效限定值</w:t>
            </w:r>
            <w:r>
              <w:rPr>
                <w:color w:val="auto"/>
                <w:spacing w:val="7"/>
                <w:highlight w:val="none"/>
              </w:rPr>
              <w:t xml:space="preserve"> </w:t>
            </w:r>
            <w:r>
              <w:rPr>
                <w:color w:val="auto"/>
                <w:spacing w:val="8"/>
                <w:highlight w:val="none"/>
              </w:rPr>
              <w:t>及能效等级》（</w:t>
            </w:r>
            <w:r>
              <w:rPr>
                <w:color w:val="auto"/>
                <w:highlight w:val="none"/>
              </w:rPr>
              <w:t>GB</w:t>
            </w:r>
            <w:r>
              <w:rPr>
                <w:color w:val="auto"/>
                <w:spacing w:val="8"/>
                <w:highlight w:val="none"/>
              </w:rPr>
              <w:t xml:space="preserve"> 24850</w:t>
            </w:r>
            <w:r>
              <w:rPr>
                <w:color w:val="auto"/>
                <w:highlight w:val="none"/>
              </w:rPr>
              <w:t>），</w:t>
            </w:r>
          </w:p>
          <w:p w14:paraId="78C3DB6A">
            <w:pPr>
              <w:pStyle w:val="248"/>
              <w:spacing w:before="1" w:line="290" w:lineRule="auto"/>
              <w:ind w:left="17" w:right="11" w:firstLine="23"/>
              <w:rPr>
                <w:color w:val="auto"/>
                <w:highlight w:val="none"/>
              </w:rPr>
            </w:pPr>
            <w:r>
              <w:rPr>
                <w:color w:val="auto"/>
                <w:spacing w:val="18"/>
                <w:highlight w:val="none"/>
              </w:rPr>
              <w:t>以数字信号为主要信号输入的监</w:t>
            </w:r>
            <w:r>
              <w:rPr>
                <w:color w:val="auto"/>
                <w:highlight w:val="none"/>
              </w:rPr>
              <w:t xml:space="preserve"> </w:t>
            </w:r>
            <w:r>
              <w:rPr>
                <w:color w:val="auto"/>
                <w:spacing w:val="5"/>
                <w:highlight w:val="none"/>
              </w:rPr>
              <w:t>视器应符合《计算机显示器能效限</w:t>
            </w:r>
            <w:r>
              <w:rPr>
                <w:color w:val="auto"/>
                <w:spacing w:val="7"/>
                <w:highlight w:val="none"/>
              </w:rPr>
              <w:t xml:space="preserve"> 定值及能效等级》（</w:t>
            </w:r>
            <w:r>
              <w:rPr>
                <w:color w:val="auto"/>
                <w:highlight w:val="none"/>
              </w:rPr>
              <w:t>GB</w:t>
            </w:r>
            <w:r>
              <w:rPr>
                <w:color w:val="auto"/>
                <w:spacing w:val="7"/>
                <w:highlight w:val="none"/>
              </w:rPr>
              <w:t xml:space="preserve"> 21520）</w:t>
            </w:r>
          </w:p>
        </w:tc>
      </w:tr>
      <w:tr w14:paraId="43CAF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1A735296">
            <w:pPr>
              <w:pStyle w:val="248"/>
              <w:spacing w:before="298" w:line="258" w:lineRule="exact"/>
              <w:ind w:left="209"/>
              <w:rPr>
                <w:color w:val="auto"/>
                <w:highlight w:val="none"/>
              </w:rPr>
            </w:pPr>
            <w:r>
              <w:rPr>
                <w:color w:val="auto"/>
                <w:spacing w:val="-7"/>
                <w:position w:val="1"/>
                <w:highlight w:val="none"/>
              </w:rPr>
              <w:t>14</w:t>
            </w:r>
          </w:p>
        </w:tc>
        <w:tc>
          <w:tcPr>
            <w:tcW w:w="1166" w:type="dxa"/>
            <w:vAlign w:val="top"/>
          </w:tcPr>
          <w:p w14:paraId="0BA5D3DF">
            <w:pPr>
              <w:pStyle w:val="248"/>
              <w:spacing w:before="142" w:line="304" w:lineRule="auto"/>
              <w:ind w:left="15" w:right="8" w:hanging="6"/>
              <w:rPr>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vAlign w:val="top"/>
          </w:tcPr>
          <w:p w14:paraId="78B39F26">
            <w:pPr>
              <w:pStyle w:val="248"/>
              <w:spacing w:before="297" w:line="230" w:lineRule="auto"/>
              <w:ind w:left="19"/>
              <w:rPr>
                <w:color w:val="auto"/>
                <w:highlight w:val="none"/>
              </w:rPr>
            </w:pPr>
            <w:r>
              <w:rPr>
                <w:color w:val="auto"/>
                <w:spacing w:val="7"/>
                <w:highlight w:val="none"/>
              </w:rPr>
              <w:t>商用燃气灶具</w:t>
            </w:r>
          </w:p>
        </w:tc>
        <w:tc>
          <w:tcPr>
            <w:tcW w:w="1914" w:type="dxa"/>
            <w:vAlign w:val="top"/>
          </w:tcPr>
          <w:p w14:paraId="39261D56">
            <w:pPr>
              <w:rPr>
                <w:rFonts w:ascii="Arial"/>
                <w:color w:val="auto"/>
                <w:sz w:val="21"/>
                <w:highlight w:val="none"/>
              </w:rPr>
            </w:pPr>
          </w:p>
        </w:tc>
        <w:tc>
          <w:tcPr>
            <w:tcW w:w="2969" w:type="dxa"/>
            <w:vAlign w:val="top"/>
          </w:tcPr>
          <w:p w14:paraId="0A69EBF9">
            <w:pPr>
              <w:pStyle w:val="248"/>
              <w:spacing w:before="142" w:line="304" w:lineRule="auto"/>
              <w:ind w:left="22" w:right="11"/>
              <w:rPr>
                <w:color w:val="auto"/>
                <w:highlight w:val="none"/>
              </w:rPr>
            </w:pPr>
            <w:r>
              <w:rPr>
                <w:color w:val="auto"/>
                <w:spacing w:val="19"/>
                <w:highlight w:val="none"/>
              </w:rPr>
              <w:t>《商用燃气灶具能效限定值及能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30531）</w:t>
            </w:r>
          </w:p>
        </w:tc>
      </w:tr>
      <w:tr w14:paraId="1F4A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vAlign w:val="top"/>
          </w:tcPr>
          <w:p w14:paraId="379A88BA">
            <w:pPr>
              <w:spacing w:line="290" w:lineRule="auto"/>
              <w:rPr>
                <w:rFonts w:ascii="Arial"/>
                <w:color w:val="auto"/>
                <w:sz w:val="21"/>
                <w:highlight w:val="none"/>
              </w:rPr>
            </w:pPr>
          </w:p>
          <w:p w14:paraId="415710B0">
            <w:pPr>
              <w:spacing w:line="290" w:lineRule="auto"/>
              <w:rPr>
                <w:rFonts w:ascii="Arial"/>
                <w:color w:val="auto"/>
                <w:sz w:val="21"/>
                <w:highlight w:val="none"/>
              </w:rPr>
            </w:pPr>
          </w:p>
          <w:p w14:paraId="1DF74F26">
            <w:pPr>
              <w:spacing w:line="291" w:lineRule="auto"/>
              <w:rPr>
                <w:rFonts w:ascii="Arial"/>
                <w:color w:val="auto"/>
                <w:sz w:val="21"/>
                <w:highlight w:val="none"/>
              </w:rPr>
            </w:pPr>
          </w:p>
          <w:p w14:paraId="73A08F93">
            <w:pPr>
              <w:spacing w:line="291" w:lineRule="auto"/>
              <w:rPr>
                <w:rFonts w:ascii="Arial"/>
                <w:color w:val="auto"/>
                <w:sz w:val="21"/>
                <w:highlight w:val="none"/>
              </w:rPr>
            </w:pPr>
          </w:p>
          <w:p w14:paraId="6679BED7">
            <w:pPr>
              <w:pStyle w:val="248"/>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vAlign w:val="top"/>
          </w:tcPr>
          <w:p w14:paraId="3C83F983">
            <w:pPr>
              <w:spacing w:line="251" w:lineRule="auto"/>
              <w:rPr>
                <w:rFonts w:ascii="Arial"/>
                <w:color w:val="auto"/>
                <w:sz w:val="21"/>
                <w:highlight w:val="none"/>
              </w:rPr>
            </w:pPr>
          </w:p>
          <w:p w14:paraId="33D15EF4">
            <w:pPr>
              <w:spacing w:line="251" w:lineRule="auto"/>
              <w:rPr>
                <w:rFonts w:ascii="Arial"/>
                <w:color w:val="auto"/>
                <w:sz w:val="21"/>
                <w:highlight w:val="none"/>
              </w:rPr>
            </w:pPr>
          </w:p>
          <w:p w14:paraId="556E7C59">
            <w:pPr>
              <w:spacing w:line="252" w:lineRule="auto"/>
              <w:rPr>
                <w:rFonts w:ascii="Arial"/>
                <w:color w:val="auto"/>
                <w:sz w:val="21"/>
                <w:highlight w:val="none"/>
              </w:rPr>
            </w:pPr>
          </w:p>
          <w:p w14:paraId="2C86B078">
            <w:pPr>
              <w:pStyle w:val="248"/>
              <w:spacing w:before="62" w:line="307" w:lineRule="auto"/>
              <w:ind w:left="15" w:right="8" w:firstLine="3"/>
              <w:rPr>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vAlign w:val="top"/>
          </w:tcPr>
          <w:p w14:paraId="69264CCD">
            <w:pPr>
              <w:spacing w:line="282" w:lineRule="auto"/>
              <w:rPr>
                <w:rFonts w:ascii="Arial"/>
                <w:color w:val="auto"/>
                <w:sz w:val="21"/>
                <w:highlight w:val="none"/>
              </w:rPr>
            </w:pPr>
          </w:p>
          <w:p w14:paraId="75C4A866">
            <w:pPr>
              <w:pStyle w:val="248"/>
              <w:spacing w:before="62" w:line="229" w:lineRule="auto"/>
              <w:ind w:left="16"/>
              <w:rPr>
                <w:color w:val="auto"/>
                <w:highlight w:val="none"/>
              </w:rPr>
            </w:pPr>
            <w:r>
              <w:rPr>
                <w:color w:val="auto"/>
                <w:spacing w:val="6"/>
                <w:highlight w:val="none"/>
              </w:rPr>
              <w:t>坐便器</w:t>
            </w:r>
          </w:p>
        </w:tc>
        <w:tc>
          <w:tcPr>
            <w:tcW w:w="1914" w:type="dxa"/>
            <w:vAlign w:val="top"/>
          </w:tcPr>
          <w:p w14:paraId="06D6FE26">
            <w:pPr>
              <w:rPr>
                <w:rFonts w:ascii="Arial"/>
                <w:color w:val="auto"/>
                <w:sz w:val="21"/>
                <w:highlight w:val="none"/>
              </w:rPr>
            </w:pPr>
          </w:p>
        </w:tc>
        <w:tc>
          <w:tcPr>
            <w:tcW w:w="2969" w:type="dxa"/>
            <w:vAlign w:val="top"/>
          </w:tcPr>
          <w:p w14:paraId="550503C2">
            <w:pPr>
              <w:pStyle w:val="248"/>
              <w:spacing w:before="189" w:line="311" w:lineRule="auto"/>
              <w:ind w:left="27" w:hanging="4"/>
              <w:rPr>
                <w:color w:val="auto"/>
                <w:highlight w:val="none"/>
              </w:rPr>
            </w:pPr>
            <w:r>
              <w:rPr>
                <w:color w:val="auto"/>
                <w:spacing w:val="6"/>
                <w:highlight w:val="none"/>
              </w:rPr>
              <w:t>《坐便器水效限定值及水效等级》</w:t>
            </w:r>
            <w:r>
              <w:rPr>
                <w:color w:val="auto"/>
                <w:highlight w:val="none"/>
              </w:rPr>
              <w:t xml:space="preserve"> </w:t>
            </w:r>
            <w:r>
              <w:rPr>
                <w:color w:val="auto"/>
                <w:spacing w:val="1"/>
                <w:highlight w:val="none"/>
              </w:rPr>
              <w:t>（</w:t>
            </w:r>
            <w:r>
              <w:rPr>
                <w:color w:val="auto"/>
                <w:highlight w:val="none"/>
              </w:rPr>
              <w:t>GB</w:t>
            </w:r>
            <w:r>
              <w:rPr>
                <w:color w:val="auto"/>
                <w:spacing w:val="15"/>
                <w:highlight w:val="none"/>
              </w:rPr>
              <w:t xml:space="preserve"> </w:t>
            </w:r>
            <w:r>
              <w:rPr>
                <w:color w:val="auto"/>
                <w:spacing w:val="1"/>
                <w:highlight w:val="none"/>
              </w:rPr>
              <w:t>25502）</w:t>
            </w:r>
          </w:p>
        </w:tc>
      </w:tr>
      <w:tr w14:paraId="6FC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vAlign w:val="top"/>
          </w:tcPr>
          <w:p w14:paraId="0774E339">
            <w:pPr>
              <w:rPr>
                <w:rFonts w:ascii="Arial"/>
                <w:color w:val="auto"/>
                <w:sz w:val="21"/>
                <w:highlight w:val="none"/>
              </w:rPr>
            </w:pPr>
          </w:p>
        </w:tc>
        <w:tc>
          <w:tcPr>
            <w:tcW w:w="1166" w:type="dxa"/>
            <w:vMerge w:val="continue"/>
            <w:tcBorders>
              <w:top w:val="nil"/>
              <w:bottom w:val="nil"/>
            </w:tcBorders>
            <w:vAlign w:val="top"/>
          </w:tcPr>
          <w:p w14:paraId="47573F4F">
            <w:pPr>
              <w:rPr>
                <w:rFonts w:ascii="Arial"/>
                <w:color w:val="auto"/>
                <w:sz w:val="21"/>
                <w:highlight w:val="none"/>
              </w:rPr>
            </w:pPr>
          </w:p>
        </w:tc>
        <w:tc>
          <w:tcPr>
            <w:tcW w:w="1799" w:type="dxa"/>
            <w:vAlign w:val="top"/>
          </w:tcPr>
          <w:p w14:paraId="27ADEF01">
            <w:pPr>
              <w:spacing w:line="283" w:lineRule="auto"/>
              <w:rPr>
                <w:rFonts w:ascii="Arial"/>
                <w:color w:val="auto"/>
                <w:sz w:val="21"/>
                <w:highlight w:val="none"/>
              </w:rPr>
            </w:pPr>
          </w:p>
          <w:p w14:paraId="002A8B1C">
            <w:pPr>
              <w:pStyle w:val="248"/>
              <w:spacing w:before="62" w:line="229" w:lineRule="auto"/>
              <w:ind w:left="14"/>
              <w:rPr>
                <w:color w:val="auto"/>
                <w:highlight w:val="none"/>
              </w:rPr>
            </w:pPr>
            <w:r>
              <w:rPr>
                <w:color w:val="auto"/>
                <w:spacing w:val="6"/>
                <w:highlight w:val="none"/>
              </w:rPr>
              <w:t>蹲便器</w:t>
            </w:r>
          </w:p>
        </w:tc>
        <w:tc>
          <w:tcPr>
            <w:tcW w:w="1914" w:type="dxa"/>
            <w:vAlign w:val="top"/>
          </w:tcPr>
          <w:p w14:paraId="155CD212">
            <w:pPr>
              <w:rPr>
                <w:rFonts w:ascii="Arial"/>
                <w:color w:val="auto"/>
                <w:sz w:val="21"/>
                <w:highlight w:val="none"/>
              </w:rPr>
            </w:pPr>
          </w:p>
        </w:tc>
        <w:tc>
          <w:tcPr>
            <w:tcW w:w="2969" w:type="dxa"/>
            <w:vAlign w:val="top"/>
          </w:tcPr>
          <w:p w14:paraId="33F60332">
            <w:pPr>
              <w:pStyle w:val="248"/>
              <w:spacing w:before="191" w:line="304" w:lineRule="auto"/>
              <w:ind w:left="22" w:right="11"/>
              <w:rPr>
                <w:color w:val="auto"/>
                <w:highlight w:val="none"/>
              </w:rPr>
            </w:pPr>
            <w:r>
              <w:rPr>
                <w:color w:val="auto"/>
                <w:spacing w:val="19"/>
                <w:highlight w:val="none"/>
              </w:rPr>
              <w:t>《蹲便器用水效率限定值及用水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30717）</w:t>
            </w:r>
          </w:p>
        </w:tc>
      </w:tr>
      <w:tr w14:paraId="01E4D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vAlign w:val="top"/>
          </w:tcPr>
          <w:p w14:paraId="1DECC5AB">
            <w:pPr>
              <w:rPr>
                <w:rFonts w:ascii="Arial"/>
                <w:color w:val="auto"/>
                <w:sz w:val="21"/>
                <w:highlight w:val="none"/>
              </w:rPr>
            </w:pPr>
          </w:p>
        </w:tc>
        <w:tc>
          <w:tcPr>
            <w:tcW w:w="1166" w:type="dxa"/>
            <w:vMerge w:val="continue"/>
            <w:tcBorders>
              <w:top w:val="nil"/>
            </w:tcBorders>
            <w:vAlign w:val="top"/>
          </w:tcPr>
          <w:p w14:paraId="0B15BC4C">
            <w:pPr>
              <w:rPr>
                <w:rFonts w:ascii="Arial"/>
                <w:color w:val="auto"/>
                <w:sz w:val="21"/>
                <w:highlight w:val="none"/>
              </w:rPr>
            </w:pPr>
          </w:p>
        </w:tc>
        <w:tc>
          <w:tcPr>
            <w:tcW w:w="1799" w:type="dxa"/>
            <w:vAlign w:val="top"/>
          </w:tcPr>
          <w:p w14:paraId="0C655CC8">
            <w:pPr>
              <w:spacing w:line="284" w:lineRule="auto"/>
              <w:rPr>
                <w:rFonts w:ascii="Arial"/>
                <w:color w:val="auto"/>
                <w:sz w:val="21"/>
                <w:highlight w:val="none"/>
              </w:rPr>
            </w:pPr>
          </w:p>
          <w:p w14:paraId="2EADDFBF">
            <w:pPr>
              <w:pStyle w:val="248"/>
              <w:spacing w:before="61" w:line="229" w:lineRule="auto"/>
              <w:ind w:left="20"/>
              <w:rPr>
                <w:color w:val="auto"/>
                <w:highlight w:val="none"/>
              </w:rPr>
            </w:pPr>
            <w:r>
              <w:rPr>
                <w:color w:val="auto"/>
                <w:spacing w:val="4"/>
                <w:highlight w:val="none"/>
              </w:rPr>
              <w:t>小便器</w:t>
            </w:r>
          </w:p>
        </w:tc>
        <w:tc>
          <w:tcPr>
            <w:tcW w:w="1914" w:type="dxa"/>
            <w:vAlign w:val="top"/>
          </w:tcPr>
          <w:p w14:paraId="026836EF">
            <w:pPr>
              <w:rPr>
                <w:rFonts w:ascii="Arial"/>
                <w:color w:val="auto"/>
                <w:sz w:val="21"/>
                <w:highlight w:val="none"/>
              </w:rPr>
            </w:pPr>
          </w:p>
        </w:tc>
        <w:tc>
          <w:tcPr>
            <w:tcW w:w="2969" w:type="dxa"/>
            <w:vAlign w:val="top"/>
          </w:tcPr>
          <w:p w14:paraId="75C671BE">
            <w:pPr>
              <w:pStyle w:val="248"/>
              <w:spacing w:before="192" w:line="304" w:lineRule="auto"/>
              <w:ind w:left="22" w:right="11"/>
              <w:rPr>
                <w:color w:val="auto"/>
                <w:highlight w:val="none"/>
              </w:rPr>
            </w:pPr>
            <w:r>
              <w:rPr>
                <w:color w:val="auto"/>
                <w:spacing w:val="19"/>
                <w:highlight w:val="none"/>
              </w:rPr>
              <w:t>《小便器用水效率限定值及用水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28377）</w:t>
            </w:r>
          </w:p>
        </w:tc>
      </w:tr>
    </w:tbl>
    <w:p w14:paraId="08876F07">
      <w:pPr>
        <w:rPr>
          <w:rFonts w:ascii="Arial"/>
          <w:color w:val="auto"/>
          <w:sz w:val="21"/>
          <w:highlight w:val="none"/>
        </w:rPr>
      </w:pPr>
    </w:p>
    <w:p w14:paraId="638FF41C">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65F2A7F9">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01D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578" w:type="dxa"/>
            <w:vAlign w:val="top"/>
          </w:tcPr>
          <w:p w14:paraId="2F24B473">
            <w:pPr>
              <w:spacing w:line="312" w:lineRule="auto"/>
              <w:rPr>
                <w:rFonts w:ascii="Arial"/>
                <w:color w:val="auto"/>
                <w:sz w:val="21"/>
                <w:highlight w:val="none"/>
              </w:rPr>
            </w:pPr>
          </w:p>
          <w:p w14:paraId="530FAF58">
            <w:pPr>
              <w:pStyle w:val="248"/>
              <w:spacing w:before="61" w:line="257" w:lineRule="exact"/>
              <w:ind w:left="209"/>
              <w:rPr>
                <w:color w:val="auto"/>
                <w:highlight w:val="none"/>
              </w:rPr>
            </w:pPr>
            <w:r>
              <w:rPr>
                <w:color w:val="auto"/>
                <w:spacing w:val="-7"/>
                <w:position w:val="1"/>
                <w:highlight w:val="none"/>
              </w:rPr>
              <w:t>16</w:t>
            </w:r>
          </w:p>
        </w:tc>
        <w:tc>
          <w:tcPr>
            <w:tcW w:w="1166" w:type="dxa"/>
            <w:vAlign w:val="top"/>
          </w:tcPr>
          <w:p w14:paraId="2A464D7B">
            <w:pPr>
              <w:pStyle w:val="248"/>
              <w:spacing w:before="220" w:line="304" w:lineRule="auto"/>
              <w:ind w:left="22" w:right="8" w:hanging="4"/>
              <w:rPr>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vAlign w:val="top"/>
          </w:tcPr>
          <w:p w14:paraId="7CE072FE">
            <w:pPr>
              <w:rPr>
                <w:rFonts w:ascii="Arial"/>
                <w:color w:val="auto"/>
                <w:sz w:val="21"/>
                <w:highlight w:val="none"/>
              </w:rPr>
            </w:pPr>
          </w:p>
        </w:tc>
        <w:tc>
          <w:tcPr>
            <w:tcW w:w="1914" w:type="dxa"/>
            <w:vAlign w:val="top"/>
          </w:tcPr>
          <w:p w14:paraId="7A575F13">
            <w:pPr>
              <w:rPr>
                <w:rFonts w:ascii="Arial"/>
                <w:color w:val="auto"/>
                <w:sz w:val="21"/>
                <w:highlight w:val="none"/>
              </w:rPr>
            </w:pPr>
          </w:p>
        </w:tc>
        <w:tc>
          <w:tcPr>
            <w:tcW w:w="2969" w:type="dxa"/>
            <w:vAlign w:val="top"/>
          </w:tcPr>
          <w:p w14:paraId="3BFC4085">
            <w:pPr>
              <w:pStyle w:val="248"/>
              <w:spacing w:before="220" w:line="304" w:lineRule="auto"/>
              <w:ind w:left="19" w:right="11" w:firstLine="3"/>
              <w:rPr>
                <w:color w:val="auto"/>
                <w:highlight w:val="none"/>
              </w:rPr>
            </w:pPr>
            <w:r>
              <w:rPr>
                <w:color w:val="auto"/>
                <w:spacing w:val="19"/>
                <w:highlight w:val="none"/>
              </w:rPr>
              <w:t>《水嘴用水效率限定值及用水效</w:t>
            </w:r>
            <w:r>
              <w:rPr>
                <w:color w:val="auto"/>
                <w:spacing w:val="2"/>
                <w:highlight w:val="none"/>
              </w:rPr>
              <w:t xml:space="preserve"> </w:t>
            </w:r>
            <w:r>
              <w:rPr>
                <w:color w:val="auto"/>
                <w:spacing w:val="6"/>
                <w:highlight w:val="none"/>
              </w:rPr>
              <w:t>率等级》（</w:t>
            </w:r>
            <w:r>
              <w:rPr>
                <w:color w:val="auto"/>
                <w:highlight w:val="none"/>
              </w:rPr>
              <w:t>GB</w:t>
            </w:r>
            <w:r>
              <w:rPr>
                <w:color w:val="auto"/>
                <w:spacing w:val="6"/>
                <w:highlight w:val="none"/>
              </w:rPr>
              <w:t xml:space="preserve"> 25501）</w:t>
            </w:r>
          </w:p>
        </w:tc>
      </w:tr>
      <w:tr w14:paraId="0E678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vAlign w:val="top"/>
          </w:tcPr>
          <w:p w14:paraId="1E1F548C">
            <w:pPr>
              <w:spacing w:line="268" w:lineRule="auto"/>
              <w:rPr>
                <w:rFonts w:ascii="Arial"/>
                <w:color w:val="auto"/>
                <w:sz w:val="21"/>
                <w:highlight w:val="none"/>
              </w:rPr>
            </w:pPr>
          </w:p>
          <w:p w14:paraId="7D2FA1D8">
            <w:pPr>
              <w:pStyle w:val="248"/>
              <w:spacing w:before="62" w:line="257" w:lineRule="exact"/>
              <w:ind w:left="209"/>
              <w:rPr>
                <w:color w:val="auto"/>
                <w:highlight w:val="none"/>
              </w:rPr>
            </w:pPr>
            <w:r>
              <w:rPr>
                <w:color w:val="auto"/>
                <w:spacing w:val="-7"/>
                <w:position w:val="1"/>
                <w:highlight w:val="none"/>
              </w:rPr>
              <w:t>17</w:t>
            </w:r>
          </w:p>
        </w:tc>
        <w:tc>
          <w:tcPr>
            <w:tcW w:w="1166" w:type="dxa"/>
            <w:vAlign w:val="top"/>
          </w:tcPr>
          <w:p w14:paraId="54053D7A">
            <w:pPr>
              <w:pStyle w:val="248"/>
              <w:spacing w:before="176" w:line="305" w:lineRule="auto"/>
              <w:ind w:left="15" w:right="8" w:hanging="6"/>
              <w:rPr>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vAlign w:val="top"/>
          </w:tcPr>
          <w:p w14:paraId="186AD530">
            <w:pPr>
              <w:rPr>
                <w:rFonts w:ascii="Arial"/>
                <w:color w:val="auto"/>
                <w:sz w:val="21"/>
                <w:highlight w:val="none"/>
              </w:rPr>
            </w:pPr>
          </w:p>
        </w:tc>
        <w:tc>
          <w:tcPr>
            <w:tcW w:w="1914" w:type="dxa"/>
            <w:vAlign w:val="top"/>
          </w:tcPr>
          <w:p w14:paraId="7C785CB7">
            <w:pPr>
              <w:rPr>
                <w:rFonts w:ascii="Arial"/>
                <w:color w:val="auto"/>
                <w:sz w:val="21"/>
                <w:highlight w:val="none"/>
              </w:rPr>
            </w:pPr>
          </w:p>
        </w:tc>
        <w:tc>
          <w:tcPr>
            <w:tcW w:w="2969" w:type="dxa"/>
            <w:vAlign w:val="top"/>
          </w:tcPr>
          <w:p w14:paraId="1FA131D8">
            <w:pPr>
              <w:pStyle w:val="248"/>
              <w:spacing w:before="177" w:line="304" w:lineRule="auto"/>
              <w:ind w:left="19" w:right="11" w:firstLine="3"/>
              <w:rPr>
                <w:color w:val="auto"/>
                <w:highlight w:val="none"/>
              </w:rPr>
            </w:pPr>
            <w:r>
              <w:rPr>
                <w:color w:val="auto"/>
                <w:spacing w:val="19"/>
                <w:highlight w:val="none"/>
              </w:rPr>
              <w:t>《便器冲洗阀用水效率限定值及</w:t>
            </w:r>
            <w:r>
              <w:rPr>
                <w:color w:val="auto"/>
                <w:spacing w:val="2"/>
                <w:highlight w:val="none"/>
              </w:rPr>
              <w:t xml:space="preserve"> </w:t>
            </w:r>
            <w:r>
              <w:rPr>
                <w:color w:val="auto"/>
                <w:spacing w:val="7"/>
                <w:highlight w:val="none"/>
              </w:rPr>
              <w:t>用水效率等级》（</w:t>
            </w:r>
            <w:r>
              <w:rPr>
                <w:color w:val="auto"/>
                <w:highlight w:val="none"/>
              </w:rPr>
              <w:t>GB</w:t>
            </w:r>
            <w:r>
              <w:rPr>
                <w:color w:val="auto"/>
                <w:spacing w:val="7"/>
                <w:highlight w:val="none"/>
              </w:rPr>
              <w:t xml:space="preserve"> 28379）</w:t>
            </w:r>
          </w:p>
        </w:tc>
      </w:tr>
      <w:tr w14:paraId="2573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vAlign w:val="top"/>
          </w:tcPr>
          <w:p w14:paraId="5E9BF0E2">
            <w:pPr>
              <w:spacing w:line="289" w:lineRule="auto"/>
              <w:rPr>
                <w:rFonts w:ascii="Arial"/>
                <w:color w:val="auto"/>
                <w:sz w:val="21"/>
                <w:highlight w:val="none"/>
              </w:rPr>
            </w:pPr>
          </w:p>
          <w:p w14:paraId="6C20F59C">
            <w:pPr>
              <w:pStyle w:val="248"/>
              <w:spacing w:before="62" w:line="256" w:lineRule="exact"/>
              <w:ind w:left="209"/>
              <w:rPr>
                <w:color w:val="auto"/>
                <w:highlight w:val="none"/>
              </w:rPr>
            </w:pPr>
            <w:r>
              <w:rPr>
                <w:color w:val="auto"/>
                <w:spacing w:val="-7"/>
                <w:position w:val="1"/>
                <w:highlight w:val="none"/>
              </w:rPr>
              <w:t>18</w:t>
            </w:r>
          </w:p>
        </w:tc>
        <w:tc>
          <w:tcPr>
            <w:tcW w:w="1166" w:type="dxa"/>
            <w:vAlign w:val="top"/>
          </w:tcPr>
          <w:p w14:paraId="6479A66C">
            <w:pPr>
              <w:pStyle w:val="248"/>
              <w:spacing w:before="196" w:line="307" w:lineRule="auto"/>
              <w:ind w:left="15" w:right="8" w:hanging="6"/>
              <w:rPr>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vAlign w:val="top"/>
          </w:tcPr>
          <w:p w14:paraId="15A8BA2D">
            <w:pPr>
              <w:rPr>
                <w:rFonts w:ascii="Arial"/>
                <w:color w:val="auto"/>
                <w:sz w:val="21"/>
                <w:highlight w:val="none"/>
              </w:rPr>
            </w:pPr>
          </w:p>
        </w:tc>
        <w:tc>
          <w:tcPr>
            <w:tcW w:w="1914" w:type="dxa"/>
            <w:vAlign w:val="top"/>
          </w:tcPr>
          <w:p w14:paraId="1A84F050">
            <w:pPr>
              <w:rPr>
                <w:rFonts w:ascii="Arial"/>
                <w:color w:val="auto"/>
                <w:sz w:val="21"/>
                <w:highlight w:val="none"/>
              </w:rPr>
            </w:pPr>
          </w:p>
        </w:tc>
        <w:tc>
          <w:tcPr>
            <w:tcW w:w="2969" w:type="dxa"/>
            <w:vAlign w:val="top"/>
          </w:tcPr>
          <w:p w14:paraId="763D7EC2">
            <w:pPr>
              <w:pStyle w:val="248"/>
              <w:spacing w:before="197" w:line="304" w:lineRule="auto"/>
              <w:ind w:left="22" w:right="11"/>
              <w:rPr>
                <w:color w:val="auto"/>
                <w:highlight w:val="none"/>
              </w:rPr>
            </w:pPr>
            <w:r>
              <w:rPr>
                <w:color w:val="auto"/>
                <w:spacing w:val="19"/>
                <w:highlight w:val="none"/>
              </w:rPr>
              <w:t>《淋浴器用水效率限定值及用水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28378）</w:t>
            </w:r>
          </w:p>
        </w:tc>
      </w:tr>
    </w:tbl>
    <w:p w14:paraId="514CDACB">
      <w:pPr>
        <w:spacing w:after="120" w:line="360" w:lineRule="auto"/>
        <w:rPr>
          <w:rFonts w:hint="eastAsia" w:ascii="宋体" w:hAnsi="宋体" w:eastAsia="宋体"/>
          <w:color w:val="auto"/>
          <w:szCs w:val="21"/>
          <w:highlight w:val="none"/>
          <w:lang w:eastAsia="zh-CN"/>
        </w:rPr>
      </w:pPr>
      <w:r>
        <w:rPr>
          <w:rFonts w:hint="eastAsia" w:ascii="宋体" w:hAnsi="宋体"/>
          <w:color w:val="auto"/>
          <w:spacing w:val="-3"/>
          <w:szCs w:val="21"/>
          <w:highlight w:val="none"/>
        </w:rPr>
        <w:t>注：1.节能产品认证应依据相关国家标准的最新版本</w:t>
      </w:r>
      <w:r>
        <w:rPr>
          <w:rFonts w:hint="eastAsia" w:ascii="宋体" w:hAnsi="宋体"/>
          <w:color w:val="auto"/>
          <w:spacing w:val="-3"/>
          <w:szCs w:val="21"/>
          <w:highlight w:val="none"/>
          <w:lang w:eastAsia="zh-CN"/>
        </w:rPr>
        <w:t>。</w:t>
      </w:r>
    </w:p>
    <w:p w14:paraId="34839CC1">
      <w:pPr>
        <w:spacing w:after="120" w:line="360" w:lineRule="auto"/>
        <w:ind w:firstLine="465"/>
        <w:rPr>
          <w:color w:val="auto"/>
          <w:highlight w:val="none"/>
        </w:rPr>
        <w:sectPr>
          <w:headerReference r:id="rId10" w:type="first"/>
          <w:headerReference r:id="rId9" w:type="default"/>
          <w:pgSz w:w="11906" w:h="16838"/>
          <w:pgMar w:top="993" w:right="1133" w:bottom="1246" w:left="1418" w:header="851" w:footer="992" w:gutter="0"/>
          <w:cols w:space="720" w:num="1"/>
          <w:titlePg/>
          <w:docGrid w:linePitch="312" w:charSpace="0"/>
        </w:sectPr>
      </w:pPr>
      <w:r>
        <w:rPr>
          <w:rFonts w:hint="eastAsia" w:ascii="宋体" w:hAnsi="宋体"/>
          <w:color w:val="auto"/>
          <w:szCs w:val="21"/>
          <w:highlight w:val="none"/>
        </w:rPr>
        <w:t>2.以“★”标注的为政府强制采购产品。</w:t>
      </w:r>
    </w:p>
    <w:p w14:paraId="5198B984">
      <w:pPr>
        <w:spacing w:line="528" w:lineRule="exact"/>
        <w:jc w:val="left"/>
        <w:rPr>
          <w:rFonts w:hint="eastAsia"/>
          <w:color w:val="auto"/>
          <w:sz w:val="28"/>
          <w:szCs w:val="28"/>
          <w:highlight w:val="none"/>
        </w:rPr>
      </w:pPr>
      <w:r>
        <w:rPr>
          <w:rFonts w:hint="eastAsia"/>
          <w:color w:val="auto"/>
          <w:sz w:val="28"/>
          <w:szCs w:val="28"/>
          <w:highlight w:val="none"/>
        </w:rPr>
        <w:t>附件4：</w:t>
      </w:r>
    </w:p>
    <w:p w14:paraId="13383190">
      <w:pPr>
        <w:spacing w:line="528" w:lineRule="exact"/>
        <w:ind w:firstLine="280" w:firstLineChars="10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环境标志产品政府采购品目清单</w:t>
      </w:r>
    </w:p>
    <w:p w14:paraId="06396133">
      <w:pPr>
        <w:spacing w:before="41"/>
        <w:rPr>
          <w:color w:val="auto"/>
          <w:highlight w:val="none"/>
        </w:rPr>
      </w:pPr>
    </w:p>
    <w:p w14:paraId="35AEA222">
      <w:pPr>
        <w:spacing w:before="41"/>
        <w:rPr>
          <w:color w:val="auto"/>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7148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FAF02D6">
            <w:pPr>
              <w:pStyle w:val="248"/>
              <w:spacing w:before="70" w:line="223" w:lineRule="auto"/>
              <w:ind w:left="129"/>
              <w:rPr>
                <w:color w:val="auto"/>
                <w:highlight w:val="none"/>
              </w:rPr>
            </w:pPr>
            <w:r>
              <w:rPr>
                <w:b/>
                <w:bCs/>
                <w:color w:val="auto"/>
                <w:spacing w:val="-12"/>
                <w:highlight w:val="none"/>
              </w:rPr>
              <w:t>品目</w:t>
            </w:r>
          </w:p>
          <w:p w14:paraId="141F03ED">
            <w:pPr>
              <w:pStyle w:val="248"/>
              <w:spacing w:before="91" w:line="222" w:lineRule="auto"/>
              <w:ind w:left="114"/>
              <w:rPr>
                <w:color w:val="auto"/>
                <w:highlight w:val="none"/>
              </w:rPr>
            </w:pPr>
            <w:r>
              <w:rPr>
                <w:b/>
                <w:bCs/>
                <w:color w:val="auto"/>
                <w:spacing w:val="-4"/>
                <w:highlight w:val="none"/>
              </w:rPr>
              <w:t>序号</w:t>
            </w:r>
          </w:p>
        </w:tc>
        <w:tc>
          <w:tcPr>
            <w:tcW w:w="6462" w:type="dxa"/>
            <w:gridSpan w:val="3"/>
            <w:vAlign w:val="top"/>
          </w:tcPr>
          <w:p w14:paraId="4900C852">
            <w:pPr>
              <w:pStyle w:val="248"/>
              <w:spacing w:before="224" w:line="222" w:lineRule="auto"/>
              <w:ind w:left="3054"/>
              <w:rPr>
                <w:color w:val="auto"/>
                <w:highlight w:val="none"/>
              </w:rPr>
            </w:pPr>
            <w:r>
              <w:rPr>
                <w:b/>
                <w:bCs/>
                <w:color w:val="auto"/>
                <w:spacing w:val="-6"/>
                <w:highlight w:val="none"/>
              </w:rPr>
              <w:t>名称</w:t>
            </w:r>
          </w:p>
        </w:tc>
        <w:tc>
          <w:tcPr>
            <w:tcW w:w="3543" w:type="dxa"/>
            <w:vAlign w:val="top"/>
          </w:tcPr>
          <w:p w14:paraId="4AACD77E">
            <w:pPr>
              <w:pStyle w:val="248"/>
              <w:spacing w:before="224" w:line="219" w:lineRule="auto"/>
              <w:ind w:left="1325"/>
              <w:rPr>
                <w:color w:val="auto"/>
                <w:highlight w:val="none"/>
              </w:rPr>
            </w:pPr>
            <w:r>
              <w:rPr>
                <w:b/>
                <w:bCs/>
                <w:color w:val="auto"/>
                <w:spacing w:val="-4"/>
                <w:highlight w:val="none"/>
              </w:rPr>
              <w:t>依据的标准</w:t>
            </w:r>
          </w:p>
        </w:tc>
      </w:tr>
      <w:tr w14:paraId="10F1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bottom w:val="nil"/>
            </w:tcBorders>
            <w:vAlign w:val="top"/>
          </w:tcPr>
          <w:p w14:paraId="1583F73B">
            <w:pPr>
              <w:pStyle w:val="248"/>
              <w:spacing w:before="66" w:line="242" w:lineRule="auto"/>
              <w:ind w:left="128"/>
              <w:rPr>
                <w:color w:val="auto"/>
                <w:highlight w:val="none"/>
              </w:rPr>
            </w:pPr>
            <w:r>
              <w:rPr>
                <w:color w:val="auto"/>
                <w:highlight w:val="none"/>
              </w:rPr>
              <w:t>1</w:t>
            </w:r>
          </w:p>
        </w:tc>
        <w:tc>
          <w:tcPr>
            <w:tcW w:w="1542" w:type="dxa"/>
            <w:vMerge w:val="restart"/>
            <w:tcBorders>
              <w:bottom w:val="nil"/>
            </w:tcBorders>
            <w:vAlign w:val="top"/>
          </w:tcPr>
          <w:p w14:paraId="571078CD">
            <w:pPr>
              <w:pStyle w:val="248"/>
              <w:spacing w:before="65" w:line="323" w:lineRule="auto"/>
              <w:ind w:left="110" w:right="108" w:hanging="8"/>
              <w:rPr>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672" w:type="dxa"/>
            <w:vAlign w:val="top"/>
          </w:tcPr>
          <w:p w14:paraId="0F33466F">
            <w:pPr>
              <w:pStyle w:val="248"/>
              <w:spacing w:before="66" w:line="220" w:lineRule="auto"/>
              <w:ind w:left="103"/>
              <w:rPr>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248" w:type="dxa"/>
            <w:vAlign w:val="top"/>
          </w:tcPr>
          <w:p w14:paraId="2A755ED7">
            <w:pPr>
              <w:rPr>
                <w:rFonts w:ascii="Arial"/>
                <w:color w:val="auto"/>
                <w:sz w:val="21"/>
                <w:highlight w:val="none"/>
              </w:rPr>
            </w:pPr>
          </w:p>
        </w:tc>
        <w:tc>
          <w:tcPr>
            <w:tcW w:w="3543" w:type="dxa"/>
            <w:vAlign w:val="top"/>
          </w:tcPr>
          <w:p w14:paraId="21022B4E">
            <w:pPr>
              <w:pStyle w:val="248"/>
              <w:spacing w:before="66" w:line="219" w:lineRule="auto"/>
              <w:ind w:left="109"/>
              <w:rPr>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6627B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7E18E1B">
            <w:pPr>
              <w:rPr>
                <w:rFonts w:ascii="Arial"/>
                <w:color w:val="auto"/>
                <w:sz w:val="21"/>
                <w:highlight w:val="none"/>
              </w:rPr>
            </w:pPr>
          </w:p>
        </w:tc>
        <w:tc>
          <w:tcPr>
            <w:tcW w:w="1542" w:type="dxa"/>
            <w:vMerge w:val="continue"/>
            <w:tcBorders>
              <w:top w:val="nil"/>
              <w:bottom w:val="nil"/>
            </w:tcBorders>
            <w:vAlign w:val="top"/>
          </w:tcPr>
          <w:p w14:paraId="2A27DE12">
            <w:pPr>
              <w:rPr>
                <w:rFonts w:ascii="Arial"/>
                <w:color w:val="auto"/>
                <w:sz w:val="21"/>
                <w:highlight w:val="none"/>
              </w:rPr>
            </w:pPr>
          </w:p>
        </w:tc>
        <w:tc>
          <w:tcPr>
            <w:tcW w:w="2672" w:type="dxa"/>
            <w:vAlign w:val="top"/>
          </w:tcPr>
          <w:p w14:paraId="6BC65539">
            <w:pPr>
              <w:pStyle w:val="248"/>
              <w:spacing w:before="65" w:line="219" w:lineRule="auto"/>
              <w:ind w:left="103"/>
              <w:rPr>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248" w:type="dxa"/>
            <w:vAlign w:val="top"/>
          </w:tcPr>
          <w:p w14:paraId="057A59D6">
            <w:pPr>
              <w:rPr>
                <w:rFonts w:ascii="Arial"/>
                <w:color w:val="auto"/>
                <w:sz w:val="21"/>
                <w:highlight w:val="none"/>
              </w:rPr>
            </w:pPr>
          </w:p>
        </w:tc>
        <w:tc>
          <w:tcPr>
            <w:tcW w:w="3543" w:type="dxa"/>
            <w:vAlign w:val="top"/>
          </w:tcPr>
          <w:p w14:paraId="67E13A12">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29F73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C2B9AB">
            <w:pPr>
              <w:rPr>
                <w:rFonts w:ascii="Arial"/>
                <w:color w:val="auto"/>
                <w:sz w:val="21"/>
                <w:highlight w:val="none"/>
              </w:rPr>
            </w:pPr>
          </w:p>
        </w:tc>
        <w:tc>
          <w:tcPr>
            <w:tcW w:w="1542" w:type="dxa"/>
            <w:vMerge w:val="continue"/>
            <w:tcBorders>
              <w:top w:val="nil"/>
              <w:bottom w:val="nil"/>
            </w:tcBorders>
            <w:vAlign w:val="top"/>
          </w:tcPr>
          <w:p w14:paraId="7835A11A">
            <w:pPr>
              <w:rPr>
                <w:rFonts w:ascii="Arial"/>
                <w:color w:val="auto"/>
                <w:sz w:val="21"/>
                <w:highlight w:val="none"/>
              </w:rPr>
            </w:pPr>
          </w:p>
        </w:tc>
        <w:tc>
          <w:tcPr>
            <w:tcW w:w="2672" w:type="dxa"/>
            <w:vAlign w:val="top"/>
          </w:tcPr>
          <w:p w14:paraId="2586937D">
            <w:pPr>
              <w:pStyle w:val="248"/>
              <w:spacing w:before="64" w:line="219" w:lineRule="auto"/>
              <w:ind w:left="103"/>
              <w:rPr>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248" w:type="dxa"/>
            <w:vAlign w:val="top"/>
          </w:tcPr>
          <w:p w14:paraId="07AAF5EB">
            <w:pPr>
              <w:rPr>
                <w:rFonts w:ascii="Arial"/>
                <w:color w:val="auto"/>
                <w:sz w:val="21"/>
                <w:highlight w:val="none"/>
              </w:rPr>
            </w:pPr>
          </w:p>
        </w:tc>
        <w:tc>
          <w:tcPr>
            <w:tcW w:w="3543" w:type="dxa"/>
            <w:vAlign w:val="top"/>
          </w:tcPr>
          <w:p w14:paraId="69CFD470">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0AE1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CD2D516">
            <w:pPr>
              <w:rPr>
                <w:rFonts w:ascii="Arial"/>
                <w:color w:val="auto"/>
                <w:sz w:val="21"/>
                <w:highlight w:val="none"/>
              </w:rPr>
            </w:pPr>
          </w:p>
        </w:tc>
        <w:tc>
          <w:tcPr>
            <w:tcW w:w="1542" w:type="dxa"/>
            <w:vMerge w:val="continue"/>
            <w:tcBorders>
              <w:top w:val="nil"/>
              <w:bottom w:val="nil"/>
            </w:tcBorders>
            <w:vAlign w:val="top"/>
          </w:tcPr>
          <w:p w14:paraId="787B538D">
            <w:pPr>
              <w:rPr>
                <w:rFonts w:ascii="Arial"/>
                <w:color w:val="auto"/>
                <w:sz w:val="21"/>
                <w:highlight w:val="none"/>
              </w:rPr>
            </w:pPr>
          </w:p>
        </w:tc>
        <w:tc>
          <w:tcPr>
            <w:tcW w:w="2672" w:type="dxa"/>
            <w:vAlign w:val="top"/>
          </w:tcPr>
          <w:p w14:paraId="07A3820E">
            <w:pPr>
              <w:pStyle w:val="248"/>
              <w:spacing w:before="64" w:line="219" w:lineRule="auto"/>
              <w:ind w:left="103"/>
              <w:rPr>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248" w:type="dxa"/>
            <w:vAlign w:val="top"/>
          </w:tcPr>
          <w:p w14:paraId="1B748563">
            <w:pPr>
              <w:rPr>
                <w:rFonts w:ascii="Arial"/>
                <w:color w:val="auto"/>
                <w:sz w:val="21"/>
                <w:highlight w:val="none"/>
              </w:rPr>
            </w:pPr>
          </w:p>
        </w:tc>
        <w:tc>
          <w:tcPr>
            <w:tcW w:w="3543" w:type="dxa"/>
            <w:vAlign w:val="top"/>
          </w:tcPr>
          <w:p w14:paraId="747EECB8">
            <w:pPr>
              <w:pStyle w:val="248"/>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A7C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E04A968">
            <w:pPr>
              <w:rPr>
                <w:rFonts w:ascii="Arial"/>
                <w:color w:val="auto"/>
                <w:sz w:val="21"/>
                <w:highlight w:val="none"/>
              </w:rPr>
            </w:pPr>
          </w:p>
        </w:tc>
        <w:tc>
          <w:tcPr>
            <w:tcW w:w="1542" w:type="dxa"/>
            <w:vMerge w:val="continue"/>
            <w:tcBorders>
              <w:top w:val="nil"/>
              <w:bottom w:val="nil"/>
            </w:tcBorders>
            <w:vAlign w:val="top"/>
          </w:tcPr>
          <w:p w14:paraId="28AA29B5">
            <w:pPr>
              <w:rPr>
                <w:rFonts w:ascii="Arial"/>
                <w:color w:val="auto"/>
                <w:sz w:val="21"/>
                <w:highlight w:val="none"/>
              </w:rPr>
            </w:pPr>
          </w:p>
        </w:tc>
        <w:tc>
          <w:tcPr>
            <w:tcW w:w="2672" w:type="dxa"/>
            <w:vAlign w:val="top"/>
          </w:tcPr>
          <w:p w14:paraId="672A73F4">
            <w:pPr>
              <w:pStyle w:val="248"/>
              <w:spacing w:before="65" w:line="219" w:lineRule="auto"/>
              <w:ind w:left="103"/>
              <w:rPr>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248" w:type="dxa"/>
            <w:vAlign w:val="top"/>
          </w:tcPr>
          <w:p w14:paraId="652D58F5">
            <w:pPr>
              <w:rPr>
                <w:rFonts w:ascii="Arial"/>
                <w:color w:val="auto"/>
                <w:sz w:val="21"/>
                <w:highlight w:val="none"/>
              </w:rPr>
            </w:pPr>
          </w:p>
        </w:tc>
        <w:tc>
          <w:tcPr>
            <w:tcW w:w="3543" w:type="dxa"/>
            <w:vAlign w:val="top"/>
          </w:tcPr>
          <w:p w14:paraId="56260D36">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75FF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3E6D6D3">
            <w:pPr>
              <w:rPr>
                <w:rFonts w:ascii="Arial"/>
                <w:color w:val="auto"/>
                <w:sz w:val="21"/>
                <w:highlight w:val="none"/>
              </w:rPr>
            </w:pPr>
          </w:p>
        </w:tc>
        <w:tc>
          <w:tcPr>
            <w:tcW w:w="1542" w:type="dxa"/>
            <w:vMerge w:val="continue"/>
            <w:tcBorders>
              <w:top w:val="nil"/>
              <w:bottom w:val="nil"/>
            </w:tcBorders>
            <w:vAlign w:val="top"/>
          </w:tcPr>
          <w:p w14:paraId="3E82BE0D">
            <w:pPr>
              <w:rPr>
                <w:rFonts w:ascii="Arial"/>
                <w:color w:val="auto"/>
                <w:sz w:val="21"/>
                <w:highlight w:val="none"/>
              </w:rPr>
            </w:pPr>
          </w:p>
        </w:tc>
        <w:tc>
          <w:tcPr>
            <w:tcW w:w="2672" w:type="dxa"/>
            <w:vAlign w:val="top"/>
          </w:tcPr>
          <w:p w14:paraId="1336E76F">
            <w:pPr>
              <w:pStyle w:val="248"/>
              <w:spacing w:before="64" w:line="219" w:lineRule="auto"/>
              <w:ind w:left="103"/>
              <w:rPr>
                <w:color w:val="auto"/>
                <w:highlight w:val="none"/>
              </w:rPr>
            </w:pPr>
            <w:r>
              <w:rPr>
                <w:color w:val="auto"/>
                <w:highlight w:val="none"/>
              </w:rPr>
              <w:t>A02010109 计算机工作站</w:t>
            </w:r>
          </w:p>
        </w:tc>
        <w:tc>
          <w:tcPr>
            <w:tcW w:w="2248" w:type="dxa"/>
            <w:vAlign w:val="top"/>
          </w:tcPr>
          <w:p w14:paraId="34C7AF7D">
            <w:pPr>
              <w:rPr>
                <w:rFonts w:ascii="Arial"/>
                <w:color w:val="auto"/>
                <w:sz w:val="21"/>
                <w:highlight w:val="none"/>
              </w:rPr>
            </w:pPr>
          </w:p>
        </w:tc>
        <w:tc>
          <w:tcPr>
            <w:tcW w:w="3543" w:type="dxa"/>
            <w:vAlign w:val="top"/>
          </w:tcPr>
          <w:p w14:paraId="58008142">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1BDF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532E45BE">
            <w:pPr>
              <w:rPr>
                <w:rFonts w:ascii="Arial"/>
                <w:color w:val="auto"/>
                <w:sz w:val="21"/>
                <w:highlight w:val="none"/>
              </w:rPr>
            </w:pPr>
          </w:p>
        </w:tc>
        <w:tc>
          <w:tcPr>
            <w:tcW w:w="1542" w:type="dxa"/>
            <w:vMerge w:val="continue"/>
            <w:tcBorders>
              <w:top w:val="nil"/>
            </w:tcBorders>
            <w:vAlign w:val="top"/>
          </w:tcPr>
          <w:p w14:paraId="14F57387">
            <w:pPr>
              <w:rPr>
                <w:rFonts w:ascii="Arial"/>
                <w:color w:val="auto"/>
                <w:sz w:val="21"/>
                <w:highlight w:val="none"/>
              </w:rPr>
            </w:pPr>
          </w:p>
        </w:tc>
        <w:tc>
          <w:tcPr>
            <w:tcW w:w="2672" w:type="dxa"/>
            <w:vAlign w:val="top"/>
          </w:tcPr>
          <w:p w14:paraId="47CA96C1">
            <w:pPr>
              <w:pStyle w:val="248"/>
              <w:spacing w:before="64" w:line="219" w:lineRule="auto"/>
              <w:ind w:left="103"/>
              <w:rPr>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248" w:type="dxa"/>
            <w:vAlign w:val="top"/>
          </w:tcPr>
          <w:p w14:paraId="74F29028">
            <w:pPr>
              <w:rPr>
                <w:rFonts w:ascii="Arial"/>
                <w:color w:val="auto"/>
                <w:sz w:val="21"/>
                <w:highlight w:val="none"/>
              </w:rPr>
            </w:pPr>
          </w:p>
        </w:tc>
        <w:tc>
          <w:tcPr>
            <w:tcW w:w="3543" w:type="dxa"/>
            <w:vAlign w:val="top"/>
          </w:tcPr>
          <w:p w14:paraId="774281FE">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1A8EF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41746529">
            <w:pPr>
              <w:pStyle w:val="248"/>
              <w:spacing w:before="64" w:line="242" w:lineRule="auto"/>
              <w:ind w:left="116"/>
              <w:rPr>
                <w:color w:val="auto"/>
                <w:highlight w:val="none"/>
              </w:rPr>
            </w:pPr>
            <w:r>
              <w:rPr>
                <w:color w:val="auto"/>
                <w:highlight w:val="none"/>
              </w:rPr>
              <w:t>2</w:t>
            </w:r>
          </w:p>
        </w:tc>
        <w:tc>
          <w:tcPr>
            <w:tcW w:w="1542" w:type="dxa"/>
            <w:vMerge w:val="restart"/>
            <w:tcBorders>
              <w:bottom w:val="nil"/>
            </w:tcBorders>
            <w:vAlign w:val="top"/>
          </w:tcPr>
          <w:p w14:paraId="2B88E24D">
            <w:pPr>
              <w:pStyle w:val="248"/>
              <w:spacing w:before="64" w:line="323" w:lineRule="auto"/>
              <w:ind w:left="123" w:right="108" w:hanging="21"/>
              <w:rPr>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highlight w:val="none"/>
              </w:rPr>
              <w:t xml:space="preserve"> </w:t>
            </w:r>
            <w:r>
              <w:rPr>
                <w:color w:val="auto"/>
                <w:spacing w:val="-5"/>
                <w:highlight w:val="none"/>
              </w:rPr>
              <w:t>出设备</w:t>
            </w:r>
          </w:p>
        </w:tc>
        <w:tc>
          <w:tcPr>
            <w:tcW w:w="2672" w:type="dxa"/>
            <w:vMerge w:val="restart"/>
            <w:tcBorders>
              <w:bottom w:val="nil"/>
            </w:tcBorders>
            <w:vAlign w:val="top"/>
          </w:tcPr>
          <w:p w14:paraId="3888E4E5">
            <w:pPr>
              <w:pStyle w:val="248"/>
              <w:spacing w:before="64" w:line="220" w:lineRule="auto"/>
              <w:ind w:left="103"/>
              <w:rPr>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248" w:type="dxa"/>
            <w:vAlign w:val="top"/>
          </w:tcPr>
          <w:p w14:paraId="79B7E31D">
            <w:pPr>
              <w:pStyle w:val="248"/>
              <w:spacing w:before="65" w:line="219" w:lineRule="auto"/>
              <w:ind w:left="105"/>
              <w:rPr>
                <w:color w:val="auto"/>
                <w:highlight w:val="none"/>
              </w:rPr>
            </w:pPr>
            <w:r>
              <w:rPr>
                <w:color w:val="auto"/>
                <w:highlight w:val="none"/>
              </w:rPr>
              <w:t>A0201060101 喷墨打印机</w:t>
            </w:r>
          </w:p>
        </w:tc>
        <w:tc>
          <w:tcPr>
            <w:tcW w:w="3543" w:type="dxa"/>
            <w:vAlign w:val="top"/>
          </w:tcPr>
          <w:p w14:paraId="0C380A52">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794DE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061AA105">
            <w:pPr>
              <w:rPr>
                <w:rFonts w:ascii="Arial"/>
                <w:color w:val="auto"/>
                <w:sz w:val="21"/>
                <w:highlight w:val="none"/>
              </w:rPr>
            </w:pPr>
          </w:p>
        </w:tc>
        <w:tc>
          <w:tcPr>
            <w:tcW w:w="1542" w:type="dxa"/>
            <w:vMerge w:val="continue"/>
            <w:tcBorders>
              <w:top w:val="nil"/>
              <w:bottom w:val="nil"/>
            </w:tcBorders>
            <w:vAlign w:val="top"/>
          </w:tcPr>
          <w:p w14:paraId="3E214BEB">
            <w:pPr>
              <w:rPr>
                <w:rFonts w:ascii="Arial"/>
                <w:color w:val="auto"/>
                <w:sz w:val="21"/>
                <w:highlight w:val="none"/>
              </w:rPr>
            </w:pPr>
          </w:p>
        </w:tc>
        <w:tc>
          <w:tcPr>
            <w:tcW w:w="2672" w:type="dxa"/>
            <w:vMerge w:val="continue"/>
            <w:tcBorders>
              <w:top w:val="nil"/>
              <w:bottom w:val="nil"/>
            </w:tcBorders>
            <w:vAlign w:val="top"/>
          </w:tcPr>
          <w:p w14:paraId="53CF0BA8">
            <w:pPr>
              <w:rPr>
                <w:rFonts w:ascii="Arial"/>
                <w:color w:val="auto"/>
                <w:sz w:val="21"/>
                <w:highlight w:val="none"/>
              </w:rPr>
            </w:pPr>
          </w:p>
        </w:tc>
        <w:tc>
          <w:tcPr>
            <w:tcW w:w="2248" w:type="dxa"/>
            <w:vAlign w:val="top"/>
          </w:tcPr>
          <w:p w14:paraId="342A6BC1">
            <w:pPr>
              <w:pStyle w:val="248"/>
              <w:spacing w:before="64" w:line="219" w:lineRule="auto"/>
              <w:ind w:left="105"/>
              <w:rPr>
                <w:color w:val="auto"/>
                <w:highlight w:val="none"/>
              </w:rPr>
            </w:pPr>
            <w:r>
              <w:rPr>
                <w:color w:val="auto"/>
                <w:highlight w:val="none"/>
              </w:rPr>
              <w:t>A0201060102 激光打印机</w:t>
            </w:r>
          </w:p>
        </w:tc>
        <w:tc>
          <w:tcPr>
            <w:tcW w:w="3543" w:type="dxa"/>
            <w:vAlign w:val="top"/>
          </w:tcPr>
          <w:p w14:paraId="492DADB3">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2EF80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2A00ED6">
            <w:pPr>
              <w:rPr>
                <w:rFonts w:ascii="Arial"/>
                <w:color w:val="auto"/>
                <w:sz w:val="21"/>
                <w:highlight w:val="none"/>
              </w:rPr>
            </w:pPr>
          </w:p>
        </w:tc>
        <w:tc>
          <w:tcPr>
            <w:tcW w:w="1542" w:type="dxa"/>
            <w:vMerge w:val="continue"/>
            <w:tcBorders>
              <w:top w:val="nil"/>
              <w:bottom w:val="nil"/>
            </w:tcBorders>
            <w:vAlign w:val="top"/>
          </w:tcPr>
          <w:p w14:paraId="03961196">
            <w:pPr>
              <w:rPr>
                <w:rFonts w:ascii="Arial"/>
                <w:color w:val="auto"/>
                <w:sz w:val="21"/>
                <w:highlight w:val="none"/>
              </w:rPr>
            </w:pPr>
          </w:p>
        </w:tc>
        <w:tc>
          <w:tcPr>
            <w:tcW w:w="2672" w:type="dxa"/>
            <w:vMerge w:val="continue"/>
            <w:tcBorders>
              <w:top w:val="nil"/>
              <w:bottom w:val="nil"/>
            </w:tcBorders>
            <w:vAlign w:val="top"/>
          </w:tcPr>
          <w:p w14:paraId="51F68492">
            <w:pPr>
              <w:rPr>
                <w:rFonts w:ascii="Arial"/>
                <w:color w:val="auto"/>
                <w:sz w:val="21"/>
                <w:highlight w:val="none"/>
              </w:rPr>
            </w:pPr>
          </w:p>
        </w:tc>
        <w:tc>
          <w:tcPr>
            <w:tcW w:w="2248" w:type="dxa"/>
            <w:vAlign w:val="top"/>
          </w:tcPr>
          <w:p w14:paraId="40A34612">
            <w:pPr>
              <w:pStyle w:val="248"/>
              <w:spacing w:before="64" w:line="219" w:lineRule="auto"/>
              <w:ind w:left="105"/>
              <w:rPr>
                <w:color w:val="auto"/>
                <w:highlight w:val="none"/>
              </w:rPr>
            </w:pPr>
            <w:r>
              <w:rPr>
                <w:color w:val="auto"/>
                <w:highlight w:val="none"/>
              </w:rPr>
              <w:t>A0201060103 热式打印机</w:t>
            </w:r>
          </w:p>
        </w:tc>
        <w:tc>
          <w:tcPr>
            <w:tcW w:w="3543" w:type="dxa"/>
            <w:vAlign w:val="top"/>
          </w:tcPr>
          <w:p w14:paraId="75B59CAF">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3F97A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493F545F">
            <w:pPr>
              <w:rPr>
                <w:rFonts w:ascii="Arial"/>
                <w:color w:val="auto"/>
                <w:sz w:val="21"/>
                <w:highlight w:val="none"/>
              </w:rPr>
            </w:pPr>
          </w:p>
        </w:tc>
        <w:tc>
          <w:tcPr>
            <w:tcW w:w="1542" w:type="dxa"/>
            <w:vMerge w:val="continue"/>
            <w:tcBorders>
              <w:top w:val="nil"/>
              <w:bottom w:val="nil"/>
            </w:tcBorders>
            <w:vAlign w:val="top"/>
          </w:tcPr>
          <w:p w14:paraId="153A9C97">
            <w:pPr>
              <w:rPr>
                <w:rFonts w:ascii="Arial"/>
                <w:color w:val="auto"/>
                <w:sz w:val="21"/>
                <w:highlight w:val="none"/>
              </w:rPr>
            </w:pPr>
          </w:p>
        </w:tc>
        <w:tc>
          <w:tcPr>
            <w:tcW w:w="2672" w:type="dxa"/>
            <w:vMerge w:val="continue"/>
            <w:tcBorders>
              <w:top w:val="nil"/>
            </w:tcBorders>
            <w:vAlign w:val="top"/>
          </w:tcPr>
          <w:p w14:paraId="6E66013F">
            <w:pPr>
              <w:rPr>
                <w:rFonts w:ascii="Arial"/>
                <w:color w:val="auto"/>
                <w:sz w:val="21"/>
                <w:highlight w:val="none"/>
              </w:rPr>
            </w:pPr>
          </w:p>
        </w:tc>
        <w:tc>
          <w:tcPr>
            <w:tcW w:w="2248" w:type="dxa"/>
            <w:vAlign w:val="top"/>
          </w:tcPr>
          <w:p w14:paraId="6139EF36">
            <w:pPr>
              <w:pStyle w:val="248"/>
              <w:spacing w:before="65" w:line="219" w:lineRule="auto"/>
              <w:ind w:left="105"/>
              <w:rPr>
                <w:color w:val="auto"/>
                <w:highlight w:val="none"/>
              </w:rPr>
            </w:pPr>
            <w:r>
              <w:rPr>
                <w:color w:val="auto"/>
                <w:highlight w:val="none"/>
              </w:rPr>
              <w:t>A0201060104 针式打印机</w:t>
            </w:r>
          </w:p>
        </w:tc>
        <w:tc>
          <w:tcPr>
            <w:tcW w:w="3543" w:type="dxa"/>
            <w:vAlign w:val="top"/>
          </w:tcPr>
          <w:p w14:paraId="0E43265F">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18564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196689D3">
            <w:pPr>
              <w:rPr>
                <w:rFonts w:ascii="Arial"/>
                <w:color w:val="auto"/>
                <w:sz w:val="21"/>
                <w:highlight w:val="none"/>
              </w:rPr>
            </w:pPr>
          </w:p>
        </w:tc>
        <w:tc>
          <w:tcPr>
            <w:tcW w:w="1542" w:type="dxa"/>
            <w:vMerge w:val="continue"/>
            <w:tcBorders>
              <w:top w:val="nil"/>
              <w:bottom w:val="nil"/>
            </w:tcBorders>
            <w:vAlign w:val="top"/>
          </w:tcPr>
          <w:p w14:paraId="026152ED">
            <w:pPr>
              <w:rPr>
                <w:rFonts w:ascii="Arial"/>
                <w:color w:val="auto"/>
                <w:sz w:val="21"/>
                <w:highlight w:val="none"/>
              </w:rPr>
            </w:pPr>
          </w:p>
        </w:tc>
        <w:tc>
          <w:tcPr>
            <w:tcW w:w="2672" w:type="dxa"/>
            <w:vMerge w:val="restart"/>
            <w:tcBorders>
              <w:bottom w:val="nil"/>
            </w:tcBorders>
            <w:vAlign w:val="top"/>
          </w:tcPr>
          <w:p w14:paraId="2BE9A888">
            <w:pPr>
              <w:pStyle w:val="248"/>
              <w:spacing w:before="64" w:line="222" w:lineRule="auto"/>
              <w:ind w:left="103"/>
              <w:rPr>
                <w:color w:val="auto"/>
                <w:highlight w:val="none"/>
              </w:rPr>
            </w:pPr>
            <w:r>
              <w:rPr>
                <w:color w:val="auto"/>
                <w:highlight w:val="none"/>
              </w:rPr>
              <w:t>A02010604 显示设备</w:t>
            </w:r>
          </w:p>
        </w:tc>
        <w:tc>
          <w:tcPr>
            <w:tcW w:w="2248" w:type="dxa"/>
            <w:vAlign w:val="top"/>
          </w:tcPr>
          <w:p w14:paraId="56C53EEC">
            <w:pPr>
              <w:pStyle w:val="248"/>
              <w:spacing w:before="64" w:line="221" w:lineRule="auto"/>
              <w:ind w:left="105"/>
              <w:rPr>
                <w:color w:val="auto"/>
                <w:highlight w:val="none"/>
              </w:rPr>
            </w:pPr>
            <w:r>
              <w:rPr>
                <w:color w:val="auto"/>
                <w:highlight w:val="none"/>
              </w:rPr>
              <w:t>A0201060401 液晶显示器</w:t>
            </w:r>
          </w:p>
        </w:tc>
        <w:tc>
          <w:tcPr>
            <w:tcW w:w="3543" w:type="dxa"/>
            <w:vAlign w:val="top"/>
          </w:tcPr>
          <w:p w14:paraId="6E7A0CFC">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5B486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0F2EB8AF">
            <w:pPr>
              <w:rPr>
                <w:rFonts w:ascii="Arial"/>
                <w:color w:val="auto"/>
                <w:sz w:val="21"/>
                <w:highlight w:val="none"/>
              </w:rPr>
            </w:pPr>
          </w:p>
        </w:tc>
        <w:tc>
          <w:tcPr>
            <w:tcW w:w="1542" w:type="dxa"/>
            <w:vMerge w:val="continue"/>
            <w:tcBorders>
              <w:top w:val="nil"/>
              <w:bottom w:val="nil"/>
            </w:tcBorders>
            <w:vAlign w:val="top"/>
          </w:tcPr>
          <w:p w14:paraId="3C6D1D1D">
            <w:pPr>
              <w:rPr>
                <w:rFonts w:ascii="Arial"/>
                <w:color w:val="auto"/>
                <w:sz w:val="21"/>
                <w:highlight w:val="none"/>
              </w:rPr>
            </w:pPr>
          </w:p>
        </w:tc>
        <w:tc>
          <w:tcPr>
            <w:tcW w:w="2672" w:type="dxa"/>
            <w:vMerge w:val="continue"/>
            <w:tcBorders>
              <w:top w:val="nil"/>
            </w:tcBorders>
            <w:vAlign w:val="top"/>
          </w:tcPr>
          <w:p w14:paraId="15C930B2">
            <w:pPr>
              <w:rPr>
                <w:rFonts w:ascii="Arial"/>
                <w:color w:val="auto"/>
                <w:sz w:val="21"/>
                <w:highlight w:val="none"/>
              </w:rPr>
            </w:pPr>
          </w:p>
        </w:tc>
        <w:tc>
          <w:tcPr>
            <w:tcW w:w="2248" w:type="dxa"/>
            <w:vAlign w:val="top"/>
          </w:tcPr>
          <w:p w14:paraId="13E3C0AE">
            <w:pPr>
              <w:pStyle w:val="248"/>
              <w:spacing w:before="64" w:line="221" w:lineRule="auto"/>
              <w:ind w:left="105"/>
              <w:rPr>
                <w:color w:val="auto"/>
                <w:highlight w:val="none"/>
              </w:rPr>
            </w:pPr>
            <w:r>
              <w:rPr>
                <w:color w:val="auto"/>
                <w:highlight w:val="none"/>
              </w:rPr>
              <w:t>A0201060499 其他显示器</w:t>
            </w:r>
          </w:p>
        </w:tc>
        <w:tc>
          <w:tcPr>
            <w:tcW w:w="3543" w:type="dxa"/>
            <w:vAlign w:val="top"/>
          </w:tcPr>
          <w:p w14:paraId="1912BFA5">
            <w:pPr>
              <w:pStyle w:val="248"/>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490F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7C489C00">
            <w:pPr>
              <w:rPr>
                <w:rFonts w:ascii="Arial"/>
                <w:color w:val="auto"/>
                <w:sz w:val="21"/>
                <w:highlight w:val="none"/>
              </w:rPr>
            </w:pPr>
          </w:p>
        </w:tc>
        <w:tc>
          <w:tcPr>
            <w:tcW w:w="1542" w:type="dxa"/>
            <w:vMerge w:val="continue"/>
            <w:tcBorders>
              <w:top w:val="nil"/>
            </w:tcBorders>
            <w:vAlign w:val="top"/>
          </w:tcPr>
          <w:p w14:paraId="4B5CC7B6">
            <w:pPr>
              <w:rPr>
                <w:rFonts w:ascii="Arial"/>
                <w:color w:val="auto"/>
                <w:sz w:val="21"/>
                <w:highlight w:val="none"/>
              </w:rPr>
            </w:pPr>
          </w:p>
        </w:tc>
        <w:tc>
          <w:tcPr>
            <w:tcW w:w="2672" w:type="dxa"/>
            <w:vAlign w:val="top"/>
          </w:tcPr>
          <w:p w14:paraId="5402E358">
            <w:pPr>
              <w:pStyle w:val="248"/>
              <w:spacing w:before="64" w:line="220" w:lineRule="auto"/>
              <w:ind w:left="103"/>
              <w:rPr>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248" w:type="dxa"/>
            <w:vAlign w:val="top"/>
          </w:tcPr>
          <w:p w14:paraId="248DC2C8">
            <w:pPr>
              <w:pStyle w:val="248"/>
              <w:spacing w:before="64" w:line="220" w:lineRule="auto"/>
              <w:ind w:left="105"/>
              <w:rPr>
                <w:color w:val="auto"/>
                <w:highlight w:val="none"/>
              </w:rPr>
            </w:pPr>
            <w:r>
              <w:rPr>
                <w:color w:val="auto"/>
                <w:highlight w:val="none"/>
              </w:rPr>
              <w:t>A0201060901 扫描仪</w:t>
            </w:r>
          </w:p>
        </w:tc>
        <w:tc>
          <w:tcPr>
            <w:tcW w:w="3543" w:type="dxa"/>
            <w:vAlign w:val="top"/>
          </w:tcPr>
          <w:p w14:paraId="5359BA85">
            <w:pPr>
              <w:pStyle w:val="248"/>
              <w:spacing w:before="64" w:line="219" w:lineRule="auto"/>
              <w:ind w:left="109"/>
              <w:rPr>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0D764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174B4DA0">
            <w:pPr>
              <w:pStyle w:val="248"/>
              <w:spacing w:before="64"/>
              <w:ind w:left="118"/>
              <w:rPr>
                <w:color w:val="auto"/>
                <w:highlight w:val="none"/>
              </w:rPr>
            </w:pPr>
            <w:r>
              <w:rPr>
                <w:color w:val="auto"/>
                <w:highlight w:val="none"/>
              </w:rPr>
              <w:t>3</w:t>
            </w:r>
          </w:p>
        </w:tc>
        <w:tc>
          <w:tcPr>
            <w:tcW w:w="1542" w:type="dxa"/>
            <w:vAlign w:val="top"/>
          </w:tcPr>
          <w:p w14:paraId="093DC6B6">
            <w:pPr>
              <w:pStyle w:val="248"/>
              <w:spacing w:before="64" w:line="220" w:lineRule="auto"/>
              <w:ind w:left="102"/>
              <w:rPr>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672" w:type="dxa"/>
            <w:vAlign w:val="top"/>
          </w:tcPr>
          <w:p w14:paraId="47E6A5AF">
            <w:pPr>
              <w:rPr>
                <w:rFonts w:ascii="Arial"/>
                <w:color w:val="auto"/>
                <w:sz w:val="21"/>
                <w:highlight w:val="none"/>
              </w:rPr>
            </w:pPr>
          </w:p>
        </w:tc>
        <w:tc>
          <w:tcPr>
            <w:tcW w:w="2248" w:type="dxa"/>
            <w:vAlign w:val="top"/>
          </w:tcPr>
          <w:p w14:paraId="77787557">
            <w:pPr>
              <w:rPr>
                <w:rFonts w:ascii="Arial"/>
                <w:color w:val="auto"/>
                <w:sz w:val="21"/>
                <w:highlight w:val="none"/>
              </w:rPr>
            </w:pPr>
          </w:p>
        </w:tc>
        <w:tc>
          <w:tcPr>
            <w:tcW w:w="3543" w:type="dxa"/>
            <w:vAlign w:val="top"/>
          </w:tcPr>
          <w:p w14:paraId="68D4D474">
            <w:pPr>
              <w:pStyle w:val="248"/>
              <w:spacing w:before="64" w:line="219" w:lineRule="auto"/>
              <w:ind w:left="109"/>
              <w:rPr>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5D238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Align w:val="top"/>
          </w:tcPr>
          <w:p w14:paraId="04E1DC29">
            <w:pPr>
              <w:pStyle w:val="248"/>
              <w:spacing w:before="64" w:line="242" w:lineRule="auto"/>
              <w:ind w:left="114"/>
              <w:rPr>
                <w:color w:val="auto"/>
                <w:highlight w:val="none"/>
              </w:rPr>
            </w:pPr>
            <w:r>
              <w:rPr>
                <w:color w:val="auto"/>
                <w:highlight w:val="none"/>
              </w:rPr>
              <w:t>4</w:t>
            </w:r>
          </w:p>
        </w:tc>
        <w:tc>
          <w:tcPr>
            <w:tcW w:w="1542" w:type="dxa"/>
            <w:vAlign w:val="top"/>
          </w:tcPr>
          <w:p w14:paraId="646BDCAC">
            <w:pPr>
              <w:pStyle w:val="248"/>
              <w:spacing w:before="64" w:line="219" w:lineRule="auto"/>
              <w:ind w:left="102"/>
              <w:rPr>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672" w:type="dxa"/>
            <w:vAlign w:val="top"/>
          </w:tcPr>
          <w:p w14:paraId="2CCBF178">
            <w:pPr>
              <w:rPr>
                <w:rFonts w:ascii="Arial"/>
                <w:color w:val="auto"/>
                <w:sz w:val="21"/>
                <w:highlight w:val="none"/>
              </w:rPr>
            </w:pPr>
          </w:p>
        </w:tc>
        <w:tc>
          <w:tcPr>
            <w:tcW w:w="2248" w:type="dxa"/>
            <w:vAlign w:val="top"/>
          </w:tcPr>
          <w:p w14:paraId="519F0800">
            <w:pPr>
              <w:rPr>
                <w:rFonts w:ascii="Arial"/>
                <w:color w:val="auto"/>
                <w:sz w:val="21"/>
                <w:highlight w:val="none"/>
              </w:rPr>
            </w:pPr>
          </w:p>
        </w:tc>
        <w:tc>
          <w:tcPr>
            <w:tcW w:w="3543" w:type="dxa"/>
            <w:vAlign w:val="top"/>
          </w:tcPr>
          <w:p w14:paraId="09C4AC9C">
            <w:pPr>
              <w:pStyle w:val="248"/>
              <w:spacing w:before="64" w:line="219" w:lineRule="auto"/>
              <w:ind w:left="109"/>
              <w:rPr>
                <w:color w:val="auto"/>
                <w:highlight w:val="none"/>
              </w:rPr>
            </w:pPr>
            <w:r>
              <w:rPr>
                <w:color w:val="auto"/>
                <w:highlight w:val="none"/>
              </w:rPr>
              <w:t>HJ424 数字式复印（包括多功能）设备</w:t>
            </w:r>
          </w:p>
        </w:tc>
      </w:tr>
      <w:tr w14:paraId="02A6A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93DF631">
            <w:pPr>
              <w:pStyle w:val="248"/>
              <w:spacing w:before="65"/>
              <w:ind w:left="118"/>
              <w:rPr>
                <w:color w:val="auto"/>
                <w:highlight w:val="none"/>
              </w:rPr>
            </w:pPr>
            <w:r>
              <w:rPr>
                <w:color w:val="auto"/>
                <w:highlight w:val="none"/>
              </w:rPr>
              <w:t>5</w:t>
            </w:r>
          </w:p>
        </w:tc>
        <w:tc>
          <w:tcPr>
            <w:tcW w:w="1542" w:type="dxa"/>
            <w:vAlign w:val="top"/>
          </w:tcPr>
          <w:p w14:paraId="6AA7F443">
            <w:pPr>
              <w:pStyle w:val="248"/>
              <w:spacing w:before="64" w:line="284" w:lineRule="auto"/>
              <w:ind w:left="110" w:right="108" w:hanging="8"/>
              <w:rPr>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highlight w:val="none"/>
              </w:rPr>
              <w:t xml:space="preserve"> </w:t>
            </w:r>
            <w:r>
              <w:rPr>
                <w:color w:val="auto"/>
                <w:spacing w:val="-4"/>
                <w:highlight w:val="none"/>
              </w:rPr>
              <w:t>一体机</w:t>
            </w:r>
          </w:p>
        </w:tc>
        <w:tc>
          <w:tcPr>
            <w:tcW w:w="2672" w:type="dxa"/>
            <w:vAlign w:val="top"/>
          </w:tcPr>
          <w:p w14:paraId="62E7C00D">
            <w:pPr>
              <w:rPr>
                <w:rFonts w:ascii="Arial"/>
                <w:color w:val="auto"/>
                <w:sz w:val="21"/>
                <w:highlight w:val="none"/>
              </w:rPr>
            </w:pPr>
          </w:p>
        </w:tc>
        <w:tc>
          <w:tcPr>
            <w:tcW w:w="2248" w:type="dxa"/>
            <w:vAlign w:val="top"/>
          </w:tcPr>
          <w:p w14:paraId="529157F6">
            <w:pPr>
              <w:rPr>
                <w:rFonts w:ascii="Arial"/>
                <w:color w:val="auto"/>
                <w:sz w:val="21"/>
                <w:highlight w:val="none"/>
              </w:rPr>
            </w:pPr>
          </w:p>
        </w:tc>
        <w:tc>
          <w:tcPr>
            <w:tcW w:w="3543" w:type="dxa"/>
            <w:vAlign w:val="top"/>
          </w:tcPr>
          <w:p w14:paraId="3B112540">
            <w:pPr>
              <w:pStyle w:val="248"/>
              <w:spacing w:before="64" w:line="219" w:lineRule="auto"/>
              <w:ind w:left="109"/>
              <w:rPr>
                <w:color w:val="auto"/>
                <w:highlight w:val="none"/>
              </w:rPr>
            </w:pPr>
            <w:r>
              <w:rPr>
                <w:color w:val="auto"/>
                <w:highlight w:val="none"/>
              </w:rPr>
              <w:t>HJ424 数字式复印（包括多功能）设备</w:t>
            </w:r>
          </w:p>
        </w:tc>
      </w:tr>
      <w:tr w14:paraId="17566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8E6A396">
            <w:pPr>
              <w:pStyle w:val="248"/>
              <w:spacing w:before="65"/>
              <w:ind w:left="116"/>
              <w:rPr>
                <w:color w:val="auto"/>
                <w:highlight w:val="none"/>
              </w:rPr>
            </w:pPr>
            <w:r>
              <w:rPr>
                <w:color w:val="auto"/>
                <w:highlight w:val="none"/>
              </w:rPr>
              <w:t>6</w:t>
            </w:r>
          </w:p>
        </w:tc>
        <w:tc>
          <w:tcPr>
            <w:tcW w:w="1542" w:type="dxa"/>
            <w:vAlign w:val="top"/>
          </w:tcPr>
          <w:p w14:paraId="224197F9">
            <w:pPr>
              <w:pStyle w:val="248"/>
              <w:spacing w:before="66" w:line="283" w:lineRule="auto"/>
              <w:ind w:left="109" w:right="108" w:hanging="7"/>
              <w:rPr>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672" w:type="dxa"/>
            <w:vAlign w:val="top"/>
          </w:tcPr>
          <w:p w14:paraId="15811672">
            <w:pPr>
              <w:pStyle w:val="248"/>
              <w:spacing w:before="65" w:line="219" w:lineRule="auto"/>
              <w:ind w:left="103"/>
              <w:rPr>
                <w:color w:val="auto"/>
                <w:highlight w:val="none"/>
              </w:rPr>
            </w:pPr>
            <w:r>
              <w:rPr>
                <w:color w:val="auto"/>
                <w:highlight w:val="none"/>
              </w:rPr>
              <w:t>A02021001 速印机</w:t>
            </w:r>
          </w:p>
        </w:tc>
        <w:tc>
          <w:tcPr>
            <w:tcW w:w="2248" w:type="dxa"/>
            <w:vAlign w:val="top"/>
          </w:tcPr>
          <w:p w14:paraId="704445D9">
            <w:pPr>
              <w:rPr>
                <w:rFonts w:ascii="Arial"/>
                <w:color w:val="auto"/>
                <w:sz w:val="21"/>
                <w:highlight w:val="none"/>
              </w:rPr>
            </w:pPr>
          </w:p>
        </w:tc>
        <w:tc>
          <w:tcPr>
            <w:tcW w:w="3543" w:type="dxa"/>
            <w:vAlign w:val="top"/>
          </w:tcPr>
          <w:p w14:paraId="7A0D4053">
            <w:pPr>
              <w:pStyle w:val="248"/>
              <w:spacing w:before="65" w:line="219" w:lineRule="auto"/>
              <w:ind w:left="109"/>
              <w:rPr>
                <w:color w:val="auto"/>
                <w:highlight w:val="none"/>
              </w:rPr>
            </w:pPr>
            <w:r>
              <w:rPr>
                <w:color w:val="auto"/>
                <w:spacing w:val="-1"/>
                <w:highlight w:val="none"/>
              </w:rPr>
              <w:t>HJ472 数字式一体化速印机</w:t>
            </w:r>
          </w:p>
        </w:tc>
      </w:tr>
      <w:tr w14:paraId="17686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vAlign w:val="top"/>
          </w:tcPr>
          <w:p w14:paraId="324220DC">
            <w:pPr>
              <w:pStyle w:val="248"/>
              <w:spacing w:before="66"/>
              <w:ind w:left="119"/>
              <w:rPr>
                <w:color w:val="auto"/>
                <w:highlight w:val="none"/>
              </w:rPr>
            </w:pPr>
            <w:r>
              <w:rPr>
                <w:color w:val="auto"/>
                <w:highlight w:val="none"/>
              </w:rPr>
              <w:t>7</w:t>
            </w:r>
          </w:p>
        </w:tc>
        <w:tc>
          <w:tcPr>
            <w:tcW w:w="1542" w:type="dxa"/>
            <w:vAlign w:val="top"/>
          </w:tcPr>
          <w:p w14:paraId="7FF68FD9">
            <w:pPr>
              <w:pStyle w:val="248"/>
              <w:spacing w:before="67" w:line="301" w:lineRule="auto"/>
              <w:ind w:left="109" w:right="32" w:hanging="7"/>
              <w:rPr>
                <w:color w:val="auto"/>
                <w:highlight w:val="none"/>
              </w:rPr>
            </w:pPr>
            <w:r>
              <w:rPr>
                <w:color w:val="auto"/>
                <w:spacing w:val="3"/>
                <w:highlight w:val="none"/>
              </w:rPr>
              <w:t>A020301</w:t>
            </w:r>
            <w:r>
              <w:rPr>
                <w:color w:val="auto"/>
                <w:spacing w:val="34"/>
                <w:highlight w:val="none"/>
              </w:rPr>
              <w:t xml:space="preserve"> </w:t>
            </w:r>
            <w:r>
              <w:rPr>
                <w:color w:val="auto"/>
                <w:spacing w:val="3"/>
                <w:highlight w:val="none"/>
              </w:rPr>
              <w:t>载货汽</w:t>
            </w:r>
            <w:r>
              <w:rPr>
                <w:color w:val="auto"/>
                <w:highlight w:val="none"/>
              </w:rPr>
              <w:t xml:space="preserve">  </w:t>
            </w:r>
            <w:r>
              <w:rPr>
                <w:color w:val="auto"/>
                <w:spacing w:val="-6"/>
                <w:highlight w:val="none"/>
              </w:rPr>
              <w:t>车（含自卸汽车）</w:t>
            </w:r>
          </w:p>
        </w:tc>
        <w:tc>
          <w:tcPr>
            <w:tcW w:w="2672" w:type="dxa"/>
            <w:vAlign w:val="top"/>
          </w:tcPr>
          <w:p w14:paraId="32E2E777">
            <w:pPr>
              <w:rPr>
                <w:rFonts w:ascii="Arial"/>
                <w:color w:val="auto"/>
                <w:sz w:val="21"/>
                <w:highlight w:val="none"/>
              </w:rPr>
            </w:pPr>
          </w:p>
        </w:tc>
        <w:tc>
          <w:tcPr>
            <w:tcW w:w="2248" w:type="dxa"/>
            <w:vAlign w:val="top"/>
          </w:tcPr>
          <w:p w14:paraId="180782C2">
            <w:pPr>
              <w:rPr>
                <w:rFonts w:ascii="Arial"/>
                <w:color w:val="auto"/>
                <w:sz w:val="21"/>
                <w:highlight w:val="none"/>
              </w:rPr>
            </w:pPr>
          </w:p>
        </w:tc>
        <w:tc>
          <w:tcPr>
            <w:tcW w:w="3543" w:type="dxa"/>
            <w:vAlign w:val="top"/>
          </w:tcPr>
          <w:p w14:paraId="612A7A2C">
            <w:pPr>
              <w:pStyle w:val="248"/>
              <w:spacing w:before="65"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6F196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bottom w:val="nil"/>
            </w:tcBorders>
            <w:vAlign w:val="top"/>
          </w:tcPr>
          <w:p w14:paraId="22CD03D4">
            <w:pPr>
              <w:pStyle w:val="248"/>
              <w:spacing w:before="67"/>
              <w:ind w:left="115"/>
              <w:rPr>
                <w:color w:val="auto"/>
                <w:highlight w:val="none"/>
              </w:rPr>
            </w:pPr>
            <w:r>
              <w:rPr>
                <w:color w:val="auto"/>
                <w:highlight w:val="none"/>
              </w:rPr>
              <w:t>8</w:t>
            </w:r>
          </w:p>
        </w:tc>
        <w:tc>
          <w:tcPr>
            <w:tcW w:w="1542" w:type="dxa"/>
            <w:vMerge w:val="restart"/>
            <w:tcBorders>
              <w:bottom w:val="nil"/>
            </w:tcBorders>
            <w:vAlign w:val="top"/>
          </w:tcPr>
          <w:p w14:paraId="51C6A4D7">
            <w:pPr>
              <w:pStyle w:val="248"/>
              <w:spacing w:before="66" w:line="322" w:lineRule="auto"/>
              <w:ind w:left="112" w:right="108" w:hanging="10"/>
              <w:rPr>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highlight w:val="none"/>
              </w:rPr>
              <w:t xml:space="preserve"> </w:t>
            </w:r>
            <w:r>
              <w:rPr>
                <w:color w:val="auto"/>
                <w:spacing w:val="-3"/>
                <w:highlight w:val="none"/>
              </w:rPr>
              <w:t>（轿车）</w:t>
            </w:r>
          </w:p>
        </w:tc>
        <w:tc>
          <w:tcPr>
            <w:tcW w:w="2672" w:type="dxa"/>
            <w:vAlign w:val="top"/>
          </w:tcPr>
          <w:p w14:paraId="1C131087">
            <w:pPr>
              <w:pStyle w:val="248"/>
              <w:spacing w:before="66" w:line="220" w:lineRule="auto"/>
              <w:ind w:left="103"/>
              <w:rPr>
                <w:color w:val="auto"/>
                <w:highlight w:val="none"/>
              </w:rPr>
            </w:pPr>
            <w:r>
              <w:rPr>
                <w:color w:val="auto"/>
                <w:highlight w:val="none"/>
              </w:rPr>
              <w:t>A02030501 轿车</w:t>
            </w:r>
          </w:p>
        </w:tc>
        <w:tc>
          <w:tcPr>
            <w:tcW w:w="2248" w:type="dxa"/>
            <w:vAlign w:val="top"/>
          </w:tcPr>
          <w:p w14:paraId="2AFF20BC">
            <w:pPr>
              <w:rPr>
                <w:rFonts w:ascii="Arial"/>
                <w:color w:val="auto"/>
                <w:sz w:val="21"/>
                <w:highlight w:val="none"/>
              </w:rPr>
            </w:pPr>
          </w:p>
        </w:tc>
        <w:tc>
          <w:tcPr>
            <w:tcW w:w="3543" w:type="dxa"/>
            <w:vAlign w:val="top"/>
          </w:tcPr>
          <w:p w14:paraId="218E7781">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5972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10F9F322">
            <w:pPr>
              <w:rPr>
                <w:rFonts w:ascii="Arial"/>
                <w:color w:val="auto"/>
                <w:sz w:val="21"/>
                <w:highlight w:val="none"/>
              </w:rPr>
            </w:pPr>
          </w:p>
        </w:tc>
        <w:tc>
          <w:tcPr>
            <w:tcW w:w="1542" w:type="dxa"/>
            <w:vMerge w:val="continue"/>
            <w:tcBorders>
              <w:top w:val="nil"/>
            </w:tcBorders>
            <w:vAlign w:val="top"/>
          </w:tcPr>
          <w:p w14:paraId="413D969B">
            <w:pPr>
              <w:rPr>
                <w:rFonts w:ascii="Arial"/>
                <w:color w:val="auto"/>
                <w:sz w:val="21"/>
                <w:highlight w:val="none"/>
              </w:rPr>
            </w:pPr>
          </w:p>
        </w:tc>
        <w:tc>
          <w:tcPr>
            <w:tcW w:w="2672" w:type="dxa"/>
            <w:vAlign w:val="top"/>
          </w:tcPr>
          <w:p w14:paraId="3A041302">
            <w:pPr>
              <w:pStyle w:val="248"/>
              <w:spacing w:before="66" w:line="220" w:lineRule="auto"/>
              <w:ind w:left="103"/>
              <w:rPr>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248" w:type="dxa"/>
            <w:vAlign w:val="top"/>
          </w:tcPr>
          <w:p w14:paraId="33318B3D">
            <w:pPr>
              <w:rPr>
                <w:rFonts w:ascii="Arial"/>
                <w:color w:val="auto"/>
                <w:sz w:val="21"/>
                <w:highlight w:val="none"/>
              </w:rPr>
            </w:pPr>
          </w:p>
        </w:tc>
        <w:tc>
          <w:tcPr>
            <w:tcW w:w="3543" w:type="dxa"/>
            <w:vAlign w:val="top"/>
          </w:tcPr>
          <w:p w14:paraId="4EF66A1A">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0481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587FF261">
            <w:pPr>
              <w:pStyle w:val="248"/>
              <w:spacing w:before="66"/>
              <w:ind w:left="115"/>
              <w:rPr>
                <w:color w:val="auto"/>
                <w:highlight w:val="none"/>
              </w:rPr>
            </w:pPr>
            <w:r>
              <w:rPr>
                <w:color w:val="auto"/>
                <w:highlight w:val="none"/>
              </w:rPr>
              <w:t>9</w:t>
            </w:r>
          </w:p>
        </w:tc>
        <w:tc>
          <w:tcPr>
            <w:tcW w:w="1542" w:type="dxa"/>
            <w:vAlign w:val="top"/>
          </w:tcPr>
          <w:p w14:paraId="4C7E3C82">
            <w:pPr>
              <w:pStyle w:val="248"/>
              <w:spacing w:before="66" w:line="220" w:lineRule="auto"/>
              <w:ind w:left="102"/>
              <w:rPr>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672" w:type="dxa"/>
            <w:vAlign w:val="top"/>
          </w:tcPr>
          <w:p w14:paraId="2FD6A6AB">
            <w:pPr>
              <w:pStyle w:val="248"/>
              <w:spacing w:before="66" w:line="220" w:lineRule="auto"/>
              <w:ind w:left="103"/>
              <w:rPr>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248" w:type="dxa"/>
            <w:vAlign w:val="top"/>
          </w:tcPr>
          <w:p w14:paraId="7DE58688">
            <w:pPr>
              <w:rPr>
                <w:rFonts w:ascii="Arial"/>
                <w:color w:val="auto"/>
                <w:sz w:val="21"/>
                <w:highlight w:val="none"/>
              </w:rPr>
            </w:pPr>
          </w:p>
        </w:tc>
        <w:tc>
          <w:tcPr>
            <w:tcW w:w="3543" w:type="dxa"/>
            <w:vAlign w:val="top"/>
          </w:tcPr>
          <w:p w14:paraId="03FBE764">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FEA3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068AC49">
            <w:pPr>
              <w:pStyle w:val="248"/>
              <w:spacing w:before="67"/>
              <w:ind w:left="128"/>
              <w:rPr>
                <w:color w:val="auto"/>
                <w:highlight w:val="none"/>
              </w:rPr>
            </w:pPr>
            <w:r>
              <w:rPr>
                <w:color w:val="auto"/>
                <w:spacing w:val="-10"/>
                <w:highlight w:val="none"/>
              </w:rPr>
              <w:t>10</w:t>
            </w:r>
          </w:p>
        </w:tc>
        <w:tc>
          <w:tcPr>
            <w:tcW w:w="1542" w:type="dxa"/>
            <w:vAlign w:val="top"/>
          </w:tcPr>
          <w:p w14:paraId="3D36BFA1">
            <w:pPr>
              <w:pStyle w:val="248"/>
              <w:spacing w:before="66" w:line="283" w:lineRule="auto"/>
              <w:ind w:left="106" w:right="108" w:hanging="4"/>
              <w:rPr>
                <w:color w:val="auto"/>
                <w:highlight w:val="none"/>
              </w:rPr>
            </w:pPr>
            <w:r>
              <w:rPr>
                <w:color w:val="auto"/>
                <w:spacing w:val="3"/>
                <w:highlight w:val="none"/>
              </w:rPr>
              <w:t>A020307</w:t>
            </w:r>
            <w:r>
              <w:rPr>
                <w:color w:val="auto"/>
                <w:spacing w:val="34"/>
                <w:highlight w:val="none"/>
              </w:rPr>
              <w:t xml:space="preserve"> </w:t>
            </w:r>
            <w:r>
              <w:rPr>
                <w:color w:val="auto"/>
                <w:spacing w:val="3"/>
                <w:highlight w:val="none"/>
              </w:rPr>
              <w:t>专用车</w:t>
            </w:r>
            <w:r>
              <w:rPr>
                <w:color w:val="auto"/>
                <w:highlight w:val="none"/>
              </w:rPr>
              <w:t xml:space="preserve"> 辆</w:t>
            </w:r>
          </w:p>
        </w:tc>
        <w:tc>
          <w:tcPr>
            <w:tcW w:w="2672" w:type="dxa"/>
            <w:vAlign w:val="top"/>
          </w:tcPr>
          <w:p w14:paraId="2B73F5B6">
            <w:pPr>
              <w:pStyle w:val="248"/>
              <w:spacing w:before="66" w:line="220" w:lineRule="auto"/>
              <w:ind w:left="103"/>
              <w:rPr>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248" w:type="dxa"/>
            <w:vAlign w:val="top"/>
          </w:tcPr>
          <w:p w14:paraId="3F4C7A2E">
            <w:pPr>
              <w:rPr>
                <w:rFonts w:ascii="Arial"/>
                <w:color w:val="auto"/>
                <w:sz w:val="21"/>
                <w:highlight w:val="none"/>
              </w:rPr>
            </w:pPr>
          </w:p>
        </w:tc>
        <w:tc>
          <w:tcPr>
            <w:tcW w:w="3543" w:type="dxa"/>
            <w:vAlign w:val="top"/>
          </w:tcPr>
          <w:p w14:paraId="5BAF2E39">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3CB4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bottom w:val="nil"/>
            </w:tcBorders>
            <w:vAlign w:val="top"/>
          </w:tcPr>
          <w:p w14:paraId="1E81AA5F">
            <w:pPr>
              <w:pStyle w:val="248"/>
              <w:spacing w:before="69" w:line="242" w:lineRule="auto"/>
              <w:ind w:left="128"/>
              <w:rPr>
                <w:color w:val="auto"/>
                <w:highlight w:val="none"/>
              </w:rPr>
            </w:pPr>
            <w:r>
              <w:rPr>
                <w:color w:val="auto"/>
                <w:spacing w:val="-10"/>
                <w:highlight w:val="none"/>
              </w:rPr>
              <w:t>11</w:t>
            </w:r>
          </w:p>
        </w:tc>
        <w:tc>
          <w:tcPr>
            <w:tcW w:w="1542" w:type="dxa"/>
            <w:vMerge w:val="restart"/>
            <w:tcBorders>
              <w:bottom w:val="nil"/>
            </w:tcBorders>
            <w:vAlign w:val="top"/>
          </w:tcPr>
          <w:p w14:paraId="5B4E53E3">
            <w:pPr>
              <w:pStyle w:val="248"/>
              <w:spacing w:before="69" w:line="323" w:lineRule="auto"/>
              <w:ind w:left="109" w:right="108" w:hanging="7"/>
              <w:rPr>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highlight w:val="none"/>
              </w:rPr>
              <w:t xml:space="preserve"> </w:t>
            </w:r>
            <w:r>
              <w:rPr>
                <w:color w:val="auto"/>
                <w:spacing w:val="-2"/>
                <w:highlight w:val="none"/>
              </w:rPr>
              <w:t>调设备</w:t>
            </w:r>
          </w:p>
        </w:tc>
        <w:tc>
          <w:tcPr>
            <w:tcW w:w="2672" w:type="dxa"/>
            <w:vAlign w:val="top"/>
          </w:tcPr>
          <w:p w14:paraId="75034FAA">
            <w:pPr>
              <w:pStyle w:val="248"/>
              <w:spacing w:before="70" w:line="219" w:lineRule="auto"/>
              <w:ind w:left="103"/>
              <w:rPr>
                <w:color w:val="auto"/>
                <w:highlight w:val="none"/>
              </w:rPr>
            </w:pPr>
            <w:r>
              <w:rPr>
                <w:color w:val="auto"/>
                <w:highlight w:val="none"/>
              </w:rPr>
              <w:t>A02052301 制冷压缩机</w:t>
            </w:r>
          </w:p>
        </w:tc>
        <w:tc>
          <w:tcPr>
            <w:tcW w:w="2248" w:type="dxa"/>
            <w:vAlign w:val="top"/>
          </w:tcPr>
          <w:p w14:paraId="42B3E425">
            <w:pPr>
              <w:rPr>
                <w:rFonts w:ascii="Arial"/>
                <w:color w:val="auto"/>
                <w:sz w:val="21"/>
                <w:highlight w:val="none"/>
              </w:rPr>
            </w:pPr>
          </w:p>
        </w:tc>
        <w:tc>
          <w:tcPr>
            <w:tcW w:w="3543" w:type="dxa"/>
            <w:vAlign w:val="top"/>
          </w:tcPr>
          <w:p w14:paraId="7C5E54B3">
            <w:pPr>
              <w:pStyle w:val="248"/>
              <w:spacing w:before="69"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1D2BC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bottom w:val="nil"/>
            </w:tcBorders>
            <w:vAlign w:val="top"/>
          </w:tcPr>
          <w:p w14:paraId="6098646A">
            <w:pPr>
              <w:rPr>
                <w:rFonts w:ascii="Arial"/>
                <w:color w:val="auto"/>
                <w:sz w:val="21"/>
                <w:highlight w:val="none"/>
              </w:rPr>
            </w:pPr>
          </w:p>
        </w:tc>
        <w:tc>
          <w:tcPr>
            <w:tcW w:w="1542" w:type="dxa"/>
            <w:vMerge w:val="continue"/>
            <w:tcBorders>
              <w:top w:val="nil"/>
              <w:bottom w:val="nil"/>
            </w:tcBorders>
            <w:vAlign w:val="top"/>
          </w:tcPr>
          <w:p w14:paraId="711C3850">
            <w:pPr>
              <w:rPr>
                <w:rFonts w:ascii="Arial"/>
                <w:color w:val="auto"/>
                <w:sz w:val="21"/>
                <w:highlight w:val="none"/>
              </w:rPr>
            </w:pPr>
          </w:p>
        </w:tc>
        <w:tc>
          <w:tcPr>
            <w:tcW w:w="2672" w:type="dxa"/>
            <w:vAlign w:val="top"/>
          </w:tcPr>
          <w:p w14:paraId="24D0D540">
            <w:pPr>
              <w:pStyle w:val="248"/>
              <w:spacing w:before="67" w:line="219" w:lineRule="auto"/>
              <w:ind w:left="103"/>
              <w:rPr>
                <w:color w:val="auto"/>
                <w:highlight w:val="none"/>
              </w:rPr>
            </w:pPr>
            <w:r>
              <w:rPr>
                <w:color w:val="auto"/>
                <w:highlight w:val="none"/>
              </w:rPr>
              <w:t>A02052305 空调机组</w:t>
            </w:r>
          </w:p>
        </w:tc>
        <w:tc>
          <w:tcPr>
            <w:tcW w:w="2248" w:type="dxa"/>
            <w:vAlign w:val="top"/>
          </w:tcPr>
          <w:p w14:paraId="207988E8">
            <w:pPr>
              <w:rPr>
                <w:rFonts w:ascii="Arial"/>
                <w:color w:val="auto"/>
                <w:sz w:val="21"/>
                <w:highlight w:val="none"/>
              </w:rPr>
            </w:pPr>
          </w:p>
        </w:tc>
        <w:tc>
          <w:tcPr>
            <w:tcW w:w="3543" w:type="dxa"/>
            <w:vAlign w:val="top"/>
          </w:tcPr>
          <w:p w14:paraId="27D8CB60">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041E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tcBorders>
            <w:vAlign w:val="top"/>
          </w:tcPr>
          <w:p w14:paraId="099D8D18">
            <w:pPr>
              <w:rPr>
                <w:rFonts w:ascii="Arial"/>
                <w:color w:val="auto"/>
                <w:sz w:val="21"/>
                <w:highlight w:val="none"/>
              </w:rPr>
            </w:pPr>
          </w:p>
        </w:tc>
        <w:tc>
          <w:tcPr>
            <w:tcW w:w="1542" w:type="dxa"/>
            <w:vMerge w:val="continue"/>
            <w:tcBorders>
              <w:top w:val="nil"/>
            </w:tcBorders>
            <w:vAlign w:val="top"/>
          </w:tcPr>
          <w:p w14:paraId="786BEE88">
            <w:pPr>
              <w:rPr>
                <w:rFonts w:ascii="Arial"/>
                <w:color w:val="auto"/>
                <w:sz w:val="21"/>
                <w:highlight w:val="none"/>
              </w:rPr>
            </w:pPr>
          </w:p>
        </w:tc>
        <w:tc>
          <w:tcPr>
            <w:tcW w:w="2672" w:type="dxa"/>
            <w:vAlign w:val="top"/>
          </w:tcPr>
          <w:p w14:paraId="41A23B9E">
            <w:pPr>
              <w:pStyle w:val="248"/>
              <w:spacing w:before="67" w:line="221" w:lineRule="auto"/>
              <w:ind w:left="103"/>
              <w:rPr>
                <w:color w:val="auto"/>
                <w:highlight w:val="none"/>
              </w:rPr>
            </w:pPr>
            <w:r>
              <w:rPr>
                <w:color w:val="auto"/>
                <w:spacing w:val="-2"/>
                <w:highlight w:val="none"/>
              </w:rPr>
              <w:t>A02052309</w:t>
            </w:r>
            <w:r>
              <w:rPr>
                <w:color w:val="auto"/>
                <w:spacing w:val="-27"/>
                <w:highlight w:val="none"/>
              </w:rPr>
              <w:t xml:space="preserve"> </w:t>
            </w:r>
            <w:r>
              <w:rPr>
                <w:color w:val="auto"/>
                <w:spacing w:val="-2"/>
                <w:highlight w:val="none"/>
              </w:rPr>
              <w:t>专用制冷、空调设备</w:t>
            </w:r>
          </w:p>
        </w:tc>
        <w:tc>
          <w:tcPr>
            <w:tcW w:w="2248" w:type="dxa"/>
            <w:vAlign w:val="top"/>
          </w:tcPr>
          <w:p w14:paraId="22EBF57D">
            <w:pPr>
              <w:rPr>
                <w:rFonts w:ascii="Arial"/>
                <w:color w:val="auto"/>
                <w:sz w:val="21"/>
                <w:highlight w:val="none"/>
              </w:rPr>
            </w:pPr>
          </w:p>
        </w:tc>
        <w:tc>
          <w:tcPr>
            <w:tcW w:w="3543" w:type="dxa"/>
            <w:vAlign w:val="top"/>
          </w:tcPr>
          <w:p w14:paraId="3F91AEA3">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54DB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8DC120C">
            <w:pPr>
              <w:pStyle w:val="248"/>
              <w:spacing w:before="68" w:line="242" w:lineRule="auto"/>
              <w:ind w:left="128"/>
              <w:rPr>
                <w:color w:val="auto"/>
                <w:highlight w:val="none"/>
              </w:rPr>
            </w:pPr>
            <w:r>
              <w:rPr>
                <w:color w:val="auto"/>
                <w:spacing w:val="-10"/>
                <w:highlight w:val="none"/>
              </w:rPr>
              <w:t>12</w:t>
            </w:r>
          </w:p>
        </w:tc>
        <w:tc>
          <w:tcPr>
            <w:tcW w:w="1542" w:type="dxa"/>
            <w:vMerge w:val="restart"/>
            <w:tcBorders>
              <w:bottom w:val="nil"/>
            </w:tcBorders>
            <w:vAlign w:val="top"/>
          </w:tcPr>
          <w:p w14:paraId="005BB3DC">
            <w:pPr>
              <w:pStyle w:val="248"/>
              <w:spacing w:before="69" w:line="324" w:lineRule="auto"/>
              <w:ind w:left="128" w:right="108" w:hanging="26"/>
              <w:rPr>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highlight w:val="none"/>
              </w:rPr>
              <w:t xml:space="preserve"> </w:t>
            </w:r>
            <w:r>
              <w:rPr>
                <w:color w:val="auto"/>
                <w:spacing w:val="-8"/>
                <w:highlight w:val="none"/>
              </w:rPr>
              <w:t>电器</w:t>
            </w:r>
          </w:p>
        </w:tc>
        <w:tc>
          <w:tcPr>
            <w:tcW w:w="2672" w:type="dxa"/>
            <w:vAlign w:val="top"/>
          </w:tcPr>
          <w:p w14:paraId="18F01712">
            <w:pPr>
              <w:pStyle w:val="248"/>
              <w:spacing w:before="68" w:line="221" w:lineRule="auto"/>
              <w:ind w:left="103"/>
              <w:rPr>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248" w:type="dxa"/>
            <w:vAlign w:val="top"/>
          </w:tcPr>
          <w:p w14:paraId="2104163D">
            <w:pPr>
              <w:pStyle w:val="248"/>
              <w:spacing w:before="68" w:line="219" w:lineRule="auto"/>
              <w:ind w:left="105"/>
              <w:rPr>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vAlign w:val="top"/>
          </w:tcPr>
          <w:p w14:paraId="4A4B3FCF">
            <w:pPr>
              <w:pStyle w:val="248"/>
              <w:spacing w:before="68" w:line="219" w:lineRule="auto"/>
              <w:ind w:left="109"/>
              <w:rPr>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7AB9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nil"/>
            </w:tcBorders>
            <w:vAlign w:val="top"/>
          </w:tcPr>
          <w:p w14:paraId="103064E2">
            <w:pPr>
              <w:rPr>
                <w:rFonts w:ascii="Arial"/>
                <w:color w:val="auto"/>
                <w:sz w:val="21"/>
                <w:highlight w:val="none"/>
              </w:rPr>
            </w:pPr>
          </w:p>
        </w:tc>
        <w:tc>
          <w:tcPr>
            <w:tcW w:w="1542" w:type="dxa"/>
            <w:vMerge w:val="continue"/>
            <w:tcBorders>
              <w:top w:val="nil"/>
            </w:tcBorders>
            <w:vAlign w:val="top"/>
          </w:tcPr>
          <w:p w14:paraId="063BF49C">
            <w:pPr>
              <w:rPr>
                <w:rFonts w:ascii="Arial"/>
                <w:color w:val="auto"/>
                <w:sz w:val="21"/>
                <w:highlight w:val="none"/>
              </w:rPr>
            </w:pPr>
          </w:p>
        </w:tc>
        <w:tc>
          <w:tcPr>
            <w:tcW w:w="2672" w:type="dxa"/>
            <w:vAlign w:val="top"/>
          </w:tcPr>
          <w:p w14:paraId="4AB223C5">
            <w:pPr>
              <w:pStyle w:val="248"/>
              <w:spacing w:before="68" w:line="220" w:lineRule="auto"/>
              <w:ind w:left="103"/>
              <w:rPr>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248" w:type="dxa"/>
            <w:vAlign w:val="top"/>
          </w:tcPr>
          <w:p w14:paraId="0E02BDFE">
            <w:pPr>
              <w:rPr>
                <w:rFonts w:ascii="Arial"/>
                <w:color w:val="auto"/>
                <w:sz w:val="21"/>
                <w:highlight w:val="none"/>
              </w:rPr>
            </w:pPr>
          </w:p>
        </w:tc>
        <w:tc>
          <w:tcPr>
            <w:tcW w:w="3543" w:type="dxa"/>
            <w:vAlign w:val="top"/>
          </w:tcPr>
          <w:p w14:paraId="7BDA8F06">
            <w:pPr>
              <w:pStyle w:val="248"/>
              <w:spacing w:before="67" w:line="219" w:lineRule="auto"/>
              <w:ind w:left="109"/>
              <w:rPr>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bl>
    <w:p w14:paraId="5D27F359">
      <w:pPr>
        <w:rPr>
          <w:rFonts w:ascii="Arial"/>
          <w:color w:val="auto"/>
          <w:sz w:val="21"/>
          <w:highlight w:val="none"/>
        </w:rPr>
      </w:pPr>
    </w:p>
    <w:p w14:paraId="343014CE">
      <w:pPr>
        <w:rPr>
          <w:rFonts w:ascii="Arial" w:hAnsi="Arial" w:eastAsia="Arial" w:cs="Arial"/>
          <w:color w:val="auto"/>
          <w:sz w:val="21"/>
          <w:szCs w:val="21"/>
          <w:highlight w:val="none"/>
        </w:rPr>
        <w:sectPr>
          <w:pgSz w:w="11906" w:h="16838"/>
          <w:pgMar w:top="1425" w:right="644" w:bottom="0" w:left="667" w:header="0" w:footer="0" w:gutter="0"/>
          <w:cols w:space="720" w:num="1"/>
        </w:sectPr>
      </w:pPr>
    </w:p>
    <w:p w14:paraId="1EEBC845">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2A3C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B49EE33">
            <w:pPr>
              <w:pStyle w:val="248"/>
              <w:spacing w:before="68"/>
              <w:ind w:left="128"/>
              <w:rPr>
                <w:color w:val="auto"/>
                <w:highlight w:val="none"/>
              </w:rPr>
            </w:pPr>
            <w:r>
              <w:rPr>
                <w:color w:val="auto"/>
                <w:spacing w:val="-10"/>
                <w:highlight w:val="none"/>
              </w:rPr>
              <w:t>13</w:t>
            </w:r>
          </w:p>
        </w:tc>
        <w:tc>
          <w:tcPr>
            <w:tcW w:w="1542" w:type="dxa"/>
            <w:vAlign w:val="top"/>
          </w:tcPr>
          <w:p w14:paraId="6E43FC51">
            <w:pPr>
              <w:pStyle w:val="248"/>
              <w:spacing w:before="69" w:line="284" w:lineRule="auto"/>
              <w:ind w:left="109" w:right="108" w:hanging="7"/>
              <w:rPr>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vAlign w:val="top"/>
          </w:tcPr>
          <w:p w14:paraId="2D34DCC8">
            <w:pPr>
              <w:pStyle w:val="248"/>
              <w:spacing w:before="68" w:line="220" w:lineRule="auto"/>
              <w:ind w:left="103"/>
              <w:rPr>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vAlign w:val="top"/>
          </w:tcPr>
          <w:p w14:paraId="074F9CEF">
            <w:pPr>
              <w:rPr>
                <w:rFonts w:ascii="Arial"/>
                <w:color w:val="auto"/>
                <w:sz w:val="21"/>
                <w:highlight w:val="none"/>
              </w:rPr>
            </w:pPr>
          </w:p>
        </w:tc>
        <w:tc>
          <w:tcPr>
            <w:tcW w:w="3543" w:type="dxa"/>
            <w:vAlign w:val="top"/>
          </w:tcPr>
          <w:p w14:paraId="6A0E61DF">
            <w:pPr>
              <w:pStyle w:val="248"/>
              <w:spacing w:before="67" w:line="219" w:lineRule="auto"/>
              <w:ind w:left="109"/>
              <w:rPr>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2DBCC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0745A86B">
            <w:pPr>
              <w:pStyle w:val="248"/>
              <w:spacing w:before="63" w:line="242" w:lineRule="auto"/>
              <w:ind w:left="128"/>
              <w:rPr>
                <w:color w:val="auto"/>
                <w:highlight w:val="none"/>
              </w:rPr>
            </w:pPr>
            <w:r>
              <w:rPr>
                <w:color w:val="auto"/>
                <w:spacing w:val="-10"/>
                <w:highlight w:val="none"/>
              </w:rPr>
              <w:t>14</w:t>
            </w:r>
          </w:p>
        </w:tc>
        <w:tc>
          <w:tcPr>
            <w:tcW w:w="1542" w:type="dxa"/>
            <w:vAlign w:val="top"/>
          </w:tcPr>
          <w:p w14:paraId="2CFBB27D">
            <w:pPr>
              <w:pStyle w:val="248"/>
              <w:spacing w:before="64" w:line="296" w:lineRule="auto"/>
              <w:ind w:left="109" w:right="106" w:hanging="7"/>
              <w:jc w:val="both"/>
              <w:rPr>
                <w:color w:val="auto"/>
                <w:highlight w:val="none"/>
              </w:rPr>
            </w:pPr>
            <w:r>
              <w:rPr>
                <w:color w:val="auto"/>
                <w:spacing w:val="3"/>
                <w:highlight w:val="none"/>
              </w:rPr>
              <w:t>A020810</w:t>
            </w:r>
            <w:r>
              <w:rPr>
                <w:color w:val="auto"/>
                <w:spacing w:val="34"/>
                <w:highlight w:val="none"/>
              </w:rPr>
              <w:t xml:space="preserve"> </w:t>
            </w:r>
            <w:r>
              <w:rPr>
                <w:color w:val="auto"/>
                <w:spacing w:val="3"/>
                <w:highlight w:val="none"/>
              </w:rPr>
              <w:t>传真及</w:t>
            </w:r>
            <w:r>
              <w:rPr>
                <w:color w:val="auto"/>
                <w:highlight w:val="none"/>
              </w:rPr>
              <w:t xml:space="preserve"> </w:t>
            </w:r>
            <w:r>
              <w:rPr>
                <w:color w:val="auto"/>
                <w:spacing w:val="8"/>
                <w:highlight w:val="none"/>
              </w:rPr>
              <w:t>数据数字通信设</w:t>
            </w:r>
            <w:r>
              <w:rPr>
                <w:color w:val="auto"/>
                <w:spacing w:val="4"/>
                <w:highlight w:val="none"/>
              </w:rPr>
              <w:t xml:space="preserve"> </w:t>
            </w:r>
            <w:r>
              <w:rPr>
                <w:color w:val="auto"/>
                <w:highlight w:val="none"/>
              </w:rPr>
              <w:t>备</w:t>
            </w:r>
          </w:p>
        </w:tc>
        <w:tc>
          <w:tcPr>
            <w:tcW w:w="2672" w:type="dxa"/>
            <w:vAlign w:val="top"/>
          </w:tcPr>
          <w:p w14:paraId="61B4E0B1">
            <w:pPr>
              <w:pStyle w:val="248"/>
              <w:spacing w:before="64" w:line="219" w:lineRule="auto"/>
              <w:ind w:left="103"/>
              <w:rPr>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vAlign w:val="top"/>
          </w:tcPr>
          <w:p w14:paraId="7DA17ACF">
            <w:pPr>
              <w:rPr>
                <w:rFonts w:ascii="Arial"/>
                <w:color w:val="auto"/>
                <w:sz w:val="21"/>
                <w:highlight w:val="none"/>
              </w:rPr>
            </w:pPr>
          </w:p>
        </w:tc>
        <w:tc>
          <w:tcPr>
            <w:tcW w:w="3543" w:type="dxa"/>
            <w:vAlign w:val="top"/>
          </w:tcPr>
          <w:p w14:paraId="157BEBC2">
            <w:pPr>
              <w:pStyle w:val="248"/>
              <w:spacing w:before="63"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5BD73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10EF02D">
            <w:pPr>
              <w:pStyle w:val="248"/>
              <w:spacing w:before="64"/>
              <w:ind w:left="128"/>
              <w:rPr>
                <w:color w:val="auto"/>
                <w:highlight w:val="none"/>
              </w:rPr>
            </w:pPr>
            <w:r>
              <w:rPr>
                <w:color w:val="auto"/>
                <w:spacing w:val="-10"/>
                <w:highlight w:val="none"/>
              </w:rPr>
              <w:t>15</w:t>
            </w:r>
          </w:p>
        </w:tc>
        <w:tc>
          <w:tcPr>
            <w:tcW w:w="1542" w:type="dxa"/>
            <w:vMerge w:val="restart"/>
            <w:tcBorders>
              <w:bottom w:val="nil"/>
            </w:tcBorders>
            <w:vAlign w:val="top"/>
          </w:tcPr>
          <w:p w14:paraId="26E8370D">
            <w:pPr>
              <w:pStyle w:val="248"/>
              <w:spacing w:before="64" w:line="323" w:lineRule="auto"/>
              <w:ind w:left="109" w:right="108" w:hanging="7"/>
              <w:rPr>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vAlign w:val="top"/>
          </w:tcPr>
          <w:p w14:paraId="631B3CB1">
            <w:pPr>
              <w:pStyle w:val="248"/>
              <w:spacing w:before="64" w:line="284" w:lineRule="auto"/>
              <w:ind w:left="107" w:right="107" w:hanging="4"/>
              <w:rPr>
                <w:color w:val="auto"/>
                <w:highlight w:val="none"/>
              </w:rPr>
            </w:pPr>
            <w:r>
              <w:rPr>
                <w:color w:val="auto"/>
                <w:spacing w:val="-2"/>
                <w:highlight w:val="none"/>
              </w:rPr>
              <w:t>A02091001</w:t>
            </w:r>
            <w:r>
              <w:rPr>
                <w:color w:val="auto"/>
                <w:spacing w:val="-29"/>
                <w:highlight w:val="none"/>
              </w:rPr>
              <w:t xml:space="preserve"> </w:t>
            </w:r>
            <w:r>
              <w:rPr>
                <w:color w:val="auto"/>
                <w:spacing w:val="-2"/>
                <w:highlight w:val="none"/>
              </w:rPr>
              <w:t>普通电视设备（电视</w:t>
            </w:r>
            <w:r>
              <w:rPr>
                <w:color w:val="auto"/>
                <w:highlight w:val="none"/>
              </w:rPr>
              <w:t xml:space="preserve"> </w:t>
            </w:r>
            <w:r>
              <w:rPr>
                <w:color w:val="auto"/>
                <w:spacing w:val="-4"/>
                <w:highlight w:val="none"/>
              </w:rPr>
              <w:t>机）</w:t>
            </w:r>
          </w:p>
        </w:tc>
        <w:tc>
          <w:tcPr>
            <w:tcW w:w="2248" w:type="dxa"/>
            <w:vAlign w:val="top"/>
          </w:tcPr>
          <w:p w14:paraId="20AA4966">
            <w:pPr>
              <w:rPr>
                <w:rFonts w:ascii="Arial"/>
                <w:color w:val="auto"/>
                <w:sz w:val="21"/>
                <w:highlight w:val="none"/>
              </w:rPr>
            </w:pPr>
          </w:p>
        </w:tc>
        <w:tc>
          <w:tcPr>
            <w:tcW w:w="3543" w:type="dxa"/>
            <w:vAlign w:val="top"/>
          </w:tcPr>
          <w:p w14:paraId="1D43B566">
            <w:pPr>
              <w:pStyle w:val="248"/>
              <w:spacing w:before="64"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15C3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4643E191">
            <w:pPr>
              <w:rPr>
                <w:rFonts w:ascii="Arial"/>
                <w:color w:val="auto"/>
                <w:sz w:val="21"/>
                <w:highlight w:val="none"/>
              </w:rPr>
            </w:pPr>
          </w:p>
        </w:tc>
        <w:tc>
          <w:tcPr>
            <w:tcW w:w="1542" w:type="dxa"/>
            <w:vMerge w:val="continue"/>
            <w:tcBorders>
              <w:top w:val="nil"/>
            </w:tcBorders>
            <w:vAlign w:val="top"/>
          </w:tcPr>
          <w:p w14:paraId="4E36F452">
            <w:pPr>
              <w:rPr>
                <w:rFonts w:ascii="Arial"/>
                <w:color w:val="auto"/>
                <w:sz w:val="21"/>
                <w:highlight w:val="none"/>
              </w:rPr>
            </w:pPr>
          </w:p>
        </w:tc>
        <w:tc>
          <w:tcPr>
            <w:tcW w:w="2672" w:type="dxa"/>
            <w:vAlign w:val="top"/>
          </w:tcPr>
          <w:p w14:paraId="192CDB2C">
            <w:pPr>
              <w:pStyle w:val="248"/>
              <w:spacing w:before="67" w:line="284" w:lineRule="auto"/>
              <w:ind w:left="111" w:right="107" w:hanging="8"/>
              <w:rPr>
                <w:color w:val="auto"/>
                <w:highlight w:val="none"/>
              </w:rPr>
            </w:pPr>
            <w:r>
              <w:rPr>
                <w:color w:val="auto"/>
                <w:spacing w:val="6"/>
                <w:highlight w:val="none"/>
              </w:rPr>
              <w:t>A02091003 特殊功能应用电视</w:t>
            </w:r>
            <w:r>
              <w:rPr>
                <w:color w:val="auto"/>
                <w:spacing w:val="7"/>
                <w:highlight w:val="none"/>
              </w:rPr>
              <w:t xml:space="preserve"> </w:t>
            </w:r>
            <w:r>
              <w:rPr>
                <w:color w:val="auto"/>
                <w:spacing w:val="-3"/>
                <w:highlight w:val="none"/>
              </w:rPr>
              <w:t>设备</w:t>
            </w:r>
          </w:p>
        </w:tc>
        <w:tc>
          <w:tcPr>
            <w:tcW w:w="2248" w:type="dxa"/>
            <w:vAlign w:val="top"/>
          </w:tcPr>
          <w:p w14:paraId="1810E7D8">
            <w:pPr>
              <w:rPr>
                <w:rFonts w:ascii="Arial"/>
                <w:color w:val="auto"/>
                <w:sz w:val="21"/>
                <w:highlight w:val="none"/>
              </w:rPr>
            </w:pPr>
          </w:p>
        </w:tc>
        <w:tc>
          <w:tcPr>
            <w:tcW w:w="3543" w:type="dxa"/>
            <w:vAlign w:val="top"/>
          </w:tcPr>
          <w:p w14:paraId="40354154">
            <w:pPr>
              <w:pStyle w:val="248"/>
              <w:spacing w:before="67"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2ADF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vAlign w:val="top"/>
          </w:tcPr>
          <w:p w14:paraId="7DC6975A">
            <w:pPr>
              <w:pStyle w:val="248"/>
              <w:spacing w:before="65"/>
              <w:ind w:left="128"/>
              <w:rPr>
                <w:color w:val="auto"/>
                <w:highlight w:val="none"/>
              </w:rPr>
            </w:pPr>
            <w:r>
              <w:rPr>
                <w:color w:val="auto"/>
                <w:spacing w:val="-10"/>
                <w:highlight w:val="none"/>
              </w:rPr>
              <w:t>16</w:t>
            </w:r>
          </w:p>
        </w:tc>
        <w:tc>
          <w:tcPr>
            <w:tcW w:w="1542" w:type="dxa"/>
            <w:vMerge w:val="restart"/>
            <w:tcBorders>
              <w:bottom w:val="nil"/>
            </w:tcBorders>
            <w:vAlign w:val="top"/>
          </w:tcPr>
          <w:p w14:paraId="5FEF690E">
            <w:pPr>
              <w:pStyle w:val="248"/>
              <w:spacing w:before="65" w:line="220" w:lineRule="auto"/>
              <w:ind w:left="193"/>
              <w:rPr>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vAlign w:val="top"/>
          </w:tcPr>
          <w:p w14:paraId="1E642A8B">
            <w:pPr>
              <w:pStyle w:val="248"/>
              <w:spacing w:before="65" w:line="220" w:lineRule="auto"/>
              <w:ind w:left="103"/>
              <w:rPr>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vAlign w:val="top"/>
          </w:tcPr>
          <w:p w14:paraId="46156D67">
            <w:pPr>
              <w:rPr>
                <w:rFonts w:ascii="Arial"/>
                <w:color w:val="auto"/>
                <w:sz w:val="21"/>
                <w:highlight w:val="none"/>
              </w:rPr>
            </w:pPr>
          </w:p>
        </w:tc>
        <w:tc>
          <w:tcPr>
            <w:tcW w:w="3543" w:type="dxa"/>
            <w:vAlign w:val="top"/>
          </w:tcPr>
          <w:p w14:paraId="653439C0">
            <w:pPr>
              <w:pStyle w:val="248"/>
              <w:spacing w:before="64"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8538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vAlign w:val="top"/>
          </w:tcPr>
          <w:p w14:paraId="196591F5">
            <w:pPr>
              <w:rPr>
                <w:rFonts w:ascii="Arial"/>
                <w:color w:val="auto"/>
                <w:sz w:val="21"/>
                <w:highlight w:val="none"/>
              </w:rPr>
            </w:pPr>
          </w:p>
        </w:tc>
        <w:tc>
          <w:tcPr>
            <w:tcW w:w="1542" w:type="dxa"/>
            <w:vMerge w:val="continue"/>
            <w:tcBorders>
              <w:top w:val="nil"/>
              <w:bottom w:val="nil"/>
            </w:tcBorders>
            <w:vAlign w:val="top"/>
          </w:tcPr>
          <w:p w14:paraId="7F4A9CF9">
            <w:pPr>
              <w:rPr>
                <w:rFonts w:ascii="Arial"/>
                <w:color w:val="auto"/>
                <w:sz w:val="21"/>
                <w:highlight w:val="none"/>
              </w:rPr>
            </w:pPr>
          </w:p>
        </w:tc>
        <w:tc>
          <w:tcPr>
            <w:tcW w:w="2672" w:type="dxa"/>
            <w:vAlign w:val="top"/>
          </w:tcPr>
          <w:p w14:paraId="3C53E63A">
            <w:pPr>
              <w:pStyle w:val="248"/>
              <w:spacing w:before="65" w:line="220" w:lineRule="auto"/>
              <w:ind w:left="103"/>
              <w:rPr>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vAlign w:val="top"/>
          </w:tcPr>
          <w:p w14:paraId="53FC7E23">
            <w:pPr>
              <w:rPr>
                <w:rFonts w:ascii="Arial"/>
                <w:color w:val="auto"/>
                <w:sz w:val="21"/>
                <w:highlight w:val="none"/>
              </w:rPr>
            </w:pPr>
          </w:p>
        </w:tc>
        <w:tc>
          <w:tcPr>
            <w:tcW w:w="3543" w:type="dxa"/>
            <w:vAlign w:val="top"/>
          </w:tcPr>
          <w:p w14:paraId="52649647">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5376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C97FAC">
            <w:pPr>
              <w:rPr>
                <w:rFonts w:ascii="Arial"/>
                <w:color w:val="auto"/>
                <w:sz w:val="21"/>
                <w:highlight w:val="none"/>
              </w:rPr>
            </w:pPr>
          </w:p>
        </w:tc>
        <w:tc>
          <w:tcPr>
            <w:tcW w:w="1542" w:type="dxa"/>
            <w:vMerge w:val="continue"/>
            <w:tcBorders>
              <w:top w:val="nil"/>
            </w:tcBorders>
            <w:vAlign w:val="top"/>
          </w:tcPr>
          <w:p w14:paraId="4C47414E">
            <w:pPr>
              <w:rPr>
                <w:rFonts w:ascii="Arial"/>
                <w:color w:val="auto"/>
                <w:sz w:val="21"/>
                <w:highlight w:val="none"/>
              </w:rPr>
            </w:pPr>
          </w:p>
        </w:tc>
        <w:tc>
          <w:tcPr>
            <w:tcW w:w="2672" w:type="dxa"/>
            <w:vAlign w:val="top"/>
          </w:tcPr>
          <w:p w14:paraId="2D9D08FB">
            <w:pPr>
              <w:pStyle w:val="248"/>
              <w:spacing w:before="65" w:line="220" w:lineRule="auto"/>
              <w:ind w:left="103"/>
              <w:rPr>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vAlign w:val="top"/>
          </w:tcPr>
          <w:p w14:paraId="26DA5D59">
            <w:pPr>
              <w:rPr>
                <w:rFonts w:ascii="Arial"/>
                <w:color w:val="auto"/>
                <w:sz w:val="21"/>
                <w:highlight w:val="none"/>
              </w:rPr>
            </w:pPr>
          </w:p>
        </w:tc>
        <w:tc>
          <w:tcPr>
            <w:tcW w:w="3543" w:type="dxa"/>
            <w:vAlign w:val="top"/>
          </w:tcPr>
          <w:p w14:paraId="4B52C3C6">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B773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0FF68E8">
            <w:pPr>
              <w:pStyle w:val="248"/>
              <w:spacing w:before="66"/>
              <w:ind w:left="128"/>
              <w:rPr>
                <w:color w:val="auto"/>
                <w:highlight w:val="none"/>
              </w:rPr>
            </w:pPr>
            <w:r>
              <w:rPr>
                <w:color w:val="auto"/>
                <w:spacing w:val="-10"/>
                <w:highlight w:val="none"/>
              </w:rPr>
              <w:t>17</w:t>
            </w:r>
          </w:p>
        </w:tc>
        <w:tc>
          <w:tcPr>
            <w:tcW w:w="1542" w:type="dxa"/>
            <w:vMerge w:val="restart"/>
            <w:tcBorders>
              <w:bottom w:val="nil"/>
            </w:tcBorders>
            <w:vAlign w:val="top"/>
          </w:tcPr>
          <w:p w14:paraId="46AB660E">
            <w:pPr>
              <w:pStyle w:val="248"/>
              <w:spacing w:before="65" w:line="220" w:lineRule="auto"/>
              <w:ind w:left="102"/>
              <w:rPr>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vAlign w:val="top"/>
          </w:tcPr>
          <w:p w14:paraId="0E8D4756">
            <w:pPr>
              <w:pStyle w:val="248"/>
              <w:spacing w:before="65" w:line="220" w:lineRule="auto"/>
              <w:ind w:left="103"/>
              <w:rPr>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vAlign w:val="top"/>
          </w:tcPr>
          <w:p w14:paraId="50B7C193">
            <w:pPr>
              <w:rPr>
                <w:rFonts w:ascii="Arial"/>
                <w:color w:val="auto"/>
                <w:sz w:val="21"/>
                <w:highlight w:val="none"/>
              </w:rPr>
            </w:pPr>
          </w:p>
        </w:tc>
        <w:tc>
          <w:tcPr>
            <w:tcW w:w="3543" w:type="dxa"/>
            <w:vAlign w:val="top"/>
          </w:tcPr>
          <w:p w14:paraId="0D667D18">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1B56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6DD718B9">
            <w:pPr>
              <w:rPr>
                <w:rFonts w:ascii="Arial"/>
                <w:color w:val="auto"/>
                <w:sz w:val="21"/>
                <w:highlight w:val="none"/>
              </w:rPr>
            </w:pPr>
          </w:p>
        </w:tc>
        <w:tc>
          <w:tcPr>
            <w:tcW w:w="1542" w:type="dxa"/>
            <w:vMerge w:val="continue"/>
            <w:tcBorders>
              <w:top w:val="nil"/>
              <w:bottom w:val="nil"/>
            </w:tcBorders>
            <w:vAlign w:val="top"/>
          </w:tcPr>
          <w:p w14:paraId="386792F2">
            <w:pPr>
              <w:rPr>
                <w:rFonts w:ascii="Arial"/>
                <w:color w:val="auto"/>
                <w:sz w:val="21"/>
                <w:highlight w:val="none"/>
              </w:rPr>
            </w:pPr>
          </w:p>
        </w:tc>
        <w:tc>
          <w:tcPr>
            <w:tcW w:w="2672" w:type="dxa"/>
            <w:vAlign w:val="top"/>
          </w:tcPr>
          <w:p w14:paraId="04D01AD8">
            <w:pPr>
              <w:pStyle w:val="248"/>
              <w:spacing w:before="65" w:line="220" w:lineRule="auto"/>
              <w:ind w:left="103"/>
              <w:rPr>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vAlign w:val="top"/>
          </w:tcPr>
          <w:p w14:paraId="09D44818">
            <w:pPr>
              <w:rPr>
                <w:rFonts w:ascii="Arial"/>
                <w:color w:val="auto"/>
                <w:sz w:val="21"/>
                <w:highlight w:val="none"/>
              </w:rPr>
            </w:pPr>
          </w:p>
        </w:tc>
        <w:tc>
          <w:tcPr>
            <w:tcW w:w="3543" w:type="dxa"/>
            <w:vAlign w:val="top"/>
          </w:tcPr>
          <w:p w14:paraId="63EF0849">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572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12D3AC2">
            <w:pPr>
              <w:rPr>
                <w:rFonts w:ascii="Arial"/>
                <w:color w:val="auto"/>
                <w:sz w:val="21"/>
                <w:highlight w:val="none"/>
              </w:rPr>
            </w:pPr>
          </w:p>
        </w:tc>
        <w:tc>
          <w:tcPr>
            <w:tcW w:w="1542" w:type="dxa"/>
            <w:vMerge w:val="continue"/>
            <w:tcBorders>
              <w:top w:val="nil"/>
            </w:tcBorders>
            <w:vAlign w:val="top"/>
          </w:tcPr>
          <w:p w14:paraId="71A5ADDB">
            <w:pPr>
              <w:rPr>
                <w:rFonts w:ascii="Arial"/>
                <w:color w:val="auto"/>
                <w:sz w:val="21"/>
                <w:highlight w:val="none"/>
              </w:rPr>
            </w:pPr>
          </w:p>
        </w:tc>
        <w:tc>
          <w:tcPr>
            <w:tcW w:w="2672" w:type="dxa"/>
            <w:vAlign w:val="top"/>
          </w:tcPr>
          <w:p w14:paraId="2F744242">
            <w:pPr>
              <w:pStyle w:val="248"/>
              <w:spacing w:before="66" w:line="220" w:lineRule="auto"/>
              <w:ind w:left="103"/>
              <w:rPr>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vAlign w:val="top"/>
          </w:tcPr>
          <w:p w14:paraId="514F29F5">
            <w:pPr>
              <w:rPr>
                <w:rFonts w:ascii="Arial"/>
                <w:color w:val="auto"/>
                <w:sz w:val="21"/>
                <w:highlight w:val="none"/>
              </w:rPr>
            </w:pPr>
          </w:p>
        </w:tc>
        <w:tc>
          <w:tcPr>
            <w:tcW w:w="3543" w:type="dxa"/>
            <w:vAlign w:val="top"/>
          </w:tcPr>
          <w:p w14:paraId="7BBDF894">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F35C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5FEF03B">
            <w:pPr>
              <w:pStyle w:val="248"/>
              <w:spacing w:before="67"/>
              <w:ind w:left="128"/>
              <w:rPr>
                <w:color w:val="auto"/>
                <w:highlight w:val="none"/>
              </w:rPr>
            </w:pPr>
            <w:r>
              <w:rPr>
                <w:color w:val="auto"/>
                <w:spacing w:val="-10"/>
                <w:highlight w:val="none"/>
              </w:rPr>
              <w:t>18</w:t>
            </w:r>
          </w:p>
        </w:tc>
        <w:tc>
          <w:tcPr>
            <w:tcW w:w="1542" w:type="dxa"/>
            <w:vMerge w:val="restart"/>
            <w:tcBorders>
              <w:bottom w:val="nil"/>
            </w:tcBorders>
            <w:vAlign w:val="top"/>
          </w:tcPr>
          <w:p w14:paraId="6F4AA3DB">
            <w:pPr>
              <w:pStyle w:val="248"/>
              <w:spacing w:before="66" w:line="220" w:lineRule="auto"/>
              <w:ind w:left="102"/>
              <w:rPr>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vAlign w:val="top"/>
          </w:tcPr>
          <w:p w14:paraId="448DD27A">
            <w:pPr>
              <w:pStyle w:val="248"/>
              <w:spacing w:before="66" w:line="220" w:lineRule="auto"/>
              <w:ind w:left="103"/>
              <w:rPr>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vAlign w:val="top"/>
          </w:tcPr>
          <w:p w14:paraId="35146366">
            <w:pPr>
              <w:rPr>
                <w:rFonts w:ascii="Arial"/>
                <w:color w:val="auto"/>
                <w:sz w:val="21"/>
                <w:highlight w:val="none"/>
              </w:rPr>
            </w:pPr>
          </w:p>
        </w:tc>
        <w:tc>
          <w:tcPr>
            <w:tcW w:w="3543" w:type="dxa"/>
            <w:vAlign w:val="top"/>
          </w:tcPr>
          <w:p w14:paraId="656C7958">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AB3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37CF7095">
            <w:pPr>
              <w:rPr>
                <w:rFonts w:ascii="Arial"/>
                <w:color w:val="auto"/>
                <w:sz w:val="21"/>
                <w:highlight w:val="none"/>
              </w:rPr>
            </w:pPr>
          </w:p>
        </w:tc>
        <w:tc>
          <w:tcPr>
            <w:tcW w:w="1542" w:type="dxa"/>
            <w:vMerge w:val="continue"/>
            <w:tcBorders>
              <w:top w:val="nil"/>
              <w:bottom w:val="nil"/>
            </w:tcBorders>
            <w:vAlign w:val="top"/>
          </w:tcPr>
          <w:p w14:paraId="28DE269E">
            <w:pPr>
              <w:rPr>
                <w:rFonts w:ascii="Arial"/>
                <w:color w:val="auto"/>
                <w:sz w:val="21"/>
                <w:highlight w:val="none"/>
              </w:rPr>
            </w:pPr>
          </w:p>
        </w:tc>
        <w:tc>
          <w:tcPr>
            <w:tcW w:w="2672" w:type="dxa"/>
            <w:vAlign w:val="top"/>
          </w:tcPr>
          <w:p w14:paraId="0279AA59">
            <w:pPr>
              <w:pStyle w:val="248"/>
              <w:spacing w:before="66" w:line="220" w:lineRule="auto"/>
              <w:ind w:left="103"/>
              <w:rPr>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vAlign w:val="top"/>
          </w:tcPr>
          <w:p w14:paraId="4EEED532">
            <w:pPr>
              <w:rPr>
                <w:rFonts w:ascii="Arial"/>
                <w:color w:val="auto"/>
                <w:sz w:val="21"/>
                <w:highlight w:val="none"/>
              </w:rPr>
            </w:pPr>
          </w:p>
        </w:tc>
        <w:tc>
          <w:tcPr>
            <w:tcW w:w="3543" w:type="dxa"/>
            <w:vAlign w:val="top"/>
          </w:tcPr>
          <w:p w14:paraId="6E78AC05">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903D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02A76264">
            <w:pPr>
              <w:rPr>
                <w:rFonts w:ascii="Arial"/>
                <w:color w:val="auto"/>
                <w:sz w:val="21"/>
                <w:highlight w:val="none"/>
              </w:rPr>
            </w:pPr>
          </w:p>
        </w:tc>
        <w:tc>
          <w:tcPr>
            <w:tcW w:w="1542" w:type="dxa"/>
            <w:vMerge w:val="continue"/>
            <w:tcBorders>
              <w:top w:val="nil"/>
            </w:tcBorders>
            <w:vAlign w:val="top"/>
          </w:tcPr>
          <w:p w14:paraId="2004F5D5">
            <w:pPr>
              <w:rPr>
                <w:rFonts w:ascii="Arial"/>
                <w:color w:val="auto"/>
                <w:sz w:val="21"/>
                <w:highlight w:val="none"/>
              </w:rPr>
            </w:pPr>
          </w:p>
        </w:tc>
        <w:tc>
          <w:tcPr>
            <w:tcW w:w="2672" w:type="dxa"/>
            <w:vAlign w:val="top"/>
          </w:tcPr>
          <w:p w14:paraId="0E8D949F">
            <w:pPr>
              <w:pStyle w:val="248"/>
              <w:spacing w:before="67" w:line="220" w:lineRule="auto"/>
              <w:ind w:left="103"/>
              <w:rPr>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vAlign w:val="top"/>
          </w:tcPr>
          <w:p w14:paraId="24CEDEBE">
            <w:pPr>
              <w:rPr>
                <w:rFonts w:ascii="Arial"/>
                <w:color w:val="auto"/>
                <w:sz w:val="21"/>
                <w:highlight w:val="none"/>
              </w:rPr>
            </w:pPr>
          </w:p>
        </w:tc>
        <w:tc>
          <w:tcPr>
            <w:tcW w:w="3543" w:type="dxa"/>
            <w:vAlign w:val="top"/>
          </w:tcPr>
          <w:p w14:paraId="1841F1AE">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7AF9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4A551B1F">
            <w:pPr>
              <w:pStyle w:val="248"/>
              <w:spacing w:before="67"/>
              <w:ind w:left="128"/>
              <w:rPr>
                <w:color w:val="auto"/>
                <w:highlight w:val="none"/>
              </w:rPr>
            </w:pPr>
            <w:r>
              <w:rPr>
                <w:color w:val="auto"/>
                <w:spacing w:val="-10"/>
                <w:highlight w:val="none"/>
              </w:rPr>
              <w:t>19</w:t>
            </w:r>
          </w:p>
        </w:tc>
        <w:tc>
          <w:tcPr>
            <w:tcW w:w="1542" w:type="dxa"/>
            <w:vAlign w:val="top"/>
          </w:tcPr>
          <w:p w14:paraId="02A3D41F">
            <w:pPr>
              <w:pStyle w:val="248"/>
              <w:spacing w:before="67" w:line="220" w:lineRule="auto"/>
              <w:ind w:left="102"/>
              <w:rPr>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vAlign w:val="top"/>
          </w:tcPr>
          <w:p w14:paraId="46D25991">
            <w:pPr>
              <w:pStyle w:val="248"/>
              <w:spacing w:before="67" w:line="220" w:lineRule="auto"/>
              <w:ind w:left="103"/>
              <w:rPr>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vAlign w:val="top"/>
          </w:tcPr>
          <w:p w14:paraId="431A2D2C">
            <w:pPr>
              <w:rPr>
                <w:rFonts w:ascii="Arial"/>
                <w:color w:val="auto"/>
                <w:sz w:val="21"/>
                <w:highlight w:val="none"/>
              </w:rPr>
            </w:pPr>
          </w:p>
        </w:tc>
        <w:tc>
          <w:tcPr>
            <w:tcW w:w="3543" w:type="dxa"/>
            <w:vAlign w:val="top"/>
          </w:tcPr>
          <w:p w14:paraId="78253D8C">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087F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A0D9E9B">
            <w:pPr>
              <w:pStyle w:val="248"/>
              <w:spacing w:before="67"/>
              <w:ind w:left="116"/>
              <w:rPr>
                <w:color w:val="auto"/>
                <w:highlight w:val="none"/>
              </w:rPr>
            </w:pPr>
            <w:r>
              <w:rPr>
                <w:color w:val="auto"/>
                <w:spacing w:val="-4"/>
                <w:highlight w:val="none"/>
              </w:rPr>
              <w:t>20</w:t>
            </w:r>
          </w:p>
        </w:tc>
        <w:tc>
          <w:tcPr>
            <w:tcW w:w="1542" w:type="dxa"/>
            <w:vMerge w:val="restart"/>
            <w:tcBorders>
              <w:bottom w:val="nil"/>
            </w:tcBorders>
            <w:vAlign w:val="top"/>
          </w:tcPr>
          <w:p w14:paraId="1A2C27BF">
            <w:pPr>
              <w:pStyle w:val="248"/>
              <w:spacing w:before="67" w:line="220" w:lineRule="auto"/>
              <w:ind w:left="193"/>
              <w:rPr>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vAlign w:val="top"/>
          </w:tcPr>
          <w:p w14:paraId="079653E6">
            <w:pPr>
              <w:pStyle w:val="248"/>
              <w:spacing w:before="67" w:line="220" w:lineRule="auto"/>
              <w:ind w:left="103"/>
              <w:rPr>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vAlign w:val="top"/>
          </w:tcPr>
          <w:p w14:paraId="2C52F27B">
            <w:pPr>
              <w:rPr>
                <w:rFonts w:ascii="Arial"/>
                <w:color w:val="auto"/>
                <w:sz w:val="21"/>
                <w:highlight w:val="none"/>
              </w:rPr>
            </w:pPr>
          </w:p>
        </w:tc>
        <w:tc>
          <w:tcPr>
            <w:tcW w:w="3543" w:type="dxa"/>
            <w:vAlign w:val="top"/>
          </w:tcPr>
          <w:p w14:paraId="0879F0B3">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D3D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7EAEF2C">
            <w:pPr>
              <w:rPr>
                <w:rFonts w:ascii="Arial"/>
                <w:color w:val="auto"/>
                <w:sz w:val="21"/>
                <w:highlight w:val="none"/>
              </w:rPr>
            </w:pPr>
          </w:p>
        </w:tc>
        <w:tc>
          <w:tcPr>
            <w:tcW w:w="1542" w:type="dxa"/>
            <w:vMerge w:val="continue"/>
            <w:tcBorders>
              <w:top w:val="nil"/>
              <w:bottom w:val="nil"/>
            </w:tcBorders>
            <w:vAlign w:val="top"/>
          </w:tcPr>
          <w:p w14:paraId="76C15929">
            <w:pPr>
              <w:rPr>
                <w:rFonts w:ascii="Arial"/>
                <w:color w:val="auto"/>
                <w:sz w:val="21"/>
                <w:highlight w:val="none"/>
              </w:rPr>
            </w:pPr>
          </w:p>
        </w:tc>
        <w:tc>
          <w:tcPr>
            <w:tcW w:w="2672" w:type="dxa"/>
            <w:vAlign w:val="top"/>
          </w:tcPr>
          <w:p w14:paraId="560F5189">
            <w:pPr>
              <w:pStyle w:val="248"/>
              <w:spacing w:before="67" w:line="220" w:lineRule="auto"/>
              <w:ind w:left="103"/>
              <w:rPr>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vAlign w:val="top"/>
          </w:tcPr>
          <w:p w14:paraId="148476BE">
            <w:pPr>
              <w:rPr>
                <w:rFonts w:ascii="Arial"/>
                <w:color w:val="auto"/>
                <w:sz w:val="21"/>
                <w:highlight w:val="none"/>
              </w:rPr>
            </w:pPr>
          </w:p>
        </w:tc>
        <w:tc>
          <w:tcPr>
            <w:tcW w:w="3543" w:type="dxa"/>
            <w:vAlign w:val="top"/>
          </w:tcPr>
          <w:p w14:paraId="4E6C8272">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CD4D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8727A63">
            <w:pPr>
              <w:rPr>
                <w:rFonts w:ascii="Arial"/>
                <w:color w:val="auto"/>
                <w:sz w:val="21"/>
                <w:highlight w:val="none"/>
              </w:rPr>
            </w:pPr>
          </w:p>
        </w:tc>
        <w:tc>
          <w:tcPr>
            <w:tcW w:w="1542" w:type="dxa"/>
            <w:vMerge w:val="continue"/>
            <w:tcBorders>
              <w:top w:val="nil"/>
            </w:tcBorders>
            <w:vAlign w:val="top"/>
          </w:tcPr>
          <w:p w14:paraId="51A81438">
            <w:pPr>
              <w:rPr>
                <w:rFonts w:ascii="Arial"/>
                <w:color w:val="auto"/>
                <w:sz w:val="21"/>
                <w:highlight w:val="none"/>
              </w:rPr>
            </w:pPr>
          </w:p>
        </w:tc>
        <w:tc>
          <w:tcPr>
            <w:tcW w:w="2672" w:type="dxa"/>
            <w:vAlign w:val="top"/>
          </w:tcPr>
          <w:p w14:paraId="2F3C16A4">
            <w:pPr>
              <w:pStyle w:val="248"/>
              <w:spacing w:before="67" w:line="220" w:lineRule="auto"/>
              <w:ind w:left="103"/>
              <w:rPr>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vAlign w:val="top"/>
          </w:tcPr>
          <w:p w14:paraId="6C660BD2">
            <w:pPr>
              <w:rPr>
                <w:rFonts w:ascii="Arial"/>
                <w:color w:val="auto"/>
                <w:sz w:val="21"/>
                <w:highlight w:val="none"/>
              </w:rPr>
            </w:pPr>
          </w:p>
        </w:tc>
        <w:tc>
          <w:tcPr>
            <w:tcW w:w="3543" w:type="dxa"/>
            <w:vAlign w:val="top"/>
          </w:tcPr>
          <w:p w14:paraId="65C6D44F">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56E2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34FF5A3">
            <w:pPr>
              <w:pStyle w:val="248"/>
              <w:spacing w:before="67" w:line="242" w:lineRule="auto"/>
              <w:ind w:left="116"/>
              <w:rPr>
                <w:color w:val="auto"/>
                <w:highlight w:val="none"/>
              </w:rPr>
            </w:pPr>
            <w:r>
              <w:rPr>
                <w:color w:val="auto"/>
                <w:spacing w:val="-4"/>
                <w:highlight w:val="none"/>
              </w:rPr>
              <w:t>21</w:t>
            </w:r>
          </w:p>
        </w:tc>
        <w:tc>
          <w:tcPr>
            <w:tcW w:w="1542" w:type="dxa"/>
            <w:vMerge w:val="restart"/>
            <w:tcBorders>
              <w:bottom w:val="nil"/>
            </w:tcBorders>
            <w:vAlign w:val="top"/>
          </w:tcPr>
          <w:p w14:paraId="17451FDD">
            <w:pPr>
              <w:pStyle w:val="248"/>
              <w:spacing w:before="67" w:line="220" w:lineRule="auto"/>
              <w:ind w:left="102"/>
              <w:rPr>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vAlign w:val="top"/>
          </w:tcPr>
          <w:p w14:paraId="39BD185F">
            <w:pPr>
              <w:pStyle w:val="248"/>
              <w:spacing w:before="67" w:line="220" w:lineRule="auto"/>
              <w:ind w:left="103"/>
              <w:rPr>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vAlign w:val="top"/>
          </w:tcPr>
          <w:p w14:paraId="113F056E">
            <w:pPr>
              <w:rPr>
                <w:rFonts w:ascii="Arial"/>
                <w:color w:val="auto"/>
                <w:sz w:val="21"/>
                <w:highlight w:val="none"/>
              </w:rPr>
            </w:pPr>
          </w:p>
        </w:tc>
        <w:tc>
          <w:tcPr>
            <w:tcW w:w="3543" w:type="dxa"/>
            <w:vAlign w:val="top"/>
          </w:tcPr>
          <w:p w14:paraId="737D280A">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4BBD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4EB3F1">
            <w:pPr>
              <w:rPr>
                <w:rFonts w:ascii="Arial"/>
                <w:color w:val="auto"/>
                <w:sz w:val="21"/>
                <w:highlight w:val="none"/>
              </w:rPr>
            </w:pPr>
          </w:p>
        </w:tc>
        <w:tc>
          <w:tcPr>
            <w:tcW w:w="1542" w:type="dxa"/>
            <w:vMerge w:val="continue"/>
            <w:tcBorders>
              <w:top w:val="nil"/>
            </w:tcBorders>
            <w:vAlign w:val="top"/>
          </w:tcPr>
          <w:p w14:paraId="14D6D0F7">
            <w:pPr>
              <w:rPr>
                <w:rFonts w:ascii="Arial"/>
                <w:color w:val="auto"/>
                <w:sz w:val="21"/>
                <w:highlight w:val="none"/>
              </w:rPr>
            </w:pPr>
          </w:p>
        </w:tc>
        <w:tc>
          <w:tcPr>
            <w:tcW w:w="2672" w:type="dxa"/>
            <w:vAlign w:val="top"/>
          </w:tcPr>
          <w:p w14:paraId="2EDBCD8E">
            <w:pPr>
              <w:pStyle w:val="248"/>
              <w:spacing w:before="67" w:line="220" w:lineRule="auto"/>
              <w:ind w:left="103"/>
              <w:rPr>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vAlign w:val="top"/>
          </w:tcPr>
          <w:p w14:paraId="04E4E431">
            <w:pPr>
              <w:rPr>
                <w:rFonts w:ascii="Arial"/>
                <w:color w:val="auto"/>
                <w:sz w:val="21"/>
                <w:highlight w:val="none"/>
              </w:rPr>
            </w:pPr>
          </w:p>
        </w:tc>
        <w:tc>
          <w:tcPr>
            <w:tcW w:w="3543" w:type="dxa"/>
            <w:vAlign w:val="top"/>
          </w:tcPr>
          <w:p w14:paraId="1DD8CCD5">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D54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601BD665">
            <w:pPr>
              <w:pStyle w:val="248"/>
              <w:spacing w:before="67" w:line="242" w:lineRule="auto"/>
              <w:ind w:left="116"/>
              <w:rPr>
                <w:color w:val="auto"/>
                <w:highlight w:val="none"/>
              </w:rPr>
            </w:pPr>
            <w:r>
              <w:rPr>
                <w:color w:val="auto"/>
                <w:spacing w:val="-4"/>
                <w:highlight w:val="none"/>
              </w:rPr>
              <w:t>22</w:t>
            </w:r>
          </w:p>
        </w:tc>
        <w:tc>
          <w:tcPr>
            <w:tcW w:w="1542" w:type="dxa"/>
            <w:vMerge w:val="restart"/>
            <w:tcBorders>
              <w:bottom w:val="nil"/>
            </w:tcBorders>
            <w:vAlign w:val="top"/>
          </w:tcPr>
          <w:p w14:paraId="20C7F9F0">
            <w:pPr>
              <w:pStyle w:val="248"/>
              <w:spacing w:before="67" w:line="220" w:lineRule="auto"/>
              <w:ind w:left="102"/>
              <w:rPr>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vAlign w:val="top"/>
          </w:tcPr>
          <w:p w14:paraId="1B6C4671">
            <w:pPr>
              <w:pStyle w:val="248"/>
              <w:spacing w:before="67" w:line="220" w:lineRule="auto"/>
              <w:ind w:left="103"/>
              <w:rPr>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vAlign w:val="top"/>
          </w:tcPr>
          <w:p w14:paraId="07737F18">
            <w:pPr>
              <w:rPr>
                <w:rFonts w:ascii="Arial"/>
                <w:color w:val="auto"/>
                <w:sz w:val="21"/>
                <w:highlight w:val="none"/>
              </w:rPr>
            </w:pPr>
          </w:p>
        </w:tc>
        <w:tc>
          <w:tcPr>
            <w:tcW w:w="3543" w:type="dxa"/>
            <w:vAlign w:val="top"/>
          </w:tcPr>
          <w:p w14:paraId="36DCE271">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4F89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AEC504D">
            <w:pPr>
              <w:rPr>
                <w:rFonts w:ascii="Arial"/>
                <w:color w:val="auto"/>
                <w:sz w:val="21"/>
                <w:highlight w:val="none"/>
              </w:rPr>
            </w:pPr>
          </w:p>
        </w:tc>
        <w:tc>
          <w:tcPr>
            <w:tcW w:w="1542" w:type="dxa"/>
            <w:vMerge w:val="continue"/>
            <w:tcBorders>
              <w:top w:val="nil"/>
            </w:tcBorders>
            <w:vAlign w:val="top"/>
          </w:tcPr>
          <w:p w14:paraId="0F221205">
            <w:pPr>
              <w:rPr>
                <w:rFonts w:ascii="Arial"/>
                <w:color w:val="auto"/>
                <w:sz w:val="21"/>
                <w:highlight w:val="none"/>
              </w:rPr>
            </w:pPr>
          </w:p>
        </w:tc>
        <w:tc>
          <w:tcPr>
            <w:tcW w:w="2672" w:type="dxa"/>
            <w:vAlign w:val="top"/>
          </w:tcPr>
          <w:p w14:paraId="2A77DD58">
            <w:pPr>
              <w:pStyle w:val="248"/>
              <w:spacing w:before="67" w:line="220" w:lineRule="auto"/>
              <w:ind w:left="103"/>
              <w:rPr>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vAlign w:val="top"/>
          </w:tcPr>
          <w:p w14:paraId="0E3222A3">
            <w:pPr>
              <w:rPr>
                <w:rFonts w:ascii="Arial"/>
                <w:color w:val="auto"/>
                <w:sz w:val="21"/>
                <w:highlight w:val="none"/>
              </w:rPr>
            </w:pPr>
          </w:p>
        </w:tc>
        <w:tc>
          <w:tcPr>
            <w:tcW w:w="3543" w:type="dxa"/>
            <w:vAlign w:val="top"/>
          </w:tcPr>
          <w:p w14:paraId="62DDFB02">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925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7BDFB1A2">
            <w:pPr>
              <w:pStyle w:val="248"/>
              <w:spacing w:before="67"/>
              <w:ind w:left="116"/>
              <w:rPr>
                <w:color w:val="auto"/>
                <w:highlight w:val="none"/>
              </w:rPr>
            </w:pPr>
            <w:r>
              <w:rPr>
                <w:color w:val="auto"/>
                <w:spacing w:val="-4"/>
                <w:highlight w:val="none"/>
              </w:rPr>
              <w:t>23</w:t>
            </w:r>
          </w:p>
        </w:tc>
        <w:tc>
          <w:tcPr>
            <w:tcW w:w="1542" w:type="dxa"/>
            <w:vAlign w:val="top"/>
          </w:tcPr>
          <w:p w14:paraId="5EF004DB">
            <w:pPr>
              <w:pStyle w:val="248"/>
              <w:spacing w:before="67" w:line="220" w:lineRule="auto"/>
              <w:ind w:left="102"/>
              <w:rPr>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vAlign w:val="top"/>
          </w:tcPr>
          <w:p w14:paraId="2A7A3C0A">
            <w:pPr>
              <w:rPr>
                <w:rFonts w:ascii="Arial"/>
                <w:color w:val="auto"/>
                <w:sz w:val="21"/>
                <w:highlight w:val="none"/>
              </w:rPr>
            </w:pPr>
          </w:p>
        </w:tc>
        <w:tc>
          <w:tcPr>
            <w:tcW w:w="2248" w:type="dxa"/>
            <w:vAlign w:val="top"/>
          </w:tcPr>
          <w:p w14:paraId="7428587C">
            <w:pPr>
              <w:rPr>
                <w:rFonts w:ascii="Arial"/>
                <w:color w:val="auto"/>
                <w:sz w:val="21"/>
                <w:highlight w:val="none"/>
              </w:rPr>
            </w:pPr>
          </w:p>
        </w:tc>
        <w:tc>
          <w:tcPr>
            <w:tcW w:w="3543" w:type="dxa"/>
            <w:vAlign w:val="top"/>
          </w:tcPr>
          <w:p w14:paraId="1D1BE762">
            <w:pPr>
              <w:pStyle w:val="248"/>
              <w:spacing w:before="66"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10269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28BA4AB4">
            <w:pPr>
              <w:pStyle w:val="248"/>
              <w:spacing w:before="67" w:line="242" w:lineRule="auto"/>
              <w:ind w:left="116"/>
              <w:rPr>
                <w:color w:val="auto"/>
                <w:highlight w:val="none"/>
              </w:rPr>
            </w:pPr>
            <w:r>
              <w:rPr>
                <w:color w:val="auto"/>
                <w:spacing w:val="-4"/>
                <w:highlight w:val="none"/>
              </w:rPr>
              <w:t>24</w:t>
            </w:r>
          </w:p>
        </w:tc>
        <w:tc>
          <w:tcPr>
            <w:tcW w:w="1542" w:type="dxa"/>
            <w:vAlign w:val="top"/>
          </w:tcPr>
          <w:p w14:paraId="13B86564">
            <w:pPr>
              <w:pStyle w:val="248"/>
              <w:spacing w:before="67" w:line="220" w:lineRule="auto"/>
              <w:ind w:left="102"/>
              <w:rPr>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vAlign w:val="top"/>
          </w:tcPr>
          <w:p w14:paraId="0A345D3C">
            <w:pPr>
              <w:rPr>
                <w:rFonts w:ascii="Arial"/>
                <w:color w:val="auto"/>
                <w:sz w:val="21"/>
                <w:highlight w:val="none"/>
              </w:rPr>
            </w:pPr>
          </w:p>
        </w:tc>
        <w:tc>
          <w:tcPr>
            <w:tcW w:w="2248" w:type="dxa"/>
            <w:vAlign w:val="top"/>
          </w:tcPr>
          <w:p w14:paraId="25286809">
            <w:pPr>
              <w:rPr>
                <w:rFonts w:ascii="Arial"/>
                <w:color w:val="auto"/>
                <w:sz w:val="21"/>
                <w:highlight w:val="none"/>
              </w:rPr>
            </w:pPr>
          </w:p>
        </w:tc>
        <w:tc>
          <w:tcPr>
            <w:tcW w:w="3543" w:type="dxa"/>
            <w:vAlign w:val="top"/>
          </w:tcPr>
          <w:p w14:paraId="2AF1460E">
            <w:pPr>
              <w:pStyle w:val="248"/>
              <w:spacing w:before="67"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1B023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76F2D7CB">
            <w:pPr>
              <w:pStyle w:val="248"/>
              <w:spacing w:before="67"/>
              <w:ind w:left="116"/>
              <w:rPr>
                <w:color w:val="auto"/>
                <w:highlight w:val="none"/>
              </w:rPr>
            </w:pPr>
            <w:r>
              <w:rPr>
                <w:color w:val="auto"/>
                <w:spacing w:val="-4"/>
                <w:highlight w:val="none"/>
              </w:rPr>
              <w:t>25</w:t>
            </w:r>
          </w:p>
        </w:tc>
        <w:tc>
          <w:tcPr>
            <w:tcW w:w="1542" w:type="dxa"/>
            <w:vAlign w:val="top"/>
          </w:tcPr>
          <w:p w14:paraId="039CE1D4">
            <w:pPr>
              <w:pStyle w:val="248"/>
              <w:spacing w:before="67" w:line="220" w:lineRule="auto"/>
              <w:ind w:left="102"/>
              <w:rPr>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vAlign w:val="top"/>
          </w:tcPr>
          <w:p w14:paraId="0CC6FB2B">
            <w:pPr>
              <w:rPr>
                <w:rFonts w:ascii="Arial"/>
                <w:color w:val="auto"/>
                <w:sz w:val="21"/>
                <w:highlight w:val="none"/>
              </w:rPr>
            </w:pPr>
          </w:p>
        </w:tc>
        <w:tc>
          <w:tcPr>
            <w:tcW w:w="2248" w:type="dxa"/>
            <w:vAlign w:val="top"/>
          </w:tcPr>
          <w:p w14:paraId="2D40E176">
            <w:pPr>
              <w:rPr>
                <w:rFonts w:ascii="Arial"/>
                <w:color w:val="auto"/>
                <w:sz w:val="21"/>
                <w:highlight w:val="none"/>
              </w:rPr>
            </w:pPr>
          </w:p>
        </w:tc>
        <w:tc>
          <w:tcPr>
            <w:tcW w:w="3543" w:type="dxa"/>
            <w:vAlign w:val="top"/>
          </w:tcPr>
          <w:p w14:paraId="00DA36D5">
            <w:pPr>
              <w:pStyle w:val="248"/>
              <w:spacing w:before="67" w:line="219" w:lineRule="auto"/>
              <w:ind w:left="109"/>
              <w:rPr>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284A5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6E076AE4">
            <w:pPr>
              <w:pStyle w:val="248"/>
              <w:spacing w:before="67"/>
              <w:ind w:left="116"/>
              <w:rPr>
                <w:color w:val="auto"/>
                <w:highlight w:val="none"/>
              </w:rPr>
            </w:pPr>
            <w:r>
              <w:rPr>
                <w:color w:val="auto"/>
                <w:spacing w:val="-4"/>
                <w:highlight w:val="none"/>
              </w:rPr>
              <w:t>26</w:t>
            </w:r>
          </w:p>
        </w:tc>
        <w:tc>
          <w:tcPr>
            <w:tcW w:w="1542" w:type="dxa"/>
            <w:vAlign w:val="top"/>
          </w:tcPr>
          <w:p w14:paraId="4560D868">
            <w:pPr>
              <w:pStyle w:val="248"/>
              <w:spacing w:before="67" w:line="221" w:lineRule="auto"/>
              <w:ind w:left="102"/>
              <w:rPr>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vAlign w:val="top"/>
          </w:tcPr>
          <w:p w14:paraId="08CA595B">
            <w:pPr>
              <w:rPr>
                <w:rFonts w:ascii="Arial"/>
                <w:color w:val="auto"/>
                <w:sz w:val="21"/>
                <w:highlight w:val="none"/>
              </w:rPr>
            </w:pPr>
          </w:p>
        </w:tc>
        <w:tc>
          <w:tcPr>
            <w:tcW w:w="2248" w:type="dxa"/>
            <w:vAlign w:val="top"/>
          </w:tcPr>
          <w:p w14:paraId="19A743E3">
            <w:pPr>
              <w:rPr>
                <w:rFonts w:ascii="Arial"/>
                <w:color w:val="auto"/>
                <w:sz w:val="21"/>
                <w:highlight w:val="none"/>
              </w:rPr>
            </w:pPr>
          </w:p>
        </w:tc>
        <w:tc>
          <w:tcPr>
            <w:tcW w:w="3543" w:type="dxa"/>
            <w:vAlign w:val="top"/>
          </w:tcPr>
          <w:p w14:paraId="2497681D">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FECC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A6CA83F">
            <w:pPr>
              <w:pStyle w:val="248"/>
              <w:spacing w:before="68"/>
              <w:ind w:left="116"/>
              <w:rPr>
                <w:color w:val="auto"/>
                <w:highlight w:val="none"/>
              </w:rPr>
            </w:pPr>
            <w:r>
              <w:rPr>
                <w:color w:val="auto"/>
                <w:spacing w:val="-4"/>
                <w:highlight w:val="none"/>
              </w:rPr>
              <w:t>27</w:t>
            </w:r>
          </w:p>
        </w:tc>
        <w:tc>
          <w:tcPr>
            <w:tcW w:w="1542" w:type="dxa"/>
            <w:vAlign w:val="top"/>
          </w:tcPr>
          <w:p w14:paraId="0C3E956E">
            <w:pPr>
              <w:pStyle w:val="248"/>
              <w:spacing w:before="68" w:line="282" w:lineRule="auto"/>
              <w:ind w:left="108" w:right="106" w:hanging="6"/>
              <w:rPr>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highlight w:val="none"/>
              </w:rPr>
              <w:t xml:space="preserve"> </w:t>
            </w:r>
            <w:r>
              <w:rPr>
                <w:color w:val="auto"/>
                <w:spacing w:val="-2"/>
                <w:highlight w:val="none"/>
              </w:rPr>
              <w:t>零配件</w:t>
            </w:r>
          </w:p>
        </w:tc>
        <w:tc>
          <w:tcPr>
            <w:tcW w:w="2672" w:type="dxa"/>
            <w:vAlign w:val="top"/>
          </w:tcPr>
          <w:p w14:paraId="06C3341D">
            <w:pPr>
              <w:rPr>
                <w:rFonts w:ascii="Arial"/>
                <w:color w:val="auto"/>
                <w:sz w:val="21"/>
                <w:highlight w:val="none"/>
              </w:rPr>
            </w:pPr>
          </w:p>
        </w:tc>
        <w:tc>
          <w:tcPr>
            <w:tcW w:w="2248" w:type="dxa"/>
            <w:vAlign w:val="top"/>
          </w:tcPr>
          <w:p w14:paraId="2C05A014">
            <w:pPr>
              <w:rPr>
                <w:rFonts w:ascii="Arial"/>
                <w:color w:val="auto"/>
                <w:sz w:val="21"/>
                <w:highlight w:val="none"/>
              </w:rPr>
            </w:pPr>
          </w:p>
        </w:tc>
        <w:tc>
          <w:tcPr>
            <w:tcW w:w="3543" w:type="dxa"/>
            <w:vAlign w:val="top"/>
          </w:tcPr>
          <w:p w14:paraId="0DE5E9DB">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3DB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Align w:val="top"/>
          </w:tcPr>
          <w:p w14:paraId="71B3BA7A">
            <w:pPr>
              <w:pStyle w:val="248"/>
              <w:spacing w:before="70"/>
              <w:ind w:left="116"/>
              <w:rPr>
                <w:color w:val="auto"/>
                <w:highlight w:val="none"/>
              </w:rPr>
            </w:pPr>
            <w:r>
              <w:rPr>
                <w:color w:val="auto"/>
                <w:spacing w:val="-4"/>
                <w:highlight w:val="none"/>
              </w:rPr>
              <w:t>28</w:t>
            </w:r>
          </w:p>
        </w:tc>
        <w:tc>
          <w:tcPr>
            <w:tcW w:w="1542" w:type="dxa"/>
            <w:vAlign w:val="top"/>
          </w:tcPr>
          <w:p w14:paraId="47FE6AA2">
            <w:pPr>
              <w:pStyle w:val="248"/>
              <w:spacing w:before="71" w:line="282" w:lineRule="auto"/>
              <w:ind w:left="109" w:right="106" w:hanging="7"/>
              <w:rPr>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highlight w:val="none"/>
              </w:rPr>
              <w:t xml:space="preserve"> </w:t>
            </w:r>
            <w:r>
              <w:rPr>
                <w:color w:val="auto"/>
                <w:spacing w:val="-3"/>
                <w:highlight w:val="none"/>
              </w:rPr>
              <w:t>用具</w:t>
            </w:r>
          </w:p>
        </w:tc>
        <w:tc>
          <w:tcPr>
            <w:tcW w:w="2672" w:type="dxa"/>
            <w:vAlign w:val="top"/>
          </w:tcPr>
          <w:p w14:paraId="62297FA8">
            <w:pPr>
              <w:rPr>
                <w:rFonts w:ascii="Arial"/>
                <w:color w:val="auto"/>
                <w:sz w:val="21"/>
                <w:highlight w:val="none"/>
              </w:rPr>
            </w:pPr>
          </w:p>
        </w:tc>
        <w:tc>
          <w:tcPr>
            <w:tcW w:w="2248" w:type="dxa"/>
            <w:vAlign w:val="top"/>
          </w:tcPr>
          <w:p w14:paraId="1D1E7241">
            <w:pPr>
              <w:rPr>
                <w:rFonts w:ascii="Arial"/>
                <w:color w:val="auto"/>
                <w:sz w:val="21"/>
                <w:highlight w:val="none"/>
              </w:rPr>
            </w:pPr>
          </w:p>
        </w:tc>
        <w:tc>
          <w:tcPr>
            <w:tcW w:w="3543" w:type="dxa"/>
            <w:vAlign w:val="top"/>
          </w:tcPr>
          <w:p w14:paraId="3CD9A822">
            <w:pPr>
              <w:pStyle w:val="248"/>
              <w:spacing w:before="70"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C781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6C085D3E">
            <w:pPr>
              <w:pStyle w:val="248"/>
              <w:spacing w:before="68"/>
              <w:ind w:left="116"/>
              <w:rPr>
                <w:color w:val="auto"/>
                <w:highlight w:val="none"/>
              </w:rPr>
            </w:pPr>
            <w:r>
              <w:rPr>
                <w:color w:val="auto"/>
                <w:spacing w:val="-4"/>
                <w:highlight w:val="none"/>
              </w:rPr>
              <w:t>29</w:t>
            </w:r>
          </w:p>
        </w:tc>
        <w:tc>
          <w:tcPr>
            <w:tcW w:w="1542" w:type="dxa"/>
            <w:vAlign w:val="top"/>
          </w:tcPr>
          <w:p w14:paraId="663F829A">
            <w:pPr>
              <w:pStyle w:val="248"/>
              <w:spacing w:before="69" w:line="284" w:lineRule="auto"/>
              <w:ind w:left="111" w:right="106" w:hanging="9"/>
              <w:rPr>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vAlign w:val="top"/>
          </w:tcPr>
          <w:p w14:paraId="0330E98B">
            <w:pPr>
              <w:rPr>
                <w:rFonts w:ascii="Arial"/>
                <w:color w:val="auto"/>
                <w:sz w:val="21"/>
                <w:highlight w:val="none"/>
              </w:rPr>
            </w:pPr>
          </w:p>
        </w:tc>
        <w:tc>
          <w:tcPr>
            <w:tcW w:w="2248" w:type="dxa"/>
            <w:vAlign w:val="top"/>
          </w:tcPr>
          <w:p w14:paraId="62FF6221">
            <w:pPr>
              <w:rPr>
                <w:rFonts w:ascii="Arial"/>
                <w:color w:val="auto"/>
                <w:sz w:val="21"/>
                <w:highlight w:val="none"/>
              </w:rPr>
            </w:pPr>
          </w:p>
        </w:tc>
        <w:tc>
          <w:tcPr>
            <w:tcW w:w="3543" w:type="dxa"/>
            <w:vAlign w:val="top"/>
          </w:tcPr>
          <w:p w14:paraId="27AFCC61">
            <w:pPr>
              <w:pStyle w:val="248"/>
              <w:spacing w:before="67" w:line="219" w:lineRule="auto"/>
              <w:ind w:left="109"/>
              <w:rPr>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bl>
    <w:p w14:paraId="4472F1E8">
      <w:pPr>
        <w:rPr>
          <w:rFonts w:ascii="Arial"/>
          <w:color w:val="auto"/>
          <w:sz w:val="21"/>
          <w:highlight w:val="none"/>
        </w:rPr>
      </w:pPr>
    </w:p>
    <w:p w14:paraId="43FF4569">
      <w:pPr>
        <w:rPr>
          <w:rFonts w:ascii="Arial" w:hAnsi="Arial" w:eastAsia="Arial" w:cs="Arial"/>
          <w:color w:val="auto"/>
          <w:sz w:val="21"/>
          <w:szCs w:val="21"/>
          <w:highlight w:val="none"/>
        </w:rPr>
        <w:sectPr>
          <w:pgSz w:w="11906" w:h="16838"/>
          <w:pgMar w:top="1431" w:right="644" w:bottom="0" w:left="667" w:header="0" w:footer="0" w:gutter="0"/>
          <w:cols w:space="720" w:num="1"/>
        </w:sectPr>
      </w:pPr>
    </w:p>
    <w:p w14:paraId="2B4B7974">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6044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vAlign w:val="top"/>
          </w:tcPr>
          <w:p w14:paraId="6B9759D3">
            <w:pPr>
              <w:pStyle w:val="248"/>
              <w:spacing w:before="68"/>
              <w:ind w:left="118"/>
              <w:rPr>
                <w:color w:val="auto"/>
                <w:highlight w:val="none"/>
              </w:rPr>
            </w:pPr>
            <w:r>
              <w:rPr>
                <w:color w:val="auto"/>
                <w:spacing w:val="-5"/>
                <w:highlight w:val="none"/>
              </w:rPr>
              <w:t>30</w:t>
            </w:r>
          </w:p>
        </w:tc>
        <w:tc>
          <w:tcPr>
            <w:tcW w:w="1542" w:type="dxa"/>
            <w:vAlign w:val="top"/>
          </w:tcPr>
          <w:p w14:paraId="71EB6A48">
            <w:pPr>
              <w:pStyle w:val="248"/>
              <w:spacing w:before="69" w:line="296" w:lineRule="auto"/>
              <w:ind w:left="109" w:right="106" w:hanging="7"/>
              <w:jc w:val="both"/>
              <w:rPr>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vAlign w:val="top"/>
          </w:tcPr>
          <w:p w14:paraId="0D2FD32E">
            <w:pPr>
              <w:rPr>
                <w:rFonts w:ascii="Arial"/>
                <w:color w:val="auto"/>
                <w:sz w:val="21"/>
                <w:highlight w:val="none"/>
              </w:rPr>
            </w:pPr>
          </w:p>
        </w:tc>
        <w:tc>
          <w:tcPr>
            <w:tcW w:w="2248" w:type="dxa"/>
            <w:vAlign w:val="top"/>
          </w:tcPr>
          <w:p w14:paraId="27BA282D">
            <w:pPr>
              <w:rPr>
                <w:rFonts w:ascii="Arial"/>
                <w:color w:val="auto"/>
                <w:sz w:val="21"/>
                <w:highlight w:val="none"/>
              </w:rPr>
            </w:pPr>
          </w:p>
        </w:tc>
        <w:tc>
          <w:tcPr>
            <w:tcW w:w="3543" w:type="dxa"/>
            <w:vAlign w:val="top"/>
          </w:tcPr>
          <w:p w14:paraId="5279D6C1">
            <w:pPr>
              <w:pStyle w:val="248"/>
              <w:spacing w:before="67" w:line="219" w:lineRule="auto"/>
              <w:ind w:left="109"/>
              <w:rPr>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6F09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5AE20200">
            <w:pPr>
              <w:pStyle w:val="248"/>
              <w:spacing w:before="64"/>
              <w:ind w:left="118"/>
              <w:rPr>
                <w:color w:val="auto"/>
                <w:highlight w:val="none"/>
              </w:rPr>
            </w:pPr>
            <w:r>
              <w:rPr>
                <w:color w:val="auto"/>
                <w:spacing w:val="-5"/>
                <w:highlight w:val="none"/>
              </w:rPr>
              <w:t>31</w:t>
            </w:r>
          </w:p>
        </w:tc>
        <w:tc>
          <w:tcPr>
            <w:tcW w:w="1542" w:type="dxa"/>
            <w:vAlign w:val="top"/>
          </w:tcPr>
          <w:p w14:paraId="18CEB351">
            <w:pPr>
              <w:pStyle w:val="248"/>
              <w:spacing w:before="64" w:line="296" w:lineRule="auto"/>
              <w:ind w:left="109" w:right="106" w:hanging="7"/>
              <w:jc w:val="both"/>
              <w:rPr>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vAlign w:val="top"/>
          </w:tcPr>
          <w:p w14:paraId="02C5799D">
            <w:pPr>
              <w:rPr>
                <w:rFonts w:ascii="Arial"/>
                <w:color w:val="auto"/>
                <w:sz w:val="21"/>
                <w:highlight w:val="none"/>
              </w:rPr>
            </w:pPr>
          </w:p>
        </w:tc>
        <w:tc>
          <w:tcPr>
            <w:tcW w:w="2248" w:type="dxa"/>
            <w:vAlign w:val="top"/>
          </w:tcPr>
          <w:p w14:paraId="24D7525A">
            <w:pPr>
              <w:rPr>
                <w:rFonts w:ascii="Arial"/>
                <w:color w:val="auto"/>
                <w:sz w:val="21"/>
                <w:highlight w:val="none"/>
              </w:rPr>
            </w:pPr>
          </w:p>
        </w:tc>
        <w:tc>
          <w:tcPr>
            <w:tcW w:w="3543" w:type="dxa"/>
            <w:vAlign w:val="top"/>
          </w:tcPr>
          <w:p w14:paraId="4B489F3D">
            <w:pPr>
              <w:pStyle w:val="248"/>
              <w:spacing w:before="63" w:line="219" w:lineRule="auto"/>
              <w:ind w:left="109"/>
              <w:rPr>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5460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vAlign w:val="top"/>
          </w:tcPr>
          <w:p w14:paraId="73D20A8E">
            <w:pPr>
              <w:pStyle w:val="248"/>
              <w:spacing w:before="64"/>
              <w:ind w:left="118"/>
              <w:rPr>
                <w:color w:val="auto"/>
                <w:highlight w:val="none"/>
              </w:rPr>
            </w:pPr>
            <w:r>
              <w:rPr>
                <w:color w:val="auto"/>
                <w:spacing w:val="-5"/>
                <w:highlight w:val="none"/>
              </w:rPr>
              <w:t>32</w:t>
            </w:r>
          </w:p>
        </w:tc>
        <w:tc>
          <w:tcPr>
            <w:tcW w:w="1542" w:type="dxa"/>
            <w:vMerge w:val="restart"/>
            <w:tcBorders>
              <w:bottom w:val="nil"/>
            </w:tcBorders>
            <w:vAlign w:val="top"/>
          </w:tcPr>
          <w:p w14:paraId="60247062">
            <w:pPr>
              <w:pStyle w:val="248"/>
              <w:spacing w:before="64" w:line="219" w:lineRule="auto"/>
              <w:ind w:left="102"/>
              <w:rPr>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vAlign w:val="top"/>
          </w:tcPr>
          <w:p w14:paraId="7EFC192F">
            <w:pPr>
              <w:pStyle w:val="248"/>
              <w:spacing w:before="64" w:line="219" w:lineRule="auto"/>
              <w:ind w:left="103"/>
              <w:rPr>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vAlign w:val="top"/>
          </w:tcPr>
          <w:p w14:paraId="5D0C019B">
            <w:pPr>
              <w:rPr>
                <w:rFonts w:ascii="Arial"/>
                <w:color w:val="auto"/>
                <w:sz w:val="21"/>
                <w:highlight w:val="none"/>
              </w:rPr>
            </w:pPr>
          </w:p>
        </w:tc>
        <w:tc>
          <w:tcPr>
            <w:tcW w:w="3543" w:type="dxa"/>
            <w:vAlign w:val="top"/>
          </w:tcPr>
          <w:p w14:paraId="02BA6B7E">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DDE0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A586619">
            <w:pPr>
              <w:rPr>
                <w:rFonts w:ascii="Arial"/>
                <w:color w:val="auto"/>
                <w:sz w:val="21"/>
                <w:highlight w:val="none"/>
              </w:rPr>
            </w:pPr>
          </w:p>
        </w:tc>
        <w:tc>
          <w:tcPr>
            <w:tcW w:w="1542" w:type="dxa"/>
            <w:vMerge w:val="continue"/>
            <w:tcBorders>
              <w:top w:val="nil"/>
              <w:bottom w:val="nil"/>
            </w:tcBorders>
            <w:vAlign w:val="top"/>
          </w:tcPr>
          <w:p w14:paraId="5C7CE7E4">
            <w:pPr>
              <w:rPr>
                <w:rFonts w:ascii="Arial"/>
                <w:color w:val="auto"/>
                <w:sz w:val="21"/>
                <w:highlight w:val="none"/>
              </w:rPr>
            </w:pPr>
          </w:p>
        </w:tc>
        <w:tc>
          <w:tcPr>
            <w:tcW w:w="2672" w:type="dxa"/>
            <w:vAlign w:val="top"/>
          </w:tcPr>
          <w:p w14:paraId="4C42CE39">
            <w:pPr>
              <w:pStyle w:val="248"/>
              <w:spacing w:before="65" w:line="219" w:lineRule="auto"/>
              <w:ind w:left="103"/>
              <w:rPr>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vAlign w:val="top"/>
          </w:tcPr>
          <w:p w14:paraId="730D3B7A">
            <w:pPr>
              <w:rPr>
                <w:rFonts w:ascii="Arial"/>
                <w:color w:val="auto"/>
                <w:sz w:val="21"/>
                <w:highlight w:val="none"/>
              </w:rPr>
            </w:pPr>
          </w:p>
        </w:tc>
        <w:tc>
          <w:tcPr>
            <w:tcW w:w="3543" w:type="dxa"/>
            <w:vAlign w:val="top"/>
          </w:tcPr>
          <w:p w14:paraId="4D87B76C">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ACD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2C31392A">
            <w:pPr>
              <w:rPr>
                <w:rFonts w:ascii="Arial"/>
                <w:color w:val="auto"/>
                <w:sz w:val="21"/>
                <w:highlight w:val="none"/>
              </w:rPr>
            </w:pPr>
          </w:p>
        </w:tc>
        <w:tc>
          <w:tcPr>
            <w:tcW w:w="1542" w:type="dxa"/>
            <w:vMerge w:val="continue"/>
            <w:tcBorders>
              <w:top w:val="nil"/>
              <w:bottom w:val="nil"/>
            </w:tcBorders>
            <w:vAlign w:val="top"/>
          </w:tcPr>
          <w:p w14:paraId="1F004592">
            <w:pPr>
              <w:rPr>
                <w:rFonts w:ascii="Arial"/>
                <w:color w:val="auto"/>
                <w:sz w:val="21"/>
                <w:highlight w:val="none"/>
              </w:rPr>
            </w:pPr>
          </w:p>
        </w:tc>
        <w:tc>
          <w:tcPr>
            <w:tcW w:w="2672" w:type="dxa"/>
            <w:vAlign w:val="top"/>
          </w:tcPr>
          <w:p w14:paraId="716CE41D">
            <w:pPr>
              <w:pStyle w:val="248"/>
              <w:spacing w:before="65" w:line="219" w:lineRule="auto"/>
              <w:ind w:left="103"/>
              <w:rPr>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vAlign w:val="top"/>
          </w:tcPr>
          <w:p w14:paraId="7DE9B386">
            <w:pPr>
              <w:rPr>
                <w:rFonts w:ascii="Arial"/>
                <w:color w:val="auto"/>
                <w:sz w:val="21"/>
                <w:highlight w:val="none"/>
              </w:rPr>
            </w:pPr>
          </w:p>
        </w:tc>
        <w:tc>
          <w:tcPr>
            <w:tcW w:w="3543" w:type="dxa"/>
            <w:vAlign w:val="top"/>
          </w:tcPr>
          <w:p w14:paraId="51394242">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0099C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25773387">
            <w:pPr>
              <w:rPr>
                <w:rFonts w:ascii="Arial"/>
                <w:color w:val="auto"/>
                <w:sz w:val="21"/>
                <w:highlight w:val="none"/>
              </w:rPr>
            </w:pPr>
          </w:p>
        </w:tc>
        <w:tc>
          <w:tcPr>
            <w:tcW w:w="1542" w:type="dxa"/>
            <w:vMerge w:val="continue"/>
            <w:tcBorders>
              <w:top w:val="nil"/>
              <w:bottom w:val="nil"/>
            </w:tcBorders>
            <w:vAlign w:val="top"/>
          </w:tcPr>
          <w:p w14:paraId="11B1FCC9">
            <w:pPr>
              <w:rPr>
                <w:rFonts w:ascii="Arial"/>
                <w:color w:val="auto"/>
                <w:sz w:val="21"/>
                <w:highlight w:val="none"/>
              </w:rPr>
            </w:pPr>
          </w:p>
        </w:tc>
        <w:tc>
          <w:tcPr>
            <w:tcW w:w="2672" w:type="dxa"/>
            <w:vAlign w:val="top"/>
          </w:tcPr>
          <w:p w14:paraId="2DAAB28E">
            <w:pPr>
              <w:pStyle w:val="248"/>
              <w:spacing w:before="68" w:line="219" w:lineRule="auto"/>
              <w:ind w:left="103"/>
              <w:rPr>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vAlign w:val="top"/>
          </w:tcPr>
          <w:p w14:paraId="5AA641E9">
            <w:pPr>
              <w:rPr>
                <w:rFonts w:ascii="Arial"/>
                <w:color w:val="auto"/>
                <w:sz w:val="21"/>
                <w:highlight w:val="none"/>
              </w:rPr>
            </w:pPr>
          </w:p>
        </w:tc>
        <w:tc>
          <w:tcPr>
            <w:tcW w:w="3543" w:type="dxa"/>
            <w:vAlign w:val="top"/>
          </w:tcPr>
          <w:p w14:paraId="23D010C9">
            <w:pPr>
              <w:pStyle w:val="248"/>
              <w:spacing w:before="67"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A883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D2ADE76">
            <w:pPr>
              <w:rPr>
                <w:rFonts w:ascii="Arial"/>
                <w:color w:val="auto"/>
                <w:sz w:val="21"/>
                <w:highlight w:val="none"/>
              </w:rPr>
            </w:pPr>
          </w:p>
        </w:tc>
        <w:tc>
          <w:tcPr>
            <w:tcW w:w="1542" w:type="dxa"/>
            <w:vMerge w:val="continue"/>
            <w:tcBorders>
              <w:top w:val="nil"/>
            </w:tcBorders>
            <w:vAlign w:val="top"/>
          </w:tcPr>
          <w:p w14:paraId="3995B404">
            <w:pPr>
              <w:rPr>
                <w:rFonts w:ascii="Arial"/>
                <w:color w:val="auto"/>
                <w:sz w:val="21"/>
                <w:highlight w:val="none"/>
              </w:rPr>
            </w:pPr>
          </w:p>
        </w:tc>
        <w:tc>
          <w:tcPr>
            <w:tcW w:w="2672" w:type="dxa"/>
            <w:vAlign w:val="top"/>
          </w:tcPr>
          <w:p w14:paraId="7440858E">
            <w:pPr>
              <w:pStyle w:val="248"/>
              <w:spacing w:before="65" w:line="219" w:lineRule="auto"/>
              <w:ind w:left="103"/>
              <w:rPr>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vAlign w:val="top"/>
          </w:tcPr>
          <w:p w14:paraId="56B92C13">
            <w:pPr>
              <w:rPr>
                <w:rFonts w:ascii="Arial"/>
                <w:color w:val="auto"/>
                <w:sz w:val="21"/>
                <w:highlight w:val="none"/>
              </w:rPr>
            </w:pPr>
          </w:p>
        </w:tc>
        <w:tc>
          <w:tcPr>
            <w:tcW w:w="3543" w:type="dxa"/>
            <w:vAlign w:val="top"/>
          </w:tcPr>
          <w:p w14:paraId="7BFF304A">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C665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vAlign w:val="top"/>
          </w:tcPr>
          <w:p w14:paraId="239BEB6C">
            <w:pPr>
              <w:pStyle w:val="248"/>
              <w:spacing w:before="65"/>
              <w:ind w:left="118"/>
              <w:rPr>
                <w:color w:val="auto"/>
                <w:highlight w:val="none"/>
              </w:rPr>
            </w:pPr>
            <w:r>
              <w:rPr>
                <w:color w:val="auto"/>
                <w:spacing w:val="-5"/>
                <w:highlight w:val="none"/>
              </w:rPr>
              <w:t>33</w:t>
            </w:r>
          </w:p>
        </w:tc>
        <w:tc>
          <w:tcPr>
            <w:tcW w:w="1542" w:type="dxa"/>
            <w:vMerge w:val="restart"/>
            <w:tcBorders>
              <w:bottom w:val="nil"/>
            </w:tcBorders>
            <w:vAlign w:val="top"/>
          </w:tcPr>
          <w:p w14:paraId="5FB21499">
            <w:pPr>
              <w:pStyle w:val="248"/>
              <w:spacing w:before="64" w:line="321" w:lineRule="auto"/>
              <w:ind w:left="109" w:right="108" w:hanging="7"/>
              <w:rPr>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highlight w:val="none"/>
              </w:rPr>
              <w:t xml:space="preserve"> </w:t>
            </w:r>
            <w:r>
              <w:rPr>
                <w:color w:val="auto"/>
                <w:spacing w:val="-2"/>
                <w:highlight w:val="none"/>
              </w:rPr>
              <w:t>工材,相关板材</w:t>
            </w:r>
          </w:p>
        </w:tc>
        <w:tc>
          <w:tcPr>
            <w:tcW w:w="2672" w:type="dxa"/>
            <w:vAlign w:val="top"/>
          </w:tcPr>
          <w:p w14:paraId="17ED21B3">
            <w:pPr>
              <w:pStyle w:val="248"/>
              <w:spacing w:before="65" w:line="219" w:lineRule="auto"/>
              <w:ind w:left="103"/>
              <w:rPr>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vAlign w:val="top"/>
          </w:tcPr>
          <w:p w14:paraId="671F7172">
            <w:pPr>
              <w:rPr>
                <w:rFonts w:ascii="Arial"/>
                <w:color w:val="auto"/>
                <w:sz w:val="21"/>
                <w:highlight w:val="none"/>
              </w:rPr>
            </w:pPr>
          </w:p>
        </w:tc>
        <w:tc>
          <w:tcPr>
            <w:tcW w:w="3543" w:type="dxa"/>
            <w:vAlign w:val="top"/>
          </w:tcPr>
          <w:p w14:paraId="742D8B9D">
            <w:pPr>
              <w:pStyle w:val="248"/>
              <w:spacing w:before="64"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2C82F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137CE8B9">
            <w:pPr>
              <w:rPr>
                <w:rFonts w:ascii="Arial"/>
                <w:color w:val="auto"/>
                <w:sz w:val="21"/>
                <w:highlight w:val="none"/>
              </w:rPr>
            </w:pPr>
          </w:p>
        </w:tc>
        <w:tc>
          <w:tcPr>
            <w:tcW w:w="1542" w:type="dxa"/>
            <w:vMerge w:val="continue"/>
            <w:tcBorders>
              <w:top w:val="nil"/>
            </w:tcBorders>
            <w:vAlign w:val="top"/>
          </w:tcPr>
          <w:p w14:paraId="67BF376E">
            <w:pPr>
              <w:rPr>
                <w:rFonts w:ascii="Arial"/>
                <w:color w:val="auto"/>
                <w:sz w:val="21"/>
                <w:highlight w:val="none"/>
              </w:rPr>
            </w:pPr>
          </w:p>
        </w:tc>
        <w:tc>
          <w:tcPr>
            <w:tcW w:w="2672" w:type="dxa"/>
            <w:vAlign w:val="top"/>
          </w:tcPr>
          <w:p w14:paraId="6ECA7361">
            <w:pPr>
              <w:pStyle w:val="248"/>
              <w:spacing w:before="67" w:line="284" w:lineRule="auto"/>
              <w:ind w:left="113" w:right="107" w:hanging="10"/>
              <w:rPr>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vAlign w:val="top"/>
          </w:tcPr>
          <w:p w14:paraId="6E863972">
            <w:pPr>
              <w:rPr>
                <w:rFonts w:ascii="Arial"/>
                <w:color w:val="auto"/>
                <w:sz w:val="21"/>
                <w:highlight w:val="none"/>
              </w:rPr>
            </w:pPr>
          </w:p>
        </w:tc>
        <w:tc>
          <w:tcPr>
            <w:tcW w:w="3543" w:type="dxa"/>
            <w:vAlign w:val="top"/>
          </w:tcPr>
          <w:p w14:paraId="5CD24ADF">
            <w:pPr>
              <w:pStyle w:val="248"/>
              <w:spacing w:before="67"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33A9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1B0908CB">
            <w:pPr>
              <w:pStyle w:val="248"/>
              <w:spacing w:before="65"/>
              <w:ind w:left="118"/>
              <w:rPr>
                <w:color w:val="auto"/>
                <w:highlight w:val="none"/>
              </w:rPr>
            </w:pPr>
            <w:r>
              <w:rPr>
                <w:color w:val="auto"/>
                <w:spacing w:val="-5"/>
                <w:highlight w:val="none"/>
              </w:rPr>
              <w:t>34</w:t>
            </w:r>
          </w:p>
        </w:tc>
        <w:tc>
          <w:tcPr>
            <w:tcW w:w="1542" w:type="dxa"/>
            <w:vAlign w:val="top"/>
          </w:tcPr>
          <w:p w14:paraId="74C8304D">
            <w:pPr>
              <w:pStyle w:val="248"/>
              <w:spacing w:before="66" w:line="283" w:lineRule="auto"/>
              <w:ind w:left="107" w:right="108" w:hanging="5"/>
              <w:rPr>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highlight w:val="none"/>
              </w:rPr>
              <w:t xml:space="preserve"> </w:t>
            </w:r>
            <w:r>
              <w:rPr>
                <w:color w:val="auto"/>
                <w:spacing w:val="-2"/>
                <w:highlight w:val="none"/>
              </w:rPr>
              <w:t>料及水泥</w:t>
            </w:r>
          </w:p>
        </w:tc>
        <w:tc>
          <w:tcPr>
            <w:tcW w:w="2672" w:type="dxa"/>
            <w:vAlign w:val="top"/>
          </w:tcPr>
          <w:p w14:paraId="3314F35F">
            <w:pPr>
              <w:pStyle w:val="248"/>
              <w:spacing w:before="65" w:line="220" w:lineRule="auto"/>
              <w:ind w:left="103"/>
              <w:rPr>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vAlign w:val="top"/>
          </w:tcPr>
          <w:p w14:paraId="25356875">
            <w:pPr>
              <w:rPr>
                <w:rFonts w:ascii="Arial"/>
                <w:color w:val="auto"/>
                <w:sz w:val="21"/>
                <w:highlight w:val="none"/>
              </w:rPr>
            </w:pPr>
          </w:p>
        </w:tc>
        <w:tc>
          <w:tcPr>
            <w:tcW w:w="3543" w:type="dxa"/>
            <w:vAlign w:val="top"/>
          </w:tcPr>
          <w:p w14:paraId="58FEE2FB">
            <w:pPr>
              <w:pStyle w:val="248"/>
              <w:spacing w:before="64" w:line="219" w:lineRule="auto"/>
              <w:ind w:left="109"/>
              <w:rPr>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47BB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6DAA5275">
            <w:pPr>
              <w:pStyle w:val="248"/>
              <w:spacing w:before="66"/>
              <w:ind w:left="118"/>
              <w:rPr>
                <w:color w:val="auto"/>
                <w:highlight w:val="none"/>
              </w:rPr>
            </w:pPr>
            <w:r>
              <w:rPr>
                <w:color w:val="auto"/>
                <w:spacing w:val="-5"/>
                <w:highlight w:val="none"/>
              </w:rPr>
              <w:t>35</w:t>
            </w:r>
          </w:p>
        </w:tc>
        <w:tc>
          <w:tcPr>
            <w:tcW w:w="1542" w:type="dxa"/>
            <w:vAlign w:val="top"/>
          </w:tcPr>
          <w:p w14:paraId="1C589A6B">
            <w:pPr>
              <w:pStyle w:val="248"/>
              <w:spacing w:before="66" w:line="283" w:lineRule="auto"/>
              <w:ind w:left="106" w:right="108" w:hanging="4"/>
              <w:rPr>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highlight w:val="none"/>
              </w:rPr>
              <w:t xml:space="preserve"> </w:t>
            </w:r>
            <w:r>
              <w:rPr>
                <w:color w:val="auto"/>
                <w:spacing w:val="-2"/>
                <w:highlight w:val="none"/>
              </w:rPr>
              <w:t>凝土制品</w:t>
            </w:r>
          </w:p>
        </w:tc>
        <w:tc>
          <w:tcPr>
            <w:tcW w:w="2672" w:type="dxa"/>
            <w:vAlign w:val="top"/>
          </w:tcPr>
          <w:p w14:paraId="08A33F38">
            <w:pPr>
              <w:pStyle w:val="248"/>
              <w:spacing w:before="65" w:line="221" w:lineRule="auto"/>
              <w:ind w:left="103"/>
              <w:rPr>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vAlign w:val="top"/>
          </w:tcPr>
          <w:p w14:paraId="0B265018">
            <w:pPr>
              <w:rPr>
                <w:rFonts w:ascii="Arial"/>
                <w:color w:val="auto"/>
                <w:sz w:val="21"/>
                <w:highlight w:val="none"/>
              </w:rPr>
            </w:pPr>
          </w:p>
        </w:tc>
        <w:tc>
          <w:tcPr>
            <w:tcW w:w="3543" w:type="dxa"/>
            <w:vAlign w:val="top"/>
          </w:tcPr>
          <w:p w14:paraId="0063C434">
            <w:pPr>
              <w:pStyle w:val="248"/>
              <w:spacing w:before="65" w:line="219" w:lineRule="auto"/>
              <w:ind w:left="109"/>
              <w:rPr>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5A97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B83C9DB">
            <w:pPr>
              <w:pStyle w:val="248"/>
              <w:spacing w:before="66"/>
              <w:ind w:left="118"/>
              <w:rPr>
                <w:color w:val="auto"/>
                <w:highlight w:val="none"/>
              </w:rPr>
            </w:pPr>
            <w:r>
              <w:rPr>
                <w:color w:val="auto"/>
                <w:spacing w:val="-5"/>
                <w:highlight w:val="none"/>
              </w:rPr>
              <w:t>36</w:t>
            </w:r>
          </w:p>
        </w:tc>
        <w:tc>
          <w:tcPr>
            <w:tcW w:w="1542" w:type="dxa"/>
            <w:vMerge w:val="restart"/>
            <w:tcBorders>
              <w:bottom w:val="nil"/>
            </w:tcBorders>
            <w:vAlign w:val="top"/>
          </w:tcPr>
          <w:p w14:paraId="6BBBD180">
            <w:pPr>
              <w:pStyle w:val="248"/>
              <w:spacing w:before="66" w:line="322" w:lineRule="auto"/>
              <w:ind w:left="111" w:right="108" w:hanging="9"/>
              <w:rPr>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highlight w:val="none"/>
              </w:rPr>
              <w:t xml:space="preserve"> </w:t>
            </w:r>
            <w:r>
              <w:rPr>
                <w:color w:val="auto"/>
                <w:spacing w:val="-2"/>
                <w:highlight w:val="none"/>
              </w:rPr>
              <w:t>强水泥制品</w:t>
            </w:r>
          </w:p>
        </w:tc>
        <w:tc>
          <w:tcPr>
            <w:tcW w:w="2672" w:type="dxa"/>
            <w:vAlign w:val="top"/>
          </w:tcPr>
          <w:p w14:paraId="603F2296">
            <w:pPr>
              <w:pStyle w:val="248"/>
              <w:spacing w:before="66" w:line="219" w:lineRule="auto"/>
              <w:ind w:left="103"/>
              <w:rPr>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vAlign w:val="top"/>
          </w:tcPr>
          <w:p w14:paraId="54E76511">
            <w:pPr>
              <w:rPr>
                <w:rFonts w:ascii="Arial"/>
                <w:color w:val="auto"/>
                <w:sz w:val="21"/>
                <w:highlight w:val="none"/>
              </w:rPr>
            </w:pPr>
          </w:p>
        </w:tc>
        <w:tc>
          <w:tcPr>
            <w:tcW w:w="3543" w:type="dxa"/>
            <w:vAlign w:val="top"/>
          </w:tcPr>
          <w:p w14:paraId="7DB76559">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4747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1C250FD4">
            <w:pPr>
              <w:rPr>
                <w:rFonts w:ascii="Arial"/>
                <w:color w:val="auto"/>
                <w:sz w:val="21"/>
                <w:highlight w:val="none"/>
              </w:rPr>
            </w:pPr>
          </w:p>
        </w:tc>
        <w:tc>
          <w:tcPr>
            <w:tcW w:w="1542" w:type="dxa"/>
            <w:vMerge w:val="continue"/>
            <w:tcBorders>
              <w:top w:val="nil"/>
            </w:tcBorders>
            <w:vAlign w:val="top"/>
          </w:tcPr>
          <w:p w14:paraId="2E8EFD2B">
            <w:pPr>
              <w:rPr>
                <w:rFonts w:ascii="Arial"/>
                <w:color w:val="auto"/>
                <w:sz w:val="21"/>
                <w:highlight w:val="none"/>
              </w:rPr>
            </w:pPr>
          </w:p>
        </w:tc>
        <w:tc>
          <w:tcPr>
            <w:tcW w:w="2672" w:type="dxa"/>
            <w:vAlign w:val="top"/>
          </w:tcPr>
          <w:p w14:paraId="0C6EE681">
            <w:pPr>
              <w:pStyle w:val="248"/>
              <w:spacing w:before="66" w:line="220" w:lineRule="auto"/>
              <w:ind w:left="103"/>
              <w:rPr>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vAlign w:val="top"/>
          </w:tcPr>
          <w:p w14:paraId="365F4AAD">
            <w:pPr>
              <w:rPr>
                <w:rFonts w:ascii="Arial"/>
                <w:color w:val="auto"/>
                <w:sz w:val="21"/>
                <w:highlight w:val="none"/>
              </w:rPr>
            </w:pPr>
          </w:p>
        </w:tc>
        <w:tc>
          <w:tcPr>
            <w:tcW w:w="3543" w:type="dxa"/>
            <w:vAlign w:val="top"/>
          </w:tcPr>
          <w:p w14:paraId="66573A6B">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5D83D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334D0AE4">
            <w:pPr>
              <w:pStyle w:val="248"/>
              <w:spacing w:before="67"/>
              <w:ind w:left="118"/>
              <w:rPr>
                <w:color w:val="auto"/>
                <w:highlight w:val="none"/>
              </w:rPr>
            </w:pPr>
            <w:r>
              <w:rPr>
                <w:color w:val="auto"/>
                <w:spacing w:val="-5"/>
                <w:highlight w:val="none"/>
              </w:rPr>
              <w:t>37</w:t>
            </w:r>
          </w:p>
        </w:tc>
        <w:tc>
          <w:tcPr>
            <w:tcW w:w="1542" w:type="dxa"/>
            <w:vMerge w:val="restart"/>
            <w:tcBorders>
              <w:bottom w:val="nil"/>
            </w:tcBorders>
            <w:vAlign w:val="top"/>
          </w:tcPr>
          <w:p w14:paraId="50FFF942">
            <w:pPr>
              <w:pStyle w:val="248"/>
              <w:spacing w:before="66" w:line="322" w:lineRule="auto"/>
              <w:ind w:left="109" w:right="108" w:hanging="7"/>
              <w:rPr>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highlight w:val="none"/>
              </w:rPr>
              <w:t xml:space="preserve"> </w:t>
            </w:r>
            <w:r>
              <w:rPr>
                <w:color w:val="auto"/>
                <w:spacing w:val="-2"/>
                <w:highlight w:val="none"/>
              </w:rPr>
              <w:t>筑材料及制品</w:t>
            </w:r>
          </w:p>
        </w:tc>
        <w:tc>
          <w:tcPr>
            <w:tcW w:w="2672" w:type="dxa"/>
            <w:vAlign w:val="top"/>
          </w:tcPr>
          <w:p w14:paraId="22715C66">
            <w:pPr>
              <w:pStyle w:val="248"/>
              <w:spacing w:before="67" w:line="219" w:lineRule="auto"/>
              <w:ind w:left="103"/>
              <w:rPr>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vAlign w:val="top"/>
          </w:tcPr>
          <w:p w14:paraId="2011796B">
            <w:pPr>
              <w:rPr>
                <w:rFonts w:ascii="Arial"/>
                <w:color w:val="auto"/>
                <w:sz w:val="21"/>
                <w:highlight w:val="none"/>
              </w:rPr>
            </w:pPr>
          </w:p>
        </w:tc>
        <w:tc>
          <w:tcPr>
            <w:tcW w:w="3543" w:type="dxa"/>
            <w:vAlign w:val="top"/>
          </w:tcPr>
          <w:p w14:paraId="0F10D724">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B2F0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vAlign w:val="top"/>
          </w:tcPr>
          <w:p w14:paraId="042470B2">
            <w:pPr>
              <w:rPr>
                <w:rFonts w:ascii="Arial"/>
                <w:color w:val="auto"/>
                <w:sz w:val="21"/>
                <w:highlight w:val="none"/>
              </w:rPr>
            </w:pPr>
          </w:p>
        </w:tc>
        <w:tc>
          <w:tcPr>
            <w:tcW w:w="1542" w:type="dxa"/>
            <w:vMerge w:val="continue"/>
            <w:tcBorders>
              <w:top w:val="nil"/>
            </w:tcBorders>
            <w:vAlign w:val="top"/>
          </w:tcPr>
          <w:p w14:paraId="003F1632">
            <w:pPr>
              <w:rPr>
                <w:rFonts w:ascii="Arial"/>
                <w:color w:val="auto"/>
                <w:sz w:val="21"/>
                <w:highlight w:val="none"/>
              </w:rPr>
            </w:pPr>
          </w:p>
        </w:tc>
        <w:tc>
          <w:tcPr>
            <w:tcW w:w="2672" w:type="dxa"/>
            <w:vAlign w:val="top"/>
          </w:tcPr>
          <w:p w14:paraId="79DB65BF">
            <w:pPr>
              <w:pStyle w:val="248"/>
              <w:spacing w:before="66" w:line="219" w:lineRule="auto"/>
              <w:ind w:left="103"/>
              <w:rPr>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vAlign w:val="top"/>
          </w:tcPr>
          <w:p w14:paraId="44A2CFD1">
            <w:pPr>
              <w:rPr>
                <w:rFonts w:ascii="Arial"/>
                <w:color w:val="auto"/>
                <w:sz w:val="21"/>
                <w:highlight w:val="none"/>
              </w:rPr>
            </w:pPr>
          </w:p>
        </w:tc>
        <w:tc>
          <w:tcPr>
            <w:tcW w:w="3543" w:type="dxa"/>
            <w:vAlign w:val="top"/>
          </w:tcPr>
          <w:p w14:paraId="5CC71AD9">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1967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284EA9F">
            <w:pPr>
              <w:pStyle w:val="248"/>
              <w:spacing w:before="67"/>
              <w:ind w:left="118"/>
              <w:rPr>
                <w:color w:val="auto"/>
                <w:highlight w:val="none"/>
              </w:rPr>
            </w:pPr>
            <w:r>
              <w:rPr>
                <w:color w:val="auto"/>
                <w:spacing w:val="-5"/>
                <w:highlight w:val="none"/>
              </w:rPr>
              <w:t>38</w:t>
            </w:r>
          </w:p>
        </w:tc>
        <w:tc>
          <w:tcPr>
            <w:tcW w:w="1542" w:type="dxa"/>
            <w:vMerge w:val="restart"/>
            <w:tcBorders>
              <w:bottom w:val="nil"/>
            </w:tcBorders>
            <w:vAlign w:val="top"/>
          </w:tcPr>
          <w:p w14:paraId="2DF50A0C">
            <w:pPr>
              <w:pStyle w:val="248"/>
              <w:spacing w:before="67" w:line="322" w:lineRule="auto"/>
              <w:ind w:left="111" w:right="108" w:hanging="9"/>
              <w:rPr>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vAlign w:val="top"/>
          </w:tcPr>
          <w:p w14:paraId="248CE171">
            <w:pPr>
              <w:pStyle w:val="248"/>
              <w:spacing w:before="66" w:line="221" w:lineRule="auto"/>
              <w:ind w:left="103"/>
              <w:rPr>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vAlign w:val="top"/>
          </w:tcPr>
          <w:p w14:paraId="2BD9339A">
            <w:pPr>
              <w:rPr>
                <w:rFonts w:ascii="Arial"/>
                <w:color w:val="auto"/>
                <w:sz w:val="21"/>
                <w:highlight w:val="none"/>
              </w:rPr>
            </w:pPr>
          </w:p>
        </w:tc>
        <w:tc>
          <w:tcPr>
            <w:tcW w:w="3543" w:type="dxa"/>
            <w:vAlign w:val="top"/>
          </w:tcPr>
          <w:p w14:paraId="46A0765F">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5186D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D46BD4">
            <w:pPr>
              <w:rPr>
                <w:rFonts w:ascii="Arial"/>
                <w:color w:val="auto"/>
                <w:sz w:val="21"/>
                <w:highlight w:val="none"/>
              </w:rPr>
            </w:pPr>
          </w:p>
        </w:tc>
        <w:tc>
          <w:tcPr>
            <w:tcW w:w="1542" w:type="dxa"/>
            <w:vMerge w:val="continue"/>
            <w:tcBorders>
              <w:top w:val="nil"/>
              <w:bottom w:val="nil"/>
            </w:tcBorders>
            <w:vAlign w:val="top"/>
          </w:tcPr>
          <w:p w14:paraId="66FC5862">
            <w:pPr>
              <w:rPr>
                <w:rFonts w:ascii="Arial"/>
                <w:color w:val="auto"/>
                <w:sz w:val="21"/>
                <w:highlight w:val="none"/>
              </w:rPr>
            </w:pPr>
          </w:p>
        </w:tc>
        <w:tc>
          <w:tcPr>
            <w:tcW w:w="2672" w:type="dxa"/>
            <w:vAlign w:val="top"/>
          </w:tcPr>
          <w:p w14:paraId="085CDCEB">
            <w:pPr>
              <w:pStyle w:val="248"/>
              <w:spacing w:before="66" w:line="221" w:lineRule="auto"/>
              <w:ind w:left="103"/>
              <w:rPr>
                <w:color w:val="auto"/>
                <w:highlight w:val="none"/>
              </w:rPr>
            </w:pPr>
            <w:r>
              <w:rPr>
                <w:color w:val="auto"/>
                <w:highlight w:val="none"/>
              </w:rPr>
              <w:t>A10030704 炻质砖</w:t>
            </w:r>
          </w:p>
        </w:tc>
        <w:tc>
          <w:tcPr>
            <w:tcW w:w="2248" w:type="dxa"/>
            <w:vAlign w:val="top"/>
          </w:tcPr>
          <w:p w14:paraId="54861799">
            <w:pPr>
              <w:rPr>
                <w:rFonts w:ascii="Arial"/>
                <w:color w:val="auto"/>
                <w:sz w:val="21"/>
                <w:highlight w:val="none"/>
              </w:rPr>
            </w:pPr>
          </w:p>
        </w:tc>
        <w:tc>
          <w:tcPr>
            <w:tcW w:w="3543" w:type="dxa"/>
            <w:vAlign w:val="top"/>
          </w:tcPr>
          <w:p w14:paraId="01408A8A">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DB39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7419E00">
            <w:pPr>
              <w:rPr>
                <w:rFonts w:ascii="Arial"/>
                <w:color w:val="auto"/>
                <w:sz w:val="21"/>
                <w:highlight w:val="none"/>
              </w:rPr>
            </w:pPr>
          </w:p>
        </w:tc>
        <w:tc>
          <w:tcPr>
            <w:tcW w:w="1542" w:type="dxa"/>
            <w:vMerge w:val="continue"/>
            <w:tcBorders>
              <w:top w:val="nil"/>
              <w:bottom w:val="nil"/>
            </w:tcBorders>
            <w:vAlign w:val="top"/>
          </w:tcPr>
          <w:p w14:paraId="215212B0">
            <w:pPr>
              <w:rPr>
                <w:rFonts w:ascii="Arial"/>
                <w:color w:val="auto"/>
                <w:sz w:val="21"/>
                <w:highlight w:val="none"/>
              </w:rPr>
            </w:pPr>
          </w:p>
        </w:tc>
        <w:tc>
          <w:tcPr>
            <w:tcW w:w="2672" w:type="dxa"/>
            <w:vAlign w:val="top"/>
          </w:tcPr>
          <w:p w14:paraId="63714F5F">
            <w:pPr>
              <w:pStyle w:val="248"/>
              <w:spacing w:before="66" w:line="221" w:lineRule="auto"/>
              <w:ind w:left="103"/>
              <w:rPr>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vAlign w:val="top"/>
          </w:tcPr>
          <w:p w14:paraId="0FCA5C7A">
            <w:pPr>
              <w:rPr>
                <w:rFonts w:ascii="Arial"/>
                <w:color w:val="auto"/>
                <w:sz w:val="21"/>
                <w:highlight w:val="none"/>
              </w:rPr>
            </w:pPr>
          </w:p>
        </w:tc>
        <w:tc>
          <w:tcPr>
            <w:tcW w:w="3543" w:type="dxa"/>
            <w:vAlign w:val="top"/>
          </w:tcPr>
          <w:p w14:paraId="0FDD9E7E">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1A8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6F05D91F">
            <w:pPr>
              <w:rPr>
                <w:rFonts w:ascii="Arial"/>
                <w:color w:val="auto"/>
                <w:sz w:val="21"/>
                <w:highlight w:val="none"/>
              </w:rPr>
            </w:pPr>
          </w:p>
        </w:tc>
        <w:tc>
          <w:tcPr>
            <w:tcW w:w="1542" w:type="dxa"/>
            <w:vMerge w:val="continue"/>
            <w:tcBorders>
              <w:top w:val="nil"/>
            </w:tcBorders>
            <w:vAlign w:val="top"/>
          </w:tcPr>
          <w:p w14:paraId="0E276C34">
            <w:pPr>
              <w:rPr>
                <w:rFonts w:ascii="Arial"/>
                <w:color w:val="auto"/>
                <w:sz w:val="21"/>
                <w:highlight w:val="none"/>
              </w:rPr>
            </w:pPr>
          </w:p>
        </w:tc>
        <w:tc>
          <w:tcPr>
            <w:tcW w:w="2672" w:type="dxa"/>
            <w:vAlign w:val="top"/>
          </w:tcPr>
          <w:p w14:paraId="655ECBF3">
            <w:pPr>
              <w:pStyle w:val="248"/>
              <w:spacing w:before="66" w:line="221" w:lineRule="auto"/>
              <w:ind w:left="103"/>
              <w:rPr>
                <w:color w:val="auto"/>
                <w:highlight w:val="none"/>
              </w:rPr>
            </w:pPr>
            <w:r>
              <w:rPr>
                <w:color w:val="auto"/>
                <w:highlight w:val="none"/>
              </w:rPr>
              <w:t>A10030799 其他建筑陶瓷制品</w:t>
            </w:r>
          </w:p>
        </w:tc>
        <w:tc>
          <w:tcPr>
            <w:tcW w:w="2248" w:type="dxa"/>
            <w:vAlign w:val="top"/>
          </w:tcPr>
          <w:p w14:paraId="2ED97174">
            <w:pPr>
              <w:rPr>
                <w:rFonts w:ascii="Arial"/>
                <w:color w:val="auto"/>
                <w:sz w:val="21"/>
                <w:highlight w:val="none"/>
              </w:rPr>
            </w:pPr>
          </w:p>
        </w:tc>
        <w:tc>
          <w:tcPr>
            <w:tcW w:w="3543" w:type="dxa"/>
            <w:vAlign w:val="top"/>
          </w:tcPr>
          <w:p w14:paraId="7651FF70">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42316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6779F663">
            <w:pPr>
              <w:pStyle w:val="248"/>
              <w:spacing w:before="66"/>
              <w:ind w:left="118"/>
              <w:rPr>
                <w:color w:val="auto"/>
                <w:highlight w:val="none"/>
              </w:rPr>
            </w:pPr>
            <w:r>
              <w:rPr>
                <w:color w:val="auto"/>
                <w:spacing w:val="-5"/>
                <w:highlight w:val="none"/>
              </w:rPr>
              <w:t>39</w:t>
            </w:r>
          </w:p>
        </w:tc>
        <w:tc>
          <w:tcPr>
            <w:tcW w:w="1542" w:type="dxa"/>
            <w:vMerge w:val="restart"/>
            <w:tcBorders>
              <w:bottom w:val="nil"/>
            </w:tcBorders>
            <w:vAlign w:val="top"/>
          </w:tcPr>
          <w:p w14:paraId="086D36DF">
            <w:pPr>
              <w:pStyle w:val="248"/>
              <w:spacing w:before="65" w:line="322" w:lineRule="auto"/>
              <w:ind w:left="109" w:right="108" w:hanging="7"/>
              <w:rPr>
                <w:color w:val="auto"/>
                <w:highlight w:val="none"/>
              </w:rPr>
            </w:pPr>
            <w:r>
              <w:rPr>
                <w:color w:val="auto"/>
                <w:spacing w:val="-1"/>
                <w:highlight w:val="none"/>
              </w:rPr>
              <w:t>A100309</w:t>
            </w:r>
            <w:r>
              <w:rPr>
                <w:color w:val="auto"/>
                <w:spacing w:val="34"/>
                <w:w w:val="101"/>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vAlign w:val="top"/>
          </w:tcPr>
          <w:p w14:paraId="0DAE9208">
            <w:pPr>
              <w:pStyle w:val="248"/>
              <w:spacing w:before="66" w:line="283" w:lineRule="auto"/>
              <w:ind w:left="110" w:right="107" w:hanging="7"/>
              <w:rPr>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vAlign w:val="top"/>
          </w:tcPr>
          <w:p w14:paraId="257EA4D1">
            <w:pPr>
              <w:rPr>
                <w:rFonts w:ascii="Arial"/>
                <w:color w:val="auto"/>
                <w:sz w:val="21"/>
                <w:highlight w:val="none"/>
              </w:rPr>
            </w:pPr>
          </w:p>
        </w:tc>
        <w:tc>
          <w:tcPr>
            <w:tcW w:w="3543" w:type="dxa"/>
            <w:vAlign w:val="top"/>
          </w:tcPr>
          <w:p w14:paraId="0D8F955B">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DF3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52970568">
            <w:pPr>
              <w:rPr>
                <w:rFonts w:ascii="Arial"/>
                <w:color w:val="auto"/>
                <w:sz w:val="21"/>
                <w:highlight w:val="none"/>
              </w:rPr>
            </w:pPr>
          </w:p>
        </w:tc>
        <w:tc>
          <w:tcPr>
            <w:tcW w:w="1542" w:type="dxa"/>
            <w:vMerge w:val="continue"/>
            <w:tcBorders>
              <w:top w:val="nil"/>
              <w:bottom w:val="nil"/>
            </w:tcBorders>
            <w:vAlign w:val="top"/>
          </w:tcPr>
          <w:p w14:paraId="2917E20D">
            <w:pPr>
              <w:rPr>
                <w:rFonts w:ascii="Arial"/>
                <w:color w:val="auto"/>
                <w:sz w:val="21"/>
                <w:highlight w:val="none"/>
              </w:rPr>
            </w:pPr>
          </w:p>
        </w:tc>
        <w:tc>
          <w:tcPr>
            <w:tcW w:w="2672" w:type="dxa"/>
            <w:vAlign w:val="top"/>
          </w:tcPr>
          <w:p w14:paraId="302F306F">
            <w:pPr>
              <w:pStyle w:val="248"/>
              <w:spacing w:before="67" w:line="219" w:lineRule="auto"/>
              <w:ind w:left="103"/>
              <w:rPr>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vAlign w:val="top"/>
          </w:tcPr>
          <w:p w14:paraId="5C33F6CF">
            <w:pPr>
              <w:rPr>
                <w:rFonts w:ascii="Arial"/>
                <w:color w:val="auto"/>
                <w:sz w:val="21"/>
                <w:highlight w:val="none"/>
              </w:rPr>
            </w:pPr>
          </w:p>
        </w:tc>
        <w:tc>
          <w:tcPr>
            <w:tcW w:w="3543" w:type="dxa"/>
            <w:vAlign w:val="top"/>
          </w:tcPr>
          <w:p w14:paraId="2747896A">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23FDE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vAlign w:val="top"/>
          </w:tcPr>
          <w:p w14:paraId="2A3B38B0">
            <w:pPr>
              <w:rPr>
                <w:rFonts w:ascii="Arial"/>
                <w:color w:val="auto"/>
                <w:sz w:val="21"/>
                <w:highlight w:val="none"/>
              </w:rPr>
            </w:pPr>
          </w:p>
        </w:tc>
        <w:tc>
          <w:tcPr>
            <w:tcW w:w="1542" w:type="dxa"/>
            <w:vMerge w:val="continue"/>
            <w:tcBorders>
              <w:top w:val="nil"/>
            </w:tcBorders>
            <w:vAlign w:val="top"/>
          </w:tcPr>
          <w:p w14:paraId="2CA83744">
            <w:pPr>
              <w:rPr>
                <w:rFonts w:ascii="Arial"/>
                <w:color w:val="auto"/>
                <w:sz w:val="21"/>
                <w:highlight w:val="none"/>
              </w:rPr>
            </w:pPr>
          </w:p>
        </w:tc>
        <w:tc>
          <w:tcPr>
            <w:tcW w:w="2672" w:type="dxa"/>
            <w:vAlign w:val="top"/>
          </w:tcPr>
          <w:p w14:paraId="11806FE6">
            <w:pPr>
              <w:pStyle w:val="248"/>
              <w:spacing w:before="66" w:line="283" w:lineRule="auto"/>
              <w:ind w:left="108" w:right="102" w:hanging="5"/>
              <w:rPr>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vAlign w:val="top"/>
          </w:tcPr>
          <w:p w14:paraId="16190BED">
            <w:pPr>
              <w:rPr>
                <w:rFonts w:ascii="Arial"/>
                <w:color w:val="auto"/>
                <w:sz w:val="21"/>
                <w:highlight w:val="none"/>
              </w:rPr>
            </w:pPr>
          </w:p>
        </w:tc>
        <w:tc>
          <w:tcPr>
            <w:tcW w:w="3543" w:type="dxa"/>
            <w:vAlign w:val="top"/>
          </w:tcPr>
          <w:p w14:paraId="76CBE2B5">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09FB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E29A8C3">
            <w:pPr>
              <w:pStyle w:val="248"/>
              <w:spacing w:before="67"/>
              <w:ind w:left="114"/>
              <w:rPr>
                <w:color w:val="auto"/>
                <w:highlight w:val="none"/>
              </w:rPr>
            </w:pPr>
            <w:r>
              <w:rPr>
                <w:color w:val="auto"/>
                <w:spacing w:val="-3"/>
                <w:highlight w:val="none"/>
              </w:rPr>
              <w:t>40</w:t>
            </w:r>
          </w:p>
        </w:tc>
        <w:tc>
          <w:tcPr>
            <w:tcW w:w="1542" w:type="dxa"/>
            <w:vMerge w:val="restart"/>
            <w:tcBorders>
              <w:bottom w:val="nil"/>
            </w:tcBorders>
            <w:vAlign w:val="top"/>
          </w:tcPr>
          <w:p w14:paraId="5FD779D4">
            <w:pPr>
              <w:pStyle w:val="248"/>
              <w:spacing w:before="66" w:line="322" w:lineRule="auto"/>
              <w:ind w:left="106" w:right="106" w:hanging="4"/>
              <w:jc w:val="both"/>
              <w:rPr>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highlight w:val="none"/>
              </w:rPr>
              <w:t xml:space="preserve"> </w:t>
            </w:r>
            <w:r>
              <w:rPr>
                <w:color w:val="auto"/>
                <w:spacing w:val="-2"/>
                <w:highlight w:val="none"/>
              </w:rPr>
              <w:t>及其制品</w:t>
            </w:r>
          </w:p>
        </w:tc>
        <w:tc>
          <w:tcPr>
            <w:tcW w:w="2672" w:type="dxa"/>
            <w:vAlign w:val="top"/>
          </w:tcPr>
          <w:p w14:paraId="468631AB">
            <w:pPr>
              <w:pStyle w:val="248"/>
              <w:spacing w:before="68" w:line="282" w:lineRule="auto"/>
              <w:ind w:left="108" w:right="107" w:hanging="5"/>
              <w:rPr>
                <w:color w:val="auto"/>
                <w:highlight w:val="none"/>
              </w:rPr>
            </w:pPr>
            <w:r>
              <w:rPr>
                <w:color w:val="auto"/>
                <w:spacing w:val="6"/>
                <w:highlight w:val="none"/>
              </w:rPr>
              <w:t>A10031001 矿物绝热和吸声材</w:t>
            </w:r>
            <w:r>
              <w:rPr>
                <w:color w:val="auto"/>
                <w:spacing w:val="7"/>
                <w:highlight w:val="none"/>
              </w:rPr>
              <w:t xml:space="preserve"> </w:t>
            </w:r>
            <w:r>
              <w:rPr>
                <w:color w:val="auto"/>
                <w:highlight w:val="none"/>
              </w:rPr>
              <w:t>料</w:t>
            </w:r>
          </w:p>
        </w:tc>
        <w:tc>
          <w:tcPr>
            <w:tcW w:w="2248" w:type="dxa"/>
            <w:vAlign w:val="top"/>
          </w:tcPr>
          <w:p w14:paraId="3DCB54C4">
            <w:pPr>
              <w:rPr>
                <w:rFonts w:ascii="Arial"/>
                <w:color w:val="auto"/>
                <w:sz w:val="21"/>
                <w:highlight w:val="none"/>
              </w:rPr>
            </w:pPr>
          </w:p>
        </w:tc>
        <w:tc>
          <w:tcPr>
            <w:tcW w:w="3543" w:type="dxa"/>
            <w:vAlign w:val="top"/>
          </w:tcPr>
          <w:p w14:paraId="555281C6">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04D2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506CB00">
            <w:pPr>
              <w:rPr>
                <w:rFonts w:ascii="Arial"/>
                <w:color w:val="auto"/>
                <w:sz w:val="21"/>
                <w:highlight w:val="none"/>
              </w:rPr>
            </w:pPr>
          </w:p>
        </w:tc>
        <w:tc>
          <w:tcPr>
            <w:tcW w:w="1542" w:type="dxa"/>
            <w:vMerge w:val="continue"/>
            <w:tcBorders>
              <w:top w:val="nil"/>
            </w:tcBorders>
            <w:vAlign w:val="top"/>
          </w:tcPr>
          <w:p w14:paraId="0BFE09A1">
            <w:pPr>
              <w:rPr>
                <w:rFonts w:ascii="Arial"/>
                <w:color w:val="auto"/>
                <w:sz w:val="21"/>
                <w:highlight w:val="none"/>
              </w:rPr>
            </w:pPr>
          </w:p>
        </w:tc>
        <w:tc>
          <w:tcPr>
            <w:tcW w:w="2672" w:type="dxa"/>
            <w:vAlign w:val="top"/>
          </w:tcPr>
          <w:p w14:paraId="12B704B3">
            <w:pPr>
              <w:pStyle w:val="248"/>
              <w:spacing w:before="68" w:line="219" w:lineRule="auto"/>
              <w:ind w:left="103"/>
              <w:rPr>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vAlign w:val="top"/>
          </w:tcPr>
          <w:p w14:paraId="6D93CCD9">
            <w:pPr>
              <w:rPr>
                <w:rFonts w:ascii="Arial"/>
                <w:color w:val="auto"/>
                <w:sz w:val="21"/>
                <w:highlight w:val="none"/>
              </w:rPr>
            </w:pPr>
          </w:p>
        </w:tc>
        <w:tc>
          <w:tcPr>
            <w:tcW w:w="3543" w:type="dxa"/>
            <w:vAlign w:val="top"/>
          </w:tcPr>
          <w:p w14:paraId="5BBF2B41">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00A5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4B814E34">
            <w:pPr>
              <w:pStyle w:val="248"/>
              <w:spacing w:before="67" w:line="242" w:lineRule="auto"/>
              <w:ind w:left="114"/>
              <w:rPr>
                <w:color w:val="auto"/>
                <w:highlight w:val="none"/>
              </w:rPr>
            </w:pPr>
            <w:r>
              <w:rPr>
                <w:color w:val="auto"/>
                <w:spacing w:val="-3"/>
                <w:highlight w:val="none"/>
              </w:rPr>
              <w:t>41</w:t>
            </w:r>
          </w:p>
        </w:tc>
        <w:tc>
          <w:tcPr>
            <w:tcW w:w="1542" w:type="dxa"/>
            <w:vAlign w:val="top"/>
          </w:tcPr>
          <w:p w14:paraId="183DF2DF">
            <w:pPr>
              <w:pStyle w:val="248"/>
              <w:spacing w:before="68" w:line="282" w:lineRule="auto"/>
              <w:ind w:left="109" w:right="108" w:hanging="7"/>
              <w:rPr>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vAlign w:val="top"/>
          </w:tcPr>
          <w:p w14:paraId="34BCC6D5">
            <w:pPr>
              <w:rPr>
                <w:rFonts w:ascii="Arial"/>
                <w:color w:val="auto"/>
                <w:sz w:val="21"/>
                <w:highlight w:val="none"/>
              </w:rPr>
            </w:pPr>
          </w:p>
        </w:tc>
        <w:tc>
          <w:tcPr>
            <w:tcW w:w="2248" w:type="dxa"/>
            <w:vAlign w:val="top"/>
          </w:tcPr>
          <w:p w14:paraId="1681F88E">
            <w:pPr>
              <w:rPr>
                <w:rFonts w:ascii="Arial"/>
                <w:color w:val="auto"/>
                <w:sz w:val="21"/>
                <w:highlight w:val="none"/>
              </w:rPr>
            </w:pPr>
          </w:p>
        </w:tc>
        <w:tc>
          <w:tcPr>
            <w:tcW w:w="3543" w:type="dxa"/>
            <w:vAlign w:val="top"/>
          </w:tcPr>
          <w:p w14:paraId="3B8744EF">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4C244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33954CF3">
            <w:pPr>
              <w:pStyle w:val="248"/>
              <w:spacing w:before="68" w:line="242" w:lineRule="auto"/>
              <w:ind w:left="114"/>
              <w:rPr>
                <w:color w:val="auto"/>
                <w:highlight w:val="none"/>
              </w:rPr>
            </w:pPr>
            <w:r>
              <w:rPr>
                <w:color w:val="auto"/>
                <w:spacing w:val="-3"/>
                <w:highlight w:val="none"/>
              </w:rPr>
              <w:t>42</w:t>
            </w:r>
          </w:p>
        </w:tc>
        <w:tc>
          <w:tcPr>
            <w:tcW w:w="1542" w:type="dxa"/>
            <w:vAlign w:val="top"/>
          </w:tcPr>
          <w:p w14:paraId="2F647228">
            <w:pPr>
              <w:pStyle w:val="248"/>
              <w:spacing w:before="69" w:line="284" w:lineRule="auto"/>
              <w:ind w:left="109" w:right="106" w:firstLine="84"/>
              <w:rPr>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highlight w:val="none"/>
              </w:rPr>
              <w:t xml:space="preserve"> </w:t>
            </w:r>
            <w:r>
              <w:rPr>
                <w:color w:val="auto"/>
                <w:spacing w:val="-2"/>
                <w:highlight w:val="none"/>
              </w:rPr>
              <w:t>金属矿物制品</w:t>
            </w:r>
          </w:p>
        </w:tc>
        <w:tc>
          <w:tcPr>
            <w:tcW w:w="2672" w:type="dxa"/>
            <w:vAlign w:val="top"/>
          </w:tcPr>
          <w:p w14:paraId="79B5FD95">
            <w:pPr>
              <w:pStyle w:val="248"/>
              <w:spacing w:before="68" w:line="219" w:lineRule="auto"/>
              <w:ind w:left="103"/>
              <w:rPr>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vAlign w:val="top"/>
          </w:tcPr>
          <w:p w14:paraId="183E04E1">
            <w:pPr>
              <w:rPr>
                <w:rFonts w:ascii="Arial"/>
                <w:color w:val="auto"/>
                <w:sz w:val="21"/>
                <w:highlight w:val="none"/>
              </w:rPr>
            </w:pPr>
          </w:p>
        </w:tc>
        <w:tc>
          <w:tcPr>
            <w:tcW w:w="3543" w:type="dxa"/>
            <w:vAlign w:val="top"/>
          </w:tcPr>
          <w:p w14:paraId="7B485066">
            <w:pPr>
              <w:pStyle w:val="248"/>
              <w:spacing w:before="68" w:line="219" w:lineRule="auto"/>
              <w:ind w:left="109"/>
              <w:rPr>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bl>
    <w:p w14:paraId="6A9051A7">
      <w:pPr>
        <w:rPr>
          <w:rFonts w:ascii="Arial" w:hAnsi="Arial" w:eastAsia="Arial" w:cs="Arial"/>
          <w:color w:val="auto"/>
          <w:sz w:val="21"/>
          <w:szCs w:val="21"/>
          <w:highlight w:val="none"/>
        </w:rPr>
        <w:sectPr>
          <w:pgSz w:w="11906" w:h="16838"/>
          <w:pgMar w:top="1431" w:right="644" w:bottom="0" w:left="667" w:header="0" w:footer="0" w:gutter="0"/>
          <w:cols w:space="720" w:num="1"/>
        </w:sect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FF8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bottom w:val="nil"/>
            </w:tcBorders>
            <w:vAlign w:val="top"/>
          </w:tcPr>
          <w:p w14:paraId="10207C1A">
            <w:pPr>
              <w:pStyle w:val="248"/>
              <w:spacing w:before="68"/>
              <w:ind w:left="114"/>
              <w:rPr>
                <w:color w:val="auto"/>
                <w:highlight w:val="none"/>
              </w:rPr>
            </w:pPr>
            <w:r>
              <w:rPr>
                <w:color w:val="auto"/>
                <w:spacing w:val="-3"/>
                <w:highlight w:val="none"/>
              </w:rPr>
              <w:t>43</w:t>
            </w:r>
          </w:p>
        </w:tc>
        <w:tc>
          <w:tcPr>
            <w:tcW w:w="1542" w:type="dxa"/>
            <w:vMerge w:val="restart"/>
            <w:tcBorders>
              <w:bottom w:val="nil"/>
            </w:tcBorders>
            <w:vAlign w:val="top"/>
          </w:tcPr>
          <w:p w14:paraId="5EB07ED6">
            <w:pPr>
              <w:pStyle w:val="248"/>
              <w:spacing w:before="67" w:line="323" w:lineRule="auto"/>
              <w:ind w:left="107" w:right="108" w:hanging="5"/>
              <w:rPr>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vAlign w:val="top"/>
          </w:tcPr>
          <w:p w14:paraId="30381269">
            <w:pPr>
              <w:pStyle w:val="248"/>
              <w:spacing w:before="69" w:line="284" w:lineRule="auto"/>
              <w:ind w:left="108" w:right="107" w:hanging="5"/>
              <w:rPr>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vAlign w:val="top"/>
          </w:tcPr>
          <w:p w14:paraId="72A47172">
            <w:pPr>
              <w:rPr>
                <w:rFonts w:ascii="Arial"/>
                <w:color w:val="auto"/>
                <w:sz w:val="21"/>
                <w:highlight w:val="none"/>
              </w:rPr>
            </w:pPr>
          </w:p>
        </w:tc>
        <w:tc>
          <w:tcPr>
            <w:tcW w:w="3543" w:type="dxa"/>
            <w:vAlign w:val="top"/>
          </w:tcPr>
          <w:p w14:paraId="563BAD7D">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16C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bottom w:val="nil"/>
            </w:tcBorders>
            <w:vAlign w:val="top"/>
          </w:tcPr>
          <w:p w14:paraId="4D66BD2A">
            <w:pPr>
              <w:rPr>
                <w:rFonts w:ascii="Arial"/>
                <w:color w:val="auto"/>
                <w:sz w:val="21"/>
                <w:highlight w:val="none"/>
              </w:rPr>
            </w:pPr>
          </w:p>
        </w:tc>
        <w:tc>
          <w:tcPr>
            <w:tcW w:w="1542" w:type="dxa"/>
            <w:vMerge w:val="continue"/>
            <w:tcBorders>
              <w:top w:val="nil"/>
              <w:bottom w:val="nil"/>
            </w:tcBorders>
            <w:vAlign w:val="top"/>
          </w:tcPr>
          <w:p w14:paraId="7A52635C">
            <w:pPr>
              <w:rPr>
                <w:rFonts w:ascii="Arial"/>
                <w:color w:val="auto"/>
                <w:sz w:val="21"/>
                <w:highlight w:val="none"/>
              </w:rPr>
            </w:pPr>
          </w:p>
        </w:tc>
        <w:tc>
          <w:tcPr>
            <w:tcW w:w="2672" w:type="dxa"/>
            <w:vAlign w:val="top"/>
          </w:tcPr>
          <w:p w14:paraId="49AAA4F8">
            <w:pPr>
              <w:pStyle w:val="248"/>
              <w:spacing w:before="64" w:line="284" w:lineRule="auto"/>
              <w:ind w:left="108" w:right="107" w:hanging="5"/>
              <w:rPr>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vAlign w:val="top"/>
          </w:tcPr>
          <w:p w14:paraId="78CE74D6">
            <w:pPr>
              <w:rPr>
                <w:rFonts w:ascii="Arial"/>
                <w:color w:val="auto"/>
                <w:sz w:val="21"/>
                <w:highlight w:val="none"/>
              </w:rPr>
            </w:pPr>
          </w:p>
        </w:tc>
        <w:tc>
          <w:tcPr>
            <w:tcW w:w="3543" w:type="dxa"/>
            <w:vAlign w:val="top"/>
          </w:tcPr>
          <w:p w14:paraId="6D61436D">
            <w:pPr>
              <w:pStyle w:val="248"/>
              <w:spacing w:before="63"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F26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tcBorders>
            <w:vAlign w:val="top"/>
          </w:tcPr>
          <w:p w14:paraId="10101A8D">
            <w:pPr>
              <w:rPr>
                <w:rFonts w:ascii="Arial"/>
                <w:color w:val="auto"/>
                <w:sz w:val="21"/>
                <w:highlight w:val="none"/>
              </w:rPr>
            </w:pPr>
          </w:p>
        </w:tc>
        <w:tc>
          <w:tcPr>
            <w:tcW w:w="1542" w:type="dxa"/>
            <w:vMerge w:val="continue"/>
            <w:tcBorders>
              <w:top w:val="nil"/>
            </w:tcBorders>
            <w:vAlign w:val="top"/>
          </w:tcPr>
          <w:p w14:paraId="0AAD2186">
            <w:pPr>
              <w:rPr>
                <w:rFonts w:ascii="Arial"/>
                <w:color w:val="auto"/>
                <w:sz w:val="21"/>
                <w:highlight w:val="none"/>
              </w:rPr>
            </w:pPr>
          </w:p>
        </w:tc>
        <w:tc>
          <w:tcPr>
            <w:tcW w:w="2672" w:type="dxa"/>
            <w:vAlign w:val="top"/>
          </w:tcPr>
          <w:p w14:paraId="4DF487A8">
            <w:pPr>
              <w:pStyle w:val="248"/>
              <w:spacing w:before="64" w:line="221" w:lineRule="auto"/>
              <w:ind w:left="103"/>
              <w:rPr>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vAlign w:val="top"/>
          </w:tcPr>
          <w:p w14:paraId="64F1E019">
            <w:pPr>
              <w:rPr>
                <w:rFonts w:ascii="Arial"/>
                <w:color w:val="auto"/>
                <w:sz w:val="21"/>
                <w:highlight w:val="none"/>
              </w:rPr>
            </w:pPr>
          </w:p>
        </w:tc>
        <w:tc>
          <w:tcPr>
            <w:tcW w:w="3543" w:type="dxa"/>
            <w:vAlign w:val="top"/>
          </w:tcPr>
          <w:p w14:paraId="426BA902">
            <w:pPr>
              <w:pStyle w:val="248"/>
              <w:spacing w:before="64"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68D3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EB7582E">
            <w:pPr>
              <w:pStyle w:val="248"/>
              <w:spacing w:before="65" w:line="242" w:lineRule="auto"/>
              <w:ind w:left="114"/>
              <w:rPr>
                <w:color w:val="auto"/>
                <w:highlight w:val="none"/>
              </w:rPr>
            </w:pPr>
            <w:r>
              <w:rPr>
                <w:color w:val="auto"/>
                <w:spacing w:val="-3"/>
                <w:highlight w:val="none"/>
              </w:rPr>
              <w:t>44</w:t>
            </w:r>
          </w:p>
        </w:tc>
        <w:tc>
          <w:tcPr>
            <w:tcW w:w="1542" w:type="dxa"/>
            <w:vAlign w:val="top"/>
          </w:tcPr>
          <w:p w14:paraId="7481B57C">
            <w:pPr>
              <w:pStyle w:val="248"/>
              <w:spacing w:before="66" w:line="283" w:lineRule="auto"/>
              <w:ind w:left="107" w:right="108" w:hanging="5"/>
              <w:rPr>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vAlign w:val="top"/>
          </w:tcPr>
          <w:p w14:paraId="535DF1A2">
            <w:pPr>
              <w:pStyle w:val="248"/>
              <w:spacing w:before="65" w:line="220" w:lineRule="auto"/>
              <w:ind w:left="103"/>
              <w:rPr>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vAlign w:val="top"/>
          </w:tcPr>
          <w:p w14:paraId="1855E2A6">
            <w:pPr>
              <w:rPr>
                <w:rFonts w:ascii="Arial"/>
                <w:color w:val="auto"/>
                <w:sz w:val="21"/>
                <w:highlight w:val="none"/>
              </w:rPr>
            </w:pPr>
          </w:p>
        </w:tc>
        <w:tc>
          <w:tcPr>
            <w:tcW w:w="3543" w:type="dxa"/>
            <w:vAlign w:val="top"/>
          </w:tcPr>
          <w:p w14:paraId="1C6CE9A5">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32B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43A4B4D">
            <w:pPr>
              <w:pStyle w:val="248"/>
              <w:spacing w:before="66"/>
              <w:ind w:left="114"/>
              <w:rPr>
                <w:color w:val="auto"/>
                <w:highlight w:val="none"/>
              </w:rPr>
            </w:pPr>
            <w:r>
              <w:rPr>
                <w:color w:val="auto"/>
                <w:spacing w:val="-3"/>
                <w:highlight w:val="none"/>
              </w:rPr>
              <w:t>45</w:t>
            </w:r>
          </w:p>
        </w:tc>
        <w:tc>
          <w:tcPr>
            <w:tcW w:w="1542" w:type="dxa"/>
            <w:vAlign w:val="top"/>
          </w:tcPr>
          <w:p w14:paraId="35C9BC36">
            <w:pPr>
              <w:pStyle w:val="248"/>
              <w:spacing w:before="66" w:line="283" w:lineRule="auto"/>
              <w:ind w:left="109" w:right="108" w:hanging="7"/>
              <w:rPr>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highlight w:val="none"/>
              </w:rPr>
              <w:t xml:space="preserve"> </w:t>
            </w:r>
            <w:r>
              <w:rPr>
                <w:color w:val="auto"/>
                <w:spacing w:val="-2"/>
                <w:highlight w:val="none"/>
              </w:rPr>
              <w:t>筑涂料</w:t>
            </w:r>
          </w:p>
        </w:tc>
        <w:tc>
          <w:tcPr>
            <w:tcW w:w="2672" w:type="dxa"/>
            <w:vAlign w:val="top"/>
          </w:tcPr>
          <w:p w14:paraId="23D38720">
            <w:pPr>
              <w:rPr>
                <w:rFonts w:ascii="Arial"/>
                <w:color w:val="auto"/>
                <w:sz w:val="21"/>
                <w:highlight w:val="none"/>
              </w:rPr>
            </w:pPr>
          </w:p>
        </w:tc>
        <w:tc>
          <w:tcPr>
            <w:tcW w:w="2248" w:type="dxa"/>
            <w:vAlign w:val="top"/>
          </w:tcPr>
          <w:p w14:paraId="0B70DE25">
            <w:pPr>
              <w:rPr>
                <w:rFonts w:ascii="Arial"/>
                <w:color w:val="auto"/>
                <w:sz w:val="21"/>
                <w:highlight w:val="none"/>
              </w:rPr>
            </w:pPr>
          </w:p>
        </w:tc>
        <w:tc>
          <w:tcPr>
            <w:tcW w:w="3543" w:type="dxa"/>
            <w:vAlign w:val="top"/>
          </w:tcPr>
          <w:p w14:paraId="660F1672">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831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vAlign w:val="top"/>
          </w:tcPr>
          <w:p w14:paraId="2F17EFB4">
            <w:pPr>
              <w:pStyle w:val="248"/>
              <w:spacing w:before="66"/>
              <w:ind w:left="114"/>
              <w:rPr>
                <w:color w:val="auto"/>
                <w:highlight w:val="none"/>
              </w:rPr>
            </w:pPr>
            <w:r>
              <w:rPr>
                <w:color w:val="auto"/>
                <w:spacing w:val="-3"/>
                <w:highlight w:val="none"/>
              </w:rPr>
              <w:t>46</w:t>
            </w:r>
          </w:p>
        </w:tc>
        <w:tc>
          <w:tcPr>
            <w:tcW w:w="1542" w:type="dxa"/>
            <w:vAlign w:val="top"/>
          </w:tcPr>
          <w:p w14:paraId="3F904A96">
            <w:pPr>
              <w:pStyle w:val="248"/>
              <w:spacing w:before="66" w:line="222" w:lineRule="auto"/>
              <w:ind w:left="102"/>
              <w:rPr>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vAlign w:val="top"/>
          </w:tcPr>
          <w:p w14:paraId="27EBC322">
            <w:pPr>
              <w:rPr>
                <w:rFonts w:ascii="Arial"/>
                <w:color w:val="auto"/>
                <w:sz w:val="21"/>
                <w:highlight w:val="none"/>
              </w:rPr>
            </w:pPr>
          </w:p>
        </w:tc>
        <w:tc>
          <w:tcPr>
            <w:tcW w:w="2248" w:type="dxa"/>
            <w:vAlign w:val="top"/>
          </w:tcPr>
          <w:p w14:paraId="5BDA538E">
            <w:pPr>
              <w:rPr>
                <w:rFonts w:ascii="Arial"/>
                <w:color w:val="auto"/>
                <w:sz w:val="21"/>
                <w:highlight w:val="none"/>
              </w:rPr>
            </w:pPr>
          </w:p>
        </w:tc>
        <w:tc>
          <w:tcPr>
            <w:tcW w:w="3543" w:type="dxa"/>
            <w:vAlign w:val="top"/>
          </w:tcPr>
          <w:p w14:paraId="2B02D3B7">
            <w:pPr>
              <w:pStyle w:val="248"/>
              <w:spacing w:before="66" w:line="219" w:lineRule="auto"/>
              <w:ind w:left="109"/>
              <w:rPr>
                <w:color w:val="auto"/>
                <w:highlight w:val="none"/>
              </w:rPr>
            </w:pPr>
            <w:r>
              <w:rPr>
                <w:color w:val="auto"/>
                <w:spacing w:val="-1"/>
                <w:highlight w:val="none"/>
              </w:rPr>
              <w:t>HJ/T 237</w:t>
            </w:r>
            <w:r>
              <w:rPr>
                <w:color w:val="auto"/>
                <w:spacing w:val="-32"/>
                <w:highlight w:val="none"/>
              </w:rPr>
              <w:t xml:space="preserve"> </w:t>
            </w:r>
            <w:r>
              <w:rPr>
                <w:color w:val="auto"/>
                <w:spacing w:val="-1"/>
                <w:highlight w:val="none"/>
              </w:rPr>
              <w:t>塑料门窗/HJ459</w:t>
            </w:r>
            <w:r>
              <w:rPr>
                <w:color w:val="auto"/>
                <w:spacing w:val="-37"/>
                <w:highlight w:val="none"/>
              </w:rPr>
              <w:t xml:space="preserve"> </w:t>
            </w:r>
            <w:r>
              <w:rPr>
                <w:color w:val="auto"/>
                <w:spacing w:val="-1"/>
                <w:highlight w:val="none"/>
              </w:rPr>
              <w:t>木</w:t>
            </w:r>
            <w:r>
              <w:rPr>
                <w:color w:val="auto"/>
                <w:spacing w:val="-2"/>
                <w:highlight w:val="none"/>
              </w:rPr>
              <w:t>质门和钢质门</w:t>
            </w:r>
          </w:p>
        </w:tc>
      </w:tr>
      <w:tr w14:paraId="0C4D9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26CEAE9B">
            <w:pPr>
              <w:pStyle w:val="248"/>
              <w:spacing w:before="66"/>
              <w:ind w:left="114"/>
              <w:rPr>
                <w:color w:val="auto"/>
                <w:highlight w:val="none"/>
              </w:rPr>
            </w:pPr>
            <w:r>
              <w:rPr>
                <w:color w:val="auto"/>
                <w:spacing w:val="-3"/>
                <w:highlight w:val="none"/>
              </w:rPr>
              <w:t>47</w:t>
            </w:r>
          </w:p>
        </w:tc>
        <w:tc>
          <w:tcPr>
            <w:tcW w:w="1542" w:type="dxa"/>
            <w:vAlign w:val="top"/>
          </w:tcPr>
          <w:p w14:paraId="790141B8">
            <w:pPr>
              <w:pStyle w:val="248"/>
              <w:spacing w:before="66" w:line="221" w:lineRule="auto"/>
              <w:ind w:left="102"/>
              <w:rPr>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vAlign w:val="top"/>
          </w:tcPr>
          <w:p w14:paraId="5BB1A806">
            <w:pPr>
              <w:rPr>
                <w:rFonts w:ascii="Arial"/>
                <w:color w:val="auto"/>
                <w:sz w:val="21"/>
                <w:highlight w:val="none"/>
              </w:rPr>
            </w:pPr>
          </w:p>
        </w:tc>
        <w:tc>
          <w:tcPr>
            <w:tcW w:w="2248" w:type="dxa"/>
            <w:vAlign w:val="top"/>
          </w:tcPr>
          <w:p w14:paraId="12F20AF9">
            <w:pPr>
              <w:rPr>
                <w:rFonts w:ascii="Arial"/>
                <w:color w:val="auto"/>
                <w:sz w:val="21"/>
                <w:highlight w:val="none"/>
              </w:rPr>
            </w:pPr>
          </w:p>
        </w:tc>
        <w:tc>
          <w:tcPr>
            <w:tcW w:w="3543" w:type="dxa"/>
            <w:vAlign w:val="top"/>
          </w:tcPr>
          <w:p w14:paraId="5122D3D0">
            <w:pPr>
              <w:pStyle w:val="248"/>
              <w:spacing w:before="66" w:line="219" w:lineRule="auto"/>
              <w:ind w:left="109"/>
              <w:rPr>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684C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vAlign w:val="top"/>
          </w:tcPr>
          <w:p w14:paraId="0FB2F36E">
            <w:pPr>
              <w:pStyle w:val="248"/>
              <w:spacing w:before="69"/>
              <w:ind w:left="114"/>
              <w:rPr>
                <w:color w:val="auto"/>
                <w:highlight w:val="none"/>
              </w:rPr>
            </w:pPr>
            <w:r>
              <w:rPr>
                <w:color w:val="auto"/>
                <w:spacing w:val="-3"/>
                <w:highlight w:val="none"/>
              </w:rPr>
              <w:t>48</w:t>
            </w:r>
          </w:p>
        </w:tc>
        <w:tc>
          <w:tcPr>
            <w:tcW w:w="1542" w:type="dxa"/>
            <w:vAlign w:val="top"/>
          </w:tcPr>
          <w:p w14:paraId="36F78E55">
            <w:pPr>
              <w:pStyle w:val="248"/>
              <w:spacing w:before="70" w:line="282" w:lineRule="auto"/>
              <w:ind w:left="109" w:right="106" w:hanging="7"/>
              <w:rPr>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vAlign w:val="top"/>
          </w:tcPr>
          <w:p w14:paraId="0E6B6EAA">
            <w:pPr>
              <w:rPr>
                <w:rFonts w:ascii="Arial"/>
                <w:color w:val="auto"/>
                <w:sz w:val="21"/>
                <w:highlight w:val="none"/>
              </w:rPr>
            </w:pPr>
          </w:p>
        </w:tc>
        <w:tc>
          <w:tcPr>
            <w:tcW w:w="2248" w:type="dxa"/>
            <w:vAlign w:val="top"/>
          </w:tcPr>
          <w:p w14:paraId="754BCD0F">
            <w:pPr>
              <w:rPr>
                <w:rFonts w:ascii="Arial"/>
                <w:color w:val="auto"/>
                <w:sz w:val="21"/>
                <w:highlight w:val="none"/>
              </w:rPr>
            </w:pPr>
          </w:p>
        </w:tc>
        <w:tc>
          <w:tcPr>
            <w:tcW w:w="3543" w:type="dxa"/>
            <w:vAlign w:val="top"/>
          </w:tcPr>
          <w:p w14:paraId="5DA8EBC0">
            <w:pPr>
              <w:pStyle w:val="248"/>
              <w:spacing w:before="69"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C745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33A863C">
            <w:pPr>
              <w:pStyle w:val="248"/>
              <w:spacing w:before="68"/>
              <w:ind w:left="114"/>
              <w:rPr>
                <w:color w:val="auto"/>
                <w:highlight w:val="none"/>
              </w:rPr>
            </w:pPr>
            <w:r>
              <w:rPr>
                <w:color w:val="auto"/>
                <w:spacing w:val="-3"/>
                <w:highlight w:val="none"/>
              </w:rPr>
              <w:t>49</w:t>
            </w:r>
          </w:p>
        </w:tc>
        <w:tc>
          <w:tcPr>
            <w:tcW w:w="1542" w:type="dxa"/>
            <w:vAlign w:val="top"/>
          </w:tcPr>
          <w:p w14:paraId="13CB0C21">
            <w:pPr>
              <w:pStyle w:val="248"/>
              <w:spacing w:before="68" w:line="282" w:lineRule="auto"/>
              <w:ind w:left="109" w:right="108" w:hanging="7"/>
              <w:rPr>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vAlign w:val="top"/>
          </w:tcPr>
          <w:p w14:paraId="1D94107C">
            <w:pPr>
              <w:rPr>
                <w:rFonts w:ascii="Arial"/>
                <w:color w:val="auto"/>
                <w:sz w:val="21"/>
                <w:highlight w:val="none"/>
              </w:rPr>
            </w:pPr>
          </w:p>
        </w:tc>
        <w:tc>
          <w:tcPr>
            <w:tcW w:w="2248" w:type="dxa"/>
            <w:vAlign w:val="top"/>
          </w:tcPr>
          <w:p w14:paraId="2D7DC984">
            <w:pPr>
              <w:rPr>
                <w:rFonts w:ascii="Arial"/>
                <w:color w:val="auto"/>
                <w:sz w:val="21"/>
                <w:highlight w:val="none"/>
              </w:rPr>
            </w:pPr>
          </w:p>
        </w:tc>
        <w:tc>
          <w:tcPr>
            <w:tcW w:w="3543" w:type="dxa"/>
            <w:vAlign w:val="top"/>
          </w:tcPr>
          <w:p w14:paraId="1DD66A27">
            <w:pPr>
              <w:pStyle w:val="248"/>
              <w:spacing w:before="67" w:line="219" w:lineRule="auto"/>
              <w:ind w:left="109"/>
              <w:rPr>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213AD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242B0303">
            <w:pPr>
              <w:pStyle w:val="248"/>
              <w:spacing w:before="69"/>
              <w:ind w:left="118"/>
              <w:rPr>
                <w:color w:val="auto"/>
                <w:highlight w:val="none"/>
              </w:rPr>
            </w:pPr>
            <w:r>
              <w:rPr>
                <w:color w:val="auto"/>
                <w:spacing w:val="-5"/>
                <w:highlight w:val="none"/>
              </w:rPr>
              <w:t>50</w:t>
            </w:r>
          </w:p>
        </w:tc>
        <w:tc>
          <w:tcPr>
            <w:tcW w:w="1542" w:type="dxa"/>
            <w:vAlign w:val="top"/>
          </w:tcPr>
          <w:p w14:paraId="53AC877B">
            <w:pPr>
              <w:pStyle w:val="248"/>
              <w:spacing w:before="69" w:line="284" w:lineRule="auto"/>
              <w:ind w:left="122" w:right="108" w:hanging="20"/>
              <w:rPr>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vAlign w:val="top"/>
          </w:tcPr>
          <w:p w14:paraId="214BE936">
            <w:pPr>
              <w:rPr>
                <w:rFonts w:ascii="Arial"/>
                <w:color w:val="auto"/>
                <w:sz w:val="21"/>
                <w:highlight w:val="none"/>
              </w:rPr>
            </w:pPr>
          </w:p>
        </w:tc>
        <w:tc>
          <w:tcPr>
            <w:tcW w:w="2248" w:type="dxa"/>
            <w:vAlign w:val="top"/>
          </w:tcPr>
          <w:p w14:paraId="302B59F9">
            <w:pPr>
              <w:rPr>
                <w:rFonts w:ascii="Arial"/>
                <w:color w:val="auto"/>
                <w:sz w:val="21"/>
                <w:highlight w:val="none"/>
              </w:rPr>
            </w:pPr>
          </w:p>
        </w:tc>
        <w:tc>
          <w:tcPr>
            <w:tcW w:w="3543" w:type="dxa"/>
            <w:vAlign w:val="top"/>
          </w:tcPr>
          <w:p w14:paraId="6970262A">
            <w:pPr>
              <w:pStyle w:val="248"/>
              <w:spacing w:before="69" w:line="284" w:lineRule="auto"/>
              <w:ind w:left="113" w:right="104" w:hanging="4"/>
              <w:rPr>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0A940086">
      <w:pPr>
        <w:spacing w:after="120" w:line="360" w:lineRule="auto"/>
        <w:rPr>
          <w:rFonts w:hint="eastAsia" w:ascii="宋体" w:hAnsi="宋体" w:eastAsia="宋体" w:cs="Times New Roman"/>
          <w:color w:val="auto"/>
          <w:spacing w:val="-3"/>
          <w:szCs w:val="21"/>
          <w:highlight w:val="none"/>
          <w:lang w:val="en-US" w:eastAsia="zh-CN"/>
        </w:rPr>
        <w:sectPr>
          <w:pgSz w:w="11906" w:h="16838"/>
          <w:pgMar w:top="1431" w:right="644" w:bottom="0" w:left="667" w:header="0" w:footer="0" w:gutter="0"/>
          <w:cols w:space="720" w:num="1"/>
        </w:sectPr>
      </w:pPr>
      <w:r>
        <w:rPr>
          <w:rFonts w:hint="eastAsia" w:ascii="宋体" w:hAnsi="宋体" w:eastAsia="宋体" w:cs="Times New Roman"/>
          <w:color w:val="auto"/>
          <w:spacing w:val="-3"/>
          <w:szCs w:val="21"/>
          <w:highlight w:val="none"/>
        </w:rPr>
        <w:t>注：环境标志产品认证应依据相关标准的最新</w:t>
      </w:r>
      <w:r>
        <w:rPr>
          <w:rFonts w:hint="eastAsia" w:ascii="宋体" w:hAnsi="宋体" w:eastAsia="宋体" w:cs="Times New Roman"/>
          <w:color w:val="auto"/>
          <w:spacing w:val="-3"/>
          <w:szCs w:val="21"/>
          <w:highlight w:val="none"/>
          <w:lang w:val="en-US" w:eastAsia="zh-CN"/>
        </w:rPr>
        <w:t>版本。</w:t>
      </w:r>
    </w:p>
    <w:p w14:paraId="3BEBCCA1">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6" w:name="_Toc19159"/>
      <w:r>
        <w:rPr>
          <w:rFonts w:ascii="Times New Roman" w:hAnsi="Times New Roman" w:cs="Times New Roman"/>
          <w:color w:val="auto"/>
          <w:sz w:val="32"/>
          <w:szCs w:val="32"/>
          <w:highlight w:val="none"/>
        </w:rPr>
        <w:t>第三章  供应商须知</w:t>
      </w:r>
      <w:bookmarkEnd w:id="26"/>
      <w:bookmarkStart w:id="27" w:name="_投标人须知前附表"/>
      <w:bookmarkEnd w:id="27"/>
    </w:p>
    <w:p w14:paraId="758ECB66">
      <w:pPr>
        <w:pStyle w:val="2"/>
        <w:spacing w:before="40" w:after="40"/>
        <w:jc w:val="center"/>
        <w:rPr>
          <w:rFonts w:hint="eastAsia"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CA9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243DA83">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EE302B">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6B93328">
            <w:pPr>
              <w:jc w:val="center"/>
              <w:rPr>
                <w:b/>
                <w:color w:val="auto"/>
                <w:szCs w:val="21"/>
                <w:highlight w:val="none"/>
              </w:rPr>
            </w:pPr>
            <w:r>
              <w:rPr>
                <w:b/>
                <w:color w:val="auto"/>
                <w:szCs w:val="21"/>
                <w:highlight w:val="none"/>
              </w:rPr>
              <w:t>内容、要求</w:t>
            </w:r>
          </w:p>
        </w:tc>
      </w:tr>
      <w:tr w14:paraId="41B5C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6699E1C">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1DB9866">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DB8DCC9">
            <w:pPr>
              <w:spacing w:line="300" w:lineRule="exact"/>
              <w:jc w:val="left"/>
              <w:rPr>
                <w:rFonts w:hint="eastAsia"/>
                <w:color w:val="auto"/>
                <w:szCs w:val="21"/>
                <w:highlight w:val="none"/>
              </w:rPr>
            </w:pPr>
            <w:r>
              <w:rPr>
                <w:color w:val="auto"/>
                <w:szCs w:val="21"/>
                <w:highlight w:val="none"/>
              </w:rPr>
              <w:t>项目名称：</w:t>
            </w:r>
            <w:r>
              <w:rPr>
                <w:rFonts w:hint="eastAsia"/>
                <w:color w:val="auto"/>
                <w:szCs w:val="21"/>
                <w:highlight w:val="none"/>
              </w:rPr>
              <w:t>2026年桂林医科大学教学实验仪器采购项目</w:t>
            </w:r>
          </w:p>
          <w:p w14:paraId="48E277BA">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lang w:eastAsia="zh-CN"/>
              </w:rPr>
              <w:t>GXZC2026-J1-002442-JDZB</w:t>
            </w:r>
          </w:p>
          <w:p w14:paraId="496FF0F1">
            <w:pPr>
              <w:spacing w:line="300" w:lineRule="exact"/>
              <w:jc w:val="left"/>
              <w:rPr>
                <w:color w:val="auto"/>
                <w:szCs w:val="21"/>
                <w:highlight w:val="none"/>
              </w:rPr>
            </w:pPr>
            <w:r>
              <w:rPr>
                <w:rFonts w:hint="eastAsia"/>
                <w:color w:val="auto"/>
                <w:szCs w:val="21"/>
                <w:highlight w:val="none"/>
              </w:rPr>
              <w:t>采购计划号：广西政采[2026]15809号</w:t>
            </w:r>
          </w:p>
        </w:tc>
      </w:tr>
      <w:tr w14:paraId="5D129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1F89B35">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B062E2">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2F988B">
            <w:pPr>
              <w:spacing w:line="300" w:lineRule="exact"/>
              <w:jc w:val="left"/>
              <w:rPr>
                <w:color w:val="auto"/>
                <w:szCs w:val="21"/>
                <w:highlight w:val="none"/>
              </w:rPr>
            </w:pPr>
            <w:r>
              <w:rPr>
                <w:rFonts w:hint="eastAsia"/>
                <w:color w:val="auto"/>
                <w:szCs w:val="21"/>
                <w:highlight w:val="none"/>
              </w:rPr>
              <w:t>竞争性谈判。</w:t>
            </w:r>
          </w:p>
        </w:tc>
      </w:tr>
      <w:tr w14:paraId="31C39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C110ECB">
            <w:pPr>
              <w:spacing w:line="300" w:lineRule="exact"/>
              <w:jc w:val="center"/>
              <w:rPr>
                <w:b/>
                <w:color w:val="auto"/>
                <w:szCs w:val="21"/>
                <w:highlight w:val="none"/>
              </w:rPr>
            </w:pPr>
            <w:r>
              <w:rPr>
                <w:rFonts w:hint="eastAsia"/>
                <w:b/>
                <w:color w:val="auto"/>
                <w:szCs w:val="21"/>
                <w:highlight w:val="none"/>
              </w:rPr>
              <w:t>1</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04869F0">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1009E3">
            <w:pPr>
              <w:spacing w:line="300" w:lineRule="exact"/>
              <w:jc w:val="left"/>
              <w:rPr>
                <w:rFonts w:hint="eastAsia"/>
                <w:color w:val="auto"/>
                <w:szCs w:val="21"/>
                <w:highlight w:val="none"/>
              </w:rPr>
            </w:pPr>
            <w:r>
              <w:rPr>
                <w:rFonts w:hint="eastAsia"/>
                <w:color w:val="auto"/>
                <w:szCs w:val="21"/>
                <w:highlight w:val="none"/>
              </w:rPr>
              <w:t>本项目非专门面向中小微企业采购。</w:t>
            </w:r>
          </w:p>
        </w:tc>
      </w:tr>
      <w:tr w14:paraId="7CCBF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5B5B301">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2277F1A">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5AC0225">
            <w:pPr>
              <w:spacing w:line="300" w:lineRule="exact"/>
              <w:jc w:val="left"/>
              <w:rPr>
                <w:color w:val="auto"/>
                <w:szCs w:val="21"/>
                <w:highlight w:val="none"/>
              </w:rPr>
            </w:pPr>
            <w:r>
              <w:rPr>
                <w:rFonts w:hint="eastAsia"/>
                <w:color w:val="auto"/>
                <w:szCs w:val="21"/>
                <w:highlight w:val="none"/>
              </w:rPr>
              <w:t>详</w:t>
            </w:r>
            <w:r>
              <w:rPr>
                <w:color w:val="auto"/>
                <w:szCs w:val="21"/>
                <w:highlight w:val="none"/>
              </w:rPr>
              <w:t>见谈判公告</w:t>
            </w:r>
            <w:r>
              <w:rPr>
                <w:rFonts w:hint="eastAsia"/>
                <w:color w:val="auto"/>
                <w:szCs w:val="21"/>
                <w:highlight w:val="none"/>
              </w:rPr>
              <w:t>。</w:t>
            </w:r>
          </w:p>
        </w:tc>
      </w:tr>
      <w:tr w14:paraId="2F252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19749A5A">
            <w:pPr>
              <w:spacing w:line="300" w:lineRule="exact"/>
              <w:jc w:val="center"/>
              <w:rPr>
                <w:b/>
                <w:color w:val="auto"/>
                <w:szCs w:val="21"/>
                <w:highlight w:val="none"/>
              </w:rPr>
            </w:pPr>
            <w:bookmarkStart w:id="28" w:name="_Hlk85555568"/>
            <w:r>
              <w:rPr>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65197B18">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25397FB1">
            <w:pPr>
              <w:spacing w:line="300" w:lineRule="exact"/>
              <w:jc w:val="left"/>
              <w:rPr>
                <w:color w:val="auto"/>
                <w:szCs w:val="21"/>
                <w:highlight w:val="none"/>
              </w:rPr>
            </w:pPr>
            <w:r>
              <w:rPr>
                <w:rFonts w:hint="eastAsia"/>
                <w:color w:val="auto"/>
                <w:szCs w:val="21"/>
                <w:highlight w:val="none"/>
              </w:rPr>
              <w:t>是否接受联合体详见谈判公告</w:t>
            </w:r>
          </w:p>
        </w:tc>
      </w:tr>
      <w:bookmarkEnd w:id="28"/>
      <w:tr w14:paraId="4C04B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E48E84C">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DEBB416">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7"/>
              <w:rPr>
                <w:rFonts w:hint="eastAsia"/>
                <w:color w:val="auto"/>
                <w:szCs w:val="21"/>
                <w:highlight w:val="none"/>
              </w:rPr>
            </w:pPr>
            <w:r>
              <w:rPr>
                <w:color w:val="auto"/>
                <w:szCs w:val="21"/>
                <w:highlight w:val="none"/>
              </w:rPr>
              <w:sym w:font="Wingdings 2" w:char="0052"/>
            </w:r>
            <w:r>
              <w:rPr>
                <w:rFonts w:hint="eastAsia"/>
                <w:color w:val="auto"/>
                <w:szCs w:val="21"/>
                <w:highlight w:val="none"/>
                <w:lang w:val="en-US" w:eastAsia="zh-CN"/>
              </w:rPr>
              <w:t>不组织</w:t>
            </w:r>
            <w:r>
              <w:rPr>
                <w:rFonts w:hint="eastAsia"/>
                <w:color w:val="auto"/>
                <w:szCs w:val="21"/>
                <w:highlight w:val="none"/>
              </w:rPr>
              <w:t xml:space="preserve"> </w:t>
            </w:r>
          </w:p>
          <w:p w14:paraId="55F6ADC1">
            <w:pPr>
              <w:pStyle w:val="17"/>
              <w:rPr>
                <w:color w:val="auto"/>
                <w:szCs w:val="21"/>
                <w:highlight w:val="none"/>
              </w:rPr>
            </w:pPr>
            <w:r>
              <w:rPr>
                <w:rFonts w:hint="eastAsia"/>
                <w:color w:val="auto"/>
                <w:szCs w:val="21"/>
                <w:highlight w:val="none"/>
              </w:rPr>
              <w:t>□</w:t>
            </w:r>
            <w:r>
              <w:rPr>
                <w:rFonts w:hint="eastAsia"/>
                <w:color w:val="auto"/>
                <w:szCs w:val="21"/>
                <w:highlight w:val="none"/>
                <w:lang w:val="en-US" w:eastAsia="zh-CN"/>
              </w:rPr>
              <w:t>组织</w:t>
            </w:r>
          </w:p>
        </w:tc>
      </w:tr>
      <w:tr w14:paraId="0066C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2415DB8">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EECF725">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546B04A">
            <w:pPr>
              <w:spacing w:line="300" w:lineRule="exact"/>
              <w:jc w:val="left"/>
              <w:rPr>
                <w:rFonts w:hint="eastAsia"/>
                <w:color w:val="auto"/>
                <w:szCs w:val="21"/>
                <w:highlight w:val="none"/>
                <w:u w:val="single"/>
              </w:rPr>
            </w:pPr>
            <w:r>
              <w:rPr>
                <w:rFonts w:hint="eastAsia"/>
                <w:color w:val="auto"/>
                <w:szCs w:val="21"/>
                <w:highlight w:val="none"/>
              </w:rPr>
              <w:t>是否接受分包详见谈判公告</w:t>
            </w:r>
          </w:p>
        </w:tc>
      </w:tr>
      <w:tr w14:paraId="78A97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8A8016">
            <w:pPr>
              <w:spacing w:line="300" w:lineRule="exact"/>
              <w:jc w:val="center"/>
              <w:rPr>
                <w:rFonts w:hint="default"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3C390B">
            <w:pPr>
              <w:spacing w:line="300" w:lineRule="exact"/>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87725F">
            <w:pPr>
              <w:spacing w:line="300" w:lineRule="exact"/>
              <w:jc w:val="left"/>
              <w:rPr>
                <w:rFonts w:hint="eastAsia"/>
                <w:color w:val="auto"/>
                <w:szCs w:val="21"/>
                <w:highlight w:val="none"/>
              </w:rPr>
            </w:pPr>
            <w:r>
              <w:rPr>
                <w:rFonts w:hint="eastAsia"/>
                <w:color w:val="auto"/>
                <w:szCs w:val="21"/>
                <w:highlight w:val="none"/>
                <w:lang w:eastAsia="zh-CN"/>
              </w:rPr>
              <w:t>☑</w:t>
            </w:r>
            <w:r>
              <w:rPr>
                <w:rFonts w:hint="eastAsia"/>
                <w:color w:val="auto"/>
                <w:szCs w:val="21"/>
                <w:highlight w:val="none"/>
              </w:rPr>
              <w:t>适用</w:t>
            </w:r>
          </w:p>
          <w:p w14:paraId="176FA777">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□不适用</w:t>
            </w:r>
          </w:p>
        </w:tc>
      </w:tr>
      <w:tr w14:paraId="0AD2E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4464A27">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D1F3448">
            <w:pPr>
              <w:spacing w:line="300" w:lineRule="exact"/>
              <w:jc w:val="center"/>
              <w:rPr>
                <w:color w:val="auto"/>
                <w:szCs w:val="21"/>
                <w:highlight w:val="none"/>
              </w:rPr>
            </w:pPr>
            <w:r>
              <w:rPr>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9830929">
            <w:pPr>
              <w:spacing w:line="300" w:lineRule="exact"/>
              <w:jc w:val="left"/>
              <w:rPr>
                <w:color w:val="auto"/>
                <w:szCs w:val="21"/>
                <w:highlight w:val="none"/>
              </w:rPr>
            </w:pPr>
            <w:r>
              <w:rPr>
                <w:color w:val="auto"/>
                <w:szCs w:val="21"/>
                <w:highlight w:val="none"/>
              </w:rPr>
              <w:t>在谈判公告发布媒介发布</w:t>
            </w:r>
            <w:r>
              <w:rPr>
                <w:rFonts w:hint="eastAsia"/>
                <w:color w:val="auto"/>
                <w:szCs w:val="21"/>
                <w:highlight w:val="none"/>
              </w:rPr>
              <w:t>。</w:t>
            </w:r>
          </w:p>
        </w:tc>
      </w:tr>
      <w:tr w14:paraId="41F2F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FEAF84C">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99E04A">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802D648">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自谈判公告</w:t>
            </w:r>
            <w:r>
              <w:rPr>
                <w:color w:val="auto"/>
                <w:szCs w:val="21"/>
                <w:highlight w:val="none"/>
              </w:rPr>
              <w:t>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谈判公告</w:t>
            </w:r>
            <w:r>
              <w:rPr>
                <w:color w:val="auto"/>
                <w:szCs w:val="21"/>
                <w:highlight w:val="none"/>
              </w:rPr>
              <w:t>发布媒</w:t>
            </w:r>
            <w:r>
              <w:rPr>
                <w:rFonts w:hint="eastAsia"/>
                <w:color w:val="auto"/>
                <w:szCs w:val="21"/>
                <w:highlight w:val="none"/>
              </w:rPr>
              <w:t>体</w:t>
            </w:r>
            <w:r>
              <w:rPr>
                <w:color w:val="auto"/>
                <w:szCs w:val="21"/>
                <w:highlight w:val="none"/>
              </w:rPr>
              <w:t>造成的损失，由供应商自行负责。</w:t>
            </w:r>
          </w:p>
        </w:tc>
      </w:tr>
      <w:tr w14:paraId="3D527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D2B3FC0">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37A2C12">
            <w:pPr>
              <w:spacing w:line="300" w:lineRule="exact"/>
              <w:jc w:val="center"/>
              <w:rPr>
                <w:color w:val="auto"/>
                <w:szCs w:val="21"/>
                <w:highlight w:val="none"/>
              </w:rPr>
            </w:pPr>
            <w:r>
              <w:rPr>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F8D985C">
            <w:pPr>
              <w:spacing w:line="300" w:lineRule="exact"/>
              <w:jc w:val="left"/>
              <w:rPr>
                <w:color w:val="auto"/>
                <w:szCs w:val="21"/>
                <w:highlight w:val="none"/>
              </w:rPr>
            </w:pPr>
            <w:r>
              <w:rPr>
                <w:color w:val="auto"/>
                <w:szCs w:val="21"/>
                <w:highlight w:val="none"/>
              </w:rPr>
              <w:t>响应截止之日起90天。</w:t>
            </w:r>
          </w:p>
        </w:tc>
      </w:tr>
      <w:tr w14:paraId="37F2E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957242A">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7E0F208">
            <w:pPr>
              <w:spacing w:line="300" w:lineRule="exact"/>
              <w:jc w:val="center"/>
              <w:rPr>
                <w:color w:val="auto"/>
                <w:szCs w:val="21"/>
                <w:highlight w:val="none"/>
              </w:rPr>
            </w:pPr>
            <w:r>
              <w:rPr>
                <w:color w:val="auto"/>
                <w:szCs w:val="21"/>
                <w:highlight w:val="none"/>
              </w:rPr>
              <w:t>谈判保证金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BB514E7">
            <w:pPr>
              <w:spacing w:line="312" w:lineRule="auto"/>
              <w:jc w:val="left"/>
              <w:rPr>
                <w:rFonts w:hint="eastAsia"/>
                <w:color w:val="auto"/>
                <w:kern w:val="0"/>
                <w:szCs w:val="21"/>
                <w:highlight w:val="none"/>
              </w:rPr>
            </w:pPr>
            <w:r>
              <w:rPr>
                <w:color w:val="auto"/>
                <w:szCs w:val="21"/>
                <w:highlight w:val="none"/>
              </w:rPr>
              <w:t>谈判保证金</w:t>
            </w:r>
            <w:r>
              <w:rPr>
                <w:rFonts w:hint="eastAsia"/>
                <w:color w:val="auto"/>
                <w:szCs w:val="21"/>
                <w:highlight w:val="none"/>
              </w:rPr>
              <w:t>金额：</w:t>
            </w:r>
            <w:r>
              <w:rPr>
                <w:color w:val="auto"/>
                <w:szCs w:val="21"/>
                <w:highlight w:val="none"/>
              </w:rPr>
              <w:t>A</w:t>
            </w:r>
            <w:r>
              <w:rPr>
                <w:rFonts w:hint="eastAsia"/>
                <w:color w:val="auto"/>
                <w:szCs w:val="21"/>
                <w:highlight w:val="none"/>
              </w:rPr>
              <w:t>分标：人民币</w:t>
            </w:r>
            <w:r>
              <w:rPr>
                <w:rFonts w:hint="eastAsia"/>
                <w:color w:val="auto"/>
                <w:szCs w:val="21"/>
                <w:highlight w:val="none"/>
                <w:lang w:val="en-US" w:eastAsia="zh-CN"/>
              </w:rPr>
              <w:t>叁仟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3</w:t>
            </w:r>
            <w:r>
              <w:rPr>
                <w:color w:val="auto"/>
                <w:szCs w:val="21"/>
                <w:highlight w:val="none"/>
              </w:rPr>
              <w:t>,000.00</w:t>
            </w:r>
            <w:r>
              <w:rPr>
                <w:rFonts w:hint="eastAsia"/>
                <w:color w:val="auto"/>
                <w:szCs w:val="21"/>
                <w:highlight w:val="none"/>
              </w:rPr>
              <w:t>）</w:t>
            </w:r>
            <w:r>
              <w:rPr>
                <w:rFonts w:hint="eastAsia"/>
                <w:color w:val="auto"/>
                <w:szCs w:val="21"/>
                <w:highlight w:val="none"/>
                <w:lang w:eastAsia="zh-CN"/>
              </w:rPr>
              <w:t>，</w:t>
            </w:r>
            <w:r>
              <w:rPr>
                <w:color w:val="auto"/>
                <w:szCs w:val="21"/>
                <w:highlight w:val="none"/>
              </w:rPr>
              <w:t>B</w:t>
            </w:r>
            <w:r>
              <w:rPr>
                <w:rFonts w:hint="eastAsia"/>
                <w:color w:val="auto"/>
                <w:szCs w:val="21"/>
                <w:highlight w:val="none"/>
              </w:rPr>
              <w:t>分标：人民币伍</w:t>
            </w:r>
            <w:r>
              <w:rPr>
                <w:rFonts w:hint="eastAsia"/>
                <w:color w:val="auto"/>
                <w:szCs w:val="21"/>
                <w:highlight w:val="none"/>
                <w:lang w:val="en-US" w:eastAsia="zh-CN"/>
              </w:rPr>
              <w:t>仟</w:t>
            </w:r>
            <w:r>
              <w:rPr>
                <w:rFonts w:hint="eastAsia"/>
                <w:color w:val="auto"/>
                <w:szCs w:val="21"/>
                <w:highlight w:val="none"/>
              </w:rPr>
              <w:t>元整（</w:t>
            </w:r>
            <w:r>
              <w:rPr>
                <w:color w:val="auto"/>
                <w:szCs w:val="21"/>
                <w:highlight w:val="none"/>
              </w:rPr>
              <w:t>¥5,000.00</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C</w:t>
            </w:r>
            <w:r>
              <w:rPr>
                <w:rFonts w:hint="eastAsia"/>
                <w:color w:val="auto"/>
                <w:szCs w:val="21"/>
                <w:highlight w:val="none"/>
              </w:rPr>
              <w:t>分标：人民币</w:t>
            </w:r>
            <w:r>
              <w:rPr>
                <w:rFonts w:hint="eastAsia"/>
                <w:color w:val="auto"/>
                <w:szCs w:val="21"/>
                <w:highlight w:val="none"/>
                <w:lang w:val="en-US" w:eastAsia="zh-CN"/>
              </w:rPr>
              <w:t>叁仟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3</w:t>
            </w:r>
            <w:r>
              <w:rPr>
                <w:color w:val="auto"/>
                <w:szCs w:val="21"/>
                <w:highlight w:val="none"/>
              </w:rPr>
              <w:t>,000.00</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D</w:t>
            </w:r>
            <w:r>
              <w:rPr>
                <w:rFonts w:hint="eastAsia"/>
                <w:color w:val="auto"/>
                <w:szCs w:val="21"/>
                <w:highlight w:val="none"/>
              </w:rPr>
              <w:t>分标：人民币</w:t>
            </w:r>
            <w:r>
              <w:rPr>
                <w:rFonts w:hint="eastAsia"/>
                <w:color w:val="auto"/>
                <w:szCs w:val="21"/>
                <w:highlight w:val="none"/>
                <w:lang w:val="en-US" w:eastAsia="zh-CN"/>
              </w:rPr>
              <w:t>伍仟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5</w:t>
            </w:r>
            <w:r>
              <w:rPr>
                <w:color w:val="auto"/>
                <w:szCs w:val="21"/>
                <w:highlight w:val="none"/>
              </w:rPr>
              <w:t>,000.00</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E</w:t>
            </w:r>
            <w:r>
              <w:rPr>
                <w:rFonts w:hint="eastAsia"/>
                <w:color w:val="auto"/>
                <w:szCs w:val="21"/>
                <w:highlight w:val="none"/>
              </w:rPr>
              <w:t>分标：人民币</w:t>
            </w:r>
            <w:r>
              <w:rPr>
                <w:rFonts w:hint="eastAsia"/>
                <w:color w:val="auto"/>
                <w:szCs w:val="21"/>
                <w:highlight w:val="none"/>
                <w:lang w:val="en-US" w:eastAsia="zh-CN"/>
              </w:rPr>
              <w:t>肆仟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4</w:t>
            </w:r>
            <w:r>
              <w:rPr>
                <w:color w:val="auto"/>
                <w:szCs w:val="21"/>
                <w:highlight w:val="none"/>
              </w:rPr>
              <w:t>,000.00</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F</w:t>
            </w:r>
            <w:r>
              <w:rPr>
                <w:rFonts w:hint="eastAsia"/>
                <w:color w:val="auto"/>
                <w:szCs w:val="21"/>
                <w:highlight w:val="none"/>
              </w:rPr>
              <w:t>分标：人民币</w:t>
            </w:r>
            <w:r>
              <w:rPr>
                <w:rFonts w:hint="eastAsia"/>
                <w:color w:val="auto"/>
                <w:szCs w:val="21"/>
                <w:highlight w:val="none"/>
                <w:lang w:val="en-US" w:eastAsia="zh-CN"/>
              </w:rPr>
              <w:t>肆仟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4</w:t>
            </w:r>
            <w:r>
              <w:rPr>
                <w:color w:val="auto"/>
                <w:szCs w:val="21"/>
                <w:highlight w:val="none"/>
              </w:rPr>
              <w:t>,000.00</w:t>
            </w:r>
            <w:r>
              <w:rPr>
                <w:rFonts w:hint="eastAsia"/>
                <w:color w:val="auto"/>
                <w:szCs w:val="21"/>
                <w:highlight w:val="none"/>
              </w:rPr>
              <w:t>）。</w:t>
            </w:r>
          </w:p>
          <w:p w14:paraId="6DE86F0A">
            <w:pPr>
              <w:spacing w:line="300" w:lineRule="exact"/>
              <w:jc w:val="left"/>
              <w:rPr>
                <w:color w:val="auto"/>
                <w:szCs w:val="21"/>
                <w:highlight w:val="none"/>
              </w:rPr>
            </w:pPr>
            <w:r>
              <w:rPr>
                <w:rFonts w:hint="eastAsia"/>
                <w:color w:val="auto"/>
                <w:szCs w:val="21"/>
                <w:highlight w:val="none"/>
              </w:rPr>
              <w:t>1、缴纳方式一：</w:t>
            </w:r>
          </w:p>
          <w:p w14:paraId="39A59B56">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响应截止</w:t>
            </w:r>
            <w:r>
              <w:rPr>
                <w:color w:val="auto"/>
                <w:szCs w:val="21"/>
                <w:highlight w:val="none"/>
              </w:rPr>
              <w:t>时间前将谈判保证金以电汇、转账形式从供应商账户一次性足额</w:t>
            </w:r>
            <w:r>
              <w:rPr>
                <w:rFonts w:hint="eastAsia"/>
                <w:color w:val="auto"/>
                <w:szCs w:val="21"/>
                <w:highlight w:val="none"/>
              </w:rPr>
              <w:t>缴</w:t>
            </w:r>
            <w:r>
              <w:rPr>
                <w:color w:val="auto"/>
                <w:szCs w:val="21"/>
                <w:highlight w:val="none"/>
              </w:rPr>
              <w:t>纳至本项目（各</w:t>
            </w:r>
            <w:r>
              <w:rPr>
                <w:rFonts w:hint="eastAsia"/>
                <w:color w:val="auto"/>
                <w:szCs w:val="21"/>
                <w:highlight w:val="none"/>
              </w:rPr>
              <w:t>分标</w:t>
            </w:r>
            <w:r>
              <w:rPr>
                <w:color w:val="auto"/>
                <w:szCs w:val="21"/>
                <w:highlight w:val="none"/>
              </w:rPr>
              <w:t>）对应的专用虚拟账号，所交纳的谈判保证金仅限当次项目（</w:t>
            </w:r>
            <w:r>
              <w:rPr>
                <w:rFonts w:hint="eastAsia"/>
                <w:color w:val="auto"/>
                <w:szCs w:val="21"/>
                <w:highlight w:val="none"/>
              </w:rPr>
              <w:t>分标</w:t>
            </w:r>
            <w:r>
              <w:rPr>
                <w:color w:val="auto"/>
                <w:szCs w:val="21"/>
                <w:highlight w:val="none"/>
              </w:rPr>
              <w:t>）有效，不得重复替代使用。本项目谈判保证金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4BB74598">
            <w:pPr>
              <w:spacing w:line="300" w:lineRule="exact"/>
              <w:jc w:val="left"/>
              <w:rPr>
                <w:rFonts w:hint="eastAsia"/>
                <w:color w:val="auto"/>
                <w:szCs w:val="21"/>
                <w:highlight w:val="none"/>
              </w:rPr>
            </w:pPr>
            <w:r>
              <w:rPr>
                <w:rFonts w:hint="eastAsia"/>
                <w:color w:val="auto"/>
                <w:szCs w:val="21"/>
                <w:highlight w:val="none"/>
              </w:rPr>
              <w:t>A</w:t>
            </w:r>
            <w:r>
              <w:rPr>
                <w:color w:val="auto"/>
                <w:szCs w:val="21"/>
                <w:highlight w:val="none"/>
              </w:rPr>
              <w:t>分标</w:t>
            </w:r>
            <w:r>
              <w:rPr>
                <w:rFonts w:hint="eastAsia"/>
                <w:color w:val="auto"/>
                <w:szCs w:val="21"/>
                <w:highlight w:val="none"/>
              </w:rPr>
              <w:t>：</w:t>
            </w:r>
          </w:p>
          <w:p w14:paraId="72066C3F">
            <w:pPr>
              <w:spacing w:line="300" w:lineRule="exact"/>
              <w:jc w:val="left"/>
              <w:rPr>
                <w:rFonts w:hint="eastAsia"/>
                <w:color w:val="auto"/>
                <w:szCs w:val="21"/>
                <w:highlight w:val="none"/>
              </w:rPr>
            </w:pPr>
            <w:r>
              <w:rPr>
                <w:rFonts w:hint="eastAsia"/>
                <w:color w:val="auto"/>
                <w:szCs w:val="21"/>
                <w:highlight w:val="none"/>
              </w:rPr>
              <w:t>开户银行</w:t>
            </w:r>
            <w:r>
              <w:rPr>
                <w:rFonts w:hint="eastAsia"/>
                <w:color w:val="auto"/>
                <w:szCs w:val="21"/>
                <w:highlight w:val="none"/>
                <w:lang w:eastAsia="zh-CN"/>
              </w:rPr>
              <w:t>：</w:t>
            </w:r>
            <w:r>
              <w:rPr>
                <w:rFonts w:hint="eastAsia"/>
                <w:color w:val="auto"/>
                <w:szCs w:val="21"/>
                <w:highlight w:val="none"/>
              </w:rPr>
              <w:t>平安银行南宁分行营业部</w:t>
            </w:r>
          </w:p>
          <w:p w14:paraId="2857866E">
            <w:pPr>
              <w:spacing w:line="300" w:lineRule="exact"/>
              <w:jc w:val="left"/>
              <w:rPr>
                <w:rFonts w:hint="eastAsia"/>
                <w:color w:val="auto"/>
                <w:szCs w:val="21"/>
                <w:highlight w:val="none"/>
              </w:rPr>
            </w:pPr>
            <w:r>
              <w:rPr>
                <w:rFonts w:hint="eastAsia"/>
                <w:color w:val="auto"/>
                <w:szCs w:val="21"/>
                <w:highlight w:val="none"/>
              </w:rPr>
              <w:t>开户名称</w:t>
            </w:r>
            <w:r>
              <w:rPr>
                <w:rFonts w:hint="eastAsia"/>
                <w:color w:val="auto"/>
                <w:szCs w:val="21"/>
                <w:highlight w:val="none"/>
                <w:lang w:eastAsia="zh-CN"/>
              </w:rPr>
              <w:t>：</w:t>
            </w:r>
            <w:r>
              <w:rPr>
                <w:rFonts w:hint="eastAsia"/>
                <w:color w:val="auto"/>
                <w:szCs w:val="21"/>
                <w:highlight w:val="none"/>
              </w:rPr>
              <w:t>广西机电设备招标有限公司</w:t>
            </w:r>
          </w:p>
          <w:p w14:paraId="3B680F0B">
            <w:pPr>
              <w:spacing w:line="300" w:lineRule="exact"/>
              <w:jc w:val="left"/>
              <w:rPr>
                <w:color w:val="auto"/>
                <w:szCs w:val="21"/>
                <w:highlight w:val="none"/>
              </w:rPr>
            </w:pPr>
            <w:r>
              <w:rPr>
                <w:rFonts w:hint="eastAsia"/>
                <w:color w:val="auto"/>
                <w:szCs w:val="21"/>
                <w:highlight w:val="none"/>
              </w:rPr>
              <w:t>开户账号</w:t>
            </w:r>
            <w:r>
              <w:rPr>
                <w:rFonts w:hint="eastAsia"/>
                <w:color w:val="auto"/>
                <w:szCs w:val="21"/>
                <w:highlight w:val="none"/>
                <w:lang w:eastAsia="zh-CN"/>
              </w:rPr>
              <w:t>：</w:t>
            </w:r>
            <w:r>
              <w:rPr>
                <w:rFonts w:hint="eastAsia"/>
                <w:color w:val="auto"/>
                <w:szCs w:val="21"/>
                <w:highlight w:val="none"/>
              </w:rPr>
              <w:t>30210485707545</w:t>
            </w:r>
            <w:r>
              <w:rPr>
                <w:color w:val="auto"/>
                <w:szCs w:val="21"/>
                <w:highlight w:val="none"/>
              </w:rPr>
              <w:t xml:space="preserve">  </w:t>
            </w:r>
          </w:p>
          <w:p w14:paraId="051DB69E">
            <w:pPr>
              <w:spacing w:line="300" w:lineRule="exact"/>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B分标：</w:t>
            </w:r>
          </w:p>
          <w:p w14:paraId="2E65CE9C">
            <w:pPr>
              <w:spacing w:line="300" w:lineRule="exact"/>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开户银行：平安银行南宁分行营业部</w:t>
            </w:r>
          </w:p>
          <w:p w14:paraId="45DF1196">
            <w:pPr>
              <w:spacing w:line="300" w:lineRule="exact"/>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开户名称：广西机电设备招标有限公司</w:t>
            </w:r>
          </w:p>
          <w:p w14:paraId="30D3F0FD">
            <w:pPr>
              <w:spacing w:line="300" w:lineRule="exact"/>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开户账户：30210485393022</w:t>
            </w:r>
          </w:p>
          <w:p w14:paraId="5A7D97BD">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C分标：</w:t>
            </w:r>
          </w:p>
          <w:p w14:paraId="4E7121D7">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开户银行：平安银行南宁分行营业部</w:t>
            </w:r>
          </w:p>
          <w:p w14:paraId="330D9E7A">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开户名称：广西机电设备招标有限公司</w:t>
            </w:r>
          </w:p>
          <w:p w14:paraId="48BAE0CA">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开户账户：30210485078499</w:t>
            </w:r>
          </w:p>
          <w:p w14:paraId="5FAE225D">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D分标：</w:t>
            </w:r>
          </w:p>
          <w:p w14:paraId="4DDDCE22">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开户银行：平安银行南宁分行营业部</w:t>
            </w:r>
          </w:p>
          <w:p w14:paraId="797012F0">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开户名称：广西机电设备招标有限公司</w:t>
            </w:r>
          </w:p>
          <w:p w14:paraId="7A5797F9">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开户账户：30210485763976</w:t>
            </w:r>
          </w:p>
          <w:p w14:paraId="1551391D">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E分标：</w:t>
            </w:r>
          </w:p>
          <w:p w14:paraId="70D23FE3">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开户银行：平安银行南宁分行营业部</w:t>
            </w:r>
          </w:p>
          <w:p w14:paraId="2767B0A8">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开户名称：广西机电设备招标有限公司</w:t>
            </w:r>
          </w:p>
          <w:p w14:paraId="613D3F68">
            <w:pPr>
              <w:spacing w:line="300" w:lineRule="exact"/>
              <w:jc w:val="left"/>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开户账户：30210485449453</w:t>
            </w:r>
          </w:p>
          <w:p w14:paraId="5D1A8614">
            <w:pPr>
              <w:spacing w:line="300" w:lineRule="exact"/>
              <w:jc w:val="left"/>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F分标：</w:t>
            </w:r>
          </w:p>
          <w:p w14:paraId="54A8B660">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开户银行：平安银行南宁分行营业部</w:t>
            </w:r>
          </w:p>
          <w:p w14:paraId="5680E6A3">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开户名称：广西机电设备招标有限公司</w:t>
            </w:r>
          </w:p>
          <w:p w14:paraId="4E3CD440">
            <w:pPr>
              <w:spacing w:line="300" w:lineRule="exact"/>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开户账户：30210485134930</w:t>
            </w:r>
          </w:p>
          <w:p w14:paraId="1A99EA7B">
            <w:pPr>
              <w:spacing w:line="300" w:lineRule="exact"/>
              <w:jc w:val="left"/>
              <w:rPr>
                <w:color w:val="auto"/>
                <w:szCs w:val="21"/>
                <w:highlight w:val="none"/>
              </w:rPr>
            </w:pPr>
            <w:r>
              <w:rPr>
                <w:color w:val="auto"/>
                <w:szCs w:val="21"/>
                <w:highlight w:val="none"/>
              </w:rPr>
              <w:t>特别说明：本项目保证金采用虚拟账号，为保证谈判保证金与项目一一对应，供应商如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响应</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谈判保证金。</w:t>
            </w:r>
          </w:p>
          <w:p w14:paraId="5A46C5C6">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谈判保证金币种应与响应报价币种相同。</w:t>
            </w:r>
            <w:r>
              <w:rPr>
                <w:rFonts w:hint="eastAsia"/>
                <w:color w:val="auto"/>
                <w:szCs w:val="21"/>
                <w:highlight w:val="none"/>
              </w:rPr>
              <w:t>谈判保证金缴纳</w:t>
            </w:r>
            <w:r>
              <w:rPr>
                <w:color w:val="auto"/>
                <w:szCs w:val="21"/>
                <w:highlight w:val="none"/>
              </w:rPr>
              <w:t>后无需开具收据，</w:t>
            </w:r>
            <w:r>
              <w:rPr>
                <w:rFonts w:hint="eastAsia"/>
                <w:color w:val="auto"/>
                <w:szCs w:val="21"/>
                <w:highlight w:val="none"/>
              </w:rPr>
              <w:t>供应商应在响应文件中放入转账底单或电汇凭证的复印件，</w:t>
            </w:r>
            <w:r>
              <w:rPr>
                <w:color w:val="auto"/>
                <w:szCs w:val="21"/>
                <w:highlight w:val="none"/>
              </w:rPr>
              <w:t>必须在</w:t>
            </w:r>
            <w:r>
              <w:rPr>
                <w:rFonts w:hint="eastAsia"/>
                <w:color w:val="auto"/>
                <w:szCs w:val="21"/>
                <w:highlight w:val="none"/>
              </w:rPr>
              <w:t>响应</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14AFD565">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采购文件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交纳保证金后未参加响应活动或谈判保证金缴纳错误而</w:t>
            </w:r>
            <w:r>
              <w:rPr>
                <w:color w:val="auto"/>
                <w:szCs w:val="21"/>
                <w:highlight w:val="none"/>
              </w:rPr>
              <w:t>导致</w:t>
            </w:r>
            <w:r>
              <w:rPr>
                <w:rFonts w:hint="eastAsia"/>
                <w:color w:val="auto"/>
                <w:szCs w:val="21"/>
                <w:highlight w:val="none"/>
              </w:rPr>
              <w:t>谈判保证金</w:t>
            </w:r>
            <w:r>
              <w:rPr>
                <w:color w:val="auto"/>
                <w:szCs w:val="21"/>
                <w:highlight w:val="none"/>
              </w:rPr>
              <w:t>无法及时退还的责任</w:t>
            </w:r>
            <w:r>
              <w:rPr>
                <w:rFonts w:hint="eastAsia"/>
                <w:color w:val="auto"/>
                <w:szCs w:val="21"/>
                <w:highlight w:val="none"/>
              </w:rPr>
              <w:t>。</w:t>
            </w:r>
          </w:p>
          <w:p w14:paraId="54C3C944">
            <w:pPr>
              <w:spacing w:line="300" w:lineRule="exact"/>
              <w:jc w:val="left"/>
              <w:rPr>
                <w:color w:val="auto"/>
                <w:szCs w:val="21"/>
                <w:highlight w:val="none"/>
              </w:rPr>
            </w:pPr>
            <w:r>
              <w:rPr>
                <w:rFonts w:hint="eastAsia"/>
                <w:color w:val="auto"/>
                <w:szCs w:val="21"/>
                <w:highlight w:val="none"/>
              </w:rPr>
              <w:t>2、缴纳方式二：</w:t>
            </w:r>
          </w:p>
          <w:p w14:paraId="674D21F8">
            <w:pPr>
              <w:spacing w:line="300" w:lineRule="exact"/>
              <w:jc w:val="left"/>
              <w:rPr>
                <w:color w:val="auto"/>
                <w:szCs w:val="21"/>
                <w:highlight w:val="none"/>
              </w:rPr>
            </w:pPr>
            <w:r>
              <w:rPr>
                <w:color w:val="auto"/>
                <w:szCs w:val="21"/>
                <w:highlight w:val="none"/>
              </w:rPr>
              <w:t>供应商</w:t>
            </w:r>
            <w:r>
              <w:rPr>
                <w:rFonts w:hint="eastAsia"/>
                <w:color w:val="auto"/>
                <w:szCs w:val="21"/>
                <w:highlight w:val="none"/>
              </w:rPr>
              <w:t>可</w:t>
            </w:r>
            <w:r>
              <w:rPr>
                <w:color w:val="auto"/>
                <w:szCs w:val="21"/>
                <w:highlight w:val="none"/>
              </w:rPr>
              <w:t>于</w:t>
            </w:r>
            <w:r>
              <w:rPr>
                <w:rFonts w:hint="eastAsia"/>
                <w:color w:val="auto"/>
                <w:szCs w:val="21"/>
                <w:highlight w:val="none"/>
              </w:rPr>
              <w:t>响应截止</w:t>
            </w:r>
            <w:r>
              <w:rPr>
                <w:color w:val="auto"/>
                <w:szCs w:val="21"/>
                <w:highlight w:val="none"/>
              </w:rPr>
              <w:t>时间前</w:t>
            </w:r>
            <w:r>
              <w:rPr>
                <w:rFonts w:hint="eastAsia"/>
                <w:color w:val="auto"/>
                <w:szCs w:val="21"/>
                <w:highlight w:val="none"/>
              </w:rPr>
              <w:t>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w:t>
            </w:r>
            <w:r>
              <w:rPr>
                <w:color w:val="auto"/>
                <w:szCs w:val="21"/>
                <w:highlight w:val="none"/>
              </w:rPr>
              <w:t>采购代理机构</w:t>
            </w:r>
            <w:r>
              <w:rPr>
                <w:rFonts w:hint="eastAsia"/>
                <w:color w:val="auto"/>
                <w:szCs w:val="21"/>
                <w:highlight w:val="none"/>
              </w:rPr>
              <w:t>递交支票、汇票、本票或者保函原件，保证金原件放入一个密封袋中，并在封口处加盖供应商公章或被授权人签字，在封套上标记“项目名称（项目编号）响应保证金”字样。具体收件地址、收件人及联系电话详见谈判公告。</w:t>
            </w:r>
          </w:p>
          <w:p w14:paraId="211C5A3A">
            <w:pPr>
              <w:spacing w:line="300" w:lineRule="exact"/>
              <w:jc w:val="left"/>
              <w:rPr>
                <w:color w:val="auto"/>
                <w:szCs w:val="21"/>
                <w:highlight w:val="none"/>
              </w:rPr>
            </w:pPr>
            <w:r>
              <w:rPr>
                <w:rFonts w:hint="eastAsia"/>
                <w:color w:val="auto"/>
                <w:szCs w:val="21"/>
                <w:highlight w:val="none"/>
              </w:rPr>
              <w:t>3、响应保证金有下列情形之一的，视为保证金无效：</w:t>
            </w:r>
          </w:p>
          <w:p w14:paraId="119DA250">
            <w:pPr>
              <w:spacing w:line="300" w:lineRule="exact"/>
              <w:jc w:val="left"/>
              <w:rPr>
                <w:color w:val="auto"/>
                <w:szCs w:val="21"/>
                <w:highlight w:val="none"/>
              </w:rPr>
            </w:pPr>
            <w:r>
              <w:rPr>
                <w:rFonts w:hint="eastAsia"/>
                <w:color w:val="auto"/>
                <w:szCs w:val="21"/>
                <w:highlight w:val="none"/>
              </w:rPr>
              <w:t>（1）保证金在响应截止时间后提交的，或者不按规定交纳方式交纳的，或者未足额交纳的（包含保函额度不足的）的；</w:t>
            </w:r>
          </w:p>
          <w:p w14:paraId="02F19DC5">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2578DD1C">
            <w:pPr>
              <w:spacing w:line="300" w:lineRule="exact"/>
              <w:jc w:val="left"/>
              <w:rPr>
                <w:color w:val="auto"/>
                <w:szCs w:val="21"/>
                <w:highlight w:val="none"/>
              </w:rPr>
            </w:pPr>
            <w:r>
              <w:rPr>
                <w:rFonts w:hint="eastAsia"/>
                <w:color w:val="auto"/>
                <w:szCs w:val="21"/>
                <w:highlight w:val="none"/>
              </w:rPr>
              <w:t>（3）保函有效期低于响应有效期的；</w:t>
            </w:r>
          </w:p>
          <w:p w14:paraId="44952908">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766A2D71">
            <w:pPr>
              <w:spacing w:line="300" w:lineRule="exact"/>
              <w:jc w:val="left"/>
              <w:rPr>
                <w:color w:val="auto"/>
                <w:szCs w:val="21"/>
                <w:highlight w:val="none"/>
              </w:rPr>
            </w:pPr>
            <w:r>
              <w:rPr>
                <w:rFonts w:hint="eastAsia"/>
                <w:color w:val="auto"/>
                <w:szCs w:val="21"/>
                <w:highlight w:val="none"/>
              </w:rPr>
              <w:t>4、</w:t>
            </w:r>
            <w:r>
              <w:rPr>
                <w:color w:val="auto"/>
                <w:szCs w:val="21"/>
                <w:highlight w:val="none"/>
              </w:rPr>
              <w:t>财务部联系电话：0771-2821398</w:t>
            </w:r>
          </w:p>
          <w:p w14:paraId="319B1FC6">
            <w:pPr>
              <w:spacing w:line="300" w:lineRule="exact"/>
              <w:jc w:val="left"/>
              <w:rPr>
                <w:b/>
                <w:bCs/>
                <w:color w:val="auto"/>
                <w:szCs w:val="21"/>
                <w:highlight w:val="none"/>
              </w:rPr>
            </w:pPr>
            <w:r>
              <w:rPr>
                <w:rFonts w:hint="eastAsia"/>
                <w:b/>
                <w:bCs/>
                <w:color w:val="auto"/>
                <w:szCs w:val="21"/>
                <w:highlight w:val="none"/>
              </w:rPr>
              <w:t>注：为保证谈判保证金退还的及时性与便利性，鼓励优先采用方式一递交谈判保证金。</w:t>
            </w:r>
          </w:p>
        </w:tc>
      </w:tr>
      <w:tr w14:paraId="72186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2D0707E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587CC89E">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4F00F5E0">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响应文件应按第六章响应文件格式分别编制并使用下载的广西政府采购云平台新版客户端上传。</w:t>
            </w:r>
          </w:p>
        </w:tc>
      </w:tr>
      <w:tr w14:paraId="4B87F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3F0D57">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D10C6D">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26F0C46">
            <w:pPr>
              <w:spacing w:line="300" w:lineRule="exact"/>
              <w:jc w:val="left"/>
              <w:rPr>
                <w:color w:val="auto"/>
                <w:szCs w:val="21"/>
                <w:highlight w:val="none"/>
              </w:rPr>
            </w:pPr>
            <w:r>
              <w:rPr>
                <w:rFonts w:hint="eastAsia"/>
                <w:color w:val="auto"/>
                <w:kern w:val="0"/>
                <w:szCs w:val="21"/>
                <w:highlight w:val="none"/>
              </w:rPr>
              <w:t>见谈判公告要求</w:t>
            </w:r>
            <w:r>
              <w:rPr>
                <w:rFonts w:hint="eastAsia"/>
                <w:color w:val="auto"/>
                <w:szCs w:val="21"/>
                <w:highlight w:val="none"/>
              </w:rPr>
              <w:t>。</w:t>
            </w:r>
          </w:p>
        </w:tc>
      </w:tr>
      <w:tr w14:paraId="613CF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9AFC4A4">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52553B5">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32C7EA">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01A9D03F">
            <w:pPr>
              <w:spacing w:line="276" w:lineRule="auto"/>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341C2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BB2079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12AE826">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38A355">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w:t>
            </w:r>
          </w:p>
        </w:tc>
      </w:tr>
      <w:tr w14:paraId="5C7CB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909BB80">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4974A2">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B9E62A">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 xml:space="preserve">否 </w:t>
            </w:r>
          </w:p>
        </w:tc>
      </w:tr>
      <w:tr w14:paraId="750CE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21DAC9">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9A5E46">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val="en-US" w:eastAsia="zh-CN"/>
              </w:rPr>
              <w:t>谈判</w:t>
            </w:r>
            <w:r>
              <w:rPr>
                <w:rFonts w:hint="eastAsia" w:ascii="宋体" w:hAnsi="宋体"/>
                <w:color w:val="auto"/>
                <w:szCs w:val="21"/>
                <w:highlight w:val="none"/>
                <w:lang w:eastAsia="zh-CN"/>
              </w:rPr>
              <w:t>小组在资格审查结束前，对</w:t>
            </w:r>
            <w:r>
              <w:rPr>
                <w:rFonts w:hint="eastAsia" w:ascii="宋体" w:hAnsi="宋体"/>
                <w:color w:val="auto"/>
                <w:szCs w:val="21"/>
                <w:highlight w:val="none"/>
                <w:lang w:val="en-US" w:eastAsia="zh-CN"/>
              </w:rPr>
              <w:t>供应商</w:t>
            </w:r>
            <w:r>
              <w:rPr>
                <w:rFonts w:hint="eastAsia" w:ascii="宋体" w:hAnsi="宋体"/>
                <w:color w:val="auto"/>
                <w:szCs w:val="21"/>
                <w:highlight w:val="none"/>
                <w:lang w:eastAsia="zh-CN"/>
              </w:rPr>
              <w:t>进行信用查询。</w:t>
            </w:r>
          </w:p>
          <w:p w14:paraId="3029BDC8">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2CE1D1B2">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2B9DE05D">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0A263D21">
            <w:pPr>
              <w:snapToGrid w:val="0"/>
              <w:spacing w:line="38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411D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C45412">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8CA81">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5485BFD3">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7AC20D">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评审中出现下列情形之一的，评审委员会应当启动异常低价响应审查程序：</w:t>
            </w:r>
          </w:p>
          <w:p w14:paraId="199ACC4D">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69116C0D">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1874D71C">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62873DCA">
            <w:pPr>
              <w:spacing w:line="276" w:lineRule="auto"/>
              <w:rPr>
                <w:rFonts w:hint="eastAsia"/>
                <w:color w:val="auto"/>
                <w:szCs w:val="21"/>
                <w:highlight w:val="none"/>
                <w:lang w:val="en-US" w:eastAsia="zh-CN"/>
              </w:rPr>
            </w:pPr>
            <w:r>
              <w:rPr>
                <w:rFonts w:hint="eastAsia"/>
                <w:color w:val="auto"/>
                <w:szCs w:val="21"/>
                <w:highlight w:val="none"/>
                <w:lang w:val="en-US" w:eastAsia="zh-CN"/>
              </w:rPr>
              <w:t>（4）评审委员会基于专业判断，认为供应商报价过低，有可能影响产品质量或者不能诚信履约的其他情形。</w:t>
            </w:r>
          </w:p>
          <w:p w14:paraId="4AB7B1C0">
            <w:pPr>
              <w:pStyle w:val="19"/>
              <w:rPr>
                <w:rFonts w:hint="eastAsia"/>
                <w:color w:val="auto"/>
                <w:sz w:val="21"/>
                <w:szCs w:val="21"/>
                <w:highlight w:val="none"/>
                <w:lang w:val="en-US" w:eastAsia="zh-CN"/>
              </w:rPr>
            </w:pPr>
            <w:r>
              <w:rPr>
                <w:color w:val="auto"/>
                <w:sz w:val="21"/>
                <w:szCs w:val="21"/>
                <w:highlight w:val="none"/>
              </w:rPr>
              <w:sym w:font="Wingdings 2" w:char="00A3"/>
            </w:r>
            <w:r>
              <w:rPr>
                <w:rFonts w:hint="eastAsia"/>
                <w:color w:val="auto"/>
                <w:sz w:val="21"/>
                <w:szCs w:val="21"/>
                <w:highlight w:val="none"/>
                <w:lang w:val="en-US" w:eastAsia="zh-CN"/>
              </w:rPr>
              <w:t>评审中出现下列情形之一的，评审委员会应当启动异常低价响应审查程序</w:t>
            </w:r>
            <w:r>
              <w:rPr>
                <w:rFonts w:hint="eastAsia"/>
                <w:color w:val="auto"/>
                <w:sz w:val="21"/>
                <w:szCs w:val="21"/>
                <w:highlight w:val="none"/>
                <w:lang w:eastAsia="zh-CN"/>
              </w:rPr>
              <w:t>：</w:t>
            </w:r>
          </w:p>
          <w:p w14:paraId="46ACD208">
            <w:pPr>
              <w:pStyle w:val="19"/>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232CA4C0">
            <w:pPr>
              <w:pStyle w:val="19"/>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22873867">
            <w:pPr>
              <w:pStyle w:val="19"/>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4D16247C">
            <w:pPr>
              <w:pStyle w:val="19"/>
              <w:rPr>
                <w:color w:val="auto"/>
                <w:kern w:val="2"/>
                <w:sz w:val="22"/>
                <w:szCs w:val="22"/>
                <w:highlight w:val="none"/>
                <w:lang w:val="en-US" w:eastAsia="zh-CN" w:bidi="ar-SA"/>
              </w:rPr>
            </w:pPr>
            <w:r>
              <w:rPr>
                <w:rFonts w:hint="eastAsia"/>
                <w:color w:val="auto"/>
                <w:sz w:val="21"/>
                <w:szCs w:val="21"/>
                <w:highlight w:val="none"/>
                <w:lang w:val="en-US" w:eastAsia="zh-CN"/>
              </w:rPr>
              <w:t>（4）评审委员会基于专业判断，认为供应商报价过低，有可能影响产品质量或者不能诚信履约的其他情形。</w:t>
            </w:r>
          </w:p>
        </w:tc>
      </w:tr>
      <w:tr w14:paraId="43F7F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5FD4F54">
            <w:pPr>
              <w:spacing w:line="300" w:lineRule="exact"/>
              <w:jc w:val="center"/>
              <w:rPr>
                <w:rFonts w:hint="eastAsia" w:eastAsia="宋体"/>
                <w:b/>
                <w:color w:val="auto"/>
                <w:szCs w:val="21"/>
                <w:highlight w:val="none"/>
                <w:lang w:val="en-US" w:eastAsia="zh-CN"/>
              </w:rPr>
            </w:pPr>
            <w:r>
              <w:rPr>
                <w:rFonts w:hint="eastAsia"/>
                <w:b/>
                <w:color w:val="auto"/>
                <w:szCs w:val="21"/>
                <w:highlight w:val="none"/>
              </w:rPr>
              <w:t>6</w:t>
            </w:r>
            <w:r>
              <w:rPr>
                <w:rFonts w:hint="eastAsia"/>
                <w:b/>
                <w:color w:val="auto"/>
                <w:szCs w:val="21"/>
                <w:highlight w:val="none"/>
                <w:lang w:val="en-US" w:eastAsia="zh-CN"/>
              </w:rPr>
              <w:t>.</w:t>
            </w:r>
            <w:r>
              <w:rPr>
                <w:b/>
                <w:color w:val="auto"/>
                <w:szCs w:val="21"/>
                <w:highlight w:val="none"/>
              </w:rPr>
              <w:t>3</w:t>
            </w:r>
            <w:r>
              <w:rPr>
                <w:rFonts w:hint="eastAsia"/>
                <w:b/>
                <w:color w:val="auto"/>
                <w:szCs w:val="21"/>
                <w:highlight w:val="none"/>
              </w:rPr>
              <w:t>.</w:t>
            </w:r>
            <w:r>
              <w:rPr>
                <w:rFonts w:hint="eastAsia"/>
                <w:b/>
                <w:color w:val="auto"/>
                <w:szCs w:val="21"/>
                <w:highlight w:val="none"/>
                <w:lang w:val="en-US" w:eastAsia="zh-CN"/>
              </w:rPr>
              <w:t>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B22E32">
            <w:pPr>
              <w:spacing w:line="300" w:lineRule="exact"/>
              <w:jc w:val="center"/>
              <w:rPr>
                <w:color w:val="auto"/>
                <w:szCs w:val="21"/>
                <w:highlight w:val="none"/>
              </w:rPr>
            </w:pPr>
            <w:r>
              <w:rPr>
                <w:rFonts w:hint="eastAsia"/>
                <w:color w:val="auto"/>
                <w:szCs w:val="21"/>
                <w:highlight w:val="none"/>
              </w:rPr>
              <w:t>相同品牌推荐方式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5FB9BA4">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采购人委托谈判小组确定   □采购人确定</w:t>
            </w:r>
          </w:p>
        </w:tc>
      </w:tr>
      <w:tr w14:paraId="32FA7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DE57520">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E4F208">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28970FF">
            <w:pPr>
              <w:spacing w:line="300" w:lineRule="exact"/>
              <w:jc w:val="left"/>
              <w:rPr>
                <w:color w:val="auto"/>
                <w:szCs w:val="21"/>
                <w:highlight w:val="none"/>
              </w:rPr>
            </w:pPr>
            <w:r>
              <w:rPr>
                <w:color w:val="auto"/>
                <w:szCs w:val="21"/>
                <w:highlight w:val="none"/>
              </w:rPr>
              <w:t>采购代理机构在采购人依法确认成交供应商后2个工作日内在</w:t>
            </w:r>
            <w:r>
              <w:rPr>
                <w:rFonts w:hint="eastAsia"/>
                <w:color w:val="auto"/>
                <w:szCs w:val="21"/>
                <w:highlight w:val="none"/>
              </w:rPr>
              <w:t>谈判</w:t>
            </w:r>
            <w:r>
              <w:rPr>
                <w:color w:val="auto"/>
                <w:szCs w:val="21"/>
                <w:highlight w:val="none"/>
              </w:rPr>
              <w:t>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79D22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59A3F3A">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C94274">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688990">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05E3A709">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47910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93C3572">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1D17E4">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E6AE078">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547F9AE9">
            <w:pPr>
              <w:spacing w:line="300" w:lineRule="exact"/>
              <w:ind w:firstLine="420" w:firstLineChars="200"/>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，供应商可通过现场或邮寄方式递交书面质疑材料。供应商应于质疑有效期内将质疑函原件递交或邮寄至谈判公告中采购代理机构信息中的联系人。</w:t>
            </w:r>
          </w:p>
        </w:tc>
      </w:tr>
      <w:tr w14:paraId="301A3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DA791FD">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884F4A9">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4387903">
            <w:pPr>
              <w:rPr>
                <w:color w:val="auto"/>
                <w:szCs w:val="21"/>
                <w:highlight w:val="none"/>
              </w:rPr>
            </w:pPr>
            <w:r>
              <w:rPr>
                <w:color w:val="auto"/>
                <w:szCs w:val="21"/>
                <w:highlight w:val="none"/>
              </w:rPr>
              <w:t>（1）</w:t>
            </w:r>
            <w:r>
              <w:rPr>
                <w:color w:val="auto"/>
                <w:szCs w:val="20"/>
                <w:highlight w:val="none"/>
              </w:rPr>
              <w:t>代理服务费</w:t>
            </w:r>
          </w:p>
          <w:p w14:paraId="10AC331E">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(计价格﹝2002﹞1980号)、《国家发展改革委关于降低部分建设项目收费标准规范收费行为等有关问题的通知》(发改价格﹝2011﹞534号)规定</w:t>
            </w:r>
            <w:r>
              <w:rPr>
                <w:rFonts w:hint="eastAsia"/>
                <w:color w:val="auto"/>
                <w:szCs w:val="21"/>
                <w:highlight w:val="none"/>
              </w:rPr>
              <w:t>的</w:t>
            </w:r>
            <w:r>
              <w:rPr>
                <w:rFonts w:hint="eastAsia"/>
                <w:color w:val="auto"/>
                <w:szCs w:val="21"/>
                <w:highlight w:val="none"/>
                <w:lang w:val="en-US" w:eastAsia="zh-CN"/>
              </w:rPr>
              <w:t>65%</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01B74334">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116429DD">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4D0ABD6F">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7D432731">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0F50F615">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35939797">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192C5806">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73A930E1">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7E43C996">
            <w:pPr>
              <w:spacing w:line="300" w:lineRule="exact"/>
              <w:jc w:val="left"/>
              <w:rPr>
                <w:color w:val="auto"/>
                <w:szCs w:val="21"/>
                <w:highlight w:val="none"/>
              </w:rPr>
            </w:pPr>
            <w:r>
              <w:rPr>
                <w:rFonts w:hint="eastAsia"/>
                <w:color w:val="auto"/>
                <w:szCs w:val="21"/>
                <w:highlight w:val="none"/>
              </w:rPr>
              <w:t>……</w:t>
            </w:r>
          </w:p>
          <w:p w14:paraId="4A6081B9">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3650C49F">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65F3F687">
            <w:pPr>
              <w:spacing w:line="300" w:lineRule="exact"/>
              <w:jc w:val="left"/>
              <w:rPr>
                <w:color w:val="auto"/>
                <w:szCs w:val="21"/>
                <w:highlight w:val="none"/>
              </w:rPr>
            </w:pPr>
            <w:r>
              <w:rPr>
                <w:color w:val="auto"/>
                <w:szCs w:val="21"/>
                <w:highlight w:val="none"/>
              </w:rPr>
              <w:t>100万元×1.5%＝1.5万元</w:t>
            </w:r>
          </w:p>
          <w:p w14:paraId="7355D8D3">
            <w:pPr>
              <w:spacing w:line="300" w:lineRule="exact"/>
              <w:jc w:val="left"/>
              <w:rPr>
                <w:color w:val="auto"/>
                <w:szCs w:val="21"/>
                <w:highlight w:val="none"/>
              </w:rPr>
            </w:pPr>
            <w:r>
              <w:rPr>
                <w:color w:val="auto"/>
                <w:szCs w:val="21"/>
                <w:highlight w:val="none"/>
              </w:rPr>
              <w:t>（300－100）万元×1.1%＝2.2万元</w:t>
            </w:r>
          </w:p>
          <w:p w14:paraId="454D406B">
            <w:pPr>
              <w:spacing w:line="300" w:lineRule="exact"/>
              <w:jc w:val="left"/>
              <w:rPr>
                <w:color w:val="auto"/>
                <w:szCs w:val="21"/>
                <w:highlight w:val="none"/>
              </w:rPr>
            </w:pPr>
            <w:r>
              <w:rPr>
                <w:color w:val="auto"/>
                <w:szCs w:val="21"/>
                <w:highlight w:val="none"/>
              </w:rPr>
              <w:t>合计收费＝</w:t>
            </w:r>
            <w:r>
              <w:rPr>
                <w:rFonts w:hint="eastAsia"/>
                <w:color w:val="auto"/>
                <w:szCs w:val="21"/>
                <w:highlight w:val="none"/>
                <w:lang w:eastAsia="zh-CN"/>
              </w:rPr>
              <w:t>（</w:t>
            </w:r>
            <w:r>
              <w:rPr>
                <w:color w:val="auto"/>
                <w:szCs w:val="21"/>
                <w:highlight w:val="none"/>
              </w:rPr>
              <w:t>1.5＋2.2</w:t>
            </w:r>
            <w:r>
              <w:rPr>
                <w:rFonts w:hint="eastAsia"/>
                <w:color w:val="auto"/>
                <w:szCs w:val="21"/>
                <w:highlight w:val="none"/>
                <w:lang w:eastAsia="zh-CN"/>
              </w:rPr>
              <w:t>）</w:t>
            </w:r>
            <w:r>
              <w:rPr>
                <w:rFonts w:hint="eastAsia"/>
                <w:color w:val="auto"/>
                <w:szCs w:val="21"/>
                <w:highlight w:val="none"/>
                <w:lang w:val="en-US" w:eastAsia="zh-CN"/>
              </w:rPr>
              <w:t>*65%</w:t>
            </w:r>
            <w:r>
              <w:rPr>
                <w:color w:val="auto"/>
                <w:szCs w:val="21"/>
                <w:highlight w:val="none"/>
              </w:rPr>
              <w:t>=</w:t>
            </w:r>
            <w:r>
              <w:rPr>
                <w:rFonts w:hint="eastAsia"/>
                <w:color w:val="auto"/>
                <w:szCs w:val="21"/>
                <w:highlight w:val="none"/>
                <w:lang w:val="en-US" w:eastAsia="zh-CN"/>
              </w:rPr>
              <w:t>2.405</w:t>
            </w:r>
            <w:r>
              <w:rPr>
                <w:color w:val="auto"/>
                <w:szCs w:val="21"/>
                <w:highlight w:val="none"/>
              </w:rPr>
              <w:t>万元</w:t>
            </w:r>
          </w:p>
          <w:p w14:paraId="68E96542">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5C8AA369">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4F4C1EB1">
            <w:pPr>
              <w:spacing w:line="300" w:lineRule="exact"/>
              <w:jc w:val="left"/>
              <w:rPr>
                <w:rFonts w:hint="eastAsia"/>
                <w:color w:val="auto"/>
                <w:kern w:val="0"/>
                <w:szCs w:val="21"/>
                <w:highlight w:val="none"/>
              </w:rPr>
            </w:pPr>
            <w:r>
              <w:rPr>
                <w:rFonts w:hint="eastAsia"/>
                <w:color w:val="auto"/>
                <w:kern w:val="0"/>
                <w:szCs w:val="21"/>
                <w:highlight w:val="none"/>
              </w:rPr>
              <w:t>开户银行：广西北部湾银行南宁市金湖支行</w:t>
            </w:r>
          </w:p>
          <w:p w14:paraId="2AF44192">
            <w:pPr>
              <w:spacing w:line="300" w:lineRule="exact"/>
              <w:jc w:val="left"/>
              <w:rPr>
                <w:rFonts w:hint="eastAsia"/>
                <w:color w:val="auto"/>
                <w:kern w:val="0"/>
                <w:szCs w:val="21"/>
                <w:highlight w:val="none"/>
              </w:rPr>
            </w:pPr>
            <w:r>
              <w:rPr>
                <w:rFonts w:hint="eastAsia"/>
                <w:color w:val="auto"/>
                <w:kern w:val="0"/>
                <w:szCs w:val="21"/>
                <w:highlight w:val="none"/>
              </w:rPr>
              <w:t>（银行地址：南宁市金湖路57号文德大厦1楼）</w:t>
            </w:r>
          </w:p>
          <w:p w14:paraId="48FC5591">
            <w:pPr>
              <w:spacing w:line="300" w:lineRule="exact"/>
              <w:jc w:val="left"/>
              <w:rPr>
                <w:rFonts w:hint="eastAsia"/>
                <w:color w:val="auto"/>
                <w:kern w:val="0"/>
                <w:szCs w:val="21"/>
                <w:highlight w:val="none"/>
              </w:rPr>
            </w:pPr>
            <w:r>
              <w:rPr>
                <w:rFonts w:hint="eastAsia"/>
                <w:color w:val="auto"/>
                <w:kern w:val="0"/>
                <w:szCs w:val="21"/>
                <w:highlight w:val="none"/>
              </w:rPr>
              <w:t>开户名称：广西机电设备招标有限公司</w:t>
            </w:r>
          </w:p>
          <w:p w14:paraId="13063CCE">
            <w:pPr>
              <w:spacing w:line="300" w:lineRule="exact"/>
              <w:jc w:val="left"/>
              <w:rPr>
                <w:rFonts w:hint="eastAsia"/>
                <w:color w:val="auto"/>
                <w:kern w:val="0"/>
                <w:szCs w:val="21"/>
                <w:highlight w:val="none"/>
              </w:rPr>
            </w:pPr>
            <w:r>
              <w:rPr>
                <w:rFonts w:hint="eastAsia"/>
                <w:color w:val="auto"/>
                <w:kern w:val="0"/>
                <w:szCs w:val="21"/>
                <w:highlight w:val="none"/>
              </w:rPr>
              <w:t>银行账号：1705012090027723 (联行号 313611017053)</w:t>
            </w:r>
          </w:p>
          <w:p w14:paraId="256F6B46">
            <w:pPr>
              <w:spacing w:line="300" w:lineRule="exact"/>
              <w:jc w:val="left"/>
              <w:rPr>
                <w:rFonts w:hint="eastAsia"/>
                <w:color w:val="auto"/>
                <w:kern w:val="0"/>
                <w:szCs w:val="21"/>
                <w:highlight w:val="none"/>
              </w:rPr>
            </w:pPr>
            <w:r>
              <w:rPr>
                <w:rFonts w:hint="eastAsia"/>
                <w:color w:val="auto"/>
                <w:kern w:val="0"/>
                <w:szCs w:val="21"/>
                <w:highlight w:val="none"/>
              </w:rPr>
              <w:t>财务联系人：吴茜（电话：0771-2821398）</w:t>
            </w:r>
          </w:p>
        </w:tc>
      </w:tr>
      <w:tr w14:paraId="11E69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89434AD">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032C97E">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0302276">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15AC9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A570D3">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44830B">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7F748B0">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1D298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7E6EEB">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0C0FA5">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C2D5698">
            <w:pPr>
              <w:spacing w:line="276" w:lineRule="auto"/>
              <w:rPr>
                <w:color w:val="auto"/>
                <w:szCs w:val="21"/>
                <w:highlight w:val="none"/>
              </w:rPr>
            </w:pPr>
            <w:r>
              <w:rPr>
                <w:rFonts w:hint="eastAsia"/>
                <w:color w:val="auto"/>
                <w:szCs w:val="21"/>
                <w:highlight w:val="none"/>
              </w:rPr>
              <w:t>构成本采购文件的各个组成文件应互为解释，互为说明：</w:t>
            </w:r>
          </w:p>
          <w:p w14:paraId="14E592FC">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6D598F43">
      <w:pPr>
        <w:rPr>
          <w:color w:val="auto"/>
          <w:highlight w:val="none"/>
        </w:rPr>
      </w:pPr>
    </w:p>
    <w:p w14:paraId="750F8E41">
      <w:pPr>
        <w:spacing w:before="120" w:line="320" w:lineRule="atLeast"/>
        <w:outlineLvl w:val="1"/>
        <w:rPr>
          <w:b/>
          <w:bCs/>
          <w:color w:val="auto"/>
          <w:kern w:val="0"/>
          <w:szCs w:val="21"/>
          <w:highlight w:val="none"/>
        </w:rPr>
      </w:pPr>
      <w:r>
        <w:rPr>
          <w:color w:val="auto"/>
          <w:highlight w:val="none"/>
        </w:rPr>
        <w:br w:type="page"/>
      </w:r>
      <w:bookmarkStart w:id="29" w:name="_Hlk88949215"/>
      <w:bookmarkStart w:id="30" w:name="_Hlk89180124"/>
      <w:r>
        <w:rPr>
          <w:b/>
          <w:bCs/>
          <w:color w:val="auto"/>
          <w:kern w:val="0"/>
          <w:szCs w:val="21"/>
          <w:highlight w:val="none"/>
        </w:rPr>
        <w:t>1．总则</w:t>
      </w:r>
    </w:p>
    <w:p w14:paraId="4722D2BE">
      <w:pPr>
        <w:spacing w:before="120" w:line="320" w:lineRule="atLeast"/>
        <w:ind w:firstLine="422" w:firstLineChars="200"/>
        <w:outlineLvl w:val="2"/>
        <w:rPr>
          <w:b/>
          <w:bCs/>
          <w:color w:val="auto"/>
          <w:kern w:val="0"/>
          <w:szCs w:val="21"/>
          <w:highlight w:val="none"/>
        </w:rPr>
      </w:pPr>
      <w:bookmarkStart w:id="31" w:name="_Toc254970668"/>
      <w:bookmarkStart w:id="32" w:name="_Toc254970527"/>
      <w:r>
        <w:rPr>
          <w:b/>
          <w:bCs/>
          <w:color w:val="auto"/>
          <w:kern w:val="0"/>
          <w:szCs w:val="21"/>
          <w:highlight w:val="none"/>
        </w:rPr>
        <w:t>1.1适用范围</w:t>
      </w:r>
      <w:bookmarkEnd w:id="31"/>
      <w:bookmarkEnd w:id="32"/>
    </w:p>
    <w:p w14:paraId="3090C4DD">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62B6E5B5">
      <w:pPr>
        <w:spacing w:before="120" w:line="320" w:lineRule="atLeast"/>
        <w:ind w:firstLine="422" w:firstLineChars="200"/>
        <w:outlineLvl w:val="2"/>
        <w:rPr>
          <w:b/>
          <w:bCs/>
          <w:color w:val="auto"/>
          <w:kern w:val="0"/>
          <w:szCs w:val="21"/>
          <w:highlight w:val="none"/>
        </w:rPr>
      </w:pPr>
      <w:bookmarkStart w:id="33" w:name="_Toc254970669"/>
      <w:bookmarkStart w:id="34" w:name="_Toc254970528"/>
      <w:r>
        <w:rPr>
          <w:b/>
          <w:bCs/>
          <w:color w:val="auto"/>
          <w:kern w:val="0"/>
          <w:szCs w:val="21"/>
          <w:highlight w:val="none"/>
        </w:rPr>
        <w:t>1.2定义</w:t>
      </w:r>
      <w:bookmarkEnd w:id="33"/>
      <w:bookmarkEnd w:id="34"/>
    </w:p>
    <w:p w14:paraId="02FB6C6B">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17485A2F">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指响应招标、参加响应竞争的法人、其他组织或者自然人</w:t>
      </w:r>
      <w:r>
        <w:rPr>
          <w:color w:val="auto"/>
          <w:szCs w:val="21"/>
          <w:highlight w:val="none"/>
        </w:rPr>
        <w:t>。</w:t>
      </w:r>
    </w:p>
    <w:p w14:paraId="195EE7B1">
      <w:pPr>
        <w:spacing w:before="120" w:line="360" w:lineRule="auto"/>
        <w:ind w:firstLine="420" w:firstLineChars="200"/>
        <w:rPr>
          <w:rFonts w:hint="eastAsia"/>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F70DB42">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2BCDDB29">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w:t>
      </w:r>
      <w:r>
        <w:rPr>
          <w:rFonts w:hint="eastAsia"/>
          <w:b/>
          <w:bCs/>
          <w:color w:val="auto"/>
          <w:szCs w:val="21"/>
          <w:highlight w:val="none"/>
        </w:rPr>
        <w:t>本项目“采购需求”中的所有条款要求及涉及竞争性谈判文件中要求“必须提供”的条款均为实质性要求，若有任意一项负偏离，响应文件按无效处理。</w:t>
      </w:r>
    </w:p>
    <w:p w14:paraId="5D0FD6B4">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219B49FA">
      <w:pPr>
        <w:spacing w:before="120" w:line="320" w:lineRule="atLeast"/>
        <w:ind w:firstLine="420" w:firstLineChars="200"/>
        <w:rPr>
          <w:rFonts w:hint="eastAsia"/>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5B68BE6">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531723B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791E5A61">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7B633D14">
      <w:pPr>
        <w:spacing w:before="120" w:line="320" w:lineRule="atLeast"/>
        <w:ind w:firstLine="422" w:firstLineChars="200"/>
        <w:outlineLvl w:val="2"/>
        <w:rPr>
          <w:rFonts w:hint="eastAsia"/>
          <w:b/>
          <w:bCs/>
          <w:color w:val="auto"/>
          <w:kern w:val="0"/>
          <w:szCs w:val="21"/>
          <w:highlight w:val="none"/>
        </w:rPr>
      </w:pPr>
      <w:r>
        <w:rPr>
          <w:rFonts w:hint="eastAsia"/>
          <w:b/>
          <w:bCs/>
          <w:color w:val="auto"/>
          <w:kern w:val="0"/>
          <w:szCs w:val="21"/>
          <w:highlight w:val="none"/>
        </w:rPr>
        <w:t>1.4促进中小企业发展政策</w:t>
      </w:r>
    </w:p>
    <w:p w14:paraId="43F7EF92">
      <w:pPr>
        <w:spacing w:before="120" w:line="320" w:lineRule="atLeast"/>
        <w:ind w:firstLine="420" w:firstLineChars="200"/>
        <w:rPr>
          <w:rFonts w:hint="eastAsia"/>
          <w:color w:val="auto"/>
          <w:szCs w:val="21"/>
          <w:highlight w:val="none"/>
        </w:rPr>
      </w:pPr>
      <w:r>
        <w:rPr>
          <w:rFonts w:hint="eastAsia"/>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2CDF9342">
      <w:pPr>
        <w:spacing w:before="120" w:line="320" w:lineRule="atLeast"/>
        <w:ind w:firstLine="420" w:firstLineChars="200"/>
        <w:rPr>
          <w:rFonts w:hint="eastAsia"/>
          <w:color w:val="auto"/>
          <w:szCs w:val="21"/>
          <w:highlight w:val="none"/>
        </w:rPr>
      </w:pPr>
      <w:r>
        <w:rPr>
          <w:rFonts w:hint="eastAsia"/>
          <w:color w:val="auto"/>
          <w:szCs w:val="21"/>
          <w:highlight w:val="none"/>
        </w:rPr>
        <w:t>根据《政府采购促进中小企业发展管理办法》（财库</w:t>
      </w:r>
      <w:r>
        <w:rPr>
          <w:rFonts w:hint="eastAsia"/>
          <w:color w:val="auto"/>
          <w:szCs w:val="21"/>
          <w:highlight w:val="none"/>
          <w:lang w:eastAsia="zh-CN"/>
        </w:rPr>
        <w:t>〔2020〕46号</w:t>
      </w:r>
      <w:r>
        <w:rPr>
          <w:rFonts w:hint="eastAsia"/>
          <w:color w:val="auto"/>
          <w:szCs w:val="21"/>
          <w:highlight w:val="none"/>
        </w:rPr>
        <w:t>）第九条以及《广西壮族自治区财政厅 广西壮族自治区工业和信息化厅转发财政部 工业和信息化部政府采购促进中小企业发展管理办法的通知》（桂财采</w:t>
      </w:r>
      <w:r>
        <w:rPr>
          <w:rFonts w:hint="eastAsia"/>
          <w:color w:val="auto"/>
          <w:szCs w:val="21"/>
          <w:highlight w:val="none"/>
          <w:lang w:eastAsia="zh-CN"/>
        </w:rPr>
        <w:t>〔2021〕70号</w:t>
      </w:r>
      <w:r>
        <w:rPr>
          <w:rFonts w:hint="eastAsia"/>
          <w:color w:val="auto"/>
          <w:szCs w:val="21"/>
          <w:highlight w:val="none"/>
        </w:rPr>
        <w:t>）规定，价格扣除比例在第四章评审方法及标准中规定，对小型企业和微型企业同等对待，不作区分。</w:t>
      </w:r>
    </w:p>
    <w:p w14:paraId="7156897B">
      <w:pPr>
        <w:spacing w:before="120" w:line="320" w:lineRule="atLeast"/>
        <w:ind w:firstLine="420" w:firstLineChars="200"/>
        <w:rPr>
          <w:rFonts w:hint="eastAsia"/>
          <w:color w:val="auto"/>
          <w:szCs w:val="21"/>
          <w:highlight w:val="none"/>
        </w:rPr>
      </w:pPr>
      <w:r>
        <w:rPr>
          <w:rFonts w:hint="eastAsia"/>
          <w:color w:val="auto"/>
          <w:szCs w:val="21"/>
          <w:highlight w:val="none"/>
        </w:rPr>
        <w:t>1.4.2中小企业定义</w:t>
      </w:r>
    </w:p>
    <w:p w14:paraId="67FE420E">
      <w:pPr>
        <w:spacing w:before="120" w:line="320" w:lineRule="atLeast"/>
        <w:ind w:firstLine="420" w:firstLineChars="200"/>
        <w:rPr>
          <w:rFonts w:hint="eastAsia"/>
          <w:color w:val="auto"/>
          <w:szCs w:val="21"/>
          <w:highlight w:val="none"/>
        </w:rPr>
      </w:pPr>
      <w:r>
        <w:rPr>
          <w:rFonts w:hint="eastAsia"/>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5B753AB1">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.2供应商提供的货物、工程或者服务符合下列情形的，享受本款规定的促进中小企业发展政策：</w:t>
      </w:r>
    </w:p>
    <w:p w14:paraId="4E7A23EB">
      <w:pPr>
        <w:spacing w:before="120" w:line="320" w:lineRule="atLeast"/>
        <w:ind w:firstLine="420" w:firstLineChars="200"/>
        <w:rPr>
          <w:rFonts w:hint="eastAsia"/>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09B3AF51">
      <w:pPr>
        <w:spacing w:before="120" w:line="320" w:lineRule="atLeast"/>
        <w:ind w:firstLine="420" w:firstLineChars="200"/>
        <w:rPr>
          <w:rFonts w:hint="eastAsia"/>
          <w:color w:val="auto"/>
          <w:szCs w:val="21"/>
          <w:highlight w:val="none"/>
        </w:rPr>
      </w:pPr>
      <w:r>
        <w:rPr>
          <w:rFonts w:hint="eastAsia"/>
          <w:color w:val="auto"/>
          <w:szCs w:val="21"/>
          <w:highlight w:val="none"/>
        </w:rPr>
        <w:t>在工程采购项目中，工程由中小企业承建，即工程施工单位为中小企业；</w:t>
      </w:r>
    </w:p>
    <w:p w14:paraId="440B2A41">
      <w:pPr>
        <w:spacing w:before="120" w:line="320" w:lineRule="atLeast"/>
        <w:ind w:firstLine="420" w:firstLineChars="200"/>
        <w:rPr>
          <w:rFonts w:hint="eastAsia"/>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46BAAE52">
      <w:pPr>
        <w:spacing w:before="120" w:line="320" w:lineRule="atLeast"/>
        <w:ind w:firstLine="420" w:firstLineChars="200"/>
        <w:rPr>
          <w:rFonts w:hint="eastAsia"/>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076B1B0E">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.3本项目标的所属行业在第二章采购需求中规定。供应商根据中小企业划分标准（《关于印发中小企业划型标准规定的通知》（工信部联企业〔2011〕300号）判断是否为中小企业。（见附件）</w:t>
      </w:r>
    </w:p>
    <w:p w14:paraId="34BB6407">
      <w:pPr>
        <w:spacing w:before="120" w:line="320" w:lineRule="atLeast"/>
        <w:ind w:firstLine="420" w:firstLineChars="200"/>
        <w:rPr>
          <w:rFonts w:hint="eastAsia"/>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1FBA6CC9">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.4视同中小企业情形</w:t>
      </w:r>
    </w:p>
    <w:p w14:paraId="05A60CF4">
      <w:pPr>
        <w:spacing w:before="120" w:line="320" w:lineRule="atLeast"/>
        <w:ind w:firstLine="420" w:firstLineChars="200"/>
        <w:rPr>
          <w:rFonts w:hint="eastAsia"/>
          <w:color w:val="auto"/>
          <w:szCs w:val="21"/>
          <w:highlight w:val="none"/>
        </w:rPr>
      </w:pPr>
      <w:r>
        <w:rPr>
          <w:rFonts w:hint="eastAsia"/>
          <w:color w:val="auto"/>
          <w:szCs w:val="21"/>
          <w:highlight w:val="none"/>
        </w:rPr>
        <w:t>（1）符合中小企业划分标准的个体工商户，视同中小企业。</w:t>
      </w:r>
    </w:p>
    <w:p w14:paraId="059A4836">
      <w:pPr>
        <w:spacing w:before="120" w:line="320" w:lineRule="atLeast"/>
        <w:ind w:firstLine="420" w:firstLineChars="200"/>
        <w:rPr>
          <w:rFonts w:hint="eastAsia"/>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5886B3F6">
      <w:pPr>
        <w:spacing w:before="120" w:line="320" w:lineRule="atLeast"/>
        <w:ind w:firstLine="420" w:firstLineChars="200"/>
        <w:rPr>
          <w:rFonts w:hint="eastAsia"/>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8BA03C4">
      <w:pPr>
        <w:spacing w:before="120" w:line="320" w:lineRule="atLeast"/>
        <w:ind w:firstLine="420" w:firstLineChars="200"/>
        <w:rPr>
          <w:rFonts w:hint="eastAsia"/>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p>
    <w:p w14:paraId="11CE03F4">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716014C2">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AC18EAC">
      <w:pPr>
        <w:spacing w:before="120" w:line="320" w:lineRule="atLeast"/>
        <w:ind w:firstLine="420" w:firstLineChars="200"/>
        <w:rPr>
          <w:color w:val="auto"/>
          <w:szCs w:val="21"/>
          <w:highlight w:val="none"/>
        </w:rPr>
      </w:pPr>
      <w:r>
        <w:rPr>
          <w:color w:val="auto"/>
          <w:szCs w:val="21"/>
          <w:highlight w:val="none"/>
        </w:rPr>
        <w:t>1.5.2按照谈判公告的规定获得采购文件。</w:t>
      </w:r>
    </w:p>
    <w:p w14:paraId="523914A4">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0B06A051">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2ECA4684">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）供应商可以组成一个响应联合体，以一个供应商的身份共同参加响应。联合体响应的，须提供《联合体协议书》（格式后附）</w:t>
      </w:r>
    </w:p>
    <w:p w14:paraId="2E1AB2E9">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13BDAFB5">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3C42CD9">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5ED441E9">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659A48CE">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4BC9C728">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（7）供应商为联合体的，可以由联合体中的一方或者多方共同交纳谈判保证金，其交纳的保证金对联合体各方均具有约束力。</w:t>
      </w:r>
    </w:p>
    <w:p w14:paraId="227C724A">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0EDAF716">
      <w:pPr>
        <w:spacing w:before="120" w:line="320" w:lineRule="atLeast"/>
        <w:ind w:firstLine="422" w:firstLineChars="200"/>
        <w:outlineLvl w:val="2"/>
        <w:rPr>
          <w:b/>
          <w:bCs/>
          <w:color w:val="auto"/>
          <w:kern w:val="0"/>
          <w:szCs w:val="21"/>
          <w:highlight w:val="none"/>
        </w:rPr>
      </w:pPr>
      <w:bookmarkStart w:id="35" w:name="_Toc254970531"/>
      <w:bookmarkStart w:id="36" w:name="_Toc254970672"/>
      <w:r>
        <w:rPr>
          <w:b/>
          <w:bCs/>
          <w:color w:val="auto"/>
          <w:kern w:val="0"/>
          <w:szCs w:val="21"/>
          <w:highlight w:val="none"/>
        </w:rPr>
        <w:t>1.6现场踏勘及响应费用</w:t>
      </w:r>
      <w:bookmarkEnd w:id="35"/>
      <w:bookmarkEnd w:id="36"/>
    </w:p>
    <w:p w14:paraId="3EAD3D37">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6B56FBE7">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119B677E">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5B9A7F26">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3432D716">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7F59941C">
      <w:pPr>
        <w:spacing w:before="120" w:line="276" w:lineRule="auto"/>
        <w:ind w:firstLine="422" w:firstLineChars="200"/>
        <w:outlineLvl w:val="2"/>
        <w:rPr>
          <w:b/>
          <w:bCs/>
          <w:color w:val="auto"/>
          <w:kern w:val="0"/>
          <w:szCs w:val="21"/>
          <w:highlight w:val="none"/>
        </w:rPr>
      </w:pPr>
      <w:bookmarkStart w:id="37" w:name="_Toc254970673"/>
      <w:bookmarkStart w:id="38" w:name="_Toc254970532"/>
      <w:r>
        <w:rPr>
          <w:b/>
          <w:bCs/>
          <w:color w:val="auto"/>
          <w:kern w:val="0"/>
          <w:szCs w:val="21"/>
          <w:highlight w:val="none"/>
        </w:rPr>
        <w:t>1.8特别说明</w:t>
      </w:r>
      <w:bookmarkEnd w:id="37"/>
      <w:bookmarkEnd w:id="38"/>
    </w:p>
    <w:p w14:paraId="1D477B35">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13E7C91E">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2D23E3E6">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52FE1D1C">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1735F010">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62AA31E9">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3C8D8837">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1412411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519C771A">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7A65F38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本项目是否适用对本国产品的支持政策详见供应商须知前附表。</w:t>
      </w:r>
    </w:p>
    <w:p w14:paraId="5CA7271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w:t>
      </w:r>
      <w:r>
        <w:rPr>
          <w:rFonts w:hint="eastAsia"/>
          <w:color w:val="auto"/>
          <w:szCs w:val="21"/>
          <w:highlight w:val="none"/>
          <w:lang w:val="en-US" w:eastAsia="zh-CN"/>
        </w:rPr>
        <w:t>.</w:t>
      </w:r>
      <w:r>
        <w:rPr>
          <w:rFonts w:hint="eastAsia" w:ascii="Times New Roman" w:eastAsia="宋体"/>
          <w:color w:val="auto"/>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6779C0C2">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650445C2">
      <w:pPr>
        <w:spacing w:before="120" w:line="320" w:lineRule="atLeast"/>
        <w:ind w:firstLine="420" w:firstLineChars="200"/>
        <w:rPr>
          <w:color w:val="auto"/>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DAD41F9">
      <w:pPr>
        <w:spacing w:before="120" w:line="320" w:lineRule="atLeast"/>
        <w:ind w:left="2" w:leftChars="1" w:firstLine="422" w:firstLineChars="200"/>
        <w:outlineLvl w:val="1"/>
        <w:rPr>
          <w:b/>
          <w:bCs/>
          <w:color w:val="auto"/>
          <w:kern w:val="0"/>
          <w:szCs w:val="21"/>
          <w:highlight w:val="none"/>
        </w:rPr>
      </w:pPr>
      <w:bookmarkStart w:id="39" w:name="_Toc254970534"/>
      <w:bookmarkStart w:id="40" w:name="_Toc254970675"/>
      <w:r>
        <w:rPr>
          <w:b/>
          <w:bCs/>
          <w:color w:val="auto"/>
          <w:kern w:val="0"/>
          <w:szCs w:val="21"/>
          <w:highlight w:val="none"/>
        </w:rPr>
        <w:t>2．采购文件</w:t>
      </w:r>
      <w:bookmarkEnd w:id="39"/>
      <w:bookmarkEnd w:id="40"/>
    </w:p>
    <w:p w14:paraId="19943AAB">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410948F0">
      <w:pPr>
        <w:spacing w:before="120" w:line="320" w:lineRule="atLeast"/>
        <w:ind w:firstLine="420" w:firstLineChars="200"/>
        <w:rPr>
          <w:color w:val="auto"/>
          <w:szCs w:val="21"/>
          <w:highlight w:val="none"/>
        </w:rPr>
      </w:pPr>
      <w:r>
        <w:rPr>
          <w:color w:val="auto"/>
          <w:szCs w:val="21"/>
          <w:highlight w:val="none"/>
        </w:rPr>
        <w:t>第一章 谈判公告</w:t>
      </w:r>
    </w:p>
    <w:p w14:paraId="6F686BCA">
      <w:pPr>
        <w:spacing w:before="120" w:line="320" w:lineRule="atLeast"/>
        <w:ind w:firstLine="420" w:firstLineChars="200"/>
        <w:rPr>
          <w:color w:val="auto"/>
          <w:szCs w:val="21"/>
          <w:highlight w:val="none"/>
        </w:rPr>
      </w:pPr>
      <w:r>
        <w:rPr>
          <w:color w:val="auto"/>
          <w:szCs w:val="21"/>
          <w:highlight w:val="none"/>
        </w:rPr>
        <w:t>第二章 采购需求</w:t>
      </w:r>
    </w:p>
    <w:p w14:paraId="79ABE84A">
      <w:pPr>
        <w:spacing w:before="120" w:line="320" w:lineRule="atLeast"/>
        <w:ind w:firstLine="420" w:firstLineChars="200"/>
        <w:rPr>
          <w:color w:val="auto"/>
          <w:szCs w:val="21"/>
          <w:highlight w:val="none"/>
        </w:rPr>
      </w:pPr>
      <w:r>
        <w:rPr>
          <w:color w:val="auto"/>
          <w:szCs w:val="21"/>
          <w:highlight w:val="none"/>
        </w:rPr>
        <w:t>第三章 供应商须知</w:t>
      </w:r>
    </w:p>
    <w:p w14:paraId="359BB62B">
      <w:pPr>
        <w:spacing w:before="120" w:line="320" w:lineRule="atLeast"/>
        <w:ind w:firstLine="420" w:firstLineChars="200"/>
        <w:rPr>
          <w:color w:val="auto"/>
          <w:szCs w:val="21"/>
          <w:highlight w:val="none"/>
        </w:rPr>
      </w:pPr>
      <w:r>
        <w:rPr>
          <w:color w:val="auto"/>
          <w:szCs w:val="21"/>
          <w:highlight w:val="none"/>
        </w:rPr>
        <w:t>第四章 评审方法及标准</w:t>
      </w:r>
    </w:p>
    <w:p w14:paraId="228942CF">
      <w:pPr>
        <w:spacing w:before="120" w:line="320" w:lineRule="atLeast"/>
        <w:ind w:firstLine="420" w:firstLineChars="200"/>
        <w:rPr>
          <w:color w:val="auto"/>
          <w:szCs w:val="21"/>
          <w:highlight w:val="none"/>
        </w:rPr>
      </w:pPr>
      <w:r>
        <w:rPr>
          <w:color w:val="auto"/>
          <w:szCs w:val="21"/>
          <w:highlight w:val="none"/>
        </w:rPr>
        <w:t>第五章 合同主要条款格式</w:t>
      </w:r>
    </w:p>
    <w:p w14:paraId="580CD84F">
      <w:pPr>
        <w:spacing w:before="120" w:line="320" w:lineRule="atLeast"/>
        <w:ind w:firstLine="420" w:firstLineChars="200"/>
        <w:rPr>
          <w:color w:val="auto"/>
          <w:szCs w:val="21"/>
          <w:highlight w:val="none"/>
        </w:rPr>
      </w:pPr>
      <w:r>
        <w:rPr>
          <w:color w:val="auto"/>
          <w:szCs w:val="21"/>
          <w:highlight w:val="none"/>
        </w:rPr>
        <w:t>第六章 响应文件格式</w:t>
      </w:r>
    </w:p>
    <w:p w14:paraId="24B0BF0A">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6D8539D5">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3485FC8C">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0C0BAA39">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46AF404C">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w:t>
      </w:r>
      <w:bookmarkStart w:id="41" w:name="_Hlk132790706"/>
      <w:r>
        <w:rPr>
          <w:rFonts w:hint="eastAsia"/>
          <w:color w:val="auto"/>
          <w:szCs w:val="21"/>
          <w:highlight w:val="none"/>
        </w:rPr>
        <w:t>在供应商须知前附表规定的方式通知所有获取采购文件的潜在</w:t>
      </w:r>
      <w:bookmarkEnd w:id="41"/>
      <w:r>
        <w:rPr>
          <w:rFonts w:hint="eastAsia"/>
          <w:color w:val="auto"/>
          <w:szCs w:val="21"/>
          <w:highlight w:val="none"/>
        </w:rPr>
        <w:t xml:space="preserve">供应商，不足3个工作日的，应当顺延提交首次响应文件截止之日。 </w:t>
      </w:r>
    </w:p>
    <w:p w14:paraId="1FB991DE">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20F4DCBD">
      <w:pPr>
        <w:spacing w:before="120" w:line="320" w:lineRule="atLeast"/>
        <w:ind w:left="2" w:leftChars="1" w:firstLine="422" w:firstLineChars="200"/>
        <w:outlineLvl w:val="1"/>
        <w:rPr>
          <w:b/>
          <w:bCs/>
          <w:color w:val="auto"/>
          <w:kern w:val="0"/>
          <w:szCs w:val="21"/>
          <w:highlight w:val="none"/>
        </w:rPr>
      </w:pPr>
      <w:bookmarkStart w:id="42" w:name="_Toc254970535"/>
      <w:bookmarkStart w:id="43" w:name="_Toc254970676"/>
      <w:r>
        <w:rPr>
          <w:b/>
          <w:bCs/>
          <w:color w:val="auto"/>
          <w:kern w:val="0"/>
          <w:szCs w:val="21"/>
          <w:highlight w:val="none"/>
        </w:rPr>
        <w:t>3．响应文件</w:t>
      </w:r>
      <w:bookmarkEnd w:id="42"/>
      <w:bookmarkEnd w:id="43"/>
    </w:p>
    <w:p w14:paraId="20526836">
      <w:pPr>
        <w:spacing w:before="120" w:line="320" w:lineRule="atLeast"/>
        <w:ind w:firstLine="422" w:firstLineChars="200"/>
        <w:outlineLvl w:val="2"/>
        <w:rPr>
          <w:b/>
          <w:bCs/>
          <w:color w:val="auto"/>
          <w:kern w:val="0"/>
          <w:szCs w:val="21"/>
          <w:highlight w:val="none"/>
        </w:rPr>
      </w:pPr>
      <w:bookmarkStart w:id="44" w:name="_Toc254970536"/>
      <w:bookmarkStart w:id="45" w:name="_Toc254970677"/>
      <w:r>
        <w:rPr>
          <w:b/>
          <w:bCs/>
          <w:color w:val="auto"/>
          <w:kern w:val="0"/>
          <w:szCs w:val="21"/>
          <w:highlight w:val="none"/>
        </w:rPr>
        <w:t>3.1响应文件的组成</w:t>
      </w:r>
      <w:bookmarkEnd w:id="44"/>
      <w:bookmarkEnd w:id="45"/>
    </w:p>
    <w:p w14:paraId="4C1FAD46">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526571CA">
      <w:pPr>
        <w:spacing w:before="120" w:line="320" w:lineRule="atLeast"/>
        <w:ind w:firstLine="422" w:firstLineChars="200"/>
        <w:outlineLvl w:val="2"/>
        <w:rPr>
          <w:b/>
          <w:bCs/>
          <w:color w:val="auto"/>
          <w:kern w:val="0"/>
          <w:szCs w:val="21"/>
          <w:highlight w:val="none"/>
        </w:rPr>
      </w:pPr>
      <w:bookmarkStart w:id="46" w:name="_Toc254970678"/>
      <w:bookmarkStart w:id="47" w:name="_Toc254970537"/>
      <w:r>
        <w:rPr>
          <w:b/>
          <w:color w:val="auto"/>
          <w:szCs w:val="21"/>
          <w:highlight w:val="none"/>
        </w:rPr>
        <w:t>3.2</w:t>
      </w:r>
      <w:r>
        <w:rPr>
          <w:b/>
          <w:bCs/>
          <w:color w:val="auto"/>
          <w:kern w:val="0"/>
          <w:szCs w:val="21"/>
          <w:highlight w:val="none"/>
        </w:rPr>
        <w:t>响应文件的语言及计量</w:t>
      </w:r>
      <w:bookmarkEnd w:id="46"/>
      <w:bookmarkEnd w:id="47"/>
    </w:p>
    <w:p w14:paraId="1AF84A9C">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36937BBD">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06FB08DC">
      <w:pPr>
        <w:spacing w:before="120" w:line="320" w:lineRule="atLeast"/>
        <w:ind w:firstLine="422" w:firstLineChars="200"/>
        <w:outlineLvl w:val="2"/>
        <w:rPr>
          <w:b/>
          <w:bCs/>
          <w:color w:val="auto"/>
          <w:kern w:val="0"/>
          <w:szCs w:val="21"/>
          <w:highlight w:val="none"/>
        </w:rPr>
      </w:pPr>
      <w:bookmarkStart w:id="48" w:name="_Toc254970679"/>
      <w:bookmarkStart w:id="49" w:name="_Toc254970538"/>
      <w:r>
        <w:rPr>
          <w:b/>
          <w:bCs/>
          <w:color w:val="auto"/>
          <w:kern w:val="0"/>
          <w:szCs w:val="21"/>
          <w:highlight w:val="none"/>
        </w:rPr>
        <w:t>3.3响应报价</w:t>
      </w:r>
      <w:bookmarkEnd w:id="48"/>
      <w:bookmarkEnd w:id="49"/>
    </w:p>
    <w:p w14:paraId="1A74EA16">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0F7E114D">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2E71EDA">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7E5C0F4D">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022288DF">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19E1C065">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020EBEE1">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372867C1">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74471E7F">
      <w:pPr>
        <w:spacing w:before="120" w:line="320" w:lineRule="atLeast"/>
        <w:ind w:firstLine="422" w:firstLineChars="200"/>
        <w:outlineLvl w:val="2"/>
        <w:rPr>
          <w:b/>
          <w:bCs/>
          <w:color w:val="auto"/>
          <w:kern w:val="0"/>
          <w:szCs w:val="21"/>
          <w:highlight w:val="none"/>
        </w:rPr>
      </w:pPr>
      <w:bookmarkStart w:id="50" w:name="_Toc254970541"/>
      <w:bookmarkStart w:id="51" w:name="_Toc254970682"/>
      <w:r>
        <w:rPr>
          <w:b/>
          <w:bCs/>
          <w:color w:val="auto"/>
          <w:kern w:val="0"/>
          <w:szCs w:val="21"/>
          <w:highlight w:val="none"/>
        </w:rPr>
        <w:t>3.5谈判保证金</w:t>
      </w:r>
      <w:bookmarkEnd w:id="50"/>
      <w:bookmarkEnd w:id="51"/>
    </w:p>
    <w:p w14:paraId="6ADA8E69">
      <w:pPr>
        <w:spacing w:before="120" w:line="320" w:lineRule="atLeast"/>
        <w:ind w:firstLine="420" w:firstLineChars="200"/>
        <w:rPr>
          <w:color w:val="auto"/>
          <w:szCs w:val="21"/>
          <w:highlight w:val="none"/>
        </w:rPr>
      </w:pPr>
      <w:r>
        <w:rPr>
          <w:color w:val="auto"/>
          <w:szCs w:val="21"/>
          <w:highlight w:val="none"/>
        </w:rPr>
        <w:t>3.5.1供应商须按须知前附表规定提交谈判保证金，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。除采购文件规定不予退还保证金的情形外，代理机构在规定时间内退回供应商的谈判保证金（供应商自行承担因未按供应商须知前附表要求交纳导致谈判保证金无法及时退还的责任）。</w:t>
      </w:r>
    </w:p>
    <w:p w14:paraId="7BE55C94">
      <w:pPr>
        <w:spacing w:before="120" w:line="320" w:lineRule="atLeast"/>
        <w:ind w:firstLine="420" w:firstLineChars="200"/>
        <w:rPr>
          <w:color w:val="auto"/>
          <w:szCs w:val="21"/>
          <w:highlight w:val="none"/>
        </w:rPr>
      </w:pPr>
      <w:r>
        <w:rPr>
          <w:color w:val="auto"/>
          <w:szCs w:val="21"/>
          <w:highlight w:val="none"/>
        </w:rPr>
        <w:t>3.5.2谈判保证金币种应与响应报价币种相同。</w:t>
      </w:r>
    </w:p>
    <w:p w14:paraId="690B6802">
      <w:pPr>
        <w:spacing w:before="120" w:line="320" w:lineRule="atLeast"/>
        <w:ind w:firstLine="420" w:firstLineChars="200"/>
        <w:rPr>
          <w:color w:val="auto"/>
          <w:szCs w:val="21"/>
          <w:highlight w:val="none"/>
        </w:rPr>
      </w:pPr>
      <w:r>
        <w:rPr>
          <w:color w:val="auto"/>
          <w:szCs w:val="21"/>
          <w:highlight w:val="none"/>
        </w:rPr>
        <w:t>3.5.3未成交供应商的谈判保证金在成交通知书发出后5个工作日内退还。成交供应商的谈判保证金在合同签订后5个工作日内退还（办理退还手续时需要向采购代理机构提供两份合同复印件）。</w:t>
      </w:r>
    </w:p>
    <w:p w14:paraId="7B9132AA">
      <w:pPr>
        <w:spacing w:before="120" w:line="320" w:lineRule="atLeast"/>
        <w:ind w:firstLine="420" w:firstLineChars="200"/>
        <w:rPr>
          <w:color w:val="auto"/>
          <w:szCs w:val="21"/>
          <w:highlight w:val="none"/>
        </w:rPr>
      </w:pPr>
      <w:r>
        <w:rPr>
          <w:color w:val="auto"/>
          <w:szCs w:val="21"/>
          <w:highlight w:val="none"/>
        </w:rPr>
        <w:t>3.5.4供应商有下列情形之一的，谈判保证金将不予退还：</w:t>
      </w:r>
    </w:p>
    <w:p w14:paraId="5602E51D">
      <w:pPr>
        <w:numPr>
          <w:ilvl w:val="0"/>
          <w:numId w:val="9"/>
        </w:numPr>
        <w:spacing w:before="120" w:line="320" w:lineRule="atLeast"/>
        <w:rPr>
          <w:color w:val="auto"/>
          <w:szCs w:val="21"/>
          <w:highlight w:val="none"/>
        </w:rPr>
      </w:pPr>
      <w:r>
        <w:rPr>
          <w:color w:val="auto"/>
          <w:szCs w:val="21"/>
          <w:highlight w:val="none"/>
        </w:rPr>
        <w:t>供应商在响应有效期内撤销响应文件的；</w:t>
      </w:r>
    </w:p>
    <w:p w14:paraId="427C57FC">
      <w:pPr>
        <w:numPr>
          <w:ilvl w:val="0"/>
          <w:numId w:val="9"/>
        </w:numPr>
        <w:spacing w:before="120" w:line="320" w:lineRule="atLeast"/>
        <w:rPr>
          <w:color w:val="auto"/>
          <w:szCs w:val="21"/>
          <w:highlight w:val="none"/>
        </w:rPr>
      </w:pPr>
      <w:r>
        <w:rPr>
          <w:rFonts w:hint="eastAsia"/>
          <w:color w:val="auto"/>
          <w:szCs w:val="21"/>
          <w:highlight w:val="none"/>
        </w:rPr>
        <w:t>供应商在提交响应文件截止时间后撤回响应文件的，但采取竞争性谈判方式采购且在提交最后报价之前退出谈判的情况除外；</w:t>
      </w:r>
    </w:p>
    <w:p w14:paraId="1CB1B8AD">
      <w:pPr>
        <w:numPr>
          <w:ilvl w:val="0"/>
          <w:numId w:val="9"/>
        </w:numPr>
        <w:spacing w:before="120" w:line="320" w:lineRule="atLeast"/>
        <w:rPr>
          <w:color w:val="auto"/>
          <w:szCs w:val="21"/>
          <w:highlight w:val="none"/>
        </w:rPr>
      </w:pPr>
      <w:r>
        <w:rPr>
          <w:color w:val="auto"/>
          <w:szCs w:val="21"/>
          <w:highlight w:val="none"/>
        </w:rPr>
        <w:t>供应商在响应过程中弄虚作假，提供虚假材料的；</w:t>
      </w:r>
    </w:p>
    <w:p w14:paraId="5FD7CF25">
      <w:pPr>
        <w:numPr>
          <w:ilvl w:val="0"/>
          <w:numId w:val="9"/>
        </w:numPr>
        <w:spacing w:before="120" w:line="320" w:lineRule="atLeast"/>
        <w:rPr>
          <w:color w:val="auto"/>
          <w:szCs w:val="21"/>
          <w:highlight w:val="none"/>
        </w:rPr>
      </w:pPr>
      <w:r>
        <w:rPr>
          <w:color w:val="auto"/>
          <w:szCs w:val="21"/>
          <w:highlight w:val="none"/>
        </w:rPr>
        <w:t>成交供应商无正当理由不与采购人签订合同的；</w:t>
      </w:r>
    </w:p>
    <w:p w14:paraId="4C42AC44">
      <w:pPr>
        <w:numPr>
          <w:ilvl w:val="0"/>
          <w:numId w:val="9"/>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1C911C36">
      <w:pPr>
        <w:numPr>
          <w:ilvl w:val="0"/>
          <w:numId w:val="9"/>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16DFFE77">
      <w:pPr>
        <w:numPr>
          <w:ilvl w:val="0"/>
          <w:numId w:val="9"/>
        </w:numPr>
        <w:spacing w:before="120" w:line="320" w:lineRule="atLeast"/>
        <w:rPr>
          <w:color w:val="auto"/>
          <w:szCs w:val="21"/>
          <w:highlight w:val="none"/>
        </w:rPr>
      </w:pPr>
      <w:r>
        <w:rPr>
          <w:color w:val="auto"/>
          <w:szCs w:val="21"/>
          <w:highlight w:val="none"/>
        </w:rPr>
        <w:t>拒绝履行合同义务的；</w:t>
      </w:r>
    </w:p>
    <w:p w14:paraId="3F73F210">
      <w:pPr>
        <w:numPr>
          <w:ilvl w:val="0"/>
          <w:numId w:val="9"/>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26889679">
      <w:pPr>
        <w:spacing w:before="120" w:line="320" w:lineRule="atLeast"/>
        <w:ind w:firstLine="422" w:firstLineChars="200"/>
        <w:outlineLvl w:val="2"/>
        <w:rPr>
          <w:b/>
          <w:bCs/>
          <w:color w:val="auto"/>
          <w:kern w:val="0"/>
          <w:szCs w:val="21"/>
          <w:highlight w:val="none"/>
        </w:rPr>
      </w:pPr>
      <w:bookmarkStart w:id="52" w:name="_Toc254970542"/>
      <w:bookmarkStart w:id="53" w:name="_Toc254970683"/>
      <w:r>
        <w:rPr>
          <w:b/>
          <w:bCs/>
          <w:color w:val="auto"/>
          <w:kern w:val="0"/>
          <w:szCs w:val="21"/>
          <w:highlight w:val="none"/>
        </w:rPr>
        <w:t>3.6响应文件的</w:t>
      </w:r>
      <w:bookmarkEnd w:id="52"/>
      <w:bookmarkEnd w:id="53"/>
      <w:r>
        <w:rPr>
          <w:b/>
          <w:bCs/>
          <w:color w:val="auto"/>
          <w:kern w:val="0"/>
          <w:szCs w:val="21"/>
          <w:highlight w:val="none"/>
        </w:rPr>
        <w:t>编制要求</w:t>
      </w:r>
    </w:p>
    <w:p w14:paraId="3658D368">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159C6B08">
      <w:pPr>
        <w:spacing w:before="120" w:line="320" w:lineRule="atLeast"/>
        <w:ind w:firstLine="420" w:firstLineChars="200"/>
        <w:rPr>
          <w:rFonts w:hint="eastAsia"/>
          <w:color w:val="auto"/>
          <w:szCs w:val="21"/>
          <w:highlight w:val="none"/>
        </w:rPr>
      </w:pPr>
      <w:r>
        <w:rPr>
          <w:rFonts w:hint="eastAsia"/>
          <w:color w:val="auto"/>
          <w:szCs w:val="21"/>
          <w:highlight w:val="none"/>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4F1DAC4F">
      <w:pPr>
        <w:spacing w:before="120" w:line="320" w:lineRule="atLeast"/>
        <w:ind w:firstLine="420" w:firstLineChars="200"/>
        <w:rPr>
          <w:color w:val="auto"/>
          <w:szCs w:val="21"/>
          <w:highlight w:val="none"/>
        </w:rPr>
      </w:pPr>
      <w:r>
        <w:rPr>
          <w:rFonts w:hint="eastAsia"/>
          <w:color w:val="auto"/>
          <w:szCs w:val="21"/>
          <w:highlight w:val="none"/>
        </w:rPr>
        <w:t>3.6.3 供应商的响应文件未按照采购文件要求签署、盖章的，其响应无效。</w:t>
      </w:r>
    </w:p>
    <w:p w14:paraId="60286A70">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1323D1DE">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21CF54B5">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4815DE36">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31BEF83D">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3AC2040B">
      <w:pPr>
        <w:spacing w:before="120" w:line="320" w:lineRule="atLeast"/>
        <w:ind w:left="2" w:leftChars="1" w:firstLine="420" w:firstLineChars="200"/>
        <w:rPr>
          <w:color w:val="auto"/>
          <w:szCs w:val="21"/>
          <w:highlight w:val="none"/>
        </w:rPr>
      </w:pPr>
      <w:bookmarkStart w:id="54" w:name="_Toc254970544"/>
      <w:bookmarkStart w:id="55"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F12D71E">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76050055">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0A5A8459">
      <w:pPr>
        <w:spacing w:before="120" w:line="320" w:lineRule="atLeast"/>
        <w:ind w:left="2" w:leftChars="1" w:firstLine="420" w:firstLineChars="200"/>
        <w:rPr>
          <w:rFonts w:hint="eastAsia"/>
          <w:color w:val="auto"/>
          <w:szCs w:val="21"/>
          <w:highlight w:val="none"/>
        </w:rPr>
      </w:pPr>
      <w:bookmarkStart w:id="56"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6"/>
    </w:p>
    <w:p w14:paraId="627B7DEB">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4"/>
      <w:bookmarkEnd w:id="55"/>
    </w:p>
    <w:p w14:paraId="4DFD90CC">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3180E085">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15C8FF52">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19001582">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305B259A">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566CD960">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5E925B7A">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7" w:name="_Hlk106637960"/>
      <w:r>
        <w:rPr>
          <w:rFonts w:hint="eastAsia"/>
          <w:color w:val="auto"/>
          <w:highlight w:val="none"/>
        </w:rPr>
        <w:t>通知后供应商仍未在上述规定时间内解密响应文件</w:t>
      </w:r>
      <w:bookmarkEnd w:id="57"/>
      <w:r>
        <w:rPr>
          <w:rFonts w:hint="eastAsia"/>
          <w:color w:val="auto"/>
          <w:szCs w:val="21"/>
          <w:highlight w:val="none"/>
        </w:rPr>
        <w:t>，或者供应商没预留联系方式或预留联系方式无效导致代理机构无法联系到供应商进行解密的，均视为无效响应。</w:t>
      </w:r>
    </w:p>
    <w:p w14:paraId="6A07F81D">
      <w:pPr>
        <w:spacing w:before="120" w:line="320" w:lineRule="atLeast"/>
        <w:ind w:firstLine="420" w:firstLineChars="200"/>
        <w:rPr>
          <w:rFonts w:hint="eastAsia"/>
          <w:color w:val="auto"/>
          <w:szCs w:val="21"/>
          <w:highlight w:val="none"/>
        </w:rPr>
      </w:pPr>
      <w:r>
        <w:rPr>
          <w:rFonts w:hint="eastAsia"/>
          <w:color w:val="auto"/>
          <w:szCs w:val="21"/>
          <w:highlight w:val="none"/>
        </w:rPr>
        <w:t>4</w:t>
      </w:r>
      <w:r>
        <w:rPr>
          <w:color w:val="auto"/>
          <w:szCs w:val="21"/>
          <w:highlight w:val="none"/>
        </w:rPr>
        <w:t>.2.3</w:t>
      </w:r>
      <w:bookmarkStart w:id="58"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8"/>
    <w:p w14:paraId="7D679849">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5EDDB3A6">
      <w:pPr>
        <w:spacing w:before="120" w:line="320" w:lineRule="atLeast"/>
        <w:ind w:firstLine="420" w:firstLineChars="200"/>
        <w:rPr>
          <w:color w:val="auto"/>
          <w:szCs w:val="21"/>
          <w:highlight w:val="none"/>
        </w:rPr>
      </w:pPr>
      <w:r>
        <w:rPr>
          <w:color w:val="auto"/>
          <w:szCs w:val="21"/>
          <w:highlight w:val="none"/>
        </w:rPr>
        <w:t>4.2.5截标结束。</w:t>
      </w:r>
    </w:p>
    <w:p w14:paraId="2B0E0644">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13FC46EC">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63EC5E84">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0CD98098">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246174B8">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4F2E2E83">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6FFCB755">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0D11918F">
      <w:pPr>
        <w:spacing w:before="120" w:line="320" w:lineRule="atLeast"/>
        <w:ind w:firstLine="420" w:firstLineChars="200"/>
        <w:rPr>
          <w:color w:val="auto"/>
          <w:szCs w:val="21"/>
          <w:highlight w:val="none"/>
        </w:rPr>
      </w:pPr>
      <w:bookmarkStart w:id="59" w:name="_Toc254970545"/>
      <w:bookmarkStart w:id="60" w:name="_Toc254970686"/>
      <w:r>
        <w:rPr>
          <w:color w:val="auto"/>
          <w:szCs w:val="21"/>
          <w:highlight w:val="none"/>
        </w:rPr>
        <w:t>4.4.3样品封存或退还的说明请见第六章响应文件格式所附样品递交表。</w:t>
      </w:r>
    </w:p>
    <w:p w14:paraId="645C44AE">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6F424B44">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谈判小组通过电子交易平台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453CD267">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524AB627">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2553D651">
      <w:pPr>
        <w:spacing w:line="276" w:lineRule="auto"/>
        <w:ind w:firstLine="420" w:firstLineChars="20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w:t>
      </w:r>
      <w:r>
        <w:rPr>
          <w:rFonts w:hint="eastAsia"/>
          <w:color w:val="auto"/>
          <w:szCs w:val="21"/>
          <w:highlight w:val="none"/>
          <w:lang w:eastAsia="zh-CN"/>
        </w:rPr>
        <w:t>采购文件</w:t>
      </w:r>
      <w:r>
        <w:rPr>
          <w:rFonts w:hint="eastAsia"/>
          <w:color w:val="auto"/>
          <w:szCs w:val="21"/>
          <w:highlight w:val="none"/>
        </w:rPr>
        <w:t>中规定的资格要求或资格条件的； （注：其中信用查询规则见“</w:t>
      </w:r>
      <w:r>
        <w:rPr>
          <w:rFonts w:hint="eastAsia"/>
          <w:color w:val="auto"/>
          <w:szCs w:val="21"/>
          <w:highlight w:val="none"/>
          <w:lang w:eastAsia="zh-CN"/>
        </w:rPr>
        <w:t>供应商</w:t>
      </w:r>
      <w:r>
        <w:rPr>
          <w:rFonts w:hint="eastAsia"/>
          <w:color w:val="auto"/>
          <w:szCs w:val="21"/>
          <w:highlight w:val="none"/>
        </w:rPr>
        <w:t>须知前附表”，广西政府采购云平台已与“信用中国”平台做接口，可直接在线查询）</w:t>
      </w:r>
    </w:p>
    <w:p w14:paraId="2F058914">
      <w:pPr>
        <w:spacing w:before="120" w:line="276" w:lineRule="auto"/>
        <w:ind w:firstLine="420" w:firstLineChars="200"/>
        <w:rPr>
          <w:rFonts w:hint="eastAsia"/>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bookmarkEnd w:id="59"/>
    <w:bookmarkEnd w:id="60"/>
    <w:p w14:paraId="0FFA7237">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p w14:paraId="476072D9">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w:t>
      </w:r>
      <w:r>
        <w:rPr>
          <w:rFonts w:hint="eastAsia"/>
          <w:b/>
          <w:bCs/>
          <w:color w:val="auto"/>
          <w:kern w:val="0"/>
          <w:szCs w:val="21"/>
          <w:highlight w:val="none"/>
        </w:rPr>
        <w:t>谈判</w:t>
      </w:r>
      <w:r>
        <w:rPr>
          <w:b/>
          <w:bCs/>
          <w:color w:val="auto"/>
          <w:kern w:val="0"/>
          <w:szCs w:val="21"/>
          <w:highlight w:val="none"/>
        </w:rPr>
        <w:t>小组</w:t>
      </w:r>
    </w:p>
    <w:p w14:paraId="3E31C7B9">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评审工作由谈判</w:t>
      </w:r>
      <w:r>
        <w:rPr>
          <w:color w:val="auto"/>
          <w:szCs w:val="21"/>
          <w:highlight w:val="none"/>
        </w:rPr>
        <w:t>小组</w:t>
      </w:r>
      <w:r>
        <w:rPr>
          <w:rFonts w:hint="eastAsia"/>
          <w:color w:val="auto"/>
          <w:szCs w:val="21"/>
          <w:highlight w:val="none"/>
        </w:rPr>
        <w:t>负责，谈判小组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78343910">
      <w:pPr>
        <w:spacing w:before="120" w:line="320" w:lineRule="atLeast"/>
        <w:ind w:firstLine="420" w:firstLineChars="200"/>
        <w:rPr>
          <w:color w:val="auto"/>
          <w:szCs w:val="21"/>
          <w:highlight w:val="none"/>
        </w:rPr>
      </w:pPr>
      <w:r>
        <w:rPr>
          <w:rFonts w:hint="eastAsia"/>
          <w:color w:val="auto"/>
          <w:szCs w:val="21"/>
          <w:highlight w:val="none"/>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0048418C">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C5B9FC">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45B6359C">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25AD4E12">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167F26B0">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谈判小组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2EA16DCA">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3928F229">
      <w:pPr>
        <w:spacing w:before="120" w:line="320" w:lineRule="atLeast"/>
        <w:ind w:firstLine="420" w:firstLineChars="200"/>
        <w:rPr>
          <w:color w:val="auto"/>
          <w:highlight w:val="none"/>
        </w:rPr>
      </w:pPr>
      <w:r>
        <w:rPr>
          <w:color w:val="auto"/>
          <w:highlight w:val="none"/>
        </w:rPr>
        <w:t>6.</w:t>
      </w:r>
      <w:bookmarkStart w:id="61" w:name="_Hlk80956880"/>
      <w:bookmarkStart w:id="62" w:name="_Hlk19175507"/>
      <w:r>
        <w:rPr>
          <w:color w:val="auto"/>
          <w:highlight w:val="none"/>
        </w:rPr>
        <w:t>3.1</w:t>
      </w:r>
      <w:r>
        <w:rPr>
          <w:rFonts w:hint="eastAsia"/>
          <w:color w:val="auto"/>
          <w:highlight w:val="none"/>
        </w:rPr>
        <w:t>符合性审查</w:t>
      </w:r>
    </w:p>
    <w:p w14:paraId="75D00601">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谈判小组对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61"/>
    <w:bookmarkEnd w:id="62"/>
    <w:p w14:paraId="3848D157">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7FBD8F44">
      <w:pPr>
        <w:suppressAutoHyphens/>
        <w:spacing w:before="120" w:line="320" w:lineRule="atLeast"/>
        <w:ind w:firstLine="422" w:firstLineChars="201"/>
        <w:rPr>
          <w:color w:val="auto"/>
          <w:szCs w:val="21"/>
          <w:highlight w:val="none"/>
        </w:rPr>
      </w:pPr>
      <w:bookmarkStart w:id="63" w:name="_Hlk47714684"/>
      <w:r>
        <w:rPr>
          <w:rFonts w:hint="eastAsia"/>
          <w:color w:val="auto"/>
          <w:szCs w:val="21"/>
          <w:highlight w:val="none"/>
        </w:rPr>
        <w:t>（1）</w:t>
      </w:r>
      <w:bookmarkEnd w:id="63"/>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120064F9">
      <w:pPr>
        <w:spacing w:before="120" w:line="320" w:lineRule="atLeast"/>
        <w:ind w:firstLine="420" w:firstLineChars="200"/>
        <w:rPr>
          <w:rFonts w:hint="eastAsia"/>
          <w:color w:val="auto"/>
          <w:szCs w:val="21"/>
          <w:highlight w:val="none"/>
        </w:rPr>
      </w:pPr>
      <w:bookmarkStart w:id="64"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33CF835">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7C6237E">
      <w:pPr>
        <w:spacing w:before="120" w:line="320" w:lineRule="atLeast"/>
        <w:ind w:firstLine="420" w:firstLineChars="200"/>
        <w:rPr>
          <w:color w:val="auto"/>
          <w:highlight w:val="none"/>
        </w:rPr>
      </w:pPr>
      <w:r>
        <w:rPr>
          <w:color w:val="auto"/>
          <w:highlight w:val="none"/>
        </w:rPr>
        <w:t>6.3.3澄清、说明或补正</w:t>
      </w:r>
    </w:p>
    <w:p w14:paraId="1B1781CF">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w:t>
      </w:r>
      <w:r>
        <w:rPr>
          <w:rFonts w:hint="eastAsia" w:hAnsi="宋体"/>
          <w:color w:val="auto"/>
          <w:highlight w:val="none"/>
        </w:rPr>
        <w:t>谈判</w:t>
      </w:r>
      <w:r>
        <w:rPr>
          <w:rFonts w:hint="eastAsia"/>
          <w:color w:val="auto"/>
          <w:highlight w:val="none"/>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auto"/>
          <w:highlight w:val="none"/>
        </w:rPr>
        <w:t>谈判</w:t>
      </w:r>
      <w:r>
        <w:rPr>
          <w:rFonts w:hint="eastAsia"/>
          <w:color w:val="auto"/>
          <w:highlight w:val="none"/>
        </w:rPr>
        <w:t>小组。供应商的澄清、说明或者补正不得超出响应文件的范围或者改变响应文件的实质性内容。供应商未在规定时间内进行澄清、说明或者补正的，按无效响应处理。</w:t>
      </w:r>
    </w:p>
    <w:p w14:paraId="28FF5C81">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w:t>
      </w:r>
      <w:r>
        <w:rPr>
          <w:rFonts w:hint="eastAsia" w:hAnsi="宋体"/>
          <w:color w:val="auto"/>
          <w:highlight w:val="none"/>
        </w:rPr>
        <w:t>谈判</w:t>
      </w:r>
      <w:r>
        <w:rPr>
          <w:rFonts w:hint="eastAsia"/>
          <w:color w:val="auto"/>
          <w:highlight w:val="none"/>
        </w:rPr>
        <w:t>小组以书面形式要求供应商在规定时间内作出必要的澄清、说明或者补正。供应商的澄清、说明或者补正必须采用书面形式，并加盖公章或者由法定代表人或者其授权的代表签字。</w:t>
      </w:r>
    </w:p>
    <w:p w14:paraId="5BDE48B5">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0C4026CF">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72D4C265">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2536E182">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066FD4A6">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63960B2C">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7BE3C808">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56E93122">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）经供应商确认修正后的最后报价若超过采购预算金额或者最高限价，其响应文件作无效响应处理。</w:t>
      </w:r>
    </w:p>
    <w:p w14:paraId="0C393BA7">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）经供应商确认修正后的最后报价作为签订合同的依据，并以此报价计算价格分。</w:t>
      </w:r>
    </w:p>
    <w:p w14:paraId="44604CF4">
      <w:pPr>
        <w:spacing w:before="120" w:line="320" w:lineRule="atLeast"/>
        <w:ind w:firstLine="420" w:firstLineChars="200"/>
        <w:rPr>
          <w:rFonts w:hint="eastAsia"/>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w:t>
      </w:r>
      <w:r>
        <w:rPr>
          <w:rFonts w:hint="eastAsia" w:hAnsi="宋体"/>
          <w:color w:val="auto"/>
          <w:highlight w:val="none"/>
        </w:rPr>
        <w:t>谈判</w:t>
      </w:r>
      <w:r>
        <w:rPr>
          <w:rFonts w:hint="eastAsia"/>
          <w:color w:val="auto"/>
          <w:szCs w:val="21"/>
          <w:highlight w:val="none"/>
        </w:rPr>
        <w:t>过程中有多轮报价的，</w:t>
      </w:r>
      <w:r>
        <w:rPr>
          <w:rFonts w:hint="eastAsia" w:hAnsi="宋体"/>
          <w:color w:val="auto"/>
          <w:highlight w:val="none"/>
        </w:rPr>
        <w:t>谈判</w:t>
      </w:r>
      <w:r>
        <w:rPr>
          <w:rFonts w:hint="eastAsia"/>
          <w:color w:val="auto"/>
          <w:szCs w:val="21"/>
          <w:highlight w:val="none"/>
        </w:rPr>
        <w:t>小组在每一轮报价均应按上述规则修正报价。</w:t>
      </w:r>
    </w:p>
    <w:p w14:paraId="5E7F82FF">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1565AC6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供应商须知前附表</w:t>
      </w:r>
      <w:r>
        <w:rPr>
          <w:color w:val="auto"/>
          <w:szCs w:val="21"/>
          <w:highlight w:val="none"/>
        </w:rPr>
        <w:t>”规定。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361F7412">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4810AD57">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4"/>
    <w:p w14:paraId="7FACC97E">
      <w:pPr>
        <w:spacing w:before="120" w:line="320" w:lineRule="atLeast"/>
        <w:ind w:firstLine="420" w:firstLineChars="200"/>
        <w:rPr>
          <w:color w:val="auto"/>
          <w:szCs w:val="21"/>
          <w:highlight w:val="none"/>
        </w:rPr>
      </w:pPr>
      <w:r>
        <w:rPr>
          <w:rFonts w:hint="eastAsia"/>
          <w:color w:val="auto"/>
          <w:szCs w:val="21"/>
          <w:highlight w:val="none"/>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7A1D156E">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673F0A73">
      <w:pPr>
        <w:spacing w:before="120" w:line="320" w:lineRule="atLeast"/>
        <w:ind w:firstLine="420" w:firstLineChars="200"/>
        <w:rPr>
          <w:rFonts w:hint="eastAsia"/>
          <w:color w:val="auto"/>
          <w:highlight w:val="none"/>
        </w:rPr>
      </w:pPr>
      <w:r>
        <w:rPr>
          <w:color w:val="auto"/>
          <w:highlight w:val="none"/>
        </w:rPr>
        <w:t>6.3.</w:t>
      </w:r>
      <w:r>
        <w:rPr>
          <w:rFonts w:hint="eastAsia"/>
          <w:color w:val="auto"/>
          <w:highlight w:val="none"/>
          <w:lang w:val="en-US" w:eastAsia="zh-CN"/>
        </w:rPr>
        <w:t>7</w:t>
      </w:r>
      <w:r>
        <w:rPr>
          <w:rFonts w:hint="eastAsia"/>
          <w:color w:val="auto"/>
          <w:highlight w:val="none"/>
        </w:rPr>
        <w:t>谈判</w:t>
      </w:r>
    </w:p>
    <w:p w14:paraId="3EED7C24">
      <w:pPr>
        <w:spacing w:before="120" w:line="320" w:lineRule="atLeast"/>
        <w:ind w:firstLine="420" w:firstLineChars="200"/>
        <w:rPr>
          <w:rFonts w:hint="eastAsia"/>
          <w:color w:val="auto"/>
          <w:highlight w:val="none"/>
        </w:rPr>
      </w:pPr>
      <w:r>
        <w:rPr>
          <w:rFonts w:hint="eastAsia"/>
          <w:color w:val="auto"/>
          <w:highlight w:val="none"/>
        </w:rPr>
        <w:t>（1）谈判小组按照“供应商须知前附表”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70B81615">
      <w:pPr>
        <w:spacing w:before="120" w:line="320" w:lineRule="atLeast"/>
        <w:ind w:firstLine="420" w:firstLineChars="200"/>
        <w:rPr>
          <w:color w:val="auto"/>
          <w:highlight w:val="none"/>
        </w:rPr>
      </w:pPr>
      <w:r>
        <w:rPr>
          <w:rFonts w:hint="eastAsia"/>
          <w:color w:val="auto"/>
          <w:highlight w:val="none"/>
        </w:rPr>
        <w:t>（2）在谈判过程中，谈判小组可以根据采购文件和谈判情况实质性变动采购需求中的技术、服务要求以及合同草案条款，但不得变动采购文件中的其他内容。实质性变动的内容，须经采购人代表确认。</w:t>
      </w:r>
    </w:p>
    <w:p w14:paraId="0937CD2F">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对采购文件作出的实质性变动是采购文件的有效组成部分，由谈判小组通过广西政府采购云平台以书面形式同时通知所有参加谈判的供应商。</w:t>
      </w:r>
    </w:p>
    <w:p w14:paraId="755A4AD4">
      <w:pPr>
        <w:spacing w:before="120" w:line="320" w:lineRule="atLeast"/>
        <w:ind w:firstLine="420" w:firstLineChars="200"/>
        <w:rPr>
          <w:rFonts w:hint="eastAsia"/>
          <w:color w:val="auto"/>
          <w:highlight w:val="none"/>
        </w:rPr>
      </w:pPr>
      <w:r>
        <w:rPr>
          <w:rFonts w:hint="eastAsia"/>
          <w:color w:val="auto"/>
          <w:highlight w:val="none"/>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31C670CA">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（4）供应商的法定代表人或其授权代表无须到现场参加谈判，提问及回答/响应均通过广西政府采购云平台进行。谈判过程中使用的电子签章应为供应商上传响应文件的同一签章。</w:t>
      </w:r>
    </w:p>
    <w:p w14:paraId="6817C619">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lang w:val="en-US" w:eastAsia="zh-CN"/>
        </w:rPr>
        <w:t>8</w:t>
      </w:r>
      <w:r>
        <w:rPr>
          <w:rFonts w:hint="eastAsia"/>
          <w:color w:val="auto"/>
          <w:highlight w:val="none"/>
        </w:rPr>
        <w:t>最后报价</w:t>
      </w:r>
    </w:p>
    <w:p w14:paraId="3822DD3F">
      <w:pPr>
        <w:spacing w:before="120" w:line="320" w:lineRule="atLeast"/>
        <w:ind w:firstLine="420" w:firstLineChars="200"/>
        <w:rPr>
          <w:rFonts w:hint="eastAsia"/>
          <w:color w:val="auto"/>
          <w:highlight w:val="none"/>
        </w:rPr>
      </w:pPr>
      <w:r>
        <w:rPr>
          <w:rFonts w:hint="eastAsia"/>
          <w:color w:val="auto"/>
          <w:highlight w:val="none"/>
        </w:rPr>
        <w:t xml:space="preserve">（1）采购文件能够详细列明采购标的的技术、服务要求的，谈判结束后，谈判小组应当要求所有实质性响应的供应商在规定时间内提交最后报价，提交最后报价的供应商不得少于3家。 </w:t>
      </w:r>
    </w:p>
    <w:p w14:paraId="6D5BB26B">
      <w:pPr>
        <w:spacing w:before="120" w:line="320" w:lineRule="atLeast"/>
        <w:ind w:firstLine="420" w:firstLineChars="200"/>
        <w:rPr>
          <w:rFonts w:hint="eastAsia"/>
          <w:color w:val="auto"/>
          <w:highlight w:val="none"/>
        </w:rPr>
      </w:pPr>
      <w:r>
        <w:rPr>
          <w:rFonts w:hint="eastAsia"/>
          <w:color w:val="auto"/>
          <w:highlight w:val="none"/>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FE435CD">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5E0B691E">
      <w:pPr>
        <w:spacing w:before="120" w:line="320" w:lineRule="atLeast"/>
        <w:ind w:firstLine="420" w:firstLineChars="200"/>
        <w:rPr>
          <w:rFonts w:hint="eastAsia"/>
          <w:color w:val="auto"/>
          <w:highlight w:val="none"/>
        </w:rPr>
      </w:pPr>
      <w:r>
        <w:rPr>
          <w:rFonts w:hint="eastAsia"/>
          <w:color w:val="auto"/>
          <w:highlight w:val="none"/>
        </w:rPr>
        <w:t>（2）最后报价要求通过广西政府采购云平台发出，供应商需在广西政府采购云平台设置的时间内报价，最后报价不得超过采购预算金额且具有唯一性，否则否决其响应。</w:t>
      </w:r>
    </w:p>
    <w:p w14:paraId="01B6EA65">
      <w:pPr>
        <w:spacing w:before="120" w:line="320" w:lineRule="atLeas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04C6B1AB">
      <w:pPr>
        <w:spacing w:before="120" w:line="320" w:lineRule="atLeast"/>
        <w:ind w:firstLine="420" w:firstLineChars="200"/>
        <w:rPr>
          <w:rFonts w:hint="eastAsia"/>
          <w:color w:val="auto"/>
          <w:highlight w:val="none"/>
        </w:rPr>
      </w:pPr>
      <w:r>
        <w:rPr>
          <w:rFonts w:hint="eastAsia"/>
          <w:color w:val="auto"/>
          <w:highlight w:val="none"/>
        </w:rPr>
        <w:t>（4）供应商未在规定时间内提交最后报价的，视同退出谈判。</w:t>
      </w:r>
    </w:p>
    <w:p w14:paraId="33B81D84">
      <w:pPr>
        <w:spacing w:before="120" w:line="320" w:lineRule="atLeast"/>
        <w:ind w:firstLine="420" w:firstLineChars="200"/>
        <w:rPr>
          <w:rFonts w:hint="eastAsia"/>
          <w:color w:val="auto"/>
          <w:highlight w:val="none"/>
        </w:rPr>
      </w:pPr>
      <w:r>
        <w:rPr>
          <w:rFonts w:hint="eastAsia"/>
          <w:color w:val="auto"/>
          <w:highlight w:val="none"/>
        </w:rPr>
        <w:t>（5）最后报价结束后，谈判小组不得再与供应商进行任何形式的商谈。</w:t>
      </w:r>
    </w:p>
    <w:p w14:paraId="7BFD95A0">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9</w:t>
      </w:r>
      <w:r>
        <w:rPr>
          <w:color w:val="auto"/>
          <w:szCs w:val="21"/>
          <w:highlight w:val="none"/>
        </w:rPr>
        <w:t>串通投标认定</w:t>
      </w:r>
    </w:p>
    <w:p w14:paraId="57FD86D3">
      <w:pPr>
        <w:spacing w:before="120" w:line="320" w:lineRule="atLeast"/>
        <w:ind w:firstLine="420" w:firstLineChars="200"/>
        <w:rPr>
          <w:color w:val="auto"/>
          <w:highlight w:val="none"/>
        </w:rPr>
      </w:pPr>
      <w:r>
        <w:rPr>
          <w:rFonts w:hint="eastAsia"/>
          <w:color w:val="auto"/>
          <w:szCs w:val="21"/>
          <w:highlight w:val="none"/>
        </w:rPr>
        <w:t>谈判</w:t>
      </w:r>
      <w:r>
        <w:rPr>
          <w:color w:val="auto"/>
          <w:szCs w:val="21"/>
          <w:highlight w:val="none"/>
        </w:rPr>
        <w:t>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0CC6A723">
      <w:pPr>
        <w:spacing w:before="120" w:line="320" w:lineRule="atLeast"/>
        <w:ind w:firstLine="420" w:firstLineChars="200"/>
        <w:rPr>
          <w:color w:val="auto"/>
          <w:szCs w:val="21"/>
          <w:highlight w:val="none"/>
        </w:rPr>
      </w:pPr>
      <w:bookmarkStart w:id="65" w:name="_Hlk19122026"/>
      <w:r>
        <w:rPr>
          <w:rFonts w:hint="eastAsia"/>
          <w:color w:val="auto"/>
          <w:szCs w:val="21"/>
          <w:highlight w:val="none"/>
        </w:rPr>
        <w:t>（1）</w:t>
      </w:r>
      <w:bookmarkEnd w:id="6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规定，出现下述情况的，相关供应商的投标作无效投标处理。</w:t>
      </w:r>
    </w:p>
    <w:p w14:paraId="1DA5D5BF">
      <w:pPr>
        <w:spacing w:before="120" w:line="320" w:lineRule="atLeast"/>
        <w:ind w:firstLine="420" w:firstLineChars="200"/>
        <w:rPr>
          <w:color w:val="auto"/>
          <w:szCs w:val="21"/>
          <w:highlight w:val="none"/>
        </w:rPr>
      </w:pPr>
      <w:bookmarkStart w:id="66"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71222DC7">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175BCCE6">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6"/>
    <w:p w14:paraId="5143AA55">
      <w:pPr>
        <w:spacing w:before="120" w:line="320" w:lineRule="atLeast"/>
        <w:ind w:firstLine="420" w:firstLineChars="200"/>
        <w:rPr>
          <w:color w:val="auto"/>
          <w:szCs w:val="21"/>
          <w:highlight w:val="none"/>
        </w:rPr>
      </w:pPr>
      <w:bookmarkStart w:id="67" w:name="_Hlk19122058"/>
      <w:r>
        <w:rPr>
          <w:rFonts w:hint="eastAsia"/>
          <w:color w:val="auto"/>
          <w:szCs w:val="21"/>
          <w:highlight w:val="none"/>
        </w:rPr>
        <w:t>（2）</w:t>
      </w:r>
      <w:bookmarkEnd w:id="6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003BFB02">
      <w:pPr>
        <w:spacing w:before="120" w:line="320" w:lineRule="atLeast"/>
        <w:ind w:firstLine="420" w:firstLineChars="200"/>
        <w:rPr>
          <w:color w:val="auto"/>
          <w:szCs w:val="21"/>
          <w:highlight w:val="none"/>
        </w:rPr>
      </w:pPr>
      <w:bookmarkStart w:id="68"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1675EF33">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0D337E64">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5090B9D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689F110B">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5B6BEDEF">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8"/>
    <w:p w14:paraId="298A881D">
      <w:pPr>
        <w:spacing w:before="120" w:line="320" w:lineRule="atLeast"/>
        <w:ind w:firstLine="420" w:firstLineChars="200"/>
        <w:rPr>
          <w:color w:val="auto"/>
          <w:szCs w:val="21"/>
          <w:highlight w:val="none"/>
        </w:rPr>
      </w:pPr>
      <w:bookmarkStart w:id="69" w:name="_Hlk19122102"/>
      <w:r>
        <w:rPr>
          <w:rFonts w:hint="eastAsia"/>
          <w:color w:val="auto"/>
          <w:szCs w:val="21"/>
          <w:highlight w:val="none"/>
        </w:rPr>
        <w:t>（3）</w:t>
      </w:r>
      <w:bookmarkEnd w:id="69"/>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286CFCBC">
      <w:pPr>
        <w:spacing w:before="120" w:line="320" w:lineRule="atLeast"/>
        <w:ind w:firstLine="420" w:firstLineChars="200"/>
        <w:rPr>
          <w:color w:val="auto"/>
          <w:szCs w:val="21"/>
          <w:highlight w:val="none"/>
        </w:rPr>
      </w:pPr>
      <w:bookmarkStart w:id="70"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3A99D861">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lang w:eastAsia="zh-CN"/>
        </w:rPr>
        <w:t>;</w:t>
      </w:r>
    </w:p>
    <w:p w14:paraId="56F0CA75">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44FB434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19155573">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08F3B1F9">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683FC418">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70"/>
    <w:p w14:paraId="609EA894">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7A04A911">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76BA9B34">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2053174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26AAA8CE">
      <w:pPr>
        <w:spacing w:before="120" w:line="320" w:lineRule="atLeast"/>
        <w:ind w:firstLine="420" w:firstLineChars="200"/>
        <w:rPr>
          <w:color w:val="auto"/>
          <w:szCs w:val="21"/>
          <w:highlight w:val="none"/>
        </w:rPr>
      </w:pPr>
      <w:bookmarkStart w:id="71"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71"/>
    <w:p w14:paraId="4910C74F">
      <w:pPr>
        <w:spacing w:before="120" w:line="320" w:lineRule="atLeast"/>
        <w:ind w:firstLine="420" w:firstLineChars="200"/>
        <w:rPr>
          <w:color w:val="auto"/>
          <w:szCs w:val="21"/>
          <w:highlight w:val="none"/>
        </w:rPr>
      </w:pPr>
      <w:r>
        <w:rPr>
          <w:color w:val="auto"/>
          <w:szCs w:val="21"/>
          <w:highlight w:val="none"/>
        </w:rPr>
        <w:t>6.3.1</w:t>
      </w:r>
      <w:r>
        <w:rPr>
          <w:rFonts w:hint="eastAsia"/>
          <w:color w:val="auto"/>
          <w:szCs w:val="21"/>
          <w:highlight w:val="none"/>
          <w:lang w:val="en-US" w:eastAsia="zh-CN"/>
        </w:rPr>
        <w:t>1</w:t>
      </w:r>
      <w:r>
        <w:rPr>
          <w:color w:val="auto"/>
          <w:szCs w:val="21"/>
          <w:highlight w:val="none"/>
        </w:rPr>
        <w:t>比较</w:t>
      </w:r>
      <w:r>
        <w:rPr>
          <w:rFonts w:hint="eastAsia"/>
          <w:color w:val="auto"/>
          <w:szCs w:val="21"/>
          <w:highlight w:val="none"/>
        </w:rPr>
        <w:t>与评价</w:t>
      </w:r>
    </w:p>
    <w:p w14:paraId="4B038ECF">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谈判小组按扣除后的价格由低到高的顺序排列推荐3名以上供应商为本项目（或分标）的成交候选</w:t>
      </w:r>
      <w:r>
        <w:rPr>
          <w:rFonts w:hint="eastAsia"/>
          <w:color w:val="auto"/>
          <w:szCs w:val="21"/>
          <w:highlight w:val="none"/>
        </w:rPr>
        <w:t>供应商</w:t>
      </w:r>
      <w:r>
        <w:rPr>
          <w:color w:val="auto"/>
          <w:szCs w:val="21"/>
          <w:highlight w:val="none"/>
        </w:rPr>
        <w:t>，排名第一的为第一成交候选</w:t>
      </w:r>
      <w:r>
        <w:rPr>
          <w:rFonts w:hint="eastAsia"/>
          <w:color w:val="auto"/>
          <w:szCs w:val="21"/>
          <w:highlight w:val="none"/>
        </w:rPr>
        <w:t>供应商</w:t>
      </w:r>
      <w:r>
        <w:rPr>
          <w:color w:val="auto"/>
          <w:szCs w:val="21"/>
          <w:highlight w:val="none"/>
        </w:rPr>
        <w:t>。若供应商的响应</w:t>
      </w:r>
      <w:r>
        <w:rPr>
          <w:rFonts w:hint="eastAsia"/>
          <w:color w:val="auto"/>
          <w:szCs w:val="21"/>
          <w:highlight w:val="none"/>
        </w:rPr>
        <w:t>最后</w:t>
      </w:r>
      <w:r>
        <w:rPr>
          <w:color w:val="auto"/>
          <w:szCs w:val="21"/>
          <w:highlight w:val="none"/>
        </w:rPr>
        <w:t>报价经扣除后价格相同，则按服务条款的优劣顺序排列。若仍相同的，由</w:t>
      </w:r>
      <w:r>
        <w:rPr>
          <w:rFonts w:hint="eastAsia"/>
          <w:color w:val="auto"/>
          <w:szCs w:val="21"/>
          <w:highlight w:val="none"/>
        </w:rPr>
        <w:t>采购人自行</w:t>
      </w:r>
      <w:r>
        <w:rPr>
          <w:color w:val="auto"/>
          <w:szCs w:val="21"/>
          <w:highlight w:val="none"/>
        </w:rPr>
        <w:t>确定。</w:t>
      </w:r>
    </w:p>
    <w:p w14:paraId="53A034F2">
      <w:pPr>
        <w:spacing w:before="120" w:line="320" w:lineRule="atLeast"/>
        <w:ind w:firstLine="420" w:firstLineChars="200"/>
        <w:rPr>
          <w:color w:val="auto"/>
          <w:highlight w:val="none"/>
        </w:rPr>
      </w:pPr>
      <w:r>
        <w:rPr>
          <w:rFonts w:hint="eastAsia"/>
          <w:color w:val="auto"/>
          <w:szCs w:val="21"/>
          <w:highlight w:val="none"/>
        </w:rPr>
        <w:t>（2）谈判小组根据评审记录及评审结果编写评审报告，谈判小组成员均应当在评审报告上签字，对自己的评审意见承担法律责任。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rPr>
        <w:t>谈判</w:t>
      </w:r>
      <w:r>
        <w:rPr>
          <w:color w:val="auto"/>
          <w:highlight w:val="none"/>
        </w:rPr>
        <w:t>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rPr>
        <w:t>谈判</w:t>
      </w:r>
      <w:r>
        <w:rPr>
          <w:color w:val="auto"/>
          <w:highlight w:val="none"/>
        </w:rPr>
        <w:t>小组进行重新评审。</w:t>
      </w:r>
    </w:p>
    <w:p w14:paraId="62ABA204">
      <w:pPr>
        <w:spacing w:before="120" w:line="320" w:lineRule="atLeast"/>
        <w:ind w:firstLine="420" w:firstLineChars="200"/>
        <w:rPr>
          <w:rFonts w:hint="eastAsia"/>
          <w:color w:val="auto"/>
          <w:szCs w:val="21"/>
          <w:highlight w:val="none"/>
        </w:rPr>
      </w:pPr>
      <w:r>
        <w:rPr>
          <w:rFonts w:hint="eastAsia"/>
          <w:color w:val="auto"/>
          <w:highlight w:val="none"/>
        </w:rPr>
        <w:t>资格性检查认定错误、价格计算错误。</w:t>
      </w:r>
    </w:p>
    <w:p w14:paraId="10AE2CBD">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22D7DBDF">
      <w:pPr>
        <w:spacing w:before="120" w:line="276" w:lineRule="auto"/>
        <w:ind w:firstLine="420" w:firstLineChars="200"/>
        <w:rPr>
          <w:color w:val="auto"/>
          <w:szCs w:val="21"/>
          <w:highlight w:val="none"/>
        </w:rPr>
      </w:pPr>
      <w:r>
        <w:rPr>
          <w:rFonts w:hint="eastAsia"/>
          <w:color w:val="auto"/>
          <w:szCs w:val="21"/>
          <w:highlight w:val="none"/>
        </w:rPr>
        <w:t>6.</w:t>
      </w:r>
      <w:r>
        <w:rPr>
          <w:color w:val="auto"/>
          <w:szCs w:val="21"/>
          <w:highlight w:val="none"/>
        </w:rPr>
        <w:t>4.1采购代理机构将在评审结束后2个工作日内将评审报告送采购人，采购人在5个工作日内按照评审报告中推荐的</w:t>
      </w:r>
      <w:r>
        <w:rPr>
          <w:rFonts w:hint="eastAsia"/>
          <w:color w:val="auto"/>
          <w:szCs w:val="21"/>
          <w:highlight w:val="none"/>
        </w:rPr>
        <w:t>成交</w:t>
      </w:r>
      <w:r>
        <w:rPr>
          <w:color w:val="auto"/>
          <w:szCs w:val="21"/>
          <w:highlight w:val="none"/>
        </w:rPr>
        <w:t>候选供应商顺序确定成交供应商。</w:t>
      </w:r>
    </w:p>
    <w:p w14:paraId="0471A8DB">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032AEFA">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73402AD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lang w:eastAsia="zh-CN"/>
        </w:rPr>
        <w:t>，成交</w:t>
      </w:r>
      <w:r>
        <w:rPr>
          <w:rFonts w:hint="eastAsia"/>
          <w:color w:val="auto"/>
          <w:szCs w:val="21"/>
          <w:highlight w:val="none"/>
        </w:rPr>
        <w:t>结果公告期限为1个工作日</w:t>
      </w:r>
      <w:r>
        <w:rPr>
          <w:rFonts w:hint="eastAsia"/>
          <w:color w:val="auto"/>
          <w:szCs w:val="21"/>
          <w:highlight w:val="none"/>
          <w:lang w:eastAsia="zh-CN"/>
        </w:rPr>
        <w:t>，</w:t>
      </w:r>
      <w:r>
        <w:rPr>
          <w:rFonts w:hint="eastAsia"/>
          <w:color w:val="auto"/>
          <w:szCs w:val="21"/>
          <w:highlight w:val="none"/>
        </w:rPr>
        <w:t>发布</w:t>
      </w:r>
      <w:r>
        <w:rPr>
          <w:rFonts w:hint="eastAsia"/>
          <w:color w:val="auto"/>
          <w:szCs w:val="21"/>
          <w:highlight w:val="none"/>
          <w:lang w:eastAsia="zh-CN"/>
        </w:rPr>
        <w:t>成交</w:t>
      </w:r>
      <w:r>
        <w:rPr>
          <w:rFonts w:hint="eastAsia"/>
          <w:color w:val="auto"/>
          <w:szCs w:val="21"/>
          <w:highlight w:val="none"/>
        </w:rPr>
        <w:t>结果公告的同时向</w:t>
      </w:r>
      <w:r>
        <w:rPr>
          <w:rFonts w:hint="eastAsia"/>
          <w:color w:val="auto"/>
          <w:szCs w:val="21"/>
          <w:highlight w:val="none"/>
          <w:lang w:eastAsia="zh-CN"/>
        </w:rPr>
        <w:t>成交</w:t>
      </w:r>
      <w:r>
        <w:rPr>
          <w:rFonts w:hint="eastAsia"/>
          <w:color w:val="auto"/>
          <w:szCs w:val="21"/>
          <w:highlight w:val="none"/>
        </w:rPr>
        <w:t>供应商发出</w:t>
      </w:r>
      <w:r>
        <w:rPr>
          <w:rFonts w:hint="eastAsia"/>
          <w:color w:val="auto"/>
          <w:szCs w:val="21"/>
          <w:highlight w:val="none"/>
          <w:lang w:eastAsia="zh-CN"/>
        </w:rPr>
        <w:t>成交</w:t>
      </w:r>
      <w:r>
        <w:rPr>
          <w:rFonts w:hint="eastAsia"/>
          <w:color w:val="auto"/>
          <w:szCs w:val="21"/>
          <w:highlight w:val="none"/>
        </w:rPr>
        <w:t>通知书。采购代理机构发出</w:t>
      </w:r>
      <w:r>
        <w:rPr>
          <w:rFonts w:hint="eastAsia"/>
          <w:color w:val="auto"/>
          <w:szCs w:val="21"/>
          <w:highlight w:val="none"/>
          <w:lang w:eastAsia="zh-CN"/>
        </w:rPr>
        <w:t>成交</w:t>
      </w:r>
      <w:r>
        <w:rPr>
          <w:rFonts w:hint="eastAsia"/>
          <w:color w:val="auto"/>
          <w:szCs w:val="21"/>
          <w:highlight w:val="none"/>
        </w:rPr>
        <w:t>通知书前，应当对</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信用进行核实，对列入失信被执行人、重大税收违法案件当事人名 单、政府采购严重违法失信行为记录名单及其他不符合《中华人民共和国政府采购法》第二十二条规定条件的</w:t>
      </w:r>
      <w:r>
        <w:rPr>
          <w:rFonts w:hint="eastAsia"/>
          <w:color w:val="auto"/>
          <w:szCs w:val="21"/>
          <w:highlight w:val="none"/>
          <w:lang w:eastAsia="zh-CN"/>
        </w:rPr>
        <w:t>供应商</w:t>
      </w:r>
      <w:r>
        <w:rPr>
          <w:rFonts w:hint="eastAsia"/>
          <w:color w:val="auto"/>
          <w:szCs w:val="21"/>
          <w:highlight w:val="none"/>
        </w:rPr>
        <w:t>，取消其</w:t>
      </w:r>
      <w:r>
        <w:rPr>
          <w:rFonts w:hint="eastAsia"/>
          <w:color w:val="auto"/>
          <w:szCs w:val="21"/>
          <w:highlight w:val="none"/>
          <w:lang w:eastAsia="zh-CN"/>
        </w:rPr>
        <w:t>成交</w:t>
      </w:r>
      <w:r>
        <w:rPr>
          <w:rFonts w:hint="eastAsia"/>
          <w:color w:val="auto"/>
          <w:szCs w:val="21"/>
          <w:highlight w:val="none"/>
        </w:rPr>
        <w:t>资格，并确定排名第二的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。排名第二的</w:t>
      </w:r>
      <w:r>
        <w:rPr>
          <w:rFonts w:hint="eastAsia"/>
          <w:color w:val="auto"/>
          <w:szCs w:val="21"/>
          <w:highlight w:val="none"/>
          <w:lang w:eastAsia="zh-CN"/>
        </w:rPr>
        <w:t>成交</w:t>
      </w:r>
      <w:r>
        <w:rPr>
          <w:rFonts w:hint="eastAsia"/>
          <w:color w:val="auto"/>
          <w:szCs w:val="21"/>
          <w:highlight w:val="none"/>
        </w:rPr>
        <w:t>候选人因前款规定的同样原因被取消</w:t>
      </w:r>
      <w:r>
        <w:rPr>
          <w:rFonts w:hint="eastAsia"/>
          <w:color w:val="auto"/>
          <w:szCs w:val="21"/>
          <w:highlight w:val="none"/>
          <w:lang w:eastAsia="zh-CN"/>
        </w:rPr>
        <w:t>成交</w:t>
      </w:r>
      <w:r>
        <w:rPr>
          <w:rFonts w:hint="eastAsia"/>
          <w:color w:val="auto"/>
          <w:szCs w:val="21"/>
          <w:highlight w:val="none"/>
        </w:rPr>
        <w:t>资格的，授权的评标委员会可以确定排名第三的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，以此类推。以上信息查询记录及相关证据与采购文件一并保存。</w:t>
      </w:r>
    </w:p>
    <w:p w14:paraId="0DB3767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035C609B">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4E74E88F">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68E8433B">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3B032C82">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493CC4EC">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6C96E8BB">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2A7073C9">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5A2FDF8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7B45997F">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1DFA54F6">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没收谈判保证金</w:t>
      </w:r>
      <w:r>
        <w:rPr>
          <w:rFonts w:hint="eastAsia"/>
          <w:color w:val="auto"/>
          <w:szCs w:val="21"/>
          <w:highlight w:val="none"/>
        </w:rPr>
        <w:t>。</w:t>
      </w:r>
    </w:p>
    <w:p w14:paraId="4E24BC72">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7F84482B">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08682178">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73EE2CC9">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其谈判保证金将不予退还，并报由同级政府采购监督管理部门处理。</w:t>
      </w:r>
    </w:p>
    <w:p w14:paraId="6512D42D">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586CA60E">
      <w:pPr>
        <w:spacing w:before="120" w:line="320" w:lineRule="atLeast"/>
        <w:ind w:firstLine="420" w:firstLineChars="200"/>
        <w:rPr>
          <w:rFonts w:hint="eastAsia"/>
          <w:color w:val="auto"/>
          <w:szCs w:val="21"/>
          <w:highlight w:val="none"/>
        </w:rPr>
      </w:pPr>
      <w:bookmarkStart w:id="72"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2"/>
    </w:p>
    <w:p w14:paraId="7F6785D0">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62525ABD">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716ACA64">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76B18B94">
      <w:pPr>
        <w:spacing w:before="120" w:line="320" w:lineRule="atLeast"/>
        <w:ind w:firstLine="420" w:firstLineChars="200"/>
        <w:rPr>
          <w:rFonts w:hint="eastAsia"/>
          <w:color w:val="auto"/>
          <w:szCs w:val="21"/>
          <w:highlight w:val="none"/>
        </w:rPr>
      </w:pPr>
      <w:bookmarkStart w:id="73"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3"/>
    </w:p>
    <w:p w14:paraId="526DA0AC">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4856203E">
      <w:pPr>
        <w:spacing w:before="120" w:line="320" w:lineRule="atLeast"/>
        <w:ind w:firstLine="420" w:firstLineChars="200"/>
        <w:rPr>
          <w:color w:val="auto"/>
          <w:szCs w:val="21"/>
          <w:highlight w:val="none"/>
        </w:rPr>
      </w:pPr>
      <w:bookmarkStart w:id="74" w:name="_Toc217446070"/>
      <w:bookmarkStart w:id="75"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FB98B42">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4"/>
      <w:bookmarkEnd w:id="75"/>
    </w:p>
    <w:p w14:paraId="686E95ED">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7934EE18">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B082414">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028D9B25">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25BED5C3">
      <w:pPr>
        <w:spacing w:before="120" w:line="320" w:lineRule="atLeast"/>
        <w:ind w:left="2" w:leftChars="1" w:firstLine="422" w:firstLineChars="200"/>
        <w:outlineLvl w:val="1"/>
        <w:rPr>
          <w:b/>
          <w:bCs/>
          <w:color w:val="auto"/>
          <w:kern w:val="0"/>
          <w:szCs w:val="21"/>
          <w:highlight w:val="none"/>
        </w:rPr>
      </w:pPr>
      <w:bookmarkStart w:id="76" w:name="_Toc254970533"/>
      <w:bookmarkStart w:id="77" w:name="_Toc254970674"/>
      <w:r>
        <w:rPr>
          <w:b/>
          <w:bCs/>
          <w:color w:val="auto"/>
          <w:kern w:val="0"/>
          <w:szCs w:val="21"/>
          <w:highlight w:val="none"/>
        </w:rPr>
        <w:t>8．质疑和投诉</w:t>
      </w:r>
      <w:bookmarkEnd w:id="76"/>
      <w:bookmarkEnd w:id="77"/>
    </w:p>
    <w:p w14:paraId="535F7111">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1D411F09">
      <w:pPr>
        <w:spacing w:before="120" w:line="320" w:lineRule="atLeast"/>
        <w:ind w:firstLine="420" w:firstLineChars="200"/>
        <w:rPr>
          <w:color w:val="auto"/>
          <w:szCs w:val="21"/>
          <w:highlight w:val="none"/>
        </w:rPr>
      </w:pPr>
      <w:r>
        <w:rPr>
          <w:color w:val="auto"/>
          <w:szCs w:val="21"/>
          <w:highlight w:val="none"/>
        </w:rPr>
        <w:t>8.1.1质疑内容、时限</w:t>
      </w:r>
    </w:p>
    <w:p w14:paraId="068758EC">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78FD2077">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lang w:eastAsia="zh-CN"/>
        </w:rPr>
        <w:t>供应商</w:t>
      </w:r>
      <w:r>
        <w:rPr>
          <w:rFonts w:hint="eastAsia"/>
          <w:color w:val="auto"/>
          <w:szCs w:val="21"/>
          <w:highlight w:val="none"/>
        </w:rPr>
        <w:t>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3B9DCE9E">
      <w:pPr>
        <w:spacing w:before="120" w:line="320" w:lineRule="atLeast"/>
        <w:ind w:firstLine="420" w:firstLineChars="200"/>
        <w:rPr>
          <w:color w:val="auto"/>
          <w:szCs w:val="21"/>
          <w:highlight w:val="none"/>
        </w:rPr>
      </w:pPr>
      <w:r>
        <w:rPr>
          <w:color w:val="auto"/>
          <w:szCs w:val="21"/>
          <w:highlight w:val="none"/>
        </w:rPr>
        <w:t>8.1.2质疑形式</w:t>
      </w:r>
    </w:p>
    <w:p w14:paraId="32ED15EC">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49596C67">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12252079">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25899661">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EDF08E8">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61469BD4">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1B47B55D">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3C38E486">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156E98F3">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46E3DC97">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250D503E">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382725CB">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3ECC0748">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9．其他事项</w:t>
      </w:r>
    </w:p>
    <w:p w14:paraId="6BFF61E0">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2CEDF28F">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65EDED2">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47C01458">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5A164D3C">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558877A2">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C599D83">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328DBB63">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649D01B3">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7F1DB04E">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273B2615">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44101F05">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70778E70">
      <w:pPr>
        <w:spacing w:before="120" w:line="320" w:lineRule="atLeast"/>
        <w:ind w:left="2" w:leftChars="1" w:firstLine="422" w:firstLineChars="200"/>
        <w:outlineLvl w:val="1"/>
        <w:rPr>
          <w:rFonts w:hint="eastAsia"/>
          <w:color w:val="auto"/>
          <w:sz w:val="32"/>
          <w:szCs w:val="32"/>
          <w:highlight w:val="none"/>
        </w:r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bookmarkEnd w:id="29"/>
    </w:p>
    <w:bookmarkEnd w:id="30"/>
    <w:p w14:paraId="46B0EDD8">
      <w:pPr>
        <w:spacing w:before="120" w:line="320" w:lineRule="atLeast"/>
        <w:outlineLvl w:val="1"/>
        <w:rPr>
          <w:rFonts w:hint="eastAsia"/>
          <w:bCs/>
          <w:color w:val="auto"/>
          <w:kern w:val="0"/>
          <w:sz w:val="28"/>
          <w:szCs w:val="28"/>
          <w:highlight w:val="none"/>
        </w:rPr>
        <w:sectPr>
          <w:headerReference r:id="rId12" w:type="first"/>
          <w:headerReference r:id="rId11" w:type="default"/>
          <w:pgSz w:w="11906" w:h="16838"/>
          <w:pgMar w:top="993" w:right="1133" w:bottom="1246" w:left="1418" w:header="851" w:footer="992" w:gutter="0"/>
          <w:cols w:space="720" w:num="1"/>
          <w:titlePg/>
          <w:docGrid w:linePitch="312" w:charSpace="0"/>
        </w:sectPr>
      </w:pPr>
    </w:p>
    <w:p w14:paraId="4FC7EB3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78" w:name="_Toc20589"/>
      <w:bookmarkStart w:id="79" w:name="_Toc254970690"/>
      <w:bookmarkStart w:id="80" w:name="_Toc254970549"/>
      <w:r>
        <w:rPr>
          <w:rFonts w:ascii="Times New Roman" w:hAnsi="Times New Roman" w:cs="Times New Roman"/>
          <w:color w:val="auto"/>
          <w:sz w:val="32"/>
          <w:szCs w:val="32"/>
          <w:highlight w:val="none"/>
        </w:rPr>
        <w:t>第四章  评审方法及标准</w:t>
      </w:r>
      <w:bookmarkEnd w:id="78"/>
    </w:p>
    <w:p w14:paraId="44BBA764">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4FF44FFB">
      <w:pPr>
        <w:suppressAutoHyphens/>
        <w:spacing w:before="120" w:line="320" w:lineRule="atLeast"/>
        <w:ind w:firstLine="420" w:firstLineChars="200"/>
        <w:rPr>
          <w:color w:val="auto"/>
          <w:highlight w:val="none"/>
        </w:rPr>
      </w:pPr>
      <w:r>
        <w:rPr>
          <w:color w:val="auto"/>
          <w:szCs w:val="21"/>
          <w:highlight w:val="none"/>
        </w:rPr>
        <w:t>本项目采用</w:t>
      </w:r>
      <w:r>
        <w:rPr>
          <w:rFonts w:hint="eastAsia"/>
          <w:bCs/>
          <w:color w:val="auto"/>
          <w:kern w:val="1"/>
          <w:szCs w:val="21"/>
          <w:highlight w:val="none"/>
        </w:rPr>
        <w:t>最低评标价法</w:t>
      </w:r>
      <w:r>
        <w:rPr>
          <w:color w:val="auto"/>
          <w:szCs w:val="21"/>
          <w:highlight w:val="none"/>
        </w:rPr>
        <w:t>进行评审</w:t>
      </w:r>
      <w:r>
        <w:rPr>
          <w:bCs/>
          <w:color w:val="auto"/>
          <w:kern w:val="1"/>
          <w:szCs w:val="21"/>
          <w:highlight w:val="none"/>
        </w:rPr>
        <w:t>。</w:t>
      </w:r>
      <w:r>
        <w:rPr>
          <w:color w:val="auto"/>
          <w:szCs w:val="21"/>
          <w:highlight w:val="none"/>
        </w:rPr>
        <w:t>最低评标价法，是指</w:t>
      </w:r>
      <w:r>
        <w:rPr>
          <w:rFonts w:hint="eastAsia"/>
          <w:color w:val="auto"/>
          <w:szCs w:val="21"/>
          <w:highlight w:val="none"/>
        </w:rPr>
        <w:t>响应</w:t>
      </w:r>
      <w:r>
        <w:rPr>
          <w:color w:val="auto"/>
          <w:szCs w:val="21"/>
          <w:highlight w:val="none"/>
        </w:rPr>
        <w:t>文件满足</w:t>
      </w:r>
      <w:r>
        <w:rPr>
          <w:rFonts w:hint="eastAsia"/>
          <w:color w:val="auto"/>
          <w:szCs w:val="21"/>
          <w:highlight w:val="none"/>
        </w:rPr>
        <w:t>采购文件</w:t>
      </w:r>
      <w:r>
        <w:rPr>
          <w:color w:val="auto"/>
          <w:szCs w:val="21"/>
          <w:highlight w:val="none"/>
        </w:rPr>
        <w:t>全部实质性要求且</w:t>
      </w:r>
      <w:r>
        <w:rPr>
          <w:rFonts w:hint="eastAsia"/>
          <w:color w:val="auto"/>
          <w:szCs w:val="21"/>
          <w:highlight w:val="none"/>
        </w:rPr>
        <w:t>谈判</w:t>
      </w:r>
      <w:r>
        <w:rPr>
          <w:color w:val="auto"/>
          <w:szCs w:val="21"/>
          <w:highlight w:val="none"/>
        </w:rPr>
        <w:t>报价最低的供应商为</w:t>
      </w:r>
      <w:r>
        <w:rPr>
          <w:rFonts w:hint="eastAsia"/>
          <w:color w:val="auto"/>
          <w:szCs w:val="21"/>
          <w:highlight w:val="none"/>
        </w:rPr>
        <w:t>成交</w:t>
      </w:r>
      <w:r>
        <w:rPr>
          <w:color w:val="auto"/>
          <w:szCs w:val="21"/>
          <w:highlight w:val="none"/>
        </w:rPr>
        <w:t>候选人的评</w:t>
      </w:r>
      <w:r>
        <w:rPr>
          <w:rFonts w:hint="eastAsia"/>
          <w:color w:val="auto"/>
          <w:szCs w:val="21"/>
          <w:highlight w:val="none"/>
        </w:rPr>
        <w:t>审</w:t>
      </w:r>
      <w:r>
        <w:rPr>
          <w:color w:val="auto"/>
          <w:szCs w:val="21"/>
          <w:highlight w:val="none"/>
        </w:rPr>
        <w:t>方法。</w:t>
      </w:r>
      <w:r>
        <w:rPr>
          <w:color w:val="auto"/>
          <w:highlight w:val="none"/>
        </w:rPr>
        <w:t xml:space="preserve"> </w:t>
      </w:r>
    </w:p>
    <w:p w14:paraId="29E145E8">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73BE4749">
      <w:pPr>
        <w:spacing w:before="120" w:line="320" w:lineRule="atLeast"/>
        <w:ind w:firstLine="413" w:firstLineChars="196"/>
        <w:outlineLvl w:val="1"/>
        <w:rPr>
          <w:rFonts w:hint="eastAsia"/>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81" w:name="_Hlk160525103"/>
      <w:r>
        <w:rPr>
          <w:rFonts w:hint="eastAsia"/>
          <w:b/>
          <w:bCs/>
          <w:color w:val="auto"/>
          <w:kern w:val="0"/>
          <w:szCs w:val="21"/>
          <w:highlight w:val="none"/>
        </w:rPr>
        <w:t>联合体投标的，联合体各方均应提交第一项基本资格要求的资格证明文件）</w:t>
      </w:r>
      <w:bookmarkEnd w:id="81"/>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4CC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1492A347">
            <w:pPr>
              <w:spacing w:line="240" w:lineRule="exact"/>
              <w:jc w:val="center"/>
              <w:rPr>
                <w:b/>
                <w:color w:val="auto"/>
                <w:kern w:val="0"/>
                <w:szCs w:val="21"/>
                <w:highlight w:val="none"/>
              </w:rPr>
            </w:pPr>
            <w:bookmarkStart w:id="82" w:name="_Hlk92979501"/>
            <w:r>
              <w:rPr>
                <w:rFonts w:hint="eastAsia"/>
                <w:b/>
                <w:color w:val="auto"/>
                <w:kern w:val="0"/>
                <w:szCs w:val="21"/>
                <w:highlight w:val="none"/>
              </w:rPr>
              <w:t>审查</w:t>
            </w:r>
            <w:r>
              <w:rPr>
                <w:b/>
                <w:color w:val="auto"/>
                <w:kern w:val="0"/>
                <w:szCs w:val="21"/>
                <w:highlight w:val="none"/>
              </w:rPr>
              <w:t>因素</w:t>
            </w:r>
          </w:p>
        </w:tc>
        <w:tc>
          <w:tcPr>
            <w:tcW w:w="1843" w:type="dxa"/>
            <w:noWrap w:val="0"/>
            <w:vAlign w:val="center"/>
          </w:tcPr>
          <w:p w14:paraId="7C147E30">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noWrap w:val="0"/>
            <w:vAlign w:val="center"/>
          </w:tcPr>
          <w:p w14:paraId="58BAF504">
            <w:pPr>
              <w:spacing w:line="240" w:lineRule="exact"/>
              <w:jc w:val="center"/>
              <w:rPr>
                <w:b/>
                <w:color w:val="auto"/>
                <w:kern w:val="0"/>
                <w:szCs w:val="21"/>
                <w:highlight w:val="none"/>
              </w:rPr>
            </w:pPr>
            <w:r>
              <w:rPr>
                <w:rFonts w:hint="eastAsia"/>
                <w:b/>
                <w:color w:val="auto"/>
                <w:kern w:val="0"/>
                <w:szCs w:val="21"/>
                <w:highlight w:val="none"/>
              </w:rPr>
              <w:t>说明</w:t>
            </w:r>
          </w:p>
        </w:tc>
      </w:tr>
      <w:tr w14:paraId="5EAF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2FDA52B9">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noWrap w:val="0"/>
            <w:vAlign w:val="center"/>
          </w:tcPr>
          <w:p w14:paraId="2193E45F">
            <w:pPr>
              <w:spacing w:line="240" w:lineRule="exact"/>
              <w:jc w:val="left"/>
              <w:rPr>
                <w:color w:val="auto"/>
                <w:szCs w:val="21"/>
                <w:highlight w:val="none"/>
              </w:rPr>
            </w:pPr>
            <w:r>
              <w:rPr>
                <w:color w:val="auto"/>
                <w:szCs w:val="21"/>
                <w:highlight w:val="none"/>
              </w:rPr>
              <w:t>（1）具有独立承担民事责任的能力</w:t>
            </w:r>
          </w:p>
        </w:tc>
        <w:tc>
          <w:tcPr>
            <w:tcW w:w="6242" w:type="dxa"/>
            <w:noWrap w:val="0"/>
            <w:vAlign w:val="top"/>
          </w:tcPr>
          <w:p w14:paraId="385DC164">
            <w:pPr>
              <w:spacing w:line="240" w:lineRule="exac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1803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F290B3B">
            <w:pPr>
              <w:spacing w:line="240" w:lineRule="exact"/>
              <w:rPr>
                <w:color w:val="auto"/>
                <w:szCs w:val="21"/>
                <w:highlight w:val="none"/>
                <w:lang w:val="zh-CN"/>
              </w:rPr>
            </w:pPr>
          </w:p>
        </w:tc>
        <w:tc>
          <w:tcPr>
            <w:tcW w:w="1843" w:type="dxa"/>
            <w:noWrap w:val="0"/>
            <w:vAlign w:val="center"/>
          </w:tcPr>
          <w:p w14:paraId="00126F4F">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noWrap w:val="0"/>
            <w:vAlign w:val="top"/>
          </w:tcPr>
          <w:p w14:paraId="040876E0">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声明书”。</w:t>
            </w:r>
          </w:p>
          <w:p w14:paraId="7CDFF50D">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lang w:val="en-US" w:eastAsia="zh-CN"/>
              </w:rPr>
              <w:t>2025</w:t>
            </w:r>
            <w:r>
              <w:rPr>
                <w:rFonts w:hint="eastAsia"/>
                <w:color w:val="auto"/>
                <w:szCs w:val="21"/>
                <w:highlight w:val="none"/>
              </w:rPr>
              <w:t>年</w:t>
            </w:r>
            <w:r>
              <w:rPr>
                <w:color w:val="auto"/>
                <w:szCs w:val="21"/>
                <w:highlight w:val="none"/>
              </w:rPr>
              <w:t>度财务状况报告（表）复印件或银行出具的资信证明复印件，</w:t>
            </w:r>
            <w:r>
              <w:rPr>
                <w:color w:val="auto"/>
                <w:highlight w:val="none"/>
              </w:rPr>
              <w:t>对于从取得营业执照时间起到响应文件递交截止时间为止不足1年的供应商，只需提交</w:t>
            </w:r>
            <w:r>
              <w:rPr>
                <w:rFonts w:hint="eastAsia"/>
                <w:color w:val="auto"/>
                <w:szCs w:val="21"/>
                <w:highlight w:val="none"/>
              </w:rPr>
              <w:t>响应</w:t>
            </w:r>
            <w:r>
              <w:rPr>
                <w:color w:val="auto"/>
                <w:szCs w:val="21"/>
                <w:highlight w:val="none"/>
              </w:rPr>
              <w:t>文件递交截止时间前一个月的财务状况报告（表）复印件。</w:t>
            </w:r>
          </w:p>
        </w:tc>
      </w:tr>
      <w:tr w14:paraId="2F0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1B05ADF2">
            <w:pPr>
              <w:spacing w:line="240" w:lineRule="exact"/>
              <w:rPr>
                <w:color w:val="auto"/>
                <w:szCs w:val="21"/>
                <w:highlight w:val="none"/>
                <w:lang w:val="zh-CN"/>
              </w:rPr>
            </w:pPr>
          </w:p>
        </w:tc>
        <w:tc>
          <w:tcPr>
            <w:tcW w:w="1843" w:type="dxa"/>
            <w:noWrap w:val="0"/>
            <w:vAlign w:val="center"/>
          </w:tcPr>
          <w:p w14:paraId="69A55DA7">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noWrap w:val="0"/>
            <w:vAlign w:val="top"/>
          </w:tcPr>
          <w:p w14:paraId="688B9603">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 xml:space="preserve">审查供应商营业执照，须有效； </w:t>
            </w:r>
          </w:p>
          <w:p w14:paraId="31C3229D">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highlight w:val="none"/>
              </w:rPr>
              <w:t>声明书</w:t>
            </w:r>
            <w:r>
              <w:rPr>
                <w:color w:val="auto"/>
                <w:szCs w:val="21"/>
                <w:highlight w:val="none"/>
              </w:rPr>
              <w:t>”。</w:t>
            </w:r>
          </w:p>
          <w:p w14:paraId="10E580F3">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6276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05C89490">
            <w:pPr>
              <w:spacing w:line="240" w:lineRule="exact"/>
              <w:rPr>
                <w:color w:val="auto"/>
                <w:szCs w:val="21"/>
                <w:highlight w:val="none"/>
                <w:lang w:val="zh-CN"/>
              </w:rPr>
            </w:pPr>
          </w:p>
        </w:tc>
        <w:tc>
          <w:tcPr>
            <w:tcW w:w="1843" w:type="dxa"/>
            <w:noWrap w:val="0"/>
            <w:vAlign w:val="center"/>
          </w:tcPr>
          <w:p w14:paraId="411A3475">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noWrap w:val="0"/>
            <w:vAlign w:val="top"/>
          </w:tcPr>
          <w:p w14:paraId="4E0145DF">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2B5AC36E">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185192F6">
            <w:pPr>
              <w:spacing w:line="240" w:lineRule="exact"/>
              <w:jc w:val="left"/>
              <w:rPr>
                <w:color w:val="auto"/>
                <w:szCs w:val="21"/>
                <w:highlight w:val="none"/>
              </w:rPr>
            </w:pPr>
            <w:r>
              <w:rPr>
                <w:color w:val="auto"/>
                <w:szCs w:val="21"/>
                <w:highlight w:val="none"/>
              </w:rPr>
              <w:t>供应商成立不足</w:t>
            </w:r>
            <w:r>
              <w:rPr>
                <w:rFonts w:hint="eastAsia"/>
                <w:color w:val="auto"/>
                <w:szCs w:val="21"/>
                <w:highlight w:val="none"/>
              </w:rPr>
              <w:t>1个月的，无须提供</w:t>
            </w:r>
            <w:r>
              <w:rPr>
                <w:color w:val="auto"/>
                <w:szCs w:val="21"/>
                <w:highlight w:val="none"/>
              </w:rPr>
              <w:t>缴纳税费证明及社保缴费证明加盖供应商电子签章</w:t>
            </w:r>
            <w:r>
              <w:rPr>
                <w:rFonts w:hint="eastAsia"/>
                <w:color w:val="auto"/>
                <w:szCs w:val="21"/>
                <w:highlight w:val="none"/>
              </w:rPr>
              <w:t>。</w:t>
            </w:r>
          </w:p>
          <w:p w14:paraId="1181B9FE">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4DB8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D6B7106">
            <w:pPr>
              <w:spacing w:line="240" w:lineRule="exact"/>
              <w:rPr>
                <w:color w:val="auto"/>
                <w:szCs w:val="21"/>
                <w:highlight w:val="none"/>
                <w:lang w:val="zh-CN"/>
              </w:rPr>
            </w:pPr>
          </w:p>
        </w:tc>
        <w:tc>
          <w:tcPr>
            <w:tcW w:w="1843" w:type="dxa"/>
            <w:noWrap w:val="0"/>
            <w:vAlign w:val="center"/>
          </w:tcPr>
          <w:p w14:paraId="0B27536E">
            <w:pPr>
              <w:spacing w:line="240" w:lineRule="exact"/>
              <w:jc w:val="left"/>
              <w:rPr>
                <w:rFonts w:hint="eastAsia"/>
                <w:color w:val="auto"/>
                <w:szCs w:val="21"/>
                <w:highlight w:val="none"/>
              </w:rPr>
            </w:pPr>
            <w:r>
              <w:rPr>
                <w:color w:val="auto"/>
                <w:szCs w:val="21"/>
                <w:highlight w:val="none"/>
              </w:rPr>
              <w:t>（5）参加政府采购活动前三年内，在经营活动中没有重大违法记录</w:t>
            </w:r>
          </w:p>
        </w:tc>
        <w:tc>
          <w:tcPr>
            <w:tcW w:w="6242" w:type="dxa"/>
            <w:noWrap w:val="0"/>
            <w:vAlign w:val="center"/>
          </w:tcPr>
          <w:p w14:paraId="499E3531">
            <w:pP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 xml:space="preserve">声明书”。 </w:t>
            </w:r>
          </w:p>
        </w:tc>
      </w:tr>
      <w:tr w14:paraId="4EF6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CCC1DC2">
            <w:pPr>
              <w:spacing w:line="240" w:lineRule="exact"/>
              <w:rPr>
                <w:color w:val="auto"/>
                <w:szCs w:val="21"/>
                <w:highlight w:val="none"/>
                <w:lang w:val="zh-CN"/>
              </w:rPr>
            </w:pPr>
          </w:p>
        </w:tc>
        <w:tc>
          <w:tcPr>
            <w:tcW w:w="1843" w:type="dxa"/>
            <w:noWrap w:val="0"/>
            <w:vAlign w:val="center"/>
          </w:tcPr>
          <w:p w14:paraId="65AEC866">
            <w:pPr>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0DB74089">
            <w:pPr>
              <w:spacing w:line="240" w:lineRule="exact"/>
              <w:jc w:val="left"/>
              <w:rPr>
                <w:color w:val="auto"/>
                <w:szCs w:val="21"/>
                <w:highlight w:val="none"/>
              </w:rPr>
            </w:pPr>
            <w:r>
              <w:rPr>
                <w:color w:val="auto"/>
                <w:szCs w:val="21"/>
                <w:highlight w:val="none"/>
              </w:rPr>
              <w:t>无。</w:t>
            </w:r>
          </w:p>
        </w:tc>
      </w:tr>
      <w:tr w14:paraId="3284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56612757">
            <w:pPr>
              <w:spacing w:line="240" w:lineRule="exact"/>
              <w:jc w:val="left"/>
              <w:rPr>
                <w:color w:val="auto"/>
                <w:kern w:val="0"/>
                <w:szCs w:val="21"/>
                <w:highlight w:val="none"/>
              </w:rPr>
            </w:pPr>
            <w:r>
              <w:rPr>
                <w:rFonts w:hint="eastAsia"/>
                <w:color w:val="auto"/>
                <w:kern w:val="0"/>
                <w:szCs w:val="21"/>
                <w:highlight w:val="none"/>
              </w:rPr>
              <w:t>采购政策</w:t>
            </w:r>
          </w:p>
        </w:tc>
        <w:tc>
          <w:tcPr>
            <w:tcW w:w="1843" w:type="dxa"/>
            <w:noWrap w:val="0"/>
            <w:vAlign w:val="center"/>
          </w:tcPr>
          <w:p w14:paraId="60F36DE6">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789AC955">
            <w:pPr>
              <w:spacing w:line="240" w:lineRule="exact"/>
              <w:jc w:val="left"/>
              <w:rPr>
                <w:rFonts w:hint="eastAsia"/>
                <w:color w:val="auto"/>
                <w:szCs w:val="21"/>
                <w:highlight w:val="none"/>
              </w:rPr>
            </w:pPr>
            <w:r>
              <w:rPr>
                <w:color w:val="auto"/>
                <w:szCs w:val="21"/>
                <w:highlight w:val="none"/>
              </w:rPr>
              <w:sym w:font="Wingdings 2" w:char="F052"/>
            </w:r>
            <w:r>
              <w:rPr>
                <w:rFonts w:hint="eastAsia"/>
                <w:color w:val="auto"/>
                <w:szCs w:val="21"/>
                <w:highlight w:val="none"/>
              </w:rPr>
              <w:t>无</w:t>
            </w:r>
          </w:p>
        </w:tc>
      </w:tr>
      <w:tr w14:paraId="2D57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07A768C0">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noWrap w:val="0"/>
            <w:vAlign w:val="center"/>
          </w:tcPr>
          <w:p w14:paraId="084156E4">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noWrap w:val="0"/>
            <w:vAlign w:val="center"/>
          </w:tcPr>
          <w:p w14:paraId="7E876BD2">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7F0C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00507CE">
            <w:pPr>
              <w:spacing w:line="240" w:lineRule="exact"/>
              <w:rPr>
                <w:color w:val="auto"/>
                <w:szCs w:val="21"/>
                <w:highlight w:val="none"/>
              </w:rPr>
            </w:pPr>
          </w:p>
        </w:tc>
        <w:tc>
          <w:tcPr>
            <w:tcW w:w="1843" w:type="dxa"/>
            <w:noWrap w:val="0"/>
            <w:vAlign w:val="center"/>
          </w:tcPr>
          <w:p w14:paraId="589045B4">
            <w:pPr>
              <w:spacing w:line="240" w:lineRule="exact"/>
              <w:jc w:val="left"/>
              <w:rPr>
                <w:color w:val="auto"/>
                <w:szCs w:val="21"/>
                <w:highlight w:val="none"/>
              </w:rPr>
            </w:pPr>
            <w:r>
              <w:rPr>
                <w:color w:val="auto"/>
                <w:szCs w:val="21"/>
                <w:highlight w:val="none"/>
              </w:rPr>
              <w:t>（2）业绩要求</w:t>
            </w:r>
          </w:p>
        </w:tc>
        <w:tc>
          <w:tcPr>
            <w:tcW w:w="6242" w:type="dxa"/>
            <w:noWrap w:val="0"/>
            <w:vAlign w:val="center"/>
          </w:tcPr>
          <w:p w14:paraId="5BBBC491">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0F54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noWrap w:val="0"/>
            <w:vAlign w:val="center"/>
          </w:tcPr>
          <w:p w14:paraId="734210DB">
            <w:pPr>
              <w:spacing w:line="240" w:lineRule="exact"/>
              <w:jc w:val="left"/>
              <w:rPr>
                <w:color w:val="auto"/>
                <w:szCs w:val="21"/>
                <w:highlight w:val="none"/>
              </w:rPr>
            </w:pPr>
          </w:p>
        </w:tc>
        <w:tc>
          <w:tcPr>
            <w:tcW w:w="1843" w:type="dxa"/>
            <w:noWrap w:val="0"/>
            <w:vAlign w:val="center"/>
          </w:tcPr>
          <w:p w14:paraId="53CF44ED">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noWrap w:val="0"/>
            <w:vAlign w:val="center"/>
          </w:tcPr>
          <w:p w14:paraId="3982500D">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4D90E6FD">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190D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754944C">
            <w:pPr>
              <w:spacing w:line="240" w:lineRule="exact"/>
              <w:jc w:val="left"/>
              <w:rPr>
                <w:color w:val="auto"/>
                <w:kern w:val="0"/>
                <w:szCs w:val="21"/>
                <w:highlight w:val="none"/>
              </w:rPr>
            </w:pPr>
          </w:p>
        </w:tc>
        <w:tc>
          <w:tcPr>
            <w:tcW w:w="1843" w:type="dxa"/>
            <w:noWrap w:val="0"/>
            <w:vAlign w:val="center"/>
          </w:tcPr>
          <w:p w14:paraId="7E449437">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noWrap w:val="0"/>
            <w:vAlign w:val="top"/>
          </w:tcPr>
          <w:p w14:paraId="3E624176">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08D9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16BA5E6">
            <w:pPr>
              <w:spacing w:line="240" w:lineRule="exact"/>
              <w:jc w:val="left"/>
              <w:rPr>
                <w:color w:val="auto"/>
                <w:kern w:val="0"/>
                <w:szCs w:val="21"/>
                <w:highlight w:val="none"/>
              </w:rPr>
            </w:pPr>
          </w:p>
        </w:tc>
        <w:tc>
          <w:tcPr>
            <w:tcW w:w="1843" w:type="dxa"/>
            <w:noWrap w:val="0"/>
            <w:vAlign w:val="center"/>
          </w:tcPr>
          <w:p w14:paraId="53BDCFF1">
            <w:pPr>
              <w:spacing w:line="240" w:lineRule="exact"/>
              <w:jc w:val="left"/>
              <w:rPr>
                <w:color w:val="auto"/>
                <w:szCs w:val="21"/>
                <w:highlight w:val="none"/>
              </w:rPr>
            </w:pPr>
            <w:r>
              <w:rPr>
                <w:rFonts w:hint="eastAsia"/>
                <w:color w:val="auto"/>
                <w:szCs w:val="21"/>
                <w:highlight w:val="none"/>
              </w:rPr>
              <w:t>（5）分公司</w:t>
            </w:r>
          </w:p>
        </w:tc>
        <w:tc>
          <w:tcPr>
            <w:tcW w:w="6242" w:type="dxa"/>
            <w:noWrap w:val="0"/>
            <w:vAlign w:val="center"/>
          </w:tcPr>
          <w:p w14:paraId="2BABB077">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67E8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101DA3C">
            <w:pPr>
              <w:spacing w:line="240" w:lineRule="exact"/>
              <w:jc w:val="left"/>
              <w:rPr>
                <w:color w:val="auto"/>
                <w:kern w:val="0"/>
                <w:szCs w:val="21"/>
                <w:highlight w:val="none"/>
              </w:rPr>
            </w:pPr>
          </w:p>
        </w:tc>
        <w:tc>
          <w:tcPr>
            <w:tcW w:w="1843" w:type="dxa"/>
            <w:noWrap w:val="0"/>
            <w:vAlign w:val="center"/>
          </w:tcPr>
          <w:p w14:paraId="7AEA4B39">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noWrap w:val="0"/>
            <w:vAlign w:val="center"/>
          </w:tcPr>
          <w:p w14:paraId="32C1CAD5">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314C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846" w:type="dxa"/>
            <w:vMerge w:val="continue"/>
            <w:noWrap w:val="0"/>
            <w:vAlign w:val="center"/>
          </w:tcPr>
          <w:p w14:paraId="3DF917CC">
            <w:pPr>
              <w:spacing w:line="240" w:lineRule="exact"/>
              <w:jc w:val="left"/>
              <w:rPr>
                <w:color w:val="auto"/>
                <w:kern w:val="0"/>
                <w:szCs w:val="21"/>
                <w:highlight w:val="none"/>
              </w:rPr>
            </w:pPr>
          </w:p>
        </w:tc>
        <w:tc>
          <w:tcPr>
            <w:tcW w:w="1843" w:type="dxa"/>
            <w:noWrap w:val="0"/>
            <w:vAlign w:val="center"/>
          </w:tcPr>
          <w:p w14:paraId="741FC324">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noWrap w:val="0"/>
            <w:vAlign w:val="center"/>
          </w:tcPr>
          <w:p w14:paraId="5B54FEC8">
            <w:pPr>
              <w:spacing w:line="240" w:lineRule="exact"/>
              <w:rPr>
                <w:color w:val="auto"/>
                <w:szCs w:val="21"/>
                <w:highlight w:val="none"/>
              </w:rPr>
            </w:pPr>
            <w:r>
              <w:rPr>
                <w:rFonts w:hint="eastAsia"/>
                <w:color w:val="auto"/>
                <w:szCs w:val="21"/>
                <w:highlight w:val="none"/>
                <w:lang w:val="zh-CN"/>
              </w:rPr>
              <w:t>须符合“谈判公告”的要求</w:t>
            </w:r>
          </w:p>
        </w:tc>
      </w:tr>
      <w:tr w14:paraId="2BB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846" w:type="dxa"/>
            <w:vMerge w:val="continue"/>
            <w:noWrap w:val="0"/>
            <w:vAlign w:val="center"/>
          </w:tcPr>
          <w:p w14:paraId="46BB039C">
            <w:pPr>
              <w:spacing w:line="240" w:lineRule="exact"/>
              <w:jc w:val="left"/>
              <w:rPr>
                <w:color w:val="auto"/>
                <w:kern w:val="0"/>
                <w:szCs w:val="21"/>
                <w:highlight w:val="none"/>
              </w:rPr>
            </w:pPr>
          </w:p>
        </w:tc>
        <w:tc>
          <w:tcPr>
            <w:tcW w:w="1843" w:type="dxa"/>
            <w:noWrap w:val="0"/>
            <w:vAlign w:val="center"/>
          </w:tcPr>
          <w:p w14:paraId="7AB75A0E">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noWrap w:val="0"/>
            <w:vAlign w:val="top"/>
          </w:tcPr>
          <w:p w14:paraId="442335AD">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谈判</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足额、及时缴纳谈判保证金。</w:t>
            </w:r>
          </w:p>
        </w:tc>
      </w:tr>
      <w:bookmarkEnd w:id="82"/>
    </w:tbl>
    <w:p w14:paraId="576B529B">
      <w:pPr>
        <w:spacing w:before="120" w:line="320" w:lineRule="atLeast"/>
        <w:ind w:firstLine="413" w:firstLineChars="196"/>
        <w:outlineLvl w:val="1"/>
        <w:rPr>
          <w:b/>
          <w:bCs/>
          <w:color w:val="auto"/>
          <w:kern w:val="0"/>
          <w:szCs w:val="21"/>
          <w:highlight w:val="none"/>
        </w:rPr>
      </w:pPr>
      <w:bookmarkStart w:id="83" w:name="_Hlk92979639"/>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932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2436"/>
        <w:gridCol w:w="5309"/>
      </w:tblGrid>
      <w:tr w14:paraId="0AD7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579" w:type="dxa"/>
            <w:noWrap w:val="0"/>
            <w:vAlign w:val="center"/>
          </w:tcPr>
          <w:p w14:paraId="620C47D9">
            <w:pPr>
              <w:spacing w:line="240" w:lineRule="exact"/>
              <w:jc w:val="center"/>
              <w:rPr>
                <w:b/>
                <w:color w:val="auto"/>
                <w:kern w:val="0"/>
                <w:szCs w:val="21"/>
                <w:highlight w:val="none"/>
              </w:rPr>
            </w:pPr>
            <w:bookmarkStart w:id="84" w:name="_Hlk92979654"/>
            <w:r>
              <w:rPr>
                <w:rFonts w:hint="eastAsia"/>
                <w:b/>
                <w:color w:val="auto"/>
                <w:kern w:val="0"/>
                <w:szCs w:val="21"/>
                <w:highlight w:val="none"/>
              </w:rPr>
              <w:t>审查</w:t>
            </w:r>
            <w:r>
              <w:rPr>
                <w:b/>
                <w:color w:val="auto"/>
                <w:kern w:val="0"/>
                <w:szCs w:val="21"/>
                <w:highlight w:val="none"/>
              </w:rPr>
              <w:t>因素</w:t>
            </w:r>
          </w:p>
        </w:tc>
        <w:tc>
          <w:tcPr>
            <w:tcW w:w="2436" w:type="dxa"/>
            <w:noWrap w:val="0"/>
            <w:vAlign w:val="center"/>
          </w:tcPr>
          <w:p w14:paraId="7E3646B2">
            <w:pPr>
              <w:spacing w:line="240" w:lineRule="exact"/>
              <w:jc w:val="center"/>
              <w:rPr>
                <w:b/>
                <w:color w:val="auto"/>
                <w:kern w:val="0"/>
                <w:szCs w:val="21"/>
                <w:highlight w:val="none"/>
              </w:rPr>
            </w:pPr>
            <w:r>
              <w:rPr>
                <w:rFonts w:hint="eastAsia"/>
                <w:b/>
                <w:color w:val="auto"/>
                <w:kern w:val="0"/>
                <w:szCs w:val="21"/>
                <w:highlight w:val="none"/>
              </w:rPr>
              <w:t>审查内容</w:t>
            </w:r>
          </w:p>
        </w:tc>
        <w:tc>
          <w:tcPr>
            <w:tcW w:w="5309" w:type="dxa"/>
            <w:noWrap w:val="0"/>
            <w:vAlign w:val="top"/>
          </w:tcPr>
          <w:p w14:paraId="6920F2A9">
            <w:pPr>
              <w:spacing w:line="240" w:lineRule="exact"/>
              <w:jc w:val="center"/>
              <w:rPr>
                <w:b/>
                <w:color w:val="auto"/>
                <w:kern w:val="0"/>
                <w:szCs w:val="21"/>
                <w:highlight w:val="none"/>
              </w:rPr>
            </w:pPr>
            <w:r>
              <w:rPr>
                <w:rFonts w:hint="eastAsia"/>
                <w:b/>
                <w:color w:val="auto"/>
                <w:kern w:val="0"/>
                <w:szCs w:val="21"/>
                <w:highlight w:val="none"/>
              </w:rPr>
              <w:t>说明</w:t>
            </w:r>
          </w:p>
        </w:tc>
      </w:tr>
      <w:tr w14:paraId="04C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579" w:type="dxa"/>
            <w:vMerge w:val="restart"/>
            <w:noWrap w:val="0"/>
            <w:vAlign w:val="center"/>
          </w:tcPr>
          <w:p w14:paraId="01FB3FD5">
            <w:pPr>
              <w:spacing w:line="240" w:lineRule="exact"/>
              <w:jc w:val="center"/>
              <w:rPr>
                <w:color w:val="auto"/>
                <w:kern w:val="0"/>
                <w:szCs w:val="21"/>
                <w:highlight w:val="none"/>
              </w:rPr>
            </w:pPr>
            <w:r>
              <w:rPr>
                <w:rFonts w:hint="eastAsia"/>
                <w:color w:val="auto"/>
                <w:kern w:val="0"/>
                <w:szCs w:val="21"/>
                <w:highlight w:val="none"/>
              </w:rPr>
              <w:t>商务资信</w:t>
            </w:r>
          </w:p>
        </w:tc>
        <w:tc>
          <w:tcPr>
            <w:tcW w:w="2436" w:type="dxa"/>
            <w:noWrap w:val="0"/>
            <w:vAlign w:val="center"/>
          </w:tcPr>
          <w:p w14:paraId="24DCF887">
            <w:pPr>
              <w:spacing w:line="240" w:lineRule="exact"/>
              <w:rPr>
                <w:color w:val="auto"/>
                <w:highlight w:val="none"/>
              </w:rPr>
            </w:pPr>
            <w:r>
              <w:rPr>
                <w:rFonts w:hint="eastAsia"/>
                <w:color w:val="auto"/>
                <w:highlight w:val="none"/>
              </w:rPr>
              <w:t>法定代表人身份证明及授权委托书</w:t>
            </w:r>
          </w:p>
        </w:tc>
        <w:tc>
          <w:tcPr>
            <w:tcW w:w="5309" w:type="dxa"/>
            <w:noWrap w:val="0"/>
            <w:vAlign w:val="center"/>
          </w:tcPr>
          <w:p w14:paraId="3E02DA40">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179642F8">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4176A1D4">
            <w:pPr>
              <w:spacing w:line="240" w:lineRule="exact"/>
              <w:rPr>
                <w:color w:val="auto"/>
                <w:highlight w:val="none"/>
              </w:rPr>
            </w:pPr>
            <w:r>
              <w:rPr>
                <w:rFonts w:ascii="宋体" w:hAnsi="宋体"/>
                <w:color w:val="auto"/>
                <w:szCs w:val="21"/>
                <w:highlight w:val="none"/>
              </w:rPr>
              <w:t>格式及附件见第六章响应文件格式要求</w:t>
            </w:r>
          </w:p>
        </w:tc>
      </w:tr>
      <w:tr w14:paraId="05A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79" w:type="dxa"/>
            <w:vMerge w:val="continue"/>
            <w:noWrap w:val="0"/>
            <w:vAlign w:val="center"/>
          </w:tcPr>
          <w:p w14:paraId="47F0495D">
            <w:pPr>
              <w:spacing w:line="240" w:lineRule="exact"/>
              <w:jc w:val="center"/>
              <w:rPr>
                <w:color w:val="auto"/>
                <w:kern w:val="0"/>
                <w:szCs w:val="21"/>
                <w:highlight w:val="none"/>
              </w:rPr>
            </w:pPr>
          </w:p>
        </w:tc>
        <w:tc>
          <w:tcPr>
            <w:tcW w:w="2436" w:type="dxa"/>
            <w:noWrap w:val="0"/>
            <w:vAlign w:val="center"/>
          </w:tcPr>
          <w:p w14:paraId="772DE498">
            <w:pPr>
              <w:spacing w:line="240" w:lineRule="exact"/>
              <w:rPr>
                <w:color w:val="auto"/>
                <w:szCs w:val="21"/>
                <w:highlight w:val="none"/>
              </w:rPr>
            </w:pPr>
            <w:r>
              <w:rPr>
                <w:rFonts w:hint="eastAsia"/>
                <w:color w:val="auto"/>
                <w:szCs w:val="21"/>
                <w:highlight w:val="none"/>
              </w:rPr>
              <w:t>实质性条款响应</w:t>
            </w:r>
          </w:p>
        </w:tc>
        <w:tc>
          <w:tcPr>
            <w:tcW w:w="5309" w:type="dxa"/>
            <w:noWrap w:val="0"/>
            <w:vAlign w:val="center"/>
          </w:tcPr>
          <w:p w14:paraId="6108B02F">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1C04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79" w:type="dxa"/>
            <w:vMerge w:val="continue"/>
            <w:noWrap w:val="0"/>
            <w:vAlign w:val="center"/>
          </w:tcPr>
          <w:p w14:paraId="00346AE2">
            <w:pPr>
              <w:spacing w:line="240" w:lineRule="exact"/>
              <w:jc w:val="center"/>
              <w:rPr>
                <w:color w:val="auto"/>
                <w:kern w:val="0"/>
                <w:szCs w:val="21"/>
                <w:highlight w:val="none"/>
              </w:rPr>
            </w:pPr>
          </w:p>
        </w:tc>
        <w:tc>
          <w:tcPr>
            <w:tcW w:w="2436" w:type="dxa"/>
            <w:noWrap w:val="0"/>
            <w:vAlign w:val="center"/>
          </w:tcPr>
          <w:p w14:paraId="2B404BA5">
            <w:pPr>
              <w:spacing w:line="240" w:lineRule="exact"/>
              <w:rPr>
                <w:color w:val="auto"/>
                <w:szCs w:val="21"/>
                <w:highlight w:val="none"/>
              </w:rPr>
            </w:pPr>
            <w:r>
              <w:rPr>
                <w:rFonts w:hint="eastAsia"/>
                <w:color w:val="auto"/>
                <w:szCs w:val="21"/>
                <w:highlight w:val="none"/>
              </w:rPr>
              <w:t>串通投标</w:t>
            </w:r>
          </w:p>
        </w:tc>
        <w:tc>
          <w:tcPr>
            <w:tcW w:w="5309" w:type="dxa"/>
            <w:noWrap w:val="0"/>
            <w:vAlign w:val="center"/>
          </w:tcPr>
          <w:p w14:paraId="1EDEE9D5">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规定的串通投标情形，见</w:t>
            </w:r>
            <w:r>
              <w:rPr>
                <w:rFonts w:ascii="宋体" w:hAnsi="宋体"/>
                <w:color w:val="auto"/>
                <w:szCs w:val="21"/>
                <w:highlight w:val="none"/>
              </w:rPr>
              <w:t>第六章响应文件格式要求</w:t>
            </w:r>
          </w:p>
        </w:tc>
      </w:tr>
      <w:tr w14:paraId="3992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79" w:type="dxa"/>
            <w:vMerge w:val="restart"/>
            <w:noWrap w:val="0"/>
            <w:vAlign w:val="center"/>
          </w:tcPr>
          <w:p w14:paraId="1DBF50E7">
            <w:pPr>
              <w:spacing w:line="240" w:lineRule="exact"/>
              <w:jc w:val="center"/>
              <w:rPr>
                <w:color w:val="auto"/>
                <w:szCs w:val="21"/>
                <w:highlight w:val="none"/>
              </w:rPr>
            </w:pPr>
            <w:r>
              <w:rPr>
                <w:rFonts w:hint="eastAsia"/>
                <w:color w:val="auto"/>
                <w:kern w:val="0"/>
                <w:szCs w:val="21"/>
                <w:highlight w:val="none"/>
              </w:rPr>
              <w:t>技术</w:t>
            </w:r>
          </w:p>
        </w:tc>
        <w:tc>
          <w:tcPr>
            <w:tcW w:w="2436" w:type="dxa"/>
            <w:noWrap w:val="0"/>
            <w:vAlign w:val="center"/>
          </w:tcPr>
          <w:p w14:paraId="24697E9E">
            <w:pPr>
              <w:spacing w:line="240" w:lineRule="exact"/>
              <w:rPr>
                <w:color w:val="auto"/>
                <w:szCs w:val="21"/>
                <w:highlight w:val="none"/>
              </w:rPr>
            </w:pPr>
            <w:r>
              <w:rPr>
                <w:rFonts w:hint="eastAsia"/>
                <w:color w:val="auto"/>
                <w:szCs w:val="21"/>
                <w:highlight w:val="none"/>
              </w:rPr>
              <w:t>节能产品（如有）</w:t>
            </w:r>
          </w:p>
        </w:tc>
        <w:tc>
          <w:tcPr>
            <w:tcW w:w="5309" w:type="dxa"/>
            <w:noWrap w:val="0"/>
            <w:vAlign w:val="center"/>
          </w:tcPr>
          <w:p w14:paraId="6687E106">
            <w:pPr>
              <w:spacing w:line="240" w:lineRule="exact"/>
              <w:rPr>
                <w:bCs/>
                <w:color w:val="auto"/>
                <w:kern w:val="0"/>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，响应</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见第六章响应文件格式要求</w:t>
            </w:r>
          </w:p>
        </w:tc>
      </w:tr>
      <w:tr w14:paraId="3470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579" w:type="dxa"/>
            <w:vMerge w:val="continue"/>
            <w:noWrap w:val="0"/>
            <w:vAlign w:val="center"/>
          </w:tcPr>
          <w:p w14:paraId="433D08B1">
            <w:pPr>
              <w:spacing w:line="240" w:lineRule="exact"/>
              <w:jc w:val="center"/>
              <w:rPr>
                <w:color w:val="auto"/>
                <w:kern w:val="0"/>
                <w:szCs w:val="21"/>
                <w:highlight w:val="none"/>
              </w:rPr>
            </w:pPr>
          </w:p>
        </w:tc>
        <w:tc>
          <w:tcPr>
            <w:tcW w:w="2436" w:type="dxa"/>
            <w:noWrap w:val="0"/>
            <w:vAlign w:val="top"/>
          </w:tcPr>
          <w:p w14:paraId="1A48EBED">
            <w:pPr>
              <w:rPr>
                <w:color w:val="auto"/>
                <w:highlight w:val="none"/>
              </w:rPr>
            </w:pPr>
          </w:p>
          <w:p w14:paraId="3D8D56C0">
            <w:pPr>
              <w:rPr>
                <w:color w:val="auto"/>
                <w:highlight w:val="none"/>
              </w:rPr>
            </w:pPr>
          </w:p>
          <w:p w14:paraId="2FE1E5D5">
            <w:pPr>
              <w:rPr>
                <w:rFonts w:hint="eastAsia"/>
                <w:color w:val="auto"/>
                <w:highlight w:val="none"/>
              </w:rPr>
            </w:pPr>
            <w:r>
              <w:rPr>
                <w:rFonts w:hint="eastAsia"/>
                <w:color w:val="auto"/>
                <w:highlight w:val="none"/>
              </w:rPr>
              <w:t>网络 安全专用产品（如有）</w:t>
            </w:r>
          </w:p>
        </w:tc>
        <w:tc>
          <w:tcPr>
            <w:tcW w:w="5309" w:type="dxa"/>
            <w:noWrap w:val="0"/>
            <w:vAlign w:val="top"/>
          </w:tcPr>
          <w:p w14:paraId="6836942A">
            <w:pPr>
              <w:rPr>
                <w:color w:val="auto"/>
                <w:highlight w:val="none"/>
              </w:rPr>
            </w:pPr>
            <w:r>
              <w:rPr>
                <w:rFonts w:hint="eastAsia"/>
                <w:color w:val="auto"/>
                <w:highlight w:val="none"/>
              </w:rPr>
              <w:t>采购需求如果包括《网络关键设备和网络安全专用产品目录》所规定的网络安全专用产品，响应提供的网络安全专用产品应在《网络关键设备和网络安全专用产品安全认证和安全检测结果》中或具备在有效期内的《计算机信息系统安全专用产品销售许可证》，见第六章响应文件格式要求。</w:t>
            </w:r>
          </w:p>
        </w:tc>
      </w:tr>
      <w:tr w14:paraId="04FF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restart"/>
            <w:noWrap w:val="0"/>
            <w:vAlign w:val="center"/>
          </w:tcPr>
          <w:p w14:paraId="46FCBF07">
            <w:pPr>
              <w:spacing w:line="240" w:lineRule="exact"/>
              <w:jc w:val="center"/>
              <w:rPr>
                <w:color w:val="auto"/>
                <w:kern w:val="0"/>
                <w:szCs w:val="21"/>
                <w:highlight w:val="none"/>
              </w:rPr>
            </w:pPr>
            <w:r>
              <w:rPr>
                <w:rFonts w:hint="eastAsia"/>
                <w:color w:val="auto"/>
                <w:kern w:val="0"/>
                <w:szCs w:val="21"/>
                <w:highlight w:val="none"/>
              </w:rPr>
              <w:t>报价</w:t>
            </w:r>
          </w:p>
        </w:tc>
        <w:tc>
          <w:tcPr>
            <w:tcW w:w="2436" w:type="dxa"/>
            <w:noWrap w:val="0"/>
            <w:vAlign w:val="center"/>
          </w:tcPr>
          <w:p w14:paraId="4C8EF260">
            <w:pPr>
              <w:spacing w:line="240" w:lineRule="exact"/>
              <w:rPr>
                <w:color w:val="auto"/>
                <w:szCs w:val="21"/>
                <w:highlight w:val="none"/>
              </w:rPr>
            </w:pPr>
            <w:r>
              <w:rPr>
                <w:rFonts w:hint="eastAsia"/>
                <w:color w:val="auto"/>
                <w:szCs w:val="21"/>
                <w:highlight w:val="none"/>
              </w:rPr>
              <w:t>有效报价</w:t>
            </w:r>
          </w:p>
        </w:tc>
        <w:tc>
          <w:tcPr>
            <w:tcW w:w="5309" w:type="dxa"/>
            <w:noWrap w:val="0"/>
            <w:vAlign w:val="center"/>
          </w:tcPr>
          <w:p w14:paraId="0FD1E74D">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175C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A2D7172">
            <w:pPr>
              <w:spacing w:line="240" w:lineRule="exact"/>
              <w:jc w:val="center"/>
              <w:rPr>
                <w:color w:val="auto"/>
                <w:kern w:val="0"/>
                <w:szCs w:val="21"/>
                <w:highlight w:val="none"/>
              </w:rPr>
            </w:pPr>
          </w:p>
        </w:tc>
        <w:tc>
          <w:tcPr>
            <w:tcW w:w="2436" w:type="dxa"/>
            <w:noWrap w:val="0"/>
            <w:vAlign w:val="center"/>
          </w:tcPr>
          <w:p w14:paraId="0CB97244">
            <w:pPr>
              <w:spacing w:line="240" w:lineRule="exact"/>
              <w:rPr>
                <w:bCs/>
                <w:color w:val="auto"/>
                <w:kern w:val="0"/>
                <w:szCs w:val="21"/>
                <w:highlight w:val="none"/>
              </w:rPr>
            </w:pPr>
            <w:r>
              <w:rPr>
                <w:rFonts w:hint="eastAsia"/>
                <w:bCs/>
                <w:color w:val="auto"/>
                <w:kern w:val="0"/>
                <w:szCs w:val="21"/>
                <w:highlight w:val="none"/>
              </w:rPr>
              <w:t>漏项报价</w:t>
            </w:r>
          </w:p>
        </w:tc>
        <w:tc>
          <w:tcPr>
            <w:tcW w:w="5309" w:type="dxa"/>
            <w:noWrap w:val="0"/>
            <w:vAlign w:val="center"/>
          </w:tcPr>
          <w:p w14:paraId="077E09A6">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38FA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3442EF0">
            <w:pPr>
              <w:spacing w:line="240" w:lineRule="exact"/>
              <w:jc w:val="center"/>
              <w:rPr>
                <w:color w:val="auto"/>
                <w:kern w:val="0"/>
                <w:szCs w:val="21"/>
                <w:highlight w:val="none"/>
              </w:rPr>
            </w:pPr>
          </w:p>
        </w:tc>
        <w:tc>
          <w:tcPr>
            <w:tcW w:w="2436" w:type="dxa"/>
            <w:noWrap w:val="0"/>
            <w:vAlign w:val="center"/>
          </w:tcPr>
          <w:p w14:paraId="36505E54">
            <w:pPr>
              <w:spacing w:line="240" w:lineRule="exact"/>
              <w:rPr>
                <w:rFonts w:hAnsi="宋体"/>
                <w:color w:val="auto"/>
                <w:szCs w:val="21"/>
                <w:highlight w:val="none"/>
              </w:rPr>
            </w:pPr>
            <w:r>
              <w:rPr>
                <w:rFonts w:hint="eastAsia" w:hAnsi="宋体"/>
                <w:color w:val="auto"/>
                <w:szCs w:val="21"/>
                <w:highlight w:val="none"/>
              </w:rPr>
              <w:t>响应报价唯一性</w:t>
            </w:r>
          </w:p>
        </w:tc>
        <w:tc>
          <w:tcPr>
            <w:tcW w:w="5309" w:type="dxa"/>
            <w:noWrap w:val="0"/>
            <w:vAlign w:val="center"/>
          </w:tcPr>
          <w:p w14:paraId="297AF747">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259F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AE22482">
            <w:pPr>
              <w:spacing w:line="240" w:lineRule="exact"/>
              <w:jc w:val="center"/>
              <w:rPr>
                <w:color w:val="auto"/>
                <w:kern w:val="0"/>
                <w:szCs w:val="21"/>
                <w:highlight w:val="none"/>
              </w:rPr>
            </w:pPr>
          </w:p>
        </w:tc>
        <w:tc>
          <w:tcPr>
            <w:tcW w:w="2436" w:type="dxa"/>
            <w:shd w:val="clear" w:color="auto" w:fill="auto"/>
            <w:noWrap w:val="0"/>
            <w:vAlign w:val="center"/>
          </w:tcPr>
          <w:p w14:paraId="431E9CB7">
            <w:pPr>
              <w:spacing w:line="240" w:lineRule="exact"/>
              <w:rPr>
                <w:rFonts w:hint="eastAsia" w:ascii="Times New Roman" w:hAnsi="Times New Roman" w:eastAsia="宋体" w:cs="Times New Roman"/>
                <w:color w:val="auto"/>
                <w:kern w:val="2"/>
                <w:sz w:val="21"/>
                <w:szCs w:val="24"/>
                <w:highlight w:val="none"/>
                <w:lang w:val="zh-CN" w:eastAsia="zh-CN" w:bidi="ar-SA"/>
              </w:rPr>
            </w:pPr>
            <w:r>
              <w:rPr>
                <w:rFonts w:hint="eastAsia"/>
                <w:color w:val="auto"/>
                <w:szCs w:val="21"/>
                <w:highlight w:val="none"/>
                <w:lang w:val="zh-CN"/>
              </w:rPr>
              <w:t>过低报价合理性</w:t>
            </w:r>
          </w:p>
        </w:tc>
        <w:tc>
          <w:tcPr>
            <w:tcW w:w="5309" w:type="dxa"/>
            <w:shd w:val="clear" w:color="auto" w:fill="auto"/>
            <w:noWrap w:val="0"/>
            <w:vAlign w:val="center"/>
          </w:tcPr>
          <w:p w14:paraId="60ADE118">
            <w:pPr>
              <w:spacing w:line="24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690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BF3FB96">
            <w:pPr>
              <w:spacing w:line="240" w:lineRule="exact"/>
              <w:jc w:val="center"/>
              <w:rPr>
                <w:color w:val="auto"/>
                <w:kern w:val="0"/>
                <w:szCs w:val="21"/>
                <w:highlight w:val="none"/>
              </w:rPr>
            </w:pPr>
          </w:p>
        </w:tc>
        <w:tc>
          <w:tcPr>
            <w:tcW w:w="2436" w:type="dxa"/>
            <w:noWrap w:val="0"/>
            <w:vAlign w:val="center"/>
          </w:tcPr>
          <w:p w14:paraId="3EC02438">
            <w:pPr>
              <w:spacing w:line="240" w:lineRule="exact"/>
              <w:rPr>
                <w:rFonts w:ascii="宋体" w:hAnsi="宋体"/>
                <w:color w:val="auto"/>
                <w:szCs w:val="21"/>
                <w:highlight w:val="none"/>
              </w:rPr>
            </w:pPr>
            <w:r>
              <w:rPr>
                <w:rFonts w:hint="eastAsia"/>
                <w:color w:val="auto"/>
                <w:szCs w:val="21"/>
                <w:highlight w:val="none"/>
              </w:rPr>
              <w:t>响应有效期</w:t>
            </w:r>
          </w:p>
        </w:tc>
        <w:tc>
          <w:tcPr>
            <w:tcW w:w="5309" w:type="dxa"/>
            <w:noWrap w:val="0"/>
            <w:vAlign w:val="center"/>
          </w:tcPr>
          <w:p w14:paraId="71FDB349">
            <w:pPr>
              <w:spacing w:line="240" w:lineRule="exact"/>
              <w:rPr>
                <w:color w:val="auto"/>
                <w:szCs w:val="21"/>
                <w:highlight w:val="none"/>
              </w:rPr>
            </w:pPr>
            <w:r>
              <w:rPr>
                <w:rFonts w:hint="eastAsia" w:ascii="宋体" w:hAnsi="宋体"/>
                <w:color w:val="auto"/>
                <w:szCs w:val="21"/>
                <w:highlight w:val="none"/>
              </w:rPr>
              <w:t>满足采购文件规定</w:t>
            </w:r>
          </w:p>
        </w:tc>
      </w:tr>
      <w:bookmarkEnd w:id="84"/>
    </w:tbl>
    <w:p w14:paraId="0D94A921">
      <w:pPr>
        <w:spacing w:before="120" w:line="320" w:lineRule="atLeast"/>
        <w:ind w:firstLine="316" w:firstLineChars="150"/>
        <w:rPr>
          <w:rFonts w:hint="eastAsia"/>
          <w:b/>
          <w:bCs/>
          <w:color w:val="auto"/>
          <w:kern w:val="0"/>
          <w:szCs w:val="21"/>
          <w:highlight w:val="none"/>
        </w:rPr>
      </w:pPr>
      <w:r>
        <w:rPr>
          <w:rFonts w:hint="eastAsia"/>
          <w:b/>
          <w:bCs/>
          <w:color w:val="auto"/>
          <w:kern w:val="0"/>
          <w:szCs w:val="21"/>
          <w:highlight w:val="none"/>
        </w:rPr>
        <w:t>注：涉及政府采购价格评审优惠政策叠加的，按照相关政策要求统一从对应报价的基础上进行价格扣除，用</w:t>
      </w:r>
      <w:r>
        <w:rPr>
          <w:rFonts w:hint="eastAsia"/>
          <w:b/>
          <w:bCs/>
          <w:color w:val="auto"/>
          <w:kern w:val="0"/>
          <w:szCs w:val="21"/>
          <w:highlight w:val="none"/>
          <w:lang w:eastAsia="zh-CN"/>
        </w:rPr>
        <w:t>响应</w:t>
      </w:r>
      <w:r>
        <w:rPr>
          <w:rFonts w:hint="eastAsia"/>
          <w:b/>
          <w:bCs/>
          <w:color w:val="auto"/>
          <w:kern w:val="0"/>
          <w:szCs w:val="21"/>
          <w:highlight w:val="none"/>
        </w:rPr>
        <w:t>总价减去扣除金额之和的价格参加评审。</w:t>
      </w:r>
    </w:p>
    <w:p w14:paraId="0E43E21D">
      <w:pPr>
        <w:spacing w:before="120" w:line="320" w:lineRule="atLeast"/>
        <w:ind w:firstLine="316" w:firstLineChars="150"/>
        <w:rPr>
          <w:rFonts w:hint="eastAsia" w:eastAsia="宋体"/>
          <w:b/>
          <w:bCs/>
          <w:color w:val="auto"/>
          <w:kern w:val="0"/>
          <w:szCs w:val="21"/>
          <w:highlight w:val="none"/>
          <w:lang w:eastAsia="zh-CN"/>
        </w:rPr>
      </w:pPr>
      <w:r>
        <w:rPr>
          <w:b/>
          <w:bCs/>
          <w:color w:val="auto"/>
          <w:kern w:val="0"/>
          <w:szCs w:val="21"/>
          <w:highlight w:val="none"/>
        </w:rPr>
        <w:t>政策性扣除计算方法</w:t>
      </w:r>
      <w:r>
        <w:rPr>
          <w:rFonts w:hint="eastAsia"/>
          <w:b/>
          <w:bCs/>
          <w:color w:val="auto"/>
          <w:kern w:val="0"/>
          <w:szCs w:val="21"/>
          <w:highlight w:val="none"/>
          <w:lang w:eastAsia="zh-CN"/>
        </w:rPr>
        <w:t>：</w:t>
      </w:r>
    </w:p>
    <w:p w14:paraId="63C60498">
      <w:pPr>
        <w:spacing w:before="120" w:line="320" w:lineRule="atLeast"/>
        <w:ind w:firstLine="315" w:firstLineChars="150"/>
        <w:rPr>
          <w:color w:val="auto"/>
          <w:szCs w:val="21"/>
          <w:highlight w:val="none"/>
        </w:rPr>
      </w:pPr>
      <w:r>
        <w:rPr>
          <w:rFonts w:hint="eastAsia"/>
          <w:color w:val="auto"/>
          <w:szCs w:val="21"/>
          <w:highlight w:val="none"/>
          <w:lang w:val="en-US" w:eastAsia="zh-CN"/>
        </w:rPr>
        <w:t>1）</w:t>
      </w:r>
      <w:r>
        <w:rPr>
          <w:rFonts w:hint="eastAsia" w:ascii="Times New Roman" w:eastAsia="宋体"/>
          <w:color w:val="auto"/>
          <w:szCs w:val="21"/>
          <w:highlight w:val="none"/>
          <w:lang w:val="en-US" w:eastAsia="zh-CN"/>
        </w:rPr>
        <w:t>小微企业的价格扣除计算:</w:t>
      </w:r>
      <w:r>
        <w:rPr>
          <w:rFonts w:hint="eastAsia"/>
          <w:color w:val="auto"/>
          <w:szCs w:val="21"/>
          <w:highlight w:val="none"/>
        </w:rPr>
        <w:t>供应商</w:t>
      </w:r>
      <w:r>
        <w:rPr>
          <w:rFonts w:hint="eastAsia"/>
          <w:color w:val="auto"/>
          <w:szCs w:val="21"/>
          <w:highlight w:val="none"/>
          <w:lang w:eastAsia="zh-CN"/>
        </w:rPr>
        <w:t>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39F4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 w:type="dxa"/>
            <w:shd w:val="clear" w:color="auto" w:fill="auto"/>
            <w:noWrap w:val="0"/>
            <w:vAlign w:val="top"/>
          </w:tcPr>
          <w:p w14:paraId="1A9C6D89">
            <w:pPr>
              <w:spacing w:before="120" w:line="320" w:lineRule="atLeast"/>
              <w:jc w:val="center"/>
              <w:rPr>
                <w:rFonts w:hint="eastAsia" w:eastAsia="宋体"/>
                <w:color w:val="auto"/>
                <w:szCs w:val="21"/>
                <w:highlight w:val="none"/>
                <w:lang w:eastAsia="zh-CN"/>
              </w:rPr>
            </w:pPr>
            <w:r>
              <w:rPr>
                <w:rFonts w:hint="eastAsia"/>
                <w:color w:val="auto"/>
                <w:szCs w:val="21"/>
                <w:highlight w:val="none"/>
              </w:rPr>
              <w:t>独立</w:t>
            </w:r>
            <w:r>
              <w:rPr>
                <w:rFonts w:hint="eastAsia"/>
                <w:color w:val="auto"/>
                <w:szCs w:val="21"/>
                <w:highlight w:val="none"/>
                <w:lang w:eastAsia="zh-CN"/>
              </w:rPr>
              <w:t>响应</w:t>
            </w:r>
          </w:p>
        </w:tc>
        <w:tc>
          <w:tcPr>
            <w:tcW w:w="4962" w:type="dxa"/>
            <w:shd w:val="clear" w:color="auto" w:fill="auto"/>
            <w:noWrap w:val="0"/>
            <w:vAlign w:val="top"/>
          </w:tcPr>
          <w:p w14:paraId="768788F7">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shd w:val="clear" w:color="auto" w:fill="auto"/>
            <w:noWrap w:val="0"/>
            <w:vAlign w:val="top"/>
          </w:tcPr>
          <w:p w14:paraId="3F409EDA">
            <w:pPr>
              <w:spacing w:before="120" w:line="320" w:lineRule="atLeast"/>
              <w:rPr>
                <w:color w:val="auto"/>
                <w:szCs w:val="21"/>
                <w:highlight w:val="none"/>
              </w:rPr>
            </w:pPr>
            <w:r>
              <w:rPr>
                <w:rFonts w:hint="eastAsia"/>
                <w:color w:val="auto"/>
                <w:szCs w:val="21"/>
                <w:highlight w:val="none"/>
              </w:rPr>
              <w:t>价格扣除响应报价的10%</w:t>
            </w:r>
          </w:p>
        </w:tc>
      </w:tr>
      <w:tr w14:paraId="13D0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noWrap w:val="0"/>
            <w:vAlign w:val="top"/>
          </w:tcPr>
          <w:p w14:paraId="31C34D25">
            <w:pPr>
              <w:spacing w:before="120" w:line="320" w:lineRule="atLeast"/>
              <w:jc w:val="center"/>
              <w:rPr>
                <w:color w:val="auto"/>
                <w:szCs w:val="21"/>
                <w:highlight w:val="none"/>
              </w:rPr>
            </w:pPr>
            <w:r>
              <w:rPr>
                <w:rFonts w:hint="eastAsia"/>
                <w:color w:val="auto"/>
                <w:szCs w:val="21"/>
                <w:highlight w:val="none"/>
              </w:rPr>
              <w:t>联合体或</w:t>
            </w:r>
          </w:p>
          <w:p w14:paraId="04DB8C27">
            <w:pPr>
              <w:spacing w:before="120" w:line="320" w:lineRule="atLeast"/>
              <w:jc w:val="center"/>
              <w:rPr>
                <w:color w:val="auto"/>
                <w:szCs w:val="21"/>
                <w:highlight w:val="none"/>
              </w:rPr>
            </w:pPr>
            <w:r>
              <w:rPr>
                <w:rFonts w:hint="eastAsia"/>
                <w:color w:val="auto"/>
                <w:szCs w:val="21"/>
                <w:highlight w:val="none"/>
              </w:rPr>
              <w:t>分包</w:t>
            </w:r>
          </w:p>
        </w:tc>
        <w:tc>
          <w:tcPr>
            <w:tcW w:w="4962" w:type="dxa"/>
            <w:shd w:val="clear" w:color="auto" w:fill="auto"/>
            <w:noWrap w:val="0"/>
            <w:vAlign w:val="top"/>
          </w:tcPr>
          <w:p w14:paraId="7DC088D8">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shd w:val="clear" w:color="auto" w:fill="auto"/>
            <w:noWrap w:val="0"/>
            <w:vAlign w:val="top"/>
          </w:tcPr>
          <w:p w14:paraId="527213F2">
            <w:pPr>
              <w:spacing w:before="120" w:line="320" w:lineRule="atLeast"/>
              <w:rPr>
                <w:color w:val="auto"/>
                <w:szCs w:val="21"/>
                <w:highlight w:val="none"/>
              </w:rPr>
            </w:pPr>
            <w:r>
              <w:rPr>
                <w:rFonts w:hint="eastAsia"/>
                <w:color w:val="auto"/>
                <w:szCs w:val="21"/>
                <w:highlight w:val="none"/>
              </w:rPr>
              <w:t>价格扣除响应报价的10%</w:t>
            </w:r>
          </w:p>
        </w:tc>
      </w:tr>
      <w:tr w14:paraId="3396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noWrap w:val="0"/>
            <w:vAlign w:val="top"/>
          </w:tcPr>
          <w:p w14:paraId="69F825CC">
            <w:pPr>
              <w:spacing w:before="120" w:line="320" w:lineRule="atLeast"/>
              <w:rPr>
                <w:color w:val="auto"/>
                <w:szCs w:val="21"/>
                <w:highlight w:val="none"/>
              </w:rPr>
            </w:pPr>
          </w:p>
        </w:tc>
        <w:tc>
          <w:tcPr>
            <w:tcW w:w="4962" w:type="dxa"/>
            <w:shd w:val="clear" w:color="auto" w:fill="auto"/>
            <w:noWrap w:val="0"/>
            <w:vAlign w:val="top"/>
          </w:tcPr>
          <w:p w14:paraId="3B934C00">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noWrap w:val="0"/>
            <w:vAlign w:val="top"/>
          </w:tcPr>
          <w:p w14:paraId="010F277B">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118D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1415A431">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24465FAF">
      <w:pPr>
        <w:rPr>
          <w:color w:val="auto"/>
          <w:highlight w:val="none"/>
        </w:rPr>
      </w:pPr>
    </w:p>
    <w:p w14:paraId="52751929">
      <w:pPr>
        <w:ind w:firstLine="420" w:firstLineChars="200"/>
        <w:rPr>
          <w:rFonts w:hint="default" w:eastAsia="楷体_GB2312"/>
          <w:b/>
          <w:color w:val="auto"/>
          <w:sz w:val="24"/>
          <w:highlight w:val="none"/>
          <w:lang w:val="en-US"/>
        </w:rPr>
      </w:pPr>
      <w:r>
        <w:rPr>
          <w:rFonts w:hint="eastAsia"/>
          <w:color w:val="auto"/>
          <w:highlight w:val="none"/>
          <w:lang w:val="en-US" w:eastAsia="zh-CN"/>
        </w:rPr>
        <w:t>2）</w:t>
      </w:r>
      <w:r>
        <w:rPr>
          <w:rFonts w:hint="eastAsia" w:ascii="Times New Roman" w:eastAsia="宋体"/>
          <w:color w:val="auto"/>
          <w:highlight w:val="none"/>
          <w:lang w:val="en-US" w:eastAsia="zh-CN"/>
        </w:rPr>
        <w:t>本国产品的价格扣除计算：</w:t>
      </w:r>
      <w:r>
        <w:rPr>
          <w:rFonts w:hint="eastAsia"/>
          <w:color w:val="auto"/>
          <w:highlight w:val="none"/>
        </w:rPr>
        <w:t>供应商</w:t>
      </w:r>
      <w:r>
        <w:rPr>
          <w:rFonts w:hint="eastAsia"/>
          <w:color w:val="auto"/>
          <w:highlight w:val="none"/>
          <w:lang w:eastAsia="zh-CN"/>
        </w:rPr>
        <w:t>响应</w:t>
      </w:r>
      <w:r>
        <w:rPr>
          <w:color w:val="auto"/>
          <w:highlight w:val="none"/>
        </w:rPr>
        <w:t>报价将按相应比例进行扣除，用扣除后的价格参与评审（计算价格分）</w:t>
      </w:r>
      <w:r>
        <w:rPr>
          <w:rFonts w:hint="eastAsia"/>
          <w:color w:val="auto"/>
          <w:highlight w:val="none"/>
        </w:rPr>
        <w:t>，价格扣除比例分别如下：</w:t>
      </w:r>
      <w:r>
        <w:rPr>
          <w:rFonts w:hint="eastAsia" w:ascii="宋体" w:hAnsi="Courier New" w:eastAsia="楷体_GB2312" w:cs="Courier New"/>
          <w:b/>
          <w:color w:val="auto"/>
          <w:kern w:val="2"/>
          <w:sz w:val="24"/>
          <w:szCs w:val="24"/>
          <w:highlight w:val="none"/>
          <w:lang w:val="en-US" w:eastAsia="zh-CN" w:bidi="ar-SA"/>
        </w:rPr>
        <w:t>【备注：适用对本国产品支持政策的项目】</w:t>
      </w:r>
    </w:p>
    <w:p w14:paraId="657B10A5">
      <w:pPr>
        <w:ind w:firstLine="420" w:firstLineChars="200"/>
        <w:rPr>
          <w:color w:val="auto"/>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073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7EE29E26">
            <w:pPr>
              <w:rPr>
                <w:rFonts w:hint="default" w:eastAsia="宋体"/>
                <w:color w:val="auto"/>
                <w:highlight w:val="none"/>
                <w:lang w:val="en-US" w:eastAsia="zh-CN"/>
              </w:rPr>
            </w:pPr>
            <w:r>
              <w:rPr>
                <w:rFonts w:hint="eastAsia" w:ascii="Times New Roman" w:eastAsia="宋体"/>
                <w:color w:val="auto"/>
                <w:highlight w:val="none"/>
                <w:lang w:val="en-US" w:eastAsia="zh-CN"/>
              </w:rPr>
              <w:t>采购项目或者采购包中为单一产品</w:t>
            </w:r>
          </w:p>
        </w:tc>
        <w:tc>
          <w:tcPr>
            <w:tcW w:w="4550" w:type="dxa"/>
            <w:shd w:val="clear" w:color="auto" w:fill="auto"/>
            <w:noWrap w:val="0"/>
            <w:vAlign w:val="top"/>
          </w:tcPr>
          <w:p w14:paraId="26B36F33">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供应商所提供</w:t>
            </w:r>
            <w:r>
              <w:rPr>
                <w:rFonts w:hint="eastAsia" w:ascii="Times New Roman" w:eastAsia="宋体"/>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37D9FDC0">
            <w:pPr>
              <w:rPr>
                <w:rFonts w:hint="eastAsia"/>
                <w:color w:val="auto"/>
                <w:highlight w:val="none"/>
              </w:rPr>
            </w:pPr>
          </w:p>
          <w:p w14:paraId="38F3BB45">
            <w:pPr>
              <w:rPr>
                <w:rFonts w:hint="eastAsia"/>
                <w:color w:val="auto"/>
                <w:highlight w:val="none"/>
              </w:rPr>
            </w:pPr>
          </w:p>
          <w:p w14:paraId="4DB5FFD5">
            <w:pPr>
              <w:rPr>
                <w:rFonts w:hint="eastAsia"/>
                <w:color w:val="auto"/>
                <w:highlight w:val="none"/>
              </w:rPr>
            </w:pPr>
          </w:p>
          <w:p w14:paraId="68A9DE16">
            <w:pPr>
              <w:rPr>
                <w:color w:val="auto"/>
                <w:highlight w:val="none"/>
              </w:rPr>
            </w:pPr>
            <w:r>
              <w:rPr>
                <w:rFonts w:hint="eastAsia"/>
                <w:color w:val="auto"/>
                <w:highlight w:val="none"/>
              </w:rPr>
              <w:t>价格扣除</w:t>
            </w:r>
            <w:r>
              <w:rPr>
                <w:rFonts w:hint="eastAsia" w:ascii="Times New Roman" w:eastAsia="宋体"/>
                <w:color w:val="auto"/>
                <w:highlight w:val="none"/>
                <w:lang w:val="en-US" w:eastAsia="zh-CN"/>
              </w:rPr>
              <w:t>全部产品报价</w:t>
            </w:r>
            <w:r>
              <w:rPr>
                <w:rFonts w:hint="eastAsia"/>
                <w:color w:val="auto"/>
                <w:highlight w:val="none"/>
              </w:rPr>
              <w:t>的</w:t>
            </w:r>
            <w:r>
              <w:rPr>
                <w:rFonts w:hint="eastAsia" w:ascii="Times New Roman" w:eastAsia="宋体"/>
                <w:color w:val="auto"/>
                <w:highlight w:val="none"/>
                <w:lang w:val="en-US" w:eastAsia="zh-CN"/>
              </w:rPr>
              <w:t>20</w:t>
            </w:r>
            <w:r>
              <w:rPr>
                <w:rFonts w:hint="eastAsia"/>
                <w:color w:val="auto"/>
                <w:highlight w:val="none"/>
              </w:rPr>
              <w:t>%</w:t>
            </w:r>
          </w:p>
        </w:tc>
      </w:tr>
      <w:tr w14:paraId="012C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7730D717">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5F361C3C">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w:t>
            </w:r>
            <w:r>
              <w:rPr>
                <w:rFonts w:hint="eastAsia" w:ascii="Times New Roman" w:eastAsia="宋体"/>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78FCBC24">
            <w:pPr>
              <w:ind w:firstLine="420" w:firstLineChars="200"/>
              <w:rPr>
                <w:rFonts w:hint="eastAsia"/>
                <w:color w:val="auto"/>
                <w:highlight w:val="none"/>
              </w:rPr>
            </w:pPr>
          </w:p>
        </w:tc>
      </w:tr>
      <w:tr w14:paraId="58D6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25576753">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7E8218E">
      <w:pPr>
        <w:ind w:firstLine="420" w:firstLineChars="200"/>
        <w:rPr>
          <w:color w:val="auto"/>
          <w:highlight w:val="none"/>
        </w:rPr>
      </w:pPr>
    </w:p>
    <w:p w14:paraId="2004A8F6">
      <w:pPr>
        <w:pStyle w:val="19"/>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评审报价计算示例：</w:t>
      </w:r>
    </w:p>
    <w:p w14:paraId="46A29161">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a.供应商若符合中小企业支持政策的要求，计算公式具体为：评审报价＝响应总报价－（响应总报价*小微企业价格扣除比例）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b.供应商若符合本国产品支持政策的要求，计算公式具体为：评审报价＝响应总报价－（全部产品的总报价*20%）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c.供应商若同时符合中小企业、本国产品扶持政策的要求，计算公式具体为：评审报价＝响应总报价－（响应总报价*小微企业价格扣除比例）－（全部产品的总报价*20%）</w:t>
      </w:r>
    </w:p>
    <w:p w14:paraId="2137679D">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4A4C01B5">
      <w:pPr>
        <w:spacing w:before="120" w:line="320" w:lineRule="atLeast"/>
        <w:ind w:firstLine="420" w:firstLineChars="200"/>
        <w:rPr>
          <w:color w:val="auto"/>
          <w:highlight w:val="none"/>
        </w:rPr>
      </w:pPr>
      <w:r>
        <w:rPr>
          <w:rFonts w:hint="eastAsia"/>
          <w:color w:val="auto"/>
          <w:highlight w:val="none"/>
          <w:lang w:val="en-US" w:eastAsia="zh-CN"/>
        </w:rPr>
        <w:t>1</w:t>
      </w:r>
      <w:r>
        <w:rPr>
          <w:color w:val="auto"/>
          <w:highlight w:val="none"/>
        </w:rPr>
        <w:t>.1</w:t>
      </w:r>
      <w:r>
        <w:rPr>
          <w:rFonts w:hint="eastAsia"/>
          <w:color w:val="auto"/>
          <w:highlight w:val="none"/>
        </w:rPr>
        <w:t>偏离认定说明</w:t>
      </w:r>
    </w:p>
    <w:p w14:paraId="5C927EB0">
      <w:pPr>
        <w:spacing w:before="120" w:line="320" w:lineRule="atLeast"/>
        <w:ind w:firstLine="420" w:firstLineChars="200"/>
        <w:rPr>
          <w:rFonts w:hint="eastAsia"/>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22C4B9D4">
      <w:pPr>
        <w:spacing w:before="120" w:line="320" w:lineRule="atLeast"/>
        <w:ind w:firstLine="420" w:firstLineChars="200"/>
        <w:rPr>
          <w:rFonts w:hint="eastAsia"/>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828E921">
      <w:pPr>
        <w:spacing w:before="120" w:line="320" w:lineRule="atLeast"/>
        <w:ind w:firstLine="420" w:firstLineChars="200"/>
        <w:rPr>
          <w:rFonts w:hint="eastAsia"/>
          <w:color w:val="auto"/>
          <w:szCs w:val="21"/>
          <w:highlight w:val="none"/>
        </w:rPr>
      </w:pPr>
      <w:r>
        <w:rPr>
          <w:rFonts w:hint="eastAsia"/>
          <w:color w:val="auto"/>
          <w:szCs w:val="21"/>
          <w:highlight w:val="none"/>
        </w:rPr>
        <w:t>（2）响应表中响应的内容与证明材料不一致的，以证明材料为准作为评审依据。</w:t>
      </w:r>
    </w:p>
    <w:p w14:paraId="7A416EC2">
      <w:pPr>
        <w:spacing w:before="120" w:line="320" w:lineRule="atLeast"/>
        <w:ind w:firstLine="420" w:firstLineChars="200"/>
        <w:rPr>
          <w:rFonts w:hint="eastAsia"/>
          <w:color w:val="auto"/>
          <w:szCs w:val="21"/>
          <w:highlight w:val="none"/>
        </w:rPr>
      </w:pPr>
      <w:r>
        <w:rPr>
          <w:rFonts w:hint="eastAsia"/>
          <w:color w:val="auto"/>
          <w:szCs w:val="21"/>
          <w:highlight w:val="none"/>
        </w:rPr>
        <w:t>（3）同时出现以上两种情况的，按照（1）-（2）顺序认定。</w:t>
      </w:r>
    </w:p>
    <w:p w14:paraId="2605925A">
      <w:pPr>
        <w:spacing w:before="120" w:line="320" w:lineRule="atLeast"/>
        <w:ind w:firstLine="420" w:firstLineChars="200"/>
        <w:rPr>
          <w:rFonts w:hint="eastAsia"/>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680E5BFE">
      <w:pPr>
        <w:spacing w:before="120" w:line="320" w:lineRule="atLeast"/>
        <w:ind w:firstLine="420" w:firstLineChars="200"/>
        <w:rPr>
          <w:rFonts w:hint="eastAsia"/>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294B6D7D">
      <w:pPr>
        <w:spacing w:before="120" w:line="320" w:lineRule="atLeast"/>
        <w:ind w:firstLine="420" w:firstLineChars="200"/>
        <w:rPr>
          <w:rFonts w:hint="eastAsia"/>
          <w:color w:val="auto"/>
          <w:szCs w:val="21"/>
          <w:highlight w:val="none"/>
        </w:rPr>
      </w:pPr>
      <w:r>
        <w:rPr>
          <w:rFonts w:hint="eastAsia"/>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59DCD725">
      <w:pPr>
        <w:spacing w:before="120" w:line="320" w:lineRule="atLeast"/>
        <w:ind w:firstLine="420" w:firstLineChars="200"/>
        <w:rPr>
          <w:rFonts w:hint="eastAsia"/>
          <w:color w:val="auto"/>
          <w:szCs w:val="21"/>
          <w:highlight w:val="none"/>
        </w:rPr>
      </w:pPr>
      <w:r>
        <w:rPr>
          <w:rFonts w:hint="eastAsia"/>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6F8F36EC">
      <w:pPr>
        <w:spacing w:before="120" w:line="320" w:lineRule="atLeast"/>
        <w:ind w:firstLine="420" w:firstLineChars="200"/>
        <w:rPr>
          <w:rFonts w:hint="eastAsia"/>
          <w:color w:val="auto"/>
          <w:szCs w:val="21"/>
          <w:highlight w:val="none"/>
        </w:rPr>
      </w:pPr>
      <w:r>
        <w:rPr>
          <w:rFonts w:hint="eastAsia"/>
          <w:color w:val="auto"/>
          <w:szCs w:val="21"/>
          <w:highlight w:val="none"/>
        </w:rPr>
        <w:t>（8）对于单边任意参数的要求，例“长度≥50cm”，若响应为50 cm及50cm以上任意一个数值，均视为无偏离；若响应小于50cm，视为负偏离。此类参数无正偏离。</w:t>
      </w:r>
    </w:p>
    <w:p w14:paraId="3A466CB8">
      <w:pPr>
        <w:spacing w:before="120" w:line="320" w:lineRule="atLeast"/>
        <w:ind w:firstLine="420" w:firstLineChars="200"/>
        <w:rPr>
          <w:rFonts w:hint="eastAsia"/>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305C1E8A">
      <w:pPr>
        <w:spacing w:before="120" w:line="320" w:lineRule="atLeast"/>
        <w:ind w:firstLine="420" w:firstLineChars="200"/>
        <w:rPr>
          <w:rFonts w:hint="eastAsia"/>
          <w:color w:val="auto"/>
          <w:szCs w:val="21"/>
          <w:highlight w:val="none"/>
        </w:rPr>
      </w:pPr>
      <w:r>
        <w:rPr>
          <w:rFonts w:hint="eastAsia"/>
          <w:color w:val="auto"/>
          <w:szCs w:val="21"/>
          <w:highlight w:val="none"/>
        </w:rPr>
        <w:t>（10）如采购需求中技术参数有特殊要求与上述说明不一致的，以特殊要求为准。</w:t>
      </w:r>
    </w:p>
    <w:p w14:paraId="528FD81F">
      <w:pPr>
        <w:spacing w:before="120" w:line="320" w:lineRule="atLeast"/>
        <w:ind w:firstLine="420" w:firstLineChars="200"/>
        <w:rPr>
          <w:color w:val="auto"/>
          <w:szCs w:val="21"/>
          <w:highlight w:val="none"/>
        </w:rPr>
      </w:pPr>
    </w:p>
    <w:p w14:paraId="60DB1B8C">
      <w:pPr>
        <w:spacing w:before="120" w:line="320" w:lineRule="atLeast"/>
        <w:ind w:firstLine="420" w:firstLineChars="200"/>
        <w:rPr>
          <w:color w:val="auto"/>
          <w:szCs w:val="21"/>
          <w:highlight w:val="none"/>
        </w:rPr>
      </w:pPr>
    </w:p>
    <w:p w14:paraId="330C65D7">
      <w:pPr>
        <w:spacing w:before="120" w:line="320" w:lineRule="atLeast"/>
        <w:ind w:firstLine="420" w:firstLineChars="200"/>
        <w:rPr>
          <w:color w:val="auto"/>
          <w:szCs w:val="21"/>
          <w:highlight w:val="none"/>
        </w:rPr>
      </w:pPr>
    </w:p>
    <w:bookmarkEnd w:id="79"/>
    <w:bookmarkEnd w:id="80"/>
    <w:bookmarkEnd w:id="83"/>
    <w:p w14:paraId="6B1955DF">
      <w:pPr>
        <w:pStyle w:val="26"/>
        <w:snapToGrid w:val="0"/>
        <w:spacing w:before="120" w:after="120"/>
        <w:outlineLvl w:val="0"/>
        <w:rPr>
          <w:rFonts w:ascii="Times New Roman" w:hAnsi="Times New Roman" w:cs="Times New Roman"/>
          <w:b/>
          <w:color w:val="auto"/>
          <w:sz w:val="32"/>
          <w:szCs w:val="32"/>
          <w:highlight w:val="none"/>
        </w:rPr>
        <w:sectPr>
          <w:headerReference r:id="rId14" w:type="first"/>
          <w:headerReference r:id="rId13" w:type="default"/>
          <w:pgSz w:w="11906" w:h="16838"/>
          <w:pgMar w:top="1418" w:right="1133" w:bottom="1246" w:left="1418" w:header="851" w:footer="992" w:gutter="0"/>
          <w:cols w:space="720" w:num="1"/>
          <w:docGrid w:linePitch="312" w:charSpace="0"/>
        </w:sectPr>
      </w:pPr>
    </w:p>
    <w:p w14:paraId="69238710">
      <w:pPr>
        <w:pStyle w:val="26"/>
        <w:snapToGrid w:val="0"/>
        <w:spacing w:before="120" w:after="120" w:line="320" w:lineRule="exact"/>
        <w:jc w:val="center"/>
        <w:outlineLvl w:val="0"/>
        <w:rPr>
          <w:rFonts w:ascii="仿宋" w:hAnsi="仿宋" w:eastAsia="仿宋"/>
          <w:color w:val="auto"/>
          <w:szCs w:val="21"/>
          <w:highlight w:val="none"/>
          <w:u w:val="single"/>
        </w:rPr>
      </w:pPr>
      <w:bookmarkStart w:id="85" w:name="_Toc25884"/>
      <w:bookmarkStart w:id="86" w:name="_Hlk160525271"/>
      <w:bookmarkStart w:id="87" w:name="_Toc25316"/>
      <w:r>
        <w:rPr>
          <w:rFonts w:ascii="Times New Roman" w:hAnsi="Times New Roman" w:cs="Times New Roman"/>
          <w:color w:val="auto"/>
          <w:sz w:val="32"/>
          <w:szCs w:val="32"/>
          <w:highlight w:val="none"/>
        </w:rPr>
        <w:t>第五章  合同主要条款格式</w:t>
      </w:r>
      <w:bookmarkEnd w:id="0"/>
      <w:bookmarkEnd w:id="1"/>
      <w:bookmarkEnd w:id="85"/>
      <w:bookmarkEnd w:id="86"/>
      <w:bookmarkEnd w:id="87"/>
    </w:p>
    <w:p w14:paraId="12CD70F9">
      <w:pPr>
        <w:snapToGrid w:val="0"/>
        <w:spacing w:after="0" w:line="360" w:lineRule="auto"/>
        <w:ind w:firstLine="422" w:firstLineChars="200"/>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广西壮族自治区政府采购合同</w:t>
      </w:r>
    </w:p>
    <w:p w14:paraId="7E9F48A7">
      <w:pPr>
        <w:snapToGrid w:val="0"/>
        <w:spacing w:after="0" w:line="360" w:lineRule="auto"/>
        <w:ind w:firstLine="422" w:firstLineChars="200"/>
        <w:jc w:val="center"/>
        <w:rPr>
          <w:rFonts w:ascii="宋体" w:hAnsi="宋体" w:eastAsia="宋体" w:cs="宋体"/>
          <w:b/>
          <w:bCs/>
          <w:color w:val="auto"/>
          <w:kern w:val="0"/>
          <w:szCs w:val="21"/>
          <w:highlight w:val="none"/>
        </w:rPr>
      </w:pPr>
    </w:p>
    <w:p w14:paraId="75A067ED">
      <w:pPr>
        <w:snapToGrid w:val="0"/>
        <w:spacing w:after="0" w:line="360" w:lineRule="auto"/>
        <w:ind w:right="480" w:firstLine="5250" w:firstLineChars="2500"/>
        <w:rPr>
          <w:rFonts w:ascii="宋体" w:hAnsi="宋体" w:eastAsia="宋体" w:cs="宋体"/>
          <w:color w:val="auto"/>
          <w:szCs w:val="21"/>
          <w:highlight w:val="none"/>
        </w:rPr>
      </w:pPr>
      <w:r>
        <w:rPr>
          <w:rFonts w:hint="eastAsia" w:ascii="宋体" w:hAnsi="宋体" w:eastAsia="宋体" w:cs="宋体"/>
          <w:bCs/>
          <w:color w:val="auto"/>
          <w:szCs w:val="21"/>
          <w:highlight w:val="none"/>
        </w:rPr>
        <w:t>合同编号：</w:t>
      </w:r>
    </w:p>
    <w:p w14:paraId="362539DE">
      <w:pPr>
        <w:snapToGrid w:val="0"/>
        <w:spacing w:after="0" w:line="360" w:lineRule="auto"/>
        <w:rPr>
          <w:rFonts w:ascii="Arial" w:hAnsi="Arial" w:eastAsia="宋体" w:cs="Arial"/>
          <w:color w:val="auto"/>
          <w:kern w:val="0"/>
          <w:szCs w:val="21"/>
          <w:highlight w:val="none"/>
        </w:rPr>
      </w:pPr>
      <w:r>
        <w:rPr>
          <w:rFonts w:ascii="Arial" w:hAnsi="Arial" w:eastAsia="宋体" w:cs="Arial"/>
          <w:color w:val="auto"/>
          <w:szCs w:val="21"/>
          <w:highlight w:val="none"/>
        </w:rPr>
        <w:t>采购单位（甲方）</w:t>
      </w:r>
      <w:r>
        <w:rPr>
          <w:rFonts w:hint="eastAsia" w:ascii="Arial" w:hAnsi="Arial" w:eastAsia="宋体" w:cs="Arial"/>
          <w:color w:val="auto"/>
          <w:kern w:val="0"/>
          <w:szCs w:val="21"/>
          <w:highlight w:val="none"/>
          <w:u w:val="single"/>
        </w:rPr>
        <w:t>桂林医科大学</w:t>
      </w:r>
      <w:r>
        <w:rPr>
          <w:rFonts w:ascii="Arial" w:hAnsi="Arial" w:eastAsia="宋体" w:cs="Arial"/>
          <w:color w:val="auto"/>
          <w:kern w:val="0"/>
          <w:szCs w:val="21"/>
          <w:highlight w:val="none"/>
        </w:rPr>
        <w:t xml:space="preserve">                       </w:t>
      </w:r>
      <w:r>
        <w:rPr>
          <w:rFonts w:ascii="Arial" w:hAnsi="Arial" w:eastAsia="宋体" w:cs="Arial"/>
          <w:color w:val="auto"/>
          <w:spacing w:val="-20"/>
          <w:szCs w:val="21"/>
          <w:highlight w:val="none"/>
        </w:rPr>
        <w:t>采 购 计 划 号：</w:t>
      </w:r>
    </w:p>
    <w:p w14:paraId="2F339E8F">
      <w:pPr>
        <w:snapToGrid w:val="0"/>
        <w:spacing w:after="0" w:line="360" w:lineRule="auto"/>
        <w:rPr>
          <w:rFonts w:ascii="Arial" w:hAnsi="Arial" w:eastAsia="宋体" w:cs="Arial"/>
          <w:color w:val="auto"/>
          <w:szCs w:val="21"/>
          <w:highlight w:val="none"/>
          <w:u w:val="single"/>
        </w:rPr>
      </w:pPr>
      <w:r>
        <w:rPr>
          <w:rFonts w:ascii="Arial" w:hAnsi="Arial" w:eastAsia="宋体" w:cs="Arial"/>
          <w:color w:val="auto"/>
          <w:szCs w:val="21"/>
          <w:highlight w:val="none"/>
        </w:rPr>
        <w:t>供 应 商（乙方）                                 项目名称及</w:t>
      </w:r>
      <w:r>
        <w:rPr>
          <w:rFonts w:ascii="Arial" w:hAnsi="Arial" w:eastAsia="宋体" w:cs="Arial"/>
          <w:color w:val="auto"/>
          <w:spacing w:val="-20"/>
          <w:szCs w:val="21"/>
          <w:highlight w:val="none"/>
        </w:rPr>
        <w:t>编号：</w:t>
      </w:r>
    </w:p>
    <w:p w14:paraId="08263A95">
      <w:pPr>
        <w:snapToGrid w:val="0"/>
        <w:spacing w:after="0" w:line="360" w:lineRule="auto"/>
        <w:rPr>
          <w:rFonts w:ascii="Arial" w:hAnsi="Arial" w:eastAsia="宋体" w:cs="Arial"/>
          <w:color w:val="auto"/>
          <w:szCs w:val="21"/>
          <w:highlight w:val="none"/>
        </w:rPr>
      </w:pPr>
      <w:r>
        <w:rPr>
          <w:rFonts w:ascii="Arial" w:hAnsi="Arial" w:eastAsia="宋体" w:cs="Arial"/>
          <w:color w:val="auto"/>
          <w:szCs w:val="21"/>
          <w:highlight w:val="none"/>
        </w:rPr>
        <w:t xml:space="preserve">签  订  地  点  </w:t>
      </w:r>
      <w:r>
        <w:rPr>
          <w:rFonts w:hint="eastAsia" w:ascii="Arial" w:hAnsi="Arial" w:eastAsia="宋体" w:cs="Arial"/>
          <w:color w:val="auto"/>
          <w:szCs w:val="21"/>
          <w:highlight w:val="none"/>
          <w:u w:val="single"/>
        </w:rPr>
        <w:t>桂林医科大学</w:t>
      </w:r>
      <w:r>
        <w:rPr>
          <w:rFonts w:ascii="Arial" w:hAnsi="Arial" w:eastAsia="宋体" w:cs="Arial"/>
          <w:color w:val="auto"/>
          <w:szCs w:val="21"/>
          <w:highlight w:val="none"/>
        </w:rPr>
        <w:t xml:space="preserve">                       签 订 时 间：</w:t>
      </w:r>
    </w:p>
    <w:p w14:paraId="7AE9DEC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根据《中华人民共和国政府采购法》、《中华人民共和国民法典》等法律、法规规定，按照</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文件规定条款和乙方</w:t>
      </w:r>
      <w:r>
        <w:rPr>
          <w:rFonts w:hint="eastAsia" w:ascii="Arial" w:hAnsi="Arial" w:eastAsia="宋体" w:cs="Arial"/>
          <w:color w:val="auto"/>
          <w:kern w:val="2"/>
          <w:sz w:val="21"/>
          <w:szCs w:val="21"/>
          <w:highlight w:val="none"/>
          <w:lang w:val="en-US" w:eastAsia="zh-CN" w:bidi="ar-SA"/>
        </w:rPr>
        <w:t>投标</w:t>
      </w:r>
      <w:r>
        <w:rPr>
          <w:rFonts w:ascii="Arial" w:hAnsi="Arial" w:eastAsia="宋体" w:cs="Arial"/>
          <w:color w:val="auto"/>
          <w:kern w:val="2"/>
          <w:sz w:val="21"/>
          <w:szCs w:val="21"/>
          <w:highlight w:val="none"/>
          <w:lang w:val="en-US" w:eastAsia="zh-CN" w:bidi="ar-SA"/>
        </w:rPr>
        <w:t>文件及其承诺，甲乙双方签订本合同。</w:t>
      </w:r>
    </w:p>
    <w:p w14:paraId="0541A48F">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第一条　合同标的</w:t>
      </w:r>
    </w:p>
    <w:p w14:paraId="38CED97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1.供货一览表</w:t>
      </w:r>
    </w:p>
    <w:tbl>
      <w:tblPr>
        <w:tblStyle w:val="51"/>
        <w:tblW w:w="957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9"/>
        <w:gridCol w:w="1077"/>
        <w:gridCol w:w="1190"/>
        <w:gridCol w:w="1189"/>
        <w:gridCol w:w="669"/>
        <w:gridCol w:w="1076"/>
        <w:gridCol w:w="1076"/>
        <w:gridCol w:w="1506"/>
      </w:tblGrid>
      <w:tr w14:paraId="3438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94" w:type="dxa"/>
            <w:noWrap w:val="0"/>
            <w:vAlign w:val="center"/>
          </w:tcPr>
          <w:p w14:paraId="4872913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1299" w:type="dxa"/>
            <w:noWrap w:val="0"/>
            <w:vAlign w:val="center"/>
          </w:tcPr>
          <w:p w14:paraId="32D28A93">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标的</w:t>
            </w:r>
          </w:p>
          <w:p w14:paraId="64D6C3C2">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名称</w:t>
            </w:r>
          </w:p>
        </w:tc>
        <w:tc>
          <w:tcPr>
            <w:tcW w:w="1077" w:type="dxa"/>
            <w:noWrap w:val="0"/>
            <w:vAlign w:val="center"/>
          </w:tcPr>
          <w:p w14:paraId="0AD36BFE">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商标</w:t>
            </w:r>
          </w:p>
          <w:p w14:paraId="24D1F795">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品牌</w:t>
            </w:r>
          </w:p>
        </w:tc>
        <w:tc>
          <w:tcPr>
            <w:tcW w:w="1190" w:type="dxa"/>
            <w:noWrap w:val="0"/>
            <w:vAlign w:val="center"/>
          </w:tcPr>
          <w:p w14:paraId="3926BD67">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型号</w:t>
            </w:r>
          </w:p>
          <w:p w14:paraId="6B65B961">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参数</w:t>
            </w:r>
          </w:p>
        </w:tc>
        <w:tc>
          <w:tcPr>
            <w:tcW w:w="1189" w:type="dxa"/>
            <w:noWrap w:val="0"/>
            <w:vAlign w:val="center"/>
          </w:tcPr>
          <w:p w14:paraId="4BF8A4A5">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生产</w:t>
            </w:r>
          </w:p>
          <w:p w14:paraId="7B273C6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厂家</w:t>
            </w:r>
          </w:p>
        </w:tc>
        <w:tc>
          <w:tcPr>
            <w:tcW w:w="669" w:type="dxa"/>
            <w:noWrap w:val="0"/>
            <w:vAlign w:val="center"/>
          </w:tcPr>
          <w:p w14:paraId="3AFFEA0D">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数  量</w:t>
            </w:r>
          </w:p>
        </w:tc>
        <w:tc>
          <w:tcPr>
            <w:tcW w:w="1076" w:type="dxa"/>
            <w:noWrap w:val="0"/>
            <w:vAlign w:val="center"/>
          </w:tcPr>
          <w:p w14:paraId="0AEB713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单位</w:t>
            </w:r>
          </w:p>
        </w:tc>
        <w:tc>
          <w:tcPr>
            <w:tcW w:w="1076" w:type="dxa"/>
            <w:noWrap w:val="0"/>
            <w:vAlign w:val="center"/>
          </w:tcPr>
          <w:p w14:paraId="3F911886">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单  价</w:t>
            </w:r>
          </w:p>
          <w:p w14:paraId="67596A28">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（元）</w:t>
            </w:r>
          </w:p>
        </w:tc>
        <w:tc>
          <w:tcPr>
            <w:tcW w:w="1506" w:type="dxa"/>
            <w:noWrap w:val="0"/>
            <w:vAlign w:val="center"/>
          </w:tcPr>
          <w:p w14:paraId="6F3F374E">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金  额</w:t>
            </w:r>
          </w:p>
          <w:p w14:paraId="1C9ECFCF">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（元）</w:t>
            </w:r>
          </w:p>
        </w:tc>
      </w:tr>
      <w:tr w14:paraId="4172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94" w:type="dxa"/>
            <w:noWrap w:val="0"/>
            <w:vAlign w:val="center"/>
          </w:tcPr>
          <w:p w14:paraId="73003270">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1</w:t>
            </w:r>
          </w:p>
        </w:tc>
        <w:tc>
          <w:tcPr>
            <w:tcW w:w="1299" w:type="dxa"/>
            <w:noWrap w:val="0"/>
            <w:vAlign w:val="center"/>
          </w:tcPr>
          <w:p w14:paraId="6A6E3B54">
            <w:pPr>
              <w:snapToGrid w:val="0"/>
              <w:spacing w:after="0" w:line="240" w:lineRule="auto"/>
              <w:jc w:val="center"/>
              <w:rPr>
                <w:rFonts w:ascii="Arial" w:hAnsi="Arial" w:eastAsia="宋体" w:cs="Arial"/>
                <w:color w:val="auto"/>
                <w:szCs w:val="21"/>
                <w:highlight w:val="none"/>
              </w:rPr>
            </w:pPr>
          </w:p>
        </w:tc>
        <w:tc>
          <w:tcPr>
            <w:tcW w:w="1077" w:type="dxa"/>
            <w:noWrap w:val="0"/>
            <w:vAlign w:val="center"/>
          </w:tcPr>
          <w:p w14:paraId="10ED6F6E">
            <w:pPr>
              <w:snapToGrid w:val="0"/>
              <w:spacing w:after="0" w:line="240" w:lineRule="auto"/>
              <w:jc w:val="center"/>
              <w:rPr>
                <w:rFonts w:ascii="Arial" w:hAnsi="Arial" w:eastAsia="宋体" w:cs="Arial"/>
                <w:color w:val="auto"/>
                <w:szCs w:val="21"/>
                <w:highlight w:val="none"/>
              </w:rPr>
            </w:pPr>
          </w:p>
        </w:tc>
        <w:tc>
          <w:tcPr>
            <w:tcW w:w="1190" w:type="dxa"/>
            <w:noWrap w:val="0"/>
            <w:vAlign w:val="center"/>
          </w:tcPr>
          <w:p w14:paraId="6EF3F91D">
            <w:pPr>
              <w:snapToGrid w:val="0"/>
              <w:spacing w:after="0" w:line="240" w:lineRule="auto"/>
              <w:jc w:val="center"/>
              <w:rPr>
                <w:rFonts w:ascii="Arial" w:hAnsi="Arial" w:eastAsia="宋体" w:cs="Arial"/>
                <w:color w:val="auto"/>
                <w:szCs w:val="21"/>
                <w:highlight w:val="none"/>
              </w:rPr>
            </w:pPr>
          </w:p>
        </w:tc>
        <w:tc>
          <w:tcPr>
            <w:tcW w:w="1189" w:type="dxa"/>
            <w:noWrap w:val="0"/>
            <w:vAlign w:val="top"/>
          </w:tcPr>
          <w:p w14:paraId="45F628B8">
            <w:pPr>
              <w:snapToGrid w:val="0"/>
              <w:spacing w:after="0" w:line="240" w:lineRule="auto"/>
              <w:jc w:val="center"/>
              <w:rPr>
                <w:rFonts w:ascii="Arial" w:hAnsi="Arial" w:eastAsia="宋体" w:cs="Arial"/>
                <w:color w:val="auto"/>
                <w:szCs w:val="21"/>
                <w:highlight w:val="none"/>
              </w:rPr>
            </w:pPr>
          </w:p>
        </w:tc>
        <w:tc>
          <w:tcPr>
            <w:tcW w:w="669" w:type="dxa"/>
            <w:noWrap w:val="0"/>
            <w:vAlign w:val="top"/>
          </w:tcPr>
          <w:p w14:paraId="2FBA8195">
            <w:pPr>
              <w:snapToGrid w:val="0"/>
              <w:spacing w:after="0" w:line="240" w:lineRule="auto"/>
              <w:jc w:val="center"/>
              <w:rPr>
                <w:rFonts w:ascii="Arial" w:hAnsi="Arial" w:eastAsia="宋体" w:cs="Arial"/>
                <w:color w:val="auto"/>
                <w:szCs w:val="21"/>
                <w:highlight w:val="none"/>
              </w:rPr>
            </w:pPr>
          </w:p>
        </w:tc>
        <w:tc>
          <w:tcPr>
            <w:tcW w:w="1076" w:type="dxa"/>
            <w:noWrap w:val="0"/>
            <w:vAlign w:val="top"/>
          </w:tcPr>
          <w:p w14:paraId="1391C623">
            <w:pPr>
              <w:snapToGrid w:val="0"/>
              <w:spacing w:after="0" w:line="240" w:lineRule="auto"/>
              <w:jc w:val="center"/>
              <w:rPr>
                <w:rFonts w:ascii="Arial" w:hAnsi="Arial" w:eastAsia="宋体" w:cs="Arial"/>
                <w:color w:val="auto"/>
                <w:szCs w:val="21"/>
                <w:highlight w:val="none"/>
              </w:rPr>
            </w:pPr>
          </w:p>
        </w:tc>
        <w:tc>
          <w:tcPr>
            <w:tcW w:w="1076" w:type="dxa"/>
            <w:noWrap w:val="0"/>
            <w:vAlign w:val="center"/>
          </w:tcPr>
          <w:p w14:paraId="242708AB">
            <w:pPr>
              <w:snapToGrid w:val="0"/>
              <w:spacing w:after="0" w:line="240" w:lineRule="auto"/>
              <w:jc w:val="center"/>
              <w:rPr>
                <w:rFonts w:ascii="Arial" w:hAnsi="Arial" w:eastAsia="宋体" w:cs="Arial"/>
                <w:color w:val="auto"/>
                <w:szCs w:val="21"/>
                <w:highlight w:val="none"/>
              </w:rPr>
            </w:pPr>
          </w:p>
        </w:tc>
        <w:tc>
          <w:tcPr>
            <w:tcW w:w="1506" w:type="dxa"/>
            <w:noWrap w:val="0"/>
            <w:vAlign w:val="center"/>
          </w:tcPr>
          <w:p w14:paraId="5D8E5675">
            <w:pPr>
              <w:snapToGrid w:val="0"/>
              <w:spacing w:after="0" w:line="240" w:lineRule="auto"/>
              <w:jc w:val="center"/>
              <w:rPr>
                <w:rFonts w:ascii="Arial" w:hAnsi="Arial" w:eastAsia="宋体" w:cs="Arial"/>
                <w:color w:val="auto"/>
                <w:szCs w:val="21"/>
                <w:highlight w:val="none"/>
              </w:rPr>
            </w:pPr>
          </w:p>
        </w:tc>
      </w:tr>
      <w:tr w14:paraId="251D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94" w:type="dxa"/>
            <w:noWrap w:val="0"/>
            <w:vAlign w:val="center"/>
          </w:tcPr>
          <w:p w14:paraId="4DC198DC">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2</w:t>
            </w:r>
          </w:p>
        </w:tc>
        <w:tc>
          <w:tcPr>
            <w:tcW w:w="1299" w:type="dxa"/>
            <w:noWrap w:val="0"/>
            <w:vAlign w:val="center"/>
          </w:tcPr>
          <w:p w14:paraId="2BE42A2A">
            <w:pPr>
              <w:snapToGrid w:val="0"/>
              <w:spacing w:after="0" w:line="240" w:lineRule="auto"/>
              <w:jc w:val="center"/>
              <w:rPr>
                <w:rFonts w:ascii="Arial" w:hAnsi="Arial" w:eastAsia="宋体" w:cs="Arial"/>
                <w:color w:val="auto"/>
                <w:szCs w:val="21"/>
                <w:highlight w:val="none"/>
              </w:rPr>
            </w:pPr>
          </w:p>
        </w:tc>
        <w:tc>
          <w:tcPr>
            <w:tcW w:w="1077" w:type="dxa"/>
            <w:noWrap w:val="0"/>
            <w:vAlign w:val="center"/>
          </w:tcPr>
          <w:p w14:paraId="6DF4D070">
            <w:pPr>
              <w:snapToGrid w:val="0"/>
              <w:spacing w:after="0" w:line="240" w:lineRule="auto"/>
              <w:jc w:val="center"/>
              <w:rPr>
                <w:rFonts w:ascii="Arial" w:hAnsi="Arial" w:eastAsia="宋体" w:cs="Arial"/>
                <w:color w:val="auto"/>
                <w:szCs w:val="21"/>
                <w:highlight w:val="none"/>
              </w:rPr>
            </w:pPr>
          </w:p>
        </w:tc>
        <w:tc>
          <w:tcPr>
            <w:tcW w:w="1190" w:type="dxa"/>
            <w:noWrap w:val="0"/>
            <w:vAlign w:val="center"/>
          </w:tcPr>
          <w:p w14:paraId="591CD866">
            <w:pPr>
              <w:snapToGrid w:val="0"/>
              <w:spacing w:after="0" w:line="240" w:lineRule="auto"/>
              <w:jc w:val="center"/>
              <w:rPr>
                <w:rFonts w:ascii="Arial" w:hAnsi="Arial" w:eastAsia="宋体" w:cs="Arial"/>
                <w:color w:val="auto"/>
                <w:szCs w:val="21"/>
                <w:highlight w:val="none"/>
              </w:rPr>
            </w:pPr>
          </w:p>
        </w:tc>
        <w:tc>
          <w:tcPr>
            <w:tcW w:w="1189" w:type="dxa"/>
            <w:noWrap w:val="0"/>
            <w:vAlign w:val="top"/>
          </w:tcPr>
          <w:p w14:paraId="622C8BCC">
            <w:pPr>
              <w:snapToGrid w:val="0"/>
              <w:spacing w:after="0" w:line="240" w:lineRule="auto"/>
              <w:jc w:val="center"/>
              <w:rPr>
                <w:rFonts w:ascii="Arial" w:hAnsi="Arial" w:eastAsia="宋体" w:cs="Arial"/>
                <w:color w:val="auto"/>
                <w:szCs w:val="21"/>
                <w:highlight w:val="none"/>
              </w:rPr>
            </w:pPr>
          </w:p>
        </w:tc>
        <w:tc>
          <w:tcPr>
            <w:tcW w:w="669" w:type="dxa"/>
            <w:noWrap w:val="0"/>
            <w:vAlign w:val="top"/>
          </w:tcPr>
          <w:p w14:paraId="2D8B6B61">
            <w:pPr>
              <w:snapToGrid w:val="0"/>
              <w:spacing w:after="0" w:line="240" w:lineRule="auto"/>
              <w:jc w:val="center"/>
              <w:rPr>
                <w:rFonts w:ascii="Arial" w:hAnsi="Arial" w:eastAsia="宋体" w:cs="Arial"/>
                <w:color w:val="auto"/>
                <w:szCs w:val="21"/>
                <w:highlight w:val="none"/>
              </w:rPr>
            </w:pPr>
          </w:p>
        </w:tc>
        <w:tc>
          <w:tcPr>
            <w:tcW w:w="1076" w:type="dxa"/>
            <w:noWrap w:val="0"/>
            <w:vAlign w:val="top"/>
          </w:tcPr>
          <w:p w14:paraId="56BB1F71">
            <w:pPr>
              <w:snapToGrid w:val="0"/>
              <w:spacing w:after="0" w:line="240" w:lineRule="auto"/>
              <w:jc w:val="center"/>
              <w:rPr>
                <w:rFonts w:ascii="Arial" w:hAnsi="Arial" w:eastAsia="宋体" w:cs="Arial"/>
                <w:color w:val="auto"/>
                <w:szCs w:val="21"/>
                <w:highlight w:val="none"/>
              </w:rPr>
            </w:pPr>
          </w:p>
        </w:tc>
        <w:tc>
          <w:tcPr>
            <w:tcW w:w="1076" w:type="dxa"/>
            <w:noWrap w:val="0"/>
            <w:vAlign w:val="center"/>
          </w:tcPr>
          <w:p w14:paraId="3DA0546D">
            <w:pPr>
              <w:snapToGrid w:val="0"/>
              <w:spacing w:after="0" w:line="240" w:lineRule="auto"/>
              <w:jc w:val="center"/>
              <w:rPr>
                <w:rFonts w:ascii="Arial" w:hAnsi="Arial" w:eastAsia="宋体" w:cs="Arial"/>
                <w:color w:val="auto"/>
                <w:szCs w:val="21"/>
                <w:highlight w:val="none"/>
              </w:rPr>
            </w:pPr>
          </w:p>
        </w:tc>
        <w:tc>
          <w:tcPr>
            <w:tcW w:w="1506" w:type="dxa"/>
            <w:noWrap w:val="0"/>
            <w:vAlign w:val="center"/>
          </w:tcPr>
          <w:p w14:paraId="1907A677">
            <w:pPr>
              <w:snapToGrid w:val="0"/>
              <w:spacing w:after="0" w:line="240" w:lineRule="auto"/>
              <w:jc w:val="center"/>
              <w:rPr>
                <w:rFonts w:ascii="Arial" w:hAnsi="Arial" w:eastAsia="宋体" w:cs="Arial"/>
                <w:color w:val="auto"/>
                <w:szCs w:val="21"/>
                <w:highlight w:val="none"/>
              </w:rPr>
            </w:pPr>
          </w:p>
        </w:tc>
      </w:tr>
      <w:tr w14:paraId="7D5A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9576" w:type="dxa"/>
            <w:gridSpan w:val="9"/>
            <w:noWrap w:val="0"/>
            <w:vAlign w:val="center"/>
          </w:tcPr>
          <w:p w14:paraId="1F7AE787">
            <w:pPr>
              <w:snapToGrid w:val="0"/>
              <w:spacing w:after="0" w:line="240" w:lineRule="auto"/>
              <w:rPr>
                <w:rFonts w:ascii="Arial" w:hAnsi="Arial" w:eastAsia="宋体" w:cs="Arial"/>
                <w:color w:val="auto"/>
                <w:szCs w:val="21"/>
                <w:highlight w:val="none"/>
              </w:rPr>
            </w:pPr>
            <w:r>
              <w:rPr>
                <w:rFonts w:ascii="Arial" w:hAnsi="Arial" w:eastAsia="宋体" w:cs="Arial"/>
                <w:color w:val="auto"/>
                <w:szCs w:val="21"/>
                <w:highlight w:val="none"/>
              </w:rPr>
              <w:t xml:space="preserve">人民币合计金额（大写）                          （小写）                 </w:t>
            </w:r>
          </w:p>
        </w:tc>
      </w:tr>
    </w:tbl>
    <w:p w14:paraId="40CDB883">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合同合计金额包括本次采购范围内货物（或配件）价款、随配附件、备品备件、安装维修工具、设备的运行维护维保、项目经营、项目管理费、提供维保服务的人员工资、差旅费等，货物运抵指定交货地点、安装、调试的各种费用和售后服务、税金及其它所有成本、费用的总和。如</w:t>
      </w:r>
      <w:r>
        <w:rPr>
          <w:rFonts w:hint="eastAsia" w:ascii="Arial" w:hAnsi="Arial" w:eastAsia="宋体" w:cs="Arial"/>
          <w:color w:val="auto"/>
          <w:kern w:val="2"/>
          <w:sz w:val="21"/>
          <w:szCs w:val="21"/>
          <w:highlight w:val="none"/>
          <w:lang w:val="en-US" w:eastAsia="zh-CN" w:bidi="ar-SA"/>
        </w:rPr>
        <w:t>招标、投标</w:t>
      </w:r>
      <w:r>
        <w:rPr>
          <w:rFonts w:ascii="Arial" w:hAnsi="Arial" w:eastAsia="宋体" w:cs="Arial"/>
          <w:color w:val="auto"/>
          <w:kern w:val="2"/>
          <w:sz w:val="21"/>
          <w:szCs w:val="21"/>
          <w:highlight w:val="none"/>
          <w:lang w:val="en-US" w:eastAsia="zh-CN" w:bidi="ar-SA"/>
        </w:rPr>
        <w:t>文件对其另有规定的，从其规定。</w:t>
      </w:r>
    </w:p>
    <w:p w14:paraId="28B702D4">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采购合同履行中，甲方需追加与合同标的相同的货物的，在不改变合同其他条款的前提下，可以与乙方协商签订补充合同，但所有补充合同的采购金额不得超过原合同采购金额的10%。</w:t>
      </w:r>
    </w:p>
    <w:p w14:paraId="2A140CE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第二条　质量保证</w:t>
      </w:r>
    </w:p>
    <w:p w14:paraId="4A3C827B">
      <w:pPr>
        <w:snapToGrid w:val="0"/>
        <w:spacing w:after="0" w:line="360" w:lineRule="auto"/>
        <w:ind w:firstLine="420" w:firstLineChars="200"/>
        <w:rPr>
          <w:rFonts w:ascii="Arial" w:hAnsi="Arial" w:eastAsia="宋体" w:cs="Arial"/>
          <w:strike/>
          <w:color w:val="auto"/>
          <w:szCs w:val="21"/>
          <w:highlight w:val="none"/>
        </w:rPr>
      </w:pPr>
      <w:r>
        <w:rPr>
          <w:rFonts w:ascii="Arial" w:hAnsi="Arial" w:eastAsia="宋体" w:cs="Arial"/>
          <w:color w:val="auto"/>
          <w:szCs w:val="21"/>
          <w:highlight w:val="none"/>
        </w:rPr>
        <w:t>1.乙方所提供的货物型号、技术规格、技术参数等质量必须与</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文件要求、</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承诺相一致。乙方提供的节能和环保产品必须是列入政府采购品目清单的产品。</w:t>
      </w:r>
    </w:p>
    <w:p w14:paraId="266AE62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2.乙方所提供的货物必须是全新、未使用的原装产品，且在正常安装、使用和保养条件下，其使用寿命期内各项指标均达到质量要求。</w:t>
      </w:r>
    </w:p>
    <w:p w14:paraId="3A1A88C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第三条  权利保证</w:t>
      </w:r>
    </w:p>
    <w:p w14:paraId="3F0E40D9">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乙方应保证所提供货物在使用时不会侵犯任何第三方的专利权、商标权、工业设计权或其他权利。</w:t>
      </w:r>
    </w:p>
    <w:p w14:paraId="65B3BABD">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乙方应按</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文件规定的时间向甲方提供使用货物的有关技术资料。</w:t>
      </w:r>
    </w:p>
    <w:p w14:paraId="70ECDA6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403BF90">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乙方保证所交付的货物的所有权完全属于乙方且无任何抵押、质押、查封等产权瑕疵。</w:t>
      </w:r>
    </w:p>
    <w:p w14:paraId="2324A7D6">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第四条  包装和运输</w:t>
      </w:r>
    </w:p>
    <w:p w14:paraId="6E8BADA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1.乙方提供的货物均应按招</w:t>
      </w:r>
      <w:r>
        <w:rPr>
          <w:rFonts w:hint="eastAsia" w:ascii="Arial" w:hAnsi="Arial" w:eastAsia="宋体" w:cs="Arial"/>
          <w:color w:val="auto"/>
          <w:kern w:val="2"/>
          <w:sz w:val="21"/>
          <w:szCs w:val="21"/>
          <w:highlight w:val="none"/>
          <w:lang w:val="en-US" w:eastAsia="zh-CN" w:bidi="ar-SA"/>
        </w:rPr>
        <w:t>标、投标文件</w:t>
      </w:r>
      <w:r>
        <w:rPr>
          <w:rFonts w:ascii="Arial" w:hAnsi="Arial" w:eastAsia="宋体" w:cs="Arial"/>
          <w:color w:val="auto"/>
          <w:kern w:val="2"/>
          <w:sz w:val="21"/>
          <w:szCs w:val="21"/>
          <w:highlight w:val="none"/>
          <w:lang w:val="en-US" w:eastAsia="zh-CN" w:bidi="ar-SA"/>
        </w:rPr>
        <w:t>要求的包装材料、包装标准、包装方式进行包装，每一包装单元内应附详细的装箱单和质量合格证。</w:t>
      </w:r>
    </w:p>
    <w:p w14:paraId="3DE6F5D0">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2.货物的运输方式：</w:t>
      </w:r>
      <w:r>
        <w:rPr>
          <w:rFonts w:ascii="Arial" w:hAnsi="Arial" w:eastAsia="宋体" w:cs="Arial"/>
          <w:color w:val="auto"/>
          <w:kern w:val="2"/>
          <w:sz w:val="21"/>
          <w:szCs w:val="21"/>
          <w:highlight w:val="none"/>
          <w:u w:val="single"/>
          <w:lang w:val="en-US" w:eastAsia="zh-CN" w:bidi="ar-SA"/>
        </w:rPr>
        <w:t>乙方自定</w:t>
      </w:r>
      <w:r>
        <w:rPr>
          <w:rFonts w:ascii="Arial" w:hAnsi="Arial" w:eastAsia="宋体" w:cs="Arial"/>
          <w:color w:val="auto"/>
          <w:kern w:val="2"/>
          <w:sz w:val="21"/>
          <w:szCs w:val="21"/>
          <w:highlight w:val="none"/>
          <w:lang w:val="en-US" w:eastAsia="zh-CN" w:bidi="ar-SA"/>
        </w:rPr>
        <w:t>。</w:t>
      </w:r>
    </w:p>
    <w:p w14:paraId="6D31AE6D">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3.乙方负责货物运输，货物运输合理损耗及计算方法：</w:t>
      </w:r>
      <w:r>
        <w:rPr>
          <w:rFonts w:ascii="Arial" w:hAnsi="Arial" w:eastAsia="宋体" w:cs="Arial"/>
          <w:color w:val="auto"/>
          <w:kern w:val="2"/>
          <w:sz w:val="21"/>
          <w:szCs w:val="21"/>
          <w:highlight w:val="none"/>
          <w:u w:val="single"/>
          <w:lang w:val="en-US" w:eastAsia="zh-CN" w:bidi="ar-SA"/>
        </w:rPr>
        <w:t xml:space="preserve">由乙方负责 </w:t>
      </w:r>
      <w:r>
        <w:rPr>
          <w:rFonts w:ascii="Arial" w:hAnsi="Arial" w:eastAsia="宋体" w:cs="Arial"/>
          <w:color w:val="auto"/>
          <w:kern w:val="2"/>
          <w:sz w:val="21"/>
          <w:szCs w:val="21"/>
          <w:highlight w:val="none"/>
          <w:lang w:val="en-US" w:eastAsia="zh-CN" w:bidi="ar-SA"/>
        </w:rPr>
        <w:t>。</w:t>
      </w:r>
    </w:p>
    <w:p w14:paraId="6773B81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第五条  交付和验收</w:t>
      </w:r>
    </w:p>
    <w:p w14:paraId="2FE8D01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1.交付使用时间：</w:t>
      </w:r>
      <w:r>
        <w:rPr>
          <w:rFonts w:ascii="Arial" w:hAnsi="Arial" w:eastAsia="宋体" w:cs="Arial"/>
          <w:color w:val="auto"/>
          <w:szCs w:val="21"/>
          <w:highlight w:val="none"/>
          <w:u w:val="single"/>
        </w:rPr>
        <w:t>按乙方</w:t>
      </w:r>
      <w:r>
        <w:rPr>
          <w:rFonts w:hint="eastAsia" w:ascii="Arial" w:hAnsi="Arial" w:eastAsia="宋体" w:cs="Arial"/>
          <w:color w:val="auto"/>
          <w:szCs w:val="21"/>
          <w:highlight w:val="none"/>
          <w:u w:val="single"/>
        </w:rPr>
        <w:t>投标文件</w:t>
      </w:r>
      <w:r>
        <w:rPr>
          <w:rFonts w:ascii="Arial" w:hAnsi="Arial" w:eastAsia="宋体" w:cs="Arial"/>
          <w:color w:val="auto"/>
          <w:szCs w:val="21"/>
          <w:highlight w:val="none"/>
          <w:u w:val="single"/>
        </w:rPr>
        <w:t>中所承诺的时间</w:t>
      </w:r>
      <w:r>
        <w:rPr>
          <w:rFonts w:ascii="Arial" w:hAnsi="Arial" w:eastAsia="宋体" w:cs="Arial"/>
          <w:color w:val="auto"/>
          <w:szCs w:val="21"/>
          <w:highlight w:val="none"/>
        </w:rPr>
        <w:t>；地点：</w:t>
      </w:r>
      <w:r>
        <w:rPr>
          <w:rFonts w:ascii="Arial" w:hAnsi="Arial" w:eastAsia="宋体" w:cs="Arial"/>
          <w:color w:val="auto"/>
          <w:szCs w:val="21"/>
          <w:highlight w:val="none"/>
          <w:u w:val="single"/>
        </w:rPr>
        <w:t xml:space="preserve"> 甲方指定地点。</w:t>
      </w:r>
    </w:p>
    <w:p w14:paraId="3A4CD14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2.乙方提供不符合招</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和本合同规定的货物，甲方有权拒绝接受。</w:t>
      </w:r>
    </w:p>
    <w:p w14:paraId="123AAB2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3.乙方应将所提供货物的装箱清单、用户手册、原厂保修卡、随机资料、工具和备品、备件等交付给甲方，如有缺失应及时补齐，否则视为逾期交货。</w:t>
      </w:r>
    </w:p>
    <w:p w14:paraId="6AA5B7F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4.甲方应当在到货并安装、调试完后七个工作日内进行验收。验收合格后由甲乙双方签署货物验收单并加盖采购单位公章，甲乙双方各执一份。</w:t>
      </w:r>
    </w:p>
    <w:p w14:paraId="0E40479F">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33EBD43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6.甲方对验收有异议的，在验收后五个工作日内以书面形式向乙方提出，乙方应自收到甲方书面异议后</w:t>
      </w:r>
      <w:r>
        <w:rPr>
          <w:rFonts w:ascii="Arial" w:hAnsi="Arial" w:eastAsia="宋体" w:cs="Arial"/>
          <w:color w:val="auto"/>
          <w:szCs w:val="21"/>
          <w:highlight w:val="none"/>
          <w:u w:val="single"/>
        </w:rPr>
        <w:t xml:space="preserve"> 7 </w:t>
      </w:r>
      <w:r>
        <w:rPr>
          <w:rFonts w:ascii="Arial" w:hAnsi="Arial" w:eastAsia="宋体" w:cs="Arial"/>
          <w:color w:val="auto"/>
          <w:szCs w:val="21"/>
          <w:highlight w:val="none"/>
        </w:rPr>
        <w:t>日内及时予以解决。</w:t>
      </w:r>
    </w:p>
    <w:p w14:paraId="4FB7CDDB">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第六条  安装和培训</w:t>
      </w:r>
    </w:p>
    <w:p w14:paraId="7EB4F37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1.甲方应提供必要安装条件（如场地、电源、水源等）。</w:t>
      </w:r>
    </w:p>
    <w:p w14:paraId="53FA3AF7">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2.乙方负责甲方有关人员的培训。培训时间、地点：</w:t>
      </w:r>
      <w:r>
        <w:rPr>
          <w:rFonts w:ascii="Arial" w:hAnsi="Arial" w:eastAsia="宋体" w:cs="Arial"/>
          <w:color w:val="auto"/>
          <w:szCs w:val="21"/>
          <w:highlight w:val="none"/>
          <w:u w:val="single"/>
        </w:rPr>
        <w:t xml:space="preserve"> 由甲方决定。</w:t>
      </w:r>
    </w:p>
    <w:p w14:paraId="1D98D4AC">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第七条  售后服务、质保期</w:t>
      </w:r>
    </w:p>
    <w:p w14:paraId="05CEF51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1.乙方应按照国家有关法律法规</w:t>
      </w:r>
      <w:r>
        <w:rPr>
          <w:rFonts w:hint="eastAsia" w:ascii="Arial" w:hAnsi="Arial" w:eastAsia="宋体" w:cs="Arial"/>
          <w:color w:val="auto"/>
          <w:szCs w:val="21"/>
          <w:highlight w:val="none"/>
        </w:rPr>
        <w:t>并参照</w:t>
      </w:r>
      <w:r>
        <w:rPr>
          <w:rFonts w:ascii="Arial" w:hAnsi="Arial" w:eastAsia="宋体" w:cs="Arial"/>
          <w:color w:val="auto"/>
          <w:szCs w:val="21"/>
          <w:highlight w:val="none"/>
        </w:rPr>
        <w:t>“三包”规定以及招</w:t>
      </w:r>
      <w:r>
        <w:rPr>
          <w:rFonts w:hint="eastAsia" w:ascii="Arial" w:hAnsi="Arial" w:eastAsia="宋体" w:cs="Arial"/>
          <w:color w:val="auto"/>
          <w:szCs w:val="21"/>
          <w:highlight w:val="none"/>
        </w:rPr>
        <w:t>标、投标文件</w:t>
      </w:r>
      <w:r>
        <w:rPr>
          <w:rFonts w:ascii="Arial" w:hAnsi="Arial" w:eastAsia="宋体" w:cs="Arial"/>
          <w:color w:val="auto"/>
          <w:szCs w:val="21"/>
          <w:highlight w:val="none"/>
        </w:rPr>
        <w:t>和本合同附件，为甲方提供售后服务。</w:t>
      </w:r>
    </w:p>
    <w:p w14:paraId="350D3582">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2.货物质保期：</w:t>
      </w:r>
      <w:r>
        <w:rPr>
          <w:rFonts w:ascii="Arial" w:hAnsi="Arial" w:eastAsia="宋体" w:cs="Arial"/>
          <w:color w:val="auto"/>
          <w:szCs w:val="21"/>
          <w:highlight w:val="none"/>
          <w:u w:val="single"/>
        </w:rPr>
        <w:t>乙方承诺</w:t>
      </w:r>
      <w:r>
        <w:rPr>
          <w:rFonts w:hint="eastAsia" w:ascii="Arial" w:hAnsi="Arial" w:eastAsia="宋体" w:cs="Arial"/>
          <w:color w:val="auto"/>
          <w:szCs w:val="21"/>
          <w:highlight w:val="none"/>
          <w:u w:val="single"/>
        </w:rPr>
        <w:t>招标</w:t>
      </w:r>
      <w:r>
        <w:rPr>
          <w:rFonts w:ascii="Arial" w:hAnsi="Arial" w:eastAsia="宋体" w:cs="Arial"/>
          <w:color w:val="auto"/>
          <w:szCs w:val="21"/>
          <w:highlight w:val="none"/>
          <w:u w:val="single"/>
        </w:rPr>
        <w:t>文件采购需求部分如无特别要求，则质保期为自验收合格之日起</w:t>
      </w:r>
      <w:r>
        <w:rPr>
          <w:rFonts w:hint="eastAsia" w:ascii="Arial" w:hAnsi="Arial" w:eastAsia="宋体" w:cs="Arial"/>
          <w:color w:val="auto"/>
          <w:szCs w:val="21"/>
          <w:highlight w:val="none"/>
          <w:u w:val="single"/>
        </w:rPr>
        <w:t xml:space="preserve">   </w:t>
      </w:r>
      <w:r>
        <w:rPr>
          <w:rFonts w:ascii="Arial" w:hAnsi="Arial" w:eastAsia="宋体" w:cs="Arial"/>
          <w:color w:val="auto"/>
          <w:szCs w:val="21"/>
          <w:highlight w:val="none"/>
          <w:u w:val="single"/>
        </w:rPr>
        <w:t>年，</w:t>
      </w:r>
      <w:r>
        <w:rPr>
          <w:rFonts w:hint="eastAsia" w:ascii="Arial" w:hAnsi="Arial" w:eastAsia="宋体" w:cs="Arial"/>
          <w:color w:val="auto"/>
          <w:szCs w:val="21"/>
          <w:highlight w:val="none"/>
          <w:u w:val="single"/>
        </w:rPr>
        <w:t>招标</w:t>
      </w:r>
      <w:r>
        <w:rPr>
          <w:rFonts w:ascii="Arial" w:hAnsi="Arial" w:eastAsia="宋体" w:cs="Arial"/>
          <w:color w:val="auto"/>
          <w:szCs w:val="21"/>
          <w:highlight w:val="none"/>
          <w:u w:val="single"/>
        </w:rPr>
        <w:t>文件采购需求部分有特别要求的则以技术参数要求表为准</w:t>
      </w:r>
      <w:r>
        <w:rPr>
          <w:rFonts w:ascii="Arial" w:hAnsi="Arial" w:eastAsia="宋体" w:cs="Arial"/>
          <w:color w:val="auto"/>
          <w:szCs w:val="21"/>
          <w:highlight w:val="none"/>
        </w:rPr>
        <w:t>。</w:t>
      </w:r>
    </w:p>
    <w:p w14:paraId="2649A65C">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3.乙方提供的服务承诺和售后服务及质保期责任等其它具体约定事项。（见合同附件）</w:t>
      </w:r>
    </w:p>
    <w:p w14:paraId="27086F6C">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第八条　付款方式</w:t>
      </w:r>
    </w:p>
    <w:p w14:paraId="16B1D1E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1.资金性质：</w:t>
      </w:r>
      <w:r>
        <w:rPr>
          <w:rFonts w:ascii="Arial" w:hAnsi="Arial" w:eastAsia="宋体" w:cs="Arial"/>
          <w:color w:val="auto"/>
          <w:szCs w:val="21"/>
          <w:highlight w:val="none"/>
          <w:u w:val="single"/>
        </w:rPr>
        <w:t>财政性资金</w:t>
      </w:r>
      <w:r>
        <w:rPr>
          <w:rFonts w:ascii="Arial" w:hAnsi="Arial" w:eastAsia="宋体" w:cs="Arial"/>
          <w:color w:val="auto"/>
          <w:szCs w:val="21"/>
          <w:highlight w:val="none"/>
        </w:rPr>
        <w:t>。</w:t>
      </w:r>
    </w:p>
    <w:p w14:paraId="5BBB7C7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2.付款方式：</w:t>
      </w:r>
    </w:p>
    <w:p w14:paraId="4104E09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验收合格后，乙方应向甲方开具等额（全额）有效的增值税专用发票，甲方收到发票后在30个日历日内付至合同价款的100%，履约保证金在验收合格满 (1年)后付清（无息）。</w:t>
      </w:r>
    </w:p>
    <w:p w14:paraId="031A92DD">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 xml:space="preserve">第九条 质量保证金及履约保证金   </w:t>
      </w:r>
    </w:p>
    <w:p w14:paraId="34D61654">
      <w:pPr>
        <w:snapToGrid w:val="0"/>
        <w:spacing w:after="0" w:line="360" w:lineRule="auto"/>
        <w:ind w:firstLine="420" w:firstLineChars="200"/>
        <w:rPr>
          <w:rFonts w:ascii="Arial" w:hAnsi="Arial" w:eastAsia="宋体" w:cs="Arial"/>
          <w:b/>
          <w:color w:val="auto"/>
          <w:szCs w:val="21"/>
          <w:highlight w:val="none"/>
        </w:rPr>
      </w:pPr>
      <w:r>
        <w:rPr>
          <w:rFonts w:ascii="Arial" w:hAnsi="Arial" w:eastAsia="宋体" w:cs="Arial"/>
          <w:color w:val="auto"/>
          <w:szCs w:val="21"/>
          <w:highlight w:val="none"/>
        </w:rPr>
        <w:t>履约保证金金额（人民币）：按</w:t>
      </w:r>
      <w:r>
        <w:rPr>
          <w:rFonts w:hint="eastAsia" w:ascii="Arial" w:hAnsi="Arial" w:eastAsia="宋体" w:cs="Arial"/>
          <w:color w:val="auto"/>
          <w:szCs w:val="21"/>
          <w:highlight w:val="none"/>
        </w:rPr>
        <w:t>中标</w:t>
      </w:r>
      <w:r>
        <w:rPr>
          <w:rFonts w:ascii="Arial" w:hAnsi="Arial" w:eastAsia="宋体" w:cs="Arial"/>
          <w:color w:val="auto"/>
          <w:szCs w:val="21"/>
          <w:highlight w:val="none"/>
        </w:rPr>
        <w:t>金额的5%，</w:t>
      </w:r>
      <w:r>
        <w:rPr>
          <w:rFonts w:hint="eastAsia" w:ascii="Arial" w:hAnsi="Arial" w:eastAsia="宋体" w:cs="Arial"/>
          <w:color w:val="auto"/>
          <w:szCs w:val="21"/>
          <w:highlight w:val="none"/>
        </w:rPr>
        <w:t>如为中小微企业</w:t>
      </w:r>
      <w:r>
        <w:rPr>
          <w:rFonts w:ascii="Arial" w:hAnsi="Arial" w:eastAsia="宋体" w:cs="Arial"/>
          <w:color w:val="auto"/>
          <w:szCs w:val="21"/>
          <w:highlight w:val="none"/>
        </w:rPr>
        <w:t>，则</w:t>
      </w:r>
      <w:r>
        <w:rPr>
          <w:rFonts w:hint="eastAsia" w:ascii="Arial" w:hAnsi="Arial" w:eastAsia="宋体" w:cs="Arial"/>
          <w:color w:val="auto"/>
          <w:szCs w:val="21"/>
          <w:highlight w:val="none"/>
        </w:rPr>
        <w:t>按中标金额2%收取</w:t>
      </w:r>
      <w:r>
        <w:rPr>
          <w:rFonts w:ascii="Arial" w:hAnsi="Arial" w:eastAsia="宋体" w:cs="Arial"/>
          <w:color w:val="auto"/>
          <w:szCs w:val="21"/>
          <w:highlight w:val="none"/>
        </w:rPr>
        <w:t>履约保证金。履约保证金递交方式：以转账或电汇等非现金形式在领取</w:t>
      </w:r>
      <w:r>
        <w:rPr>
          <w:rFonts w:hint="eastAsia" w:ascii="Arial" w:hAnsi="Arial" w:eastAsia="宋体" w:cs="Arial"/>
          <w:color w:val="auto"/>
          <w:szCs w:val="21"/>
          <w:highlight w:val="none"/>
        </w:rPr>
        <w:t>中标</w:t>
      </w:r>
      <w:r>
        <w:rPr>
          <w:rFonts w:ascii="Arial" w:hAnsi="Arial" w:eastAsia="宋体" w:cs="Arial"/>
          <w:color w:val="auto"/>
          <w:szCs w:val="21"/>
          <w:highlight w:val="none"/>
        </w:rPr>
        <w:t>通知书前从乙方基本账户交至以下账户：开户名称：</w:t>
      </w:r>
      <w:r>
        <w:rPr>
          <w:rFonts w:ascii="Arial" w:hAnsi="Arial" w:eastAsia="宋体" w:cs="Arial"/>
          <w:b/>
          <w:color w:val="auto"/>
          <w:kern w:val="0"/>
          <w:szCs w:val="21"/>
          <w:highlight w:val="none"/>
        </w:rPr>
        <w:t>桂林</w:t>
      </w:r>
      <w:r>
        <w:rPr>
          <w:rFonts w:hint="eastAsia" w:ascii="Arial" w:hAnsi="Arial" w:eastAsia="宋体" w:cs="Arial"/>
          <w:b/>
          <w:color w:val="auto"/>
          <w:kern w:val="0"/>
          <w:szCs w:val="21"/>
          <w:highlight w:val="none"/>
        </w:rPr>
        <w:t>医科大学</w:t>
      </w:r>
      <w:r>
        <w:rPr>
          <w:rFonts w:ascii="Arial" w:hAnsi="Arial" w:eastAsia="宋体" w:cs="Arial"/>
          <w:color w:val="auto"/>
          <w:szCs w:val="21"/>
          <w:highlight w:val="none"/>
        </w:rPr>
        <w:t>。开户银行：</w:t>
      </w:r>
      <w:r>
        <w:rPr>
          <w:rFonts w:ascii="Arial" w:hAnsi="Arial" w:eastAsia="宋体" w:cs="Arial"/>
          <w:b/>
          <w:color w:val="auto"/>
          <w:kern w:val="0"/>
          <w:szCs w:val="21"/>
          <w:highlight w:val="none"/>
        </w:rPr>
        <w:t>建行桂林分行致和路支行</w:t>
      </w:r>
      <w:r>
        <w:rPr>
          <w:rFonts w:ascii="Arial" w:hAnsi="Arial" w:eastAsia="宋体" w:cs="Arial"/>
          <w:color w:val="auto"/>
          <w:szCs w:val="21"/>
          <w:highlight w:val="none"/>
        </w:rPr>
        <w:t>。账号：</w:t>
      </w:r>
      <w:r>
        <w:rPr>
          <w:rFonts w:ascii="Arial" w:hAnsi="Arial" w:eastAsia="宋体" w:cs="Arial"/>
          <w:b/>
          <w:color w:val="auto"/>
          <w:kern w:val="0"/>
          <w:szCs w:val="21"/>
          <w:highlight w:val="none"/>
        </w:rPr>
        <w:t>45001635413050500589</w:t>
      </w:r>
      <w:r>
        <w:rPr>
          <w:rFonts w:ascii="Arial" w:hAnsi="Arial" w:eastAsia="宋体" w:cs="Arial"/>
          <w:color w:val="auto"/>
          <w:szCs w:val="21"/>
          <w:highlight w:val="none"/>
        </w:rPr>
        <w:t>。</w:t>
      </w:r>
      <w:r>
        <w:rPr>
          <w:rFonts w:ascii="Arial" w:hAnsi="Arial" w:eastAsia="宋体" w:cs="Arial"/>
          <w:b/>
          <w:color w:val="auto"/>
          <w:szCs w:val="21"/>
          <w:highlight w:val="none"/>
        </w:rPr>
        <w:t>本项目履约保证金，合同验收满 (1年)乙方如无违约行为，甲方收到乙方提交退还履约保证金申请书后20个工作日内将履约保证金无息退回乙方。</w:t>
      </w:r>
    </w:p>
    <w:p w14:paraId="3B6C242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履约保证金退还方式及时间、条件、不予退还的情形：履约保证金自合同生效之日起生效，质保期满后，乙方可向甲方申请办理履约保证金的退付手续；如果乙方不履行合同约定的义务或其履行不符合合同的约定，甲方有权扣划全部或相应金额的履约保证金。</w:t>
      </w:r>
    </w:p>
    <w:p w14:paraId="096F8C9C">
      <w:pPr>
        <w:snapToGrid w:val="0"/>
        <w:spacing w:after="0" w:line="360" w:lineRule="auto"/>
        <w:ind w:firstLine="420" w:firstLineChars="200"/>
        <w:rPr>
          <w:rFonts w:ascii="Arial" w:hAnsi="Arial" w:eastAsia="宋体" w:cs="Arial"/>
          <w:b/>
          <w:color w:val="auto"/>
          <w:szCs w:val="21"/>
          <w:highlight w:val="none"/>
        </w:rPr>
      </w:pPr>
      <w:r>
        <w:rPr>
          <w:rFonts w:ascii="Arial" w:hAnsi="Arial" w:eastAsia="宋体" w:cs="Arial"/>
          <w:color w:val="auto"/>
          <w:szCs w:val="21"/>
          <w:highlight w:val="none"/>
        </w:rPr>
        <w:t>履约保证金符合退还条件的，甲方在收到乙方提交的履约保证金退付申请之日起</w:t>
      </w:r>
      <w:r>
        <w:rPr>
          <w:rFonts w:ascii="Arial" w:hAnsi="Arial" w:eastAsia="宋体" w:cs="Arial"/>
          <w:color w:val="auto"/>
          <w:szCs w:val="21"/>
          <w:highlight w:val="none"/>
          <w:u w:val="single"/>
        </w:rPr>
        <w:t xml:space="preserve"> 20</w:t>
      </w:r>
      <w:r>
        <w:rPr>
          <w:rFonts w:ascii="Arial" w:hAnsi="Arial" w:eastAsia="宋体" w:cs="Arial"/>
          <w:color w:val="auto"/>
          <w:szCs w:val="21"/>
          <w:highlight w:val="none"/>
        </w:rPr>
        <w:t>个工作日内退还履约保证金，如未在规定时间内退还的，乙方可予以催告，经乙方催告后</w:t>
      </w:r>
      <w:r>
        <w:rPr>
          <w:rFonts w:ascii="Arial" w:hAnsi="Arial" w:eastAsia="宋体" w:cs="Arial"/>
          <w:color w:val="auto"/>
          <w:szCs w:val="21"/>
          <w:highlight w:val="none"/>
          <w:u w:val="single"/>
        </w:rPr>
        <w:t xml:space="preserve">  30  </w:t>
      </w:r>
      <w:r>
        <w:rPr>
          <w:rFonts w:ascii="Arial" w:hAnsi="Arial" w:eastAsia="宋体" w:cs="Arial"/>
          <w:color w:val="auto"/>
          <w:szCs w:val="21"/>
          <w:highlight w:val="none"/>
        </w:rPr>
        <w:t xml:space="preserve"> 天内仍未退还履约保证金的，甲方应按中国人民银行发布的同期同类贷款基准利率向乙方支付自催告日期起的利息。</w:t>
      </w:r>
    </w:p>
    <w:p w14:paraId="03459A8F">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第十条 税费</w:t>
      </w:r>
    </w:p>
    <w:p w14:paraId="5A0A11F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本合同执行中相关的一切税费均由乙方负担。</w:t>
      </w:r>
    </w:p>
    <w:p w14:paraId="79BFD8D5">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第十一条 质量保证及售后服务</w:t>
      </w:r>
    </w:p>
    <w:p w14:paraId="6DBA925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 乙方应按</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规定的货物性能、技术要求、质量标准向甲方提供未经使用的全新产品。乙方提供货物的质保期按交货验收合格之日起计（期限见《项目采购需求》中各分标的要求）。在保证期内因货物本身的质量问题发生故障，乙方应负责免费修理和更换零部件。对达不到技术要求者，根据实际情况，经双方协商，</w:t>
      </w:r>
      <w:r>
        <w:rPr>
          <w:rFonts w:hint="eastAsia" w:ascii="Arial" w:hAnsi="Arial" w:eastAsia="宋体" w:cs="Arial"/>
          <w:color w:val="auto"/>
          <w:szCs w:val="21"/>
          <w:highlight w:val="none"/>
        </w:rPr>
        <w:t>甲方有权选择</w:t>
      </w:r>
      <w:r>
        <w:rPr>
          <w:rFonts w:ascii="Arial" w:hAnsi="Arial" w:eastAsia="宋体" w:cs="Arial"/>
          <w:color w:val="auto"/>
          <w:szCs w:val="21"/>
          <w:highlight w:val="none"/>
        </w:rPr>
        <w:t>按以下办法处理：</w:t>
      </w:r>
    </w:p>
    <w:p w14:paraId="72ADEE8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（1）更换：由乙方承担所发生的全部费用。</w:t>
      </w:r>
    </w:p>
    <w:p w14:paraId="4EEB174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（2）贬值处理：由甲乙双方合议定价。</w:t>
      </w:r>
    </w:p>
    <w:p w14:paraId="178CEE0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（3）退货处理：乙方应退还甲方支付的合同款，同时应承担该货物的直接费用（运输、保险、检验、货款利息及银行手续费等）。</w:t>
      </w:r>
    </w:p>
    <w:p w14:paraId="166BA04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如在使用过程中发生质量问题，乙方在接到甲方通知后在</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小时内到达甲方现场。</w:t>
      </w:r>
    </w:p>
    <w:p w14:paraId="130036D4">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在质保期内，乙方应对货物出现的质量及安全问题负责处理解决并承担一切费用。</w:t>
      </w:r>
    </w:p>
    <w:p w14:paraId="68ABDED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4.上述的货物因人为因素出现的故障不在免费保修范围内。超过质保期的机器设备，终生维修，维修时只收部件成本费。</w:t>
      </w:r>
    </w:p>
    <w:p w14:paraId="7416DCC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5.质保期后，乙方负责提供设备的终身维修服务（只收取配件成本费）；接甲方检修设备通知后电话、传真、网络等远程支持沟通，如需现场解决的，桂林市</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个小时内，外地</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个小时内到达现场排除设备故障；保修期外提供技术援助电话，解答甲方在使用中遇到的问题，及时为甲方提出解决问题的建议，并不予收费。</w:t>
      </w:r>
    </w:p>
    <w:p w14:paraId="709E8EB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6.质保期内提供免费升级，质保期外的升级服务只收取配件成本费。</w:t>
      </w:r>
    </w:p>
    <w:p w14:paraId="1F35BE0E">
      <w:pPr>
        <w:widowControl w:val="0"/>
        <w:snapToGrid w:val="0"/>
        <w:spacing w:after="0" w:line="360" w:lineRule="auto"/>
        <w:ind w:firstLine="422"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第十二条 货物包装、发运及运输</w:t>
      </w:r>
    </w:p>
    <w:p w14:paraId="3C843E8C">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乙方应在货物发运前对其进行满足运输距离、防潮、防震、防锈和防破损装卸等要求包装，以保证货物安全运达甲方指定地点。</w:t>
      </w:r>
    </w:p>
    <w:p w14:paraId="126BA3E8">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使用说明书、质量检验证明书、随配附件和工具以及清单一并附于货物内。</w:t>
      </w:r>
    </w:p>
    <w:p w14:paraId="7F64D91C">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乙方在货物发运手续办理完毕后二十四小时内或货到甲方四十八小时前通知甲方，以准备接货。</w:t>
      </w:r>
    </w:p>
    <w:p w14:paraId="15423D22">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 货物在交付甲方验收合格前发生的风险均由乙方负责。</w:t>
      </w:r>
    </w:p>
    <w:p w14:paraId="7FC3A6A6">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 货物在规定的交付期限内由乙方送达甲方指定的地点并验收合格后视为交付，乙方同时需通知甲方货物已送达。</w:t>
      </w:r>
    </w:p>
    <w:p w14:paraId="0C855CAE">
      <w:pPr>
        <w:widowControl w:val="0"/>
        <w:snapToGrid w:val="0"/>
        <w:spacing w:after="0" w:line="360" w:lineRule="auto"/>
        <w:ind w:firstLine="413" w:firstLineChars="196"/>
        <w:jc w:val="both"/>
        <w:rPr>
          <w:rFonts w:ascii="Arial" w:hAnsi="Arial" w:eastAsia="宋体" w:cs="Arial"/>
          <w:b/>
          <w:color w:val="auto"/>
          <w:kern w:val="2"/>
          <w:sz w:val="21"/>
          <w:szCs w:val="21"/>
          <w:highlight w:val="none"/>
          <w:lang w:val="en-US" w:eastAsia="zh-CN" w:bidi="ar-SA"/>
        </w:rPr>
      </w:pPr>
      <w:bookmarkStart w:id="88" w:name="_Toc217446110"/>
      <w:r>
        <w:rPr>
          <w:rFonts w:ascii="Arial" w:hAnsi="Arial" w:eastAsia="宋体" w:cs="Arial"/>
          <w:b/>
          <w:color w:val="auto"/>
          <w:kern w:val="2"/>
          <w:sz w:val="21"/>
          <w:szCs w:val="21"/>
          <w:highlight w:val="none"/>
          <w:lang w:val="en-US" w:eastAsia="zh-CN" w:bidi="ar-SA"/>
        </w:rPr>
        <w:t>第十三条 交货及验收</w:t>
      </w:r>
      <w:bookmarkEnd w:id="88"/>
      <w:r>
        <w:rPr>
          <w:rFonts w:ascii="Arial" w:hAnsi="Arial" w:eastAsia="宋体" w:cs="Arial"/>
          <w:b/>
          <w:color w:val="auto"/>
          <w:kern w:val="2"/>
          <w:sz w:val="21"/>
          <w:szCs w:val="21"/>
          <w:highlight w:val="none"/>
          <w:lang w:val="en-US" w:eastAsia="zh-CN" w:bidi="ar-SA"/>
        </w:rPr>
        <w:t>要求</w:t>
      </w:r>
    </w:p>
    <w:p w14:paraId="066F0A3F">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甲方对乙方提交的货物依据</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文件上的技术规格要求和国家有关质量标准进行现场初步验收，外观、说明书符合</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文件技术要求的，给予签收，初步验收不合格的不予签收。货到后，</w:t>
      </w:r>
      <w:r>
        <w:rPr>
          <w:rFonts w:ascii="Arial" w:hAnsi="Arial" w:eastAsia="宋体" w:cs="Arial"/>
          <w:bCs/>
          <w:color w:val="auto"/>
          <w:kern w:val="2"/>
          <w:sz w:val="21"/>
          <w:szCs w:val="21"/>
          <w:highlight w:val="none"/>
          <w:lang w:val="en-US" w:eastAsia="zh-CN" w:bidi="ar-SA"/>
        </w:rPr>
        <w:t>甲方应当在到货并安装、调试完毕并收到乙方验收申请后七个工作日内进行验收</w:t>
      </w:r>
      <w:r>
        <w:rPr>
          <w:rFonts w:ascii="Arial" w:hAnsi="Arial" w:eastAsia="宋体" w:cs="Arial"/>
          <w:color w:val="auto"/>
          <w:kern w:val="2"/>
          <w:sz w:val="21"/>
          <w:szCs w:val="21"/>
          <w:highlight w:val="none"/>
          <w:lang w:val="en-US" w:eastAsia="zh-CN" w:bidi="ar-SA"/>
        </w:rPr>
        <w:t>。</w:t>
      </w:r>
    </w:p>
    <w:p w14:paraId="5A24F762">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1D7DCC0C">
      <w:pPr>
        <w:widowControl w:val="0"/>
        <w:snapToGrid w:val="0"/>
        <w:spacing w:after="0" w:line="360" w:lineRule="auto"/>
        <w:ind w:firstLine="420" w:firstLineChars="200"/>
        <w:jc w:val="both"/>
        <w:rPr>
          <w:rFonts w:ascii="Arial" w:hAnsi="Arial" w:eastAsia="宋体" w:cs="Arial"/>
          <w:color w:val="auto"/>
          <w:kern w:val="2"/>
          <w:sz w:val="21"/>
          <w:szCs w:val="21"/>
          <w:highlight w:val="none"/>
          <w:u w:val="single"/>
          <w:lang w:val="en-US" w:eastAsia="zh-CN" w:bidi="ar-SA"/>
        </w:rPr>
      </w:pPr>
      <w:r>
        <w:rPr>
          <w:rFonts w:ascii="Arial" w:hAnsi="Arial" w:eastAsia="宋体" w:cs="Arial"/>
          <w:color w:val="auto"/>
          <w:kern w:val="2"/>
          <w:sz w:val="21"/>
          <w:szCs w:val="21"/>
          <w:highlight w:val="none"/>
          <w:lang w:val="en-US" w:eastAsia="zh-CN" w:bidi="ar-SA"/>
        </w:rPr>
        <w:t>3. 甲方对乙方提供的货物在使用前进行调试时，乙方需负责安装并培训甲方的使用操作人员，并协助甲方一起调试，直到符合技术要求，甲方才做最终验收。</w:t>
      </w:r>
    </w:p>
    <w:p w14:paraId="2B10121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 验收由甲方组织，乙方配合进行。对技术复杂的货物，甲方应请国家认可的专业检测机构参与初步验收及最终验收，并由其出具质量检测报告。</w:t>
      </w:r>
    </w:p>
    <w:p w14:paraId="617A8E62">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货物在乙方通知安装调试完毕向甲方提请验收申请后</w:t>
      </w:r>
      <w:r>
        <w:rPr>
          <w:rFonts w:ascii="Arial" w:hAnsi="Arial" w:eastAsia="宋体" w:cs="Arial"/>
          <w:bCs/>
          <w:color w:val="auto"/>
          <w:kern w:val="2"/>
          <w:sz w:val="21"/>
          <w:szCs w:val="21"/>
          <w:highlight w:val="none"/>
          <w:u w:val="single"/>
          <w:lang w:val="en-US" w:eastAsia="zh-CN" w:bidi="ar-SA"/>
        </w:rPr>
        <w:t>七个工作日</w:t>
      </w:r>
      <w:r>
        <w:rPr>
          <w:rFonts w:ascii="Arial" w:hAnsi="Arial" w:eastAsia="宋体" w:cs="Arial"/>
          <w:color w:val="auto"/>
          <w:kern w:val="2"/>
          <w:sz w:val="21"/>
          <w:szCs w:val="21"/>
          <w:highlight w:val="none"/>
          <w:lang w:val="en-US" w:eastAsia="zh-CN" w:bidi="ar-SA"/>
        </w:rPr>
        <w:t>内验收。</w:t>
      </w:r>
    </w:p>
    <w:p w14:paraId="2DFE229D">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（2）验收标准：按国家有关规定以及甲方</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文件的质量要求和技术指标、乙方的</w:t>
      </w:r>
      <w:r>
        <w:rPr>
          <w:rFonts w:hint="eastAsia" w:ascii="Arial" w:hAnsi="Arial" w:eastAsia="宋体" w:cs="Arial"/>
          <w:color w:val="auto"/>
          <w:kern w:val="2"/>
          <w:sz w:val="21"/>
          <w:szCs w:val="21"/>
          <w:highlight w:val="none"/>
          <w:lang w:val="en-US" w:eastAsia="zh-CN" w:bidi="ar-SA"/>
        </w:rPr>
        <w:t>投标文件</w:t>
      </w:r>
      <w:r>
        <w:rPr>
          <w:rFonts w:ascii="Arial" w:hAnsi="Arial" w:eastAsia="宋体" w:cs="Arial"/>
          <w:color w:val="auto"/>
          <w:kern w:val="2"/>
          <w:sz w:val="21"/>
          <w:szCs w:val="21"/>
          <w:highlight w:val="none"/>
          <w:lang w:val="en-US" w:eastAsia="zh-CN" w:bidi="ar-SA"/>
        </w:rPr>
        <w:t>及承诺与本合同约定标准进行验收；甲乙双方如对质量要求和技术指标的约定标准有相互抵触或异议的事项，由甲方在</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与</w:t>
      </w:r>
      <w:r>
        <w:rPr>
          <w:rFonts w:hint="eastAsia" w:ascii="Arial" w:hAnsi="Arial" w:eastAsia="宋体" w:cs="Arial"/>
          <w:color w:val="auto"/>
          <w:kern w:val="2"/>
          <w:sz w:val="21"/>
          <w:szCs w:val="21"/>
          <w:highlight w:val="none"/>
          <w:lang w:val="en-US" w:eastAsia="zh-CN" w:bidi="ar-SA"/>
        </w:rPr>
        <w:t>投标文件</w:t>
      </w:r>
      <w:r>
        <w:rPr>
          <w:rFonts w:ascii="Arial" w:hAnsi="Arial" w:eastAsia="宋体" w:cs="Arial"/>
          <w:color w:val="auto"/>
          <w:kern w:val="2"/>
          <w:sz w:val="21"/>
          <w:szCs w:val="21"/>
          <w:highlight w:val="none"/>
          <w:lang w:val="en-US" w:eastAsia="zh-CN" w:bidi="ar-SA"/>
        </w:rPr>
        <w:t>中按质量要求和技术指标比较优胜的原则确定该项的约定标准进行验收；</w:t>
      </w:r>
    </w:p>
    <w:p w14:paraId="3C1B8751">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19B58B7">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（4）如货物经乙方</w:t>
      </w:r>
      <w:r>
        <w:rPr>
          <w:rFonts w:ascii="Arial" w:hAnsi="Arial" w:eastAsia="宋体" w:cs="Arial"/>
          <w:color w:val="auto"/>
          <w:kern w:val="2"/>
          <w:sz w:val="21"/>
          <w:szCs w:val="21"/>
          <w:highlight w:val="none"/>
          <w:u w:val="single"/>
          <w:lang w:val="en-US" w:eastAsia="zh-CN" w:bidi="ar-SA"/>
        </w:rPr>
        <w:t>1</w:t>
      </w:r>
      <w:r>
        <w:rPr>
          <w:rFonts w:ascii="Arial" w:hAnsi="Arial" w:eastAsia="宋体" w:cs="Arial"/>
          <w:color w:val="auto"/>
          <w:kern w:val="2"/>
          <w:sz w:val="21"/>
          <w:szCs w:val="21"/>
          <w:highlight w:val="none"/>
          <w:lang w:val="en-US" w:eastAsia="zh-CN" w:bidi="ar-SA"/>
        </w:rPr>
        <w:t>次维修仍不能达到合同约定的质量标准，甲方有权退货，并视作乙方不能交付货物而须支付违约赔偿金给甲方，甲方还可依法追究乙方的违约责任，并按虚假应标上报处理。</w:t>
      </w:r>
    </w:p>
    <w:p w14:paraId="1FD090A8">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 验收结束后，应当出具验收书，列明各项标准的验收情况及项目总体评价，由验收双方共同签署。</w:t>
      </w:r>
    </w:p>
    <w:p w14:paraId="41117EB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5.货物安装调试完毕并由乙方提出验收申请后</w:t>
      </w:r>
      <w:r>
        <w:rPr>
          <w:rFonts w:ascii="Arial" w:hAnsi="Arial" w:eastAsia="宋体" w:cs="Arial"/>
          <w:bCs/>
          <w:color w:val="auto"/>
          <w:kern w:val="2"/>
          <w:sz w:val="21"/>
          <w:szCs w:val="21"/>
          <w:highlight w:val="none"/>
          <w:u w:val="single"/>
          <w:lang w:val="en-US" w:eastAsia="zh-CN" w:bidi="ar-SA"/>
        </w:rPr>
        <w:t>七个工作日</w:t>
      </w:r>
      <w:r>
        <w:rPr>
          <w:rFonts w:ascii="Arial" w:hAnsi="Arial" w:eastAsia="宋体" w:cs="Arial"/>
          <w:color w:val="auto"/>
          <w:kern w:val="2"/>
          <w:sz w:val="21"/>
          <w:szCs w:val="21"/>
          <w:highlight w:val="none"/>
          <w:lang w:val="en-US" w:eastAsia="zh-CN" w:bidi="ar-SA"/>
        </w:rPr>
        <w:t>内，</w:t>
      </w:r>
      <w:r>
        <w:rPr>
          <w:rFonts w:hint="eastAsia" w:ascii="Arial" w:hAnsi="Arial" w:eastAsia="宋体" w:cs="Arial"/>
          <w:color w:val="auto"/>
          <w:kern w:val="2"/>
          <w:sz w:val="21"/>
          <w:szCs w:val="21"/>
          <w:highlight w:val="none"/>
          <w:lang w:val="en-US" w:eastAsia="zh-CN" w:bidi="ar-SA"/>
        </w:rPr>
        <w:t>甲方无正当理由</w:t>
      </w:r>
      <w:r>
        <w:rPr>
          <w:rFonts w:ascii="Arial" w:hAnsi="Arial" w:eastAsia="宋体" w:cs="Arial"/>
          <w:color w:val="auto"/>
          <w:kern w:val="2"/>
          <w:sz w:val="21"/>
          <w:szCs w:val="21"/>
          <w:highlight w:val="none"/>
          <w:lang w:val="en-US" w:eastAsia="zh-CN" w:bidi="ar-SA"/>
        </w:rPr>
        <w:t>不进行验收工作并已使用货物的，视同已安装调试完成并验收合格。验收合格的项目，甲方在收到发票后在30个日历日内向乙方支付采购资金，如无违约行为，在收到乙方提交退还履约保证金申请书后20个工作日内将履约保证金无息退回乙方。验收不合格的项目，将按本合同第十四条违约责任处理，未作约定的，按照《民法典》规定处理。</w:t>
      </w:r>
    </w:p>
    <w:p w14:paraId="1F3F1C09">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6. 验收时乙方必须在现场，验收完毕后作出验收结果报告（验收书）；验收费用由乙方负责。费用标准参照国家或自治区有关规定执行。</w:t>
      </w:r>
    </w:p>
    <w:p w14:paraId="36A7C1F1">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7.其他未尽事宜应严格按照《关于印发广西壮族自治区政府采购项目履约验收管理办法的通知》[桂财采〔2015〕22号]以及《财政部关于进一步加强政府采购需求和履约验收管理的指导意见》[财库〔2016〕205号]规定执行。</w:t>
      </w:r>
    </w:p>
    <w:p w14:paraId="123887D6">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第十四条　违约责任</w:t>
      </w:r>
    </w:p>
    <w:p w14:paraId="1F93FC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w:t>
      </w:r>
      <w:r>
        <w:rPr>
          <w:rFonts w:ascii="Arial" w:hAnsi="Arial" w:eastAsia="宋体" w:cs="Arial"/>
          <w:color w:val="auto"/>
          <w:szCs w:val="21"/>
          <w:highlight w:val="none"/>
          <w:u w:val="single"/>
        </w:rPr>
        <w:t>5%</w:t>
      </w:r>
      <w:r>
        <w:rPr>
          <w:rFonts w:ascii="Arial" w:hAnsi="Arial" w:eastAsia="宋体" w:cs="Arial"/>
          <w:color w:val="auto"/>
          <w:szCs w:val="21"/>
          <w:highlight w:val="none"/>
        </w:rPr>
        <w:t>违约金并赔偿甲方经济损失。</w:t>
      </w:r>
    </w:p>
    <w:p w14:paraId="0565059F">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2.乙方提供的货物如侵犯了第三方合法权益而引发的任何纠纷或诉讼，均由乙方负责交涉并承担全部责任。</w:t>
      </w:r>
    </w:p>
    <w:p w14:paraId="6DAA11D8">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3.因包装、运输引起的货物损坏，按质量不合格处罚。</w:t>
      </w:r>
    </w:p>
    <w:p w14:paraId="40CFF57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4.甲方无故延期接收货物、乙方逾期交货的，每天向对方偿付违约货款额</w:t>
      </w:r>
      <w:r>
        <w:rPr>
          <w:rFonts w:hint="eastAsia" w:ascii="Arial" w:hAnsi="Arial" w:eastAsia="宋体" w:cs="Arial"/>
          <w:color w:val="auto"/>
          <w:szCs w:val="21"/>
          <w:highlight w:val="none"/>
        </w:rPr>
        <w:t>0.</w:t>
      </w:r>
      <w:r>
        <w:rPr>
          <w:rFonts w:ascii="Arial" w:hAnsi="Arial" w:eastAsia="宋体" w:cs="Arial"/>
          <w:color w:val="auto"/>
          <w:szCs w:val="21"/>
          <w:highlight w:val="none"/>
        </w:rPr>
        <w:t>3‰违约金，但违约金累计不得超过违约货款额</w:t>
      </w:r>
      <w:r>
        <w:rPr>
          <w:rFonts w:ascii="Arial" w:hAnsi="Arial" w:eastAsia="宋体" w:cs="Arial"/>
          <w:color w:val="auto"/>
          <w:szCs w:val="21"/>
          <w:highlight w:val="none"/>
          <w:u w:val="single"/>
        </w:rPr>
        <w:t>5%</w:t>
      </w:r>
      <w:r>
        <w:rPr>
          <w:rFonts w:ascii="Arial" w:hAnsi="Arial" w:eastAsia="宋体" w:cs="Arial"/>
          <w:color w:val="auto"/>
          <w:szCs w:val="21"/>
          <w:highlight w:val="none"/>
        </w:rPr>
        <w:t>，超过</w:t>
      </w:r>
      <w:r>
        <w:rPr>
          <w:rFonts w:ascii="Arial" w:hAnsi="Arial" w:eastAsia="宋体" w:cs="Arial"/>
          <w:color w:val="auto"/>
          <w:szCs w:val="21"/>
          <w:highlight w:val="none"/>
          <w:u w:val="single"/>
        </w:rPr>
        <w:t xml:space="preserve"> 30 </w:t>
      </w:r>
      <w:r>
        <w:rPr>
          <w:rFonts w:ascii="Arial" w:hAnsi="Arial" w:eastAsia="宋体" w:cs="Arial"/>
          <w:color w:val="auto"/>
          <w:szCs w:val="21"/>
          <w:highlight w:val="none"/>
        </w:rPr>
        <w:t>天对方有权解除合同，违约方承担因此给对方造成经济损失；甲方延期付货款的，每天向乙方偿付延期货款额</w:t>
      </w:r>
      <w:r>
        <w:rPr>
          <w:rFonts w:hint="eastAsia" w:ascii="Arial" w:hAnsi="Arial" w:eastAsia="宋体" w:cs="Arial"/>
          <w:color w:val="auto"/>
          <w:szCs w:val="21"/>
          <w:highlight w:val="none"/>
          <w:u w:val="single"/>
        </w:rPr>
        <w:t>0.1</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滞纳金，但滞纳金累计不得超过延期货款额</w:t>
      </w:r>
      <w:r>
        <w:rPr>
          <w:rFonts w:ascii="Arial" w:hAnsi="Arial" w:eastAsia="宋体" w:cs="Arial"/>
          <w:color w:val="auto"/>
          <w:szCs w:val="21"/>
          <w:highlight w:val="none"/>
          <w:u w:val="single"/>
        </w:rPr>
        <w:t>5%</w:t>
      </w:r>
      <w:r>
        <w:rPr>
          <w:rFonts w:ascii="Arial" w:hAnsi="Arial" w:eastAsia="宋体" w:cs="Arial"/>
          <w:color w:val="auto"/>
          <w:szCs w:val="21"/>
          <w:highlight w:val="none"/>
        </w:rPr>
        <w:t>。</w:t>
      </w:r>
    </w:p>
    <w:p w14:paraId="11C5AB5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5.乙方未按本合同和</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中规定的服务承诺提供售后服务的，乙方应按本合同合计金额</w:t>
      </w:r>
      <w:r>
        <w:rPr>
          <w:rFonts w:ascii="Arial" w:hAnsi="Arial" w:eastAsia="宋体" w:cs="Arial"/>
          <w:color w:val="auto"/>
          <w:szCs w:val="21"/>
          <w:highlight w:val="none"/>
          <w:u w:val="single"/>
        </w:rPr>
        <w:t xml:space="preserve"> 5%</w:t>
      </w:r>
      <w:r>
        <w:rPr>
          <w:rFonts w:ascii="Arial" w:hAnsi="Arial" w:eastAsia="宋体" w:cs="Arial"/>
          <w:color w:val="auto"/>
          <w:szCs w:val="21"/>
          <w:highlight w:val="none"/>
        </w:rPr>
        <w:t>向甲方支付违约金。</w:t>
      </w:r>
    </w:p>
    <w:p w14:paraId="777E1EAD">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6.乙方提供的货物在质保期内，因设计、工艺或材料的缺陷和其它质量原因造成的问题，由乙方负责，费用从履约保证金中扣除，履约保证金不足以支付的，由乙方另行支付。</w:t>
      </w:r>
    </w:p>
    <w:p w14:paraId="350464F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7.其它违约行为按违约货款额5%收取违约金并赔偿经济损失。</w:t>
      </w:r>
    </w:p>
    <w:p w14:paraId="11B80DDC">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8.因甲方原因导致变更、中止或者终止采购合同的，应当依照合同约定对乙方受到的损失予以赔偿或者补偿。赔偿（补偿）标准：</w:t>
      </w:r>
      <w:r>
        <w:rPr>
          <w:rFonts w:ascii="Arial" w:hAnsi="Arial" w:eastAsia="宋体" w:cs="Arial"/>
          <w:color w:val="auto"/>
          <w:szCs w:val="21"/>
          <w:highlight w:val="none"/>
          <w:u w:val="single"/>
        </w:rPr>
        <w:t xml:space="preserve">  按实际损失赔偿    </w:t>
      </w:r>
    </w:p>
    <w:p w14:paraId="26A4DF2D">
      <w:pPr>
        <w:widowControl w:val="0"/>
        <w:snapToGrid w:val="0"/>
        <w:spacing w:after="0" w:line="360" w:lineRule="auto"/>
        <w:ind w:firstLine="413" w:firstLineChars="196"/>
        <w:jc w:val="both"/>
        <w:rPr>
          <w:rFonts w:ascii="Arial" w:hAnsi="Arial" w:eastAsia="宋体" w:cs="Arial"/>
          <w:b/>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第十五条 不可抗力事件处理</w:t>
      </w:r>
    </w:p>
    <w:p w14:paraId="615342A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 在合同有效期内，任何一方因不可抗力事件导致不能履行合同，则合同履行期可延长，其延长期与不可抗力影响期相同。</w:t>
      </w:r>
    </w:p>
    <w:p w14:paraId="66B1E34D">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 不可抗力事件发生后，应立即通知对方，并寄送有关权威机构出具的证明。</w:t>
      </w:r>
    </w:p>
    <w:p w14:paraId="30612C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 不可抗力事件延续</w:t>
      </w:r>
      <w:r>
        <w:rPr>
          <w:rFonts w:hint="eastAsia" w:ascii="Arial" w:hAnsi="Arial" w:eastAsia="宋体" w:cs="Arial"/>
          <w:color w:val="auto"/>
          <w:szCs w:val="21"/>
          <w:highlight w:val="none"/>
        </w:rPr>
        <w:t>六十天</w:t>
      </w:r>
      <w:r>
        <w:rPr>
          <w:rFonts w:ascii="Arial" w:hAnsi="Arial" w:eastAsia="宋体" w:cs="Arial"/>
          <w:color w:val="auto"/>
          <w:szCs w:val="21"/>
          <w:highlight w:val="none"/>
        </w:rPr>
        <w:t>以上，双方应通过友好协商，确定是否继续履行合同。</w:t>
      </w:r>
    </w:p>
    <w:p w14:paraId="5D4ED4F8">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第十六条  合同争议解决</w:t>
      </w:r>
    </w:p>
    <w:p w14:paraId="7AEA9A9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1.因货物质量问题发生争议的，应邀请国家认可的质量检测机构按照国家标准对货物质量进行验收。货物符合国家标准的，鉴定费由甲方承担；货物不符合国家标准的，鉴定费由乙方承担。</w:t>
      </w:r>
    </w:p>
    <w:p w14:paraId="16299DF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2.因履行本合同引起的或与本合同有关的争议，甲乙双方应首先通过友好协商解决，如果协商不能解决，可向甲方所在地人民法院提起诉讼。</w:t>
      </w:r>
    </w:p>
    <w:p w14:paraId="468040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 xml:space="preserve">3.任一方为主张权利支出的合理费用由违约方承担，前述费用包括但不限于诉讼费、律师费、保全费、保全担保费、差旅费等。 </w:t>
      </w:r>
    </w:p>
    <w:p w14:paraId="5A5174D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4.诉讼期间，本合同继续履行。</w:t>
      </w:r>
    </w:p>
    <w:p w14:paraId="71D31443">
      <w:pPr>
        <w:widowControl w:val="0"/>
        <w:snapToGrid w:val="0"/>
        <w:spacing w:after="0" w:line="360" w:lineRule="auto"/>
        <w:ind w:firstLine="422"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第十七条 合同生效及其它</w:t>
      </w:r>
    </w:p>
    <w:p w14:paraId="07675AA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1．合同经双方法定代表人或授权代表签字并加盖单位公章后生效。</w:t>
      </w:r>
    </w:p>
    <w:p w14:paraId="3A28F7C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2．合同执行中涉及采购</w:t>
      </w:r>
      <w:r>
        <w:rPr>
          <w:rFonts w:hint="eastAsia" w:ascii="Arial" w:hAnsi="Arial" w:eastAsia="宋体" w:cs="Arial"/>
          <w:color w:val="auto"/>
          <w:szCs w:val="21"/>
          <w:highlight w:val="none"/>
        </w:rPr>
        <w:t>数量</w:t>
      </w:r>
      <w:r>
        <w:rPr>
          <w:rFonts w:ascii="Arial" w:hAnsi="Arial" w:eastAsia="宋体" w:cs="Arial"/>
          <w:color w:val="auto"/>
          <w:szCs w:val="21"/>
          <w:highlight w:val="none"/>
        </w:rPr>
        <w:t>和采购内容修改或补充的，须签书面补充协议，方可作为主合同不可分割的一部分。</w:t>
      </w:r>
    </w:p>
    <w:p w14:paraId="740A35A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3．本合同未尽事宜，遵照《民法典》有关条文执行。</w:t>
      </w:r>
    </w:p>
    <w:p w14:paraId="1A310FAA">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第十八条　合同的变更、终止与转让</w:t>
      </w:r>
    </w:p>
    <w:p w14:paraId="42AFCBC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1.除《中华人民共和国政府采购法》第五十条规定的情形外，本合同一经签订，甲乙双方不得擅自变更、中止或终止。</w:t>
      </w:r>
    </w:p>
    <w:p w14:paraId="0F6A9A9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2.未经甲方书面同意，乙方不得擅自转让（无进口资格的乙方委托进口货物除外）其应履行的合同义务。</w:t>
      </w:r>
    </w:p>
    <w:p w14:paraId="7C15579C">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第十九条　签订本合同依据</w:t>
      </w:r>
    </w:p>
    <w:p w14:paraId="169AF55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w:t>
      </w:r>
    </w:p>
    <w:p w14:paraId="0D63A89C">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2.乙方提供的</w:t>
      </w:r>
      <w:r>
        <w:rPr>
          <w:rFonts w:hint="eastAsia" w:ascii="Arial" w:hAnsi="Arial" w:eastAsia="宋体" w:cs="Arial"/>
          <w:color w:val="auto"/>
          <w:szCs w:val="21"/>
          <w:highlight w:val="none"/>
        </w:rPr>
        <w:t>投标</w:t>
      </w:r>
      <w:r>
        <w:rPr>
          <w:rFonts w:ascii="Arial" w:hAnsi="Arial" w:eastAsia="宋体" w:cs="Arial"/>
          <w:color w:val="auto"/>
          <w:szCs w:val="21"/>
          <w:highlight w:val="none"/>
        </w:rPr>
        <w:t>文件；</w:t>
      </w:r>
    </w:p>
    <w:p w14:paraId="6972D3C8">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3.响应承诺书；</w:t>
      </w:r>
    </w:p>
    <w:p w14:paraId="65E5BDF7">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4.</w:t>
      </w:r>
      <w:r>
        <w:rPr>
          <w:rFonts w:hint="eastAsia" w:ascii="Arial" w:hAnsi="Arial" w:eastAsia="宋体" w:cs="Arial"/>
          <w:color w:val="auto"/>
          <w:szCs w:val="21"/>
          <w:highlight w:val="none"/>
        </w:rPr>
        <w:t>中标</w:t>
      </w:r>
      <w:r>
        <w:rPr>
          <w:rFonts w:ascii="Arial" w:hAnsi="Arial" w:eastAsia="宋体" w:cs="Arial"/>
          <w:color w:val="auto"/>
          <w:szCs w:val="21"/>
          <w:highlight w:val="none"/>
        </w:rPr>
        <w:t>通知书。</w:t>
      </w:r>
    </w:p>
    <w:p w14:paraId="2909C0DF">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第二十条　</w:t>
      </w:r>
      <w:r>
        <w:rPr>
          <w:rFonts w:ascii="Arial" w:hAnsi="Arial" w:eastAsia="宋体" w:cs="Arial"/>
          <w:color w:val="auto"/>
          <w:szCs w:val="21"/>
          <w:highlight w:val="none"/>
        </w:rPr>
        <w:t>本合同一式</w:t>
      </w:r>
      <w:r>
        <w:rPr>
          <w:rFonts w:ascii="Arial" w:hAnsi="Arial" w:eastAsia="宋体" w:cs="Arial"/>
          <w:color w:val="auto"/>
          <w:szCs w:val="21"/>
          <w:highlight w:val="none"/>
          <w:u w:val="single"/>
        </w:rPr>
        <w:t xml:space="preserve"> </w:t>
      </w:r>
      <w:r>
        <w:rPr>
          <w:rFonts w:hint="eastAsia" w:ascii="Arial" w:hAnsi="Arial" w:eastAsia="宋体" w:cs="Arial"/>
          <w:color w:val="auto"/>
          <w:szCs w:val="21"/>
          <w:highlight w:val="none"/>
          <w:u w:val="single"/>
        </w:rPr>
        <w:t xml:space="preserve">  </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份，具有同等法律效力。</w:t>
      </w:r>
      <w:r>
        <w:rPr>
          <w:rFonts w:ascii="Arial" w:hAnsi="Arial" w:eastAsia="宋体" w:cs="Arial"/>
          <w:color w:val="auto"/>
          <w:spacing w:val="4"/>
          <w:szCs w:val="21"/>
          <w:highlight w:val="none"/>
        </w:rPr>
        <w:t>政府采购监督管理部门、采购代理机构</w:t>
      </w:r>
      <w:r>
        <w:rPr>
          <w:rFonts w:ascii="Arial" w:hAnsi="Arial" w:eastAsia="宋体" w:cs="Arial"/>
          <w:color w:val="auto"/>
          <w:szCs w:val="21"/>
          <w:highlight w:val="none"/>
        </w:rPr>
        <w:t>各一份，甲方</w:t>
      </w:r>
      <w:r>
        <w:rPr>
          <w:rFonts w:ascii="Arial" w:hAnsi="Arial" w:eastAsia="宋体" w:cs="Arial"/>
          <w:color w:val="auto"/>
          <w:szCs w:val="21"/>
          <w:highlight w:val="none"/>
          <w:u w:val="single"/>
        </w:rPr>
        <w:t xml:space="preserve"> </w:t>
      </w:r>
      <w:r>
        <w:rPr>
          <w:rFonts w:hint="eastAsia" w:ascii="Arial" w:hAnsi="Arial" w:eastAsia="宋体" w:cs="Arial"/>
          <w:color w:val="auto"/>
          <w:szCs w:val="21"/>
          <w:highlight w:val="none"/>
          <w:u w:val="single"/>
        </w:rPr>
        <w:t>肆</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份，乙方</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w:t>
      </w:r>
    </w:p>
    <w:p w14:paraId="278D3C52">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本合同经甲乙双方法定代表人或授权代表签字并加盖单位公章后生效。</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3788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4437" w:type="dxa"/>
            <w:noWrap w:val="0"/>
            <w:vAlign w:val="center"/>
          </w:tcPr>
          <w:p w14:paraId="2AD5EA59">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 xml:space="preserve">甲方（章）           </w:t>
            </w:r>
          </w:p>
          <w:p w14:paraId="1C724443">
            <w:pPr>
              <w:snapToGrid w:val="0"/>
              <w:spacing w:after="160" w:line="288" w:lineRule="auto"/>
              <w:ind w:firstLine="945" w:firstLineChars="450"/>
              <w:jc w:val="right"/>
              <w:rPr>
                <w:rFonts w:ascii="Arial" w:hAnsi="Arial" w:eastAsia="宋体" w:cs="Arial"/>
                <w:color w:val="auto"/>
                <w:szCs w:val="21"/>
                <w:highlight w:val="none"/>
              </w:rPr>
            </w:pPr>
            <w:r>
              <w:rPr>
                <w:rFonts w:ascii="Arial" w:hAnsi="Arial" w:eastAsia="宋体" w:cs="Arial"/>
                <w:color w:val="auto"/>
                <w:szCs w:val="21"/>
                <w:highlight w:val="none"/>
              </w:rPr>
              <w:t>年   月   日</w:t>
            </w:r>
          </w:p>
        </w:tc>
        <w:tc>
          <w:tcPr>
            <w:tcW w:w="4688" w:type="dxa"/>
            <w:noWrap w:val="0"/>
            <w:vAlign w:val="center"/>
          </w:tcPr>
          <w:p w14:paraId="71E7EE7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 xml:space="preserve">乙方（章）              </w:t>
            </w:r>
          </w:p>
          <w:p w14:paraId="507335B9">
            <w:pPr>
              <w:snapToGrid w:val="0"/>
              <w:spacing w:after="160" w:line="288" w:lineRule="auto"/>
              <w:jc w:val="right"/>
              <w:rPr>
                <w:rFonts w:ascii="Arial" w:hAnsi="Arial" w:eastAsia="宋体" w:cs="Arial"/>
                <w:color w:val="auto"/>
                <w:szCs w:val="21"/>
                <w:highlight w:val="none"/>
              </w:rPr>
            </w:pPr>
            <w:r>
              <w:rPr>
                <w:rFonts w:ascii="Arial" w:hAnsi="Arial" w:eastAsia="宋体" w:cs="Arial"/>
                <w:color w:val="auto"/>
                <w:szCs w:val="21"/>
                <w:highlight w:val="none"/>
              </w:rPr>
              <w:t xml:space="preserve"> 年   月   日</w:t>
            </w:r>
          </w:p>
        </w:tc>
      </w:tr>
      <w:tr w14:paraId="70F4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noWrap w:val="0"/>
            <w:vAlign w:val="center"/>
          </w:tcPr>
          <w:p w14:paraId="5DBEF4A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单位地址：</w:t>
            </w:r>
          </w:p>
        </w:tc>
        <w:tc>
          <w:tcPr>
            <w:tcW w:w="4688" w:type="dxa"/>
            <w:noWrap w:val="0"/>
            <w:vAlign w:val="center"/>
          </w:tcPr>
          <w:p w14:paraId="388A2A53">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单位地址：</w:t>
            </w:r>
          </w:p>
        </w:tc>
      </w:tr>
      <w:tr w14:paraId="0DE2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noWrap w:val="0"/>
            <w:vAlign w:val="center"/>
          </w:tcPr>
          <w:p w14:paraId="38914BA0">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法定代表人：</w:t>
            </w:r>
          </w:p>
        </w:tc>
        <w:tc>
          <w:tcPr>
            <w:tcW w:w="4688" w:type="dxa"/>
            <w:noWrap w:val="0"/>
            <w:vAlign w:val="center"/>
          </w:tcPr>
          <w:p w14:paraId="5D4F6CD5">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法定代表人：</w:t>
            </w:r>
          </w:p>
        </w:tc>
      </w:tr>
      <w:tr w14:paraId="3C35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noWrap w:val="0"/>
            <w:vAlign w:val="center"/>
          </w:tcPr>
          <w:p w14:paraId="1A806924">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委托代理人：</w:t>
            </w:r>
          </w:p>
        </w:tc>
        <w:tc>
          <w:tcPr>
            <w:tcW w:w="4688" w:type="dxa"/>
            <w:noWrap w:val="0"/>
            <w:vAlign w:val="center"/>
          </w:tcPr>
          <w:p w14:paraId="39A880C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委托代理人</w:t>
            </w:r>
          </w:p>
        </w:tc>
      </w:tr>
      <w:tr w14:paraId="6221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noWrap w:val="0"/>
            <w:vAlign w:val="center"/>
          </w:tcPr>
          <w:p w14:paraId="2A04763C">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电话：</w:t>
            </w:r>
          </w:p>
        </w:tc>
        <w:tc>
          <w:tcPr>
            <w:tcW w:w="4688" w:type="dxa"/>
            <w:noWrap w:val="0"/>
            <w:vAlign w:val="center"/>
          </w:tcPr>
          <w:p w14:paraId="252F3CDB">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电话：</w:t>
            </w:r>
          </w:p>
        </w:tc>
      </w:tr>
      <w:tr w14:paraId="6632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7AD13DF9">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电子邮箱：</w:t>
            </w:r>
          </w:p>
        </w:tc>
        <w:tc>
          <w:tcPr>
            <w:tcW w:w="4688" w:type="dxa"/>
            <w:noWrap w:val="0"/>
            <w:vAlign w:val="center"/>
          </w:tcPr>
          <w:p w14:paraId="6ACF2AA8">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电子邮箱：</w:t>
            </w:r>
          </w:p>
        </w:tc>
      </w:tr>
      <w:tr w14:paraId="0FBE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0F6CBB6B">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开户银行：</w:t>
            </w:r>
          </w:p>
        </w:tc>
        <w:tc>
          <w:tcPr>
            <w:tcW w:w="4688" w:type="dxa"/>
            <w:noWrap w:val="0"/>
            <w:vAlign w:val="center"/>
          </w:tcPr>
          <w:p w14:paraId="027B9238">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开户银行：</w:t>
            </w:r>
          </w:p>
        </w:tc>
      </w:tr>
      <w:tr w14:paraId="4403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noWrap w:val="0"/>
            <w:vAlign w:val="center"/>
          </w:tcPr>
          <w:p w14:paraId="66E27472">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账号：</w:t>
            </w:r>
          </w:p>
        </w:tc>
        <w:tc>
          <w:tcPr>
            <w:tcW w:w="4688" w:type="dxa"/>
            <w:noWrap w:val="0"/>
            <w:vAlign w:val="center"/>
          </w:tcPr>
          <w:p w14:paraId="519B87FC">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账号：</w:t>
            </w:r>
          </w:p>
        </w:tc>
      </w:tr>
      <w:tr w14:paraId="51B4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noWrap w:val="0"/>
            <w:vAlign w:val="center"/>
          </w:tcPr>
          <w:p w14:paraId="33E60722">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邮政编码：</w:t>
            </w:r>
          </w:p>
        </w:tc>
        <w:tc>
          <w:tcPr>
            <w:tcW w:w="4688" w:type="dxa"/>
            <w:noWrap w:val="0"/>
            <w:vAlign w:val="center"/>
          </w:tcPr>
          <w:p w14:paraId="4CDA3721">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邮政编码：</w:t>
            </w:r>
          </w:p>
        </w:tc>
      </w:tr>
      <w:tr w14:paraId="35C6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9125" w:type="dxa"/>
            <w:gridSpan w:val="2"/>
            <w:noWrap w:val="0"/>
            <w:vAlign w:val="top"/>
          </w:tcPr>
          <w:p w14:paraId="743A1494">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经办人：</w:t>
            </w:r>
          </w:p>
          <w:p w14:paraId="37814F7A">
            <w:pPr>
              <w:snapToGrid w:val="0"/>
              <w:spacing w:after="160" w:line="288" w:lineRule="auto"/>
              <w:ind w:firstLine="630" w:firstLineChars="300"/>
              <w:jc w:val="right"/>
              <w:rPr>
                <w:rFonts w:ascii="Arial" w:hAnsi="Arial" w:eastAsia="宋体" w:cs="Arial"/>
                <w:color w:val="auto"/>
                <w:szCs w:val="21"/>
                <w:highlight w:val="none"/>
              </w:rPr>
            </w:pPr>
            <w:r>
              <w:rPr>
                <w:rFonts w:ascii="Arial" w:hAnsi="Arial" w:eastAsia="宋体" w:cs="Arial"/>
                <w:color w:val="auto"/>
                <w:szCs w:val="21"/>
                <w:highlight w:val="none"/>
              </w:rPr>
              <w:t>年    月    日</w:t>
            </w:r>
          </w:p>
        </w:tc>
      </w:tr>
    </w:tbl>
    <w:p w14:paraId="162F4764">
      <w:pPr>
        <w:spacing w:before="120" w:line="288" w:lineRule="auto"/>
        <w:jc w:val="left"/>
        <w:rPr>
          <w:rFonts w:ascii="Arial" w:hAnsi="Arial" w:cs="Arial"/>
          <w:b/>
          <w:bCs/>
          <w:color w:val="auto"/>
          <w:kern w:val="0"/>
          <w:szCs w:val="21"/>
          <w:highlight w:val="none"/>
        </w:rPr>
      </w:pPr>
      <w:r>
        <w:rPr>
          <w:rFonts w:hint="eastAsia" w:ascii="Arial" w:hAnsi="Arial" w:eastAsia="仿宋" w:cs="Arial"/>
          <w:color w:val="auto"/>
          <w:szCs w:val="21"/>
          <w:highlight w:val="none"/>
          <w:u w:val="single"/>
        </w:rPr>
        <w:br w:type="page"/>
      </w:r>
      <w:bookmarkStart w:id="89" w:name="_Toc423"/>
      <w:bookmarkStart w:id="90" w:name="_Toc133"/>
      <w:r>
        <w:rPr>
          <w:rFonts w:ascii="Arial" w:hAnsi="Arial" w:cs="Arial"/>
          <w:b/>
          <w:bCs/>
          <w:color w:val="auto"/>
          <w:kern w:val="0"/>
          <w:szCs w:val="21"/>
          <w:highlight w:val="none"/>
        </w:rPr>
        <w:t>合同附件1</w:t>
      </w:r>
      <w:bookmarkEnd w:id="89"/>
      <w:bookmarkEnd w:id="90"/>
    </w:p>
    <w:p w14:paraId="31B26687">
      <w:pPr>
        <w:snapToGrid w:val="0"/>
        <w:spacing w:line="288" w:lineRule="auto"/>
        <w:jc w:val="center"/>
        <w:rPr>
          <w:rFonts w:ascii="Arial" w:hAnsi="Arial" w:cs="Arial"/>
          <w:b/>
          <w:bCs/>
          <w:color w:val="auto"/>
          <w:szCs w:val="21"/>
          <w:highlight w:val="none"/>
        </w:rPr>
      </w:pPr>
      <w:r>
        <w:rPr>
          <w:rFonts w:ascii="Arial" w:hAnsi="Arial" w:cs="Arial"/>
          <w:b/>
          <w:bCs/>
          <w:color w:val="auto"/>
          <w:szCs w:val="21"/>
          <w:highlight w:val="none"/>
        </w:rPr>
        <w:t>响应承诺书</w:t>
      </w:r>
    </w:p>
    <w:p w14:paraId="3307582C">
      <w:pPr>
        <w:spacing w:line="288" w:lineRule="auto"/>
        <w:rPr>
          <w:rFonts w:ascii="Arial" w:hAnsi="Arial" w:cs="Arial"/>
          <w:color w:val="auto"/>
          <w:szCs w:val="21"/>
          <w:highlight w:val="none"/>
        </w:rPr>
      </w:pPr>
      <w:r>
        <w:rPr>
          <w:rFonts w:ascii="Arial" w:hAnsi="Arial" w:cs="Arial"/>
          <w:color w:val="auto"/>
          <w:szCs w:val="21"/>
          <w:highlight w:val="none"/>
        </w:rPr>
        <w:t>一般货物类</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7"/>
        <w:gridCol w:w="4285"/>
      </w:tblGrid>
      <w:tr w14:paraId="522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17F77216">
            <w:pPr>
              <w:spacing w:line="288" w:lineRule="auto"/>
              <w:ind w:right="210"/>
              <w:jc w:val="left"/>
              <w:rPr>
                <w:rFonts w:ascii="Arial" w:hAnsi="Arial" w:cs="Arial"/>
                <w:color w:val="auto"/>
                <w:szCs w:val="21"/>
                <w:highlight w:val="none"/>
              </w:rPr>
            </w:pPr>
            <w:r>
              <w:rPr>
                <w:rFonts w:ascii="Arial" w:hAnsi="Arial" w:cs="Arial"/>
                <w:color w:val="auto"/>
                <w:szCs w:val="21"/>
                <w:highlight w:val="none"/>
              </w:rPr>
              <w:t>1．乙方承诺具体事项：</w:t>
            </w:r>
          </w:p>
          <w:p w14:paraId="46B7F5D4">
            <w:pPr>
              <w:spacing w:line="288" w:lineRule="auto"/>
              <w:ind w:right="210"/>
              <w:jc w:val="left"/>
              <w:rPr>
                <w:rFonts w:ascii="Arial" w:hAnsi="Arial" w:cs="Arial"/>
                <w:color w:val="auto"/>
                <w:szCs w:val="21"/>
                <w:highlight w:val="none"/>
              </w:rPr>
            </w:pPr>
          </w:p>
        </w:tc>
      </w:tr>
      <w:tr w14:paraId="11D7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0A0BB5F3">
            <w:pPr>
              <w:spacing w:line="288" w:lineRule="auto"/>
              <w:rPr>
                <w:rFonts w:ascii="Arial" w:hAnsi="Arial" w:cs="Arial"/>
                <w:color w:val="auto"/>
                <w:szCs w:val="21"/>
                <w:highlight w:val="none"/>
              </w:rPr>
            </w:pPr>
            <w:r>
              <w:rPr>
                <w:rFonts w:ascii="Arial" w:hAnsi="Arial" w:cs="Arial"/>
                <w:color w:val="auto"/>
                <w:szCs w:val="21"/>
                <w:highlight w:val="none"/>
              </w:rPr>
              <w:t>2．售后服务具体事项：</w:t>
            </w:r>
          </w:p>
          <w:p w14:paraId="7C68A178">
            <w:pPr>
              <w:spacing w:line="288" w:lineRule="auto"/>
              <w:rPr>
                <w:rFonts w:ascii="Arial" w:hAnsi="Arial" w:cs="Arial"/>
                <w:color w:val="auto"/>
                <w:szCs w:val="21"/>
                <w:highlight w:val="none"/>
              </w:rPr>
            </w:pPr>
          </w:p>
        </w:tc>
      </w:tr>
      <w:tr w14:paraId="5445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66CF08C4">
            <w:pPr>
              <w:spacing w:line="288" w:lineRule="auto"/>
              <w:rPr>
                <w:rFonts w:ascii="Arial" w:hAnsi="Arial" w:cs="Arial"/>
                <w:color w:val="auto"/>
                <w:szCs w:val="21"/>
                <w:highlight w:val="none"/>
              </w:rPr>
            </w:pPr>
            <w:r>
              <w:rPr>
                <w:rFonts w:ascii="Arial" w:hAnsi="Arial" w:cs="Arial"/>
                <w:color w:val="auto"/>
                <w:szCs w:val="21"/>
                <w:highlight w:val="none"/>
              </w:rPr>
              <w:t>3．质保期责任：</w:t>
            </w:r>
          </w:p>
          <w:p w14:paraId="615AC8B4">
            <w:pPr>
              <w:spacing w:line="288" w:lineRule="auto"/>
              <w:rPr>
                <w:rFonts w:ascii="Arial" w:hAnsi="Arial" w:cs="Arial"/>
                <w:color w:val="auto"/>
                <w:szCs w:val="21"/>
                <w:highlight w:val="none"/>
              </w:rPr>
            </w:pPr>
          </w:p>
        </w:tc>
      </w:tr>
      <w:tr w14:paraId="4368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4A3C6CD5">
            <w:pPr>
              <w:spacing w:line="288" w:lineRule="auto"/>
              <w:rPr>
                <w:rFonts w:ascii="Arial" w:hAnsi="Arial" w:cs="Arial"/>
                <w:color w:val="auto"/>
                <w:szCs w:val="21"/>
                <w:highlight w:val="none"/>
              </w:rPr>
            </w:pPr>
            <w:r>
              <w:rPr>
                <w:rFonts w:ascii="Arial" w:hAnsi="Arial" w:cs="Arial"/>
                <w:color w:val="auto"/>
                <w:szCs w:val="21"/>
                <w:highlight w:val="none"/>
              </w:rPr>
              <w:t>4．其他具体事项：</w:t>
            </w:r>
          </w:p>
          <w:p w14:paraId="5D53877D">
            <w:pPr>
              <w:spacing w:line="288" w:lineRule="auto"/>
              <w:rPr>
                <w:rFonts w:ascii="Arial" w:hAnsi="Arial" w:cs="Arial"/>
                <w:color w:val="auto"/>
                <w:szCs w:val="21"/>
                <w:highlight w:val="none"/>
              </w:rPr>
            </w:pPr>
          </w:p>
        </w:tc>
      </w:tr>
      <w:tr w14:paraId="176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4297" w:type="dxa"/>
            <w:noWrap w:val="0"/>
            <w:vAlign w:val="center"/>
          </w:tcPr>
          <w:p w14:paraId="5D5EBA1F">
            <w:pPr>
              <w:spacing w:line="288" w:lineRule="auto"/>
              <w:rPr>
                <w:rFonts w:ascii="Arial" w:hAnsi="Arial" w:cs="Arial"/>
                <w:color w:val="auto"/>
                <w:szCs w:val="21"/>
                <w:highlight w:val="none"/>
              </w:rPr>
            </w:pPr>
            <w:r>
              <w:rPr>
                <w:rFonts w:ascii="Arial" w:hAnsi="Arial" w:cs="Arial"/>
                <w:color w:val="auto"/>
                <w:szCs w:val="21"/>
                <w:highlight w:val="none"/>
              </w:rPr>
              <w:t>甲方(章)</w:t>
            </w:r>
          </w:p>
          <w:p w14:paraId="625958A2">
            <w:pPr>
              <w:spacing w:line="288" w:lineRule="auto"/>
              <w:rPr>
                <w:rFonts w:ascii="Arial" w:hAnsi="Arial" w:cs="Arial"/>
                <w:color w:val="auto"/>
                <w:szCs w:val="21"/>
                <w:highlight w:val="none"/>
              </w:rPr>
            </w:pPr>
          </w:p>
          <w:p w14:paraId="46752695">
            <w:pPr>
              <w:spacing w:line="288" w:lineRule="auto"/>
              <w:rPr>
                <w:rFonts w:ascii="Arial" w:hAnsi="Arial" w:cs="Arial"/>
                <w:color w:val="auto"/>
                <w:szCs w:val="21"/>
                <w:highlight w:val="none"/>
              </w:rPr>
            </w:pPr>
          </w:p>
          <w:p w14:paraId="41BD1192">
            <w:pPr>
              <w:wordWrap w:val="0"/>
              <w:spacing w:line="288" w:lineRule="auto"/>
              <w:jc w:val="right"/>
              <w:rPr>
                <w:rFonts w:ascii="Arial" w:hAnsi="Arial" w:cs="Arial"/>
                <w:color w:val="auto"/>
                <w:szCs w:val="21"/>
                <w:highlight w:val="none"/>
              </w:rPr>
            </w:pPr>
            <w:r>
              <w:rPr>
                <w:rFonts w:ascii="Arial" w:hAnsi="Arial" w:cs="Arial"/>
                <w:color w:val="auto"/>
                <w:szCs w:val="21"/>
                <w:highlight w:val="none"/>
              </w:rPr>
              <w:t xml:space="preserve"> 年  月   日</w:t>
            </w:r>
          </w:p>
        </w:tc>
        <w:tc>
          <w:tcPr>
            <w:tcW w:w="4285" w:type="dxa"/>
            <w:noWrap w:val="0"/>
            <w:vAlign w:val="center"/>
          </w:tcPr>
          <w:p w14:paraId="5982DE5C">
            <w:pPr>
              <w:spacing w:line="288" w:lineRule="auto"/>
              <w:rPr>
                <w:rFonts w:ascii="Arial" w:hAnsi="Arial" w:cs="Arial"/>
                <w:color w:val="auto"/>
                <w:szCs w:val="21"/>
                <w:highlight w:val="none"/>
              </w:rPr>
            </w:pPr>
            <w:r>
              <w:rPr>
                <w:rFonts w:ascii="Arial" w:hAnsi="Arial" w:cs="Arial"/>
                <w:color w:val="auto"/>
                <w:szCs w:val="21"/>
                <w:highlight w:val="none"/>
              </w:rPr>
              <w:t>乙方(章)</w:t>
            </w:r>
          </w:p>
          <w:p w14:paraId="651AF323">
            <w:pPr>
              <w:spacing w:line="288" w:lineRule="auto"/>
              <w:rPr>
                <w:rFonts w:ascii="Arial" w:hAnsi="Arial" w:cs="Arial"/>
                <w:color w:val="auto"/>
                <w:szCs w:val="21"/>
                <w:highlight w:val="none"/>
              </w:rPr>
            </w:pPr>
          </w:p>
          <w:p w14:paraId="4973BA2C">
            <w:pPr>
              <w:spacing w:line="288" w:lineRule="auto"/>
              <w:rPr>
                <w:rFonts w:ascii="Arial" w:hAnsi="Arial" w:cs="Arial"/>
                <w:color w:val="auto"/>
                <w:szCs w:val="21"/>
                <w:highlight w:val="none"/>
              </w:rPr>
            </w:pPr>
          </w:p>
          <w:p w14:paraId="3BEAACBE">
            <w:pPr>
              <w:wordWrap w:val="0"/>
              <w:spacing w:line="288" w:lineRule="auto"/>
              <w:jc w:val="right"/>
              <w:rPr>
                <w:rFonts w:ascii="Arial" w:hAnsi="Arial" w:cs="Arial"/>
                <w:color w:val="auto"/>
                <w:szCs w:val="21"/>
                <w:highlight w:val="none"/>
              </w:rPr>
            </w:pPr>
            <w:r>
              <w:rPr>
                <w:rFonts w:ascii="Arial" w:hAnsi="Arial" w:cs="Arial"/>
                <w:color w:val="auto"/>
                <w:szCs w:val="21"/>
                <w:highlight w:val="none"/>
              </w:rPr>
              <w:t xml:space="preserve"> 年  月   日</w:t>
            </w:r>
          </w:p>
        </w:tc>
      </w:tr>
    </w:tbl>
    <w:p w14:paraId="71907D6D">
      <w:pPr>
        <w:jc w:val="center"/>
        <w:rPr>
          <w:rFonts w:ascii="Arial" w:hAnsi="Arial" w:cs="Arial"/>
          <w:color w:val="auto"/>
          <w:szCs w:val="21"/>
          <w:highlight w:val="none"/>
        </w:rPr>
      </w:pPr>
      <w:r>
        <w:rPr>
          <w:rFonts w:ascii="Arial" w:hAnsi="Arial" w:cs="Arial"/>
          <w:color w:val="auto"/>
          <w:szCs w:val="21"/>
          <w:highlight w:val="none"/>
        </w:rPr>
        <w:t>注：售后服务事项填不下时可另加附页。</w:t>
      </w:r>
    </w:p>
    <w:p w14:paraId="34B2DB9D">
      <w:pPr>
        <w:widowControl/>
        <w:jc w:val="left"/>
        <w:rPr>
          <w:rFonts w:hint="eastAsia" w:ascii="Arial" w:hAnsi="Arial" w:eastAsia="仿宋" w:cs="Arial"/>
          <w:color w:val="auto"/>
          <w:szCs w:val="21"/>
          <w:highlight w:val="none"/>
          <w:u w:val="single"/>
        </w:rPr>
      </w:pPr>
    </w:p>
    <w:p w14:paraId="26173BF8">
      <w:pPr>
        <w:rPr>
          <w:rFonts w:hint="default" w:ascii="Arial" w:hAnsi="Arial" w:eastAsia="宋体" w:cs="Arial"/>
          <w:color w:val="auto"/>
          <w:sz w:val="32"/>
          <w:szCs w:val="32"/>
          <w:highlight w:val="none"/>
        </w:rPr>
      </w:pPr>
    </w:p>
    <w:p w14:paraId="10DA2F06">
      <w:pPr>
        <w:widowControl/>
        <w:jc w:val="left"/>
        <w:rPr>
          <w:rFonts w:hint="default" w:ascii="Arial" w:hAnsi="Arial" w:eastAsia="宋体" w:cs="Arial"/>
          <w:color w:val="auto"/>
          <w:sz w:val="32"/>
          <w:szCs w:val="32"/>
          <w:highlight w:val="none"/>
        </w:rPr>
      </w:pPr>
    </w:p>
    <w:p w14:paraId="0DA2A90A">
      <w:pPr>
        <w:pStyle w:val="26"/>
        <w:snapToGrid w:val="0"/>
        <w:spacing w:before="120" w:after="120" w:line="320" w:lineRule="exact"/>
        <w:jc w:val="center"/>
        <w:outlineLvl w:val="0"/>
        <w:rPr>
          <w:color w:val="auto"/>
          <w:sz w:val="32"/>
          <w:szCs w:val="32"/>
          <w:highlight w:val="none"/>
        </w:rPr>
      </w:pPr>
      <w:r>
        <w:rPr>
          <w:color w:val="auto"/>
          <w:sz w:val="32"/>
          <w:szCs w:val="32"/>
          <w:highlight w:val="none"/>
        </w:rPr>
        <w:br w:type="page"/>
      </w:r>
      <w:bookmarkStart w:id="91" w:name="_Toc14377"/>
      <w:r>
        <w:rPr>
          <w:rFonts w:ascii="Times New Roman" w:hAnsi="Times New Roman" w:cs="Times New Roman"/>
          <w:color w:val="auto"/>
          <w:sz w:val="32"/>
          <w:szCs w:val="32"/>
          <w:highlight w:val="none"/>
        </w:rPr>
        <w:t>第六章  响应文件格式</w:t>
      </w:r>
      <w:bookmarkEnd w:id="91"/>
    </w:p>
    <w:p w14:paraId="23E9B310">
      <w:pPr>
        <w:rPr>
          <w:rFonts w:hint="eastAsia"/>
          <w:color w:val="auto"/>
          <w:sz w:val="28"/>
          <w:szCs w:val="28"/>
          <w:highlight w:val="none"/>
        </w:rPr>
      </w:pPr>
      <w:bookmarkStart w:id="92" w:name="_Toc254970697"/>
      <w:bookmarkStart w:id="93" w:name="_Toc254970556"/>
    </w:p>
    <w:p w14:paraId="748C2A15">
      <w:pPr>
        <w:rPr>
          <w:rFonts w:hint="eastAsia"/>
          <w:color w:val="auto"/>
          <w:sz w:val="28"/>
          <w:szCs w:val="28"/>
          <w:highlight w:val="none"/>
        </w:rPr>
      </w:pPr>
    </w:p>
    <w:p w14:paraId="1DBE613B">
      <w:pPr>
        <w:spacing w:line="500" w:lineRule="exact"/>
        <w:ind w:firstLine="560" w:firstLineChars="200"/>
        <w:rPr>
          <w:rFonts w:hint="eastAsia"/>
          <w:color w:val="auto"/>
          <w:sz w:val="28"/>
          <w:szCs w:val="28"/>
          <w:highlight w:val="none"/>
        </w:rPr>
      </w:pPr>
      <w:bookmarkStart w:id="94" w:name="_Hlk89181132"/>
      <w:r>
        <w:rPr>
          <w:rFonts w:hint="eastAsia"/>
          <w:color w:val="auto"/>
          <w:sz w:val="28"/>
          <w:szCs w:val="28"/>
          <w:highlight w:val="none"/>
        </w:rPr>
        <w:t>注：有签字、盖章要求的应按要求签字（签章）、盖章（签章）</w:t>
      </w:r>
      <w:bookmarkEnd w:id="92"/>
      <w:bookmarkEnd w:id="93"/>
      <w:bookmarkEnd w:id="94"/>
    </w:p>
    <w:p w14:paraId="7121E3DB">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b w:val="0"/>
          <w:bCs w:val="0"/>
          <w:color w:val="auto"/>
          <w:sz w:val="24"/>
          <w:highlight w:val="none"/>
        </w:rPr>
        <w:t>1.</w:t>
      </w:r>
      <w:r>
        <w:rPr>
          <w:b w:val="0"/>
          <w:bCs w:val="0"/>
          <w:color w:val="auto"/>
          <w:sz w:val="24"/>
          <w:highlight w:val="none"/>
        </w:rPr>
        <w:t>响应文件封面</w:t>
      </w:r>
      <w:r>
        <w:rPr>
          <w:rFonts w:hint="eastAsia"/>
          <w:b w:val="0"/>
          <w:bCs w:val="0"/>
          <w:color w:val="auto"/>
          <w:sz w:val="24"/>
          <w:highlight w:val="none"/>
          <w:lang w:val="en-US" w:eastAsia="zh-CN"/>
        </w:rPr>
        <w:t>参考</w:t>
      </w:r>
      <w:r>
        <w:rPr>
          <w:b w:val="0"/>
          <w:bCs w:val="0"/>
          <w:color w:val="auto"/>
          <w:sz w:val="24"/>
          <w:highlight w:val="none"/>
        </w:rPr>
        <w:t>格式</w:t>
      </w:r>
      <w:bookmarkStart w:id="95" w:name="_Hlk92966991"/>
      <w:r>
        <w:rPr>
          <w:rFonts w:hint="eastAsia"/>
          <w:b w:val="0"/>
          <w:bCs w:val="0"/>
          <w:color w:val="auto"/>
          <w:sz w:val="24"/>
          <w:highlight w:val="none"/>
        </w:rPr>
        <w:t>（资格证明文件）</w:t>
      </w:r>
      <w:bookmarkEnd w:id="95"/>
      <w:r>
        <w:rPr>
          <w:b w:val="0"/>
          <w:bCs w:val="0"/>
          <w:color w:val="auto"/>
          <w:sz w:val="24"/>
          <w:highlight w:val="none"/>
        </w:rPr>
        <w:t>：</w:t>
      </w:r>
      <w:r>
        <w:rPr>
          <w:b/>
          <w:bCs/>
          <w:color w:val="auto"/>
          <w:sz w:val="24"/>
          <w:highlight w:val="none"/>
        </w:rPr>
        <w:t xml:space="preserve"> </w:t>
      </w:r>
    </w:p>
    <w:p w14:paraId="784E1E86">
      <w:pPr>
        <w:snapToGrid w:val="0"/>
        <w:spacing w:before="120" w:beforeLines="50" w:after="50" w:line="360" w:lineRule="exact"/>
        <w:rPr>
          <w:color w:val="auto"/>
          <w:sz w:val="24"/>
          <w:highlight w:val="none"/>
        </w:rPr>
      </w:pPr>
    </w:p>
    <w:p w14:paraId="5B633CF8">
      <w:pPr>
        <w:snapToGrid w:val="0"/>
        <w:spacing w:before="120" w:beforeLines="50" w:after="50" w:line="360" w:lineRule="exact"/>
        <w:jc w:val="right"/>
        <w:rPr>
          <w:rFonts w:hint="eastAsia"/>
          <w:bCs/>
          <w:color w:val="auto"/>
          <w:sz w:val="24"/>
          <w:highlight w:val="none"/>
        </w:rPr>
      </w:pPr>
    </w:p>
    <w:p w14:paraId="057D18B7">
      <w:pPr>
        <w:snapToGrid w:val="0"/>
        <w:spacing w:before="120" w:beforeLines="50" w:after="50" w:line="360" w:lineRule="exact"/>
        <w:jc w:val="center"/>
        <w:rPr>
          <w:bCs/>
          <w:color w:val="auto"/>
          <w:sz w:val="24"/>
          <w:highlight w:val="none"/>
        </w:rPr>
      </w:pPr>
      <w:r>
        <w:rPr>
          <w:rFonts w:hint="eastAsia" w:ascii="宋体" w:hAnsi="宋体" w:eastAsia="宋体"/>
          <w:b/>
          <w:color w:val="auto"/>
          <w:sz w:val="44"/>
          <w:szCs w:val="24"/>
          <w:highlight w:val="none"/>
        </w:rPr>
        <w:t>电子响应文件</w:t>
      </w:r>
    </w:p>
    <w:p w14:paraId="741F651D">
      <w:pPr>
        <w:snapToGrid w:val="0"/>
        <w:spacing w:before="120" w:beforeLines="50" w:after="50" w:line="360" w:lineRule="exact"/>
        <w:jc w:val="center"/>
        <w:rPr>
          <w:b/>
          <w:bCs/>
          <w:color w:val="auto"/>
          <w:sz w:val="44"/>
          <w:szCs w:val="44"/>
          <w:highlight w:val="none"/>
        </w:rPr>
      </w:pPr>
    </w:p>
    <w:p w14:paraId="5E6BAB3F">
      <w:pPr>
        <w:snapToGrid w:val="0"/>
        <w:spacing w:before="120" w:beforeLines="50" w:after="50" w:line="360" w:lineRule="exact"/>
        <w:jc w:val="center"/>
        <w:rPr>
          <w:b/>
          <w:bCs/>
          <w:color w:val="auto"/>
          <w:sz w:val="44"/>
          <w:szCs w:val="44"/>
          <w:highlight w:val="none"/>
        </w:rPr>
      </w:pPr>
    </w:p>
    <w:p w14:paraId="030E5CA8">
      <w:pPr>
        <w:snapToGrid w:val="0"/>
        <w:spacing w:before="120" w:beforeLines="50" w:after="50" w:line="360" w:lineRule="exact"/>
        <w:jc w:val="center"/>
        <w:rPr>
          <w:b/>
          <w:bCs/>
          <w:color w:val="auto"/>
          <w:sz w:val="44"/>
          <w:szCs w:val="44"/>
          <w:highlight w:val="none"/>
        </w:rPr>
      </w:pPr>
      <w:bookmarkStart w:id="96" w:name="_Hlk92967018"/>
      <w:r>
        <w:rPr>
          <w:b/>
          <w:bCs/>
          <w:color w:val="auto"/>
          <w:sz w:val="44"/>
          <w:szCs w:val="44"/>
          <w:highlight w:val="none"/>
        </w:rPr>
        <w:t>资格</w:t>
      </w:r>
      <w:r>
        <w:rPr>
          <w:rFonts w:hint="eastAsia"/>
          <w:b/>
          <w:bCs/>
          <w:color w:val="auto"/>
          <w:sz w:val="44"/>
          <w:szCs w:val="44"/>
          <w:highlight w:val="none"/>
        </w:rPr>
        <w:t>证明文件</w:t>
      </w:r>
    </w:p>
    <w:bookmarkEnd w:id="96"/>
    <w:p w14:paraId="15A6840A">
      <w:pPr>
        <w:snapToGrid w:val="0"/>
        <w:spacing w:before="120" w:beforeLines="50" w:after="50" w:line="360" w:lineRule="exact"/>
        <w:jc w:val="center"/>
        <w:rPr>
          <w:b/>
          <w:bCs/>
          <w:color w:val="auto"/>
          <w:sz w:val="44"/>
          <w:szCs w:val="44"/>
          <w:highlight w:val="none"/>
        </w:rPr>
      </w:pPr>
    </w:p>
    <w:p w14:paraId="1230F329">
      <w:pPr>
        <w:snapToGrid w:val="0"/>
        <w:spacing w:before="120" w:beforeLines="50" w:after="50" w:line="360" w:lineRule="exact"/>
        <w:rPr>
          <w:bCs/>
          <w:color w:val="auto"/>
          <w:sz w:val="24"/>
          <w:highlight w:val="none"/>
        </w:rPr>
      </w:pPr>
    </w:p>
    <w:p w14:paraId="105DCEB8">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01CDD5D3">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7424F212">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3F7C064A">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3366F929">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550F73CA">
      <w:pPr>
        <w:pStyle w:val="7"/>
        <w:snapToGrid w:val="0"/>
        <w:spacing w:before="50" w:after="50" w:line="360" w:lineRule="exact"/>
        <w:ind w:firstLine="960" w:firstLineChars="400"/>
        <w:rPr>
          <w:bCs/>
          <w:color w:val="auto"/>
          <w:sz w:val="24"/>
          <w:szCs w:val="24"/>
          <w:highlight w:val="none"/>
        </w:rPr>
      </w:pPr>
    </w:p>
    <w:p w14:paraId="0025118B">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4CAFE78C">
      <w:pPr>
        <w:snapToGrid w:val="0"/>
        <w:spacing w:before="50" w:after="50" w:line="440" w:lineRule="exact"/>
        <w:rPr>
          <w:b/>
          <w:color w:val="auto"/>
          <w:sz w:val="24"/>
          <w:highlight w:val="none"/>
        </w:rPr>
      </w:pPr>
      <w:r>
        <w:rPr>
          <w:b/>
          <w:color w:val="auto"/>
          <w:sz w:val="24"/>
          <w:highlight w:val="none"/>
        </w:rPr>
        <w:t xml:space="preserve"> </w:t>
      </w:r>
    </w:p>
    <w:p w14:paraId="0A6492EC">
      <w:pPr>
        <w:rPr>
          <w:color w:val="auto"/>
          <w:highlight w:val="none"/>
        </w:rPr>
      </w:pPr>
      <w:r>
        <w:rPr>
          <w:color w:val="auto"/>
          <w:highlight w:val="none"/>
        </w:rPr>
        <w:t xml:space="preserve"> </w:t>
      </w:r>
    </w:p>
    <w:p w14:paraId="5FF0B149">
      <w:pPr>
        <w:snapToGrid w:val="0"/>
        <w:spacing w:before="120" w:beforeLines="50" w:after="50" w:line="440" w:lineRule="exact"/>
        <w:jc w:val="center"/>
        <w:outlineLvl w:val="9"/>
        <w:rPr>
          <w:b/>
          <w:bCs/>
          <w:color w:val="auto"/>
          <w:sz w:val="24"/>
          <w:highlight w:val="none"/>
        </w:rPr>
      </w:pPr>
      <w:bookmarkStart w:id="97" w:name="_Toc254970698"/>
      <w:bookmarkStart w:id="98" w:name="_Toc254970557"/>
      <w:r>
        <w:rPr>
          <w:color w:val="auto"/>
          <w:sz w:val="24"/>
          <w:highlight w:val="none"/>
        </w:rPr>
        <w:br w:type="page"/>
      </w:r>
      <w:bookmarkEnd w:id="97"/>
      <w:bookmarkEnd w:id="98"/>
    </w:p>
    <w:p w14:paraId="3A15FDC8">
      <w:pPr>
        <w:snapToGrid w:val="0"/>
        <w:spacing w:before="120" w:beforeLines="50" w:after="50" w:line="440" w:lineRule="exact"/>
        <w:jc w:val="center"/>
        <w:rPr>
          <w:color w:val="auto"/>
          <w:sz w:val="24"/>
          <w:highlight w:val="none"/>
        </w:rPr>
      </w:pPr>
    </w:p>
    <w:p w14:paraId="1A8A68A2">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3C54497">
      <w:pPr>
        <w:snapToGrid w:val="0"/>
        <w:spacing w:before="50" w:after="50" w:line="440" w:lineRule="exact"/>
        <w:ind w:firstLine="118" w:firstLineChars="49"/>
        <w:jc w:val="center"/>
        <w:rPr>
          <w:rFonts w:hint="eastAsia"/>
          <w:b/>
          <w:color w:val="auto"/>
          <w:sz w:val="24"/>
          <w:highlight w:val="none"/>
        </w:rPr>
      </w:pPr>
      <w:r>
        <w:rPr>
          <w:b/>
          <w:color w:val="auto"/>
          <w:sz w:val="24"/>
          <w:highlight w:val="none"/>
        </w:rPr>
        <w:t>（需有页码）</w:t>
      </w:r>
    </w:p>
    <w:p w14:paraId="124B8BEB">
      <w:pPr>
        <w:snapToGrid w:val="0"/>
        <w:spacing w:before="120" w:beforeLines="50" w:after="50" w:line="440" w:lineRule="exact"/>
        <w:jc w:val="center"/>
        <w:outlineLvl w:val="9"/>
        <w:rPr>
          <w:rStyle w:val="60"/>
          <w:rFonts w:ascii="Times New Roman" w:hAnsi="Times New Roman" w:eastAsia="宋体"/>
          <w:color w:val="auto"/>
          <w:highlight w:val="none"/>
        </w:rPr>
      </w:pPr>
      <w:r>
        <w:rPr>
          <w:b/>
          <w:color w:val="auto"/>
          <w:sz w:val="24"/>
          <w:highlight w:val="none"/>
        </w:rPr>
        <w:br w:type="page"/>
      </w:r>
      <w:r>
        <w:rPr>
          <w:b/>
          <w:color w:val="auto"/>
          <w:sz w:val="24"/>
          <w:highlight w:val="none"/>
        </w:rPr>
        <w:t>第</w:t>
      </w:r>
      <w:r>
        <w:rPr>
          <w:rFonts w:hint="eastAsia"/>
          <w:b/>
          <w:color w:val="auto"/>
          <w:sz w:val="24"/>
          <w:highlight w:val="none"/>
          <w:lang w:val="en-US" w:eastAsia="zh-CN"/>
        </w:rPr>
        <w:t>一</w:t>
      </w:r>
      <w:r>
        <w:rPr>
          <w:b/>
          <w:color w:val="auto"/>
          <w:sz w:val="24"/>
          <w:highlight w:val="none"/>
        </w:rPr>
        <w:t xml:space="preserve">部分 </w:t>
      </w:r>
      <w:r>
        <w:rPr>
          <w:rFonts w:hint="eastAsia"/>
          <w:b/>
          <w:color w:val="auto"/>
          <w:sz w:val="24"/>
          <w:highlight w:val="none"/>
          <w:lang w:val="en-US" w:eastAsia="zh-CN"/>
        </w:rPr>
        <w:t>资格证明</w:t>
      </w:r>
      <w:r>
        <w:rPr>
          <w:b/>
          <w:color w:val="auto"/>
          <w:sz w:val="24"/>
          <w:highlight w:val="none"/>
        </w:rPr>
        <w:t>文件</w:t>
      </w:r>
    </w:p>
    <w:p w14:paraId="762DF6BC">
      <w:pPr>
        <w:snapToGrid w:val="0"/>
        <w:spacing w:before="50" w:after="120" w:afterLines="50" w:line="400" w:lineRule="exact"/>
        <w:jc w:val="left"/>
        <w:rPr>
          <w:b/>
          <w:color w:val="auto"/>
          <w:szCs w:val="21"/>
          <w:highlight w:val="none"/>
        </w:rPr>
      </w:pPr>
      <w:r>
        <w:rPr>
          <w:b/>
          <w:color w:val="auto"/>
          <w:szCs w:val="21"/>
          <w:highlight w:val="none"/>
        </w:rPr>
        <w:t>1．响应声明书格式：</w:t>
      </w:r>
    </w:p>
    <w:p w14:paraId="27B77537">
      <w:pPr>
        <w:snapToGrid w:val="0"/>
        <w:spacing w:before="120" w:beforeLines="50" w:after="50" w:line="360" w:lineRule="exact"/>
        <w:jc w:val="center"/>
        <w:rPr>
          <w:rFonts w:hint="eastAsia"/>
          <w:b/>
          <w:color w:val="auto"/>
          <w:szCs w:val="21"/>
          <w:highlight w:val="none"/>
        </w:rPr>
      </w:pPr>
    </w:p>
    <w:p w14:paraId="446C4E7F">
      <w:pPr>
        <w:snapToGrid w:val="0"/>
        <w:spacing w:before="120" w:beforeLines="50" w:after="50" w:line="360" w:lineRule="exact"/>
        <w:jc w:val="center"/>
        <w:rPr>
          <w:rFonts w:hint="eastAsia"/>
          <w:b/>
          <w:color w:val="auto"/>
          <w:szCs w:val="21"/>
          <w:highlight w:val="none"/>
        </w:rPr>
      </w:pPr>
      <w:r>
        <w:rPr>
          <w:b/>
          <w:color w:val="auto"/>
          <w:szCs w:val="21"/>
          <w:highlight w:val="none"/>
        </w:rPr>
        <w:t>响应声明书</w:t>
      </w:r>
    </w:p>
    <w:p w14:paraId="4450234D">
      <w:pPr>
        <w:snapToGrid w:val="0"/>
        <w:spacing w:before="120" w:beforeLines="5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7536FA32">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7ED24967">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w:t>
      </w:r>
      <w:r>
        <w:rPr>
          <w:rFonts w:hint="eastAsia"/>
          <w:color w:val="auto"/>
          <w:szCs w:val="21"/>
          <w:highlight w:val="none"/>
        </w:rPr>
        <w:t>谈判</w:t>
      </w:r>
      <w:r>
        <w:rPr>
          <w:color w:val="auto"/>
          <w:szCs w:val="21"/>
          <w:highlight w:val="none"/>
        </w:rPr>
        <w:t>，为便于贵方公正、择优地确定成交供应商及其响应产品和服务，我方就本次</w:t>
      </w:r>
      <w:r>
        <w:rPr>
          <w:rFonts w:hint="eastAsia"/>
          <w:color w:val="auto"/>
          <w:szCs w:val="21"/>
          <w:highlight w:val="none"/>
        </w:rPr>
        <w:t>谈判</w:t>
      </w:r>
      <w:r>
        <w:rPr>
          <w:color w:val="auto"/>
          <w:szCs w:val="21"/>
          <w:highlight w:val="none"/>
        </w:rPr>
        <w:t>有关事项郑重声明如下：</w:t>
      </w:r>
      <w:r>
        <w:rPr>
          <w:rFonts w:hint="eastAsia"/>
          <w:color w:val="auto"/>
          <w:szCs w:val="21"/>
          <w:highlight w:val="none"/>
        </w:rPr>
        <w:t xml:space="preserve"> </w:t>
      </w:r>
    </w:p>
    <w:p w14:paraId="574A9424">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1377D8F8">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7EB3A63E">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7BD2542A">
      <w:pPr>
        <w:snapToGrid w:val="0"/>
        <w:spacing w:before="120" w:beforeLines="50" w:line="360" w:lineRule="exact"/>
        <w:ind w:firstLine="420" w:firstLineChars="200"/>
        <w:rPr>
          <w:rFonts w:hint="eastAsia"/>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18CB7E7C">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167B3140">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，如我方提供的声明不实，则接受本次响应作为否决响应的处理，</w:t>
      </w:r>
      <w:r>
        <w:rPr>
          <w:color w:val="auto"/>
          <w:szCs w:val="21"/>
          <w:highlight w:val="none"/>
        </w:rPr>
        <w:t>并根据财库〔2016〕125号《财政部关于在政府采购活动中查询及使用信用记录有关问题的通知》规定接受失信联合惩戒。</w:t>
      </w:r>
    </w:p>
    <w:p w14:paraId="70C7B139">
      <w:pPr>
        <w:snapToGrid w:val="0"/>
        <w:spacing w:before="120" w:beforeLines="50" w:line="360" w:lineRule="exact"/>
        <w:ind w:firstLine="420" w:firstLineChars="200"/>
        <w:rPr>
          <w:rFonts w:hint="eastAsia"/>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提交的谈判保证金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562B591A">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p w14:paraId="30CD9B8B">
      <w:pPr>
        <w:snapToGrid w:val="0"/>
        <w:spacing w:before="120" w:beforeLines="50" w:line="360" w:lineRule="exact"/>
        <w:ind w:firstLine="420" w:firstLineChars="200"/>
        <w:rPr>
          <w:color w:val="auto"/>
          <w:szCs w:val="21"/>
          <w:highlight w:val="none"/>
        </w:rPr>
      </w:pPr>
    </w:p>
    <w:p w14:paraId="3355D954">
      <w:pPr>
        <w:snapToGrid w:val="0"/>
        <w:spacing w:before="120" w:beforeLines="50" w:after="50" w:line="360" w:lineRule="exact"/>
        <w:ind w:firstLine="3570" w:firstLineChars="1700"/>
        <w:rPr>
          <w:color w:val="auto"/>
          <w:szCs w:val="21"/>
          <w:highlight w:val="none"/>
        </w:rPr>
      </w:pPr>
      <w:bookmarkStart w:id="99" w:name="_Hlk8918119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8D3CC3B">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bookmarkEnd w:id="99"/>
    <w:p w14:paraId="7B35CB4A">
      <w:pPr>
        <w:snapToGrid w:val="0"/>
        <w:spacing w:before="120" w:beforeLines="50" w:after="50" w:line="360" w:lineRule="exact"/>
        <w:ind w:firstLine="210" w:firstLineChars="100"/>
        <w:rPr>
          <w:rFonts w:hint="eastAsia"/>
          <w:color w:val="auto"/>
          <w:szCs w:val="21"/>
          <w:highlight w:val="none"/>
        </w:rPr>
      </w:pPr>
    </w:p>
    <w:p w14:paraId="035EDC6A">
      <w:pPr>
        <w:spacing w:line="360" w:lineRule="auto"/>
        <w:rPr>
          <w:rFonts w:hint="eastAsia"/>
          <w:color w:val="auto"/>
          <w:highlight w:val="none"/>
        </w:rPr>
      </w:pPr>
      <w:bookmarkStart w:id="100" w:name="_Hlk21623528"/>
    </w:p>
    <w:bookmarkEnd w:id="100"/>
    <w:p w14:paraId="60A0CEB8">
      <w:pPr>
        <w:snapToGrid w:val="0"/>
        <w:spacing w:before="120" w:beforeLines="50" w:after="50" w:line="440" w:lineRule="exact"/>
        <w:rPr>
          <w:color w:val="auto"/>
          <w:szCs w:val="21"/>
          <w:highlight w:val="none"/>
        </w:rPr>
      </w:pPr>
      <w:r>
        <w:rPr>
          <w:color w:val="auto"/>
          <w:szCs w:val="21"/>
          <w:highlight w:val="none"/>
        </w:rPr>
        <w:br w:type="page"/>
      </w:r>
      <w:r>
        <w:rPr>
          <w:rFonts w:hint="eastAsia"/>
          <w:color w:val="auto"/>
          <w:szCs w:val="21"/>
          <w:highlight w:val="none"/>
        </w:rPr>
        <w:t>2</w:t>
      </w:r>
      <w:r>
        <w:rPr>
          <w:color w:val="auto"/>
          <w:szCs w:val="21"/>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bookmarkStart w:id="101" w:name="_Hlk89181279"/>
      <w:r>
        <w:rPr>
          <w:color w:val="auto"/>
          <w:szCs w:val="21"/>
          <w:highlight w:val="none"/>
        </w:rPr>
        <w:t>供应商</w:t>
      </w:r>
      <w:r>
        <w:rPr>
          <w:rFonts w:hint="eastAsia"/>
          <w:color w:val="auto"/>
          <w:szCs w:val="21"/>
          <w:highlight w:val="none"/>
        </w:rPr>
        <w:t>电子签章</w:t>
      </w:r>
      <w:bookmarkEnd w:id="101"/>
      <w:r>
        <w:rPr>
          <w:color w:val="auto"/>
          <w:szCs w:val="21"/>
          <w:highlight w:val="none"/>
        </w:rPr>
        <w:t>）</w:t>
      </w:r>
      <w:r>
        <w:rPr>
          <w:rFonts w:hint="eastAsia"/>
          <w:color w:val="auto"/>
          <w:szCs w:val="21"/>
          <w:highlight w:val="none"/>
        </w:rPr>
        <w:t>。</w:t>
      </w:r>
    </w:p>
    <w:p w14:paraId="31E8DAC1">
      <w:pPr>
        <w:snapToGrid w:val="0"/>
        <w:spacing w:before="120" w:beforeLines="50" w:after="50" w:line="440" w:lineRule="exact"/>
        <w:rPr>
          <w:color w:val="auto"/>
          <w:szCs w:val="21"/>
          <w:highlight w:val="none"/>
        </w:rPr>
      </w:pPr>
      <w:bookmarkStart w:id="102" w:name="_Hlk21623558"/>
    </w:p>
    <w:p w14:paraId="2CC00CE0">
      <w:pPr>
        <w:snapToGrid w:val="0"/>
        <w:spacing w:before="120" w:beforeLines="50" w:after="50" w:line="440" w:lineRule="exact"/>
        <w:rPr>
          <w:rFonts w:hint="eastAsia"/>
          <w:b/>
          <w:color w:val="auto"/>
          <w:szCs w:val="21"/>
          <w:highlight w:val="none"/>
        </w:rPr>
      </w:pPr>
      <w:r>
        <w:rPr>
          <w:rFonts w:hint="eastAsia"/>
          <w:color w:val="auto"/>
          <w:szCs w:val="21"/>
          <w:highlight w:val="none"/>
        </w:rPr>
        <w:t>3</w:t>
      </w:r>
      <w:r>
        <w:rPr>
          <w:color w:val="auto"/>
          <w:szCs w:val="21"/>
          <w:highlight w:val="none"/>
        </w:rPr>
        <w:t>．财务状况报告（表）复印件或银行出具的资信证明复印件。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bookmarkEnd w:id="102"/>
    <w:p w14:paraId="2BFFAF53">
      <w:pPr>
        <w:snapToGrid w:val="0"/>
        <w:spacing w:before="120" w:beforeLines="50" w:after="50" w:line="440" w:lineRule="exact"/>
        <w:rPr>
          <w:color w:val="auto"/>
          <w:szCs w:val="21"/>
          <w:highlight w:val="none"/>
        </w:rPr>
      </w:pPr>
    </w:p>
    <w:p w14:paraId="531808CD">
      <w:pPr>
        <w:snapToGrid w:val="0"/>
        <w:spacing w:before="50" w:after="120" w:afterLines="50" w:line="440" w:lineRule="exact"/>
        <w:jc w:val="left"/>
        <w:rPr>
          <w:rFonts w:hint="eastAsia"/>
          <w:b/>
          <w:color w:val="auto"/>
          <w:szCs w:val="21"/>
          <w:highlight w:val="none"/>
        </w:rPr>
      </w:pPr>
      <w:r>
        <w:rPr>
          <w:rFonts w:hint="eastAsia"/>
          <w:color w:val="auto"/>
          <w:szCs w:val="21"/>
          <w:highlight w:val="none"/>
        </w:rPr>
        <w:t>4</w:t>
      </w:r>
      <w:r>
        <w:rPr>
          <w:color w:val="auto"/>
          <w:szCs w:val="21"/>
          <w:highlight w:val="none"/>
        </w:rPr>
        <w:t>．</w:t>
      </w:r>
      <w:r>
        <w:rPr>
          <w:color w:val="auto"/>
          <w:highlight w:val="none"/>
        </w:rPr>
        <w:t>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“资格性检查表”规定提供）（加盖供应商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4631B9D1">
      <w:pPr>
        <w:snapToGrid w:val="0"/>
        <w:spacing w:before="50" w:after="120" w:afterLines="50" w:line="440" w:lineRule="exact"/>
        <w:jc w:val="left"/>
        <w:rPr>
          <w:color w:val="auto"/>
          <w:highlight w:val="none"/>
        </w:rPr>
      </w:pPr>
    </w:p>
    <w:p w14:paraId="2DE05660">
      <w:pPr>
        <w:pStyle w:val="26"/>
        <w:tabs>
          <w:tab w:val="left" w:pos="2127"/>
        </w:tabs>
        <w:spacing w:line="340" w:lineRule="exact"/>
        <w:rPr>
          <w:b/>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．具备法律、行政法规规定的其他要求的证明材料（按“评审方法及标准” “资格性检查表”规定提供）。</w:t>
      </w:r>
      <w:r>
        <w:rPr>
          <w:rFonts w:hint="eastAsia"/>
          <w:b/>
          <w:color w:val="auto"/>
          <w:highlight w:val="none"/>
        </w:rPr>
        <w:t>（如采购文件有要求时提供）</w:t>
      </w:r>
    </w:p>
    <w:p w14:paraId="34025D01">
      <w:pPr>
        <w:pStyle w:val="26"/>
        <w:tabs>
          <w:tab w:val="left" w:pos="2127"/>
        </w:tabs>
        <w:spacing w:line="340" w:lineRule="exact"/>
        <w:rPr>
          <w:rFonts w:hint="eastAsia"/>
          <w:b/>
          <w:color w:val="auto"/>
          <w:highlight w:val="none"/>
        </w:rPr>
      </w:pPr>
    </w:p>
    <w:p w14:paraId="3F682D61">
      <w:pPr>
        <w:snapToGrid w:val="0"/>
        <w:spacing w:before="50" w:after="120" w:afterLines="50" w:line="440" w:lineRule="exact"/>
        <w:jc w:val="left"/>
        <w:rPr>
          <w:b/>
          <w:color w:val="auto"/>
          <w:szCs w:val="21"/>
          <w:highlight w:val="none"/>
        </w:rPr>
      </w:pPr>
      <w:bookmarkStart w:id="103" w:name="_Hlk132792497"/>
      <w:r>
        <w:rPr>
          <w:rFonts w:hint="eastAsia"/>
          <w:color w:val="auto"/>
          <w:szCs w:val="21"/>
          <w:highlight w:val="none"/>
        </w:rPr>
        <w:t>6</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（如采购文件有要求时提供）</w:t>
      </w:r>
    </w:p>
    <w:bookmarkEnd w:id="103"/>
    <w:p w14:paraId="1CC3C060">
      <w:pPr>
        <w:pStyle w:val="26"/>
        <w:tabs>
          <w:tab w:val="left" w:pos="2127"/>
        </w:tabs>
        <w:spacing w:line="340" w:lineRule="exact"/>
        <w:rPr>
          <w:rFonts w:hint="eastAsia" w:ascii="Times New Roman" w:hAnsi="Times New Roman" w:cs="Times New Roman"/>
          <w:color w:val="auto"/>
          <w:highlight w:val="none"/>
        </w:rPr>
      </w:pPr>
    </w:p>
    <w:p w14:paraId="085CE365">
      <w:pPr>
        <w:pStyle w:val="26"/>
        <w:tabs>
          <w:tab w:val="left" w:pos="2127"/>
        </w:tabs>
        <w:spacing w:line="340" w:lineRule="exact"/>
        <w:rPr>
          <w:rFonts w:hint="eastAsia" w:ascii="Times New Roman" w:hAnsi="Times New Roman" w:cs="Times New Roman"/>
          <w:color w:val="auto"/>
          <w:highlight w:val="none"/>
        </w:rPr>
      </w:pPr>
    </w:p>
    <w:p w14:paraId="53E6C44C">
      <w:pPr>
        <w:pStyle w:val="26"/>
        <w:tabs>
          <w:tab w:val="left" w:pos="2127"/>
        </w:tabs>
        <w:spacing w:line="340" w:lineRule="exact"/>
        <w:rPr>
          <w:rFonts w:hint="eastAsia"/>
          <w:b/>
          <w:color w:val="auto"/>
          <w:highlight w:val="none"/>
        </w:rPr>
      </w:pPr>
      <w:r>
        <w:rPr>
          <w:rFonts w:hint="eastAsia" w:ascii="Times New Roman" w:hAnsi="Times New Roman" w:cs="Times New Roman"/>
          <w:color w:val="auto"/>
          <w:highlight w:val="none"/>
        </w:rPr>
        <w:t>7</w:t>
      </w:r>
      <w:r>
        <w:rPr>
          <w:rFonts w:ascii="Times New Roman" w:hAnsi="Times New Roman" w:cs="Times New Roman"/>
          <w:color w:val="auto"/>
          <w:highlight w:val="none"/>
        </w:rPr>
        <w:t>．满足供应商特定资格条件的其他证明材料加盖供应商</w:t>
      </w:r>
      <w:r>
        <w:rPr>
          <w:rFonts w:hint="eastAsia" w:ascii="Times New Roman" w:hAnsi="Times New Roman" w:cs="Times New Roman"/>
          <w:color w:val="auto"/>
          <w:highlight w:val="none"/>
        </w:rPr>
        <w:t>电子签章</w:t>
      </w:r>
      <w:r>
        <w:rPr>
          <w:rFonts w:ascii="Times New Roman" w:hAnsi="Times New Roman" w:cs="Times New Roman"/>
          <w:color w:val="auto"/>
          <w:highlight w:val="none"/>
        </w:rPr>
        <w:t>（按“评审方法及标准” “资格性检查表”规定提供）。</w:t>
      </w:r>
      <w:r>
        <w:rPr>
          <w:rFonts w:hint="eastAsia"/>
          <w:b/>
          <w:color w:val="auto"/>
          <w:highlight w:val="none"/>
        </w:rPr>
        <w:t>（如采购文件有要求时提供）</w:t>
      </w:r>
    </w:p>
    <w:p w14:paraId="2852DF79">
      <w:pPr>
        <w:snapToGrid w:val="0"/>
        <w:spacing w:before="50" w:after="120" w:afterLines="50" w:line="360" w:lineRule="auto"/>
        <w:jc w:val="left"/>
        <w:rPr>
          <w:color w:val="auto"/>
          <w:szCs w:val="21"/>
          <w:highlight w:val="none"/>
        </w:rPr>
      </w:pPr>
      <w:r>
        <w:rPr>
          <w:color w:val="auto"/>
          <w:highlight w:val="none"/>
        </w:rPr>
        <w:br w:type="page"/>
      </w:r>
      <w:r>
        <w:rPr>
          <w:rFonts w:hint="eastAsia"/>
          <w:color w:val="auto"/>
          <w:szCs w:val="21"/>
          <w:highlight w:val="none"/>
        </w:rPr>
        <w:t>7</w:t>
      </w:r>
      <w:r>
        <w:rPr>
          <w:color w:val="auto"/>
          <w:szCs w:val="21"/>
          <w:highlight w:val="none"/>
        </w:rPr>
        <w:t>.1</w:t>
      </w:r>
      <w:r>
        <w:rPr>
          <w:rFonts w:hint="eastAsia"/>
          <w:color w:val="auto"/>
          <w:szCs w:val="21"/>
          <w:highlight w:val="none"/>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64DA6E63">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78E24D">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0EF5E2">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986A2B">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079806">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770AC6">
            <w:pPr>
              <w:spacing w:line="360" w:lineRule="auto"/>
              <w:jc w:val="center"/>
              <w:rPr>
                <w:color w:val="auto"/>
                <w:szCs w:val="21"/>
                <w:highlight w:val="none"/>
              </w:rPr>
            </w:pPr>
            <w:r>
              <w:rPr>
                <w:rFonts w:hint="eastAsia"/>
                <w:color w:val="auto"/>
                <w:szCs w:val="21"/>
                <w:highlight w:val="none"/>
              </w:rPr>
              <w:t>备注</w:t>
            </w:r>
          </w:p>
        </w:tc>
      </w:tr>
      <w:tr w14:paraId="3630E3F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4096DE">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D9BCFE">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F0B9A7">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49844B">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772886">
            <w:pPr>
              <w:spacing w:line="360" w:lineRule="auto"/>
              <w:jc w:val="center"/>
              <w:rPr>
                <w:color w:val="auto"/>
                <w:szCs w:val="21"/>
                <w:highlight w:val="none"/>
              </w:rPr>
            </w:pPr>
          </w:p>
        </w:tc>
      </w:tr>
      <w:tr w14:paraId="3A78026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EA66693">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53F76B">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4C71C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E674E82">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79FDF4">
            <w:pPr>
              <w:spacing w:line="360" w:lineRule="auto"/>
              <w:jc w:val="center"/>
              <w:rPr>
                <w:color w:val="auto"/>
                <w:szCs w:val="21"/>
                <w:highlight w:val="none"/>
              </w:rPr>
            </w:pPr>
          </w:p>
        </w:tc>
      </w:tr>
      <w:tr w14:paraId="52D7955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F9C24F">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83D9E7">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ECF8B7">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93EEDF">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D24B6C">
            <w:pPr>
              <w:spacing w:line="360" w:lineRule="auto"/>
              <w:jc w:val="center"/>
              <w:rPr>
                <w:color w:val="auto"/>
                <w:szCs w:val="21"/>
                <w:highlight w:val="none"/>
              </w:rPr>
            </w:pPr>
          </w:p>
        </w:tc>
      </w:tr>
      <w:tr w14:paraId="730EF24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812B63">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0B692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9F46962">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6D890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86D988">
            <w:pPr>
              <w:spacing w:line="360" w:lineRule="auto"/>
              <w:jc w:val="center"/>
              <w:rPr>
                <w:color w:val="auto"/>
                <w:szCs w:val="21"/>
                <w:highlight w:val="none"/>
              </w:rPr>
            </w:pPr>
          </w:p>
        </w:tc>
      </w:tr>
    </w:tbl>
    <w:p w14:paraId="63131377">
      <w:pPr>
        <w:snapToGrid w:val="0"/>
        <w:spacing w:line="360" w:lineRule="auto"/>
        <w:jc w:val="left"/>
        <w:rPr>
          <w:color w:val="auto"/>
          <w:szCs w:val="21"/>
          <w:highlight w:val="none"/>
        </w:rPr>
      </w:pPr>
      <w:r>
        <w:rPr>
          <w:rFonts w:hint="eastAsia"/>
          <w:color w:val="auto"/>
          <w:szCs w:val="21"/>
          <w:highlight w:val="none"/>
        </w:rPr>
        <w:t>注：</w:t>
      </w:r>
    </w:p>
    <w:p w14:paraId="7836F413">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7482AB">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F5B8C54">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5F8E41E4">
      <w:pPr>
        <w:snapToGrid w:val="0"/>
        <w:spacing w:line="360" w:lineRule="auto"/>
        <w:jc w:val="left"/>
        <w:rPr>
          <w:color w:val="auto"/>
          <w:szCs w:val="21"/>
          <w:highlight w:val="none"/>
        </w:rPr>
      </w:pPr>
    </w:p>
    <w:p w14:paraId="7C58430C">
      <w:pPr>
        <w:snapToGrid w:val="0"/>
        <w:spacing w:line="360" w:lineRule="auto"/>
        <w:jc w:val="left"/>
        <w:rPr>
          <w:color w:val="auto"/>
          <w:szCs w:val="21"/>
          <w:highlight w:val="none"/>
        </w:rPr>
      </w:pPr>
    </w:p>
    <w:p w14:paraId="2CAF6A09">
      <w:pPr>
        <w:snapToGrid w:val="0"/>
        <w:spacing w:line="360" w:lineRule="auto"/>
        <w:jc w:val="left"/>
        <w:rPr>
          <w:color w:val="auto"/>
          <w:szCs w:val="21"/>
          <w:highlight w:val="none"/>
        </w:rPr>
      </w:pPr>
    </w:p>
    <w:p w14:paraId="62A648BA">
      <w:pPr>
        <w:snapToGrid w:val="0"/>
        <w:spacing w:line="360" w:lineRule="auto"/>
        <w:jc w:val="left"/>
        <w:rPr>
          <w:color w:val="auto"/>
          <w:szCs w:val="21"/>
          <w:highlight w:val="none"/>
        </w:rPr>
      </w:pPr>
    </w:p>
    <w:p w14:paraId="3BB8C595">
      <w:pPr>
        <w:snapToGrid w:val="0"/>
        <w:spacing w:line="360" w:lineRule="auto"/>
        <w:jc w:val="left"/>
        <w:rPr>
          <w:color w:val="auto"/>
          <w:szCs w:val="21"/>
          <w:highlight w:val="none"/>
        </w:rPr>
      </w:pPr>
    </w:p>
    <w:p w14:paraId="3CB7E7AE">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412955EB">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168A8FC8">
      <w:pPr>
        <w:snapToGrid w:val="0"/>
        <w:rPr>
          <w:rFonts w:ascii="宋体" w:hAnsi="宋体"/>
          <w:b/>
          <w:color w:val="auto"/>
          <w:sz w:val="28"/>
          <w:szCs w:val="28"/>
          <w:highlight w:val="none"/>
        </w:rPr>
      </w:pPr>
      <w:r>
        <w:rPr>
          <w:rFonts w:ascii="宋体" w:hAnsi="宋体"/>
          <w:b/>
          <w:color w:val="auto"/>
          <w:sz w:val="28"/>
          <w:szCs w:val="28"/>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D1448C0">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160E2C">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10F37">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EE3A9">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BDD0B">
            <w:pPr>
              <w:spacing w:line="360" w:lineRule="auto"/>
              <w:jc w:val="center"/>
              <w:rPr>
                <w:color w:val="auto"/>
                <w:szCs w:val="21"/>
                <w:highlight w:val="none"/>
              </w:rPr>
            </w:pPr>
            <w:r>
              <w:rPr>
                <w:rFonts w:hint="eastAsia"/>
                <w:color w:val="auto"/>
                <w:szCs w:val="21"/>
                <w:highlight w:val="none"/>
              </w:rPr>
              <w:t>备注</w:t>
            </w:r>
          </w:p>
        </w:tc>
      </w:tr>
      <w:tr w14:paraId="27ED481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D763A7">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B0A34A">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ABA10F">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17629">
            <w:pPr>
              <w:spacing w:line="360" w:lineRule="auto"/>
              <w:jc w:val="center"/>
              <w:rPr>
                <w:color w:val="auto"/>
                <w:szCs w:val="21"/>
                <w:highlight w:val="none"/>
              </w:rPr>
            </w:pPr>
          </w:p>
        </w:tc>
      </w:tr>
      <w:tr w14:paraId="2B0F60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9F238E">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2644E4">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3D594B">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54C4F">
            <w:pPr>
              <w:spacing w:line="360" w:lineRule="auto"/>
              <w:jc w:val="center"/>
              <w:rPr>
                <w:color w:val="auto"/>
                <w:szCs w:val="21"/>
                <w:highlight w:val="none"/>
              </w:rPr>
            </w:pPr>
          </w:p>
        </w:tc>
      </w:tr>
      <w:tr w14:paraId="009C05E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BD283A">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B5937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7F6810">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C14C0E">
            <w:pPr>
              <w:spacing w:line="360" w:lineRule="auto"/>
              <w:jc w:val="center"/>
              <w:rPr>
                <w:color w:val="auto"/>
                <w:szCs w:val="21"/>
                <w:highlight w:val="none"/>
              </w:rPr>
            </w:pPr>
          </w:p>
        </w:tc>
      </w:tr>
      <w:tr w14:paraId="687FB8A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E9AB69">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F2686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73C7D8">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87D1A">
            <w:pPr>
              <w:spacing w:line="360" w:lineRule="auto"/>
              <w:jc w:val="center"/>
              <w:rPr>
                <w:color w:val="auto"/>
                <w:szCs w:val="21"/>
                <w:highlight w:val="none"/>
              </w:rPr>
            </w:pPr>
          </w:p>
        </w:tc>
      </w:tr>
    </w:tbl>
    <w:p w14:paraId="03AF3E11">
      <w:pPr>
        <w:snapToGrid w:val="0"/>
        <w:spacing w:line="360" w:lineRule="auto"/>
        <w:jc w:val="left"/>
        <w:rPr>
          <w:color w:val="auto"/>
          <w:szCs w:val="21"/>
          <w:highlight w:val="none"/>
        </w:rPr>
      </w:pPr>
      <w:r>
        <w:rPr>
          <w:rFonts w:hint="eastAsia"/>
          <w:color w:val="auto"/>
          <w:szCs w:val="21"/>
          <w:highlight w:val="none"/>
        </w:rPr>
        <w:t>注：</w:t>
      </w:r>
    </w:p>
    <w:p w14:paraId="4254C34C">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4C552574">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41046CDE">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0C4FA67">
      <w:pPr>
        <w:snapToGrid w:val="0"/>
        <w:spacing w:line="360" w:lineRule="auto"/>
        <w:jc w:val="left"/>
        <w:rPr>
          <w:color w:val="auto"/>
          <w:szCs w:val="21"/>
          <w:highlight w:val="none"/>
        </w:rPr>
      </w:pPr>
    </w:p>
    <w:p w14:paraId="773F67BF">
      <w:pPr>
        <w:snapToGrid w:val="0"/>
        <w:spacing w:line="360" w:lineRule="auto"/>
        <w:jc w:val="left"/>
        <w:rPr>
          <w:color w:val="auto"/>
          <w:szCs w:val="21"/>
          <w:highlight w:val="none"/>
        </w:rPr>
      </w:pPr>
    </w:p>
    <w:p w14:paraId="022862B3">
      <w:pPr>
        <w:snapToGrid w:val="0"/>
        <w:spacing w:line="360" w:lineRule="auto"/>
        <w:jc w:val="left"/>
        <w:rPr>
          <w:color w:val="auto"/>
          <w:szCs w:val="21"/>
          <w:highlight w:val="none"/>
        </w:rPr>
      </w:pPr>
    </w:p>
    <w:p w14:paraId="4B470B14">
      <w:pPr>
        <w:snapToGrid w:val="0"/>
        <w:spacing w:line="360" w:lineRule="auto"/>
        <w:jc w:val="left"/>
        <w:rPr>
          <w:color w:val="auto"/>
          <w:szCs w:val="21"/>
          <w:highlight w:val="none"/>
        </w:rPr>
      </w:pPr>
    </w:p>
    <w:p w14:paraId="67B310EE">
      <w:pPr>
        <w:snapToGrid w:val="0"/>
        <w:spacing w:line="360" w:lineRule="auto"/>
        <w:jc w:val="left"/>
        <w:rPr>
          <w:color w:val="auto"/>
          <w:szCs w:val="21"/>
          <w:highlight w:val="none"/>
        </w:rPr>
      </w:pPr>
    </w:p>
    <w:p w14:paraId="15DA9B50">
      <w:pPr>
        <w:snapToGrid w:val="0"/>
        <w:spacing w:line="360" w:lineRule="auto"/>
        <w:jc w:val="left"/>
        <w:rPr>
          <w:color w:val="auto"/>
          <w:szCs w:val="21"/>
          <w:highlight w:val="none"/>
        </w:rPr>
      </w:pPr>
    </w:p>
    <w:p w14:paraId="76ABC1C3">
      <w:pPr>
        <w:snapToGrid w:val="0"/>
        <w:spacing w:line="360" w:lineRule="auto"/>
        <w:jc w:val="left"/>
        <w:rPr>
          <w:color w:val="auto"/>
          <w:szCs w:val="21"/>
          <w:highlight w:val="none"/>
        </w:rPr>
      </w:pPr>
    </w:p>
    <w:p w14:paraId="06035AC1">
      <w:pPr>
        <w:snapToGrid w:val="0"/>
        <w:spacing w:line="360" w:lineRule="auto"/>
        <w:jc w:val="left"/>
        <w:rPr>
          <w:color w:val="auto"/>
          <w:szCs w:val="21"/>
          <w:highlight w:val="none"/>
        </w:rPr>
      </w:pPr>
    </w:p>
    <w:p w14:paraId="402460F1">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31006F41">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00DD303D">
      <w:pPr>
        <w:pStyle w:val="26"/>
        <w:tabs>
          <w:tab w:val="left" w:pos="2127"/>
        </w:tabs>
        <w:spacing w:line="340" w:lineRule="exact"/>
        <w:rPr>
          <w:rFonts w:hint="eastAsia" w:ascii="Times New Roman" w:hAnsi="Times New Roman" w:cs="Times New Roman"/>
          <w:color w:val="auto"/>
          <w:highlight w:val="none"/>
        </w:rPr>
      </w:pPr>
      <w:r>
        <w:rPr>
          <w:rFonts w:ascii="Times New Roman" w:hAnsi="Times New Roman" w:cs="Times New Roman"/>
          <w:color w:val="auto"/>
          <w:highlight w:val="none"/>
        </w:rPr>
        <w:br w:type="page"/>
      </w:r>
      <w:bookmarkStart w:id="104" w:name="_Hlk21623591"/>
      <w:r>
        <w:rPr>
          <w:rFonts w:hint="eastAsia"/>
          <w:color w:val="auto"/>
          <w:highlight w:val="none"/>
        </w:rPr>
        <w:t>8</w:t>
      </w:r>
      <w:r>
        <w:rPr>
          <w:color w:val="auto"/>
          <w:highlight w:val="none"/>
        </w:rPr>
        <w:t>．谈判保证金缴纳证明</w:t>
      </w:r>
      <w:r>
        <w:rPr>
          <w:rFonts w:hint="eastAsia"/>
          <w:color w:val="auto"/>
          <w:highlight w:val="none"/>
        </w:rPr>
        <w:t>。</w:t>
      </w:r>
      <w:r>
        <w:rPr>
          <w:rFonts w:hint="eastAsia"/>
          <w:b/>
          <w:color w:val="auto"/>
          <w:highlight w:val="none"/>
        </w:rPr>
        <w:t>（如采购文件有要求时提供）</w:t>
      </w:r>
    </w:p>
    <w:p w14:paraId="5C9AF856">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rFonts w:hint="eastAsia"/>
          <w:color w:val="auto"/>
          <w:highlight w:val="none"/>
        </w:rPr>
        <w:t>供应商电子签章；</w:t>
      </w:r>
    </w:p>
    <w:p w14:paraId="7EBB71C4">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bookmarkEnd w:id="104"/>
    <w:p w14:paraId="36D40755">
      <w:pPr>
        <w:spacing w:line="360" w:lineRule="auto"/>
        <w:jc w:val="center"/>
        <w:rPr>
          <w:b/>
          <w:bCs/>
          <w:color w:val="auto"/>
          <w:sz w:val="28"/>
          <w:szCs w:val="36"/>
          <w:highlight w:val="none"/>
        </w:rPr>
      </w:pPr>
      <w:bookmarkStart w:id="105" w:name="_Hlk21623617"/>
    </w:p>
    <w:p w14:paraId="6DB08B06">
      <w:pPr>
        <w:spacing w:line="360" w:lineRule="auto"/>
        <w:jc w:val="center"/>
        <w:rPr>
          <w:b/>
          <w:bCs/>
          <w:color w:val="auto"/>
          <w:sz w:val="28"/>
          <w:szCs w:val="36"/>
          <w:highlight w:val="none"/>
        </w:rPr>
      </w:pPr>
      <w:r>
        <w:rPr>
          <w:rFonts w:hint="eastAsia"/>
          <w:b/>
          <w:bCs/>
          <w:color w:val="auto"/>
          <w:sz w:val="28"/>
          <w:szCs w:val="36"/>
          <w:highlight w:val="none"/>
        </w:rPr>
        <w:t>响应保函格式</w:t>
      </w:r>
    </w:p>
    <w:p w14:paraId="21B784B0">
      <w:pPr>
        <w:snapToGrid w:val="0"/>
        <w:spacing w:before="50" w:after="120" w:afterLines="50"/>
        <w:jc w:val="left"/>
        <w:rPr>
          <w:color w:val="auto"/>
          <w:highlight w:val="none"/>
        </w:rPr>
      </w:pPr>
      <w:r>
        <w:rPr>
          <w:rFonts w:hint="eastAsia"/>
          <w:color w:val="auto"/>
          <w:highlight w:val="none"/>
        </w:rPr>
        <w:t xml:space="preserve">编号：           </w:t>
      </w:r>
    </w:p>
    <w:p w14:paraId="0BB5E1A4">
      <w:pPr>
        <w:snapToGrid w:val="0"/>
        <w:spacing w:before="50" w:after="120" w:afterLines="50"/>
        <w:jc w:val="left"/>
        <w:rPr>
          <w:color w:val="auto"/>
          <w:highlight w:val="none"/>
        </w:rPr>
      </w:pPr>
      <w:r>
        <w:rPr>
          <w:rFonts w:hint="eastAsia"/>
          <w:color w:val="auto"/>
          <w:highlight w:val="none"/>
        </w:rPr>
        <w:t>申请人：</w:t>
      </w:r>
    </w:p>
    <w:p w14:paraId="0DD26098">
      <w:pPr>
        <w:snapToGrid w:val="0"/>
        <w:spacing w:before="50" w:after="120" w:afterLines="50"/>
        <w:jc w:val="left"/>
        <w:rPr>
          <w:color w:val="auto"/>
          <w:highlight w:val="none"/>
        </w:rPr>
      </w:pPr>
      <w:r>
        <w:rPr>
          <w:rFonts w:hint="eastAsia"/>
          <w:color w:val="auto"/>
          <w:highlight w:val="none"/>
        </w:rPr>
        <w:t>地址：</w:t>
      </w:r>
    </w:p>
    <w:p w14:paraId="23CD2DDC">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6A5944E4">
      <w:pPr>
        <w:snapToGrid w:val="0"/>
        <w:spacing w:before="50" w:after="120" w:afterLines="50"/>
        <w:jc w:val="left"/>
        <w:rPr>
          <w:color w:val="auto"/>
          <w:highlight w:val="none"/>
        </w:rPr>
      </w:pPr>
      <w:r>
        <w:rPr>
          <w:rFonts w:hint="eastAsia"/>
          <w:color w:val="auto"/>
          <w:highlight w:val="none"/>
        </w:rPr>
        <w:t>地址：</w:t>
      </w:r>
    </w:p>
    <w:p w14:paraId="6DB898E9">
      <w:pPr>
        <w:snapToGrid w:val="0"/>
        <w:spacing w:before="50" w:after="120" w:afterLines="50"/>
        <w:jc w:val="left"/>
        <w:rPr>
          <w:color w:val="auto"/>
          <w:highlight w:val="none"/>
        </w:rPr>
      </w:pPr>
      <w:r>
        <w:rPr>
          <w:rFonts w:hint="eastAsia"/>
          <w:color w:val="auto"/>
          <w:highlight w:val="none"/>
        </w:rPr>
        <w:t>开立人：</w:t>
      </w:r>
    </w:p>
    <w:p w14:paraId="5C074165">
      <w:pPr>
        <w:snapToGrid w:val="0"/>
        <w:spacing w:before="50" w:after="120" w:afterLines="50"/>
        <w:jc w:val="left"/>
        <w:rPr>
          <w:color w:val="auto"/>
          <w:highlight w:val="none"/>
        </w:rPr>
      </w:pPr>
      <w:r>
        <w:rPr>
          <w:rFonts w:hint="eastAsia"/>
          <w:color w:val="auto"/>
          <w:highlight w:val="none"/>
        </w:rPr>
        <w:t>地址：</w:t>
      </w:r>
    </w:p>
    <w:p w14:paraId="554FBCE7">
      <w:pPr>
        <w:snapToGrid w:val="0"/>
        <w:spacing w:before="50" w:after="120" w:afterLines="50" w:line="440" w:lineRule="exact"/>
        <w:jc w:val="left"/>
        <w:rPr>
          <w:color w:val="auto"/>
          <w:highlight w:val="none"/>
        </w:rPr>
      </w:pPr>
    </w:p>
    <w:p w14:paraId="27ABAC10">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00DF4265">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w:t>
      </w:r>
      <w:r>
        <w:rPr>
          <w:rFonts w:hint="eastAsia"/>
          <w:color w:val="auto"/>
          <w:highlight w:val="none"/>
          <w:lang w:eastAsia="zh-CN"/>
        </w:rPr>
        <w:t>采购文件</w:t>
      </w:r>
      <w:r>
        <w:rPr>
          <w:rFonts w:hint="eastAsia"/>
          <w:color w:val="auto"/>
          <w:highlight w:val="none"/>
        </w:rPr>
        <w:t>，并已向采购代理机构（即“受益人”）提交了投标文件。</w:t>
      </w:r>
    </w:p>
    <w:p w14:paraId="02DCC11C">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011381CF">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016D70A8">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72C260F3">
      <w:pPr>
        <w:snapToGrid w:val="0"/>
        <w:spacing w:before="50" w:after="120" w:afterLines="50" w:line="276" w:lineRule="auto"/>
        <w:ind w:firstLine="420" w:firstLineChars="200"/>
        <w:jc w:val="left"/>
        <w:rPr>
          <w:color w:val="auto"/>
          <w:highlight w:val="none"/>
        </w:rPr>
      </w:pPr>
      <w:r>
        <w:rPr>
          <w:rFonts w:hint="eastAsia"/>
          <w:color w:val="auto"/>
          <w:highlight w:val="none"/>
        </w:rPr>
        <w:t>（2）投标人在收到中标通知书后，不能或拒绝按</w:t>
      </w:r>
      <w:r>
        <w:rPr>
          <w:rFonts w:hint="eastAsia"/>
          <w:color w:val="auto"/>
          <w:highlight w:val="none"/>
          <w:lang w:eastAsia="zh-CN"/>
        </w:rPr>
        <w:t>采购文件</w:t>
      </w:r>
      <w:r>
        <w:rPr>
          <w:rFonts w:hint="eastAsia"/>
          <w:color w:val="auto"/>
          <w:highlight w:val="none"/>
        </w:rPr>
        <w:t xml:space="preserve">规定的时间内与采购人签订合同； </w:t>
      </w:r>
    </w:p>
    <w:p w14:paraId="6F6E63A4">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w:t>
      </w:r>
      <w:r>
        <w:rPr>
          <w:rFonts w:hint="eastAsia"/>
          <w:color w:val="auto"/>
          <w:highlight w:val="none"/>
          <w:lang w:eastAsia="zh-CN"/>
        </w:rPr>
        <w:t>采购文件</w:t>
      </w:r>
      <w:r>
        <w:rPr>
          <w:rFonts w:hint="eastAsia"/>
          <w:color w:val="auto"/>
          <w:highlight w:val="none"/>
        </w:rPr>
        <w:t>要求的履约担保；</w:t>
      </w:r>
    </w:p>
    <w:p w14:paraId="330FF8E1">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305344A5">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w:t>
      </w:r>
      <w:r>
        <w:rPr>
          <w:rFonts w:hint="eastAsia"/>
          <w:color w:val="auto"/>
          <w:highlight w:val="none"/>
          <w:lang w:eastAsia="zh-CN"/>
        </w:rPr>
        <w:t>采购文件</w:t>
      </w:r>
      <w:r>
        <w:rPr>
          <w:rFonts w:hint="eastAsia"/>
          <w:color w:val="auto"/>
          <w:highlight w:val="none"/>
        </w:rPr>
        <w:t>规定的其他情形。</w:t>
      </w:r>
    </w:p>
    <w:p w14:paraId="6B171649">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267245A7">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4B992543">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35112088">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24F89172">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01442985">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65F4B49F">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179FD050">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4191004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35F813C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2480C69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0787B3A5">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32DA827F">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27773927">
      <w:pPr>
        <w:snapToGrid w:val="0"/>
        <w:spacing w:before="50" w:after="120" w:afterLines="50" w:line="276" w:lineRule="auto"/>
        <w:jc w:val="left"/>
        <w:rPr>
          <w:color w:val="auto"/>
          <w:highlight w:val="none"/>
        </w:rPr>
      </w:pPr>
    </w:p>
    <w:p w14:paraId="6DCB15BE">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7E89F6CD">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2E5D770E">
      <w:pPr>
        <w:snapToGrid w:val="0"/>
        <w:spacing w:before="50" w:after="120" w:afterLines="50" w:line="276" w:lineRule="auto"/>
        <w:jc w:val="left"/>
        <w:rPr>
          <w:color w:val="auto"/>
          <w:highlight w:val="none"/>
        </w:rPr>
      </w:pPr>
      <w:r>
        <w:rPr>
          <w:rFonts w:hint="eastAsia"/>
          <w:color w:val="auto"/>
          <w:highlight w:val="none"/>
        </w:rPr>
        <w:t xml:space="preserve">地    址：                                       </w:t>
      </w:r>
    </w:p>
    <w:p w14:paraId="2B36590A">
      <w:pPr>
        <w:snapToGrid w:val="0"/>
        <w:spacing w:before="50" w:after="120" w:afterLines="50" w:line="276" w:lineRule="auto"/>
        <w:jc w:val="left"/>
        <w:rPr>
          <w:color w:val="auto"/>
          <w:highlight w:val="none"/>
        </w:rPr>
      </w:pPr>
      <w:r>
        <w:rPr>
          <w:rFonts w:hint="eastAsia"/>
          <w:color w:val="auto"/>
          <w:highlight w:val="none"/>
        </w:rPr>
        <w:t xml:space="preserve">邮政编码：                 </w:t>
      </w:r>
    </w:p>
    <w:p w14:paraId="477CF448">
      <w:pPr>
        <w:snapToGrid w:val="0"/>
        <w:spacing w:before="50" w:after="120" w:afterLines="50" w:line="276" w:lineRule="auto"/>
        <w:jc w:val="left"/>
        <w:rPr>
          <w:color w:val="auto"/>
          <w:highlight w:val="none"/>
        </w:rPr>
      </w:pPr>
      <w:r>
        <w:rPr>
          <w:rFonts w:hint="eastAsia"/>
          <w:color w:val="auto"/>
          <w:highlight w:val="none"/>
        </w:rPr>
        <w:t xml:space="preserve">电    话：                 </w:t>
      </w:r>
    </w:p>
    <w:p w14:paraId="7BA34E41">
      <w:pPr>
        <w:snapToGrid w:val="0"/>
        <w:spacing w:before="50" w:after="120" w:afterLines="50" w:line="276" w:lineRule="auto"/>
        <w:jc w:val="left"/>
        <w:rPr>
          <w:color w:val="auto"/>
          <w:highlight w:val="none"/>
        </w:rPr>
      </w:pPr>
      <w:r>
        <w:rPr>
          <w:rFonts w:hint="eastAsia"/>
          <w:color w:val="auto"/>
          <w:highlight w:val="none"/>
        </w:rPr>
        <w:t xml:space="preserve">传    真：                 </w:t>
      </w:r>
    </w:p>
    <w:p w14:paraId="5CA9C121">
      <w:pPr>
        <w:snapToGrid w:val="0"/>
        <w:spacing w:before="50" w:after="120" w:afterLines="50" w:line="276" w:lineRule="auto"/>
        <w:jc w:val="left"/>
        <w:rPr>
          <w:color w:val="auto"/>
          <w:highlight w:val="none"/>
        </w:rPr>
      </w:pPr>
      <w:r>
        <w:rPr>
          <w:rFonts w:hint="eastAsia"/>
          <w:color w:val="auto"/>
          <w:highlight w:val="none"/>
        </w:rPr>
        <w:t>开立时间：      年       月        日</w:t>
      </w:r>
    </w:p>
    <w:p w14:paraId="682A6719">
      <w:pPr>
        <w:snapToGrid w:val="0"/>
        <w:spacing w:before="50" w:after="120" w:afterLines="50" w:line="440" w:lineRule="exact"/>
        <w:jc w:val="left"/>
        <w:rPr>
          <w:b/>
          <w:color w:val="auto"/>
          <w:szCs w:val="21"/>
          <w:highlight w:val="none"/>
        </w:rPr>
      </w:pPr>
      <w:r>
        <w:rPr>
          <w:b/>
          <w:color w:val="auto"/>
          <w:szCs w:val="21"/>
          <w:highlight w:val="none"/>
        </w:rPr>
        <w:br w:type="page"/>
      </w:r>
      <w:r>
        <w:rPr>
          <w:rFonts w:hint="eastAsia"/>
          <w:color w:val="auto"/>
          <w:szCs w:val="21"/>
          <w:highlight w:val="none"/>
        </w:rPr>
        <w:t>9</w:t>
      </w:r>
      <w:r>
        <w:rPr>
          <w:color w:val="auto"/>
          <w:szCs w:val="21"/>
          <w:highlight w:val="none"/>
        </w:rPr>
        <w:t>．供应商认为应当要提交的资格证明材料。</w:t>
      </w:r>
      <w:r>
        <w:rPr>
          <w:bCs/>
          <w:color w:val="auto"/>
          <w:sz w:val="24"/>
          <w:highlight w:val="none"/>
        </w:rPr>
        <w:t xml:space="preserve"> </w:t>
      </w:r>
    </w:p>
    <w:bookmarkEnd w:id="105"/>
    <w:p w14:paraId="37EAC339">
      <w:pPr>
        <w:spacing w:line="276" w:lineRule="auto"/>
        <w:rPr>
          <w:color w:val="auto"/>
          <w:szCs w:val="21"/>
          <w:highlight w:val="none"/>
        </w:rPr>
      </w:pPr>
      <w:bookmarkStart w:id="106" w:name="_Hlk60649396"/>
    </w:p>
    <w:p w14:paraId="516945DB">
      <w:pPr>
        <w:pStyle w:val="7"/>
        <w:overflowPunct w:val="0"/>
        <w:ind w:firstLine="0"/>
        <w:rPr>
          <w:rFonts w:hint="eastAsia"/>
          <w:color w:val="auto"/>
          <w:highlight w:val="none"/>
        </w:rPr>
      </w:pPr>
    </w:p>
    <w:p w14:paraId="2AA2638E">
      <w:pPr>
        <w:widowControl/>
        <w:jc w:val="left"/>
        <w:rPr>
          <w:bCs/>
          <w:color w:val="auto"/>
          <w:sz w:val="24"/>
          <w:highlight w:val="none"/>
        </w:rPr>
      </w:pPr>
    </w:p>
    <w:bookmarkEnd w:id="106"/>
    <w:p w14:paraId="546D9D40">
      <w:pPr>
        <w:snapToGrid w:val="0"/>
        <w:spacing w:before="120" w:beforeLines="50" w:after="50" w:afterLines="0" w:line="440" w:lineRule="exact"/>
        <w:jc w:val="left"/>
        <w:outlineLvl w:val="1"/>
        <w:rPr>
          <w:rFonts w:hint="default"/>
          <w:b/>
          <w:color w:val="auto"/>
          <w:sz w:val="24"/>
          <w:szCs w:val="24"/>
          <w:highlight w:val="none"/>
        </w:rPr>
      </w:pPr>
      <w:r>
        <w:rPr>
          <w:bCs/>
          <w:color w:val="auto"/>
          <w:sz w:val="24"/>
          <w:highlight w:val="none"/>
        </w:rPr>
        <w:br w:type="page"/>
      </w:r>
      <w:r>
        <w:rPr>
          <w:rFonts w:hint="eastAsia"/>
          <w:b w:val="0"/>
          <w:bCs w:val="0"/>
          <w:color w:val="auto"/>
          <w:sz w:val="24"/>
          <w:szCs w:val="24"/>
          <w:highlight w:val="none"/>
          <w:lang w:val="en-US" w:eastAsia="zh-CN"/>
        </w:rPr>
        <w:t>2</w:t>
      </w:r>
      <w:r>
        <w:rPr>
          <w:rFonts w:hint="default"/>
          <w:b w:val="0"/>
          <w:bCs w:val="0"/>
          <w:color w:val="auto"/>
          <w:sz w:val="24"/>
          <w:szCs w:val="24"/>
          <w:highlight w:val="none"/>
        </w:rPr>
        <w:t>.</w:t>
      </w:r>
      <w:r>
        <w:rPr>
          <w:rFonts w:hint="eastAsia" w:ascii="宋体" w:hAnsi="宋体" w:eastAsia="宋体"/>
          <w:b w:val="0"/>
          <w:bCs w:val="0"/>
          <w:color w:val="auto"/>
          <w:sz w:val="24"/>
          <w:szCs w:val="24"/>
          <w:highlight w:val="none"/>
        </w:rPr>
        <w:t xml:space="preserve">响应文件封面参考格式（商务技术文件）： </w:t>
      </w:r>
    </w:p>
    <w:p w14:paraId="62DFAD98">
      <w:pPr>
        <w:snapToGrid w:val="0"/>
        <w:spacing w:before="120" w:beforeLines="50" w:after="50" w:afterLines="0" w:line="360" w:lineRule="exact"/>
        <w:rPr>
          <w:rFonts w:hint="default"/>
          <w:color w:val="auto"/>
          <w:sz w:val="24"/>
          <w:szCs w:val="24"/>
          <w:highlight w:val="none"/>
        </w:rPr>
      </w:pPr>
    </w:p>
    <w:p w14:paraId="154DE568">
      <w:pPr>
        <w:snapToGrid w:val="0"/>
        <w:spacing w:before="120" w:beforeLines="50" w:after="50" w:afterLines="0" w:line="360" w:lineRule="exact"/>
        <w:jc w:val="right"/>
        <w:rPr>
          <w:rFonts w:hint="default"/>
          <w:color w:val="auto"/>
          <w:sz w:val="24"/>
          <w:szCs w:val="24"/>
          <w:highlight w:val="none"/>
        </w:rPr>
      </w:pPr>
    </w:p>
    <w:p w14:paraId="78710B80">
      <w:pPr>
        <w:snapToGrid w:val="0"/>
        <w:spacing w:before="120" w:beforeLines="50" w:after="50" w:afterLines="0" w:line="360" w:lineRule="exact"/>
        <w:jc w:val="center"/>
        <w:rPr>
          <w:rFonts w:hint="default"/>
          <w:color w:val="auto"/>
          <w:sz w:val="24"/>
          <w:szCs w:val="24"/>
          <w:highlight w:val="none"/>
        </w:rPr>
      </w:pPr>
      <w:r>
        <w:rPr>
          <w:rFonts w:hint="eastAsia" w:ascii="宋体" w:hAnsi="宋体" w:eastAsia="宋体"/>
          <w:b/>
          <w:color w:val="auto"/>
          <w:sz w:val="44"/>
          <w:szCs w:val="24"/>
          <w:highlight w:val="none"/>
        </w:rPr>
        <w:t>电子响应文件</w:t>
      </w:r>
    </w:p>
    <w:p w14:paraId="69CBE39F">
      <w:pPr>
        <w:snapToGrid w:val="0"/>
        <w:spacing w:before="120" w:beforeLines="50" w:after="50" w:afterLines="0" w:line="360" w:lineRule="exact"/>
        <w:jc w:val="center"/>
        <w:rPr>
          <w:rFonts w:hint="default"/>
          <w:b/>
          <w:color w:val="auto"/>
          <w:sz w:val="44"/>
          <w:szCs w:val="24"/>
          <w:highlight w:val="none"/>
        </w:rPr>
      </w:pPr>
    </w:p>
    <w:p w14:paraId="3FAD8B39">
      <w:pPr>
        <w:snapToGrid w:val="0"/>
        <w:spacing w:before="120" w:beforeLines="50" w:after="50" w:afterLines="0" w:line="360" w:lineRule="exact"/>
        <w:jc w:val="center"/>
        <w:rPr>
          <w:rFonts w:hint="default"/>
          <w:b/>
          <w:color w:val="auto"/>
          <w:sz w:val="44"/>
          <w:szCs w:val="24"/>
          <w:highlight w:val="none"/>
        </w:rPr>
      </w:pPr>
    </w:p>
    <w:p w14:paraId="3FF97BD4">
      <w:pPr>
        <w:snapToGrid w:val="0"/>
        <w:spacing w:before="120" w:beforeLines="50" w:after="50" w:afterLines="0" w:line="360" w:lineRule="exact"/>
        <w:jc w:val="center"/>
        <w:rPr>
          <w:rFonts w:hint="default"/>
          <w:b/>
          <w:color w:val="auto"/>
          <w:sz w:val="44"/>
          <w:szCs w:val="24"/>
          <w:highlight w:val="none"/>
        </w:rPr>
      </w:pPr>
      <w:r>
        <w:rPr>
          <w:rFonts w:hint="eastAsia" w:eastAsia="宋体"/>
          <w:b/>
          <w:color w:val="auto"/>
          <w:sz w:val="44"/>
          <w:szCs w:val="24"/>
          <w:highlight w:val="none"/>
          <w:lang w:val="en-US" w:eastAsia="zh-CN"/>
        </w:rPr>
        <w:t>商</w:t>
      </w:r>
      <w:r>
        <w:rPr>
          <w:rFonts w:hint="eastAsia" w:eastAsia="宋体"/>
          <w:b/>
          <w:color w:val="auto"/>
          <w:sz w:val="44"/>
          <w:szCs w:val="24"/>
          <w:highlight w:val="none"/>
        </w:rPr>
        <w:t>务技术文件</w:t>
      </w:r>
    </w:p>
    <w:p w14:paraId="4D253C33">
      <w:pPr>
        <w:snapToGrid w:val="0"/>
        <w:spacing w:before="120" w:beforeLines="50" w:after="50" w:afterLines="0" w:line="360" w:lineRule="exact"/>
        <w:jc w:val="center"/>
        <w:rPr>
          <w:rFonts w:hint="default"/>
          <w:b/>
          <w:color w:val="auto"/>
          <w:sz w:val="44"/>
          <w:szCs w:val="24"/>
          <w:highlight w:val="none"/>
        </w:rPr>
      </w:pPr>
    </w:p>
    <w:p w14:paraId="03BD136D">
      <w:pPr>
        <w:snapToGrid w:val="0"/>
        <w:spacing w:before="120" w:beforeLines="50" w:after="50" w:afterLines="0" w:line="360" w:lineRule="exact"/>
        <w:rPr>
          <w:rFonts w:hint="default"/>
          <w:color w:val="auto"/>
          <w:sz w:val="24"/>
          <w:szCs w:val="24"/>
          <w:highlight w:val="none"/>
        </w:rPr>
      </w:pPr>
    </w:p>
    <w:p w14:paraId="640BDD80">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 xml:space="preserve">项目名称： </w:t>
      </w:r>
    </w:p>
    <w:p w14:paraId="7CAB75DE">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项目编号：</w:t>
      </w:r>
    </w:p>
    <w:p w14:paraId="1002D110">
      <w:pPr>
        <w:snapToGrid w:val="0"/>
        <w:spacing w:before="120" w:beforeLines="50" w:after="50" w:afterLines="0" w:line="440" w:lineRule="exact"/>
        <w:ind w:firstLine="720" w:firstLineChars="300"/>
        <w:rPr>
          <w:rFonts w:hint="default"/>
          <w:color w:val="auto"/>
          <w:sz w:val="24"/>
          <w:szCs w:val="24"/>
          <w:highlight w:val="none"/>
        </w:rPr>
      </w:pPr>
      <w:r>
        <w:rPr>
          <w:rFonts w:hint="eastAsia" w:eastAsia="宋体"/>
          <w:color w:val="auto"/>
          <w:sz w:val="24"/>
          <w:szCs w:val="24"/>
          <w:highlight w:val="none"/>
        </w:rPr>
        <w:t>分标号：（若无留空或写</w:t>
      </w:r>
      <w:r>
        <w:rPr>
          <w:rFonts w:hint="default"/>
          <w:color w:val="auto"/>
          <w:sz w:val="24"/>
          <w:szCs w:val="24"/>
          <w:highlight w:val="none"/>
        </w:rPr>
        <w:t>“/”</w:t>
      </w:r>
      <w:r>
        <w:rPr>
          <w:rFonts w:hint="eastAsia" w:eastAsia="宋体"/>
          <w:color w:val="auto"/>
          <w:sz w:val="24"/>
          <w:szCs w:val="24"/>
          <w:highlight w:val="none"/>
        </w:rPr>
        <w:t>）</w:t>
      </w:r>
    </w:p>
    <w:p w14:paraId="13AC606B">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供应商名称：</w:t>
      </w:r>
    </w:p>
    <w:p w14:paraId="0C9D2243">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供应商地址：</w:t>
      </w:r>
    </w:p>
    <w:p w14:paraId="4ED7F238">
      <w:pPr>
        <w:pStyle w:val="7"/>
        <w:snapToGrid w:val="0"/>
        <w:spacing w:before="50" w:beforeLines="0" w:after="50" w:afterLines="0" w:line="360" w:lineRule="exact"/>
        <w:ind w:firstLine="960" w:firstLineChars="400"/>
        <w:rPr>
          <w:rFonts w:hint="default"/>
          <w:color w:val="auto"/>
          <w:sz w:val="24"/>
          <w:szCs w:val="24"/>
          <w:highlight w:val="none"/>
        </w:rPr>
      </w:pPr>
    </w:p>
    <w:p w14:paraId="1AC8BBC3">
      <w:pPr>
        <w:snapToGrid w:val="0"/>
        <w:spacing w:before="120" w:beforeLines="50" w:after="50" w:afterLines="0" w:line="360" w:lineRule="exact"/>
        <w:jc w:val="center"/>
        <w:rPr>
          <w:rFonts w:hint="default"/>
          <w:color w:val="auto"/>
          <w:sz w:val="24"/>
          <w:szCs w:val="24"/>
          <w:highlight w:val="none"/>
        </w:rPr>
      </w:pPr>
      <w:r>
        <w:rPr>
          <w:rFonts w:hint="default"/>
          <w:color w:val="auto"/>
          <w:sz w:val="24"/>
          <w:szCs w:val="24"/>
          <w:highlight w:val="none"/>
        </w:rPr>
        <w:t xml:space="preserve">                        </w:t>
      </w:r>
      <w:r>
        <w:rPr>
          <w:rFonts w:hint="eastAsia" w:eastAsia="宋体"/>
          <w:color w:val="auto"/>
          <w:sz w:val="24"/>
          <w:szCs w:val="24"/>
          <w:highlight w:val="none"/>
        </w:rPr>
        <w:t>年  月  日</w:t>
      </w:r>
    </w:p>
    <w:p w14:paraId="59E58236">
      <w:pPr>
        <w:snapToGrid w:val="0"/>
        <w:spacing w:before="120" w:beforeLines="50" w:after="50" w:line="440" w:lineRule="exact"/>
        <w:jc w:val="center"/>
        <w:outlineLvl w:val="1"/>
        <w:rPr>
          <w:bCs/>
          <w:color w:val="auto"/>
          <w:sz w:val="24"/>
          <w:highlight w:val="none"/>
        </w:rPr>
        <w:sectPr>
          <w:headerReference r:id="rId15" w:type="default"/>
          <w:footerReference r:id="rId16" w:type="default"/>
          <w:pgSz w:w="11906" w:h="16838"/>
          <w:pgMar w:top="1418" w:right="1274" w:bottom="1418" w:left="1418" w:header="851" w:footer="992" w:gutter="0"/>
          <w:cols w:space="720" w:num="1"/>
          <w:docGrid w:linePitch="312" w:charSpace="0"/>
        </w:sectPr>
      </w:pPr>
    </w:p>
    <w:p w14:paraId="3C92F6EF">
      <w:pPr>
        <w:snapToGrid w:val="0"/>
        <w:spacing w:before="120" w:beforeLines="50" w:after="50" w:line="440" w:lineRule="exact"/>
        <w:jc w:val="center"/>
        <w:outlineLvl w:val="9"/>
        <w:rPr>
          <w:rFonts w:ascii="Times New Roman" w:hAnsi="Times New Roman" w:eastAsia="宋体" w:cs="Times New Roman"/>
          <w:b/>
          <w:bCs/>
          <w:color w:val="auto"/>
          <w:sz w:val="24"/>
          <w:highlight w:val="none"/>
        </w:rPr>
      </w:pPr>
    </w:p>
    <w:p w14:paraId="6FFAA7B2">
      <w:pPr>
        <w:snapToGrid w:val="0"/>
        <w:spacing w:before="120" w:beforeLines="50" w:after="50" w:line="440" w:lineRule="exact"/>
        <w:jc w:val="center"/>
        <w:rPr>
          <w:rFonts w:ascii="Times New Roman" w:hAnsi="Times New Roman" w:eastAsia="宋体" w:cs="Times New Roman"/>
          <w:color w:val="auto"/>
          <w:sz w:val="24"/>
          <w:highlight w:val="none"/>
        </w:rPr>
      </w:pPr>
    </w:p>
    <w:p w14:paraId="74175F77">
      <w:pPr>
        <w:snapToGrid w:val="0"/>
        <w:spacing w:before="50" w:after="50" w:line="440" w:lineRule="exact"/>
        <w:ind w:firstLine="138" w:firstLineChars="49"/>
        <w:jc w:val="center"/>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t>目录</w:t>
      </w:r>
    </w:p>
    <w:p w14:paraId="0F7433D2">
      <w:pPr>
        <w:snapToGrid w:val="0"/>
        <w:spacing w:before="120" w:beforeLines="50" w:after="50" w:line="440" w:lineRule="exact"/>
        <w:jc w:val="center"/>
        <w:outlineLvl w:val="9"/>
        <w:rPr>
          <w:bCs/>
          <w:color w:val="auto"/>
          <w:sz w:val="24"/>
          <w:highlight w:val="none"/>
        </w:rPr>
        <w:sectPr>
          <w:pgSz w:w="11906" w:h="16838"/>
          <w:pgMar w:top="1418" w:right="1274" w:bottom="1418" w:left="1418" w:header="851" w:footer="992" w:gutter="0"/>
          <w:cols w:space="720" w:num="1"/>
          <w:docGrid w:linePitch="312" w:charSpace="0"/>
        </w:sectPr>
      </w:pPr>
      <w:r>
        <w:rPr>
          <w:rFonts w:ascii="Times New Roman" w:hAnsi="Times New Roman" w:eastAsia="宋体" w:cs="Times New Roman"/>
          <w:b/>
          <w:color w:val="auto"/>
          <w:sz w:val="24"/>
          <w:highlight w:val="none"/>
        </w:rPr>
        <w:t>（需有页码）</w:t>
      </w:r>
    </w:p>
    <w:p w14:paraId="56B2BB0A">
      <w:pPr>
        <w:snapToGrid w:val="0"/>
        <w:spacing w:before="120" w:beforeLines="50" w:after="50" w:line="440" w:lineRule="exact"/>
        <w:jc w:val="center"/>
        <w:outlineLvl w:val="9"/>
        <w:rPr>
          <w:bCs/>
          <w:color w:val="auto"/>
          <w:sz w:val="24"/>
          <w:highlight w:val="none"/>
        </w:rPr>
      </w:pPr>
      <w:r>
        <w:rPr>
          <w:bCs/>
          <w:color w:val="auto"/>
          <w:sz w:val="24"/>
          <w:highlight w:val="none"/>
        </w:rPr>
        <w:t>第二部分 商务技术文件</w:t>
      </w:r>
    </w:p>
    <w:p w14:paraId="7A724D25">
      <w:pPr>
        <w:snapToGrid w:val="0"/>
        <w:spacing w:before="120" w:beforeLines="50" w:after="50" w:line="360" w:lineRule="exact"/>
        <w:rPr>
          <w:b/>
          <w:color w:val="auto"/>
          <w:szCs w:val="21"/>
          <w:highlight w:val="none"/>
        </w:rPr>
      </w:pPr>
      <w:bookmarkStart w:id="107" w:name="_Toc462223472"/>
      <w:bookmarkStart w:id="108" w:name="_Toc455309222"/>
      <w:bookmarkStart w:id="109" w:name="_Toc462320613"/>
      <w:r>
        <w:rPr>
          <w:rFonts w:hint="eastAsia"/>
          <w:b/>
          <w:color w:val="auto"/>
          <w:szCs w:val="21"/>
          <w:highlight w:val="none"/>
        </w:rPr>
        <w:t>1</w:t>
      </w:r>
      <w:r>
        <w:rPr>
          <w:b/>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时必须提供）</w:t>
      </w:r>
      <w:r>
        <w:rPr>
          <w:b/>
          <w:color w:val="auto"/>
          <w:szCs w:val="21"/>
          <w:highlight w:val="none"/>
        </w:rPr>
        <w:t>：</w:t>
      </w:r>
    </w:p>
    <w:p w14:paraId="3835B09A">
      <w:pPr>
        <w:snapToGrid w:val="0"/>
        <w:spacing w:before="120" w:beforeLines="50" w:after="50" w:line="360" w:lineRule="exact"/>
        <w:rPr>
          <w:color w:val="auto"/>
          <w:highlight w:val="none"/>
        </w:rPr>
      </w:pPr>
    </w:p>
    <w:p w14:paraId="653DE8C4">
      <w:pPr>
        <w:snapToGrid w:val="0"/>
        <w:spacing w:before="120" w:beforeLines="50" w:after="50" w:line="440" w:lineRule="exact"/>
        <w:jc w:val="center"/>
        <w:rPr>
          <w:b/>
          <w:color w:val="auto"/>
          <w:szCs w:val="21"/>
          <w:highlight w:val="none"/>
        </w:rPr>
      </w:pPr>
      <w:r>
        <w:rPr>
          <w:b/>
          <w:color w:val="auto"/>
          <w:szCs w:val="21"/>
          <w:highlight w:val="none"/>
        </w:rPr>
        <w:t>法定代表人身份证明</w:t>
      </w:r>
      <w:bookmarkEnd w:id="107"/>
      <w:bookmarkEnd w:id="108"/>
      <w:bookmarkEnd w:id="109"/>
    </w:p>
    <w:p w14:paraId="35FC7351">
      <w:pPr>
        <w:spacing w:line="360" w:lineRule="auto"/>
        <w:rPr>
          <w:color w:val="auto"/>
          <w:highlight w:val="none"/>
        </w:rPr>
      </w:pPr>
    </w:p>
    <w:p w14:paraId="55808948">
      <w:pPr>
        <w:spacing w:line="360" w:lineRule="auto"/>
        <w:rPr>
          <w:color w:val="auto"/>
          <w:highlight w:val="none"/>
        </w:rPr>
      </w:pPr>
    </w:p>
    <w:p w14:paraId="004C73C7">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7D71DCA3">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3F56229C">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7EC397E0">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75457F4D">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5C617A49">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4F378865">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377CF318">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E04B3C1">
      <w:pPr>
        <w:spacing w:line="540" w:lineRule="exact"/>
        <w:rPr>
          <w:color w:val="auto"/>
          <w:szCs w:val="21"/>
          <w:highlight w:val="none"/>
        </w:rPr>
      </w:pPr>
    </w:p>
    <w:p w14:paraId="4AB0441D">
      <w:pPr>
        <w:spacing w:line="540" w:lineRule="exact"/>
        <w:ind w:firstLine="420" w:firstLineChars="200"/>
        <w:rPr>
          <w:color w:val="auto"/>
          <w:szCs w:val="21"/>
          <w:highlight w:val="none"/>
        </w:rPr>
      </w:pPr>
      <w:r>
        <w:rPr>
          <w:color w:val="auto"/>
          <w:szCs w:val="21"/>
          <w:highlight w:val="none"/>
        </w:rPr>
        <w:t>特此证明。</w:t>
      </w:r>
    </w:p>
    <w:p w14:paraId="51BEFC49">
      <w:pPr>
        <w:spacing w:line="360" w:lineRule="auto"/>
        <w:ind w:firstLine="420" w:firstLineChars="200"/>
        <w:rPr>
          <w:rFonts w:hint="eastAsia"/>
          <w:color w:val="auto"/>
          <w:szCs w:val="21"/>
          <w:highlight w:val="none"/>
        </w:rPr>
      </w:pPr>
    </w:p>
    <w:p w14:paraId="7306DC61">
      <w:pPr>
        <w:spacing w:line="360" w:lineRule="auto"/>
        <w:ind w:firstLine="4830" w:firstLineChars="2300"/>
        <w:rPr>
          <w:color w:val="auto"/>
          <w:szCs w:val="21"/>
          <w:highlight w:val="none"/>
        </w:rPr>
      </w:pPr>
      <w:bookmarkStart w:id="110" w:name="_Hlk8918122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1B34AD8">
      <w:pPr>
        <w:spacing w:line="360" w:lineRule="auto"/>
        <w:rPr>
          <w:color w:val="auto"/>
          <w:szCs w:val="21"/>
          <w:highlight w:val="none"/>
        </w:rPr>
      </w:pPr>
      <w:r>
        <w:rPr>
          <w:color w:val="auto"/>
          <w:szCs w:val="21"/>
          <w:highlight w:val="none"/>
        </w:rPr>
        <w:t xml:space="preserve">                                                   年       月       日 </w:t>
      </w:r>
    </w:p>
    <w:bookmarkEnd w:id="110"/>
    <w:p w14:paraId="6092D4C0">
      <w:pPr>
        <w:spacing w:line="360" w:lineRule="auto"/>
        <w:ind w:firstLine="420" w:firstLineChars="200"/>
        <w:rPr>
          <w:color w:val="auto"/>
          <w:szCs w:val="21"/>
          <w:highlight w:val="none"/>
        </w:rPr>
      </w:pPr>
    </w:p>
    <w:p w14:paraId="159DDF99">
      <w:pPr>
        <w:spacing w:line="360" w:lineRule="auto"/>
        <w:rPr>
          <w:color w:val="auto"/>
          <w:szCs w:val="21"/>
          <w:highlight w:val="none"/>
        </w:rPr>
      </w:pPr>
      <w:r>
        <w:rPr>
          <w:color w:val="auto"/>
          <w:szCs w:val="21"/>
          <w:highlight w:val="none"/>
        </w:rPr>
        <w:t>附件：法定代表人身份证复印件</w:t>
      </w:r>
    </w:p>
    <w:p w14:paraId="564C22B4">
      <w:pPr>
        <w:spacing w:line="360" w:lineRule="auto"/>
        <w:rPr>
          <w:color w:val="auto"/>
          <w:szCs w:val="21"/>
          <w:highlight w:val="none"/>
        </w:rPr>
      </w:pPr>
    </w:p>
    <w:p w14:paraId="545F5A94">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．法定代表</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23C0F8CC">
      <w:pPr>
        <w:snapToGrid w:val="0"/>
        <w:spacing w:before="120" w:beforeLines="50" w:after="50" w:line="360" w:lineRule="exact"/>
        <w:rPr>
          <w:b/>
          <w:color w:val="auto"/>
          <w:szCs w:val="21"/>
          <w:highlight w:val="none"/>
        </w:rPr>
      </w:pPr>
    </w:p>
    <w:p w14:paraId="3C993E6F">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61999EDE">
      <w:pPr>
        <w:snapToGrid w:val="0"/>
        <w:spacing w:before="120" w:beforeLines="50" w:after="50" w:line="440" w:lineRule="exact"/>
        <w:rPr>
          <w:bCs/>
          <w:color w:val="auto"/>
          <w:szCs w:val="21"/>
          <w:highlight w:val="none"/>
        </w:rPr>
      </w:pPr>
    </w:p>
    <w:p w14:paraId="5217BB1C">
      <w:pPr>
        <w:snapToGrid w:val="0"/>
        <w:spacing w:before="120" w:beforeLines="50" w:after="50" w:line="440" w:lineRule="exact"/>
        <w:rPr>
          <w:rFonts w:hint="eastAsia"/>
          <w:b/>
          <w:bCs/>
          <w:color w:val="auto"/>
          <w:szCs w:val="21"/>
          <w:highlight w:val="none"/>
        </w:rPr>
      </w:pPr>
      <w:r>
        <w:rPr>
          <w:bCs/>
          <w:color w:val="auto"/>
          <w:szCs w:val="21"/>
          <w:highlight w:val="none"/>
        </w:rPr>
        <w:t>致：</w:t>
      </w:r>
      <w:r>
        <w:rPr>
          <w:i/>
          <w:iCs/>
          <w:color w:val="auto"/>
          <w:szCs w:val="21"/>
          <w:highlight w:val="none"/>
          <w:u w:val="single"/>
        </w:rPr>
        <w:t>（采购人名称）</w:t>
      </w:r>
    </w:p>
    <w:p w14:paraId="1E1BCCFE">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w:t>
      </w:r>
      <w:r>
        <w:rPr>
          <w:rFonts w:hint="eastAsia"/>
          <w:color w:val="auto"/>
          <w:szCs w:val="21"/>
          <w:highlight w:val="none"/>
        </w:rPr>
        <w:t>谈判</w:t>
      </w:r>
      <w:r>
        <w:rPr>
          <w:color w:val="auto"/>
          <w:szCs w:val="21"/>
          <w:highlight w:val="none"/>
        </w:rPr>
        <w:t>活动，并代表我方全权办理针对上述项目的</w:t>
      </w:r>
      <w:r>
        <w:rPr>
          <w:rFonts w:hint="eastAsia"/>
          <w:color w:val="auto"/>
          <w:szCs w:val="21"/>
          <w:highlight w:val="none"/>
        </w:rPr>
        <w:t>谈判</w:t>
      </w:r>
      <w:r>
        <w:rPr>
          <w:color w:val="auto"/>
          <w:szCs w:val="21"/>
          <w:highlight w:val="none"/>
        </w:rPr>
        <w:t>、截标、评审、签约等具体事务和签署相关文件。</w:t>
      </w:r>
    </w:p>
    <w:p w14:paraId="79B8B68A">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53C8FEB1">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549F8996">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6B719E4D">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p>
    <w:p w14:paraId="3B3EDA5F">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266FFF1C">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18B288C8">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rFonts w:hint="eastAsia"/>
          <w:color w:val="auto"/>
          <w:szCs w:val="21"/>
          <w:highlight w:val="none"/>
          <w:u w:val="single"/>
        </w:rPr>
        <w:t xml:space="preserve"> </w:t>
      </w:r>
      <w:r>
        <w:rPr>
          <w:color w:val="auto"/>
          <w:szCs w:val="21"/>
          <w:highlight w:val="none"/>
          <w:u w:val="single"/>
        </w:rPr>
        <w:t xml:space="preserve">                      </w:t>
      </w:r>
    </w:p>
    <w:p w14:paraId="1C21AC0E">
      <w:pPr>
        <w:snapToGrid w:val="0"/>
        <w:spacing w:before="120" w:beforeLines="50" w:after="50" w:line="440" w:lineRule="exact"/>
        <w:rPr>
          <w:color w:val="auto"/>
          <w:szCs w:val="21"/>
          <w:highlight w:val="none"/>
        </w:rPr>
      </w:pPr>
      <w:r>
        <w:rPr>
          <w:color w:val="auto"/>
          <w:szCs w:val="21"/>
          <w:highlight w:val="none"/>
        </w:rPr>
        <w:t xml:space="preserve">                   </w:t>
      </w:r>
    </w:p>
    <w:p w14:paraId="5962444C">
      <w:pPr>
        <w:snapToGrid w:val="0"/>
        <w:spacing w:before="120" w:beforeLines="50" w:after="50" w:line="440" w:lineRule="exact"/>
        <w:ind w:firstLine="5670" w:firstLineChars="2700"/>
        <w:rPr>
          <w:color w:val="auto"/>
          <w:szCs w:val="21"/>
          <w:highlight w:val="none"/>
        </w:rPr>
      </w:pPr>
      <w:bookmarkStart w:id="111" w:name="_Hlk8918125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0D75BC8">
      <w:pPr>
        <w:snapToGrid w:val="0"/>
        <w:spacing w:before="120" w:beforeLines="50" w:after="50" w:line="440" w:lineRule="exact"/>
        <w:jc w:val="center"/>
        <w:rPr>
          <w:color w:val="auto"/>
          <w:szCs w:val="21"/>
          <w:highlight w:val="none"/>
        </w:rPr>
      </w:pPr>
      <w:r>
        <w:rPr>
          <w:color w:val="auto"/>
          <w:szCs w:val="21"/>
          <w:highlight w:val="none"/>
        </w:rPr>
        <w:t xml:space="preserve">                                        年    月    日</w:t>
      </w:r>
    </w:p>
    <w:bookmarkEnd w:id="111"/>
    <w:p w14:paraId="038A8205">
      <w:pPr>
        <w:spacing w:line="360" w:lineRule="auto"/>
        <w:rPr>
          <w:color w:val="auto"/>
          <w:szCs w:val="21"/>
          <w:highlight w:val="none"/>
        </w:rPr>
      </w:pPr>
    </w:p>
    <w:p w14:paraId="0B8D5220">
      <w:pPr>
        <w:spacing w:line="360" w:lineRule="auto"/>
        <w:rPr>
          <w:color w:val="auto"/>
          <w:szCs w:val="21"/>
          <w:highlight w:val="none"/>
        </w:rPr>
      </w:pPr>
    </w:p>
    <w:p w14:paraId="13E8616A">
      <w:pPr>
        <w:spacing w:line="360" w:lineRule="auto"/>
        <w:rPr>
          <w:color w:val="auto"/>
          <w:szCs w:val="21"/>
          <w:highlight w:val="none"/>
        </w:rPr>
      </w:pPr>
    </w:p>
    <w:p w14:paraId="627259CF">
      <w:pPr>
        <w:spacing w:line="360" w:lineRule="auto"/>
        <w:rPr>
          <w:color w:val="auto"/>
          <w:szCs w:val="21"/>
          <w:highlight w:val="none"/>
        </w:rPr>
      </w:pPr>
      <w:r>
        <w:rPr>
          <w:color w:val="auto"/>
          <w:szCs w:val="21"/>
          <w:highlight w:val="none"/>
        </w:rPr>
        <w:t>附件：法定代表人身份证复印件及授权代表身份证复印件</w:t>
      </w:r>
    </w:p>
    <w:p w14:paraId="6543E0CD">
      <w:pPr>
        <w:snapToGrid w:val="0"/>
        <w:spacing w:before="120" w:beforeLines="50" w:after="50" w:line="440" w:lineRule="exact"/>
        <w:jc w:val="center"/>
        <w:outlineLvl w:val="9"/>
        <w:rPr>
          <w:rFonts w:hint="eastAsia"/>
          <w:bCs/>
          <w:color w:val="auto"/>
          <w:sz w:val="24"/>
          <w:highlight w:val="none"/>
        </w:rPr>
      </w:pPr>
      <w:r>
        <w:rPr>
          <w:bCs/>
          <w:color w:val="auto"/>
          <w:sz w:val="24"/>
          <w:highlight w:val="none"/>
        </w:rPr>
        <w:br w:type="page"/>
      </w:r>
      <w:r>
        <w:rPr>
          <w:rFonts w:ascii="Times New Roman" w:hAnsi="Times New Roman" w:eastAsia="宋体" w:cs="Times New Roman"/>
          <w:bCs/>
          <w:color w:val="auto"/>
          <w:sz w:val="24"/>
          <w:highlight w:val="none"/>
        </w:rPr>
        <w:t>第</w:t>
      </w:r>
      <w:r>
        <w:rPr>
          <w:rFonts w:hint="eastAsia" w:ascii="Times New Roman" w:hAnsi="Times New Roman" w:eastAsia="宋体" w:cs="Times New Roman"/>
          <w:bCs/>
          <w:color w:val="auto"/>
          <w:sz w:val="24"/>
          <w:highlight w:val="none"/>
          <w:lang w:val="en-US" w:eastAsia="zh-CN"/>
        </w:rPr>
        <w:t>二</w:t>
      </w:r>
      <w:r>
        <w:rPr>
          <w:rFonts w:ascii="Times New Roman" w:hAnsi="Times New Roman" w:eastAsia="宋体" w:cs="Times New Roman"/>
          <w:bCs/>
          <w:color w:val="auto"/>
          <w:sz w:val="24"/>
          <w:highlight w:val="none"/>
        </w:rPr>
        <w:t xml:space="preserve">部分 </w:t>
      </w:r>
      <w:r>
        <w:rPr>
          <w:rFonts w:hint="eastAsia" w:ascii="Times New Roman" w:hAnsi="Times New Roman" w:eastAsia="宋体" w:cs="Times New Roman"/>
          <w:bCs/>
          <w:color w:val="auto"/>
          <w:sz w:val="24"/>
          <w:highlight w:val="none"/>
          <w:lang w:val="en-US" w:eastAsia="zh-CN"/>
        </w:rPr>
        <w:t>技术商务</w:t>
      </w:r>
      <w:r>
        <w:rPr>
          <w:rFonts w:ascii="Times New Roman" w:hAnsi="Times New Roman" w:eastAsia="宋体" w:cs="Times New Roman"/>
          <w:bCs/>
          <w:color w:val="auto"/>
          <w:sz w:val="24"/>
          <w:highlight w:val="none"/>
        </w:rPr>
        <w:t>文件</w:t>
      </w:r>
    </w:p>
    <w:p w14:paraId="112066EC">
      <w:pPr>
        <w:snapToGrid w:val="0"/>
        <w:spacing w:before="50" w:after="120" w:afterLines="50" w:line="440" w:lineRule="exact"/>
        <w:jc w:val="center"/>
        <w:rPr>
          <w:color w:val="auto"/>
          <w:highlight w:val="none"/>
        </w:rPr>
      </w:pPr>
      <w:r>
        <w:rPr>
          <w:color w:val="auto"/>
          <w:highlight w:val="none"/>
        </w:rPr>
        <w:t>（本商务</w:t>
      </w:r>
      <w:r>
        <w:rPr>
          <w:rFonts w:hint="eastAsia"/>
          <w:color w:val="auto"/>
          <w:highlight w:val="none"/>
        </w:rPr>
        <w:t>技术</w:t>
      </w:r>
      <w:r>
        <w:rPr>
          <w:color w:val="auto"/>
          <w:highlight w:val="none"/>
        </w:rPr>
        <w:t>文件供应商可自行编写，也可参照下述提纲编写）</w:t>
      </w:r>
    </w:p>
    <w:p w14:paraId="567CF577">
      <w:pPr>
        <w:rPr>
          <w:rFonts w:hint="eastAsia"/>
          <w:color w:val="auto"/>
          <w:szCs w:val="21"/>
          <w:highlight w:val="none"/>
        </w:rPr>
      </w:pPr>
      <w:bookmarkStart w:id="112" w:name="_Hlk21623674"/>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p w14:paraId="493CD27A">
      <w:pPr>
        <w:rPr>
          <w:rFonts w:hint="eastAsia"/>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24C3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38903E0">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E7C0BD5">
            <w:pPr>
              <w:snapToGrid w:val="0"/>
              <w:spacing w:before="120" w:beforeLines="50"/>
              <w:jc w:val="center"/>
              <w:rPr>
                <w:rFonts w:hint="eastAsia"/>
                <w:color w:val="auto"/>
                <w:szCs w:val="21"/>
                <w:highlight w:val="none"/>
              </w:rPr>
            </w:pPr>
            <w:r>
              <w:rPr>
                <w:rFonts w:hint="eastAsia"/>
                <w:color w:val="auto"/>
                <w:szCs w:val="21"/>
                <w:highlight w:val="none"/>
              </w:rPr>
              <w:t>采购文件</w:t>
            </w:r>
            <w:r>
              <w:rPr>
                <w:color w:val="auto"/>
                <w:szCs w:val="21"/>
                <w:highlight w:val="none"/>
              </w:rPr>
              <w:t>要求</w:t>
            </w:r>
          </w:p>
          <w:p w14:paraId="3FD0A0AC">
            <w:pPr>
              <w:snapToGrid w:val="0"/>
              <w:spacing w:before="120" w:beforeLines="5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7B3932">
            <w:pPr>
              <w:snapToGrid w:val="0"/>
              <w:spacing w:before="120" w:beforeLines="50"/>
              <w:jc w:val="center"/>
              <w:rPr>
                <w:rFonts w:hint="eastAsia"/>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EEAE7D">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CDAC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4B0B52">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2E797FC">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250A3C4">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8BD0B61">
            <w:pPr>
              <w:snapToGrid w:val="0"/>
              <w:spacing w:before="120" w:beforeLines="50"/>
              <w:jc w:val="center"/>
              <w:rPr>
                <w:color w:val="auto"/>
                <w:szCs w:val="21"/>
                <w:highlight w:val="none"/>
              </w:rPr>
            </w:pPr>
          </w:p>
        </w:tc>
      </w:tr>
      <w:tr w14:paraId="05BA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0F1A40A">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114EEF">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30BAFDD">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3D4B218">
            <w:pPr>
              <w:snapToGrid w:val="0"/>
              <w:spacing w:before="120" w:beforeLines="50"/>
              <w:jc w:val="center"/>
              <w:rPr>
                <w:color w:val="auto"/>
                <w:szCs w:val="21"/>
                <w:highlight w:val="none"/>
              </w:rPr>
            </w:pPr>
          </w:p>
        </w:tc>
      </w:tr>
      <w:tr w14:paraId="5A66A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D2952D5">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783FD0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44C78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5F5918">
            <w:pPr>
              <w:snapToGrid w:val="0"/>
              <w:spacing w:before="120" w:beforeLines="50"/>
              <w:jc w:val="center"/>
              <w:rPr>
                <w:color w:val="auto"/>
                <w:szCs w:val="21"/>
                <w:highlight w:val="none"/>
              </w:rPr>
            </w:pPr>
          </w:p>
        </w:tc>
      </w:tr>
      <w:tr w14:paraId="5A3ED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16D496">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09F1B7F">
            <w:pPr>
              <w:snapToGrid w:val="0"/>
              <w:spacing w:before="120" w:beforeLines="5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F9F589">
            <w:pPr>
              <w:snapToGrid w:val="0"/>
              <w:spacing w:before="120" w:beforeLines="5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FEECDC9">
            <w:pPr>
              <w:snapToGrid w:val="0"/>
              <w:spacing w:before="120" w:beforeLines="50"/>
              <w:jc w:val="center"/>
              <w:rPr>
                <w:color w:val="auto"/>
                <w:szCs w:val="21"/>
                <w:highlight w:val="none"/>
              </w:rPr>
            </w:pPr>
            <w:r>
              <w:rPr>
                <w:color w:val="auto"/>
                <w:szCs w:val="21"/>
                <w:highlight w:val="none"/>
              </w:rPr>
              <w:t>……</w:t>
            </w:r>
          </w:p>
        </w:tc>
      </w:tr>
    </w:tbl>
    <w:p w14:paraId="1E7A6FED">
      <w:pPr>
        <w:rPr>
          <w:color w:val="auto"/>
          <w:szCs w:val="21"/>
          <w:highlight w:val="none"/>
        </w:rPr>
      </w:pPr>
    </w:p>
    <w:bookmarkEnd w:id="112"/>
    <w:p w14:paraId="33BC6FD5">
      <w:pPr>
        <w:pStyle w:val="26"/>
        <w:tabs>
          <w:tab w:val="left" w:pos="2127"/>
        </w:tabs>
        <w:spacing w:line="340" w:lineRule="exact"/>
        <w:jc w:val="left"/>
        <w:rPr>
          <w:rFonts w:ascii="Times New Roman" w:hAnsi="Times New Roman" w:cs="Times New Roman"/>
          <w:color w:val="auto"/>
          <w:highlight w:val="none"/>
        </w:rPr>
      </w:pPr>
      <w:bookmarkStart w:id="113" w:name="_Hlk89181501"/>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75E00089">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7A184505">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106A8471">
      <w:pPr>
        <w:rPr>
          <w:color w:val="auto"/>
          <w:highlight w:val="none"/>
        </w:rPr>
      </w:pPr>
      <w:r>
        <w:rPr>
          <w:color w:val="auto"/>
          <w:highlight w:val="none"/>
        </w:rPr>
        <w:t>（4）本表可扩展。</w:t>
      </w:r>
    </w:p>
    <w:p w14:paraId="5AB2B34D">
      <w:pPr>
        <w:rPr>
          <w:color w:val="auto"/>
          <w:szCs w:val="21"/>
          <w:highlight w:val="none"/>
        </w:rPr>
      </w:pPr>
    </w:p>
    <w:p w14:paraId="4607A7A5">
      <w:pPr>
        <w:rPr>
          <w:color w:val="auto"/>
          <w:spacing w:val="20"/>
          <w:szCs w:val="21"/>
          <w:highlight w:val="none"/>
          <w:u w:val="single"/>
        </w:rPr>
      </w:pPr>
    </w:p>
    <w:p w14:paraId="435610CD">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3"/>
    <w:p w14:paraId="20A419D1">
      <w:pPr>
        <w:rPr>
          <w:rFonts w:hint="eastAsia"/>
          <w:color w:val="auto"/>
          <w:szCs w:val="21"/>
          <w:highlight w:val="none"/>
        </w:rPr>
      </w:pPr>
    </w:p>
    <w:p w14:paraId="079C7B6F">
      <w:pPr>
        <w:snapToGrid w:val="0"/>
        <w:spacing w:before="50" w:after="120" w:afterLines="50"/>
        <w:jc w:val="left"/>
        <w:rPr>
          <w:color w:val="auto"/>
          <w:szCs w:val="21"/>
          <w:highlight w:val="none"/>
        </w:rPr>
      </w:pPr>
      <w:bookmarkStart w:id="114" w:name="_Hlk21623696"/>
      <w:r>
        <w:rPr>
          <w:color w:val="auto"/>
          <w:szCs w:val="21"/>
          <w:highlight w:val="none"/>
        </w:rPr>
        <w:t>2．</w:t>
      </w:r>
      <w:r>
        <w:rPr>
          <w:rFonts w:hint="eastAsia"/>
          <w:color w:val="auto"/>
          <w:szCs w:val="21"/>
          <w:highlight w:val="none"/>
        </w:rPr>
        <w:t>货物或产品</w:t>
      </w:r>
      <w:r>
        <w:rPr>
          <w:color w:val="auto"/>
          <w:szCs w:val="21"/>
          <w:highlight w:val="none"/>
        </w:rPr>
        <w:t>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20FF5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CA6CDED">
            <w:pPr>
              <w:snapToGrid w:val="0"/>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AE7717E">
            <w:pPr>
              <w:snapToGrid w:val="0"/>
              <w:spacing w:before="50" w:after="50" w:line="440" w:lineRule="exact"/>
              <w:jc w:val="center"/>
              <w:rPr>
                <w:rFonts w:hint="eastAsia"/>
                <w:color w:val="auto"/>
                <w:szCs w:val="21"/>
                <w:highlight w:val="none"/>
              </w:rPr>
            </w:pPr>
            <w:r>
              <w:rPr>
                <w:rFonts w:hint="eastAsia"/>
                <w:color w:val="auto"/>
                <w:szCs w:val="21"/>
                <w:highlight w:val="none"/>
              </w:rPr>
              <w:t>货物或产品</w:t>
            </w:r>
          </w:p>
          <w:p w14:paraId="7D11019D">
            <w:pPr>
              <w:snapToGrid w:val="0"/>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5639B29A">
            <w:pPr>
              <w:snapToGrid w:val="0"/>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6BC65A">
            <w:pPr>
              <w:snapToGrid w:val="0"/>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8A696AC">
            <w:pPr>
              <w:snapToGrid w:val="0"/>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A82D6B0">
            <w:pPr>
              <w:snapToGrid w:val="0"/>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F6091B">
            <w:pPr>
              <w:snapToGrid w:val="0"/>
              <w:spacing w:before="50" w:after="50" w:line="440" w:lineRule="exact"/>
              <w:jc w:val="center"/>
              <w:rPr>
                <w:color w:val="auto"/>
                <w:szCs w:val="21"/>
                <w:highlight w:val="none"/>
              </w:rPr>
            </w:pPr>
            <w:r>
              <w:rPr>
                <w:color w:val="auto"/>
                <w:szCs w:val="21"/>
                <w:highlight w:val="none"/>
              </w:rPr>
              <w:t>产地</w:t>
            </w:r>
          </w:p>
        </w:tc>
      </w:tr>
      <w:tr w14:paraId="20B26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2950A229">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5594DDA9">
            <w:pPr>
              <w:snapToGrid w:val="0"/>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F649342">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2B0758CA">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75BB289">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6F85704">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E43F17">
            <w:pPr>
              <w:snapToGrid w:val="0"/>
              <w:spacing w:before="50" w:after="50" w:line="440" w:lineRule="exact"/>
              <w:jc w:val="center"/>
              <w:rPr>
                <w:color w:val="auto"/>
                <w:szCs w:val="21"/>
                <w:highlight w:val="none"/>
              </w:rPr>
            </w:pPr>
          </w:p>
        </w:tc>
      </w:tr>
      <w:tr w14:paraId="6904A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7BBAA2B1">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494F6838">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BCA68D3">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ADB2DC8">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19035DE">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031A5CE">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6D9836">
            <w:pPr>
              <w:snapToGrid w:val="0"/>
              <w:spacing w:before="50" w:after="50" w:line="440" w:lineRule="exact"/>
              <w:jc w:val="center"/>
              <w:rPr>
                <w:color w:val="auto"/>
                <w:szCs w:val="21"/>
                <w:highlight w:val="none"/>
              </w:rPr>
            </w:pPr>
          </w:p>
        </w:tc>
      </w:tr>
      <w:tr w14:paraId="74DC3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9F874E1">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2F2234D2">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2669F92">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FD1D98">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6C4A9855">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B04B965">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189EF6">
            <w:pPr>
              <w:snapToGrid w:val="0"/>
              <w:spacing w:before="50" w:after="50" w:line="440" w:lineRule="exact"/>
              <w:jc w:val="center"/>
              <w:rPr>
                <w:color w:val="auto"/>
                <w:szCs w:val="21"/>
                <w:highlight w:val="none"/>
              </w:rPr>
            </w:pPr>
          </w:p>
        </w:tc>
      </w:tr>
    </w:tbl>
    <w:p w14:paraId="62E40380">
      <w:pPr>
        <w:snapToGrid w:val="0"/>
        <w:spacing w:before="50" w:after="50" w:line="440" w:lineRule="exact"/>
        <w:rPr>
          <w:color w:val="auto"/>
          <w:spacing w:val="20"/>
          <w:szCs w:val="21"/>
          <w:highlight w:val="none"/>
          <w:u w:val="single"/>
        </w:rPr>
      </w:pPr>
    </w:p>
    <w:p w14:paraId="3DF03BB1">
      <w:pPr>
        <w:snapToGrid w:val="0"/>
        <w:spacing w:before="50" w:after="50" w:line="440" w:lineRule="exact"/>
        <w:rPr>
          <w:color w:val="auto"/>
          <w:szCs w:val="21"/>
          <w:highlight w:val="none"/>
        </w:rPr>
      </w:pPr>
      <w:bookmarkStart w:id="115" w:name="_Hlk89181513"/>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bookmarkEnd w:id="115"/>
    </w:p>
    <w:p w14:paraId="03265656">
      <w:pPr>
        <w:rPr>
          <w:rFonts w:hint="eastAsia"/>
          <w:color w:val="auto"/>
          <w:szCs w:val="21"/>
          <w:highlight w:val="none"/>
        </w:rPr>
      </w:pPr>
    </w:p>
    <w:p w14:paraId="1562C874">
      <w:pPr>
        <w:rPr>
          <w:rFonts w:hint="eastAsia"/>
          <w:color w:val="auto"/>
          <w:szCs w:val="21"/>
          <w:highlight w:val="none"/>
        </w:rPr>
      </w:pPr>
      <w:bookmarkStart w:id="116" w:name="_Hlk19115689"/>
      <w:r>
        <w:rPr>
          <w:color w:val="auto"/>
          <w:szCs w:val="21"/>
          <w:highlight w:val="none"/>
        </w:rPr>
        <w:t>3．</w:t>
      </w:r>
      <w:r>
        <w:rPr>
          <w:rFonts w:hint="eastAsia"/>
          <w:color w:val="auto"/>
          <w:szCs w:val="21"/>
          <w:highlight w:val="none"/>
        </w:rPr>
        <w:t>响应货物或产品的质量保证说明</w:t>
      </w:r>
    </w:p>
    <w:p w14:paraId="23184246">
      <w:pPr>
        <w:rPr>
          <w:rFonts w:hint="eastAsia"/>
          <w:color w:val="auto"/>
          <w:szCs w:val="21"/>
          <w:highlight w:val="none"/>
        </w:rPr>
      </w:pPr>
    </w:p>
    <w:p w14:paraId="4F6E79CD">
      <w:pPr>
        <w:rPr>
          <w:rFonts w:hint="eastAsia"/>
          <w:color w:val="auto"/>
          <w:szCs w:val="21"/>
          <w:highlight w:val="none"/>
        </w:rPr>
      </w:pPr>
    </w:p>
    <w:p w14:paraId="136A2BC0">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0B1C98A6">
      <w:pPr>
        <w:jc w:val="center"/>
        <w:rPr>
          <w:color w:val="auto"/>
          <w:szCs w:val="21"/>
          <w:highlight w:val="none"/>
        </w:rPr>
      </w:pPr>
      <w:r>
        <w:rPr>
          <w:color w:val="auto"/>
          <w:szCs w:val="21"/>
          <w:highlight w:val="none"/>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2F9FA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25FCC9">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52DF39BD">
            <w:pPr>
              <w:snapToGrid w:val="0"/>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3423D35C">
            <w:pPr>
              <w:jc w:val="center"/>
              <w:rPr>
                <w:color w:val="auto"/>
                <w:szCs w:val="21"/>
                <w:highlight w:val="none"/>
              </w:rPr>
            </w:pPr>
            <w:r>
              <w:rPr>
                <w:color w:val="auto"/>
                <w:szCs w:val="21"/>
                <w:highlight w:val="none"/>
              </w:rPr>
              <w:t>适用于</w:t>
            </w:r>
            <w:r>
              <w:rPr>
                <w:rFonts w:hint="eastAsia"/>
                <w:color w:val="auto"/>
                <w:szCs w:val="21"/>
                <w:highlight w:val="none"/>
              </w:rPr>
              <w:t>何种响应货物（产品）名称及规格型号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2BAD7A23">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34259885">
            <w:pPr>
              <w:jc w:val="center"/>
              <w:rPr>
                <w:color w:val="auto"/>
                <w:szCs w:val="21"/>
                <w:highlight w:val="none"/>
              </w:rPr>
            </w:pPr>
            <w:r>
              <w:rPr>
                <w:color w:val="auto"/>
                <w:szCs w:val="21"/>
                <w:highlight w:val="none"/>
              </w:rPr>
              <w:t>优惠单价</w:t>
            </w:r>
          </w:p>
        </w:tc>
      </w:tr>
      <w:tr w14:paraId="0B38B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18E8788">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0280CFB5">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0F46EBB8">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noWrap w:val="0"/>
            <w:vAlign w:val="top"/>
          </w:tcPr>
          <w:p w14:paraId="2621205C">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5B8D39B">
            <w:pPr>
              <w:rPr>
                <w:color w:val="auto"/>
                <w:szCs w:val="21"/>
                <w:highlight w:val="none"/>
              </w:rPr>
            </w:pPr>
          </w:p>
        </w:tc>
      </w:tr>
      <w:tr w14:paraId="0A52D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74219F2">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156FBD0C">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3EDAA2C6">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28EC66D6">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550D7DD">
            <w:pPr>
              <w:rPr>
                <w:color w:val="auto"/>
                <w:szCs w:val="21"/>
                <w:highlight w:val="none"/>
              </w:rPr>
            </w:pPr>
          </w:p>
        </w:tc>
      </w:tr>
      <w:tr w14:paraId="3B20D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DE9C69B">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67584771">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6963AFB1">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6D86403A">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6AF6457">
            <w:pPr>
              <w:rPr>
                <w:color w:val="auto"/>
                <w:szCs w:val="21"/>
                <w:highlight w:val="none"/>
              </w:rPr>
            </w:pPr>
          </w:p>
        </w:tc>
      </w:tr>
    </w:tbl>
    <w:p w14:paraId="04B462B5">
      <w:pPr>
        <w:rPr>
          <w:color w:val="auto"/>
          <w:szCs w:val="21"/>
          <w:highlight w:val="none"/>
        </w:rPr>
      </w:pPr>
    </w:p>
    <w:p w14:paraId="47845BF3">
      <w:pPr>
        <w:rPr>
          <w:rFonts w:hint="eastAsia"/>
          <w:color w:val="auto"/>
          <w:spacing w:val="20"/>
          <w:szCs w:val="21"/>
          <w:highlight w:val="none"/>
          <w:u w:val="single"/>
        </w:rPr>
      </w:pPr>
    </w:p>
    <w:p w14:paraId="61B22F21">
      <w:pPr>
        <w:rPr>
          <w:color w:val="auto"/>
          <w:szCs w:val="21"/>
          <w:highlight w:val="none"/>
        </w:rPr>
      </w:pPr>
      <w:bookmarkStart w:id="117" w:name="_Hlk8918153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6"/>
    <w:bookmarkEnd w:id="117"/>
    <w:p w14:paraId="56F55698">
      <w:pPr>
        <w:snapToGrid w:val="0"/>
        <w:spacing w:before="50" w:after="120" w:afterLines="50" w:line="440" w:lineRule="exact"/>
        <w:jc w:val="left"/>
        <w:rPr>
          <w:rFonts w:hint="eastAsia"/>
          <w:color w:val="auto"/>
          <w:highlight w:val="none"/>
        </w:rPr>
      </w:pPr>
    </w:p>
    <w:p w14:paraId="0BE4BC92">
      <w:pPr>
        <w:snapToGrid w:val="0"/>
        <w:spacing w:before="50" w:after="120" w:afterLines="50" w:line="440" w:lineRule="exact"/>
        <w:jc w:val="left"/>
        <w:rPr>
          <w:color w:val="auto"/>
          <w:szCs w:val="21"/>
          <w:highlight w:val="none"/>
        </w:rPr>
      </w:pPr>
      <w:r>
        <w:rPr>
          <w:color w:val="auto"/>
          <w:szCs w:val="21"/>
          <w:highlight w:val="none"/>
        </w:rPr>
        <w:t>5．</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0B63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0C062A0">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BA7BC5">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AA94E5A">
            <w:pPr>
              <w:snapToGrid w:val="0"/>
              <w:spacing w:before="120" w:beforeLines="50"/>
              <w:jc w:val="center"/>
              <w:rPr>
                <w:color w:val="auto"/>
                <w:szCs w:val="21"/>
                <w:highlight w:val="none"/>
              </w:rPr>
            </w:pPr>
            <w:r>
              <w:rPr>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D56A8CE">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21C90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F837F7E">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BBCFD7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C5BCB8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F4A0B0A">
            <w:pPr>
              <w:snapToGrid w:val="0"/>
              <w:spacing w:before="120" w:beforeLines="50"/>
              <w:jc w:val="center"/>
              <w:rPr>
                <w:color w:val="auto"/>
                <w:szCs w:val="21"/>
                <w:highlight w:val="none"/>
              </w:rPr>
            </w:pPr>
          </w:p>
        </w:tc>
      </w:tr>
      <w:tr w14:paraId="6E639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23240B">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366A36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6994310">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64E9328">
            <w:pPr>
              <w:snapToGrid w:val="0"/>
              <w:spacing w:before="120" w:beforeLines="50"/>
              <w:jc w:val="center"/>
              <w:rPr>
                <w:color w:val="auto"/>
                <w:szCs w:val="21"/>
                <w:highlight w:val="none"/>
              </w:rPr>
            </w:pPr>
          </w:p>
        </w:tc>
      </w:tr>
      <w:bookmarkEnd w:id="114"/>
    </w:tbl>
    <w:p w14:paraId="4D4DF990">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18" w:name="_Hlk48144603"/>
      <w:bookmarkStart w:id="119" w:name="_Hlk89181571"/>
      <w:r>
        <w:rPr>
          <w:rFonts w:ascii="Times New Roman" w:hAnsi="Times New Roman" w:cs="Times New Roman"/>
          <w:color w:val="auto"/>
          <w:highlight w:val="none"/>
        </w:rPr>
        <w:t>注：</w:t>
      </w:r>
      <w:bookmarkStart w:id="120"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0EF64CCF">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1C611C1B">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20"/>
    <w:p w14:paraId="2370DDA8">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18"/>
    <w:p w14:paraId="17933C7A">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9"/>
    <w:p w14:paraId="399D6B93">
      <w:pPr>
        <w:snapToGrid w:val="0"/>
        <w:spacing w:before="50" w:after="120" w:afterLines="50" w:line="440" w:lineRule="exact"/>
        <w:jc w:val="left"/>
        <w:rPr>
          <w:color w:val="auto"/>
          <w:spacing w:val="20"/>
          <w:szCs w:val="21"/>
          <w:highlight w:val="none"/>
          <w:u w:val="single"/>
        </w:rPr>
      </w:pPr>
    </w:p>
    <w:p w14:paraId="37525886">
      <w:pPr>
        <w:snapToGrid w:val="0"/>
        <w:spacing w:before="50" w:after="120" w:afterLines="50" w:line="440" w:lineRule="exact"/>
        <w:jc w:val="left"/>
        <w:rPr>
          <w:color w:val="auto"/>
          <w:spacing w:val="20"/>
          <w:szCs w:val="21"/>
          <w:highlight w:val="none"/>
          <w:u w:val="single"/>
        </w:rPr>
      </w:pPr>
    </w:p>
    <w:p w14:paraId="345FD2EF">
      <w:pPr>
        <w:snapToGrid w:val="0"/>
        <w:spacing w:before="50" w:after="120" w:afterLines="50"/>
        <w:jc w:val="left"/>
        <w:rPr>
          <w:rFonts w:hint="eastAsia"/>
          <w:color w:val="auto"/>
          <w:szCs w:val="21"/>
          <w:highlight w:val="none"/>
        </w:rPr>
      </w:pPr>
      <w:r>
        <w:rPr>
          <w:color w:val="auto"/>
          <w:szCs w:val="21"/>
          <w:highlight w:val="none"/>
        </w:rPr>
        <w:t>6．</w:t>
      </w:r>
      <w:r>
        <w:rPr>
          <w:rFonts w:hint="eastAsia"/>
          <w:color w:val="auto"/>
          <w:szCs w:val="21"/>
          <w:highlight w:val="none"/>
        </w:rPr>
        <w:t>实施</w:t>
      </w:r>
      <w:r>
        <w:rPr>
          <w:color w:val="auto"/>
          <w:szCs w:val="21"/>
          <w:highlight w:val="none"/>
        </w:rPr>
        <w:t>方案。（</w:t>
      </w:r>
      <w:r>
        <w:rPr>
          <w:rFonts w:hint="eastAsia"/>
          <w:color w:val="auto"/>
          <w:szCs w:val="21"/>
          <w:highlight w:val="none"/>
        </w:rPr>
        <w:t>如有，</w:t>
      </w:r>
      <w:r>
        <w:rPr>
          <w:color w:val="auto"/>
          <w:szCs w:val="21"/>
          <w:highlight w:val="none"/>
        </w:rPr>
        <w:t>自行编写）</w:t>
      </w:r>
    </w:p>
    <w:p w14:paraId="7E3E5B2E">
      <w:pPr>
        <w:snapToGrid w:val="0"/>
        <w:spacing w:before="50" w:after="120" w:afterLines="50"/>
        <w:jc w:val="left"/>
        <w:rPr>
          <w:rFonts w:hint="eastAsia"/>
          <w:color w:val="auto"/>
          <w:szCs w:val="21"/>
          <w:highlight w:val="none"/>
        </w:rPr>
      </w:pPr>
    </w:p>
    <w:p w14:paraId="6AD4BAE4">
      <w:pPr>
        <w:snapToGrid w:val="0"/>
        <w:spacing w:before="50" w:after="120" w:afterLines="50"/>
        <w:jc w:val="left"/>
        <w:rPr>
          <w:rFonts w:hint="eastAsia"/>
          <w:color w:val="auto"/>
          <w:szCs w:val="21"/>
          <w:highlight w:val="none"/>
        </w:rPr>
      </w:pPr>
    </w:p>
    <w:p w14:paraId="4883ADA0">
      <w:pPr>
        <w:snapToGrid w:val="0"/>
        <w:spacing w:before="50" w:after="120" w:afterLines="50"/>
        <w:jc w:val="left"/>
        <w:rPr>
          <w:color w:val="auto"/>
          <w:szCs w:val="21"/>
          <w:highlight w:val="none"/>
        </w:rPr>
      </w:pPr>
    </w:p>
    <w:p w14:paraId="1F90E45C">
      <w:pPr>
        <w:snapToGrid w:val="0"/>
        <w:spacing w:before="50" w:after="120" w:afterLines="50"/>
        <w:jc w:val="left"/>
        <w:rPr>
          <w:color w:val="auto"/>
          <w:szCs w:val="21"/>
          <w:highlight w:val="none"/>
        </w:rPr>
      </w:pPr>
      <w:r>
        <w:rPr>
          <w:color w:val="auto"/>
          <w:szCs w:val="21"/>
          <w:highlight w:val="none"/>
        </w:rPr>
        <w:t>7．供应商认为需提供的其他材料（根据采购文件要求编写）</w:t>
      </w:r>
    </w:p>
    <w:p w14:paraId="08797165">
      <w:pPr>
        <w:snapToGrid w:val="0"/>
        <w:spacing w:before="50" w:after="120" w:afterLines="50" w:line="440" w:lineRule="exact"/>
        <w:jc w:val="left"/>
        <w:rPr>
          <w:rFonts w:hint="eastAsia"/>
          <w:color w:val="auto"/>
          <w:spacing w:val="20"/>
          <w:szCs w:val="21"/>
          <w:highlight w:val="none"/>
          <w:u w:val="single"/>
        </w:rPr>
      </w:pPr>
    </w:p>
    <w:p w14:paraId="7A7F78E4">
      <w:pPr>
        <w:snapToGrid w:val="0"/>
        <w:spacing w:before="50" w:after="120" w:afterLines="50"/>
        <w:jc w:val="left"/>
        <w:rPr>
          <w:rFonts w:hint="eastAsia"/>
          <w:color w:val="auto"/>
          <w:spacing w:val="20"/>
          <w:szCs w:val="21"/>
          <w:highlight w:val="none"/>
          <w:u w:val="single"/>
        </w:rPr>
      </w:pPr>
    </w:p>
    <w:p w14:paraId="03EA69D4">
      <w:pPr>
        <w:rPr>
          <w:color w:val="auto"/>
          <w:spacing w:val="20"/>
          <w:szCs w:val="21"/>
          <w:highlight w:val="none"/>
          <w:u w:val="single"/>
        </w:rPr>
      </w:pPr>
    </w:p>
    <w:p w14:paraId="41BE5322">
      <w:pPr>
        <w:rPr>
          <w:color w:val="auto"/>
          <w:szCs w:val="21"/>
          <w:highlight w:val="none"/>
        </w:rPr>
        <w:sectPr>
          <w:pgSz w:w="11906" w:h="16838"/>
          <w:pgMar w:top="1418" w:right="1274" w:bottom="1418" w:left="1418" w:header="851" w:footer="992" w:gutter="0"/>
          <w:cols w:space="720" w:num="1"/>
          <w:docGrid w:linePitch="312" w:charSpace="0"/>
        </w:sectPr>
      </w:pPr>
    </w:p>
    <w:p w14:paraId="3DE93FD8">
      <w:pPr>
        <w:snapToGrid w:val="0"/>
        <w:spacing w:before="50" w:after="120" w:afterLines="50"/>
        <w:jc w:val="left"/>
        <w:rPr>
          <w:rFonts w:hint="eastAsia"/>
          <w:b/>
          <w:color w:val="auto"/>
          <w:szCs w:val="21"/>
          <w:highlight w:val="none"/>
        </w:rPr>
      </w:pPr>
      <w:bookmarkStart w:id="121" w:name="_Hlk21623752"/>
      <w:r>
        <w:rPr>
          <w:color w:val="auto"/>
          <w:szCs w:val="21"/>
          <w:highlight w:val="none"/>
        </w:rPr>
        <w:t>8．近年供应商类似成功案例的业绩证明</w:t>
      </w:r>
    </w:p>
    <w:p w14:paraId="209763F9">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3737"/>
        <w:gridCol w:w="3123"/>
        <w:gridCol w:w="985"/>
        <w:gridCol w:w="985"/>
        <w:gridCol w:w="1314"/>
        <w:gridCol w:w="1971"/>
      </w:tblGrid>
      <w:tr w14:paraId="4B7AC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7" w:hRule="atLeast"/>
        </w:trPr>
        <w:tc>
          <w:tcPr>
            <w:tcW w:w="1062" w:type="dxa"/>
            <w:tcBorders>
              <w:top w:val="single" w:color="auto" w:sz="4" w:space="0"/>
              <w:left w:val="single" w:color="auto" w:sz="4" w:space="0"/>
              <w:right w:val="single" w:color="auto" w:sz="4" w:space="0"/>
            </w:tcBorders>
            <w:noWrap w:val="0"/>
            <w:vAlign w:val="top"/>
          </w:tcPr>
          <w:p w14:paraId="4EBCEEDC">
            <w:pPr>
              <w:snapToGrid w:val="0"/>
              <w:spacing w:line="240" w:lineRule="exact"/>
              <w:jc w:val="center"/>
              <w:rPr>
                <w:color w:val="auto"/>
                <w:szCs w:val="21"/>
                <w:highlight w:val="none"/>
              </w:rPr>
            </w:pPr>
          </w:p>
          <w:p w14:paraId="6CD7C2FB">
            <w:pPr>
              <w:snapToGrid w:val="0"/>
              <w:spacing w:line="240" w:lineRule="exact"/>
              <w:jc w:val="center"/>
              <w:rPr>
                <w:color w:val="auto"/>
                <w:szCs w:val="21"/>
                <w:highlight w:val="none"/>
              </w:rPr>
            </w:pPr>
          </w:p>
          <w:p w14:paraId="6864D6DD">
            <w:pPr>
              <w:snapToGrid w:val="0"/>
              <w:spacing w:line="240" w:lineRule="exact"/>
              <w:jc w:val="center"/>
              <w:rPr>
                <w:color w:val="auto"/>
                <w:szCs w:val="21"/>
                <w:highlight w:val="none"/>
              </w:rPr>
            </w:pPr>
            <w:r>
              <w:rPr>
                <w:rFonts w:hint="eastAsia"/>
                <w:color w:val="auto"/>
                <w:szCs w:val="21"/>
                <w:highlight w:val="none"/>
              </w:rPr>
              <w:t>序号</w:t>
            </w:r>
          </w:p>
        </w:tc>
        <w:tc>
          <w:tcPr>
            <w:tcW w:w="3737" w:type="dxa"/>
            <w:tcBorders>
              <w:top w:val="single" w:color="auto" w:sz="4" w:space="0"/>
              <w:left w:val="single" w:color="auto" w:sz="4" w:space="0"/>
              <w:bottom w:val="single" w:color="auto" w:sz="4" w:space="0"/>
              <w:right w:val="single" w:color="auto" w:sz="4" w:space="0"/>
            </w:tcBorders>
            <w:noWrap w:val="0"/>
            <w:vAlign w:val="center"/>
          </w:tcPr>
          <w:p w14:paraId="549EA079">
            <w:pPr>
              <w:snapToGrid w:val="0"/>
              <w:spacing w:line="240" w:lineRule="exact"/>
              <w:jc w:val="center"/>
              <w:rPr>
                <w:color w:val="auto"/>
                <w:szCs w:val="21"/>
                <w:highlight w:val="none"/>
              </w:rPr>
            </w:pPr>
            <w:r>
              <w:rPr>
                <w:color w:val="auto"/>
                <w:szCs w:val="21"/>
                <w:highlight w:val="none"/>
              </w:rPr>
              <w:t>采购单位名称</w:t>
            </w:r>
          </w:p>
        </w:tc>
        <w:tc>
          <w:tcPr>
            <w:tcW w:w="3123" w:type="dxa"/>
            <w:tcBorders>
              <w:top w:val="single" w:color="auto" w:sz="4" w:space="0"/>
              <w:left w:val="single" w:color="auto" w:sz="4" w:space="0"/>
              <w:bottom w:val="single" w:color="auto" w:sz="4" w:space="0"/>
              <w:right w:val="single" w:color="auto" w:sz="4" w:space="0"/>
            </w:tcBorders>
            <w:noWrap w:val="0"/>
            <w:vAlign w:val="center"/>
          </w:tcPr>
          <w:p w14:paraId="1DB52A23">
            <w:pPr>
              <w:snapToGrid w:val="0"/>
              <w:spacing w:line="240" w:lineRule="exact"/>
              <w:jc w:val="center"/>
              <w:rPr>
                <w:color w:val="auto"/>
                <w:szCs w:val="21"/>
                <w:highlight w:val="none"/>
              </w:rPr>
            </w:pPr>
            <w:r>
              <w:rPr>
                <w:color w:val="auto"/>
                <w:szCs w:val="21"/>
                <w:highlight w:val="none"/>
              </w:rPr>
              <w:t>项目名称或服务内容</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99903DE">
            <w:pPr>
              <w:snapToGrid w:val="0"/>
              <w:spacing w:line="240" w:lineRule="exact"/>
              <w:jc w:val="center"/>
              <w:rPr>
                <w:color w:val="auto"/>
                <w:szCs w:val="21"/>
                <w:highlight w:val="none"/>
              </w:rPr>
            </w:pPr>
            <w:r>
              <w:rPr>
                <w:color w:val="auto"/>
                <w:szCs w:val="21"/>
                <w:highlight w:val="none"/>
              </w:rPr>
              <w:t>服务</w:t>
            </w:r>
          </w:p>
          <w:p w14:paraId="081E83B8">
            <w:pPr>
              <w:snapToGrid w:val="0"/>
              <w:spacing w:line="240" w:lineRule="exact"/>
              <w:jc w:val="center"/>
              <w:rPr>
                <w:color w:val="auto"/>
                <w:szCs w:val="21"/>
                <w:highlight w:val="none"/>
              </w:rPr>
            </w:pPr>
            <w:r>
              <w:rPr>
                <w:color w:val="auto"/>
                <w:szCs w:val="21"/>
                <w:highlight w:val="none"/>
              </w:rPr>
              <w:t>数量或年限</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3873848C">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907D5A0">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7DBC3B47">
            <w:pPr>
              <w:snapToGrid w:val="0"/>
              <w:spacing w:line="240" w:lineRule="exact"/>
              <w:jc w:val="center"/>
              <w:rPr>
                <w:color w:val="auto"/>
                <w:szCs w:val="21"/>
                <w:highlight w:val="none"/>
              </w:rPr>
            </w:pPr>
            <w:r>
              <w:rPr>
                <w:color w:val="auto"/>
                <w:szCs w:val="21"/>
                <w:highlight w:val="none"/>
              </w:rPr>
              <w:t>（元）</w:t>
            </w:r>
          </w:p>
        </w:tc>
        <w:tc>
          <w:tcPr>
            <w:tcW w:w="1971" w:type="dxa"/>
            <w:tcBorders>
              <w:top w:val="single" w:color="auto" w:sz="4" w:space="0"/>
              <w:left w:val="single" w:color="auto" w:sz="4" w:space="0"/>
              <w:bottom w:val="single" w:color="auto" w:sz="4" w:space="0"/>
              <w:right w:val="single" w:color="auto" w:sz="4" w:space="0"/>
            </w:tcBorders>
            <w:noWrap w:val="0"/>
            <w:vAlign w:val="center"/>
          </w:tcPr>
          <w:p w14:paraId="2151238A">
            <w:pPr>
              <w:jc w:val="center"/>
              <w:rPr>
                <w:color w:val="auto"/>
                <w:szCs w:val="21"/>
                <w:highlight w:val="none"/>
              </w:rPr>
            </w:pPr>
            <w:r>
              <w:rPr>
                <w:color w:val="auto"/>
                <w:szCs w:val="21"/>
                <w:highlight w:val="none"/>
              </w:rPr>
              <w:t>采购单位联系人及联系电话</w:t>
            </w:r>
          </w:p>
        </w:tc>
      </w:tr>
      <w:tr w14:paraId="3D37FE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4952E28A">
            <w:pPr>
              <w:snapToGrid w:val="0"/>
              <w:spacing w:line="24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4929C763">
            <w:pPr>
              <w:snapToGrid w:val="0"/>
              <w:spacing w:line="24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294C094A">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CB70C3F">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AB52F0A">
            <w:pPr>
              <w:snapToGrid w:val="0"/>
              <w:spacing w:line="24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0D09F1D9">
            <w:pPr>
              <w:snapToGrid w:val="0"/>
              <w:spacing w:line="24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D111512">
            <w:pPr>
              <w:snapToGrid w:val="0"/>
              <w:spacing w:line="240" w:lineRule="exact"/>
              <w:jc w:val="left"/>
              <w:rPr>
                <w:color w:val="auto"/>
                <w:szCs w:val="21"/>
                <w:highlight w:val="none"/>
              </w:rPr>
            </w:pPr>
          </w:p>
        </w:tc>
      </w:tr>
      <w:tr w14:paraId="338C0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1D7822A0">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22C3A645">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0A2BA55">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65BA279">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212BA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DCDBE54">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0CA31AFB">
            <w:pPr>
              <w:snapToGrid w:val="0"/>
              <w:spacing w:before="50" w:after="120" w:afterLines="50" w:line="400" w:lineRule="exact"/>
              <w:jc w:val="left"/>
              <w:rPr>
                <w:color w:val="auto"/>
                <w:szCs w:val="21"/>
                <w:highlight w:val="none"/>
              </w:rPr>
            </w:pPr>
          </w:p>
        </w:tc>
      </w:tr>
      <w:tr w14:paraId="1AE07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2C1EA3E5">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54EE4E4">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37A5379E">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A55B526">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C20C75">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3A49DDB7">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38E54628">
            <w:pPr>
              <w:snapToGrid w:val="0"/>
              <w:spacing w:before="50" w:after="120" w:afterLines="50" w:line="400" w:lineRule="exact"/>
              <w:jc w:val="left"/>
              <w:rPr>
                <w:color w:val="auto"/>
                <w:szCs w:val="21"/>
                <w:highlight w:val="none"/>
              </w:rPr>
            </w:pPr>
          </w:p>
        </w:tc>
      </w:tr>
      <w:tr w14:paraId="541CA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77DDD16A">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78122CD">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13268BB4">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118A2E">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71854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5A61187F">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530B486">
            <w:pPr>
              <w:snapToGrid w:val="0"/>
              <w:spacing w:before="50" w:after="120" w:afterLines="50" w:line="400" w:lineRule="exact"/>
              <w:jc w:val="left"/>
              <w:rPr>
                <w:color w:val="auto"/>
                <w:szCs w:val="21"/>
                <w:highlight w:val="none"/>
              </w:rPr>
            </w:pPr>
          </w:p>
        </w:tc>
      </w:tr>
      <w:tr w14:paraId="21A7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059EC182">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386EA076">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DA79A0F">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0D86BA7">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A236DDF">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BFA520E">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10F50C78">
            <w:pPr>
              <w:snapToGrid w:val="0"/>
              <w:spacing w:before="50" w:after="120" w:afterLines="50" w:line="400" w:lineRule="exact"/>
              <w:jc w:val="left"/>
              <w:rPr>
                <w:color w:val="auto"/>
                <w:szCs w:val="21"/>
                <w:highlight w:val="none"/>
              </w:rPr>
            </w:pPr>
          </w:p>
        </w:tc>
      </w:tr>
    </w:tbl>
    <w:p w14:paraId="39D1D8EA">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185BC975">
      <w:pPr>
        <w:pStyle w:val="15"/>
        <w:snapToGrid w:val="0"/>
        <w:rPr>
          <w:rFonts w:hint="eastAsia"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以</w:t>
      </w:r>
      <w:r>
        <w:rPr>
          <w:rFonts w:hint="eastAsia" w:ascii="Times New Roman" w:hAnsi="Times New Roman" w:eastAsia="宋体" w:cs="Times New Roman"/>
          <w:color w:val="auto"/>
          <w:sz w:val="21"/>
          <w:szCs w:val="21"/>
          <w:highlight w:val="none"/>
        </w:rPr>
        <w:t>成交</w:t>
      </w:r>
      <w:r>
        <w:rPr>
          <w:rFonts w:ascii="Times New Roman" w:hAnsi="Times New Roman" w:eastAsia="宋体" w:cs="Times New Roman"/>
          <w:color w:val="auto"/>
          <w:sz w:val="21"/>
          <w:szCs w:val="21"/>
          <w:highlight w:val="none"/>
        </w:rPr>
        <w:t>通知书或合同复印件为准</w:t>
      </w:r>
      <w:r>
        <w:rPr>
          <w:rFonts w:hint="eastAsia" w:ascii="Times New Roman" w:hAnsi="Times New Roman" w:eastAsia="宋体" w:cs="Times New Roman"/>
          <w:color w:val="auto"/>
          <w:sz w:val="21"/>
          <w:szCs w:val="21"/>
          <w:highlight w:val="none"/>
        </w:rPr>
        <w:t>。</w:t>
      </w:r>
    </w:p>
    <w:p w14:paraId="49FC4D42">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rPr>
        <w:t>。</w:t>
      </w:r>
    </w:p>
    <w:p w14:paraId="644029E9">
      <w:pPr>
        <w:rPr>
          <w:rFonts w:hint="eastAsia"/>
          <w:color w:val="auto"/>
          <w:highlight w:val="none"/>
        </w:rPr>
      </w:pPr>
      <w:r>
        <w:rPr>
          <w:color w:val="auto"/>
          <w:szCs w:val="21"/>
          <w:highlight w:val="none"/>
        </w:rPr>
        <w:t>（3）</w:t>
      </w:r>
      <w:r>
        <w:rPr>
          <w:color w:val="auto"/>
          <w:highlight w:val="none"/>
        </w:rPr>
        <w:t>本表可拓展</w:t>
      </w:r>
      <w:r>
        <w:rPr>
          <w:rFonts w:hint="eastAsia"/>
          <w:color w:val="auto"/>
          <w:highlight w:val="none"/>
        </w:rPr>
        <w:t>。</w:t>
      </w:r>
    </w:p>
    <w:p w14:paraId="4278E46B">
      <w:pPr>
        <w:snapToGrid w:val="0"/>
        <w:spacing w:before="50"/>
        <w:jc w:val="left"/>
        <w:rPr>
          <w:color w:val="auto"/>
          <w:szCs w:val="21"/>
          <w:highlight w:val="none"/>
        </w:rPr>
      </w:pPr>
    </w:p>
    <w:p w14:paraId="70324D51">
      <w:pPr>
        <w:snapToGrid w:val="0"/>
        <w:spacing w:before="50"/>
        <w:jc w:val="left"/>
        <w:rPr>
          <w:color w:val="auto"/>
          <w:szCs w:val="21"/>
          <w:highlight w:val="none"/>
        </w:rPr>
        <w:sectPr>
          <w:pgSz w:w="16838" w:h="11906" w:orient="landscape"/>
          <w:pgMar w:top="1274" w:right="1418" w:bottom="1418" w:left="1418" w:header="851" w:footer="992" w:gutter="0"/>
          <w:cols w:space="720" w:num="1"/>
          <w:docGrid w:linePitch="312" w:charSpace="0"/>
        </w:sectPr>
      </w:pPr>
      <w:bookmarkStart w:id="122" w:name="_Hlk89181592"/>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w:t>
      </w:r>
      <w:bookmarkEnd w:id="122"/>
      <w:r>
        <w:rPr>
          <w:color w:val="auto"/>
          <w:szCs w:val="21"/>
          <w:highlight w:val="none"/>
        </w:rPr>
        <w:t xml:space="preserve">                                   年    月   日</w:t>
      </w:r>
    </w:p>
    <w:bookmarkEnd w:id="121"/>
    <w:p w14:paraId="7543397E">
      <w:pPr>
        <w:snapToGrid w:val="0"/>
        <w:spacing w:before="50" w:after="120" w:afterLines="50"/>
        <w:jc w:val="left"/>
        <w:rPr>
          <w:color w:val="auto"/>
          <w:szCs w:val="21"/>
          <w:highlight w:val="none"/>
        </w:rPr>
      </w:pPr>
      <w:bookmarkStart w:id="123" w:name="_Hlk21623918"/>
      <w:r>
        <w:rPr>
          <w:color w:val="auto"/>
          <w:szCs w:val="21"/>
          <w:highlight w:val="none"/>
        </w:rPr>
        <w:t>9．</w:t>
      </w:r>
      <w:r>
        <w:rPr>
          <w:rFonts w:hint="eastAsia"/>
          <w:color w:val="auto"/>
          <w:szCs w:val="21"/>
          <w:highlight w:val="none"/>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56B9D22B">
      <w:pPr>
        <w:snapToGrid w:val="0"/>
        <w:spacing w:before="50" w:after="120" w:afterLines="50"/>
        <w:jc w:val="left"/>
        <w:rPr>
          <w:color w:val="auto"/>
          <w:szCs w:val="21"/>
          <w:highlight w:val="none"/>
        </w:rPr>
      </w:pPr>
    </w:p>
    <w:p w14:paraId="4EDD9940">
      <w:pPr>
        <w:snapToGrid w:val="0"/>
        <w:spacing w:before="50" w:after="120" w:afterLines="50"/>
        <w:jc w:val="left"/>
        <w:rPr>
          <w:rFonts w:hint="eastAsia"/>
          <w:color w:val="auto"/>
          <w:szCs w:val="21"/>
          <w:highlight w:val="none"/>
        </w:rPr>
      </w:pPr>
      <w:r>
        <w:rPr>
          <w:color w:val="auto"/>
          <w:szCs w:val="21"/>
          <w:highlight w:val="none"/>
        </w:rPr>
        <w:t>10．符合政府采购政策</w:t>
      </w:r>
      <w:r>
        <w:rPr>
          <w:rFonts w:hint="eastAsia"/>
          <w:color w:val="auto"/>
          <w:szCs w:val="21"/>
          <w:highlight w:val="none"/>
        </w:rPr>
        <w:t>的</w:t>
      </w:r>
      <w:r>
        <w:rPr>
          <w:color w:val="auto"/>
          <w:szCs w:val="21"/>
          <w:highlight w:val="none"/>
        </w:rPr>
        <w:t>证明材料。</w:t>
      </w:r>
    </w:p>
    <w:p w14:paraId="0F2E9F8A">
      <w:pPr>
        <w:snapToGrid w:val="0"/>
        <w:spacing w:before="50" w:after="120" w:afterLines="50"/>
        <w:jc w:val="left"/>
        <w:rPr>
          <w:color w:val="auto"/>
          <w:szCs w:val="21"/>
          <w:highlight w:val="none"/>
        </w:rPr>
      </w:pPr>
      <w:r>
        <w:rPr>
          <w:color w:val="auto"/>
          <w:szCs w:val="21"/>
          <w:highlight w:val="none"/>
        </w:rPr>
        <w:t>10</w:t>
      </w:r>
      <w:r>
        <w:rPr>
          <w:rFonts w:hint="eastAsia"/>
          <w:color w:val="auto"/>
          <w:szCs w:val="21"/>
          <w:highlight w:val="none"/>
        </w:rPr>
        <w:t>.1列入节能产品政府采购品目清单及环境标志产品政府采购品目清单的货物清单。</w:t>
      </w:r>
      <w:r>
        <w:rPr>
          <w:rFonts w:hint="eastAsia"/>
          <w:b/>
          <w:color w:val="auto"/>
          <w:szCs w:val="21"/>
          <w:highlight w:val="none"/>
        </w:rPr>
        <w:t>（如有，须提供）</w:t>
      </w:r>
    </w:p>
    <w:p w14:paraId="181D8A5C">
      <w:pPr>
        <w:snapToGrid w:val="0"/>
        <w:spacing w:before="50" w:after="120" w:afterLines="50"/>
        <w:jc w:val="left"/>
        <w:rPr>
          <w:color w:val="auto"/>
          <w:szCs w:val="21"/>
          <w:highlight w:val="none"/>
        </w:rPr>
      </w:pPr>
      <w:r>
        <w:rPr>
          <w:rFonts w:hint="eastAsia"/>
          <w:color w:val="auto"/>
          <w:szCs w:val="21"/>
          <w:highlight w:val="none"/>
        </w:rPr>
        <w:t>投标产品中如有列入节能产品政府采购品目清单及环境标志产品政府采购品目清单的货物，应按下表提供清单。投标文件中</w:t>
      </w:r>
      <w:r>
        <w:rPr>
          <w:rFonts w:hint="eastAsia"/>
          <w:color w:val="auto"/>
          <w:szCs w:val="21"/>
          <w:highlight w:val="none"/>
          <w:lang w:val="en-US" w:eastAsia="zh-CN"/>
        </w:rPr>
        <w:t>同时</w:t>
      </w:r>
      <w:r>
        <w:rPr>
          <w:rFonts w:hint="eastAsia"/>
          <w:color w:val="auto"/>
          <w:szCs w:val="21"/>
          <w:highlight w:val="none"/>
        </w:rPr>
        <w:t>提供所投标产品的节能产品及环境标志认证证书扫描件</w:t>
      </w:r>
    </w:p>
    <w:p w14:paraId="72E44637">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2EE25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53CD865F">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B7B58CB">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133F9ED1">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26C62A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39DF5E06">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A8A03B1">
            <w:pPr>
              <w:widowControl/>
              <w:spacing w:before="100" w:beforeAutospacing="1" w:after="100" w:afterAutospacing="1" w:line="376" w:lineRule="atLeast"/>
              <w:jc w:val="center"/>
              <w:rPr>
                <w:color w:val="auto"/>
                <w:kern w:val="0"/>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0586D1D">
            <w:pPr>
              <w:widowControl/>
              <w:spacing w:before="100" w:beforeAutospacing="1" w:after="100" w:afterAutospacing="1" w:line="376" w:lineRule="atLeast"/>
              <w:jc w:val="center"/>
              <w:rPr>
                <w:rFonts w:hint="eastAsia"/>
                <w:color w:val="auto"/>
                <w:kern w:val="0"/>
                <w:szCs w:val="21"/>
                <w:highlight w:val="none"/>
              </w:rPr>
            </w:pPr>
            <w:r>
              <w:rPr>
                <w:rFonts w:hint="eastAsia"/>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47396806">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备注</w:t>
            </w:r>
          </w:p>
        </w:tc>
      </w:tr>
      <w:tr w14:paraId="4AEED1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CF452BD">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4B19A7F">
            <w:pPr>
              <w:widowControl/>
              <w:spacing w:before="100" w:beforeAutospacing="1" w:after="100" w:afterAutospacing="1" w:line="376" w:lineRule="atLeast"/>
              <w:jc w:val="center"/>
              <w:rPr>
                <w:rFonts w:hint="eastAsia"/>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31F0BD37">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877ACCF">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06730E03">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BEA45BA">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8715D6F">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AEAD909">
            <w:pPr>
              <w:widowControl/>
              <w:spacing w:before="100" w:beforeAutospacing="1" w:after="100" w:afterAutospacing="1" w:line="376" w:lineRule="atLeast"/>
              <w:jc w:val="center"/>
              <w:rPr>
                <w:color w:val="auto"/>
                <w:kern w:val="0"/>
                <w:szCs w:val="21"/>
                <w:highlight w:val="none"/>
              </w:rPr>
            </w:pPr>
          </w:p>
        </w:tc>
      </w:tr>
      <w:tr w14:paraId="0EB864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484B8C24">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F1D4DDA">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835007F">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8C4023F">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4C871A47">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4F98A09">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A00222">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72E3EC52">
            <w:pPr>
              <w:widowControl/>
              <w:spacing w:before="100" w:beforeAutospacing="1" w:after="100" w:afterAutospacing="1" w:line="376" w:lineRule="atLeast"/>
              <w:jc w:val="center"/>
              <w:rPr>
                <w:color w:val="auto"/>
                <w:kern w:val="0"/>
                <w:szCs w:val="21"/>
                <w:highlight w:val="none"/>
              </w:rPr>
            </w:pPr>
          </w:p>
        </w:tc>
      </w:tr>
      <w:tr w14:paraId="10FF2D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F631F87">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D585379">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0A4EFDDD">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028280D">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37C31ED">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314AE33">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5A2EFDC">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E76BA37">
            <w:pPr>
              <w:widowControl/>
              <w:spacing w:before="100" w:beforeAutospacing="1" w:after="100" w:afterAutospacing="1" w:line="376" w:lineRule="atLeast"/>
              <w:jc w:val="center"/>
              <w:rPr>
                <w:color w:val="auto"/>
                <w:kern w:val="0"/>
                <w:szCs w:val="21"/>
                <w:highlight w:val="none"/>
              </w:rPr>
            </w:pPr>
          </w:p>
        </w:tc>
      </w:tr>
    </w:tbl>
    <w:p w14:paraId="3BAB28A9">
      <w:pPr>
        <w:snapToGrid w:val="0"/>
        <w:spacing w:before="50" w:after="120" w:afterLines="50"/>
        <w:jc w:val="left"/>
        <w:rPr>
          <w:rFonts w:hint="eastAsia"/>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64D826ED">
      <w:pPr>
        <w:snapToGrid w:val="0"/>
        <w:spacing w:before="50" w:after="120" w:afterLines="50"/>
        <w:jc w:val="left"/>
        <w:rPr>
          <w:rFonts w:hint="eastAsia"/>
          <w:color w:val="auto"/>
          <w:szCs w:val="21"/>
          <w:highlight w:val="none"/>
        </w:rPr>
      </w:pPr>
    </w:p>
    <w:bookmarkEnd w:id="123"/>
    <w:p w14:paraId="0947D78A">
      <w:pPr>
        <w:snapToGrid w:val="0"/>
        <w:spacing w:before="50" w:after="120" w:afterLines="50"/>
        <w:jc w:val="left"/>
        <w:rPr>
          <w:color w:val="auto"/>
          <w:szCs w:val="21"/>
          <w:highlight w:val="none"/>
        </w:rPr>
      </w:pPr>
    </w:p>
    <w:p w14:paraId="7CFADDBB">
      <w:pPr>
        <w:snapToGrid w:val="0"/>
        <w:spacing w:before="120" w:beforeLines="50" w:after="50" w:line="440" w:lineRule="exact"/>
        <w:jc w:val="left"/>
        <w:rPr>
          <w:color w:val="auto"/>
          <w:szCs w:val="21"/>
          <w:highlight w:val="none"/>
        </w:rPr>
      </w:pPr>
      <w:r>
        <w:rPr>
          <w:color w:val="auto"/>
          <w:szCs w:val="21"/>
          <w:highlight w:val="none"/>
        </w:rPr>
        <w:br w:type="page"/>
      </w:r>
      <w:bookmarkStart w:id="124" w:name="_Hlk19115874"/>
      <w:bookmarkStart w:id="125" w:name="_Hlk132793601"/>
      <w:bookmarkStart w:id="126" w:name="_Hlk93046716"/>
      <w:r>
        <w:rPr>
          <w:color w:val="auto"/>
          <w:szCs w:val="21"/>
          <w:highlight w:val="none"/>
        </w:rPr>
        <w:t>10.2</w:t>
      </w:r>
      <w:r>
        <w:rPr>
          <w:rFonts w:hint="eastAsia"/>
          <w:bCs/>
          <w:color w:val="auto"/>
          <w:szCs w:val="21"/>
          <w:highlight w:val="none"/>
        </w:rPr>
        <w:t>中小企业声明函</w:t>
      </w:r>
      <w:r>
        <w:rPr>
          <w:color w:val="auto"/>
          <w:szCs w:val="21"/>
          <w:highlight w:val="none"/>
        </w:rPr>
        <w:t>。</w:t>
      </w:r>
    </w:p>
    <w:bookmarkEnd w:id="124"/>
    <w:p w14:paraId="7E528ED6">
      <w:pPr>
        <w:spacing w:line="360" w:lineRule="auto"/>
        <w:ind w:firstLine="3584" w:firstLineChars="1700"/>
        <w:rPr>
          <w:b/>
          <w:color w:val="auto"/>
          <w:szCs w:val="21"/>
          <w:highlight w:val="none"/>
        </w:rPr>
      </w:pPr>
      <w:bookmarkStart w:id="127" w:name="_Hlk60651253"/>
    </w:p>
    <w:p w14:paraId="0F7B4A3C">
      <w:pPr>
        <w:spacing w:line="360" w:lineRule="auto"/>
        <w:ind w:firstLine="3584" w:firstLineChars="1700"/>
        <w:rPr>
          <w:b/>
          <w:color w:val="auto"/>
          <w:szCs w:val="21"/>
          <w:highlight w:val="none"/>
        </w:rPr>
      </w:pPr>
      <w:bookmarkStart w:id="128" w:name="_Hlk60649458"/>
      <w:bookmarkStart w:id="129" w:name="_Hlk60653683"/>
      <w:r>
        <w:rPr>
          <w:rFonts w:hint="eastAsia"/>
          <w:b/>
          <w:color w:val="auto"/>
          <w:szCs w:val="21"/>
          <w:highlight w:val="none"/>
        </w:rPr>
        <w:t>中小企业声明函（货物）</w:t>
      </w:r>
    </w:p>
    <w:p w14:paraId="235202AA">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7E6F24C0">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2D57077F">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3C17C052">
      <w:pPr>
        <w:spacing w:line="360" w:lineRule="auto"/>
        <w:ind w:firstLine="420"/>
        <w:rPr>
          <w:bCs/>
          <w:color w:val="auto"/>
          <w:szCs w:val="21"/>
          <w:highlight w:val="none"/>
        </w:rPr>
      </w:pPr>
      <w:r>
        <w:rPr>
          <w:rFonts w:hint="eastAsia"/>
          <w:bCs/>
          <w:color w:val="auto"/>
          <w:szCs w:val="21"/>
          <w:highlight w:val="none"/>
        </w:rPr>
        <w:t>……</w:t>
      </w:r>
    </w:p>
    <w:p w14:paraId="2D26DC07">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01B3615D">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7B68D690">
      <w:pPr>
        <w:spacing w:line="360" w:lineRule="auto"/>
        <w:ind w:firstLine="3150" w:firstLineChars="150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(电子签章</w:t>
      </w:r>
      <w:r>
        <w:rPr>
          <w:color w:val="auto"/>
          <w:szCs w:val="21"/>
          <w:highlight w:val="none"/>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5E051A94">
      <w:pPr>
        <w:spacing w:line="360" w:lineRule="auto"/>
        <w:jc w:val="left"/>
        <w:rPr>
          <w:bCs/>
          <w:color w:val="auto"/>
          <w:szCs w:val="21"/>
          <w:highlight w:val="none"/>
        </w:rPr>
      </w:pPr>
      <w:bookmarkStart w:id="130" w:name="_Hlk65852026"/>
      <w:r>
        <w:rPr>
          <w:rFonts w:hint="eastAsia"/>
          <w:bCs/>
          <w:color w:val="auto"/>
          <w:szCs w:val="21"/>
          <w:highlight w:val="none"/>
        </w:rPr>
        <w:t>注：</w:t>
      </w:r>
    </w:p>
    <w:bookmarkEnd w:id="127"/>
    <w:bookmarkEnd w:id="128"/>
    <w:bookmarkEnd w:id="129"/>
    <w:bookmarkEnd w:id="130"/>
    <w:p w14:paraId="60323E36">
      <w:pPr>
        <w:spacing w:line="360" w:lineRule="auto"/>
        <w:jc w:val="left"/>
        <w:rPr>
          <w:bCs/>
          <w:color w:val="auto"/>
          <w:szCs w:val="21"/>
          <w:highlight w:val="none"/>
        </w:rPr>
      </w:pPr>
      <w:bookmarkStart w:id="131" w:name="_Hlk19115884"/>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0692EE5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3B4F11A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6C73EDE9">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F6274AE">
      <w:pPr>
        <w:spacing w:line="360" w:lineRule="auto"/>
        <w:jc w:val="left"/>
        <w:rPr>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243C263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5B3A73E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24AA955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3D40A1E">
      <w:pPr>
        <w:snapToGrid w:val="0"/>
        <w:spacing w:before="50" w:after="120" w:afterLines="50"/>
        <w:jc w:val="left"/>
        <w:rPr>
          <w:color w:val="auto"/>
          <w:szCs w:val="21"/>
          <w:highlight w:val="none"/>
        </w:rPr>
      </w:pPr>
    </w:p>
    <w:p w14:paraId="020EF770">
      <w:pPr>
        <w:snapToGrid w:val="0"/>
        <w:spacing w:before="50" w:after="120" w:afterLines="50"/>
        <w:jc w:val="left"/>
        <w:rPr>
          <w:color w:val="auto"/>
          <w:szCs w:val="21"/>
          <w:highlight w:val="none"/>
        </w:rPr>
      </w:pPr>
      <w:r>
        <w:rPr>
          <w:color w:val="auto"/>
          <w:szCs w:val="21"/>
          <w:highlight w:val="none"/>
        </w:rPr>
        <w:t>10.3监狱企业须提供最新一期《XX省监狱企业产品目录》或其他监狱企业证明材料。（非监狱企业无需提供）</w:t>
      </w:r>
    </w:p>
    <w:p w14:paraId="5B4EC99F">
      <w:pPr>
        <w:snapToGrid w:val="0"/>
        <w:spacing w:before="50" w:after="120" w:afterLines="50"/>
        <w:jc w:val="left"/>
        <w:rPr>
          <w:color w:val="auto"/>
          <w:szCs w:val="21"/>
          <w:highlight w:val="none"/>
        </w:rPr>
      </w:pPr>
    </w:p>
    <w:p w14:paraId="5E9498B5">
      <w:pPr>
        <w:widowControl/>
        <w:jc w:val="left"/>
        <w:rPr>
          <w:color w:val="auto"/>
          <w:szCs w:val="21"/>
          <w:highlight w:val="none"/>
        </w:rPr>
      </w:pPr>
      <w:bookmarkStart w:id="132" w:name="_Hlk19051624"/>
      <w:r>
        <w:rPr>
          <w:color w:val="auto"/>
          <w:szCs w:val="21"/>
          <w:highlight w:val="none"/>
        </w:rPr>
        <w:t>10.4</w:t>
      </w:r>
      <w:r>
        <w:rPr>
          <w:color w:val="auto"/>
          <w:highlight w:val="none"/>
        </w:rPr>
        <w:t>残疾人福利性单位须提供《残疾人福利性单位声明函》，格式如下。</w:t>
      </w:r>
      <w:r>
        <w:rPr>
          <w:color w:val="auto"/>
          <w:szCs w:val="21"/>
          <w:highlight w:val="none"/>
        </w:rPr>
        <w:t>（非残疾人福利性单位无需提供）</w:t>
      </w:r>
    </w:p>
    <w:bookmarkEnd w:id="132"/>
    <w:p w14:paraId="4D7156F3">
      <w:pPr>
        <w:spacing w:line="360" w:lineRule="auto"/>
        <w:jc w:val="center"/>
        <w:rPr>
          <w:b/>
          <w:color w:val="auto"/>
          <w:szCs w:val="21"/>
          <w:highlight w:val="none"/>
        </w:rPr>
      </w:pPr>
      <w:bookmarkStart w:id="133" w:name="OLE_LINK13"/>
      <w:bookmarkStart w:id="134" w:name="OLE_LINK14"/>
      <w:r>
        <w:rPr>
          <w:b/>
          <w:color w:val="auto"/>
          <w:szCs w:val="21"/>
          <w:highlight w:val="none"/>
        </w:rPr>
        <w:t>残疾人福利性单位声明函</w:t>
      </w:r>
      <w:bookmarkEnd w:id="133"/>
      <w:bookmarkEnd w:id="134"/>
    </w:p>
    <w:p w14:paraId="4D6A5A49">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4A954A30">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51B1D735">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5155E3CF">
      <w:pPr>
        <w:spacing w:line="360" w:lineRule="auto"/>
        <w:ind w:firstLine="420"/>
        <w:jc w:val="right"/>
        <w:rPr>
          <w:color w:val="auto"/>
          <w:spacing w:val="6"/>
          <w:szCs w:val="21"/>
          <w:highlight w:val="none"/>
        </w:rPr>
      </w:pP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6D81F335">
      <w:pPr>
        <w:spacing w:line="360" w:lineRule="auto"/>
        <w:ind w:firstLine="420"/>
        <w:jc w:val="righ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6BB3E715">
      <w:pPr>
        <w:spacing w:line="360" w:lineRule="auto"/>
        <w:rPr>
          <w:color w:val="auto"/>
          <w:szCs w:val="21"/>
          <w:highlight w:val="none"/>
        </w:rPr>
      </w:pPr>
      <w:bookmarkStart w:id="135" w:name="_Hlk65852042"/>
    </w:p>
    <w:bookmarkEnd w:id="125"/>
    <w:bookmarkEnd w:id="131"/>
    <w:bookmarkEnd w:id="135"/>
    <w:p w14:paraId="5DAE6C34">
      <w:pPr>
        <w:rPr>
          <w:rFonts w:ascii="Calibri" w:hAnsi="Calibri" w:eastAsia="宋体" w:cs="Times New Roman"/>
          <w:color w:val="auto"/>
          <w:kern w:val="0"/>
          <w:sz w:val="28"/>
          <w:szCs w:val="28"/>
          <w:highlight w:val="none"/>
          <w:lang w:val="en-US" w:eastAsia="zh-CN" w:bidi="ar"/>
        </w:rPr>
      </w:pPr>
      <w:r>
        <w:rPr>
          <w:rFonts w:hint="eastAsia"/>
          <w:color w:val="auto"/>
          <w:szCs w:val="21"/>
          <w:highlight w:val="none"/>
          <w:lang w:val="en-US" w:eastAsia="zh-CN"/>
        </w:rPr>
        <w:br w:type="page"/>
      </w:r>
      <w:r>
        <w:rPr>
          <w:rFonts w:hint="eastAsia"/>
          <w:color w:val="auto"/>
          <w:szCs w:val="21"/>
          <w:highlight w:val="none"/>
          <w:lang w:val="en-US" w:eastAsia="zh-CN"/>
        </w:rPr>
        <w:t>10</w:t>
      </w:r>
      <w:r>
        <w:rPr>
          <w:rFonts w:hint="eastAsia" w:ascii="Times New Roman" w:eastAsia="宋体"/>
          <w:color w:val="auto"/>
          <w:szCs w:val="21"/>
          <w:highlight w:val="none"/>
          <w:lang w:val="en-US" w:eastAsia="zh-CN"/>
        </w:rPr>
        <w:t>.</w:t>
      </w:r>
      <w:r>
        <w:rPr>
          <w:rFonts w:hint="eastAsia"/>
          <w:color w:val="auto"/>
          <w:szCs w:val="21"/>
          <w:highlight w:val="none"/>
          <w:lang w:val="en-US" w:eastAsia="zh-CN"/>
        </w:rPr>
        <w:t>5</w:t>
      </w:r>
      <w:r>
        <w:rPr>
          <w:rFonts w:hint="eastAsia" w:ascii="Times New Roman" w:eastAsia="宋体"/>
          <w:color w:val="auto"/>
          <w:szCs w:val="21"/>
          <w:highlight w:val="none"/>
          <w:lang w:val="en-US" w:eastAsia="zh-CN"/>
        </w:rPr>
        <w:t xml:space="preserve"> 如供应</w:t>
      </w:r>
      <w:r>
        <w:rPr>
          <w:rFonts w:hint="eastAsia"/>
          <w:color w:val="auto"/>
          <w:szCs w:val="21"/>
          <w:highlight w:val="none"/>
          <w:lang w:val="en-US" w:eastAsia="zh-CN"/>
        </w:rPr>
        <w:t>商</w:t>
      </w:r>
      <w:r>
        <w:rPr>
          <w:rFonts w:hint="eastAsia" w:ascii="Times New Roman" w:eastAsia="宋体"/>
          <w:color w:val="auto"/>
          <w:szCs w:val="21"/>
          <w:highlight w:val="none"/>
          <w:lang w:val="en-US" w:eastAsia="zh-CN"/>
        </w:rPr>
        <w:t>提供的产品属于本国产品</w:t>
      </w:r>
      <w:r>
        <w:rPr>
          <w:rFonts w:hint="eastAsia"/>
          <w:color w:val="auto"/>
          <w:szCs w:val="21"/>
          <w:highlight w:val="none"/>
        </w:rPr>
        <w:t>，按以下格式提供</w:t>
      </w:r>
      <w:r>
        <w:rPr>
          <w:rFonts w:hint="eastAsia" w:ascii="Times New Roman" w:eastAsia="宋体"/>
          <w:color w:val="auto"/>
          <w:szCs w:val="21"/>
          <w:highlight w:val="none"/>
          <w:lang w:val="en-US" w:eastAsia="zh-CN"/>
        </w:rPr>
        <w:t>关于符合本国产品标准的声明函</w:t>
      </w:r>
      <w:r>
        <w:rPr>
          <w:rFonts w:hint="eastAsia"/>
          <w:color w:val="auto"/>
          <w:szCs w:val="21"/>
          <w:highlight w:val="none"/>
        </w:rPr>
        <w:t>。</w:t>
      </w: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 </w:t>
      </w:r>
    </w:p>
    <w:p w14:paraId="66FF0805">
      <w:pPr>
        <w:spacing w:line="360" w:lineRule="auto"/>
        <w:ind w:firstLine="3584" w:firstLineChars="1700"/>
        <w:rPr>
          <w:rFonts w:hint="eastAsia"/>
          <w:b/>
          <w:color w:val="auto"/>
          <w:szCs w:val="21"/>
          <w:highlight w:val="none"/>
          <w:lang w:val="en-US" w:eastAsia="zh-CN"/>
        </w:rPr>
      </w:pPr>
    </w:p>
    <w:p w14:paraId="594A8CD8">
      <w:pPr>
        <w:spacing w:line="360" w:lineRule="auto"/>
        <w:ind w:firstLine="3584" w:firstLineChars="1700"/>
        <w:rPr>
          <w:rFonts w:hint="eastAsia"/>
          <w:b/>
          <w:color w:val="auto"/>
          <w:szCs w:val="21"/>
          <w:highlight w:val="none"/>
          <w:lang w:val="en-US" w:eastAsia="zh-CN"/>
        </w:rPr>
      </w:pPr>
      <w:r>
        <w:rPr>
          <w:rFonts w:hint="eastAsia" w:ascii="Times New Roman" w:eastAsia="宋体"/>
          <w:b/>
          <w:color w:val="auto"/>
          <w:szCs w:val="21"/>
          <w:highlight w:val="none"/>
          <w:lang w:val="en-US" w:eastAsia="zh-CN"/>
        </w:rPr>
        <w:t>关于符合本国产品标准的声明函</w:t>
      </w:r>
    </w:p>
    <w:p w14:paraId="5F0BFF7F">
      <w:pPr>
        <w:spacing w:line="360" w:lineRule="auto"/>
        <w:ind w:firstLine="3584" w:firstLineChars="1700"/>
        <w:rPr>
          <w:rFonts w:hint="eastAsia"/>
          <w:b/>
          <w:color w:val="auto"/>
          <w:szCs w:val="21"/>
          <w:highlight w:val="none"/>
          <w:lang w:val="en-US" w:eastAsia="zh-CN"/>
        </w:rPr>
      </w:pPr>
    </w:p>
    <w:p w14:paraId="3037E81F">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F629E88">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BB489E6">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FC29288">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p w14:paraId="42B07A80">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本公司（单位）对上述声明内容的真实性负责。如有虚假，愿承担相应法律责任。</w:t>
      </w:r>
    </w:p>
    <w:p w14:paraId="35C49BA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w:t>
      </w:r>
    </w:p>
    <w:p w14:paraId="3123647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公司（单位）名称（盖章）：　        </w:t>
      </w:r>
    </w:p>
    <w:p w14:paraId="50B234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ascii="Calibri" w:hAnsi="Calibri" w:eastAsia="宋体" w:cs="Times New Roman"/>
          <w:color w:val="auto"/>
          <w:kern w:val="0"/>
          <w:sz w:val="28"/>
          <w:szCs w:val="28"/>
          <w:highlight w:val="none"/>
          <w:lang w:val="en-US" w:eastAsia="zh-CN" w:bidi="ar"/>
        </w:rPr>
      </w:pPr>
      <w:r>
        <w:rPr>
          <w:rFonts w:hint="eastAsia" w:ascii="Times New Roman" w:hAnsi="Times New Roman" w:eastAsia="宋体" w:cs="Times New Roman"/>
          <w:color w:val="auto"/>
          <w:kern w:val="2"/>
          <w:sz w:val="21"/>
          <w:szCs w:val="21"/>
          <w:highlight w:val="none"/>
          <w:lang w:val="en-US" w:eastAsia="zh-CN" w:bidi="ar-SA"/>
        </w:rPr>
        <w:t>日期：　     年　  月　  日  </w:t>
      </w: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       </w:t>
      </w:r>
    </w:p>
    <w:p w14:paraId="5B63892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color w:val="auto"/>
          <w:kern w:val="0"/>
          <w:sz w:val="28"/>
          <w:szCs w:val="28"/>
          <w:highlight w:val="none"/>
          <w:lang w:val="en-US" w:eastAsia="zh-CN" w:bidi="ar"/>
        </w:rPr>
      </w:pP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__________________</w:t>
      </w:r>
    </w:p>
    <w:p w14:paraId="40052B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1.产品如有型号，请在“产品名称”栏一并填写。</w:t>
      </w:r>
    </w:p>
    <w:p w14:paraId="4D2C069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2.生产厂名与厂址应与生产厂营业执照载明的相关信息保持一致。</w:t>
      </w:r>
    </w:p>
    <w:p w14:paraId="57F58A0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3.该产品的中国境内生产的组件成本占比相关要求实施前，“规定比例”栏可不填，下同。</w:t>
      </w:r>
    </w:p>
    <w:p w14:paraId="5AEB85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4.该产品的关键组件要求实施前，“关键组件”栏可不填，下同。</w:t>
      </w:r>
    </w:p>
    <w:p w14:paraId="410E9DD3">
      <w:pPr>
        <w:snapToGrid w:val="0"/>
        <w:spacing w:before="50" w:after="120" w:afterLines="50"/>
        <w:jc w:val="left"/>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sectPr>
          <w:headerReference r:id="rId17" w:type="default"/>
          <w:pgSz w:w="11906" w:h="16838"/>
          <w:pgMar w:top="1418" w:right="1274" w:bottom="1418" w:left="1418" w:header="851" w:footer="992" w:gutter="0"/>
          <w:cols w:space="720" w:num="1"/>
          <w:docGrid w:linePitch="312" w:charSpace="0"/>
        </w:sectPr>
      </w:pPr>
      <w:r>
        <w:rPr>
          <w:rFonts w:hint="eastAsia" w:ascii="Times New Roman" w:hAnsi="Times New Roman" w:eastAsia="宋体" w:cs="Times New Roman"/>
          <w:color w:val="auto"/>
          <w:kern w:val="2"/>
          <w:sz w:val="21"/>
          <w:szCs w:val="21"/>
          <w:highlight w:val="none"/>
          <w:lang w:val="en-US" w:eastAsia="zh-CN" w:bidi="ar-SA"/>
        </w:rPr>
        <w:t>5.该产品的关键工序要求实施前，“关键工序”栏可不填，下同</w:t>
      </w:r>
      <w:r>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t>。</w:t>
      </w:r>
    </w:p>
    <w:p w14:paraId="484FA1A8">
      <w:pPr>
        <w:pStyle w:val="1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r>
        <w:rPr>
          <w:rFonts w:hint="eastAsia"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关于符合本国产品标准</w:t>
      </w:r>
      <w:r>
        <w:rPr>
          <w:rFonts w:hint="eastAsia" w:cs="Times New Roman"/>
          <w:color w:val="auto"/>
          <w:kern w:val="2"/>
          <w:sz w:val="21"/>
          <w:szCs w:val="21"/>
          <w:highlight w:val="none"/>
          <w:lang w:val="en-US" w:eastAsia="zh-CN" w:bidi="ar-SA"/>
        </w:rPr>
        <w:t>的</w:t>
      </w:r>
      <w:r>
        <w:rPr>
          <w:rFonts w:hint="eastAsia"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（单一产品采购不填写此函，多产品采购项目或采购包如供应商所有产品均为本国产品且填写《关于符合本国产品标准的声明函》可不填写此函。格式内容仅供参考）</w:t>
      </w:r>
    </w:p>
    <w:p w14:paraId="4DB38418">
      <w:pPr>
        <w:pStyle w:val="19"/>
        <w:rPr>
          <w:rFonts w:hint="eastAsia"/>
          <w:color w:val="auto"/>
          <w:highlight w:val="none"/>
          <w:lang w:val="en-US" w:eastAsia="zh-CN"/>
        </w:rPr>
      </w:pPr>
    </w:p>
    <w:p w14:paraId="3F1A113E">
      <w:pPr>
        <w:pStyle w:val="19"/>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关于符合本国产品标准</w:t>
      </w:r>
      <w:r>
        <w:rPr>
          <w:rFonts w:hint="eastAsia" w:cs="Times New Roman"/>
          <w:b/>
          <w:color w:val="auto"/>
          <w:kern w:val="2"/>
          <w:sz w:val="21"/>
          <w:szCs w:val="21"/>
          <w:highlight w:val="none"/>
          <w:lang w:val="en-US" w:eastAsia="zh-CN" w:bidi="ar-SA"/>
        </w:rPr>
        <w:t>的</w:t>
      </w:r>
      <w:r>
        <w:rPr>
          <w:rFonts w:hint="default" w:ascii="Times New Roman" w:hAnsi="Times New Roman" w:eastAsia="宋体" w:cs="Times New Roman"/>
          <w:b/>
          <w:color w:val="auto"/>
          <w:kern w:val="2"/>
          <w:sz w:val="21"/>
          <w:szCs w:val="21"/>
          <w:highlight w:val="none"/>
          <w:lang w:val="en-US" w:eastAsia="zh-CN" w:bidi="ar-SA"/>
        </w:rPr>
        <w:t>成本占比承诺函</w:t>
      </w:r>
    </w:p>
    <w:p w14:paraId="5BC8B74C">
      <w:pPr>
        <w:pStyle w:val="19"/>
        <w:rPr>
          <w:rFonts w:hint="default"/>
          <w:color w:val="auto"/>
          <w:highlight w:val="none"/>
          <w:lang w:val="en-US" w:eastAsia="zh-CN"/>
        </w:rPr>
      </w:pPr>
    </w:p>
    <w:p w14:paraId="45761782">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致：[采购人/采购代理机构名称]</w:t>
      </w:r>
    </w:p>
    <w:p w14:paraId="252A35D1">
      <w:pPr>
        <w:pStyle w:val="19"/>
        <w:rPr>
          <w:rFonts w:hint="default" w:ascii="Times New Roman" w:hAnsi="Times New Roman" w:eastAsia="宋体" w:cs="Times New Roman"/>
          <w:color w:val="auto"/>
          <w:kern w:val="2"/>
          <w:sz w:val="21"/>
          <w:szCs w:val="21"/>
          <w:highlight w:val="none"/>
          <w:lang w:val="en-US" w:eastAsia="zh-CN" w:bidi="ar-SA"/>
        </w:rPr>
      </w:pPr>
    </w:p>
    <w:p w14:paraId="4828E55F">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本单位就参与[项目名称、编号]项目，郑重承诺如下：</w:t>
      </w:r>
    </w:p>
    <w:p w14:paraId="17A1542D">
      <w:pPr>
        <w:pStyle w:val="19"/>
        <w:rPr>
          <w:rFonts w:hint="default" w:ascii="Times New Roman" w:hAnsi="Times New Roman" w:eastAsia="宋体" w:cs="Times New Roman"/>
          <w:color w:val="auto"/>
          <w:kern w:val="2"/>
          <w:sz w:val="21"/>
          <w:szCs w:val="21"/>
          <w:highlight w:val="none"/>
          <w:lang w:val="en-US" w:eastAsia="zh-CN" w:bidi="ar-SA"/>
        </w:rPr>
      </w:pPr>
    </w:p>
    <w:p w14:paraId="5B81964F">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4648EDD1">
      <w:pPr>
        <w:pStyle w:val="19"/>
        <w:rPr>
          <w:rFonts w:hint="default" w:ascii="Times New Roman" w:hAnsi="Times New Roman" w:eastAsia="宋体" w:cs="Times New Roman"/>
          <w:color w:val="auto"/>
          <w:kern w:val="2"/>
          <w:sz w:val="21"/>
          <w:szCs w:val="21"/>
          <w:highlight w:val="none"/>
          <w:lang w:val="en-US" w:eastAsia="zh-CN" w:bidi="ar-SA"/>
        </w:rPr>
      </w:pPr>
    </w:p>
    <w:p w14:paraId="12AE1EC2">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4E579510">
      <w:pPr>
        <w:pStyle w:val="19"/>
        <w:rPr>
          <w:rFonts w:hint="default" w:ascii="Times New Roman" w:hAnsi="Times New Roman" w:eastAsia="宋体" w:cs="Times New Roman"/>
          <w:color w:val="auto"/>
          <w:kern w:val="2"/>
          <w:sz w:val="21"/>
          <w:szCs w:val="21"/>
          <w:highlight w:val="none"/>
          <w:lang w:val="en-US" w:eastAsia="zh-CN" w:bidi="ar-SA"/>
        </w:rPr>
      </w:pPr>
    </w:p>
    <w:p w14:paraId="465A066E">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65BF2AFD">
      <w:pPr>
        <w:pStyle w:val="19"/>
        <w:rPr>
          <w:rFonts w:hint="default" w:ascii="Times New Roman" w:hAnsi="Times New Roman" w:eastAsia="宋体" w:cs="Times New Roman"/>
          <w:color w:val="auto"/>
          <w:kern w:val="2"/>
          <w:sz w:val="21"/>
          <w:szCs w:val="21"/>
          <w:highlight w:val="none"/>
          <w:lang w:val="en-US" w:eastAsia="zh-CN" w:bidi="ar-SA"/>
        </w:rPr>
      </w:pPr>
    </w:p>
    <w:p w14:paraId="307FFDFD">
      <w:pPr>
        <w:pStyle w:val="19"/>
        <w:jc w:val="righ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供应商名称（盖章）：　        </w:t>
      </w:r>
    </w:p>
    <w:p w14:paraId="6E493D88">
      <w:pPr>
        <w:pStyle w:val="19"/>
        <w:jc w:val="right"/>
        <w:rPr>
          <w:color w:val="auto"/>
          <w:highlight w:val="none"/>
        </w:rPr>
        <w:sectPr>
          <w:pgSz w:w="11906" w:h="16838"/>
          <w:pgMar w:top="1418" w:right="1274" w:bottom="1418" w:left="1418" w:header="851" w:footer="992" w:gutter="0"/>
          <w:cols w:space="720" w:num="1"/>
          <w:docGrid w:linePitch="312" w:charSpace="0"/>
        </w:sectPr>
      </w:pPr>
      <w:r>
        <w:rPr>
          <w:rFonts w:hint="default" w:ascii="Times New Roman" w:hAnsi="Times New Roman" w:eastAsia="宋体" w:cs="Times New Roman"/>
          <w:color w:val="auto"/>
          <w:kern w:val="2"/>
          <w:sz w:val="21"/>
          <w:szCs w:val="21"/>
          <w:highlight w:val="none"/>
          <w:lang w:val="en-US" w:eastAsia="zh-CN" w:bidi="ar-SA"/>
        </w:rPr>
        <w:t>日期：　     年　  月　  日 </w:t>
      </w:r>
    </w:p>
    <w:p w14:paraId="746B0E69">
      <w:pPr>
        <w:snapToGrid w:val="0"/>
        <w:spacing w:before="50" w:after="120" w:afterLines="50"/>
        <w:jc w:val="left"/>
        <w:rPr>
          <w:color w:val="auto"/>
          <w:szCs w:val="21"/>
          <w:highlight w:val="none"/>
        </w:rPr>
      </w:pPr>
      <w:r>
        <w:rPr>
          <w:color w:val="auto"/>
          <w:szCs w:val="21"/>
          <w:highlight w:val="none"/>
        </w:rPr>
        <w:t>11.</w:t>
      </w:r>
      <w:r>
        <w:rPr>
          <w:rFonts w:hint="eastAsia"/>
          <w:color w:val="auto"/>
          <w:highlight w:val="none"/>
        </w:rPr>
        <w:t xml:space="preserve"> </w:t>
      </w:r>
      <w:r>
        <w:rPr>
          <w:rFonts w:hint="eastAsia"/>
          <w:color w:val="auto"/>
          <w:szCs w:val="21"/>
          <w:highlight w:val="none"/>
        </w:rPr>
        <w:t>无串标行为承诺函</w:t>
      </w:r>
    </w:p>
    <w:p w14:paraId="7E705821">
      <w:pPr>
        <w:snapToGrid w:val="0"/>
        <w:spacing w:before="50" w:after="120" w:afterLines="50"/>
        <w:jc w:val="center"/>
        <w:rPr>
          <w:color w:val="auto"/>
          <w:szCs w:val="21"/>
          <w:highlight w:val="none"/>
        </w:rPr>
      </w:pPr>
    </w:p>
    <w:p w14:paraId="78843D6E">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795DEC1D">
      <w:pPr>
        <w:snapToGrid w:val="0"/>
        <w:spacing w:before="50" w:after="120" w:afterLines="50"/>
        <w:jc w:val="left"/>
        <w:rPr>
          <w:color w:val="auto"/>
          <w:szCs w:val="21"/>
          <w:highlight w:val="none"/>
        </w:rPr>
      </w:pPr>
    </w:p>
    <w:p w14:paraId="55C13E53">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17D94B33">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1899F9AA">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463EEF56">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4FB6E594">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0CD1BBEF">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01419E1D">
      <w:pPr>
        <w:snapToGrid w:val="0"/>
        <w:spacing w:before="50" w:after="120" w:afterLines="50"/>
        <w:jc w:val="left"/>
        <w:rPr>
          <w:color w:val="auto"/>
          <w:szCs w:val="21"/>
          <w:highlight w:val="none"/>
        </w:rPr>
      </w:pPr>
      <w:r>
        <w:rPr>
          <w:rFonts w:hint="eastAsia"/>
          <w:color w:val="auto"/>
          <w:szCs w:val="21"/>
          <w:highlight w:val="none"/>
        </w:rPr>
        <w:t>6.不同供应商的谈判保证金从同一单位或者个人账户转出。</w:t>
      </w:r>
    </w:p>
    <w:p w14:paraId="201A4114">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090223CE">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305C1081">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79FAE1C5">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7F09E14C">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37499667">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16BB71BA">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0EEF19B2">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6EC30073">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00CECFA4">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12653C69">
      <w:pPr>
        <w:snapToGrid w:val="0"/>
        <w:spacing w:before="50" w:after="120" w:afterLines="50"/>
        <w:jc w:val="center"/>
        <w:rPr>
          <w:color w:val="auto"/>
          <w:szCs w:val="21"/>
          <w:highlight w:val="none"/>
        </w:rPr>
      </w:pPr>
    </w:p>
    <w:p w14:paraId="430DD0E7">
      <w:pPr>
        <w:snapToGrid w:val="0"/>
        <w:spacing w:before="50" w:after="120" w:afterLines="50"/>
        <w:jc w:val="center"/>
        <w:rPr>
          <w:color w:val="auto"/>
          <w:szCs w:val="21"/>
          <w:highlight w:val="none"/>
        </w:rPr>
      </w:pPr>
    </w:p>
    <w:p w14:paraId="0E6C92D3">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215465C0">
      <w:pPr>
        <w:snapToGrid w:val="0"/>
        <w:spacing w:before="50" w:after="120" w:afterLines="50"/>
        <w:jc w:val="center"/>
        <w:rPr>
          <w:color w:val="auto"/>
          <w:szCs w:val="21"/>
          <w:highlight w:val="none"/>
        </w:rPr>
      </w:pPr>
      <w:r>
        <w:rPr>
          <w:rFonts w:hint="eastAsia"/>
          <w:color w:val="auto"/>
          <w:szCs w:val="21"/>
          <w:highlight w:val="none"/>
        </w:rPr>
        <w:t>日期：  年  月   日</w:t>
      </w:r>
    </w:p>
    <w:bookmarkEnd w:id="126"/>
    <w:p w14:paraId="011BD0C8">
      <w:pPr>
        <w:snapToGrid w:val="0"/>
        <w:spacing w:before="50" w:after="120" w:afterLines="50"/>
        <w:jc w:val="left"/>
        <w:rPr>
          <w:rFonts w:hint="eastAsia"/>
          <w:color w:val="auto"/>
          <w:szCs w:val="21"/>
          <w:highlight w:val="none"/>
        </w:rPr>
      </w:pPr>
    </w:p>
    <w:p w14:paraId="41A14744">
      <w:pPr>
        <w:spacing w:line="360" w:lineRule="exact"/>
        <w:rPr>
          <w:color w:val="auto"/>
          <w:szCs w:val="21"/>
          <w:highlight w:val="none"/>
        </w:rPr>
      </w:pPr>
      <w:r>
        <w:rPr>
          <w:color w:val="auto"/>
          <w:szCs w:val="21"/>
          <w:highlight w:val="none"/>
        </w:rPr>
        <w:br w:type="page"/>
      </w:r>
      <w:r>
        <w:rPr>
          <w:color w:val="auto"/>
          <w:szCs w:val="21"/>
          <w:highlight w:val="none"/>
        </w:rPr>
        <w:t>12．代理服务费承诺书</w:t>
      </w:r>
    </w:p>
    <w:p w14:paraId="7F4DB487">
      <w:pPr>
        <w:spacing w:line="360" w:lineRule="exact"/>
        <w:rPr>
          <w:color w:val="auto"/>
          <w:szCs w:val="21"/>
          <w:highlight w:val="none"/>
        </w:rPr>
      </w:pPr>
      <w:r>
        <w:rPr>
          <w:color w:val="auto"/>
          <w:szCs w:val="21"/>
          <w:highlight w:val="none"/>
        </w:rPr>
        <w:t>致：广西机电设备招标有限公司</w:t>
      </w:r>
    </w:p>
    <w:p w14:paraId="2F0A99BC">
      <w:pPr>
        <w:spacing w:line="360" w:lineRule="exact"/>
        <w:ind w:firstLine="420" w:firstLineChars="200"/>
        <w:rPr>
          <w:color w:val="auto"/>
          <w:szCs w:val="21"/>
          <w:highlight w:val="none"/>
        </w:rPr>
      </w:pPr>
      <w:r>
        <w:rPr>
          <w:color w:val="auto"/>
          <w:szCs w:val="21"/>
          <w:highlight w:val="none"/>
        </w:rPr>
        <w:t>我单位参加了贵方组织的</w:t>
      </w:r>
      <w:r>
        <w:rPr>
          <w:rFonts w:hint="eastAsia"/>
          <w:color w:val="auto"/>
          <w:szCs w:val="21"/>
          <w:highlight w:val="none"/>
        </w:rPr>
        <w:t>谈判</w:t>
      </w:r>
      <w:r>
        <w:rPr>
          <w:color w:val="auto"/>
          <w:szCs w:val="21"/>
          <w:highlight w:val="none"/>
        </w:rPr>
        <w:t>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w:t>
      </w:r>
      <w:r>
        <w:rPr>
          <w:rFonts w:hint="eastAsia"/>
          <w:color w:val="auto"/>
          <w:szCs w:val="21"/>
          <w:highlight w:val="none"/>
        </w:rPr>
        <w:t>谈判</w:t>
      </w:r>
      <w:r>
        <w:rPr>
          <w:color w:val="auto"/>
          <w:szCs w:val="21"/>
          <w:highlight w:val="none"/>
        </w:rPr>
        <w:t>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20225B40">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谈判</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0818A6E6">
      <w:pPr>
        <w:snapToGrid w:val="0"/>
        <w:spacing w:before="50" w:after="120" w:afterLines="50"/>
        <w:ind w:firstLine="420" w:firstLineChars="200"/>
        <w:jc w:val="left"/>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21FD12FD">
      <w:pPr>
        <w:spacing w:line="360" w:lineRule="exact"/>
        <w:ind w:firstLine="420" w:firstLineChars="200"/>
        <w:rPr>
          <w:color w:val="auto"/>
          <w:szCs w:val="21"/>
          <w:highlight w:val="none"/>
        </w:rPr>
      </w:pPr>
      <w:r>
        <w:rPr>
          <w:color w:val="auto"/>
          <w:szCs w:val="21"/>
          <w:highlight w:val="none"/>
        </w:rPr>
        <w:t>第一种方式：一次性足额缴纳代理服务费。</w:t>
      </w:r>
    </w:p>
    <w:p w14:paraId="32BDE350">
      <w:pPr>
        <w:spacing w:line="360" w:lineRule="exact"/>
        <w:ind w:firstLine="420" w:firstLineChars="200"/>
        <w:rPr>
          <w:color w:val="auto"/>
          <w:szCs w:val="21"/>
          <w:highlight w:val="none"/>
        </w:rPr>
      </w:pPr>
      <w:r>
        <w:rPr>
          <w:color w:val="auto"/>
          <w:szCs w:val="21"/>
          <w:highlight w:val="none"/>
        </w:rPr>
        <w:t>第二种方式：从谈判保证金中抵扣代理服务费，不足部分补交。</w:t>
      </w:r>
    </w:p>
    <w:p w14:paraId="74C02836">
      <w:pPr>
        <w:spacing w:line="360" w:lineRule="exact"/>
        <w:ind w:firstLine="420" w:firstLineChars="200"/>
        <w:rPr>
          <w:color w:val="auto"/>
          <w:szCs w:val="21"/>
          <w:highlight w:val="none"/>
        </w:rPr>
      </w:pPr>
      <w:r>
        <w:rPr>
          <w:color w:val="auto"/>
          <w:szCs w:val="21"/>
          <w:highlight w:val="none"/>
        </w:rPr>
        <w:t>2．如我单位谈判保证金无法原路返回，请按下表账户信息无息退还。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CC3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E9F8B43">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542A86FF">
            <w:pPr>
              <w:spacing w:line="360" w:lineRule="exact"/>
              <w:jc w:val="center"/>
              <w:rPr>
                <w:color w:val="auto"/>
                <w:szCs w:val="21"/>
                <w:highlight w:val="none"/>
              </w:rPr>
            </w:pPr>
          </w:p>
        </w:tc>
      </w:tr>
      <w:tr w14:paraId="08FF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0829681">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68E0B88F">
            <w:pPr>
              <w:spacing w:line="360" w:lineRule="exact"/>
              <w:jc w:val="center"/>
              <w:rPr>
                <w:color w:val="auto"/>
                <w:szCs w:val="21"/>
                <w:highlight w:val="none"/>
              </w:rPr>
            </w:pPr>
          </w:p>
        </w:tc>
      </w:tr>
      <w:tr w14:paraId="08C7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1163451">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5F8E3FB8">
            <w:pPr>
              <w:spacing w:line="360" w:lineRule="exact"/>
              <w:jc w:val="center"/>
              <w:rPr>
                <w:color w:val="auto"/>
                <w:szCs w:val="21"/>
                <w:highlight w:val="none"/>
              </w:rPr>
            </w:pPr>
          </w:p>
        </w:tc>
      </w:tr>
      <w:tr w14:paraId="1D69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89DC3DC">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6AFBF4BE">
            <w:pPr>
              <w:spacing w:line="360" w:lineRule="exact"/>
              <w:jc w:val="center"/>
              <w:rPr>
                <w:color w:val="auto"/>
                <w:szCs w:val="21"/>
                <w:highlight w:val="none"/>
              </w:rPr>
            </w:pPr>
          </w:p>
        </w:tc>
      </w:tr>
    </w:tbl>
    <w:p w14:paraId="1B06B00D">
      <w:pPr>
        <w:spacing w:line="360" w:lineRule="exact"/>
        <w:ind w:firstLine="420" w:firstLineChars="200"/>
        <w:rPr>
          <w:color w:val="auto"/>
          <w:szCs w:val="21"/>
          <w:highlight w:val="none"/>
        </w:rPr>
      </w:pPr>
      <w:r>
        <w:rPr>
          <w:color w:val="auto"/>
          <w:szCs w:val="21"/>
          <w:highlight w:val="none"/>
        </w:rPr>
        <w:t>3．如果我单位未遵守有关采购文件关于谈判保证金的规定，贵方可以没收我单位谈判保证金。</w:t>
      </w:r>
    </w:p>
    <w:p w14:paraId="75178524">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55260141">
      <w:pPr>
        <w:spacing w:line="360" w:lineRule="exact"/>
        <w:ind w:firstLine="420" w:firstLineChars="200"/>
        <w:rPr>
          <w:color w:val="auto"/>
          <w:szCs w:val="21"/>
          <w:highlight w:val="none"/>
        </w:rPr>
      </w:pPr>
      <w:r>
        <w:rPr>
          <w:color w:val="auto"/>
          <w:szCs w:val="21"/>
          <w:highlight w:val="none"/>
        </w:rPr>
        <w:t>第一种方式：开具收据。</w:t>
      </w:r>
    </w:p>
    <w:p w14:paraId="14CF0C55">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222453D1">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7737A981">
      <w:pPr>
        <w:spacing w:before="120" w:beforeLines="50" w:line="360" w:lineRule="auto"/>
        <w:jc w:val="left"/>
        <w:rPr>
          <w:color w:val="auto"/>
          <w:szCs w:val="21"/>
          <w:highlight w:val="none"/>
        </w:rPr>
      </w:pPr>
    </w:p>
    <w:p w14:paraId="08BC0A32">
      <w:pPr>
        <w:spacing w:before="120" w:beforeLines="50" w:line="360" w:lineRule="auto"/>
        <w:jc w:val="left"/>
        <w:rPr>
          <w:color w:val="auto"/>
          <w:szCs w:val="21"/>
          <w:highlight w:val="none"/>
          <w:u w:val="single"/>
        </w:rPr>
      </w:pPr>
      <w:bookmarkStart w:id="136" w:name="_Hlk89181633"/>
      <w:r>
        <w:rPr>
          <w:color w:val="auto"/>
          <w:szCs w:val="21"/>
          <w:highlight w:val="none"/>
        </w:rPr>
        <w:t>供应商</w:t>
      </w:r>
      <w:r>
        <w:rPr>
          <w:rFonts w:hint="eastAsia"/>
          <w:color w:val="auto"/>
          <w:szCs w:val="21"/>
          <w:highlight w:val="none"/>
        </w:rPr>
        <w:t>名称(电子签章</w:t>
      </w:r>
      <w:r>
        <w:rPr>
          <w:color w:val="auto"/>
          <w:szCs w:val="21"/>
          <w:highlight w:val="none"/>
        </w:rPr>
        <w:t>)</w:t>
      </w:r>
      <w:bookmarkEnd w:id="136"/>
      <w:r>
        <w:rPr>
          <w:color w:val="auto"/>
          <w:szCs w:val="21"/>
          <w:highlight w:val="none"/>
        </w:rPr>
        <w:t>：</w:t>
      </w:r>
      <w:r>
        <w:rPr>
          <w:color w:val="auto"/>
          <w:szCs w:val="21"/>
          <w:highlight w:val="none"/>
          <w:u w:val="single"/>
        </w:rPr>
        <w:t xml:space="preserve">                              </w:t>
      </w:r>
    </w:p>
    <w:p w14:paraId="2130F277">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1B41863A">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CFB7BD2">
      <w:pPr>
        <w:spacing w:before="120" w:beforeLines="50"/>
        <w:rPr>
          <w:color w:val="auto"/>
          <w:szCs w:val="21"/>
          <w:highlight w:val="none"/>
        </w:rPr>
      </w:pPr>
      <w:r>
        <w:rPr>
          <w:color w:val="auto"/>
          <w:szCs w:val="21"/>
          <w:highlight w:val="none"/>
        </w:rPr>
        <w:t>说明：</w:t>
      </w:r>
    </w:p>
    <w:p w14:paraId="0AA6F38C">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687554CC">
      <w:pPr>
        <w:spacing w:line="340" w:lineRule="exact"/>
        <w:ind w:firstLine="420" w:firstLineChars="200"/>
        <w:rPr>
          <w:color w:val="auto"/>
          <w:szCs w:val="21"/>
          <w:highlight w:val="none"/>
        </w:rPr>
      </w:pPr>
      <w:r>
        <w:rPr>
          <w:color w:val="auto"/>
          <w:szCs w:val="21"/>
          <w:highlight w:val="none"/>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314E6D58">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31EFE0E3">
      <w:pPr>
        <w:rPr>
          <w:rFonts w:hint="default"/>
          <w:color w:val="auto"/>
          <w:sz w:val="24"/>
          <w:szCs w:val="24"/>
          <w:highlight w:val="none"/>
        </w:rPr>
      </w:pPr>
      <w:r>
        <w:rPr>
          <w:rFonts w:hint="default"/>
          <w:color w:val="auto"/>
          <w:sz w:val="24"/>
          <w:szCs w:val="24"/>
          <w:highlight w:val="none"/>
        </w:rPr>
        <w:br w:type="page"/>
      </w:r>
    </w:p>
    <w:p w14:paraId="372930CD">
      <w:pPr>
        <w:snapToGrid w:val="0"/>
        <w:spacing w:before="120" w:beforeLines="50" w:after="50" w:afterLines="0" w:line="440" w:lineRule="exact"/>
        <w:jc w:val="left"/>
        <w:outlineLvl w:val="1"/>
        <w:rPr>
          <w:rFonts w:hint="default"/>
          <w:color w:val="auto"/>
          <w:sz w:val="24"/>
          <w:szCs w:val="24"/>
          <w:highlight w:val="none"/>
        </w:rPr>
      </w:pPr>
      <w:r>
        <w:rPr>
          <w:rFonts w:hint="default"/>
          <w:color w:val="auto"/>
          <w:sz w:val="24"/>
          <w:szCs w:val="24"/>
          <w:highlight w:val="none"/>
        </w:rPr>
        <w:t>3</w:t>
      </w:r>
      <w:r>
        <w:rPr>
          <w:rFonts w:hint="eastAsia"/>
          <w:color w:val="auto"/>
          <w:sz w:val="24"/>
          <w:szCs w:val="24"/>
          <w:highlight w:val="none"/>
          <w:lang w:val="en-US" w:eastAsia="zh-CN"/>
        </w:rPr>
        <w:t>.响应</w:t>
      </w:r>
      <w:r>
        <w:rPr>
          <w:rFonts w:hint="eastAsia"/>
          <w:color w:val="auto"/>
          <w:sz w:val="24"/>
          <w:szCs w:val="24"/>
          <w:highlight w:val="none"/>
        </w:rPr>
        <w:t xml:space="preserve">文件封面参考格式（报价文件）： </w:t>
      </w:r>
    </w:p>
    <w:p w14:paraId="74ED3FEA">
      <w:pPr>
        <w:snapToGrid w:val="0"/>
        <w:spacing w:before="50" w:beforeLines="0" w:after="120" w:afterLines="50" w:line="400" w:lineRule="exact"/>
        <w:jc w:val="left"/>
        <w:rPr>
          <w:rFonts w:hint="default"/>
          <w:color w:val="auto"/>
          <w:sz w:val="24"/>
          <w:szCs w:val="24"/>
          <w:highlight w:val="none"/>
        </w:rPr>
      </w:pPr>
    </w:p>
    <w:p w14:paraId="55CC1FF6">
      <w:pPr>
        <w:snapToGrid w:val="0"/>
        <w:spacing w:before="120" w:beforeLines="50" w:after="50" w:afterLines="0" w:line="360" w:lineRule="exact"/>
        <w:rPr>
          <w:rFonts w:hint="default"/>
          <w:color w:val="auto"/>
          <w:sz w:val="24"/>
          <w:szCs w:val="24"/>
          <w:highlight w:val="none"/>
        </w:rPr>
      </w:pPr>
    </w:p>
    <w:p w14:paraId="7815919B">
      <w:pPr>
        <w:snapToGrid w:val="0"/>
        <w:spacing w:before="120" w:beforeLines="50" w:after="50" w:afterLines="0" w:line="360" w:lineRule="exact"/>
        <w:jc w:val="center"/>
        <w:rPr>
          <w:rFonts w:hint="default"/>
          <w:color w:val="auto"/>
          <w:sz w:val="24"/>
          <w:szCs w:val="24"/>
          <w:highlight w:val="none"/>
        </w:rPr>
      </w:pPr>
    </w:p>
    <w:p w14:paraId="7842C2BB">
      <w:pPr>
        <w:snapToGrid w:val="0"/>
        <w:spacing w:before="120" w:beforeLines="50" w:after="50" w:afterLines="0" w:line="360" w:lineRule="exact"/>
        <w:jc w:val="center"/>
        <w:rPr>
          <w:rFonts w:hint="default"/>
          <w:b/>
          <w:color w:val="auto"/>
          <w:sz w:val="44"/>
          <w:szCs w:val="44"/>
          <w:highlight w:val="none"/>
        </w:rPr>
      </w:pPr>
      <w:r>
        <w:rPr>
          <w:rFonts w:hint="eastAsia"/>
          <w:b/>
          <w:color w:val="auto"/>
          <w:sz w:val="44"/>
          <w:szCs w:val="44"/>
          <w:highlight w:val="none"/>
        </w:rPr>
        <w:t>电子</w:t>
      </w:r>
      <w:r>
        <w:rPr>
          <w:rFonts w:hint="eastAsia"/>
          <w:b/>
          <w:color w:val="auto"/>
          <w:sz w:val="44"/>
          <w:szCs w:val="44"/>
          <w:highlight w:val="none"/>
          <w:lang w:val="en-US" w:eastAsia="zh-CN"/>
        </w:rPr>
        <w:t>响应</w:t>
      </w:r>
      <w:r>
        <w:rPr>
          <w:rFonts w:hint="eastAsia"/>
          <w:b/>
          <w:color w:val="auto"/>
          <w:sz w:val="44"/>
          <w:szCs w:val="44"/>
          <w:highlight w:val="none"/>
        </w:rPr>
        <w:t>文件</w:t>
      </w:r>
    </w:p>
    <w:p w14:paraId="54346E6C">
      <w:pPr>
        <w:snapToGrid w:val="0"/>
        <w:spacing w:before="120" w:beforeLines="50" w:after="50" w:afterLines="0" w:line="360" w:lineRule="exact"/>
        <w:jc w:val="center"/>
        <w:rPr>
          <w:rFonts w:hint="default"/>
          <w:b/>
          <w:color w:val="auto"/>
          <w:sz w:val="44"/>
          <w:szCs w:val="44"/>
          <w:highlight w:val="none"/>
        </w:rPr>
      </w:pPr>
    </w:p>
    <w:p w14:paraId="4E845EFE">
      <w:pPr>
        <w:snapToGrid w:val="0"/>
        <w:spacing w:before="120" w:beforeLines="50" w:after="50" w:afterLines="0" w:line="360" w:lineRule="exact"/>
        <w:jc w:val="center"/>
        <w:rPr>
          <w:rFonts w:hint="default"/>
          <w:b/>
          <w:color w:val="auto"/>
          <w:sz w:val="44"/>
          <w:szCs w:val="44"/>
          <w:highlight w:val="none"/>
        </w:rPr>
      </w:pPr>
    </w:p>
    <w:p w14:paraId="41065B8E">
      <w:pPr>
        <w:snapToGrid w:val="0"/>
        <w:spacing w:before="120" w:beforeLines="50" w:after="50" w:afterLines="0" w:line="360" w:lineRule="exact"/>
        <w:jc w:val="center"/>
        <w:rPr>
          <w:rFonts w:hint="default"/>
          <w:b/>
          <w:color w:val="auto"/>
          <w:sz w:val="44"/>
          <w:szCs w:val="44"/>
          <w:highlight w:val="none"/>
        </w:rPr>
      </w:pPr>
      <w:r>
        <w:rPr>
          <w:rFonts w:hint="eastAsia"/>
          <w:b/>
          <w:color w:val="auto"/>
          <w:sz w:val="44"/>
          <w:szCs w:val="44"/>
          <w:highlight w:val="none"/>
        </w:rPr>
        <w:t>报价文件</w:t>
      </w:r>
    </w:p>
    <w:p w14:paraId="4B2F6FAE">
      <w:pPr>
        <w:snapToGrid w:val="0"/>
        <w:spacing w:before="120" w:beforeLines="50" w:after="50" w:afterLines="0" w:line="360" w:lineRule="exact"/>
        <w:rPr>
          <w:rFonts w:hint="default"/>
          <w:color w:val="auto"/>
          <w:sz w:val="24"/>
          <w:szCs w:val="24"/>
          <w:highlight w:val="none"/>
        </w:rPr>
      </w:pPr>
    </w:p>
    <w:p w14:paraId="480AA174">
      <w:pPr>
        <w:snapToGrid w:val="0"/>
        <w:spacing w:before="120" w:beforeLines="50" w:after="50" w:afterLines="0" w:line="360" w:lineRule="exact"/>
        <w:rPr>
          <w:rFonts w:hint="default"/>
          <w:color w:val="auto"/>
          <w:sz w:val="24"/>
          <w:szCs w:val="24"/>
          <w:highlight w:val="none"/>
        </w:rPr>
      </w:pPr>
    </w:p>
    <w:p w14:paraId="53110F11">
      <w:pPr>
        <w:snapToGrid w:val="0"/>
        <w:spacing w:before="120" w:beforeLines="50" w:after="50" w:afterLines="0" w:line="360" w:lineRule="exact"/>
        <w:rPr>
          <w:rFonts w:hint="default"/>
          <w:color w:val="auto"/>
          <w:sz w:val="24"/>
          <w:szCs w:val="24"/>
          <w:highlight w:val="none"/>
        </w:rPr>
      </w:pPr>
    </w:p>
    <w:p w14:paraId="356B5423">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 xml:space="preserve">项目名称： </w:t>
      </w:r>
    </w:p>
    <w:p w14:paraId="37AE0250">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项目编号：</w:t>
      </w:r>
    </w:p>
    <w:p w14:paraId="09F2E3B1">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分标号：（若无留空或写</w:t>
      </w:r>
      <w:r>
        <w:rPr>
          <w:rFonts w:hint="default"/>
          <w:color w:val="auto"/>
          <w:sz w:val="24"/>
          <w:szCs w:val="24"/>
          <w:highlight w:val="none"/>
        </w:rPr>
        <w:t>“/”</w:t>
      </w:r>
      <w:r>
        <w:rPr>
          <w:rFonts w:hint="eastAsia"/>
          <w:color w:val="auto"/>
          <w:sz w:val="24"/>
          <w:szCs w:val="24"/>
          <w:highlight w:val="none"/>
        </w:rPr>
        <w:t>）</w:t>
      </w:r>
    </w:p>
    <w:p w14:paraId="491886DA">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供应商名称：</w:t>
      </w:r>
    </w:p>
    <w:p w14:paraId="14347C6B">
      <w:pPr>
        <w:snapToGrid w:val="0"/>
        <w:spacing w:before="120" w:beforeLines="50" w:after="50" w:afterLines="0" w:line="360" w:lineRule="exact"/>
        <w:ind w:firstLine="720" w:firstLineChars="300"/>
        <w:rPr>
          <w:rFonts w:hint="eastAsia"/>
          <w:color w:val="auto"/>
          <w:sz w:val="24"/>
          <w:szCs w:val="24"/>
          <w:highlight w:val="none"/>
        </w:rPr>
      </w:pPr>
      <w:r>
        <w:rPr>
          <w:rFonts w:hint="eastAsia"/>
          <w:color w:val="auto"/>
          <w:sz w:val="24"/>
          <w:szCs w:val="24"/>
          <w:highlight w:val="none"/>
        </w:rPr>
        <w:t>供应商地址：</w:t>
      </w:r>
    </w:p>
    <w:p w14:paraId="6636857C">
      <w:pPr>
        <w:snapToGrid w:val="0"/>
        <w:spacing w:before="120" w:beforeLines="50" w:after="50" w:afterLines="0" w:line="360" w:lineRule="exact"/>
        <w:ind w:firstLine="2160" w:firstLineChars="900"/>
        <w:rPr>
          <w:rFonts w:hint="eastAsia"/>
          <w:color w:val="auto"/>
          <w:sz w:val="24"/>
          <w:szCs w:val="24"/>
          <w:highlight w:val="none"/>
        </w:rPr>
      </w:pPr>
      <w:r>
        <w:rPr>
          <w:rFonts w:hint="eastAsia"/>
          <w:color w:val="auto"/>
          <w:sz w:val="24"/>
          <w:szCs w:val="24"/>
          <w:highlight w:val="none"/>
        </w:rPr>
        <w:t xml:space="preserve">                        年  月  日</w:t>
      </w:r>
    </w:p>
    <w:p w14:paraId="6B56FB8B">
      <w:pPr>
        <w:snapToGrid w:val="0"/>
        <w:spacing w:before="120" w:beforeLines="50" w:after="50" w:afterLines="0" w:line="360" w:lineRule="exact"/>
        <w:ind w:firstLine="720" w:firstLineChars="300"/>
        <w:rPr>
          <w:rFonts w:hint="default"/>
          <w:color w:val="auto"/>
          <w:sz w:val="24"/>
          <w:szCs w:val="24"/>
          <w:highlight w:val="none"/>
        </w:rPr>
      </w:pPr>
    </w:p>
    <w:p w14:paraId="37A83AD2">
      <w:pPr>
        <w:snapToGrid w:val="0"/>
        <w:spacing w:before="120" w:beforeLines="50" w:after="50" w:line="440" w:lineRule="exact"/>
        <w:jc w:val="center"/>
        <w:outlineLvl w:val="1"/>
        <w:rPr>
          <w:bCs/>
          <w:color w:val="auto"/>
          <w:sz w:val="24"/>
          <w:highlight w:val="none"/>
        </w:rPr>
        <w:sectPr>
          <w:pgSz w:w="11906" w:h="16838"/>
          <w:pgMar w:top="1418" w:right="1274" w:bottom="1418" w:left="1418" w:header="851" w:footer="992" w:gutter="0"/>
          <w:cols w:space="720" w:num="1"/>
          <w:docGrid w:linePitch="312" w:charSpace="0"/>
        </w:sectPr>
      </w:pPr>
    </w:p>
    <w:p w14:paraId="5E9587AC">
      <w:pPr>
        <w:snapToGrid w:val="0"/>
        <w:spacing w:before="120" w:beforeLines="50" w:after="50" w:line="440" w:lineRule="exact"/>
        <w:jc w:val="center"/>
        <w:outlineLvl w:val="9"/>
        <w:rPr>
          <w:bCs/>
          <w:color w:val="auto"/>
          <w:sz w:val="24"/>
          <w:highlight w:val="none"/>
        </w:rPr>
      </w:pPr>
      <w:r>
        <w:rPr>
          <w:bCs/>
          <w:color w:val="auto"/>
          <w:sz w:val="24"/>
          <w:highlight w:val="none"/>
        </w:rPr>
        <w:t>第三部分 报价文件</w:t>
      </w:r>
    </w:p>
    <w:p w14:paraId="6E45A2C2">
      <w:pPr>
        <w:jc w:val="center"/>
        <w:rPr>
          <w:b/>
          <w:bCs/>
          <w:color w:val="auto"/>
          <w:szCs w:val="21"/>
          <w:highlight w:val="none"/>
        </w:rPr>
      </w:pPr>
    </w:p>
    <w:p w14:paraId="4DD81F06">
      <w:pPr>
        <w:rPr>
          <w:rFonts w:hint="eastAsia"/>
          <w:b/>
          <w:color w:val="auto"/>
          <w:szCs w:val="21"/>
          <w:highlight w:val="none"/>
        </w:rPr>
      </w:pPr>
      <w:bookmarkStart w:id="137" w:name="_Hlk21624060"/>
      <w:r>
        <w:rPr>
          <w:b/>
          <w:color w:val="auto"/>
          <w:szCs w:val="21"/>
          <w:highlight w:val="none"/>
        </w:rPr>
        <w:t>1．响应函格式：</w:t>
      </w:r>
    </w:p>
    <w:p w14:paraId="206F0FC4">
      <w:pPr>
        <w:rPr>
          <w:b/>
          <w:color w:val="auto"/>
          <w:szCs w:val="21"/>
          <w:highlight w:val="none"/>
        </w:rPr>
      </w:pPr>
    </w:p>
    <w:p w14:paraId="51D0EB50">
      <w:pPr>
        <w:jc w:val="center"/>
        <w:rPr>
          <w:b/>
          <w:color w:val="auto"/>
          <w:szCs w:val="21"/>
          <w:highlight w:val="none"/>
        </w:rPr>
      </w:pPr>
      <w:r>
        <w:rPr>
          <w:b/>
          <w:color w:val="auto"/>
          <w:szCs w:val="21"/>
          <w:highlight w:val="none"/>
        </w:rPr>
        <w:t>响 应 函</w:t>
      </w:r>
    </w:p>
    <w:p w14:paraId="5F40E3B1">
      <w:pPr>
        <w:rPr>
          <w:b/>
          <w:color w:val="auto"/>
          <w:szCs w:val="21"/>
          <w:highlight w:val="none"/>
        </w:rPr>
      </w:pPr>
    </w:p>
    <w:p w14:paraId="7C978BD7">
      <w:pPr>
        <w:spacing w:line="360" w:lineRule="auto"/>
        <w:rPr>
          <w:color w:val="auto"/>
          <w:szCs w:val="21"/>
          <w:highlight w:val="none"/>
        </w:rPr>
      </w:pPr>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7AF73104">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p w14:paraId="71D912E2">
      <w:pPr>
        <w:spacing w:line="360" w:lineRule="auto"/>
        <w:ind w:firstLine="420" w:firstLineChars="200"/>
        <w:rPr>
          <w:color w:val="auto"/>
          <w:szCs w:val="21"/>
          <w:highlight w:val="none"/>
        </w:rPr>
      </w:pPr>
      <w:r>
        <w:rPr>
          <w:color w:val="auto"/>
          <w:szCs w:val="21"/>
          <w:highlight w:val="none"/>
        </w:rPr>
        <w:t>据此函，签字代表宣布同意如下：</w:t>
      </w:r>
    </w:p>
    <w:p w14:paraId="49FE48AD">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2EBACD80">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2F0170A8">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54B00F84">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11F8C604">
      <w:pPr>
        <w:spacing w:line="360" w:lineRule="auto"/>
        <w:rPr>
          <w:color w:val="auto"/>
          <w:szCs w:val="21"/>
          <w:highlight w:val="none"/>
        </w:rPr>
      </w:pPr>
      <w:r>
        <w:rPr>
          <w:color w:val="auto"/>
          <w:szCs w:val="21"/>
          <w:highlight w:val="none"/>
        </w:rPr>
        <w:t>（5）供应商同意按照贵方要求提供与谈判有关的一切数据或资料。</w:t>
      </w:r>
    </w:p>
    <w:p w14:paraId="720BBCE1">
      <w:pPr>
        <w:spacing w:line="360" w:lineRule="auto"/>
        <w:rPr>
          <w:color w:val="auto"/>
          <w:szCs w:val="21"/>
          <w:highlight w:val="none"/>
        </w:rPr>
      </w:pPr>
      <w:r>
        <w:rPr>
          <w:color w:val="auto"/>
          <w:szCs w:val="21"/>
          <w:highlight w:val="none"/>
        </w:rPr>
        <w:t>（6）与本项目有关的一切正式往来信函请寄：</w:t>
      </w:r>
    </w:p>
    <w:p w14:paraId="213D81E2">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3CE3C813">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4E26BE30">
      <w:pPr>
        <w:spacing w:line="360" w:lineRule="auto"/>
        <w:rPr>
          <w:rFonts w:hint="eastAsia"/>
          <w:color w:val="auto"/>
          <w:szCs w:val="21"/>
          <w:highlight w:val="none"/>
          <w:u w:val="singl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62DC9D41">
      <w:pPr>
        <w:spacing w:line="360" w:lineRule="auto"/>
        <w:rPr>
          <w:rFonts w:hint="eastAsia"/>
          <w:color w:val="auto"/>
          <w:szCs w:val="21"/>
          <w:highlight w:val="none"/>
          <w:u w:val="single"/>
        </w:rPr>
      </w:pPr>
    </w:p>
    <w:p w14:paraId="51EAA3CD">
      <w:pPr>
        <w:spacing w:line="360" w:lineRule="auto"/>
        <w:rPr>
          <w:rFonts w:hint="eastAsia"/>
          <w:color w:val="auto"/>
          <w:szCs w:val="21"/>
          <w:highlight w:val="none"/>
          <w:u w:val="single"/>
        </w:rPr>
      </w:pPr>
    </w:p>
    <w:p w14:paraId="1F1ED7FC">
      <w:pPr>
        <w:spacing w:line="360" w:lineRule="auto"/>
        <w:rPr>
          <w:color w:val="auto"/>
          <w:szCs w:val="21"/>
          <w:highlight w:val="none"/>
        </w:rPr>
      </w:pPr>
    </w:p>
    <w:p w14:paraId="0ED7BE04">
      <w:pPr>
        <w:spacing w:line="360" w:lineRule="auto"/>
        <w:rPr>
          <w:rFonts w:hint="eastAsia"/>
          <w:color w:val="auto"/>
          <w:szCs w:val="21"/>
          <w:highlight w:val="none"/>
          <w:u w:val="single"/>
        </w:rPr>
      </w:pPr>
      <w:bookmarkStart w:id="138" w:name="_Hlk8918177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bookmarkEnd w:id="138"/>
    <w:p w14:paraId="6D9ECDC4">
      <w:pPr>
        <w:spacing w:line="360" w:lineRule="auto"/>
        <w:rPr>
          <w:rFonts w:hint="eastAsia"/>
          <w:color w:val="auto"/>
          <w:szCs w:val="21"/>
          <w:highlight w:val="none"/>
        </w:rPr>
      </w:pPr>
      <w:r>
        <w:rPr>
          <w:color w:val="auto"/>
          <w:szCs w:val="21"/>
          <w:highlight w:val="none"/>
        </w:rPr>
        <w:t xml:space="preserve">       </w:t>
      </w:r>
    </w:p>
    <w:p w14:paraId="6ED270B5">
      <w:pPr>
        <w:spacing w:line="360" w:lineRule="auto"/>
        <w:rPr>
          <w:rFonts w:hint="eastAsia"/>
          <w:color w:val="auto"/>
          <w:szCs w:val="21"/>
          <w:highlight w:val="none"/>
        </w:rPr>
      </w:pPr>
    </w:p>
    <w:p w14:paraId="4468CA11">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EFA5749">
      <w:pPr>
        <w:rPr>
          <w:b/>
          <w:color w:val="auto"/>
          <w:szCs w:val="21"/>
          <w:highlight w:val="none"/>
        </w:rPr>
      </w:pPr>
      <w:r>
        <w:rPr>
          <w:b/>
          <w:color w:val="auto"/>
          <w:szCs w:val="21"/>
          <w:highlight w:val="none"/>
        </w:rPr>
        <w:br w:type="page"/>
      </w:r>
      <w:bookmarkEnd w:id="137"/>
      <w:r>
        <w:rPr>
          <w:rFonts w:hint="eastAsia"/>
          <w:b/>
          <w:color w:val="auto"/>
          <w:szCs w:val="21"/>
          <w:highlight w:val="none"/>
          <w:lang w:val="en-US" w:eastAsia="zh-CN"/>
        </w:rPr>
        <w:t>2.</w:t>
      </w:r>
      <w:r>
        <w:rPr>
          <w:b/>
          <w:color w:val="auto"/>
          <w:szCs w:val="21"/>
          <w:highlight w:val="none"/>
        </w:rPr>
        <w:t>谈判报价明细表格式：</w:t>
      </w:r>
    </w:p>
    <w:p w14:paraId="0AE28585">
      <w:pPr>
        <w:jc w:val="center"/>
        <w:rPr>
          <w:b/>
          <w:color w:val="auto"/>
          <w:szCs w:val="21"/>
          <w:highlight w:val="none"/>
        </w:rPr>
      </w:pPr>
      <w:r>
        <w:rPr>
          <w:b/>
          <w:color w:val="auto"/>
          <w:szCs w:val="21"/>
          <w:highlight w:val="none"/>
        </w:rPr>
        <w:t>谈判报价明细表</w:t>
      </w:r>
    </w:p>
    <w:p w14:paraId="1AF12486">
      <w:pPr>
        <w:ind w:firstLine="2415" w:firstLineChars="1150"/>
        <w:rPr>
          <w:color w:val="auto"/>
          <w:szCs w:val="21"/>
          <w:highlight w:val="none"/>
        </w:rPr>
      </w:pPr>
      <w:r>
        <w:rPr>
          <w:color w:val="auto"/>
          <w:szCs w:val="21"/>
          <w:highlight w:val="none"/>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46A30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24715A1F">
            <w:pPr>
              <w:jc w:val="center"/>
              <w:rPr>
                <w:color w:val="auto"/>
                <w:spacing w:val="20"/>
                <w:szCs w:val="21"/>
                <w:highlight w:val="none"/>
              </w:rPr>
            </w:pPr>
            <w:r>
              <w:rPr>
                <w:color w:val="auto"/>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E6F347E">
            <w:pPr>
              <w:jc w:val="center"/>
              <w:rPr>
                <w:color w:val="auto"/>
                <w:szCs w:val="21"/>
                <w:highlight w:val="none"/>
              </w:rPr>
            </w:pPr>
            <w:r>
              <w:rPr>
                <w:color w:val="auto"/>
                <w:szCs w:val="21"/>
                <w:highlight w:val="none"/>
              </w:rPr>
              <w:t>产品或服务名称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4943D2">
            <w:pPr>
              <w:jc w:val="center"/>
              <w:rPr>
                <w:color w:val="auto"/>
                <w:szCs w:val="21"/>
                <w:highlight w:val="none"/>
              </w:rPr>
            </w:pPr>
            <w:r>
              <w:rPr>
                <w:color w:val="auto"/>
                <w:szCs w:val="21"/>
                <w:highlight w:val="none"/>
              </w:rPr>
              <w:t>制造商或服务商</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4E7505">
            <w:pPr>
              <w:jc w:val="center"/>
              <w:rPr>
                <w:color w:val="auto"/>
                <w:szCs w:val="21"/>
                <w:highlight w:val="none"/>
              </w:rPr>
            </w:pPr>
            <w:r>
              <w:rPr>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0C7FBC">
            <w:pPr>
              <w:jc w:val="center"/>
              <w:rPr>
                <w:color w:val="auto"/>
                <w:szCs w:val="21"/>
                <w:highlight w:val="none"/>
              </w:rPr>
            </w:pPr>
            <w:r>
              <w:rPr>
                <w:color w:val="auto"/>
                <w:szCs w:val="21"/>
                <w:highlight w:val="none"/>
              </w:rPr>
              <w:t>单位及数量</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8277B1">
            <w:pPr>
              <w:jc w:val="center"/>
              <w:rPr>
                <w:color w:val="auto"/>
                <w:szCs w:val="21"/>
                <w:highlight w:val="none"/>
              </w:rPr>
            </w:pPr>
            <w:r>
              <w:rPr>
                <w:color w:val="auto"/>
                <w:szCs w:val="21"/>
                <w:highlight w:val="none"/>
              </w:rPr>
              <w:t>单价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2FF553">
            <w:pPr>
              <w:jc w:val="center"/>
              <w:rPr>
                <w:rFonts w:hint="eastAsia"/>
                <w:color w:val="auto"/>
                <w:szCs w:val="21"/>
                <w:highlight w:val="none"/>
              </w:rPr>
            </w:pPr>
            <w:r>
              <w:rPr>
                <w:rFonts w:hint="eastAsia"/>
                <w:color w:val="auto"/>
                <w:szCs w:val="21"/>
                <w:highlight w:val="none"/>
              </w:rPr>
              <w:t>合计</w:t>
            </w:r>
          </w:p>
        </w:tc>
      </w:tr>
      <w:tr w14:paraId="3754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41BE19A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6C5BA05">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703A8AA">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50E0D20">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1507D6B">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55F419">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A8412E3">
            <w:pPr>
              <w:jc w:val="center"/>
              <w:rPr>
                <w:color w:val="auto"/>
                <w:spacing w:val="20"/>
                <w:szCs w:val="21"/>
                <w:highlight w:val="none"/>
              </w:rPr>
            </w:pPr>
          </w:p>
        </w:tc>
      </w:tr>
      <w:tr w14:paraId="09DAD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279AE8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EC053D">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07B87F">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36EA1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4E6735F">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7B98B5">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F9612B">
            <w:pPr>
              <w:jc w:val="center"/>
              <w:rPr>
                <w:color w:val="auto"/>
                <w:spacing w:val="20"/>
                <w:szCs w:val="21"/>
                <w:highlight w:val="none"/>
              </w:rPr>
            </w:pPr>
          </w:p>
        </w:tc>
      </w:tr>
      <w:tr w14:paraId="68B9D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9A54EF9">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991BB15">
            <w:pPr>
              <w:jc w:val="center"/>
              <w:rPr>
                <w:color w:val="auto"/>
                <w:spacing w:val="20"/>
                <w:szCs w:val="21"/>
                <w:highlight w:val="none"/>
              </w:rPr>
            </w:pPr>
            <w:r>
              <w:rPr>
                <w:color w:val="auto"/>
                <w:spacing w:val="20"/>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6E4083">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721E25E">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B7D1A63">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7C7D20">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4AF0B6E">
            <w:pPr>
              <w:jc w:val="center"/>
              <w:rPr>
                <w:color w:val="auto"/>
                <w:spacing w:val="20"/>
                <w:szCs w:val="21"/>
                <w:highlight w:val="none"/>
              </w:rPr>
            </w:pPr>
          </w:p>
        </w:tc>
      </w:tr>
    </w:tbl>
    <w:p w14:paraId="0B27B44A">
      <w:pPr>
        <w:rPr>
          <w:color w:val="auto"/>
          <w:spacing w:val="20"/>
          <w:szCs w:val="21"/>
          <w:highlight w:val="none"/>
          <w:u w:val="single"/>
        </w:rPr>
      </w:pPr>
    </w:p>
    <w:p w14:paraId="354D53CC">
      <w:pPr>
        <w:spacing w:line="360" w:lineRule="auto"/>
        <w:rPr>
          <w:color w:val="auto"/>
          <w:spacing w:val="20"/>
          <w:szCs w:val="21"/>
          <w:highlight w:val="none"/>
        </w:rPr>
      </w:pPr>
      <w:bookmarkStart w:id="139" w:name="_Hlk89181787"/>
    </w:p>
    <w:p w14:paraId="385DB03E">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5291008B">
      <w:pPr>
        <w:jc w:val="left"/>
        <w:rPr>
          <w:color w:val="auto"/>
          <w:szCs w:val="21"/>
          <w:highlight w:val="none"/>
        </w:rPr>
      </w:pPr>
    </w:p>
    <w:p w14:paraId="354E1112">
      <w:pPr>
        <w:spacing w:line="360" w:lineRule="auto"/>
        <w:rPr>
          <w:color w:val="auto"/>
          <w:spacing w:val="20"/>
          <w:szCs w:val="21"/>
          <w:highlight w:val="none"/>
        </w:rPr>
      </w:pPr>
    </w:p>
    <w:p w14:paraId="5C17255A">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0AC0FA9">
      <w:pPr>
        <w:spacing w:line="360" w:lineRule="auto"/>
        <w:rPr>
          <w:color w:val="auto"/>
          <w:spacing w:val="20"/>
          <w:szCs w:val="21"/>
          <w:highlight w:val="none"/>
          <w:u w:val="single"/>
        </w:rPr>
      </w:pPr>
      <w:r>
        <w:rPr>
          <w:color w:val="auto"/>
          <w:szCs w:val="21"/>
          <w:highlight w:val="none"/>
        </w:rPr>
        <w:t>日  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bookmarkEnd w:id="139"/>
    <w:p w14:paraId="641F0889">
      <w:pPr>
        <w:snapToGrid w:val="0"/>
        <w:spacing w:before="50" w:after="120" w:afterLines="50"/>
        <w:jc w:val="left"/>
        <w:rPr>
          <w:rFonts w:hint="eastAsia"/>
          <w:color w:val="auto"/>
          <w:szCs w:val="21"/>
          <w:highlight w:val="none"/>
        </w:rPr>
      </w:pPr>
    </w:p>
    <w:p w14:paraId="2A0D0953">
      <w:pPr>
        <w:snapToGrid w:val="0"/>
        <w:spacing w:before="120" w:beforeLines="50" w:after="50" w:line="440" w:lineRule="exact"/>
        <w:jc w:val="left"/>
        <w:outlineLvl w:val="1"/>
        <w:rPr>
          <w:color w:val="auto"/>
          <w:szCs w:val="21"/>
          <w:highlight w:val="none"/>
        </w:rPr>
        <w:sectPr>
          <w:pgSz w:w="11906" w:h="16838"/>
          <w:pgMar w:top="1418" w:right="1274" w:bottom="1418" w:left="1418" w:header="851" w:footer="992" w:gutter="0"/>
          <w:cols w:space="720" w:num="1"/>
          <w:docGrid w:linePitch="312" w:charSpace="0"/>
        </w:sectPr>
      </w:pPr>
    </w:p>
    <w:p w14:paraId="052B5B6E">
      <w:pPr>
        <w:snapToGrid w:val="0"/>
        <w:spacing w:before="50" w:after="120" w:afterLines="50"/>
        <w:jc w:val="left"/>
        <w:rPr>
          <w:color w:val="auto"/>
          <w:szCs w:val="21"/>
          <w:highlight w:val="none"/>
        </w:rPr>
      </w:pPr>
      <w:r>
        <w:rPr>
          <w:rFonts w:hint="eastAsia"/>
          <w:color w:val="auto"/>
          <w:szCs w:val="21"/>
          <w:highlight w:val="none"/>
          <w:lang w:val="en-US" w:eastAsia="zh-CN"/>
        </w:rPr>
        <w:t>3.</w:t>
      </w:r>
      <w:r>
        <w:rPr>
          <w:color w:val="auto"/>
          <w:szCs w:val="21"/>
          <w:highlight w:val="none"/>
        </w:rPr>
        <w:t>过低报价合理性的说明。（如有）</w:t>
      </w:r>
    </w:p>
    <w:p w14:paraId="7A075A8B">
      <w:pPr>
        <w:spacing w:line="360" w:lineRule="auto"/>
        <w:ind w:firstLine="420" w:firstLineChars="200"/>
        <w:rPr>
          <w:rFonts w:hint="eastAsia"/>
          <w:color w:val="auto"/>
          <w:szCs w:val="21"/>
          <w:highlight w:val="none"/>
        </w:rPr>
      </w:pPr>
      <w:bookmarkStart w:id="140" w:name="_Hlk21624143"/>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lang w:eastAsia="zh-CN"/>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59C44341">
      <w:pPr>
        <w:pStyle w:val="120"/>
        <w:jc w:val="center"/>
        <w:rPr>
          <w:b/>
          <w:bCs/>
          <w:color w:val="auto"/>
          <w:highlight w:val="none"/>
        </w:rPr>
      </w:pPr>
      <w:bookmarkStart w:id="141" w:name="_Hlk211331823"/>
    </w:p>
    <w:p w14:paraId="783E9B9E">
      <w:pPr>
        <w:pStyle w:val="120"/>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bookmarkEnd w:id="141"/>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10"/>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10"/>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34743E0">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041B2402">
      <w:pPr>
        <w:widowControl/>
        <w:jc w:val="left"/>
        <w:outlineLvl w:val="1"/>
        <w:rPr>
          <w:color w:val="auto"/>
          <w:szCs w:val="21"/>
          <w:highlight w:val="none"/>
        </w:rPr>
      </w:pPr>
      <w:bookmarkStart w:id="142" w:name="_Hlk89184603"/>
      <w:bookmarkStart w:id="143" w:name="_Hlk89181869"/>
      <w:r>
        <w:rPr>
          <w:rFonts w:hint="eastAsia"/>
          <w:color w:val="auto"/>
          <w:szCs w:val="21"/>
          <w:highlight w:val="none"/>
          <w:lang w:val="en-US" w:eastAsia="zh-CN"/>
        </w:rPr>
        <w:t>5</w:t>
      </w:r>
      <w:r>
        <w:rPr>
          <w:rFonts w:hint="eastAsia"/>
          <w:color w:val="auto"/>
          <w:szCs w:val="21"/>
          <w:highlight w:val="none"/>
        </w:rPr>
        <w:t>.开标一览表</w:t>
      </w:r>
    </w:p>
    <w:p w14:paraId="7330D246">
      <w:pPr>
        <w:widowControl/>
        <w:jc w:val="left"/>
        <w:rPr>
          <w:color w:val="auto"/>
          <w:szCs w:val="21"/>
          <w:highlight w:val="none"/>
        </w:rPr>
      </w:pPr>
    </w:p>
    <w:p w14:paraId="3F920EB1">
      <w:pPr>
        <w:widowControl/>
        <w:jc w:val="left"/>
        <w:rPr>
          <w:color w:val="auto"/>
          <w:szCs w:val="21"/>
          <w:highlight w:val="none"/>
        </w:rPr>
      </w:pPr>
    </w:p>
    <w:p w14:paraId="053178E5">
      <w:pPr>
        <w:widowControl/>
        <w:jc w:val="left"/>
        <w:rPr>
          <w:color w:val="auto"/>
          <w:szCs w:val="21"/>
          <w:highlight w:val="none"/>
        </w:rPr>
      </w:pPr>
    </w:p>
    <w:p w14:paraId="05AA8D6B">
      <w:pPr>
        <w:rPr>
          <w:b/>
          <w:color w:val="auto"/>
          <w:szCs w:val="21"/>
          <w:highlight w:val="none"/>
        </w:rPr>
      </w:pPr>
    </w:p>
    <w:p w14:paraId="676F7CB6">
      <w:pPr>
        <w:rPr>
          <w:b/>
          <w:color w:val="auto"/>
          <w:szCs w:val="21"/>
          <w:highlight w:val="none"/>
        </w:rPr>
      </w:pPr>
    </w:p>
    <w:p w14:paraId="32B68501">
      <w:pPr>
        <w:rPr>
          <w:b/>
          <w:color w:val="auto"/>
          <w:szCs w:val="21"/>
          <w:highlight w:val="none"/>
        </w:rPr>
      </w:pPr>
      <w:r>
        <w:rPr>
          <w:rFonts w:hint="eastAsia"/>
          <w:b/>
          <w:color w:val="auto"/>
          <w:szCs w:val="21"/>
          <w:highlight w:val="none"/>
        </w:rPr>
        <w:t>格式详见广西政府采购云平台，且仅在广西政府采购云平台填写即可。</w:t>
      </w:r>
    </w:p>
    <w:bookmarkEnd w:id="142"/>
    <w:p w14:paraId="7A45542E">
      <w:pPr>
        <w:spacing w:line="340" w:lineRule="exact"/>
        <w:ind w:firstLine="420" w:firstLineChars="200"/>
        <w:rPr>
          <w:color w:val="auto"/>
          <w:szCs w:val="21"/>
          <w:highlight w:val="none"/>
        </w:rPr>
      </w:pPr>
    </w:p>
    <w:bookmarkEnd w:id="140"/>
    <w:bookmarkEnd w:id="143"/>
    <w:p w14:paraId="2878269E">
      <w:pPr>
        <w:rPr>
          <w:b/>
          <w:color w:val="auto"/>
          <w:szCs w:val="21"/>
          <w:highlight w:val="none"/>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panose1 w:val="020B0604020202020204"/>
    <w:charset w:val="00"/>
    <w:family w:val="swiss"/>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E314">
    <w:pPr>
      <w:pStyle w:val="31"/>
      <w:jc w:val="center"/>
    </w:pPr>
  </w:p>
  <w:p w14:paraId="3F3D078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043E">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CE935">
    <w:pPr>
      <w:pStyle w:val="31"/>
      <w:jc w:val="center"/>
    </w:pPr>
    <w:r>
      <w:fldChar w:fldCharType="begin"/>
    </w:r>
    <w:r>
      <w:instrText xml:space="preserve">PAGE   \* MERGEFORMAT</w:instrText>
    </w:r>
    <w:r>
      <w:fldChar w:fldCharType="separate"/>
    </w:r>
    <w:r>
      <w:rPr>
        <w:lang w:val="zh-CN"/>
      </w:rPr>
      <w:t>24</w:t>
    </w:r>
    <w:r>
      <w:fldChar w:fldCharType="end"/>
    </w:r>
  </w:p>
  <w:p w14:paraId="6FBACAE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DD3A">
    <w:pPr>
      <w:pStyle w:val="31"/>
      <w:jc w:val="center"/>
      <w:rPr>
        <w:rFonts w:hint="eastAsia"/>
      </w:rPr>
    </w:pPr>
    <w:r>
      <w:fldChar w:fldCharType="begin"/>
    </w:r>
    <w:r>
      <w:instrText xml:space="preserve">PAGE   \* MERGEFORMAT</w:instrText>
    </w:r>
    <w:r>
      <w:fldChar w:fldCharType="separate"/>
    </w:r>
    <w:r>
      <w:rPr>
        <w:lang w:val="zh-CN"/>
      </w:rPr>
      <w:t>13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E29DB">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42392F87">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FA17">
    <w:pPr>
      <w:pStyle w:val="32"/>
      <w:jc w:val="left"/>
    </w:pPr>
    <w:r>
      <w:rPr>
        <w:rFonts w:hint="eastAsia"/>
      </w:rPr>
      <w:t xml:space="preserve">广西机电设备招标有限公司采购文件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3E0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8066E">
    <w:pPr>
      <w:pStyle w:val="32"/>
      <w:pBdr>
        <w:bottom w:val="single" w:color="auto" w:sz="6" w:space="0"/>
      </w:pBdr>
      <w:jc w:val="left"/>
    </w:pPr>
    <w:r>
      <w:rPr>
        <w:rFonts w:hint="eastAsia"/>
      </w:rPr>
      <w:t xml:space="preserve">广西机电设备招标有限公司采购文件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9746F">
    <w:pPr>
      <w:pStyle w:val="32"/>
      <w:jc w:val="left"/>
    </w:pPr>
    <w:r>
      <w:rPr>
        <w:rFonts w:hint="eastAsia"/>
      </w:rPr>
      <w:t>广西机电设备招标有限公司</w:t>
    </w:r>
    <w:r>
      <w:rPr>
        <w:rFonts w:hint="eastAsia"/>
        <w:lang w:eastAsia="zh-CN"/>
      </w:rPr>
      <w:t>采购文件</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BE5F2">
    <w:pPr>
      <w:pStyle w:val="32"/>
      <w:jc w:val="left"/>
    </w:pPr>
    <w:r>
      <w:rPr>
        <w:rFonts w:hint="eastAsia"/>
      </w:rPr>
      <w:t>广西机电设备招标有限公司</w:t>
    </w:r>
    <w:r>
      <w:rPr>
        <w:rFonts w:hint="eastAsia"/>
        <w:lang w:eastAsia="zh-CN"/>
      </w:rPr>
      <w:t>采购文件</w:t>
    </w:r>
    <w:r>
      <w:rPr>
        <w:rFonts w:hint="eastAsia"/>
      </w:rPr>
      <w:t xml:space="preserve">                                                           </w:t>
    </w:r>
  </w:p>
  <w:p w14:paraId="416DEDBB">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A0EB7">
    <w:pPr>
      <w:pStyle w:val="32"/>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B91E9">
    <w:pPr>
      <w:pStyle w:val="32"/>
      <w:jc w:val="left"/>
    </w:pPr>
    <w:r>
      <w:rPr>
        <w:rFonts w:hint="eastAsia"/>
      </w:rPr>
      <w:t xml:space="preserve">广西机电设备招标有限公司采购文件                                                           </w:t>
    </w:r>
  </w:p>
  <w:p w14:paraId="635FF97A">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0257">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3F26">
    <w:pPr>
      <w:pStyle w:val="32"/>
      <w:jc w:val="left"/>
    </w:pPr>
    <w:r>
      <w:rPr>
        <w:rFonts w:hint="eastAsia"/>
      </w:rPr>
      <w:t xml:space="preserve">广西机电设备招标有限公司采购文件                                                     </w:t>
    </w:r>
  </w:p>
  <w:p w14:paraId="40B3D250">
    <w:pPr>
      <w:pStyle w:val="32"/>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D1BAD">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747E4"/>
    <w:multiLevelType w:val="singleLevel"/>
    <w:tmpl w:val="80B747E4"/>
    <w:lvl w:ilvl="0" w:tentative="0">
      <w:start w:val="1"/>
      <w:numFmt w:val="decimal"/>
      <w:suff w:val="nothing"/>
      <w:lvlText w:val="%1、"/>
      <w:lvlJc w:val="left"/>
    </w:lvl>
  </w:abstractNum>
  <w:abstractNum w:abstractNumId="1">
    <w:nsid w:val="F821F6E0"/>
    <w:multiLevelType w:val="singleLevel"/>
    <w:tmpl w:val="F821F6E0"/>
    <w:lvl w:ilvl="0" w:tentative="0">
      <w:start w:val="1"/>
      <w:numFmt w:val="decimal"/>
      <w:suff w:val="nothing"/>
      <w:lvlText w:val="%1、"/>
      <w:lvlJc w:val="left"/>
    </w:lvl>
  </w:abstractNum>
  <w:abstractNum w:abstractNumId="2">
    <w:nsid w:val="FC19DC97"/>
    <w:multiLevelType w:val="singleLevel"/>
    <w:tmpl w:val="FC19DC97"/>
    <w:lvl w:ilvl="0" w:tentative="0">
      <w:start w:val="1"/>
      <w:numFmt w:val="chineseCounting"/>
      <w:suff w:val="nothing"/>
      <w:lvlText w:val="%1、"/>
      <w:lvlJc w:val="left"/>
      <w:rPr>
        <w:rFonts w:hint="eastAsia"/>
      </w:rPr>
    </w:lvl>
  </w:abstractNum>
  <w:abstractNum w:abstractNumId="3">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FE0CDB8"/>
    <w:multiLevelType w:val="singleLevel"/>
    <w:tmpl w:val="2FE0CDB8"/>
    <w:lvl w:ilvl="0" w:tentative="0">
      <w:start w:val="1"/>
      <w:numFmt w:val="decimal"/>
      <w:lvlText w:val="%1."/>
      <w:lvlJc w:val="left"/>
      <w:pPr>
        <w:tabs>
          <w:tab w:val="left" w:pos="312"/>
        </w:tabs>
      </w:pPr>
    </w:lvl>
  </w:abstractNum>
  <w:abstractNum w:abstractNumId="5">
    <w:nsid w:val="37789A0D"/>
    <w:multiLevelType w:val="singleLevel"/>
    <w:tmpl w:val="37789A0D"/>
    <w:lvl w:ilvl="0" w:tentative="0">
      <w:start w:val="1"/>
      <w:numFmt w:val="decimal"/>
      <w:lvlText w:val="%1."/>
      <w:lvlJc w:val="left"/>
      <w:pPr>
        <w:tabs>
          <w:tab w:val="left" w:pos="312"/>
        </w:tabs>
      </w:pPr>
    </w:lvl>
  </w:abstractNum>
  <w:abstractNum w:abstractNumId="6">
    <w:nsid w:val="37E0F568"/>
    <w:multiLevelType w:val="singleLevel"/>
    <w:tmpl w:val="37E0F568"/>
    <w:lvl w:ilvl="0" w:tentative="0">
      <w:start w:val="1"/>
      <w:numFmt w:val="decimal"/>
      <w:suff w:val="nothing"/>
      <w:lvlText w:val="%1、"/>
      <w:lvlJc w:val="left"/>
    </w:lvl>
  </w:abstractNum>
  <w:abstractNum w:abstractNumId="7">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CA7B18F"/>
    <w:multiLevelType w:val="singleLevel"/>
    <w:tmpl w:val="3CA7B18F"/>
    <w:lvl w:ilvl="0" w:tentative="0">
      <w:start w:val="1"/>
      <w:numFmt w:val="chineseCounting"/>
      <w:suff w:val="nothing"/>
      <w:lvlText w:val="%1、"/>
      <w:lvlJc w:val="left"/>
      <w:rPr>
        <w:rFonts w:hint="eastAsia"/>
      </w:rPr>
    </w:lvl>
  </w:abstractNum>
  <w:abstractNum w:abstractNumId="9">
    <w:nsid w:val="73AC5B76"/>
    <w:multiLevelType w:val="singleLevel"/>
    <w:tmpl w:val="73AC5B76"/>
    <w:lvl w:ilvl="0" w:tentative="0">
      <w:start w:val="1"/>
      <w:numFmt w:val="decimal"/>
      <w:lvlText w:val="%1."/>
      <w:lvlJc w:val="left"/>
      <w:pPr>
        <w:tabs>
          <w:tab w:val="left" w:pos="312"/>
        </w:tabs>
      </w:pPr>
    </w:lvl>
  </w:abstractNum>
  <w:num w:numId="1">
    <w:abstractNumId w:val="9"/>
  </w:num>
  <w:num w:numId="2">
    <w:abstractNumId w:val="8"/>
  </w:num>
  <w:num w:numId="3">
    <w:abstractNumId w:val="0"/>
  </w:num>
  <w:num w:numId="4">
    <w:abstractNumId w:val="5"/>
  </w:num>
  <w:num w:numId="5">
    <w:abstractNumId w:val="6"/>
  </w:num>
  <w:num w:numId="6">
    <w:abstractNumId w:val="4"/>
  </w:num>
  <w:num w:numId="7">
    <w:abstractNumId w:val="2"/>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5CC"/>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282"/>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1DF2"/>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BFA"/>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C7C8A"/>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A67"/>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0F2"/>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047"/>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6E7D"/>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1DC1"/>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5AF"/>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4841"/>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553F"/>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3A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17B"/>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A86"/>
    <w:rsid w:val="00562E3D"/>
    <w:rsid w:val="00563ADB"/>
    <w:rsid w:val="00563BCC"/>
    <w:rsid w:val="00563F75"/>
    <w:rsid w:val="005640EB"/>
    <w:rsid w:val="00565514"/>
    <w:rsid w:val="00565A6B"/>
    <w:rsid w:val="00565D52"/>
    <w:rsid w:val="00565D96"/>
    <w:rsid w:val="00565DB8"/>
    <w:rsid w:val="00566845"/>
    <w:rsid w:val="00566900"/>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5CF"/>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09DA"/>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2164"/>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3E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7F1"/>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210"/>
    <w:rsid w:val="00957B5B"/>
    <w:rsid w:val="009601CB"/>
    <w:rsid w:val="0096059A"/>
    <w:rsid w:val="0096081E"/>
    <w:rsid w:val="00960D39"/>
    <w:rsid w:val="00960F7E"/>
    <w:rsid w:val="009611A5"/>
    <w:rsid w:val="00961742"/>
    <w:rsid w:val="0096193B"/>
    <w:rsid w:val="00961BF0"/>
    <w:rsid w:val="00961C92"/>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3E4"/>
    <w:rsid w:val="0097441E"/>
    <w:rsid w:val="0097556A"/>
    <w:rsid w:val="00975FB0"/>
    <w:rsid w:val="009762C7"/>
    <w:rsid w:val="009766E7"/>
    <w:rsid w:val="0097670F"/>
    <w:rsid w:val="00976C61"/>
    <w:rsid w:val="0097729C"/>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B4E"/>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277"/>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1BF8"/>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DEB"/>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C9A"/>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62"/>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6EFB"/>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59A7"/>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5F64"/>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172"/>
    <w:rsid w:val="00FE5355"/>
    <w:rsid w:val="00FE559F"/>
    <w:rsid w:val="00FE6B63"/>
    <w:rsid w:val="00FE6C1B"/>
    <w:rsid w:val="00FE7473"/>
    <w:rsid w:val="00FE77A6"/>
    <w:rsid w:val="00FE78C0"/>
    <w:rsid w:val="00FE7B51"/>
    <w:rsid w:val="00FE7E3F"/>
    <w:rsid w:val="00FE7EED"/>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1A11A4"/>
    <w:rsid w:val="014B5B44"/>
    <w:rsid w:val="018C5F7F"/>
    <w:rsid w:val="01BE4069"/>
    <w:rsid w:val="01BE5800"/>
    <w:rsid w:val="01C66FA2"/>
    <w:rsid w:val="01E15A31"/>
    <w:rsid w:val="01E46F65"/>
    <w:rsid w:val="02E536DD"/>
    <w:rsid w:val="03F06C42"/>
    <w:rsid w:val="041B3357"/>
    <w:rsid w:val="04334135"/>
    <w:rsid w:val="044508D9"/>
    <w:rsid w:val="04C34346"/>
    <w:rsid w:val="04E30437"/>
    <w:rsid w:val="05F25316"/>
    <w:rsid w:val="05F41FAA"/>
    <w:rsid w:val="063A1C66"/>
    <w:rsid w:val="063B78DC"/>
    <w:rsid w:val="076E0F6D"/>
    <w:rsid w:val="07E84F31"/>
    <w:rsid w:val="0839529D"/>
    <w:rsid w:val="08A56D4F"/>
    <w:rsid w:val="08BB2B43"/>
    <w:rsid w:val="08DA5093"/>
    <w:rsid w:val="09974C33"/>
    <w:rsid w:val="09B82947"/>
    <w:rsid w:val="0A6B5FA5"/>
    <w:rsid w:val="0AB5719A"/>
    <w:rsid w:val="0B5A5032"/>
    <w:rsid w:val="0BF958C7"/>
    <w:rsid w:val="0C143CD0"/>
    <w:rsid w:val="0C395F54"/>
    <w:rsid w:val="0C3F3332"/>
    <w:rsid w:val="0C5A09A9"/>
    <w:rsid w:val="0CDB719E"/>
    <w:rsid w:val="0E0812B7"/>
    <w:rsid w:val="0EAB6A73"/>
    <w:rsid w:val="0F4D0707"/>
    <w:rsid w:val="0FBA2A45"/>
    <w:rsid w:val="0FC41654"/>
    <w:rsid w:val="0FDE7285"/>
    <w:rsid w:val="11280AE6"/>
    <w:rsid w:val="118C2ED5"/>
    <w:rsid w:val="11B83D31"/>
    <w:rsid w:val="123F6BB3"/>
    <w:rsid w:val="12795B29"/>
    <w:rsid w:val="12F62B63"/>
    <w:rsid w:val="13696837"/>
    <w:rsid w:val="13B31AEC"/>
    <w:rsid w:val="13FE3FBA"/>
    <w:rsid w:val="140E1568"/>
    <w:rsid w:val="14404369"/>
    <w:rsid w:val="145A1B30"/>
    <w:rsid w:val="14930855"/>
    <w:rsid w:val="175D674F"/>
    <w:rsid w:val="17CD2550"/>
    <w:rsid w:val="18114189"/>
    <w:rsid w:val="18454928"/>
    <w:rsid w:val="187C6497"/>
    <w:rsid w:val="18F06F2D"/>
    <w:rsid w:val="19421A22"/>
    <w:rsid w:val="19AD7F51"/>
    <w:rsid w:val="19E46B61"/>
    <w:rsid w:val="1A2D4528"/>
    <w:rsid w:val="1ACB3C23"/>
    <w:rsid w:val="1BA50D14"/>
    <w:rsid w:val="1BA677E7"/>
    <w:rsid w:val="1C625D30"/>
    <w:rsid w:val="1C7671E3"/>
    <w:rsid w:val="1C777601"/>
    <w:rsid w:val="1C797204"/>
    <w:rsid w:val="1C8A493E"/>
    <w:rsid w:val="1C9E0249"/>
    <w:rsid w:val="1CCB6998"/>
    <w:rsid w:val="1CD6623F"/>
    <w:rsid w:val="1CF90898"/>
    <w:rsid w:val="1CFA0FE7"/>
    <w:rsid w:val="1D082136"/>
    <w:rsid w:val="1D0D31E0"/>
    <w:rsid w:val="1D8C69C4"/>
    <w:rsid w:val="1DCD6699"/>
    <w:rsid w:val="1E1C7C6C"/>
    <w:rsid w:val="1E786F00"/>
    <w:rsid w:val="1F1F65F5"/>
    <w:rsid w:val="1F343C02"/>
    <w:rsid w:val="1FAC7E53"/>
    <w:rsid w:val="1FB7496C"/>
    <w:rsid w:val="1FC517F2"/>
    <w:rsid w:val="203E7119"/>
    <w:rsid w:val="20517FE3"/>
    <w:rsid w:val="205E17D1"/>
    <w:rsid w:val="20CE2C18"/>
    <w:rsid w:val="217C1DAF"/>
    <w:rsid w:val="218220DE"/>
    <w:rsid w:val="21D53029"/>
    <w:rsid w:val="22130B27"/>
    <w:rsid w:val="222C76C6"/>
    <w:rsid w:val="22466CF3"/>
    <w:rsid w:val="22A344E7"/>
    <w:rsid w:val="22DE3197"/>
    <w:rsid w:val="230E0741"/>
    <w:rsid w:val="23F63E16"/>
    <w:rsid w:val="243A32C2"/>
    <w:rsid w:val="25093A3B"/>
    <w:rsid w:val="25236D0D"/>
    <w:rsid w:val="252F645D"/>
    <w:rsid w:val="258858A9"/>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50072A"/>
    <w:rsid w:val="29BD796F"/>
    <w:rsid w:val="2AAC3644"/>
    <w:rsid w:val="2B563448"/>
    <w:rsid w:val="2B8946FF"/>
    <w:rsid w:val="2C0A4741"/>
    <w:rsid w:val="2CF86E08"/>
    <w:rsid w:val="2D9B15EF"/>
    <w:rsid w:val="2DC72559"/>
    <w:rsid w:val="2E304308"/>
    <w:rsid w:val="2EB26D79"/>
    <w:rsid w:val="2F180BE3"/>
    <w:rsid w:val="2F7145F4"/>
    <w:rsid w:val="2F7437BD"/>
    <w:rsid w:val="30075753"/>
    <w:rsid w:val="30580298"/>
    <w:rsid w:val="30646F90"/>
    <w:rsid w:val="30CB0402"/>
    <w:rsid w:val="31B059BE"/>
    <w:rsid w:val="31E26B4F"/>
    <w:rsid w:val="324D2681"/>
    <w:rsid w:val="328E7E27"/>
    <w:rsid w:val="32CC59DA"/>
    <w:rsid w:val="330B1488"/>
    <w:rsid w:val="34457450"/>
    <w:rsid w:val="345346F9"/>
    <w:rsid w:val="35373F98"/>
    <w:rsid w:val="363B7932"/>
    <w:rsid w:val="36D15C2A"/>
    <w:rsid w:val="36E379E0"/>
    <w:rsid w:val="36FA4BBC"/>
    <w:rsid w:val="371D61FE"/>
    <w:rsid w:val="374B5AC3"/>
    <w:rsid w:val="3793414D"/>
    <w:rsid w:val="38187E4F"/>
    <w:rsid w:val="3820445B"/>
    <w:rsid w:val="38210467"/>
    <w:rsid w:val="38401B73"/>
    <w:rsid w:val="384B1D2A"/>
    <w:rsid w:val="39780BBB"/>
    <w:rsid w:val="39D617F2"/>
    <w:rsid w:val="3A0844B9"/>
    <w:rsid w:val="3A1E77FC"/>
    <w:rsid w:val="3A8A1884"/>
    <w:rsid w:val="3AA107FF"/>
    <w:rsid w:val="3B731AB5"/>
    <w:rsid w:val="3B833738"/>
    <w:rsid w:val="3B874762"/>
    <w:rsid w:val="3B8F70FB"/>
    <w:rsid w:val="3BE463D9"/>
    <w:rsid w:val="3C2527C5"/>
    <w:rsid w:val="3D3F3F96"/>
    <w:rsid w:val="3D6F75C9"/>
    <w:rsid w:val="3DE90F01"/>
    <w:rsid w:val="3E266E35"/>
    <w:rsid w:val="3F014E8A"/>
    <w:rsid w:val="3F7F04D5"/>
    <w:rsid w:val="40A005F0"/>
    <w:rsid w:val="40E548C3"/>
    <w:rsid w:val="417E1386"/>
    <w:rsid w:val="422B6BF4"/>
    <w:rsid w:val="42347713"/>
    <w:rsid w:val="43B00A8F"/>
    <w:rsid w:val="44E958DF"/>
    <w:rsid w:val="45511B47"/>
    <w:rsid w:val="45726666"/>
    <w:rsid w:val="45A15DDB"/>
    <w:rsid w:val="45B22926"/>
    <w:rsid w:val="4681712C"/>
    <w:rsid w:val="468B6718"/>
    <w:rsid w:val="473B23EB"/>
    <w:rsid w:val="47B32EAB"/>
    <w:rsid w:val="47C40E8C"/>
    <w:rsid w:val="482A664E"/>
    <w:rsid w:val="48B1218F"/>
    <w:rsid w:val="48B14AB0"/>
    <w:rsid w:val="48D6123C"/>
    <w:rsid w:val="49150F51"/>
    <w:rsid w:val="49480BD4"/>
    <w:rsid w:val="499F04DF"/>
    <w:rsid w:val="49CB3BFF"/>
    <w:rsid w:val="4A2E50F5"/>
    <w:rsid w:val="4AA4619B"/>
    <w:rsid w:val="4B284D77"/>
    <w:rsid w:val="4BEC1507"/>
    <w:rsid w:val="4CC91D6B"/>
    <w:rsid w:val="4CD363C9"/>
    <w:rsid w:val="4D7F6702"/>
    <w:rsid w:val="4F123950"/>
    <w:rsid w:val="4F134C73"/>
    <w:rsid w:val="50646C06"/>
    <w:rsid w:val="507519D9"/>
    <w:rsid w:val="50EC442B"/>
    <w:rsid w:val="52127D7D"/>
    <w:rsid w:val="52412A63"/>
    <w:rsid w:val="52DB291F"/>
    <w:rsid w:val="53763D4D"/>
    <w:rsid w:val="539C485F"/>
    <w:rsid w:val="54135280"/>
    <w:rsid w:val="551B52D5"/>
    <w:rsid w:val="5526139C"/>
    <w:rsid w:val="552B2D26"/>
    <w:rsid w:val="554E1470"/>
    <w:rsid w:val="55986D51"/>
    <w:rsid w:val="55D42624"/>
    <w:rsid w:val="55DB4F23"/>
    <w:rsid w:val="56133CA0"/>
    <w:rsid w:val="56DD4ABD"/>
    <w:rsid w:val="5703231E"/>
    <w:rsid w:val="57116442"/>
    <w:rsid w:val="573D0CDB"/>
    <w:rsid w:val="578D3493"/>
    <w:rsid w:val="586A7A45"/>
    <w:rsid w:val="588F7387"/>
    <w:rsid w:val="58914C8B"/>
    <w:rsid w:val="58E3423E"/>
    <w:rsid w:val="58F23ED5"/>
    <w:rsid w:val="593B5F4A"/>
    <w:rsid w:val="5956205C"/>
    <w:rsid w:val="59774744"/>
    <w:rsid w:val="599E6CB8"/>
    <w:rsid w:val="59C72015"/>
    <w:rsid w:val="59E031E2"/>
    <w:rsid w:val="5AA974E8"/>
    <w:rsid w:val="5B8340E7"/>
    <w:rsid w:val="5B8D0599"/>
    <w:rsid w:val="5B937814"/>
    <w:rsid w:val="5BA627EA"/>
    <w:rsid w:val="5BAA125C"/>
    <w:rsid w:val="5C6E79F1"/>
    <w:rsid w:val="5C8657B1"/>
    <w:rsid w:val="5CA73484"/>
    <w:rsid w:val="5CE5499C"/>
    <w:rsid w:val="5D77243C"/>
    <w:rsid w:val="5D9F1F17"/>
    <w:rsid w:val="5DBD16F0"/>
    <w:rsid w:val="5E2F13E4"/>
    <w:rsid w:val="5EC546B7"/>
    <w:rsid w:val="5EE01513"/>
    <w:rsid w:val="5FA9036D"/>
    <w:rsid w:val="5FE20A6A"/>
    <w:rsid w:val="5FE5609B"/>
    <w:rsid w:val="5FE80DF1"/>
    <w:rsid w:val="60394F33"/>
    <w:rsid w:val="607A028C"/>
    <w:rsid w:val="60F46D90"/>
    <w:rsid w:val="61904268"/>
    <w:rsid w:val="61922827"/>
    <w:rsid w:val="61985AAE"/>
    <w:rsid w:val="619B21A0"/>
    <w:rsid w:val="61C95215"/>
    <w:rsid w:val="620863D2"/>
    <w:rsid w:val="626058BD"/>
    <w:rsid w:val="62D70238"/>
    <w:rsid w:val="634E5810"/>
    <w:rsid w:val="63862B63"/>
    <w:rsid w:val="63A81226"/>
    <w:rsid w:val="63A85CAB"/>
    <w:rsid w:val="63E44C6E"/>
    <w:rsid w:val="647C485B"/>
    <w:rsid w:val="650A079C"/>
    <w:rsid w:val="651D2E62"/>
    <w:rsid w:val="65E5355A"/>
    <w:rsid w:val="674A3D4F"/>
    <w:rsid w:val="679006E0"/>
    <w:rsid w:val="6864772D"/>
    <w:rsid w:val="68BA7AE6"/>
    <w:rsid w:val="68BC6A3B"/>
    <w:rsid w:val="6A121AD7"/>
    <w:rsid w:val="6A3C248C"/>
    <w:rsid w:val="6A7B6A1C"/>
    <w:rsid w:val="6AD23B35"/>
    <w:rsid w:val="6B385C9F"/>
    <w:rsid w:val="6C176453"/>
    <w:rsid w:val="6C3226C6"/>
    <w:rsid w:val="6C545FF5"/>
    <w:rsid w:val="6C591BE2"/>
    <w:rsid w:val="6D0C6D61"/>
    <w:rsid w:val="6DEB533E"/>
    <w:rsid w:val="6E0A4A26"/>
    <w:rsid w:val="6E5E1B6C"/>
    <w:rsid w:val="6EEF71D1"/>
    <w:rsid w:val="6F021A16"/>
    <w:rsid w:val="6F1D40CE"/>
    <w:rsid w:val="7051517A"/>
    <w:rsid w:val="70D85BD1"/>
    <w:rsid w:val="71003FE0"/>
    <w:rsid w:val="71124305"/>
    <w:rsid w:val="715B338A"/>
    <w:rsid w:val="716A7ADC"/>
    <w:rsid w:val="71DE2E53"/>
    <w:rsid w:val="72014278"/>
    <w:rsid w:val="721F39FF"/>
    <w:rsid w:val="729E121E"/>
    <w:rsid w:val="72CD0809"/>
    <w:rsid w:val="72E23A7A"/>
    <w:rsid w:val="72F6179B"/>
    <w:rsid w:val="738003CA"/>
    <w:rsid w:val="73C56EED"/>
    <w:rsid w:val="73F2038F"/>
    <w:rsid w:val="74B3343C"/>
    <w:rsid w:val="75834072"/>
    <w:rsid w:val="758D4AB4"/>
    <w:rsid w:val="75A569F5"/>
    <w:rsid w:val="75D12961"/>
    <w:rsid w:val="763B5101"/>
    <w:rsid w:val="765941C5"/>
    <w:rsid w:val="773B6CD4"/>
    <w:rsid w:val="77E30949"/>
    <w:rsid w:val="77F06BBC"/>
    <w:rsid w:val="77F16A53"/>
    <w:rsid w:val="783525A0"/>
    <w:rsid w:val="786F12BD"/>
    <w:rsid w:val="786F1AA9"/>
    <w:rsid w:val="7872551D"/>
    <w:rsid w:val="7920071D"/>
    <w:rsid w:val="79C52BC7"/>
    <w:rsid w:val="79C747F6"/>
    <w:rsid w:val="7A36659D"/>
    <w:rsid w:val="7A5D6A34"/>
    <w:rsid w:val="7A6027C1"/>
    <w:rsid w:val="7A854A12"/>
    <w:rsid w:val="7AE64955"/>
    <w:rsid w:val="7B237820"/>
    <w:rsid w:val="7B974622"/>
    <w:rsid w:val="7BDE67A2"/>
    <w:rsid w:val="7D4E72F0"/>
    <w:rsid w:val="7DA34510"/>
    <w:rsid w:val="7E9219F9"/>
    <w:rsid w:val="7EB50A4D"/>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9"/>
    <w:pPr>
      <w:keepNext/>
      <w:keepLines/>
      <w:spacing w:before="340" w:beforeLines="0" w:after="330" w:afterLines="0" w:line="576" w:lineRule="auto"/>
      <w:outlineLvl w:val="0"/>
    </w:pPr>
    <w:rPr>
      <w:b/>
      <w:bCs/>
      <w:kern w:val="44"/>
      <w:sz w:val="44"/>
      <w:szCs w:val="44"/>
    </w:rPr>
  </w:style>
  <w:style w:type="paragraph" w:styleId="2">
    <w:name w:val="heading 2"/>
    <w:basedOn w:val="1"/>
    <w:next w:val="1"/>
    <w:link w:val="6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0"/>
    <w:pPr>
      <w:spacing w:line="380" w:lineRule="exact"/>
    </w:pPr>
    <w:rPr>
      <w:sz w:val="24"/>
    </w:rPr>
  </w:style>
  <w:style w:type="paragraph" w:styleId="20">
    <w:name w:val="Body Text Indent"/>
    <w:basedOn w:val="1"/>
    <w:link w:val="72"/>
    <w:qFormat/>
    <w:uiPriority w:val="0"/>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Char"/>
    <w:link w:val="3"/>
    <w:qFormat/>
    <w:uiPriority w:val="9"/>
    <w:rPr>
      <w:rFonts w:eastAsia="宋体"/>
      <w:b/>
      <w:bCs/>
      <w:kern w:val="44"/>
      <w:sz w:val="44"/>
      <w:szCs w:val="44"/>
      <w:lang w:val="en-US" w:eastAsia="zh-CN" w:bidi="ar-SA"/>
    </w:rPr>
  </w:style>
  <w:style w:type="character" w:customStyle="1" w:styleId="60">
    <w:name w:val="标题 2 Char"/>
    <w:link w:val="2"/>
    <w:qFormat/>
    <w:uiPriority w:val="0"/>
    <w:rPr>
      <w:rFonts w:ascii="Arial" w:hAnsi="Arial" w:eastAsia="黑体"/>
      <w:b/>
      <w:bCs/>
      <w:kern w:val="2"/>
      <w:sz w:val="32"/>
      <w:szCs w:val="32"/>
    </w:rPr>
  </w:style>
  <w:style w:type="character" w:customStyle="1" w:styleId="61">
    <w:name w:val="标题 3 Char"/>
    <w:link w:val="4"/>
    <w:qFormat/>
    <w:uiPriority w:val="0"/>
    <w:rPr>
      <w:b/>
      <w:bCs/>
      <w:kern w:val="2"/>
      <w:sz w:val="32"/>
      <w:szCs w:val="32"/>
    </w:rPr>
  </w:style>
  <w:style w:type="character" w:customStyle="1" w:styleId="62">
    <w:name w:val="标题 4 Char"/>
    <w:link w:val="5"/>
    <w:qFormat/>
    <w:uiPriority w:val="0"/>
    <w:rPr>
      <w:rFonts w:ascii="Arial" w:hAnsi="Arial" w:eastAsia="黑体"/>
      <w:sz w:val="28"/>
    </w:rPr>
  </w:style>
  <w:style w:type="character" w:customStyle="1" w:styleId="63">
    <w:name w:val="标题 5 Char"/>
    <w:link w:val="6"/>
    <w:qFormat/>
    <w:uiPriority w:val="0"/>
    <w:rPr>
      <w:b/>
      <w:kern w:val="2"/>
      <w:sz w:val="28"/>
      <w:szCs w:val="24"/>
    </w:rPr>
  </w:style>
  <w:style w:type="character" w:customStyle="1" w:styleId="64">
    <w:name w:val="标题 6 Char"/>
    <w:link w:val="8"/>
    <w:qFormat/>
    <w:uiPriority w:val="0"/>
    <w:rPr>
      <w:rFonts w:ascii="Arial" w:hAnsi="Arial" w:eastAsia="黑体"/>
      <w:b/>
      <w:kern w:val="2"/>
      <w:sz w:val="24"/>
      <w:szCs w:val="24"/>
    </w:rPr>
  </w:style>
  <w:style w:type="character" w:customStyle="1" w:styleId="65">
    <w:name w:val="标题 7 Char"/>
    <w:link w:val="9"/>
    <w:qFormat/>
    <w:uiPriority w:val="0"/>
    <w:rPr>
      <w:b/>
      <w:kern w:val="2"/>
      <w:sz w:val="24"/>
      <w:szCs w:val="24"/>
    </w:rPr>
  </w:style>
  <w:style w:type="character" w:customStyle="1" w:styleId="66">
    <w:name w:val="标题 8 Char"/>
    <w:link w:val="10"/>
    <w:qFormat/>
    <w:uiPriority w:val="0"/>
    <w:rPr>
      <w:rFonts w:ascii="Arial" w:hAnsi="Arial" w:eastAsia="黑体"/>
      <w:kern w:val="2"/>
      <w:sz w:val="24"/>
      <w:szCs w:val="24"/>
    </w:rPr>
  </w:style>
  <w:style w:type="character" w:customStyle="1" w:styleId="67">
    <w:name w:val="标题 9 Char"/>
    <w:link w:val="11"/>
    <w:qFormat/>
    <w:uiPriority w:val="0"/>
    <w:rPr>
      <w:rFonts w:ascii="Arial" w:hAnsi="Arial" w:eastAsia="黑体"/>
      <w:kern w:val="2"/>
      <w:sz w:val="21"/>
      <w:szCs w:val="24"/>
    </w:rPr>
  </w:style>
  <w:style w:type="character" w:customStyle="1" w:styleId="68">
    <w:name w:val="文档结构图 Char"/>
    <w:link w:val="16"/>
    <w:qFormat/>
    <w:uiPriority w:val="0"/>
    <w:rPr>
      <w:sz w:val="21"/>
      <w:shd w:val="clear" w:color="auto" w:fill="000080"/>
    </w:rPr>
  </w:style>
  <w:style w:type="character" w:customStyle="1" w:styleId="69">
    <w:name w:val="批注文字 Char"/>
    <w:link w:val="17"/>
    <w:qFormat/>
    <w:uiPriority w:val="0"/>
    <w:rPr>
      <w:kern w:val="2"/>
      <w:sz w:val="21"/>
      <w:szCs w:val="24"/>
    </w:rPr>
  </w:style>
  <w:style w:type="character" w:customStyle="1" w:styleId="70">
    <w:name w:val="正文文本 3 Char"/>
    <w:link w:val="18"/>
    <w:qFormat/>
    <w:uiPriority w:val="0"/>
    <w:rPr>
      <w:b/>
      <w:bCs/>
      <w:kern w:val="2"/>
      <w:sz w:val="24"/>
      <w:szCs w:val="24"/>
    </w:rPr>
  </w:style>
  <w:style w:type="character" w:customStyle="1" w:styleId="71">
    <w:name w:val="正文文本 Char"/>
    <w:link w:val="19"/>
    <w:qFormat/>
    <w:uiPriority w:val="99"/>
    <w:rPr>
      <w:kern w:val="2"/>
      <w:sz w:val="24"/>
      <w:szCs w:val="24"/>
    </w:rPr>
  </w:style>
  <w:style w:type="character" w:customStyle="1" w:styleId="72">
    <w:name w:val="正文文本缩进 Char"/>
    <w:link w:val="20"/>
    <w:qFormat/>
    <w:uiPriority w:val="99"/>
    <w:rPr>
      <w:rFonts w:ascii="仿宋_GB2312" w:eastAsia="仿宋_GB2312"/>
      <w:kern w:val="2"/>
      <w:sz w:val="32"/>
    </w:rPr>
  </w:style>
  <w:style w:type="character" w:customStyle="1" w:styleId="73">
    <w:name w:val="纯文本 Char"/>
    <w:link w:val="26"/>
    <w:qFormat/>
    <w:uiPriority w:val="99"/>
    <w:rPr>
      <w:rFonts w:ascii="宋体" w:hAnsi="Courier New" w:eastAsia="宋体" w:cs="Courier New"/>
      <w:kern w:val="2"/>
      <w:sz w:val="21"/>
      <w:szCs w:val="21"/>
      <w:lang w:val="en-US" w:eastAsia="zh-CN" w:bidi="ar-SA"/>
    </w:rPr>
  </w:style>
  <w:style w:type="character" w:customStyle="1" w:styleId="74">
    <w:name w:val="日期 Char"/>
    <w:link w:val="28"/>
    <w:qFormat/>
    <w:uiPriority w:val="0"/>
    <w:rPr>
      <w:rFonts w:ascii="宋体" w:hAnsi="Courier New" w:cs="Courier New"/>
      <w:kern w:val="2"/>
      <w:sz w:val="21"/>
      <w:szCs w:val="21"/>
    </w:rPr>
  </w:style>
  <w:style w:type="character" w:customStyle="1" w:styleId="75">
    <w:name w:val="正文文本缩进 2 Char"/>
    <w:link w:val="29"/>
    <w:qFormat/>
    <w:uiPriority w:val="0"/>
    <w:rPr>
      <w:kern w:val="2"/>
      <w:sz w:val="32"/>
    </w:rPr>
  </w:style>
  <w:style w:type="character" w:customStyle="1" w:styleId="76">
    <w:name w:val="批注框文本 Char"/>
    <w:link w:val="30"/>
    <w:qFormat/>
    <w:uiPriority w:val="0"/>
    <w:rPr>
      <w:kern w:val="2"/>
      <w:sz w:val="18"/>
      <w:szCs w:val="18"/>
    </w:rPr>
  </w:style>
  <w:style w:type="character" w:customStyle="1" w:styleId="77">
    <w:name w:val="页脚 Char"/>
    <w:link w:val="31"/>
    <w:qFormat/>
    <w:uiPriority w:val="0"/>
    <w:rPr>
      <w:kern w:val="2"/>
      <w:sz w:val="18"/>
      <w:szCs w:val="18"/>
    </w:rPr>
  </w:style>
  <w:style w:type="character" w:customStyle="1" w:styleId="78">
    <w:name w:val="页眉 Char"/>
    <w:link w:val="32"/>
    <w:qFormat/>
    <w:uiPriority w:val="99"/>
    <w:rPr>
      <w:kern w:val="2"/>
      <w:sz w:val="18"/>
      <w:szCs w:val="18"/>
    </w:rPr>
  </w:style>
  <w:style w:type="character" w:customStyle="1" w:styleId="79">
    <w:name w:val="正文文本缩进 3 Char"/>
    <w:link w:val="38"/>
    <w:qFormat/>
    <w:uiPriority w:val="0"/>
    <w:rPr>
      <w:kern w:val="2"/>
      <w:sz w:val="16"/>
      <w:szCs w:val="16"/>
    </w:rPr>
  </w:style>
  <w:style w:type="character" w:customStyle="1" w:styleId="80">
    <w:name w:val="正文文本 2 Char"/>
    <w:link w:val="41"/>
    <w:qFormat/>
    <w:uiPriority w:val="0"/>
    <w:rPr>
      <w:kern w:val="2"/>
      <w:sz w:val="21"/>
      <w:szCs w:val="24"/>
    </w:rPr>
  </w:style>
  <w:style w:type="character" w:customStyle="1" w:styleId="81">
    <w:name w:val="HTML 预设格式 Char"/>
    <w:link w:val="44"/>
    <w:qFormat/>
    <w:uiPriority w:val="0"/>
    <w:rPr>
      <w:rFonts w:ascii="黑体" w:hAnsi="Courier New" w:eastAsia="黑体" w:cs="Courier New"/>
    </w:rPr>
  </w:style>
  <w:style w:type="character" w:customStyle="1" w:styleId="82">
    <w:name w:val="标题 Char"/>
    <w:link w:val="47"/>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white"/>
    <w:basedOn w:val="53"/>
    <w:qFormat/>
    <w:uiPriority w:val="0"/>
  </w:style>
  <w:style w:type="character" w:customStyle="1" w:styleId="87">
    <w:name w:val="style11"/>
    <w:qFormat/>
    <w:uiPriority w:val="0"/>
    <w:rPr>
      <w:rFonts w:hint="default" w:ascii="Arial" w:hAnsi="Arial" w:cs="Arial"/>
    </w:rPr>
  </w:style>
  <w:style w:type="character" w:customStyle="1" w:styleId="88">
    <w:name w:val="z-窗体顶端 Char"/>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1ji Char"/>
    <w:link w:val="92"/>
    <w:qFormat/>
    <w:uiPriority w:val="0"/>
    <w:rPr>
      <w:rFonts w:ascii="宋体" w:hAnsi="宋体" w:eastAsia="宋体"/>
      <w:b/>
      <w:bCs/>
      <w:kern w:val="44"/>
      <w:sz w:val="36"/>
      <w:szCs w:val="44"/>
      <w:lang w:val="en-US" w:eastAsia="zh-CN" w:bidi="ar-SA"/>
    </w:rPr>
  </w:style>
  <w:style w:type="paragraph" w:customStyle="1" w:styleId="92">
    <w:name w:val="1ji"/>
    <w:basedOn w:val="3"/>
    <w:link w:val="91"/>
    <w:qFormat/>
    <w:uiPriority w:val="0"/>
    <w:pPr>
      <w:keepLines w:val="0"/>
      <w:widowControl/>
      <w:spacing w:before="0" w:beforeLines="0" w:after="0" w:afterLines="0" w:line="240" w:lineRule="auto"/>
      <w:jc w:val="center"/>
    </w:pPr>
    <w:rPr>
      <w:rFonts w:ascii="宋体" w:hAnsi="宋体"/>
      <w:sz w:val="36"/>
    </w:rPr>
  </w:style>
  <w:style w:type="character" w:customStyle="1" w:styleId="93">
    <w:name w:val="apple-converted-space"/>
    <w:qFormat/>
    <w:uiPriority w:val="0"/>
  </w:style>
  <w:style w:type="character" w:customStyle="1" w:styleId="94">
    <w:name w:val="unnamed3"/>
    <w:basedOn w:val="53"/>
    <w:qFormat/>
    <w:uiPriority w:val="0"/>
  </w:style>
  <w:style w:type="character" w:customStyle="1" w:styleId="95">
    <w:name w:val="case31"/>
    <w:qFormat/>
    <w:uiPriority w:val="0"/>
    <w:rPr>
      <w:rFonts w:hint="default" w:ascii="_x000B__x000C_" w:hAnsi="_x000B__x000C_"/>
      <w:sz w:val="21"/>
      <w:szCs w:val="21"/>
    </w:rPr>
  </w:style>
  <w:style w:type="character" w:customStyle="1" w:styleId="96">
    <w:name w:val="gray12"/>
    <w:basedOn w:val="53"/>
    <w:qFormat/>
    <w:uiPriority w:val="0"/>
  </w:style>
  <w:style w:type="character" w:customStyle="1" w:styleId="97">
    <w:name w:val="text11"/>
    <w:qFormat/>
    <w:uiPriority w:val="0"/>
    <w:rPr>
      <w:rFonts w:hint="default" w:ascii="Verdana" w:hAnsi="Verdana"/>
      <w:color w:val="4E4E4E"/>
      <w:sz w:val="18"/>
      <w:szCs w:val="18"/>
    </w:rPr>
  </w:style>
  <w:style w:type="character" w:customStyle="1" w:styleId="98">
    <w:name w:val="style21"/>
    <w:qFormat/>
    <w:uiPriority w:val="0"/>
    <w:rPr>
      <w:sz w:val="17"/>
      <w:szCs w:val="17"/>
    </w:rPr>
  </w:style>
  <w:style w:type="character" w:customStyle="1" w:styleId="99">
    <w:name w:val="mark8"/>
    <w:qFormat/>
    <w:uiPriority w:val="0"/>
    <w:rPr>
      <w:b/>
      <w:bCs/>
      <w:sz w:val="21"/>
      <w:szCs w:val="21"/>
    </w:rPr>
  </w:style>
  <w:style w:type="character" w:customStyle="1" w:styleId="100">
    <w:name w:val="font01"/>
    <w:qFormat/>
    <w:uiPriority w:val="0"/>
    <w:rPr>
      <w:rFonts w:hint="eastAsia" w:ascii="宋体" w:hAnsi="宋体" w:eastAsia="宋体"/>
      <w:color w:val="000000"/>
      <w:sz w:val="22"/>
      <w:szCs w:val="22"/>
      <w:u w:val="none"/>
    </w:rPr>
  </w:style>
  <w:style w:type="character" w:customStyle="1" w:styleId="101">
    <w:name w:val="content2"/>
    <w:basedOn w:val="53"/>
    <w:qFormat/>
    <w:uiPriority w:val="0"/>
  </w:style>
  <w:style w:type="character" w:customStyle="1" w:styleId="102">
    <w:name w:val="1051"/>
    <w:qFormat/>
    <w:uiPriority w:val="0"/>
    <w:rPr>
      <w:sz w:val="21"/>
      <w:szCs w:val="21"/>
    </w:rPr>
  </w:style>
  <w:style w:type="character" w:customStyle="1" w:styleId="103">
    <w:name w:val="062"/>
    <w:qFormat/>
    <w:uiPriority w:val="0"/>
    <w:rPr>
      <w:rFonts w:ascii="宋体" w:hAnsi="宋体"/>
      <w:b/>
      <w:bCs/>
      <w:sz w:val="32"/>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3"/>
    <w:link w:val="104"/>
    <w:qFormat/>
    <w:uiPriority w:val="0"/>
    <w:pPr>
      <w:spacing w:before="0" w:beforeLines="50" w:after="0" w:afterLines="50" w:line="400" w:lineRule="exact"/>
    </w:pPr>
    <w:rPr>
      <w:rFonts w:ascii="宋体" w:hAnsi="宋体"/>
      <w:sz w:val="24"/>
      <w:szCs w:val="24"/>
    </w:rPr>
  </w:style>
  <w:style w:type="character" w:customStyle="1" w:styleId="106">
    <w:name w:val="small"/>
    <w:basedOn w:val="53"/>
    <w:qFormat/>
    <w:uiPriority w:val="0"/>
  </w:style>
  <w:style w:type="character" w:customStyle="1" w:styleId="107">
    <w:name w:val="纯文本 Char1"/>
    <w:qFormat/>
    <w:uiPriority w:val="0"/>
    <w:rPr>
      <w:rFonts w:ascii="宋体" w:hAnsi="Courier New" w:eastAsia="宋体" w:cs="Courier New"/>
      <w:kern w:val="2"/>
      <w:sz w:val="21"/>
      <w:szCs w:val="21"/>
      <w:lang w:val="en-US" w:eastAsia="zh-CN" w:bidi="ar-SA"/>
    </w:rPr>
  </w:style>
  <w:style w:type="character" w:customStyle="1" w:styleId="108">
    <w:name w:val="short_text1"/>
    <w:qFormat/>
    <w:uiPriority w:val="0"/>
    <w:rPr>
      <w:sz w:val="26"/>
    </w:rPr>
  </w:style>
  <w:style w:type="character" w:customStyle="1" w:styleId="109">
    <w:name w:val="graytext1"/>
    <w:qFormat/>
    <w:uiPriority w:val="0"/>
    <w:rPr>
      <w:color w:val="666666"/>
    </w:rPr>
  </w:style>
  <w:style w:type="paragraph" w:customStyle="1" w:styleId="110">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_Style 114"/>
    <w:unhideWhenUsed/>
    <w:qFormat/>
    <w:uiPriority w:val="99"/>
    <w:rPr>
      <w:rFonts w:ascii="Times New Roman" w:hAnsi="Times New Roman" w:eastAsia="宋体" w:cs="Times New Roman"/>
      <w:kern w:val="2"/>
      <w:sz w:val="21"/>
      <w:szCs w:val="24"/>
      <w:lang w:val="en-US" w:eastAsia="zh-CN" w:bidi="ar-SA"/>
    </w:rPr>
  </w:style>
  <w:style w:type="paragraph" w:customStyle="1" w:styleId="116">
    <w:name w:val="_Style 11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117">
    <w:name w:val="List Paragraph"/>
    <w:basedOn w:val="1"/>
    <w:qFormat/>
    <w:uiPriority w:val="99"/>
    <w:pPr>
      <w:ind w:firstLine="420" w:firstLineChars="200"/>
    </w:pPr>
    <w:rPr>
      <w:rFonts w:ascii="Calibri" w:hAnsi="Calibri"/>
      <w:szCs w:val="22"/>
    </w:rPr>
  </w:style>
  <w:style w:type="paragraph" w:customStyle="1" w:styleId="118">
    <w:name w:val="缺省文本"/>
    <w:basedOn w:val="1"/>
    <w:qFormat/>
    <w:uiPriority w:val="0"/>
    <w:pPr>
      <w:autoSpaceDE w:val="0"/>
      <w:autoSpaceDN w:val="0"/>
      <w:adjustRightInd w:val="0"/>
      <w:spacing w:line="360" w:lineRule="auto"/>
      <w:jc w:val="left"/>
    </w:pPr>
    <w:rPr>
      <w:kern w:val="0"/>
      <w:sz w:val="24"/>
      <w:szCs w:val="20"/>
    </w:rPr>
  </w:style>
  <w:style w:type="paragraph" w:customStyle="1" w:styleId="119">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3">
    <w:name w:val="Char1"/>
    <w:basedOn w:val="1"/>
    <w:qFormat/>
    <w:uiPriority w:val="0"/>
    <w:rPr>
      <w:szCs w:val="21"/>
    </w:rPr>
  </w:style>
  <w:style w:type="paragraph" w:customStyle="1" w:styleId="12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28">
    <w:name w:val="样式 标题 2 + Times New Roman 四号 非加粗 段前: 5 磅 段后: 0 磅 行距: 固定值 20..."/>
    <w:basedOn w:val="2"/>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2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0">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1">
    <w:name w:val="Char Char Char"/>
    <w:basedOn w:val="1"/>
    <w:qFormat/>
    <w:uiPriority w:val="0"/>
    <w:rPr>
      <w:rFonts w:ascii="Tahoma" w:hAnsi="Tahoma"/>
      <w:sz w:val="24"/>
      <w:szCs w:val="20"/>
    </w:rPr>
  </w:style>
  <w:style w:type="paragraph" w:customStyle="1" w:styleId="132">
    <w:name w:val="表格"/>
    <w:basedOn w:val="1"/>
    <w:qFormat/>
    <w:uiPriority w:val="0"/>
    <w:pPr>
      <w:spacing w:line="400" w:lineRule="exact"/>
    </w:pPr>
    <w:rPr>
      <w:sz w:val="24"/>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4">
    <w:name w:val=" Char Char Char Char Char Char Char"/>
    <w:basedOn w:val="1"/>
    <w:qFormat/>
    <w:uiPriority w:val="0"/>
  </w:style>
  <w:style w:type="paragraph" w:customStyle="1" w:styleId="135">
    <w:name w:val=" Char"/>
    <w:basedOn w:val="1"/>
    <w:qFormat/>
    <w:uiPriority w:val="0"/>
    <w:pPr>
      <w:tabs>
        <w:tab w:val="left" w:pos="360"/>
      </w:tabs>
      <w:ind w:left="252" w:hanging="252" w:hangingChars="140"/>
    </w:pPr>
    <w:rPr>
      <w:rFonts w:ascii="宋体"/>
      <w:sz w:val="18"/>
      <w:szCs w:val="18"/>
    </w:rPr>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0"/>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0"/>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2">
    <w:name w:val="F2"/>
    <w:basedOn w:val="1"/>
    <w:qFormat/>
    <w:uiPriority w:val="0"/>
    <w:pPr>
      <w:autoSpaceDE w:val="0"/>
      <w:autoSpaceDN w:val="0"/>
      <w:adjustRightInd w:val="0"/>
      <w:ind w:firstLine="601"/>
      <w:textAlignment w:val="baseline"/>
    </w:pPr>
    <w:rPr>
      <w:kern w:val="0"/>
      <w:sz w:val="24"/>
      <w:szCs w:val="20"/>
    </w:rPr>
  </w:style>
  <w:style w:type="paragraph" w:customStyle="1" w:styleId="153">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4">
    <w:name w:val="List Paragraph1"/>
    <w:basedOn w:val="1"/>
    <w:qFormat/>
    <w:uiPriority w:val="0"/>
    <w:pPr>
      <w:ind w:firstLine="420" w:firstLineChars="200"/>
    </w:pPr>
    <w:rPr>
      <w:rFonts w:ascii="Calibri" w:hAnsi="Calibri"/>
      <w:szCs w:val="22"/>
    </w:rPr>
  </w:style>
  <w:style w:type="paragraph" w:customStyle="1" w:styleId="155">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6">
    <w:name w:val="默认段落字体 Para Char"/>
    <w:basedOn w:val="1"/>
    <w:qFormat/>
    <w:uiPriority w:val="0"/>
    <w:pPr>
      <w:adjustRightInd w:val="0"/>
      <w:spacing w:line="360" w:lineRule="auto"/>
    </w:pPr>
    <w:rPr>
      <w:kern w:val="0"/>
      <w:sz w:val="24"/>
      <w:szCs w:val="20"/>
    </w:rPr>
  </w:style>
  <w:style w:type="paragraph" w:customStyle="1" w:styleId="1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1"/>
    <w:basedOn w:val="1"/>
    <w:next w:val="26"/>
    <w:qFormat/>
    <w:uiPriority w:val="0"/>
    <w:rPr>
      <w:rFonts w:ascii="宋体" w:hAnsi="Courier New"/>
      <w:szCs w:val="20"/>
    </w:rPr>
  </w:style>
  <w:style w:type="paragraph" w:customStyle="1" w:styleId="162">
    <w:name w:val="2ji"/>
    <w:basedOn w:val="2"/>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2-2ji"/>
    <w:basedOn w:val="2"/>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4">
    <w:name w:val="444"/>
    <w:basedOn w:val="1"/>
    <w:qFormat/>
    <w:uiPriority w:val="0"/>
    <w:pPr>
      <w:adjustRightInd w:val="0"/>
      <w:spacing w:line="312" w:lineRule="atLeast"/>
      <w:jc w:val="center"/>
      <w:textAlignment w:val="baseline"/>
    </w:pPr>
    <w:rPr>
      <w:b/>
      <w:kern w:val="0"/>
      <w:sz w:val="36"/>
      <w:szCs w:val="36"/>
    </w:rPr>
  </w:style>
  <w:style w:type="character" w:customStyle="1" w:styleId="165">
    <w:name w:val="_Style 164"/>
    <w:unhideWhenUsed/>
    <w:qFormat/>
    <w:uiPriority w:val="99"/>
    <w:rPr>
      <w:color w:val="605E5C"/>
      <w:shd w:val="clear" w:color="auto" w:fill="E1DFDD"/>
    </w:rPr>
  </w:style>
  <w:style w:type="character" w:customStyle="1" w:styleId="166">
    <w:name w:val="批注文字 字符1"/>
    <w:qFormat/>
    <w:uiPriority w:val="0"/>
    <w:rPr>
      <w:kern w:val="2"/>
      <w:sz w:val="21"/>
      <w:szCs w:val="24"/>
    </w:rPr>
  </w:style>
  <w:style w:type="character" w:customStyle="1" w:styleId="167">
    <w:name w:val="纯文本 字符1"/>
    <w:qFormat/>
    <w:uiPriority w:val="99"/>
    <w:rPr>
      <w:rFonts w:ascii="宋体" w:hAnsi="Courier New" w:eastAsia="宋体" w:cs="Courier New"/>
      <w:kern w:val="2"/>
      <w:sz w:val="21"/>
      <w:szCs w:val="21"/>
      <w:lang w:val="en-US" w:eastAsia="zh-CN" w:bidi="ar-SA"/>
    </w:rPr>
  </w:style>
  <w:style w:type="character" w:customStyle="1" w:styleId="168">
    <w:name w:val="正文文本 字符1"/>
    <w:qFormat/>
    <w:uiPriority w:val="99"/>
    <w:rPr>
      <w:kern w:val="2"/>
      <w:sz w:val="24"/>
      <w:szCs w:val="24"/>
    </w:rPr>
  </w:style>
  <w:style w:type="paragraph" w:customStyle="1" w:styleId="169">
    <w:name w:val="正文-2字符首行缩进"/>
    <w:basedOn w:val="1"/>
    <w:link w:val="170"/>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0">
    <w:name w:val="正文-2字符首行缩进 Char"/>
    <w:link w:val="169"/>
    <w:qFormat/>
    <w:uiPriority w:val="0"/>
    <w:rPr>
      <w:rFonts w:ascii="仿宋_GB2312" w:hAnsi="Calibri" w:eastAsia="仿宋_GB2312"/>
      <w:sz w:val="28"/>
      <w:szCs w:val="22"/>
    </w:rPr>
  </w:style>
  <w:style w:type="character" w:customStyle="1" w:styleId="171">
    <w:name w:val="标题 5 字符"/>
    <w:semiHidden/>
    <w:qFormat/>
    <w:uiPriority w:val="9"/>
    <w:rPr>
      <w:b/>
      <w:bCs/>
      <w:kern w:val="2"/>
      <w:sz w:val="28"/>
      <w:szCs w:val="28"/>
    </w:rPr>
  </w:style>
  <w:style w:type="paragraph" w:customStyle="1" w:styleId="172">
    <w:name w:val="列出段落1"/>
    <w:basedOn w:val="1"/>
    <w:qFormat/>
    <w:uiPriority w:val="99"/>
    <w:pPr>
      <w:ind w:firstLine="420" w:firstLineChars="200"/>
    </w:pPr>
    <w:rPr>
      <w:rFonts w:ascii="等线" w:hAnsi="等线" w:eastAsia="等线" w:cs="Times New Roman"/>
    </w:rPr>
  </w:style>
  <w:style w:type="character" w:customStyle="1" w:styleId="173">
    <w:name w:val="标题 3 字符1"/>
    <w:qFormat/>
    <w:uiPriority w:val="0"/>
    <w:rPr>
      <w:b/>
      <w:bCs/>
      <w:kern w:val="2"/>
      <w:sz w:val="32"/>
      <w:szCs w:val="32"/>
    </w:rPr>
  </w:style>
  <w:style w:type="character" w:customStyle="1" w:styleId="174">
    <w:name w:val="正文文本 3 字符1"/>
    <w:qFormat/>
    <w:uiPriority w:val="0"/>
    <w:rPr>
      <w:b/>
      <w:bCs/>
      <w:kern w:val="2"/>
      <w:sz w:val="24"/>
      <w:szCs w:val="24"/>
    </w:rPr>
  </w:style>
  <w:style w:type="character" w:customStyle="1" w:styleId="175">
    <w:name w:val="正文文本缩进 字符1"/>
    <w:qFormat/>
    <w:uiPriority w:val="99"/>
    <w:rPr>
      <w:rFonts w:ascii="仿宋_GB2312" w:eastAsia="仿宋_GB2312"/>
      <w:kern w:val="2"/>
      <w:sz w:val="32"/>
    </w:rPr>
  </w:style>
  <w:style w:type="character" w:customStyle="1" w:styleId="176">
    <w:name w:val="标题 4 字符"/>
    <w:semiHidden/>
    <w:qFormat/>
    <w:uiPriority w:val="9"/>
    <w:rPr>
      <w:rFonts w:ascii="等线 Light" w:hAnsi="等线 Light" w:eastAsia="等线 Light" w:cs="Times New Roman"/>
      <w:b/>
      <w:bCs/>
      <w:kern w:val="2"/>
      <w:sz w:val="28"/>
      <w:szCs w:val="28"/>
    </w:rPr>
  </w:style>
  <w:style w:type="character" w:customStyle="1" w:styleId="177">
    <w:name w:val="HTML 预设格式 字符"/>
    <w:semiHidden/>
    <w:qFormat/>
    <w:uiPriority w:val="99"/>
    <w:rPr>
      <w:rFonts w:ascii="Courier New" w:hAnsi="Courier New" w:cs="Courier New"/>
      <w:kern w:val="2"/>
    </w:rPr>
  </w:style>
  <w:style w:type="character" w:customStyle="1" w:styleId="178">
    <w:name w:val="日期 字符1"/>
    <w:qFormat/>
    <w:uiPriority w:val="0"/>
    <w:rPr>
      <w:rFonts w:ascii="宋体" w:hAnsi="Courier New" w:cs="Courier New"/>
      <w:kern w:val="2"/>
      <w:sz w:val="21"/>
      <w:szCs w:val="21"/>
    </w:rPr>
  </w:style>
  <w:style w:type="character" w:customStyle="1" w:styleId="179">
    <w:name w:val="标题 8 字符1"/>
    <w:qFormat/>
    <w:uiPriority w:val="0"/>
    <w:rPr>
      <w:rFonts w:ascii="Arial" w:hAnsi="Arial" w:eastAsia="黑体"/>
      <w:kern w:val="2"/>
      <w:sz w:val="24"/>
      <w:szCs w:val="24"/>
    </w:rPr>
  </w:style>
  <w:style w:type="character" w:customStyle="1" w:styleId="180">
    <w:name w:val="标题 6 字符"/>
    <w:semiHidden/>
    <w:qFormat/>
    <w:uiPriority w:val="9"/>
    <w:rPr>
      <w:rFonts w:ascii="等线 Light" w:hAnsi="等线 Light" w:eastAsia="等线 Light" w:cs="Times New Roman"/>
      <w:b/>
      <w:bCs/>
      <w:kern w:val="2"/>
      <w:sz w:val="24"/>
      <w:szCs w:val="24"/>
    </w:rPr>
  </w:style>
  <w:style w:type="character" w:customStyle="1" w:styleId="181">
    <w:name w:val="标题 7 字符1"/>
    <w:qFormat/>
    <w:uiPriority w:val="0"/>
    <w:rPr>
      <w:b/>
      <w:kern w:val="2"/>
      <w:sz w:val="24"/>
      <w:szCs w:val="24"/>
    </w:rPr>
  </w:style>
  <w:style w:type="character" w:customStyle="1" w:styleId="182">
    <w:name w:val="标题 4 字符1"/>
    <w:qFormat/>
    <w:uiPriority w:val="0"/>
    <w:rPr>
      <w:rFonts w:ascii="Arial" w:hAnsi="Arial" w:eastAsia="黑体"/>
      <w:sz w:val="28"/>
    </w:rPr>
  </w:style>
  <w:style w:type="character" w:customStyle="1" w:styleId="183">
    <w:name w:val="正文文本首行缩进 2 字符1"/>
    <w:qFormat/>
    <w:uiPriority w:val="0"/>
    <w:rPr>
      <w:kern w:val="2"/>
      <w:sz w:val="21"/>
      <w:szCs w:val="24"/>
    </w:rPr>
  </w:style>
  <w:style w:type="character" w:customStyle="1" w:styleId="184">
    <w:name w:val="标题 7 字符"/>
    <w:semiHidden/>
    <w:qFormat/>
    <w:uiPriority w:val="9"/>
    <w:rPr>
      <w:b/>
      <w:bCs/>
      <w:kern w:val="2"/>
      <w:sz w:val="24"/>
      <w:szCs w:val="24"/>
    </w:rPr>
  </w:style>
  <w:style w:type="character" w:customStyle="1" w:styleId="185">
    <w:name w:val="批注主题 字符"/>
    <w:qFormat/>
    <w:uiPriority w:val="0"/>
    <w:rPr>
      <w:b/>
      <w:bCs/>
      <w:kern w:val="2"/>
      <w:sz w:val="21"/>
      <w:szCs w:val="24"/>
    </w:rPr>
  </w:style>
  <w:style w:type="character" w:customStyle="1" w:styleId="186">
    <w:name w:val="批注主题 字符1"/>
    <w:qFormat/>
    <w:uiPriority w:val="0"/>
    <w:rPr>
      <w:b/>
      <w:bCs/>
      <w:kern w:val="2"/>
      <w:sz w:val="21"/>
      <w:szCs w:val="24"/>
    </w:rPr>
  </w:style>
  <w:style w:type="character" w:customStyle="1" w:styleId="187">
    <w:name w:val="正文文本首行缩进 字符"/>
    <w:semiHidden/>
    <w:qFormat/>
    <w:uiPriority w:val="99"/>
  </w:style>
  <w:style w:type="character" w:customStyle="1" w:styleId="188">
    <w:name w:val="正文文本缩进 字符"/>
    <w:semiHidden/>
    <w:qFormat/>
    <w:uiPriority w:val="99"/>
    <w:rPr>
      <w:kern w:val="2"/>
      <w:sz w:val="21"/>
      <w:szCs w:val="24"/>
    </w:rPr>
  </w:style>
  <w:style w:type="character" w:customStyle="1" w:styleId="189">
    <w:name w:val="页眉 字符"/>
    <w:semiHidden/>
    <w:qFormat/>
    <w:uiPriority w:val="99"/>
    <w:rPr>
      <w:kern w:val="2"/>
      <w:sz w:val="18"/>
      <w:szCs w:val="18"/>
    </w:rPr>
  </w:style>
  <w:style w:type="character" w:customStyle="1" w:styleId="190">
    <w:name w:val="标题 字符"/>
    <w:qFormat/>
    <w:uiPriority w:val="10"/>
    <w:rPr>
      <w:rFonts w:ascii="等线 Light" w:hAnsi="等线 Light" w:eastAsia="等线 Light" w:cs="Times New Roman"/>
      <w:b/>
      <w:bCs/>
      <w:kern w:val="2"/>
      <w:sz w:val="32"/>
      <w:szCs w:val="32"/>
    </w:rPr>
  </w:style>
  <w:style w:type="character" w:customStyle="1" w:styleId="191">
    <w:name w:val="批注框文本 字符1"/>
    <w:qFormat/>
    <w:uiPriority w:val="0"/>
    <w:rPr>
      <w:kern w:val="2"/>
      <w:sz w:val="18"/>
      <w:szCs w:val="18"/>
    </w:rPr>
  </w:style>
  <w:style w:type="character" w:customStyle="1" w:styleId="192">
    <w:name w:val="页脚 字符1"/>
    <w:qFormat/>
    <w:uiPriority w:val="0"/>
    <w:rPr>
      <w:kern w:val="2"/>
      <w:sz w:val="18"/>
      <w:szCs w:val="18"/>
    </w:rPr>
  </w:style>
  <w:style w:type="character" w:customStyle="1" w:styleId="193">
    <w:name w:val="批注文字 字符"/>
    <w:qFormat/>
    <w:uiPriority w:val="0"/>
    <w:rPr>
      <w:kern w:val="2"/>
      <w:sz w:val="21"/>
      <w:szCs w:val="24"/>
    </w:rPr>
  </w:style>
  <w:style w:type="character" w:customStyle="1" w:styleId="194">
    <w:name w:val="标题 2 字符"/>
    <w:semiHidden/>
    <w:qFormat/>
    <w:uiPriority w:val="9"/>
    <w:rPr>
      <w:rFonts w:ascii="等线 Light" w:hAnsi="等线 Light" w:eastAsia="等线 Light" w:cs="Times New Roman"/>
      <w:b/>
      <w:bCs/>
      <w:kern w:val="2"/>
      <w:sz w:val="32"/>
      <w:szCs w:val="32"/>
    </w:rPr>
  </w:style>
  <w:style w:type="character" w:customStyle="1" w:styleId="195">
    <w:name w:val="文档结构图 字符"/>
    <w:semiHidden/>
    <w:qFormat/>
    <w:uiPriority w:val="99"/>
    <w:rPr>
      <w:rFonts w:ascii="Microsoft YaHei UI" w:eastAsia="Microsoft YaHei UI"/>
      <w:kern w:val="2"/>
      <w:sz w:val="18"/>
      <w:szCs w:val="18"/>
    </w:rPr>
  </w:style>
  <w:style w:type="character" w:customStyle="1" w:styleId="196">
    <w:name w:val="z-窗体顶端 字符1"/>
    <w:link w:val="197"/>
    <w:qFormat/>
    <w:uiPriority w:val="0"/>
    <w:rPr>
      <w:rFonts w:ascii="Arial"/>
      <w:vanish/>
      <w:kern w:val="2"/>
      <w:sz w:val="16"/>
      <w:szCs w:val="24"/>
    </w:rPr>
  </w:style>
  <w:style w:type="paragraph" w:customStyle="1" w:styleId="197">
    <w:name w:val="z-窗体顶端1"/>
    <w:basedOn w:val="1"/>
    <w:next w:val="1"/>
    <w:link w:val="196"/>
    <w:qFormat/>
    <w:uiPriority w:val="0"/>
    <w:pPr>
      <w:pBdr>
        <w:bottom w:val="single" w:color="auto" w:sz="6" w:space="1"/>
      </w:pBdr>
      <w:jc w:val="center"/>
    </w:pPr>
    <w:rPr>
      <w:rFonts w:ascii="Arial"/>
      <w:vanish/>
      <w:sz w:val="16"/>
    </w:rPr>
  </w:style>
  <w:style w:type="character" w:customStyle="1" w:styleId="198">
    <w:name w:val="highlight"/>
    <w:qFormat/>
    <w:uiPriority w:val="0"/>
  </w:style>
  <w:style w:type="character" w:customStyle="1" w:styleId="199">
    <w:name w:val="标题 字符1"/>
    <w:qFormat/>
    <w:uiPriority w:val="0"/>
    <w:rPr>
      <w:kern w:val="2"/>
      <w:sz w:val="30"/>
      <w:szCs w:val="24"/>
    </w:rPr>
  </w:style>
  <w:style w:type="character" w:customStyle="1" w:styleId="200">
    <w:name w:val="标题 1 字符1"/>
    <w:qFormat/>
    <w:uiPriority w:val="9"/>
    <w:rPr>
      <w:rFonts w:eastAsia="宋体"/>
      <w:b/>
      <w:bCs/>
      <w:kern w:val="44"/>
      <w:sz w:val="44"/>
      <w:szCs w:val="44"/>
      <w:lang w:val="en-US" w:eastAsia="zh-CN" w:bidi="ar-SA"/>
    </w:rPr>
  </w:style>
  <w:style w:type="character" w:customStyle="1" w:styleId="201">
    <w:name w:val="HTML 预设格式 字符1"/>
    <w:qFormat/>
    <w:uiPriority w:val="0"/>
    <w:rPr>
      <w:rFonts w:ascii="黑体" w:hAnsi="Courier New" w:eastAsia="黑体" w:cs="Courier New"/>
    </w:rPr>
  </w:style>
  <w:style w:type="character" w:customStyle="1" w:styleId="202">
    <w:name w:val="批注框文本 字符"/>
    <w:semiHidden/>
    <w:qFormat/>
    <w:uiPriority w:val="99"/>
    <w:rPr>
      <w:kern w:val="2"/>
      <w:sz w:val="18"/>
      <w:szCs w:val="18"/>
    </w:rPr>
  </w:style>
  <w:style w:type="character" w:customStyle="1" w:styleId="203">
    <w:name w:val="正文文本 3 字符"/>
    <w:semiHidden/>
    <w:qFormat/>
    <w:uiPriority w:val="99"/>
    <w:rPr>
      <w:kern w:val="2"/>
      <w:sz w:val="16"/>
      <w:szCs w:val="16"/>
    </w:rPr>
  </w:style>
  <w:style w:type="character" w:customStyle="1" w:styleId="204">
    <w:name w:val="正文文本缩进 3 字符1"/>
    <w:qFormat/>
    <w:uiPriority w:val="0"/>
    <w:rPr>
      <w:kern w:val="2"/>
      <w:sz w:val="16"/>
      <w:szCs w:val="16"/>
    </w:rPr>
  </w:style>
  <w:style w:type="character" w:customStyle="1" w:styleId="205">
    <w:name w:val="fd"/>
    <w:qFormat/>
    <w:uiPriority w:val="0"/>
  </w:style>
  <w:style w:type="character" w:customStyle="1" w:styleId="206">
    <w:name w:val="标题 9 字符"/>
    <w:semiHidden/>
    <w:qFormat/>
    <w:uiPriority w:val="9"/>
    <w:rPr>
      <w:rFonts w:ascii="等线 Light" w:hAnsi="等线 Light" w:eastAsia="等线 Light" w:cs="Times New Roman"/>
      <w:kern w:val="2"/>
      <w:sz w:val="21"/>
      <w:szCs w:val="21"/>
    </w:rPr>
  </w:style>
  <w:style w:type="character" w:customStyle="1" w:styleId="207">
    <w:name w:val="标题 5 字符1"/>
    <w:qFormat/>
    <w:uiPriority w:val="0"/>
    <w:rPr>
      <w:b/>
      <w:kern w:val="2"/>
      <w:sz w:val="28"/>
      <w:szCs w:val="24"/>
    </w:rPr>
  </w:style>
  <w:style w:type="character" w:customStyle="1" w:styleId="208">
    <w:name w:val="标题 2 字符1"/>
    <w:qFormat/>
    <w:uiPriority w:val="0"/>
    <w:rPr>
      <w:rFonts w:ascii="Arial" w:hAnsi="Arial" w:eastAsia="黑体"/>
      <w:b/>
      <w:bCs/>
      <w:kern w:val="2"/>
      <w:sz w:val="32"/>
      <w:szCs w:val="32"/>
    </w:rPr>
  </w:style>
  <w:style w:type="character" w:customStyle="1" w:styleId="209">
    <w:name w:val="正文文本缩进 2 字符"/>
    <w:semiHidden/>
    <w:qFormat/>
    <w:uiPriority w:val="99"/>
    <w:rPr>
      <w:kern w:val="2"/>
      <w:sz w:val="21"/>
      <w:szCs w:val="24"/>
    </w:rPr>
  </w:style>
  <w:style w:type="character" w:customStyle="1" w:styleId="210">
    <w:name w:val="z-窗体顶端 字符"/>
    <w:semiHidden/>
    <w:qFormat/>
    <w:uiPriority w:val="99"/>
    <w:rPr>
      <w:rFonts w:ascii="Arial" w:hAnsi="Arial" w:cs="Arial"/>
      <w:vanish/>
      <w:kern w:val="2"/>
      <w:sz w:val="16"/>
      <w:szCs w:val="16"/>
    </w:rPr>
  </w:style>
  <w:style w:type="character" w:customStyle="1" w:styleId="211">
    <w:name w:val="标题 6 字符1"/>
    <w:qFormat/>
    <w:uiPriority w:val="0"/>
    <w:rPr>
      <w:rFonts w:ascii="Arial" w:hAnsi="Arial" w:eastAsia="黑体"/>
      <w:b/>
      <w:kern w:val="2"/>
      <w:sz w:val="24"/>
      <w:szCs w:val="24"/>
    </w:rPr>
  </w:style>
  <w:style w:type="character" w:customStyle="1" w:styleId="212">
    <w:name w:val="正文文本 2 字符1"/>
    <w:qFormat/>
    <w:uiPriority w:val="0"/>
    <w:rPr>
      <w:kern w:val="2"/>
      <w:sz w:val="21"/>
      <w:szCs w:val="24"/>
    </w:rPr>
  </w:style>
  <w:style w:type="character" w:customStyle="1" w:styleId="213">
    <w:name w:val="标题 3 字符"/>
    <w:semiHidden/>
    <w:qFormat/>
    <w:uiPriority w:val="9"/>
    <w:rPr>
      <w:b/>
      <w:bCs/>
      <w:kern w:val="2"/>
      <w:sz w:val="32"/>
      <w:szCs w:val="32"/>
    </w:rPr>
  </w:style>
  <w:style w:type="character" w:customStyle="1" w:styleId="214">
    <w:name w:val="正文文本 2 字符"/>
    <w:semiHidden/>
    <w:qFormat/>
    <w:uiPriority w:val="99"/>
    <w:rPr>
      <w:kern w:val="2"/>
      <w:sz w:val="21"/>
      <w:szCs w:val="24"/>
    </w:rPr>
  </w:style>
  <w:style w:type="character" w:customStyle="1" w:styleId="215">
    <w:name w:val="标题 1 字符"/>
    <w:qFormat/>
    <w:uiPriority w:val="9"/>
    <w:rPr>
      <w:b/>
      <w:bCs/>
      <w:kern w:val="44"/>
      <w:sz w:val="44"/>
      <w:szCs w:val="44"/>
    </w:rPr>
  </w:style>
  <w:style w:type="character" w:customStyle="1" w:styleId="216">
    <w:name w:val="页脚 字符"/>
    <w:qFormat/>
    <w:uiPriority w:val="99"/>
    <w:rPr>
      <w:kern w:val="2"/>
      <w:sz w:val="18"/>
      <w:szCs w:val="18"/>
    </w:rPr>
  </w:style>
  <w:style w:type="character" w:customStyle="1" w:styleId="217">
    <w:name w:val="正文文本首行缩进 2 字符"/>
    <w:semiHidden/>
    <w:qFormat/>
    <w:uiPriority w:val="99"/>
  </w:style>
  <w:style w:type="character" w:customStyle="1" w:styleId="218">
    <w:name w:val="文档结构图 字符1"/>
    <w:qFormat/>
    <w:uiPriority w:val="0"/>
    <w:rPr>
      <w:sz w:val="21"/>
      <w:shd w:val="clear" w:color="auto" w:fill="000080"/>
    </w:rPr>
  </w:style>
  <w:style w:type="character" w:customStyle="1" w:styleId="219">
    <w:name w:val="正文文本首行缩进 字符1"/>
    <w:qFormat/>
    <w:uiPriority w:val="0"/>
    <w:rPr>
      <w:kern w:val="2"/>
      <w:sz w:val="21"/>
      <w:szCs w:val="24"/>
    </w:rPr>
  </w:style>
  <w:style w:type="character" w:customStyle="1" w:styleId="220">
    <w:name w:val="日期 字符"/>
    <w:semiHidden/>
    <w:qFormat/>
    <w:uiPriority w:val="99"/>
    <w:rPr>
      <w:kern w:val="2"/>
      <w:sz w:val="21"/>
      <w:szCs w:val="24"/>
    </w:rPr>
  </w:style>
  <w:style w:type="character" w:customStyle="1" w:styleId="221">
    <w:name w:val="纯文本 字符"/>
    <w:qFormat/>
    <w:uiPriority w:val="99"/>
    <w:rPr>
      <w:rFonts w:ascii="等线" w:hAnsi="Courier New" w:eastAsia="等线" w:cs="Courier New"/>
      <w:kern w:val="2"/>
      <w:sz w:val="21"/>
      <w:szCs w:val="24"/>
    </w:rPr>
  </w:style>
  <w:style w:type="character" w:customStyle="1" w:styleId="222">
    <w:name w:val="正文文本缩进 2 字符1"/>
    <w:qFormat/>
    <w:uiPriority w:val="0"/>
    <w:rPr>
      <w:kern w:val="2"/>
      <w:sz w:val="32"/>
    </w:rPr>
  </w:style>
  <w:style w:type="character" w:customStyle="1" w:styleId="223">
    <w:name w:val="标题 9 字符1"/>
    <w:qFormat/>
    <w:uiPriority w:val="0"/>
    <w:rPr>
      <w:rFonts w:ascii="Arial" w:hAnsi="Arial" w:eastAsia="黑体"/>
      <w:kern w:val="2"/>
      <w:sz w:val="21"/>
      <w:szCs w:val="24"/>
    </w:rPr>
  </w:style>
  <w:style w:type="character" w:customStyle="1" w:styleId="224">
    <w:name w:val="页眉 字符1"/>
    <w:qFormat/>
    <w:uiPriority w:val="99"/>
    <w:rPr>
      <w:kern w:val="2"/>
      <w:sz w:val="18"/>
      <w:szCs w:val="18"/>
    </w:rPr>
  </w:style>
  <w:style w:type="character" w:customStyle="1" w:styleId="225">
    <w:name w:val="标题 8 字符"/>
    <w:semiHidden/>
    <w:qFormat/>
    <w:uiPriority w:val="9"/>
    <w:rPr>
      <w:rFonts w:ascii="等线 Light" w:hAnsi="等线 Light" w:eastAsia="等线 Light" w:cs="Times New Roman"/>
      <w:kern w:val="2"/>
      <w:sz w:val="24"/>
      <w:szCs w:val="24"/>
    </w:rPr>
  </w:style>
  <w:style w:type="character" w:customStyle="1" w:styleId="226">
    <w:name w:val="正文文本缩进 3 字符"/>
    <w:semiHidden/>
    <w:qFormat/>
    <w:uiPriority w:val="99"/>
    <w:rPr>
      <w:kern w:val="2"/>
      <w:sz w:val="16"/>
      <w:szCs w:val="16"/>
    </w:rPr>
  </w:style>
  <w:style w:type="character" w:customStyle="1" w:styleId="227">
    <w:name w:val="正文文本 字符"/>
    <w:semiHidden/>
    <w:qFormat/>
    <w:uiPriority w:val="99"/>
    <w:rPr>
      <w:kern w:val="2"/>
      <w:sz w:val="21"/>
      <w:szCs w:val="24"/>
    </w:rPr>
  </w:style>
  <w:style w:type="paragraph" w:customStyle="1" w:styleId="22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29">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_Style 109"/>
    <w:basedOn w:val="1"/>
    <w:next w:val="117"/>
    <w:qFormat/>
    <w:uiPriority w:val="34"/>
    <w:pPr>
      <w:ind w:firstLine="420" w:firstLineChars="200"/>
    </w:pPr>
    <w:rPr>
      <w:rFonts w:ascii="Calibri" w:hAnsi="Calibri"/>
      <w:szCs w:val="22"/>
    </w:rPr>
  </w:style>
  <w:style w:type="paragraph" w:customStyle="1" w:styleId="231">
    <w:name w:val="Char Char Char Char Char Char Char1"/>
    <w:basedOn w:val="1"/>
    <w:qFormat/>
    <w:uiPriority w:val="0"/>
  </w:style>
  <w:style w:type="paragraph" w:customStyle="1" w:styleId="232">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34">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235">
    <w:name w:val="Char4"/>
    <w:basedOn w:val="1"/>
    <w:qFormat/>
    <w:uiPriority w:val="0"/>
    <w:pPr>
      <w:tabs>
        <w:tab w:val="left" w:pos="360"/>
      </w:tabs>
      <w:ind w:left="252" w:hanging="252" w:hangingChars="140"/>
    </w:pPr>
    <w:rPr>
      <w:rFonts w:ascii="宋体"/>
      <w:sz w:val="18"/>
      <w:szCs w:val="18"/>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3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40">
    <w:name w:val="未处理的提及1"/>
    <w:unhideWhenUsed/>
    <w:qFormat/>
    <w:uiPriority w:val="99"/>
    <w:rPr>
      <w:color w:val="605E5C"/>
      <w:shd w:val="clear" w:color="auto" w:fill="E1DFDD"/>
    </w:rPr>
  </w:style>
  <w:style w:type="character" w:styleId="241">
    <w:name w:val="Placeholder Text"/>
    <w:unhideWhenUsed/>
    <w:qFormat/>
    <w:uiPriority w:val="99"/>
    <w:rPr>
      <w:color w:val="808080"/>
    </w:rPr>
  </w:style>
  <w:style w:type="character" w:customStyle="1" w:styleId="242">
    <w:name w:val="未处理的提及2"/>
    <w:unhideWhenUsed/>
    <w:qFormat/>
    <w:uiPriority w:val="99"/>
    <w:rPr>
      <w:color w:val="605E5C"/>
      <w:shd w:val="clear" w:color="auto" w:fill="E1DFDD"/>
    </w:rPr>
  </w:style>
  <w:style w:type="character" w:customStyle="1" w:styleId="243">
    <w:name w:val="15"/>
    <w:qFormat/>
    <w:uiPriority w:val="0"/>
    <w:rPr>
      <w:rFonts w:hint="eastAsia" w:ascii="宋体" w:hAnsi="宋体" w:eastAsia="宋体"/>
      <w:color w:val="000000"/>
      <w:spacing w:val="0"/>
      <w:sz w:val="22"/>
      <w:szCs w:val="22"/>
    </w:rPr>
  </w:style>
  <w:style w:type="character" w:customStyle="1" w:styleId="244">
    <w:name w:val="批注文字 字符2"/>
    <w:qFormat/>
    <w:uiPriority w:val="0"/>
    <w:rPr>
      <w:kern w:val="2"/>
      <w:sz w:val="21"/>
      <w:szCs w:val="24"/>
    </w:rPr>
  </w:style>
  <w:style w:type="paragraph" w:customStyle="1" w:styleId="24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48">
    <w:name w:val="Table Text"/>
    <w:basedOn w:val="1"/>
    <w:semiHidden/>
    <w:qFormat/>
    <w:uiPriority w:val="0"/>
    <w:rPr>
      <w:rFonts w:ascii="宋体" w:hAnsi="宋体" w:eastAsia="宋体" w:cs="宋体"/>
      <w:sz w:val="18"/>
      <w:szCs w:val="18"/>
      <w:lang w:val="en-US" w:eastAsia="en-US" w:bidi="ar-SA"/>
    </w:rPr>
  </w:style>
  <w:style w:type="table" w:customStyle="1" w:styleId="249">
    <w:name w:val="Table Normal"/>
    <w:semiHidden/>
    <w:unhideWhenUsed/>
    <w:qFormat/>
    <w:uiPriority w:val="0"/>
    <w:tblPr>
      <w:tblCellMar>
        <w:top w:w="0" w:type="dxa"/>
        <w:left w:w="0" w:type="dxa"/>
        <w:bottom w:w="0" w:type="dxa"/>
        <w:right w:w="0" w:type="dxa"/>
      </w:tblCellMar>
    </w:tblPr>
  </w:style>
  <w:style w:type="character" w:customStyle="1" w:styleId="250">
    <w:name w:val="font61"/>
    <w:basedOn w:val="53"/>
    <w:qFormat/>
    <w:uiPriority w:val="0"/>
    <w:rPr>
      <w:rFonts w:hint="eastAsia" w:ascii="宋体" w:hAnsi="宋体" w:eastAsia="宋体" w:cs="宋体"/>
      <w:color w:val="000000"/>
      <w:sz w:val="22"/>
      <w:szCs w:val="22"/>
      <w:u w:val="none"/>
    </w:rPr>
  </w:style>
  <w:style w:type="character" w:customStyle="1" w:styleId="251">
    <w:name w:val="font71"/>
    <w:basedOn w:val="53"/>
    <w:qFormat/>
    <w:uiPriority w:val="0"/>
    <w:rPr>
      <w:rFonts w:hint="default" w:ascii="Times New Roman" w:hAnsi="Times New Roman" w:cs="Times New Roman"/>
      <w:color w:val="000000"/>
      <w:sz w:val="22"/>
      <w:szCs w:val="22"/>
      <w:u w:val="none"/>
    </w:rPr>
  </w:style>
  <w:style w:type="character" w:customStyle="1" w:styleId="252">
    <w:name w:val="font41"/>
    <w:basedOn w:val="53"/>
    <w:qFormat/>
    <w:uiPriority w:val="0"/>
    <w:rPr>
      <w:rFonts w:hint="eastAsia" w:ascii="宋体" w:hAnsi="宋体" w:eastAsia="宋体" w:cs="宋体"/>
      <w:color w:val="000000"/>
      <w:sz w:val="20"/>
      <w:szCs w:val="20"/>
      <w:u w:val="none"/>
    </w:rPr>
  </w:style>
  <w:style w:type="character" w:customStyle="1" w:styleId="253">
    <w:name w:val="font81"/>
    <w:basedOn w:val="53"/>
    <w:qFormat/>
    <w:uiPriority w:val="0"/>
    <w:rPr>
      <w:rFonts w:hint="default" w:ascii="Times New Roman" w:hAnsi="Times New Roman" w:cs="Times New Roman"/>
      <w:color w:val="000000"/>
      <w:sz w:val="20"/>
      <w:szCs w:val="20"/>
      <w:u w:val="none"/>
    </w:rPr>
  </w:style>
  <w:style w:type="character" w:customStyle="1" w:styleId="254">
    <w:name w:val="font31"/>
    <w:basedOn w:val="53"/>
    <w:qFormat/>
    <w:uiPriority w:val="0"/>
    <w:rPr>
      <w:rFonts w:hint="eastAsia" w:ascii="宋体" w:hAnsi="宋体" w:eastAsia="宋体" w:cs="宋体"/>
      <w:color w:val="000000"/>
      <w:sz w:val="18"/>
      <w:szCs w:val="18"/>
      <w:u w:val="none"/>
    </w:rPr>
  </w:style>
  <w:style w:type="character" w:customStyle="1" w:styleId="255">
    <w:name w:val="font51"/>
    <w:basedOn w:val="53"/>
    <w:qFormat/>
    <w:uiPriority w:val="0"/>
    <w:rPr>
      <w:rFonts w:hint="eastAsia" w:ascii="宋体" w:hAnsi="宋体" w:eastAsia="宋体" w:cs="宋体"/>
      <w:color w:val="000000"/>
      <w:sz w:val="16"/>
      <w:szCs w:val="16"/>
      <w:u w:val="none"/>
    </w:rPr>
  </w:style>
  <w:style w:type="paragraph" w:customStyle="1" w:styleId="256">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6.emf"/><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123</Pages>
  <Words>268</Words>
  <Characters>375</Characters>
  <Lines>638</Lines>
  <Paragraphs>179</Paragraphs>
  <TotalTime>3</TotalTime>
  <ScaleCrop>false</ScaleCrop>
  <LinksUpToDate>false</LinksUpToDate>
  <CharactersWithSpaces>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2020-09-14T09:21:00Z</dcterms:created>
  <dc:creator>微软用户</dc:creator>
  <cp:lastModifiedBy>广西机电</cp:lastModifiedBy>
  <cp:lastPrinted>2016-03-22T07:52:00Z</cp:lastPrinted>
  <dcterms:modified xsi:type="dcterms:W3CDTF">2026-07-29T01:40:20Z</dcterms:modified>
  <dc:title>桂财采〔2009〕 号</dc:title>
  <cp:revision>482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KSOTemplateDocerSaveRecord">
    <vt:lpwstr>eyJoZGlkIjoiODYzNWM5MTY2MmJmODAwNzZjOWIxMzE0Yjg0YTQyMTIiLCJ1c2VySWQiOiIxNjUxNjQ0NjMyIn0=</vt:lpwstr>
  </property>
  <property fmtid="{D5CDD505-2E9C-101B-9397-08002B2CF9AE}" pid="13" name="ICV">
    <vt:lpwstr>900E689B943E49C293AE8B9B8CA7F960_13</vt:lpwstr>
  </property>
</Properties>
</file>